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468A2" w14:paraId="2A131A54" w14:textId="77777777" w:rsidTr="00BB72E4">
        <w:trPr>
          <w:trHeight w:val="852"/>
          <w:jc w:val="center"/>
        </w:trPr>
        <w:tc>
          <w:tcPr>
            <w:tcW w:w="6940" w:type="dxa"/>
            <w:vMerge w:val="restart"/>
            <w:tcBorders>
              <w:right w:val="single" w:sz="4" w:space="0" w:color="auto"/>
            </w:tcBorders>
          </w:tcPr>
          <w:p w14:paraId="38C3D2BA" w14:textId="77777777" w:rsidR="000A03B2" w:rsidRPr="009468A2" w:rsidRDefault="000A03B2" w:rsidP="00DE264A">
            <w:pPr>
              <w:tabs>
                <w:tab w:val="left" w:pos="-108"/>
              </w:tabs>
              <w:ind w:left="-108"/>
              <w:jc w:val="left"/>
              <w:rPr>
                <w:rFonts w:cs="Arial"/>
                <w:b/>
                <w:bCs/>
                <w:i/>
                <w:iCs/>
                <w:color w:val="000066"/>
                <w:sz w:val="12"/>
                <w:szCs w:val="12"/>
                <w:lang w:eastAsia="it-IT"/>
              </w:rPr>
            </w:pPr>
            <w:r w:rsidRPr="009468A2">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468A2">
              <w:rPr>
                <w:rFonts w:ascii="AdvP6960" w:hAnsi="AdvP6960" w:cs="AdvP6960"/>
                <w:color w:val="241F20"/>
                <w:szCs w:val="18"/>
                <w:lang w:eastAsia="it-IT"/>
              </w:rPr>
              <w:t xml:space="preserve"> </w:t>
            </w:r>
            <w:r w:rsidRPr="009468A2">
              <w:rPr>
                <w:rFonts w:cs="Arial"/>
                <w:b/>
                <w:bCs/>
                <w:i/>
                <w:iCs/>
                <w:color w:val="000066"/>
                <w:sz w:val="24"/>
                <w:szCs w:val="24"/>
                <w:lang w:eastAsia="it-IT"/>
              </w:rPr>
              <w:t>CHEMICAL ENGINEERING</w:t>
            </w:r>
            <w:r w:rsidRPr="009468A2">
              <w:rPr>
                <w:rFonts w:cs="Arial"/>
                <w:b/>
                <w:bCs/>
                <w:i/>
                <w:iCs/>
                <w:color w:val="0033FF"/>
                <w:sz w:val="24"/>
                <w:szCs w:val="24"/>
                <w:lang w:eastAsia="it-IT"/>
              </w:rPr>
              <w:t xml:space="preserve"> </w:t>
            </w:r>
            <w:r w:rsidRPr="009468A2">
              <w:rPr>
                <w:rFonts w:cs="Arial"/>
                <w:b/>
                <w:bCs/>
                <w:i/>
                <w:iCs/>
                <w:color w:val="666666"/>
                <w:sz w:val="24"/>
                <w:szCs w:val="24"/>
                <w:lang w:eastAsia="it-IT"/>
              </w:rPr>
              <w:t>TRANSACTIONS</w:t>
            </w:r>
            <w:r w:rsidRPr="009468A2">
              <w:rPr>
                <w:color w:val="333333"/>
                <w:sz w:val="24"/>
                <w:szCs w:val="24"/>
                <w:lang w:eastAsia="it-IT"/>
              </w:rPr>
              <w:t xml:space="preserve"> </w:t>
            </w:r>
            <w:r w:rsidRPr="009468A2">
              <w:rPr>
                <w:rFonts w:cs="Arial"/>
                <w:b/>
                <w:bCs/>
                <w:i/>
                <w:iCs/>
                <w:color w:val="000066"/>
                <w:sz w:val="27"/>
                <w:szCs w:val="27"/>
                <w:lang w:eastAsia="it-IT"/>
              </w:rPr>
              <w:br/>
            </w:r>
          </w:p>
          <w:p w14:paraId="4B780582" w14:textId="0DAB3DDA" w:rsidR="000A03B2" w:rsidRPr="009468A2" w:rsidRDefault="00A76EFC" w:rsidP="001D21AF">
            <w:pPr>
              <w:tabs>
                <w:tab w:val="left" w:pos="-108"/>
              </w:tabs>
              <w:ind w:left="-108"/>
              <w:rPr>
                <w:rFonts w:cs="Arial"/>
                <w:b/>
                <w:bCs/>
                <w:i/>
                <w:iCs/>
                <w:color w:val="000066"/>
                <w:sz w:val="22"/>
                <w:szCs w:val="22"/>
                <w:lang w:eastAsia="it-IT"/>
              </w:rPr>
            </w:pPr>
            <w:r w:rsidRPr="009468A2">
              <w:rPr>
                <w:rFonts w:cs="Arial"/>
                <w:b/>
                <w:bCs/>
                <w:i/>
                <w:iCs/>
                <w:color w:val="000066"/>
                <w:sz w:val="22"/>
                <w:szCs w:val="22"/>
                <w:lang w:eastAsia="it-IT"/>
              </w:rPr>
              <w:t xml:space="preserve">VOL. </w:t>
            </w:r>
            <w:r w:rsidR="0030152C" w:rsidRPr="009468A2">
              <w:rPr>
                <w:rFonts w:cs="Arial"/>
                <w:b/>
                <w:bCs/>
                <w:i/>
                <w:iCs/>
                <w:color w:val="000066"/>
                <w:sz w:val="22"/>
                <w:szCs w:val="22"/>
                <w:lang w:eastAsia="it-IT"/>
              </w:rPr>
              <w:t xml:space="preserve"> </w:t>
            </w:r>
            <w:proofErr w:type="gramStart"/>
            <w:r w:rsidR="0030152C" w:rsidRPr="009468A2">
              <w:rPr>
                <w:rFonts w:cs="Arial"/>
                <w:b/>
                <w:bCs/>
                <w:i/>
                <w:iCs/>
                <w:color w:val="000066"/>
                <w:sz w:val="22"/>
                <w:szCs w:val="22"/>
                <w:lang w:eastAsia="it-IT"/>
              </w:rPr>
              <w:t xml:space="preserve">  </w:t>
            </w:r>
            <w:r w:rsidR="007B48F9" w:rsidRPr="009468A2">
              <w:rPr>
                <w:rFonts w:cs="Arial"/>
                <w:b/>
                <w:bCs/>
                <w:i/>
                <w:iCs/>
                <w:color w:val="000066"/>
                <w:sz w:val="22"/>
                <w:szCs w:val="22"/>
                <w:lang w:eastAsia="it-IT"/>
              </w:rPr>
              <w:t>,</w:t>
            </w:r>
            <w:proofErr w:type="gramEnd"/>
            <w:r w:rsidR="00FA5F5F" w:rsidRPr="009468A2">
              <w:rPr>
                <w:rFonts w:cs="Arial"/>
                <w:b/>
                <w:bCs/>
                <w:i/>
                <w:iCs/>
                <w:color w:val="000066"/>
                <w:sz w:val="22"/>
                <w:szCs w:val="22"/>
                <w:lang w:eastAsia="it-IT"/>
              </w:rPr>
              <w:t xml:space="preserve"> </w:t>
            </w:r>
            <w:r w:rsidR="0030152C" w:rsidRPr="009468A2">
              <w:rPr>
                <w:rFonts w:cs="Arial"/>
                <w:b/>
                <w:bCs/>
                <w:i/>
                <w:iCs/>
                <w:color w:val="000066"/>
                <w:sz w:val="22"/>
                <w:szCs w:val="22"/>
                <w:lang w:eastAsia="it-IT"/>
              </w:rPr>
              <w:t>202</w:t>
            </w:r>
            <w:r w:rsidR="00C24AF1" w:rsidRPr="009468A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468A2" w:rsidRDefault="000A03B2" w:rsidP="00CD5FE2">
            <w:pPr>
              <w:spacing w:line="140" w:lineRule="atLeast"/>
              <w:jc w:val="right"/>
              <w:rPr>
                <w:rFonts w:cs="Arial"/>
                <w:sz w:val="14"/>
                <w:szCs w:val="14"/>
              </w:rPr>
            </w:pPr>
            <w:r w:rsidRPr="009468A2">
              <w:rPr>
                <w:rFonts w:cs="Arial"/>
                <w:sz w:val="14"/>
                <w:szCs w:val="14"/>
              </w:rPr>
              <w:t>A publication of</w:t>
            </w:r>
          </w:p>
          <w:p w14:paraId="599E5441" w14:textId="77777777" w:rsidR="000A03B2" w:rsidRPr="009468A2" w:rsidRDefault="000A03B2" w:rsidP="00CD5FE2">
            <w:pPr>
              <w:jc w:val="right"/>
            </w:pPr>
            <w:r w:rsidRPr="009468A2">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468A2" w14:paraId="380FA3CD" w14:textId="77777777" w:rsidTr="00BB72E4">
        <w:trPr>
          <w:trHeight w:val="567"/>
          <w:jc w:val="center"/>
        </w:trPr>
        <w:tc>
          <w:tcPr>
            <w:tcW w:w="6940" w:type="dxa"/>
            <w:vMerge/>
            <w:tcBorders>
              <w:right w:val="single" w:sz="4" w:space="0" w:color="auto"/>
            </w:tcBorders>
          </w:tcPr>
          <w:p w14:paraId="39E5E4C1" w14:textId="77777777" w:rsidR="000A03B2" w:rsidRPr="009468A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468A2" w:rsidRDefault="000A03B2" w:rsidP="00CD5FE2">
            <w:pPr>
              <w:spacing w:line="140" w:lineRule="atLeast"/>
              <w:jc w:val="right"/>
              <w:rPr>
                <w:rFonts w:cs="Arial"/>
                <w:sz w:val="14"/>
                <w:szCs w:val="14"/>
              </w:rPr>
            </w:pPr>
            <w:r w:rsidRPr="009468A2">
              <w:rPr>
                <w:rFonts w:cs="Arial"/>
                <w:sz w:val="14"/>
                <w:szCs w:val="14"/>
              </w:rPr>
              <w:t>The Italian Association</w:t>
            </w:r>
          </w:p>
          <w:p w14:paraId="7522B1D2" w14:textId="77777777" w:rsidR="000A03B2" w:rsidRPr="009468A2" w:rsidRDefault="000A03B2" w:rsidP="00CD5FE2">
            <w:pPr>
              <w:spacing w:line="140" w:lineRule="atLeast"/>
              <w:jc w:val="right"/>
              <w:rPr>
                <w:rFonts w:cs="Arial"/>
                <w:sz w:val="14"/>
                <w:szCs w:val="14"/>
              </w:rPr>
            </w:pPr>
            <w:r w:rsidRPr="009468A2">
              <w:rPr>
                <w:rFonts w:cs="Arial"/>
                <w:sz w:val="14"/>
                <w:szCs w:val="14"/>
              </w:rPr>
              <w:t>of Chemical Engineering</w:t>
            </w:r>
          </w:p>
          <w:p w14:paraId="4F0CC5DE" w14:textId="47FDB2FC" w:rsidR="000A03B2" w:rsidRPr="009468A2" w:rsidRDefault="000D0268" w:rsidP="00CD5FE2">
            <w:pPr>
              <w:spacing w:line="140" w:lineRule="atLeast"/>
              <w:jc w:val="right"/>
              <w:rPr>
                <w:rFonts w:cs="Arial"/>
                <w:sz w:val="13"/>
                <w:szCs w:val="13"/>
              </w:rPr>
            </w:pPr>
            <w:r w:rsidRPr="009468A2">
              <w:rPr>
                <w:rFonts w:cs="Arial"/>
                <w:sz w:val="13"/>
                <w:szCs w:val="13"/>
              </w:rPr>
              <w:t>Online at www.cetjournal.it</w:t>
            </w:r>
          </w:p>
        </w:tc>
      </w:tr>
      <w:tr w:rsidR="000A03B2" w:rsidRPr="009468A2" w14:paraId="2D1B7169" w14:textId="77777777" w:rsidTr="00BB72E4">
        <w:trPr>
          <w:trHeight w:val="68"/>
          <w:jc w:val="center"/>
        </w:trPr>
        <w:tc>
          <w:tcPr>
            <w:tcW w:w="8782" w:type="dxa"/>
            <w:gridSpan w:val="2"/>
          </w:tcPr>
          <w:p w14:paraId="1D8DD3C9" w14:textId="62C05688" w:rsidR="00AA7D26" w:rsidRPr="009468A2" w:rsidRDefault="00AA7D26" w:rsidP="00AA7D26">
            <w:pPr>
              <w:ind w:left="-107"/>
              <w:outlineLvl w:val="2"/>
              <w:rPr>
                <w:rFonts w:ascii="Tahoma" w:hAnsi="Tahoma" w:cs="Tahoma"/>
                <w:bCs/>
                <w:color w:val="000000"/>
                <w:sz w:val="14"/>
                <w:szCs w:val="14"/>
                <w:lang w:val="it-IT" w:eastAsia="it-IT"/>
              </w:rPr>
            </w:pPr>
            <w:r w:rsidRPr="009468A2">
              <w:rPr>
                <w:rFonts w:ascii="Tahoma" w:hAnsi="Tahoma" w:cs="Tahoma"/>
                <w:iCs/>
                <w:color w:val="333333"/>
                <w:sz w:val="14"/>
                <w:szCs w:val="14"/>
                <w:lang w:val="it-IT" w:eastAsia="it-IT"/>
              </w:rPr>
              <w:t>Guest Editors:</w:t>
            </w:r>
            <w:r w:rsidRPr="009468A2">
              <w:rPr>
                <w:rFonts w:ascii="Tahoma" w:hAnsi="Tahoma" w:cs="Tahoma"/>
                <w:color w:val="000000"/>
                <w:sz w:val="14"/>
                <w:szCs w:val="14"/>
                <w:shd w:val="clear" w:color="auto" w:fill="FFFFFF"/>
                <w:lang w:val="it-IT"/>
              </w:rPr>
              <w:t xml:space="preserve"> </w:t>
            </w:r>
            <w:r w:rsidR="00A0035F" w:rsidRPr="009468A2">
              <w:rPr>
                <w:rFonts w:ascii="Tahoma" w:hAnsi="Tahoma" w:cs="Tahoma"/>
                <w:color w:val="000000"/>
                <w:sz w:val="14"/>
                <w:szCs w:val="14"/>
                <w:shd w:val="clear" w:color="auto" w:fill="FFFFFF"/>
                <w:lang w:val="it-IT"/>
              </w:rPr>
              <w:t>Laura Piazza, Francesco Donsì</w:t>
            </w:r>
            <w:r w:rsidR="005E72C6" w:rsidRPr="009468A2">
              <w:rPr>
                <w:rFonts w:ascii="Tahoma" w:hAnsi="Tahoma" w:cs="Tahoma"/>
                <w:color w:val="000000"/>
                <w:sz w:val="14"/>
                <w:szCs w:val="14"/>
                <w:shd w:val="clear" w:color="auto" w:fill="FFFFFF"/>
                <w:lang w:val="it-IT"/>
              </w:rPr>
              <w:t>,</w:t>
            </w:r>
            <w:r w:rsidR="00A0035F" w:rsidRPr="009468A2">
              <w:rPr>
                <w:rFonts w:ascii="Tahoma" w:hAnsi="Tahoma" w:cs="Tahoma"/>
                <w:color w:val="000000"/>
                <w:sz w:val="14"/>
                <w:szCs w:val="14"/>
                <w:shd w:val="clear" w:color="auto" w:fill="FFFFFF"/>
                <w:lang w:val="it-IT"/>
              </w:rPr>
              <w:t xml:space="preserve"> Giorgia Spigno</w:t>
            </w:r>
          </w:p>
          <w:p w14:paraId="1B0F1814" w14:textId="7ED5C289" w:rsidR="000A03B2" w:rsidRPr="009468A2" w:rsidRDefault="00AA7D26" w:rsidP="00AA7D26">
            <w:pPr>
              <w:tabs>
                <w:tab w:val="left" w:pos="-108"/>
              </w:tabs>
              <w:spacing w:line="140" w:lineRule="atLeast"/>
              <w:ind w:left="-107"/>
              <w:jc w:val="left"/>
            </w:pPr>
            <w:r w:rsidRPr="009468A2">
              <w:rPr>
                <w:rFonts w:ascii="Tahoma" w:hAnsi="Tahoma" w:cs="Tahoma"/>
                <w:iCs/>
                <w:color w:val="333333"/>
                <w:sz w:val="14"/>
                <w:szCs w:val="14"/>
                <w:lang w:eastAsia="it-IT"/>
              </w:rPr>
              <w:t>Copyright © 202</w:t>
            </w:r>
            <w:r w:rsidR="00C24AF1" w:rsidRPr="009468A2">
              <w:rPr>
                <w:rFonts w:ascii="Tahoma" w:hAnsi="Tahoma" w:cs="Tahoma"/>
                <w:iCs/>
                <w:color w:val="333333"/>
                <w:sz w:val="14"/>
                <w:szCs w:val="14"/>
                <w:lang w:eastAsia="it-IT"/>
              </w:rPr>
              <w:t>5</w:t>
            </w:r>
            <w:r w:rsidRPr="009468A2">
              <w:rPr>
                <w:rFonts w:ascii="Tahoma" w:hAnsi="Tahoma" w:cs="Tahoma"/>
                <w:iCs/>
                <w:color w:val="333333"/>
                <w:sz w:val="14"/>
                <w:szCs w:val="14"/>
                <w:lang w:eastAsia="it-IT"/>
              </w:rPr>
              <w:t xml:space="preserve">, AIDIC </w:t>
            </w:r>
            <w:proofErr w:type="spellStart"/>
            <w:r w:rsidRPr="009468A2">
              <w:rPr>
                <w:rFonts w:ascii="Tahoma" w:hAnsi="Tahoma" w:cs="Tahoma"/>
                <w:iCs/>
                <w:color w:val="333333"/>
                <w:sz w:val="14"/>
                <w:szCs w:val="14"/>
                <w:lang w:eastAsia="it-IT"/>
              </w:rPr>
              <w:t>Servizi</w:t>
            </w:r>
            <w:proofErr w:type="spellEnd"/>
            <w:r w:rsidRPr="009468A2">
              <w:rPr>
                <w:rFonts w:ascii="Tahoma" w:hAnsi="Tahoma" w:cs="Tahoma"/>
                <w:iCs/>
                <w:color w:val="333333"/>
                <w:sz w:val="14"/>
                <w:szCs w:val="14"/>
                <w:lang w:eastAsia="it-IT"/>
              </w:rPr>
              <w:t xml:space="preserve"> </w:t>
            </w:r>
            <w:proofErr w:type="spellStart"/>
            <w:r w:rsidRPr="009468A2">
              <w:rPr>
                <w:rFonts w:ascii="Tahoma" w:hAnsi="Tahoma" w:cs="Tahoma"/>
                <w:iCs/>
                <w:color w:val="333333"/>
                <w:sz w:val="14"/>
                <w:szCs w:val="14"/>
                <w:lang w:eastAsia="it-IT"/>
              </w:rPr>
              <w:t>S.r.l</w:t>
            </w:r>
            <w:proofErr w:type="spellEnd"/>
            <w:r w:rsidRPr="009468A2">
              <w:rPr>
                <w:rFonts w:ascii="Tahoma" w:hAnsi="Tahoma" w:cs="Tahoma"/>
                <w:iCs/>
                <w:color w:val="333333"/>
                <w:sz w:val="14"/>
                <w:szCs w:val="14"/>
                <w:lang w:eastAsia="it-IT"/>
              </w:rPr>
              <w:t>.</w:t>
            </w:r>
            <w:r w:rsidRPr="009468A2">
              <w:rPr>
                <w:rFonts w:ascii="Tahoma" w:hAnsi="Tahoma" w:cs="Tahoma"/>
                <w:iCs/>
                <w:color w:val="333333"/>
                <w:sz w:val="14"/>
                <w:szCs w:val="14"/>
                <w:lang w:eastAsia="it-IT"/>
              </w:rPr>
              <w:br/>
            </w:r>
            <w:r w:rsidRPr="009468A2">
              <w:rPr>
                <w:rFonts w:ascii="Tahoma" w:hAnsi="Tahoma" w:cs="Tahoma"/>
                <w:b/>
                <w:iCs/>
                <w:color w:val="000000"/>
                <w:sz w:val="14"/>
                <w:szCs w:val="14"/>
                <w:lang w:eastAsia="it-IT"/>
              </w:rPr>
              <w:t>ISBN</w:t>
            </w:r>
            <w:r w:rsidRPr="009468A2">
              <w:rPr>
                <w:rFonts w:ascii="Tahoma" w:hAnsi="Tahoma" w:cs="Tahoma"/>
                <w:iCs/>
                <w:color w:val="000000"/>
                <w:sz w:val="14"/>
                <w:szCs w:val="14"/>
                <w:lang w:eastAsia="it-IT"/>
              </w:rPr>
              <w:t xml:space="preserve"> </w:t>
            </w:r>
            <w:r w:rsidR="00D2582C" w:rsidRPr="009468A2">
              <w:rPr>
                <w:rFonts w:ascii="Tahoma" w:hAnsi="Tahoma" w:cs="Tahoma"/>
                <w:sz w:val="14"/>
                <w:szCs w:val="14"/>
              </w:rPr>
              <w:t>979-12-81206-</w:t>
            </w:r>
            <w:r w:rsidR="003312AE" w:rsidRPr="009468A2">
              <w:rPr>
                <w:rFonts w:ascii="Tahoma" w:hAnsi="Tahoma" w:cs="Tahoma"/>
                <w:sz w:val="14"/>
                <w:szCs w:val="14"/>
              </w:rPr>
              <w:t>19</w:t>
            </w:r>
            <w:r w:rsidR="00D2582C" w:rsidRPr="009468A2">
              <w:rPr>
                <w:rFonts w:ascii="Tahoma" w:hAnsi="Tahoma" w:cs="Tahoma"/>
                <w:sz w:val="14"/>
                <w:szCs w:val="14"/>
              </w:rPr>
              <w:t>-</w:t>
            </w:r>
            <w:r w:rsidR="003312AE" w:rsidRPr="009468A2">
              <w:rPr>
                <w:rFonts w:ascii="Tahoma" w:hAnsi="Tahoma" w:cs="Tahoma"/>
                <w:sz w:val="14"/>
                <w:szCs w:val="14"/>
              </w:rPr>
              <w:t>9</w:t>
            </w:r>
            <w:r w:rsidRPr="009468A2">
              <w:rPr>
                <w:rFonts w:ascii="Tahoma" w:hAnsi="Tahoma" w:cs="Tahoma"/>
                <w:iCs/>
                <w:color w:val="333333"/>
                <w:sz w:val="14"/>
                <w:szCs w:val="14"/>
                <w:lang w:eastAsia="it-IT"/>
              </w:rPr>
              <w:t xml:space="preserve">; </w:t>
            </w:r>
            <w:r w:rsidRPr="009468A2">
              <w:rPr>
                <w:rFonts w:ascii="Tahoma" w:hAnsi="Tahoma" w:cs="Tahoma"/>
                <w:b/>
                <w:iCs/>
                <w:color w:val="333333"/>
                <w:sz w:val="14"/>
                <w:szCs w:val="14"/>
                <w:lang w:eastAsia="it-IT"/>
              </w:rPr>
              <w:t>ISSN</w:t>
            </w:r>
            <w:r w:rsidRPr="009468A2">
              <w:rPr>
                <w:rFonts w:ascii="Tahoma" w:hAnsi="Tahoma" w:cs="Tahoma"/>
                <w:iCs/>
                <w:color w:val="333333"/>
                <w:sz w:val="14"/>
                <w:szCs w:val="14"/>
                <w:lang w:eastAsia="it-IT"/>
              </w:rPr>
              <w:t xml:space="preserve"> 2283-9216</w:t>
            </w:r>
          </w:p>
        </w:tc>
      </w:tr>
    </w:tbl>
    <w:p w14:paraId="2E667253" w14:textId="3D04E1BD" w:rsidR="00E978D0" w:rsidRPr="009468A2" w:rsidRDefault="00BB72E4" w:rsidP="00E978D0">
      <w:pPr>
        <w:pStyle w:val="CETTitle"/>
      </w:pPr>
      <w:r w:rsidRPr="009468A2">
        <w:t xml:space="preserve">Techno-functional Properties </w:t>
      </w:r>
      <w:r w:rsidR="00147ADD" w:rsidRPr="009468A2">
        <w:t>o</w:t>
      </w:r>
      <w:r w:rsidRPr="009468A2">
        <w:t>f Fava Bean (</w:t>
      </w:r>
      <w:r w:rsidRPr="009468A2">
        <w:rPr>
          <w:i/>
        </w:rPr>
        <w:t>Vicia faba</w:t>
      </w:r>
      <w:r w:rsidRPr="009468A2">
        <w:t xml:space="preserve"> L.) Pod Flour </w:t>
      </w:r>
      <w:r w:rsidR="00147ADD" w:rsidRPr="009468A2">
        <w:t>a</w:t>
      </w:r>
      <w:r w:rsidRPr="009468A2">
        <w:t xml:space="preserve">s a Function </w:t>
      </w:r>
      <w:r w:rsidR="00147ADD" w:rsidRPr="009468A2">
        <w:t>o</w:t>
      </w:r>
      <w:r w:rsidRPr="009468A2">
        <w:t xml:space="preserve">f </w:t>
      </w:r>
      <w:r w:rsidR="00147ADD" w:rsidRPr="009468A2">
        <w:t>t</w:t>
      </w:r>
      <w:r w:rsidRPr="009468A2">
        <w:t>he Drying Process</w:t>
      </w:r>
    </w:p>
    <w:p w14:paraId="0488FED2" w14:textId="0B7D308D" w:rsidR="00B57E6F" w:rsidRPr="009468A2" w:rsidRDefault="00BB72E4" w:rsidP="00B57E6F">
      <w:pPr>
        <w:pStyle w:val="CETAuthors"/>
        <w:rPr>
          <w:lang w:val="es-ES"/>
        </w:rPr>
      </w:pPr>
      <w:r w:rsidRPr="009468A2">
        <w:rPr>
          <w:lang w:val="es-ES"/>
        </w:rPr>
        <w:t>María del Mar Camacho</w:t>
      </w:r>
      <w:r w:rsidR="00B57E6F" w:rsidRPr="009468A2">
        <w:rPr>
          <w:lang w:val="es-ES"/>
        </w:rPr>
        <w:t xml:space="preserve">, </w:t>
      </w:r>
      <w:r w:rsidRPr="009468A2">
        <w:rPr>
          <w:lang w:val="es-ES"/>
        </w:rPr>
        <w:t>Erika T. Cortés-Macías, Eva García-Martínez, Nuria Martíanez-Navarrete</w:t>
      </w:r>
      <w:r w:rsidR="00147ADD" w:rsidRPr="009468A2">
        <w:rPr>
          <w:lang w:val="es-ES"/>
        </w:rPr>
        <w:t>*</w:t>
      </w:r>
    </w:p>
    <w:p w14:paraId="6B2D21B3" w14:textId="59F33E01" w:rsidR="00B57E6F" w:rsidRPr="009468A2" w:rsidRDefault="00BB72E4" w:rsidP="00B57E6F">
      <w:pPr>
        <w:pStyle w:val="CETAddress"/>
      </w:pPr>
      <w:r w:rsidRPr="009468A2">
        <w:t>Food Investigation and Innovation Group, Food Technology Department, Universitat Politècnica de València, Camino de Vera s/n, 46022 Valencia, Spain</w:t>
      </w:r>
      <w:r w:rsidR="00B57E6F" w:rsidRPr="009468A2">
        <w:t xml:space="preserve"> </w:t>
      </w:r>
    </w:p>
    <w:p w14:paraId="325C1225" w14:textId="20E16E56" w:rsidR="00681460" w:rsidRPr="009468A2" w:rsidRDefault="00681460" w:rsidP="00681460">
      <w:pPr>
        <w:pStyle w:val="CETemail"/>
      </w:pPr>
      <w:r w:rsidRPr="009468A2">
        <w:t>corresponding.</w:t>
      </w:r>
      <w:r w:rsidR="00BB72E4" w:rsidRPr="009468A2">
        <w:t>nmartin</w:t>
      </w:r>
      <w:r w:rsidRPr="009468A2">
        <w:t>@</w:t>
      </w:r>
      <w:r w:rsidR="00BB72E4" w:rsidRPr="009468A2">
        <w:t>tal.upv.es</w:t>
      </w:r>
    </w:p>
    <w:p w14:paraId="6DA7C7E7" w14:textId="1AFA07FC" w:rsidR="005E6B92" w:rsidRPr="005E6B92" w:rsidRDefault="003E6B88" w:rsidP="005E6B92">
      <w:pPr>
        <w:pStyle w:val="CETBodytext"/>
      </w:pPr>
      <w:r w:rsidRPr="009468A2">
        <w:rPr>
          <w:lang w:val="en-GB"/>
        </w:rPr>
        <w:t xml:space="preserve">The by-product of fava bean processing, mainly the pods, accounts for more than 70% by weight of the vegetable, with the consequent problem from an economic and environmental point of view. </w:t>
      </w:r>
      <w:r w:rsidR="00C766E3" w:rsidRPr="009468A2">
        <w:rPr>
          <w:lang w:val="en-GB"/>
        </w:rPr>
        <w:t>Thinking of its richness in nutritional and bioactive compounds, proposing an integrated zero-waste process for the recovery of fava bean pods as a powdered food ingredient would contribute to a healthy, intelligent and sustainable diet.</w:t>
      </w:r>
      <w:r w:rsidR="00B71B37" w:rsidRPr="009468A2">
        <w:rPr>
          <w:lang w:val="en-GB"/>
        </w:rPr>
        <w:t xml:space="preserve"> </w:t>
      </w:r>
      <w:r w:rsidR="00C766E3" w:rsidRPr="009468A2">
        <w:rPr>
          <w:lang w:val="en-GB"/>
        </w:rPr>
        <w:t>F</w:t>
      </w:r>
      <w:r w:rsidRPr="009468A2">
        <w:rPr>
          <w:lang w:val="en-GB"/>
        </w:rPr>
        <w:t>reeze-drying (FD) can be proposed as the most appropriate reference method when dehydrating raw materials of plant origin, with thermolabile and oxidation-sensitive compounds</w:t>
      </w:r>
      <w:r w:rsidR="00C766E3" w:rsidRPr="009468A2">
        <w:rPr>
          <w:lang w:val="en-GB"/>
        </w:rPr>
        <w:t xml:space="preserve">. </w:t>
      </w:r>
      <w:r w:rsidR="005B32B4" w:rsidRPr="005B32B4">
        <w:rPr>
          <w:lang w:val="en-GB"/>
        </w:rPr>
        <w:t>However, if the major bioactive compound is not vitamin C, but phenols, e.g., as is the case in fava bean pods, this benefit may not be as evident</w:t>
      </w:r>
      <w:r w:rsidRPr="009468A2">
        <w:rPr>
          <w:lang w:val="en-GB"/>
        </w:rPr>
        <w:t xml:space="preserve">. Hot air drying (AD) is one of the most common methods of food preservation and significantly cheaper than FD. In any case, </w:t>
      </w:r>
      <w:r w:rsidR="00C766E3" w:rsidRPr="009468A2">
        <w:rPr>
          <w:lang w:val="en-GB"/>
        </w:rPr>
        <w:t>techno-functional properties of the powder should also be considered. A</w:t>
      </w:r>
      <w:r w:rsidRPr="009468A2">
        <w:rPr>
          <w:lang w:val="en-GB"/>
        </w:rPr>
        <w:t xml:space="preserve">s such a powdered product, </w:t>
      </w:r>
      <w:r w:rsidR="00BC1FF6" w:rsidRPr="009468A2">
        <w:rPr>
          <w:lang w:val="en-GB"/>
        </w:rPr>
        <w:t>it</w:t>
      </w:r>
      <w:r w:rsidRPr="009468A2">
        <w:rPr>
          <w:lang w:val="en-GB"/>
        </w:rPr>
        <w:t xml:space="preserve"> must respond to adequate flowability. </w:t>
      </w:r>
      <w:r w:rsidR="00C766E3" w:rsidRPr="009468A2">
        <w:rPr>
          <w:lang w:val="en-GB"/>
        </w:rPr>
        <w:t>I</w:t>
      </w:r>
      <w:r w:rsidRPr="009468A2">
        <w:rPr>
          <w:lang w:val="en-GB"/>
        </w:rPr>
        <w:t xml:space="preserve">n addition, its use as a food ingredient must allow for an adequate capacity for interaction with water and oil. </w:t>
      </w:r>
      <w:r w:rsidR="005B7D15" w:rsidRPr="009468A2">
        <w:rPr>
          <w:lang w:val="en-GB"/>
        </w:rPr>
        <w:t>This study</w:t>
      </w:r>
      <w:r w:rsidRPr="009468A2">
        <w:rPr>
          <w:lang w:val="en-GB"/>
        </w:rPr>
        <w:t xml:space="preserve"> compare</w:t>
      </w:r>
      <w:r w:rsidR="005B7D15" w:rsidRPr="009468A2">
        <w:rPr>
          <w:lang w:val="en-GB"/>
        </w:rPr>
        <w:t>s</w:t>
      </w:r>
      <w:r w:rsidRPr="009468A2">
        <w:rPr>
          <w:lang w:val="en-GB"/>
        </w:rPr>
        <w:t xml:space="preserve"> different techno-functional properties of the powder obtained by applying both drying processes, at 45°C, 50°C </w:t>
      </w:r>
      <w:r w:rsidR="00772042">
        <w:rPr>
          <w:lang w:val="en-GB"/>
        </w:rPr>
        <w:t>and</w:t>
      </w:r>
      <w:r w:rsidRPr="009468A2">
        <w:rPr>
          <w:lang w:val="en-GB"/>
        </w:rPr>
        <w:t xml:space="preserve"> 55°C</w:t>
      </w:r>
      <w:r w:rsidR="00D657BF" w:rsidRPr="009468A2">
        <w:rPr>
          <w:lang w:val="en-GB"/>
        </w:rPr>
        <w:t xml:space="preserve">. </w:t>
      </w:r>
      <w:r w:rsidR="005E6B92">
        <w:t>T</w:t>
      </w:r>
      <w:r w:rsidR="005E6B92" w:rsidRPr="005E6B92">
        <w:t>he drying temperature had practically no effect on most of the properties analyzed.</w:t>
      </w:r>
      <w:r w:rsidR="005E6B92">
        <w:t xml:space="preserve"> </w:t>
      </w:r>
      <w:r w:rsidR="00D657BF" w:rsidRPr="009468A2">
        <w:rPr>
          <w:lang w:val="en-GB"/>
        </w:rPr>
        <w:t>AD allowed to obtain a product with a larger particle size and lower interparticle porosity than FD, which led to a slightly lower hygroscopicity</w:t>
      </w:r>
      <w:r w:rsidR="003554CE" w:rsidRPr="009468A2">
        <w:rPr>
          <w:lang w:val="en-GB"/>
        </w:rPr>
        <w:t>,</w:t>
      </w:r>
      <w:r w:rsidR="00D657BF" w:rsidRPr="009468A2">
        <w:rPr>
          <w:lang w:val="en-GB"/>
        </w:rPr>
        <w:t xml:space="preserve"> better flowability</w:t>
      </w:r>
      <w:r w:rsidR="00B82678">
        <w:rPr>
          <w:lang w:val="en-GB"/>
        </w:rPr>
        <w:t xml:space="preserve"> and</w:t>
      </w:r>
      <w:r w:rsidR="00D657BF" w:rsidRPr="009468A2">
        <w:rPr>
          <w:lang w:val="en-GB"/>
        </w:rPr>
        <w:t xml:space="preserve"> wettability</w:t>
      </w:r>
      <w:r w:rsidR="00ED2B6E" w:rsidRPr="009468A2">
        <w:rPr>
          <w:lang w:val="en-GB"/>
        </w:rPr>
        <w:t xml:space="preserve">, </w:t>
      </w:r>
      <w:r w:rsidR="00ED2B6E" w:rsidRPr="00B82678">
        <w:t xml:space="preserve">and </w:t>
      </w:r>
      <w:r w:rsidR="00B82678" w:rsidRPr="00B82678">
        <w:t xml:space="preserve">also </w:t>
      </w:r>
      <w:r w:rsidR="00ED2B6E" w:rsidRPr="00B82678">
        <w:t>higher emulsifying activity and emulsion stability</w:t>
      </w:r>
      <w:r w:rsidR="00B82678">
        <w:t xml:space="preserve">, despite a </w:t>
      </w:r>
      <w:r w:rsidR="00B82678" w:rsidRPr="00B82678">
        <w:t>lower oil retention capacity</w:t>
      </w:r>
      <w:r w:rsidR="00ED2B6E" w:rsidRPr="009468A2">
        <w:t>.</w:t>
      </w:r>
      <w:r w:rsidR="00D657BF" w:rsidRPr="009468A2">
        <w:rPr>
          <w:lang w:val="en-GB"/>
        </w:rPr>
        <w:t xml:space="preserve"> </w:t>
      </w:r>
      <w:bookmarkStart w:id="0" w:name="_Hlk495475023"/>
      <w:r w:rsidR="005E6B92" w:rsidRPr="005E6B92">
        <w:rPr>
          <w:lang w:val="en-GB"/>
        </w:rPr>
        <w:t xml:space="preserve">These results allow </w:t>
      </w:r>
      <w:r w:rsidR="005E6B92">
        <w:rPr>
          <w:lang w:val="en-GB"/>
        </w:rPr>
        <w:t xml:space="preserve">us to recommend, among the studied methods, AD at 55ºC as the quickest process to obtain a fava bean POD flour with adequate </w:t>
      </w:r>
      <w:proofErr w:type="spellStart"/>
      <w:r w:rsidR="005E6B92">
        <w:rPr>
          <w:lang w:val="en-GB"/>
        </w:rPr>
        <w:t>technofunctional</w:t>
      </w:r>
      <w:proofErr w:type="spellEnd"/>
      <w:r w:rsidR="005E6B92" w:rsidRPr="005E6B92">
        <w:rPr>
          <w:lang w:val="en-GB"/>
        </w:rPr>
        <w:t xml:space="preserve"> properties.</w:t>
      </w:r>
    </w:p>
    <w:bookmarkEnd w:id="0"/>
    <w:p w14:paraId="476B2F2E" w14:textId="77777777" w:rsidR="00600535" w:rsidRPr="009468A2" w:rsidRDefault="00600535" w:rsidP="00600535">
      <w:pPr>
        <w:pStyle w:val="CETHeading1"/>
        <w:rPr>
          <w:lang w:val="en-GB"/>
        </w:rPr>
      </w:pPr>
      <w:r w:rsidRPr="009468A2">
        <w:rPr>
          <w:lang w:val="en-GB"/>
        </w:rPr>
        <w:t>Introduction</w:t>
      </w:r>
    </w:p>
    <w:p w14:paraId="162FD59C" w14:textId="360ABF8E" w:rsidR="00D75917" w:rsidRPr="009468A2" w:rsidRDefault="00AF4115" w:rsidP="00D75917">
      <w:pPr>
        <w:pStyle w:val="CETBodytext"/>
      </w:pPr>
      <w:r w:rsidRPr="009468A2">
        <w:t>The economic and social progress of the last century, accompanied by its negative environmental impact, points to a necessary change in the way food is produced and consumed, not only to contribute to improving human health, but also to increasing productivity and sustainability. In this sense, the challenge posed to today's society to have natural foods and ingredients that are attractive to different population groups, easy and convenient to handle and consume, of high quality, safe, healthy and environmentally friendly, becomes a fundamental challenge for food technologists and engineers, who have to innovate in the design of food processes to respond to this demand.</w:t>
      </w:r>
      <w:r w:rsidR="00D75917" w:rsidRPr="009468A2">
        <w:t xml:space="preserve"> </w:t>
      </w:r>
      <w:r w:rsidRPr="009468A2">
        <w:t>With this approach, it is necessary to contribute to the proposal of processing lines that minimize the generation of by-products.</w:t>
      </w:r>
      <w:r w:rsidR="00D75917" w:rsidRPr="009468A2">
        <w:t xml:space="preserve"> </w:t>
      </w:r>
      <w:r w:rsidRPr="009468A2">
        <w:t>The industries dedicated to the processing of vegetable foodstuffs are among those that generate the greatest amount of them, in many cases exceeding 50% of the raw material.</w:t>
      </w:r>
      <w:r w:rsidR="00AE3475" w:rsidRPr="009468A2">
        <w:t xml:space="preserve"> </w:t>
      </w:r>
      <w:r w:rsidRPr="009468A2">
        <w:t>Considering that this biomass is rich in nutrients and other bioactive compounds, which are of great interest for their health benefits (Helkar et al., 2016), its valorization for human food is a challenging field of study that aims to ensure environmental protection, foster economic development and, at the same time, contribute to a sustainable and healthy diet</w:t>
      </w:r>
      <w:r w:rsidR="00D75917" w:rsidRPr="009468A2">
        <w:t>.</w:t>
      </w:r>
    </w:p>
    <w:p w14:paraId="5874C037" w14:textId="02D9A9F5" w:rsidR="0031480A" w:rsidRPr="009468A2" w:rsidRDefault="00AF4115" w:rsidP="0031480A">
      <w:pPr>
        <w:pStyle w:val="CETBodytext"/>
      </w:pPr>
      <w:r w:rsidRPr="009468A2">
        <w:t xml:space="preserve">The </w:t>
      </w:r>
      <w:proofErr w:type="gramStart"/>
      <w:r w:rsidRPr="009468A2">
        <w:t>high water</w:t>
      </w:r>
      <w:proofErr w:type="gramEnd"/>
      <w:r w:rsidRPr="009468A2">
        <w:t xml:space="preserve"> content of by-products of plant origin makes them highly unstable. One way to extend its shelf life is by drying, which would make it possible to offer a powdered food ingredient with the advantages of stability, handling and logistics that this format entails. Freeze-drying is proposed as the process that allows obtaining better quality products, especially when processing raw materials with thermolabile and oxidation-sensitive </w:t>
      </w:r>
      <w:r w:rsidRPr="009468A2">
        <w:lastRenderedPageBreak/>
        <w:t xml:space="preserve">compounds such as those of vegetable origin. </w:t>
      </w:r>
      <w:r w:rsidRPr="009468A2">
        <w:rPr>
          <w:lang w:val="en-GB"/>
        </w:rPr>
        <w:t xml:space="preserve">However, it is a long and energy-intensive process. </w:t>
      </w:r>
      <w:r w:rsidR="005C6E09" w:rsidRPr="009468A2">
        <w:t>On the other hand, air drying is one of the most common and significantly cheaper methods of food preservation</w:t>
      </w:r>
      <w:r w:rsidR="00F90937" w:rsidRPr="009468A2">
        <w:t>, which, moreover, can even be applied in any household</w:t>
      </w:r>
      <w:r w:rsidR="005C6E09" w:rsidRPr="009468A2">
        <w:t xml:space="preserve">. However, the temperatures reached by the products, often over a long period of time, can be responsible for significant quality losses related to changes in </w:t>
      </w:r>
      <w:r w:rsidR="008A5A37" w:rsidRPr="009468A2">
        <w:t>color</w:t>
      </w:r>
      <w:r w:rsidR="005C6E09" w:rsidRPr="009468A2">
        <w:t xml:space="preserve">, aroma, </w:t>
      </w:r>
      <w:r w:rsidR="008A5A37" w:rsidRPr="009468A2">
        <w:t>flavor</w:t>
      </w:r>
      <w:r w:rsidR="005C6E09" w:rsidRPr="009468A2">
        <w:t>, nutritional value and potentially functional value.</w:t>
      </w:r>
      <w:r w:rsidR="0031480A" w:rsidRPr="009468A2">
        <w:t xml:space="preserve"> </w:t>
      </w:r>
      <w:r w:rsidR="005C6E09" w:rsidRPr="009468A2">
        <w:t>In any case, the techno-functional properties of the powdered ingredients obtained are no less important, both those related to the interaction of the particles with air, which are essential during handling, and with water or oil, as the most frequent means of re</w:t>
      </w:r>
      <w:r w:rsidR="00575032" w:rsidRPr="009468A2">
        <w:t>constitution</w:t>
      </w:r>
      <w:r w:rsidR="005C6E09" w:rsidRPr="009468A2">
        <w:t xml:space="preserve"> prior to consumption.</w:t>
      </w:r>
    </w:p>
    <w:p w14:paraId="33D1B7AA" w14:textId="73167242" w:rsidR="00D75917" w:rsidRPr="009468A2" w:rsidRDefault="0038476D" w:rsidP="00D75917">
      <w:pPr>
        <w:pStyle w:val="CETBodytext"/>
      </w:pPr>
      <w:r w:rsidRPr="009468A2">
        <w:t>Worldwide bean production generates around 70% by-product after processing into seed for human consumption</w:t>
      </w:r>
      <w:r w:rsidR="00AE3475" w:rsidRPr="009468A2">
        <w:t xml:space="preserve"> (Valente et al</w:t>
      </w:r>
      <w:r w:rsidR="00575032" w:rsidRPr="009468A2">
        <w:t>.</w:t>
      </w:r>
      <w:r w:rsidR="00AE3475" w:rsidRPr="009468A2">
        <w:t>, 2018)</w:t>
      </w:r>
      <w:r w:rsidR="00D75917" w:rsidRPr="009468A2">
        <w:t xml:space="preserve">. </w:t>
      </w:r>
      <w:r w:rsidR="00575032" w:rsidRPr="009468A2">
        <w:t>Fava b</w:t>
      </w:r>
      <w:r w:rsidRPr="009468A2">
        <w:t xml:space="preserve">ean pod is an excellent source of </w:t>
      </w:r>
      <w:r w:rsidR="008A5A37" w:rsidRPr="009468A2">
        <w:t>fiber</w:t>
      </w:r>
      <w:r w:rsidRPr="009468A2">
        <w:t xml:space="preserve">, protein, minerals and essential amino acids, and also contains polyunsaturated fatty acids and phenolic compounds, which confer anti-inflammatory, antimicrobial and antioxidant properties </w:t>
      </w:r>
      <w:r w:rsidR="00D75917" w:rsidRPr="009468A2">
        <w:t xml:space="preserve">(Mejri et al., 2018). </w:t>
      </w:r>
      <w:r w:rsidRPr="009468A2">
        <w:t>However, unlike other agricultural by-products, the potential of broad bean pods to be consumed as food is underexploited</w:t>
      </w:r>
      <w:r w:rsidR="00D75917" w:rsidRPr="009468A2">
        <w:t>.</w:t>
      </w:r>
      <w:r w:rsidR="0031480A" w:rsidRPr="009468A2">
        <w:t xml:space="preserve"> </w:t>
      </w:r>
      <w:r w:rsidRPr="009468A2">
        <w:t xml:space="preserve">This study compares bean pod flour obtained by </w:t>
      </w:r>
      <w:r w:rsidR="00772042" w:rsidRPr="00406ED5">
        <w:t>freeze-drying (</w:t>
      </w:r>
      <w:r w:rsidRPr="00406ED5">
        <w:t>FD</w:t>
      </w:r>
      <w:r w:rsidR="00772042" w:rsidRPr="00406ED5">
        <w:t>)</w:t>
      </w:r>
      <w:r w:rsidRPr="00406ED5">
        <w:t xml:space="preserve"> and </w:t>
      </w:r>
      <w:r w:rsidR="00772042" w:rsidRPr="00406ED5">
        <w:t>air drying (</w:t>
      </w:r>
      <w:r w:rsidRPr="00406ED5">
        <w:t>AD</w:t>
      </w:r>
      <w:r w:rsidR="00772042" w:rsidRPr="00406ED5">
        <w:t>)</w:t>
      </w:r>
      <w:r w:rsidRPr="00406ED5">
        <w:t>,</w:t>
      </w:r>
      <w:r w:rsidRPr="009468A2">
        <w:t xml:space="preserve"> applied at different temperatures, in order to recommend the drying process that offers the best </w:t>
      </w:r>
      <w:r w:rsidR="00F90937" w:rsidRPr="009468A2">
        <w:t>price-quality ratio</w:t>
      </w:r>
      <w:r w:rsidRPr="009468A2">
        <w:t xml:space="preserve">. </w:t>
      </w:r>
      <w:r w:rsidR="00FF7E6A" w:rsidRPr="009468A2">
        <w:t xml:space="preserve">In addition, the incorporation of gum Arabic (GA) as a biopolymer is also envisaged to help delay the caking phenomena of the powder and its physical stability. To ensure the success of the ingredient obtained from the bean pod, it seems appropriate to know some properties of interest from a technological point of view, including its flowability, or ability to remain as a loose powder without agglomeration, allowing easy handling, and its ability to mix with water or oil, which are the components with the highest presence in foods to which the proposed powdered ingredient </w:t>
      </w:r>
      <w:r w:rsidR="004B20CB" w:rsidRPr="009468A2">
        <w:t>could</w:t>
      </w:r>
      <w:r w:rsidR="00FF7E6A" w:rsidRPr="009468A2">
        <w:t xml:space="preserve"> be added.</w:t>
      </w:r>
    </w:p>
    <w:p w14:paraId="5741900F" w14:textId="093433F5" w:rsidR="00453E24" w:rsidRPr="009468A2" w:rsidRDefault="00B574E4" w:rsidP="00453E24">
      <w:pPr>
        <w:pStyle w:val="CETHeading1"/>
      </w:pPr>
      <w:r w:rsidRPr="009468A2">
        <w:t>Material and methods</w:t>
      </w:r>
    </w:p>
    <w:p w14:paraId="0636B784" w14:textId="18F98274" w:rsidR="00453E24" w:rsidRPr="009468A2" w:rsidRDefault="00EB4C65" w:rsidP="00453E24">
      <w:pPr>
        <w:pStyle w:val="CETheadingx"/>
      </w:pPr>
      <w:r w:rsidRPr="009468A2">
        <w:t>Obtaining the flour from bean pods</w:t>
      </w:r>
    </w:p>
    <w:p w14:paraId="7C2B0064" w14:textId="736F457E" w:rsidR="00453E24" w:rsidRPr="009468A2" w:rsidRDefault="00C25B69" w:rsidP="00453E24">
      <w:pPr>
        <w:pStyle w:val="CETBodytext"/>
      </w:pPr>
      <w:r w:rsidRPr="009468A2">
        <w:t xml:space="preserve">The raw material used was washed and blanched fava bean pods, provided by </w:t>
      </w:r>
      <w:r w:rsidR="00B574E4" w:rsidRPr="009468A2">
        <w:t>Sol</w:t>
      </w:r>
      <w:r w:rsidR="008A5A37" w:rsidRPr="009468A2">
        <w:t xml:space="preserve"> y Tierra Campo de Cartagena</w:t>
      </w:r>
      <w:r w:rsidR="00B574E4" w:rsidRPr="009468A2">
        <w:t xml:space="preserve">, SL (Torre Pacheco, Murcia, Spain), </w:t>
      </w:r>
      <w:r w:rsidR="00FF181E" w:rsidRPr="009468A2">
        <w:t xml:space="preserve">crushed </w:t>
      </w:r>
      <w:r w:rsidR="004C271A" w:rsidRPr="009468A2">
        <w:t xml:space="preserve">in an emulsifier (Robot Coupe </w:t>
      </w:r>
      <w:proofErr w:type="spellStart"/>
      <w:r w:rsidR="004C271A" w:rsidRPr="009468A2">
        <w:t>Blixer</w:t>
      </w:r>
      <w:proofErr w:type="spellEnd"/>
      <w:r w:rsidR="004C271A" w:rsidRPr="009468A2">
        <w:t xml:space="preserve"> 2, Vincennes, France) </w:t>
      </w:r>
      <w:r w:rsidRPr="009468A2">
        <w:t xml:space="preserve">and formulated with </w:t>
      </w:r>
      <w:r w:rsidR="00F610A4" w:rsidRPr="009468A2">
        <w:t>0.</w:t>
      </w:r>
      <w:r w:rsidRPr="009468A2">
        <w:t xml:space="preserve">225 g </w:t>
      </w:r>
      <w:r w:rsidR="00B95F88" w:rsidRPr="009468A2">
        <w:t>GA</w:t>
      </w:r>
      <w:r w:rsidRPr="009468A2">
        <w:t>/</w:t>
      </w:r>
      <w:r w:rsidR="00772042" w:rsidRPr="00772042">
        <w:t xml:space="preserve"> </w:t>
      </w:r>
      <w:r w:rsidR="00772042" w:rsidRPr="009468A2">
        <w:t>g</w:t>
      </w:r>
      <w:r w:rsidR="00772042" w:rsidRPr="00772042">
        <w:t xml:space="preserve"> </w:t>
      </w:r>
      <w:r w:rsidRPr="009468A2">
        <w:t>fava bean purée</w:t>
      </w:r>
      <w:r w:rsidR="00B574E4" w:rsidRPr="009468A2">
        <w:t xml:space="preserve"> </w:t>
      </w:r>
      <w:r w:rsidR="002534E1" w:rsidRPr="00C8513A">
        <w:t xml:space="preserve">(dry basis, </w:t>
      </w:r>
      <w:proofErr w:type="spellStart"/>
      <w:r w:rsidR="002534E1" w:rsidRPr="00C8513A">
        <w:t>db</w:t>
      </w:r>
      <w:proofErr w:type="spellEnd"/>
      <w:r w:rsidR="002534E1" w:rsidRPr="00C8513A">
        <w:t>)</w:t>
      </w:r>
      <w:r w:rsidR="002534E1">
        <w:t xml:space="preserve"> </w:t>
      </w:r>
      <w:r w:rsidR="00B574E4" w:rsidRPr="009468A2">
        <w:t>(</w:t>
      </w:r>
      <w:proofErr w:type="spellStart"/>
      <w:r w:rsidR="00B574E4" w:rsidRPr="009468A2">
        <w:t>Scharlab</w:t>
      </w:r>
      <w:proofErr w:type="spellEnd"/>
      <w:r w:rsidR="00B574E4" w:rsidRPr="009468A2">
        <w:t xml:space="preserve">, Valencia, Spain). </w:t>
      </w:r>
      <w:r w:rsidRPr="009468A2">
        <w:t>The mixtures obtained were dehydrated and milled to obtain the different flours. Dehydration was carried out by AD</w:t>
      </w:r>
      <w:r w:rsidR="00B95F88" w:rsidRPr="009468A2">
        <w:t xml:space="preserve"> (GRAEF DA506, Barcelona, </w:t>
      </w:r>
      <w:r w:rsidR="00FF181E" w:rsidRPr="009468A2">
        <w:t>Spain</w:t>
      </w:r>
      <w:r w:rsidR="00B95F88" w:rsidRPr="009468A2">
        <w:t xml:space="preserve">) </w:t>
      </w:r>
      <w:r w:rsidRPr="009468A2">
        <w:t>and by</w:t>
      </w:r>
      <w:r w:rsidR="00B95F88" w:rsidRPr="009468A2">
        <w:t xml:space="preserve"> FD (Telstar Lyoquest-55 L, Terrasa, </w:t>
      </w:r>
      <w:r w:rsidR="00FF181E" w:rsidRPr="009468A2">
        <w:t>Spain</w:t>
      </w:r>
      <w:r w:rsidR="002534E1">
        <w:t>)</w:t>
      </w:r>
      <w:r w:rsidR="00B95F88" w:rsidRPr="009468A2">
        <w:t xml:space="preserve">, </w:t>
      </w:r>
      <w:r w:rsidRPr="009468A2">
        <w:t>fitted to</w:t>
      </w:r>
      <w:r w:rsidR="00B95F88" w:rsidRPr="009468A2">
        <w:t xml:space="preserve"> 5 Pa </w:t>
      </w:r>
      <w:r w:rsidRPr="009468A2">
        <w:t>and</w:t>
      </w:r>
      <w:r w:rsidR="00B95F88" w:rsidRPr="009468A2">
        <w:t xml:space="preserve"> -</w:t>
      </w:r>
      <w:r w:rsidR="00FF181E" w:rsidRPr="009468A2">
        <w:t>55 °C condenser temperature</w:t>
      </w:r>
      <w:r w:rsidR="00B95F88" w:rsidRPr="009468A2">
        <w:t>)</w:t>
      </w:r>
      <w:r w:rsidR="00B574E4" w:rsidRPr="009468A2">
        <w:t xml:space="preserve">. </w:t>
      </w:r>
      <w:r w:rsidR="00FF181E" w:rsidRPr="009468A2">
        <w:t xml:space="preserve">The formulated puree was arranged in 0.5 cm thick aluminum trays and dehydrated at three temperatures in each case </w:t>
      </w:r>
      <w:r w:rsidR="00B574E4" w:rsidRPr="009468A2">
        <w:t xml:space="preserve">(45, 50 </w:t>
      </w:r>
      <w:r w:rsidR="00A2085E">
        <w:t>and</w:t>
      </w:r>
      <w:r w:rsidR="00B574E4" w:rsidRPr="009468A2">
        <w:t xml:space="preserve"> 55 ºC), </w:t>
      </w:r>
      <w:r w:rsidR="00FF181E" w:rsidRPr="009468A2">
        <w:t xml:space="preserve">until a </w:t>
      </w:r>
      <w:r w:rsidR="004B20CB" w:rsidRPr="009468A2">
        <w:t>water</w:t>
      </w:r>
      <w:r w:rsidR="00FF181E" w:rsidRPr="009468A2">
        <w:t xml:space="preserve"> content of less than 5 % was achieved, which is characteristic of other pulse flours. </w:t>
      </w:r>
      <w:r w:rsidR="00B95F88" w:rsidRPr="009468A2">
        <w:t>Prior to drying by FD, the s</w:t>
      </w:r>
      <w:r w:rsidR="00FF181E" w:rsidRPr="009468A2">
        <w:t>a</w:t>
      </w:r>
      <w:r w:rsidR="00B95F88" w:rsidRPr="009468A2">
        <w:t xml:space="preserve">mples were frozen at </w:t>
      </w:r>
      <w:r w:rsidR="00B574E4" w:rsidRPr="009468A2">
        <w:t xml:space="preserve">-45 ºC </w:t>
      </w:r>
      <w:r w:rsidR="00B95F88" w:rsidRPr="009468A2">
        <w:t>for</w:t>
      </w:r>
      <w:r w:rsidR="00B574E4" w:rsidRPr="009468A2">
        <w:t xml:space="preserve"> 48 h</w:t>
      </w:r>
      <w:r w:rsidR="00FF181E" w:rsidRPr="009468A2">
        <w:t xml:space="preserve">. Grinding of the dehydrated samples was carried out at 15000 rpm for 30 seconds with the aid of an </w:t>
      </w:r>
      <w:proofErr w:type="spellStart"/>
      <w:r w:rsidR="00FF181E" w:rsidRPr="009468A2">
        <w:t>ultracentrifugal</w:t>
      </w:r>
      <w:proofErr w:type="spellEnd"/>
      <w:r w:rsidR="00FF181E" w:rsidRPr="009468A2">
        <w:t xml:space="preserve"> mill </w:t>
      </w:r>
      <w:r w:rsidR="00B574E4" w:rsidRPr="009468A2">
        <w:t>(</w:t>
      </w:r>
      <w:proofErr w:type="spellStart"/>
      <w:r w:rsidR="00B574E4" w:rsidRPr="009468A2">
        <w:t>Retsch</w:t>
      </w:r>
      <w:proofErr w:type="spellEnd"/>
      <w:r w:rsidR="00B574E4" w:rsidRPr="009468A2">
        <w:t xml:space="preserve"> GmbH ZM 300, Haan, </w:t>
      </w:r>
      <w:r w:rsidR="00FF181E" w:rsidRPr="009468A2">
        <w:t>Germany</w:t>
      </w:r>
      <w:r w:rsidR="00B574E4" w:rsidRPr="009468A2">
        <w:t xml:space="preserve">), </w:t>
      </w:r>
      <w:r w:rsidR="00FF181E" w:rsidRPr="009468A2">
        <w:t xml:space="preserve">using an annular sieve of </w:t>
      </w:r>
      <w:r w:rsidR="00B574E4" w:rsidRPr="009468A2">
        <w:t>80 µm (</w:t>
      </w:r>
      <w:proofErr w:type="spellStart"/>
      <w:r w:rsidR="00B574E4" w:rsidRPr="009468A2">
        <w:t>Retsch</w:t>
      </w:r>
      <w:proofErr w:type="spellEnd"/>
      <w:r w:rsidR="00B574E4" w:rsidRPr="009468A2">
        <w:t xml:space="preserve"> GmbH, Haan, </w:t>
      </w:r>
      <w:r w:rsidR="00FF181E" w:rsidRPr="009468A2">
        <w:t>Germany</w:t>
      </w:r>
      <w:r w:rsidR="00B574E4" w:rsidRPr="009468A2">
        <w:t xml:space="preserve">). </w:t>
      </w:r>
      <w:r w:rsidR="00FF181E" w:rsidRPr="009468A2">
        <w:t xml:space="preserve">The obtained </w:t>
      </w:r>
      <w:r w:rsidR="009468A2" w:rsidRPr="009468A2">
        <w:t xml:space="preserve">flours </w:t>
      </w:r>
      <w:r w:rsidR="00FF181E" w:rsidRPr="009468A2">
        <w:t>w</w:t>
      </w:r>
      <w:r w:rsidR="009468A2" w:rsidRPr="009468A2">
        <w:t>ere</w:t>
      </w:r>
      <w:r w:rsidR="00FF181E" w:rsidRPr="009468A2">
        <w:t xml:space="preserve"> stored under refrigeration in zip bags until analysis.</w:t>
      </w:r>
    </w:p>
    <w:p w14:paraId="18BAFA6F" w14:textId="715E71A9" w:rsidR="00453E24" w:rsidRPr="009468A2" w:rsidRDefault="00A346DC" w:rsidP="00453E24">
      <w:pPr>
        <w:pStyle w:val="CETheadingx"/>
      </w:pPr>
      <w:r w:rsidRPr="009468A2">
        <w:t>Analytical determinations of powdered bean pods</w:t>
      </w:r>
    </w:p>
    <w:p w14:paraId="096E7F56" w14:textId="2C64DE6C" w:rsidR="00B574E4" w:rsidRPr="009468A2" w:rsidRDefault="00A346DC" w:rsidP="00B574E4">
      <w:pPr>
        <w:pStyle w:val="CETBodytext"/>
        <w:rPr>
          <w:lang w:val="en-GB"/>
        </w:rPr>
      </w:pPr>
      <w:r w:rsidRPr="009468A2">
        <w:t xml:space="preserve">The 6 </w:t>
      </w:r>
      <w:r w:rsidR="004B20CB" w:rsidRPr="009468A2">
        <w:t xml:space="preserve">fava </w:t>
      </w:r>
      <w:r w:rsidRPr="009468A2">
        <w:t xml:space="preserve">bean flour samples obtained were </w:t>
      </w:r>
      <w:r w:rsidR="008A5A37" w:rsidRPr="009468A2">
        <w:t>characterized</w:t>
      </w:r>
      <w:r w:rsidRPr="009468A2">
        <w:t xml:space="preserve"> in terms of their particle size distribution and </w:t>
      </w:r>
      <w:r w:rsidR="008A5A37" w:rsidRPr="009468A2">
        <w:t>analyzed</w:t>
      </w:r>
      <w:r w:rsidRPr="009468A2">
        <w:t xml:space="preserve"> for different techno-functional properties related to their flowability and their ability to interact with water and oil. </w:t>
      </w:r>
      <w:r w:rsidRPr="009468A2">
        <w:rPr>
          <w:lang w:val="en-GB"/>
        </w:rPr>
        <w:t>All determinations were carried out in triplicate.</w:t>
      </w:r>
      <w:r w:rsidR="00912FEF">
        <w:rPr>
          <w:lang w:val="en-GB"/>
        </w:rPr>
        <w:t xml:space="preserve"> </w:t>
      </w:r>
    </w:p>
    <w:p w14:paraId="247C01D4" w14:textId="041C74E0" w:rsidR="00B574E4" w:rsidRPr="009468A2" w:rsidRDefault="00A346DC" w:rsidP="00B574E4">
      <w:pPr>
        <w:pStyle w:val="CETBodytext"/>
      </w:pPr>
      <w:r w:rsidRPr="009468A2">
        <w:t xml:space="preserve">The particle size distribution was carried out by sieving, using sieves of 50 mm diameter and 90, 63, 53, 45, 38, 32 and 25 </w:t>
      </w:r>
      <w:r w:rsidRPr="009468A2">
        <w:rPr>
          <w:lang w:val="es-ES"/>
        </w:rPr>
        <w:t>μ</w:t>
      </w:r>
      <w:r w:rsidRPr="009468A2">
        <w:t xml:space="preserve">m mesh size, with their corresponding lid and bottom </w:t>
      </w:r>
      <w:r w:rsidR="00B574E4" w:rsidRPr="009468A2">
        <w:t xml:space="preserve">(CISA </w:t>
      </w:r>
      <w:proofErr w:type="spellStart"/>
      <w:r w:rsidR="00B574E4" w:rsidRPr="009468A2">
        <w:t>Cedacería</w:t>
      </w:r>
      <w:proofErr w:type="spellEnd"/>
      <w:r w:rsidR="00B574E4" w:rsidRPr="009468A2">
        <w:t xml:space="preserve"> Industrial, </w:t>
      </w:r>
      <w:proofErr w:type="spellStart"/>
      <w:r w:rsidR="00B574E4" w:rsidRPr="009468A2">
        <w:t>Lliça</w:t>
      </w:r>
      <w:proofErr w:type="spellEnd"/>
      <w:r w:rsidR="00B574E4" w:rsidRPr="009468A2">
        <w:t xml:space="preserve"> de Vall, Barcelona, Spain)</w:t>
      </w:r>
      <w:r w:rsidR="00934614" w:rsidRPr="009468A2">
        <w:t xml:space="preserve">, </w:t>
      </w:r>
      <w:r w:rsidRPr="009468A2">
        <w:t xml:space="preserve">with the help of a vibrating drum </w:t>
      </w:r>
      <w:r w:rsidR="00B574E4" w:rsidRPr="009468A2">
        <w:t xml:space="preserve">(AMPO.40 CISA, </w:t>
      </w:r>
      <w:proofErr w:type="spellStart"/>
      <w:r w:rsidR="00B574E4" w:rsidRPr="009468A2">
        <w:t>Cedacería</w:t>
      </w:r>
      <w:proofErr w:type="spellEnd"/>
      <w:r w:rsidR="00B574E4" w:rsidRPr="009468A2">
        <w:t xml:space="preserve"> Industrial S.L, </w:t>
      </w:r>
      <w:proofErr w:type="spellStart"/>
      <w:r w:rsidR="00B574E4" w:rsidRPr="009468A2">
        <w:t>Lliça</w:t>
      </w:r>
      <w:proofErr w:type="spellEnd"/>
      <w:r w:rsidR="00B574E4" w:rsidRPr="009468A2">
        <w:t xml:space="preserve"> de Vall, Barcelona, España)</w:t>
      </w:r>
      <w:r w:rsidR="00934614" w:rsidRPr="009468A2">
        <w:t xml:space="preserve">. </w:t>
      </w:r>
      <w:r w:rsidRPr="009468A2">
        <w:t xml:space="preserve">20 g of each flour was sieved at 50 Hz and 2.5 mm amplitude for 5 min and the amount of sample retained on each sieve was recorded. Relative frequency (%) and mean particle size (MPS) were calculated by applying </w:t>
      </w:r>
      <w:proofErr w:type="gramStart"/>
      <w:r w:rsidRPr="009468A2">
        <w:t>Eq(</w:t>
      </w:r>
      <w:proofErr w:type="gramEnd"/>
      <w:r w:rsidRPr="009468A2">
        <w:t xml:space="preserve">1) and </w:t>
      </w:r>
      <w:proofErr w:type="gramStart"/>
      <w:r w:rsidRPr="009468A2">
        <w:t>Eq(</w:t>
      </w:r>
      <w:proofErr w:type="gramEnd"/>
      <w:r w:rsidRPr="009468A2">
        <w:t>2), respectively</w:t>
      </w:r>
      <w:r w:rsidR="00AC7583" w:rsidRPr="009468A2">
        <w:t xml:space="preserve">. In addition, the mode and median were characterized, these </w:t>
      </w:r>
      <w:r w:rsidR="00227A31" w:rsidRPr="009468A2">
        <w:t xml:space="preserve">being </w:t>
      </w:r>
      <w:r w:rsidR="00AC7583" w:rsidRPr="009468A2">
        <w:t>the parameters related to the size that accumulates more particles and the one that leaves 50% of particles above and below it, respectively.</w:t>
      </w:r>
    </w:p>
    <w:p w14:paraId="7248CF0F" w14:textId="77777777" w:rsidR="00AC7583" w:rsidRPr="009468A2" w:rsidRDefault="00AC7583" w:rsidP="00B574E4">
      <w:pPr>
        <w:pStyle w:val="CETBodytext"/>
      </w:pPr>
    </w:p>
    <w:tbl>
      <w:tblPr>
        <w:tblW w:w="5000" w:type="pct"/>
        <w:tblLook w:val="04A0" w:firstRow="1" w:lastRow="0" w:firstColumn="1" w:lastColumn="0" w:noHBand="0" w:noVBand="1"/>
      </w:tblPr>
      <w:tblGrid>
        <w:gridCol w:w="7986"/>
        <w:gridCol w:w="801"/>
      </w:tblGrid>
      <w:tr w:rsidR="00A31E76" w:rsidRPr="009468A2" w14:paraId="09DBD386" w14:textId="77777777" w:rsidTr="00A31E76">
        <w:tc>
          <w:tcPr>
            <w:tcW w:w="7986" w:type="dxa"/>
            <w:shd w:val="clear" w:color="auto" w:fill="auto"/>
            <w:vAlign w:val="center"/>
          </w:tcPr>
          <w:p w14:paraId="15185270" w14:textId="24A6E852" w:rsidR="00A31E76" w:rsidRPr="009468A2" w:rsidRDefault="00A31E76" w:rsidP="008502E9">
            <w:pPr>
              <w:pStyle w:val="CETEquation"/>
              <w:rPr>
                <w:rFonts w:cs="Arial"/>
              </w:rPr>
            </w:pPr>
            <m:oMathPara>
              <m:oMathParaPr>
                <m:jc m:val="left"/>
              </m:oMathParaPr>
              <m:oMath>
                <m:r>
                  <w:rPr>
                    <w:rFonts w:ascii="Cambria Math" w:hAnsi="Cambria Math" w:cs="Arial"/>
                    <w:noProof/>
                    <w:lang w:val="it-IT" w:eastAsia="it-IT"/>
                  </w:rPr>
                  <m:t xml:space="preserve">Relative frecuency </m:t>
                </m:r>
                <m:d>
                  <m:dPr>
                    <m:ctrlPr>
                      <w:rPr>
                        <w:rFonts w:ascii="Cambria Math" w:hAnsi="Cambria Math" w:cs="Arial"/>
                        <w:i/>
                        <w:noProof/>
                        <w:lang w:val="it-IT" w:eastAsia="it-IT"/>
                      </w:rPr>
                    </m:ctrlPr>
                  </m:dPr>
                  <m:e>
                    <m:r>
                      <w:rPr>
                        <w:rFonts w:ascii="Cambria Math" w:hAnsi="Cambria Math" w:cs="Arial"/>
                        <w:noProof/>
                        <w:lang w:val="it-IT" w:eastAsia="it-IT"/>
                      </w:rPr>
                      <m:t>%</m:t>
                    </m:r>
                  </m:e>
                </m:d>
                <m:r>
                  <w:rPr>
                    <w:rFonts w:ascii="Cambria Math" w:hAnsi="Cambria Math" w:cs="Arial"/>
                    <w:noProof/>
                    <w:lang w:val="it-IT" w:eastAsia="it-IT"/>
                  </w:rPr>
                  <m:t>=</m:t>
                </m:r>
                <m:f>
                  <m:fPr>
                    <m:ctrlPr>
                      <w:rPr>
                        <w:rFonts w:ascii="Cambria Math" w:hAnsi="Cambria Math" w:cs="Arial"/>
                        <w:i/>
                        <w:noProof/>
                        <w:lang w:val="it-IT" w:eastAsia="it-IT"/>
                      </w:rPr>
                    </m:ctrlPr>
                  </m:fPr>
                  <m:num>
                    <m:sSub>
                      <m:sSubPr>
                        <m:ctrlPr>
                          <w:rPr>
                            <w:rFonts w:ascii="Cambria Math" w:hAnsi="Cambria Math" w:cs="Arial"/>
                            <w:i/>
                            <w:noProof/>
                            <w:lang w:val="it-IT" w:eastAsia="it-IT"/>
                          </w:rPr>
                        </m:ctrlPr>
                      </m:sSubPr>
                      <m:e>
                        <m:r>
                          <w:rPr>
                            <w:rFonts w:ascii="Cambria Math" w:hAnsi="Cambria Math" w:cs="Arial"/>
                            <w:noProof/>
                            <w:lang w:val="it-IT" w:eastAsia="it-IT"/>
                          </w:rPr>
                          <m:t>m</m:t>
                        </m:r>
                      </m:e>
                      <m:sub>
                        <m:r>
                          <w:rPr>
                            <w:rFonts w:ascii="Cambria Math" w:hAnsi="Cambria Math" w:cs="Arial"/>
                            <w:noProof/>
                            <w:lang w:val="it-IT" w:eastAsia="it-IT"/>
                          </w:rPr>
                          <m:t>s</m:t>
                        </m:r>
                      </m:sub>
                    </m:sSub>
                  </m:num>
                  <m:den>
                    <m:r>
                      <w:rPr>
                        <w:rFonts w:ascii="Cambria Math" w:hAnsi="Cambria Math" w:cs="Arial"/>
                        <w:noProof/>
                        <w:lang w:val="it-IT" w:eastAsia="it-IT"/>
                      </w:rPr>
                      <m:t>m</m:t>
                    </m:r>
                  </m:den>
                </m:f>
                <m:r>
                  <w:rPr>
                    <w:rFonts w:ascii="Cambria Math" w:hAnsi="Cambria Math" w:cs="Arial"/>
                    <w:noProof/>
                    <w:lang w:val="it-IT" w:eastAsia="it-IT"/>
                  </w:rPr>
                  <m:t>∙100</m:t>
                </m:r>
              </m:oMath>
            </m:oMathPara>
          </w:p>
        </w:tc>
        <w:tc>
          <w:tcPr>
            <w:tcW w:w="801" w:type="dxa"/>
            <w:shd w:val="clear" w:color="auto" w:fill="auto"/>
            <w:vAlign w:val="center"/>
          </w:tcPr>
          <w:p w14:paraId="611F53B9" w14:textId="77777777" w:rsidR="00A31E76" w:rsidRPr="009468A2" w:rsidRDefault="00A31E76" w:rsidP="008502E9">
            <w:pPr>
              <w:pStyle w:val="CETEquation"/>
              <w:jc w:val="right"/>
            </w:pPr>
            <w:r w:rsidRPr="009468A2">
              <w:t>(1)</w:t>
            </w:r>
          </w:p>
        </w:tc>
      </w:tr>
    </w:tbl>
    <w:p w14:paraId="4F309030" w14:textId="2DFA6EF2" w:rsidR="00A31E76" w:rsidRPr="009468A2" w:rsidRDefault="00A31E76" w:rsidP="00B574E4">
      <w:pPr>
        <w:pStyle w:val="CETBodytext"/>
        <w:rPr>
          <w:color w:val="000000" w:themeColor="text1"/>
          <w:shd w:val="clear" w:color="auto" w:fill="FFFFFF"/>
        </w:rPr>
      </w:pPr>
    </w:p>
    <w:tbl>
      <w:tblPr>
        <w:tblW w:w="5000" w:type="pct"/>
        <w:tblLook w:val="04A0" w:firstRow="1" w:lastRow="0" w:firstColumn="1" w:lastColumn="0" w:noHBand="0" w:noVBand="1"/>
      </w:tblPr>
      <w:tblGrid>
        <w:gridCol w:w="7986"/>
        <w:gridCol w:w="801"/>
      </w:tblGrid>
      <w:tr w:rsidR="00FF03EC" w:rsidRPr="009468A2" w14:paraId="10E8F2B9" w14:textId="77777777" w:rsidTr="00FF03EC">
        <w:tc>
          <w:tcPr>
            <w:tcW w:w="7986" w:type="dxa"/>
            <w:shd w:val="clear" w:color="auto" w:fill="auto"/>
            <w:vAlign w:val="center"/>
          </w:tcPr>
          <w:p w14:paraId="51686FDA" w14:textId="38174487" w:rsidR="00FF03EC" w:rsidRPr="009468A2" w:rsidRDefault="00FF03EC" w:rsidP="00FF03EC">
            <w:pPr>
              <w:pStyle w:val="CETBodytext"/>
              <w:rPr>
                <w:rFonts w:ascii="Cambria Math" w:hAnsi="Cambria Math" w:cs="Arial"/>
                <w:color w:val="000000" w:themeColor="text1"/>
                <w:szCs w:val="22"/>
                <w:shd w:val="clear" w:color="auto" w:fill="FFFFFF"/>
                <w:oMath/>
              </w:rPr>
            </w:pPr>
            <m:oMathPara>
              <m:oMathParaPr>
                <m:jc m:val="left"/>
              </m:oMathParaPr>
              <m:oMath>
                <m:r>
                  <w:rPr>
                    <w:rFonts w:ascii="Cambria Math" w:hAnsi="Cambria Math" w:cs="Arial"/>
                    <w:color w:val="000000" w:themeColor="text1"/>
                    <w:szCs w:val="22"/>
                    <w:shd w:val="clear" w:color="auto" w:fill="FFFFFF"/>
                  </w:rPr>
                  <m:t xml:space="preserve">MPS </m:t>
                </m:r>
                <m:d>
                  <m:dPr>
                    <m:ctrlPr>
                      <w:rPr>
                        <w:rFonts w:ascii="Cambria Math" w:hAnsi="Cambria Math" w:cs="Arial"/>
                        <w:color w:val="000000" w:themeColor="text1"/>
                        <w:szCs w:val="22"/>
                        <w:shd w:val="clear" w:color="auto" w:fill="FFFFFF"/>
                      </w:rPr>
                    </m:ctrlPr>
                  </m:dPr>
                  <m:e>
                    <m:r>
                      <w:rPr>
                        <w:rFonts w:ascii="Cambria Math" w:hAnsi="Cambria Math" w:cs="Arial"/>
                        <w:color w:val="000000" w:themeColor="text1"/>
                        <w:szCs w:val="22"/>
                        <w:shd w:val="clear" w:color="auto" w:fill="FFFFFF"/>
                      </w:rPr>
                      <m:t>µm</m:t>
                    </m:r>
                  </m:e>
                </m:d>
                <m:r>
                  <w:rPr>
                    <w:rFonts w:ascii="Cambria Math" w:hAnsi="Cambria Math" w:cs="Arial"/>
                    <w:color w:val="000000" w:themeColor="text1"/>
                    <w:szCs w:val="22"/>
                    <w:shd w:val="clear" w:color="auto" w:fill="FFFFFF"/>
                  </w:rPr>
                  <m:t>=</m:t>
                </m:r>
                <m:f>
                  <m:fPr>
                    <m:ctrlPr>
                      <w:rPr>
                        <w:rFonts w:ascii="Cambria Math" w:hAnsi="Cambria Math" w:cs="Arial"/>
                        <w:color w:val="000000" w:themeColor="text1"/>
                        <w:szCs w:val="22"/>
                        <w:shd w:val="clear" w:color="auto" w:fill="FFFFFF"/>
                      </w:rPr>
                    </m:ctrlPr>
                  </m:fPr>
                  <m:num>
                    <m:r>
                      <w:rPr>
                        <w:rFonts w:ascii="Cambria Math" w:hAnsi="Cambria Math" w:cs="Arial"/>
                        <w:color w:val="000000" w:themeColor="text1"/>
                        <w:szCs w:val="22"/>
                        <w:shd w:val="clear" w:color="auto" w:fill="FFFFFF"/>
                      </w:rPr>
                      <m:t>Σs</m:t>
                    </m:r>
                    <m:d>
                      <m:dPr>
                        <m:ctrlPr>
                          <w:rPr>
                            <w:rFonts w:ascii="Cambria Math" w:hAnsi="Cambria Math" w:cs="Arial"/>
                            <w:color w:val="000000" w:themeColor="text1"/>
                            <w:szCs w:val="22"/>
                            <w:shd w:val="clear" w:color="auto" w:fill="FFFFFF"/>
                          </w:rPr>
                        </m:ctrlPr>
                      </m:dPr>
                      <m:e>
                        <m:sSub>
                          <m:sSubPr>
                            <m:ctrlPr>
                              <w:rPr>
                                <w:rFonts w:ascii="Cambria Math" w:hAnsi="Cambria Math" w:cs="Arial"/>
                                <w:color w:val="000000" w:themeColor="text1"/>
                                <w:szCs w:val="22"/>
                                <w:shd w:val="clear" w:color="auto" w:fill="FFFFFF"/>
                              </w:rPr>
                            </m:ctrlPr>
                          </m:sSubPr>
                          <m:e>
                            <m:r>
                              <w:rPr>
                                <w:rFonts w:ascii="Cambria Math" w:hAnsi="Cambria Math" w:cs="Arial"/>
                                <w:color w:val="000000" w:themeColor="text1"/>
                                <w:szCs w:val="22"/>
                                <w:shd w:val="clear" w:color="auto" w:fill="FFFFFF"/>
                              </w:rPr>
                              <m:t>M</m:t>
                            </m:r>
                          </m:e>
                          <m:sub>
                            <m:r>
                              <w:rPr>
                                <w:rFonts w:ascii="Cambria Math" w:hAnsi="Cambria Math" w:cs="Arial"/>
                                <w:color w:val="000000" w:themeColor="text1"/>
                                <w:szCs w:val="22"/>
                                <w:shd w:val="clear" w:color="auto" w:fill="FFFFFF"/>
                              </w:rPr>
                              <m:t>s</m:t>
                            </m:r>
                          </m:sub>
                        </m:sSub>
                        <m:r>
                          <w:rPr>
                            <w:rFonts w:ascii="Cambria Math" w:hAnsi="Cambria Math" w:cs="Arial"/>
                            <w:color w:val="000000" w:themeColor="text1"/>
                            <w:szCs w:val="22"/>
                            <w:shd w:val="clear" w:color="auto" w:fill="FFFFFF"/>
                          </w:rPr>
                          <m:t>∙</m:t>
                        </m:r>
                        <m:sSub>
                          <m:sSubPr>
                            <m:ctrlPr>
                              <w:rPr>
                                <w:rFonts w:ascii="Cambria Math" w:hAnsi="Cambria Math" w:cs="Arial"/>
                                <w:color w:val="000000" w:themeColor="text1"/>
                                <w:szCs w:val="22"/>
                                <w:shd w:val="clear" w:color="auto" w:fill="FFFFFF"/>
                              </w:rPr>
                            </m:ctrlPr>
                          </m:sSubPr>
                          <m:e>
                            <m:r>
                              <w:rPr>
                                <w:rFonts w:ascii="Cambria Math" w:hAnsi="Cambria Math" w:cs="Arial"/>
                                <w:color w:val="000000" w:themeColor="text1"/>
                                <w:szCs w:val="22"/>
                                <w:shd w:val="clear" w:color="auto" w:fill="FFFFFF"/>
                              </w:rPr>
                              <m:t>m</m:t>
                            </m:r>
                          </m:e>
                          <m:sub>
                            <m:r>
                              <w:rPr>
                                <w:rFonts w:ascii="Cambria Math" w:hAnsi="Cambria Math" w:cs="Arial"/>
                                <w:color w:val="000000" w:themeColor="text1"/>
                                <w:szCs w:val="22"/>
                                <w:shd w:val="clear" w:color="auto" w:fill="FFFFFF"/>
                              </w:rPr>
                              <m:t>s</m:t>
                            </m:r>
                          </m:sub>
                        </m:sSub>
                      </m:e>
                    </m:d>
                  </m:num>
                  <m:den>
                    <m:r>
                      <w:rPr>
                        <w:rFonts w:ascii="Cambria Math" w:hAnsi="Cambria Math" w:cs="Arial"/>
                        <w:color w:val="000000" w:themeColor="text1"/>
                        <w:szCs w:val="22"/>
                        <w:shd w:val="clear" w:color="auto" w:fill="FFFFFF"/>
                      </w:rPr>
                      <m:t>m</m:t>
                    </m:r>
                  </m:den>
                </m:f>
              </m:oMath>
            </m:oMathPara>
          </w:p>
        </w:tc>
        <w:tc>
          <w:tcPr>
            <w:tcW w:w="801" w:type="dxa"/>
            <w:shd w:val="clear" w:color="auto" w:fill="auto"/>
            <w:vAlign w:val="center"/>
          </w:tcPr>
          <w:p w14:paraId="2E97CEE5" w14:textId="48F8430A" w:rsidR="00FF03EC" w:rsidRPr="009468A2" w:rsidRDefault="00FF03EC" w:rsidP="008502E9">
            <w:pPr>
              <w:pStyle w:val="CETEquation"/>
              <w:jc w:val="right"/>
            </w:pPr>
            <w:r w:rsidRPr="009468A2">
              <w:t>(2)</w:t>
            </w:r>
          </w:p>
        </w:tc>
      </w:tr>
    </w:tbl>
    <w:p w14:paraId="674B5BC9" w14:textId="77777777" w:rsidR="00FF03EC" w:rsidRPr="009468A2" w:rsidRDefault="00FF03EC" w:rsidP="00B574E4">
      <w:pPr>
        <w:pStyle w:val="CETBodytext"/>
        <w:rPr>
          <w:color w:val="000000" w:themeColor="text1"/>
          <w:shd w:val="clear" w:color="auto" w:fill="FFFFFF"/>
        </w:rPr>
      </w:pPr>
    </w:p>
    <w:p w14:paraId="4A6BA5E9" w14:textId="67732F6A" w:rsidR="00FF03EC" w:rsidRPr="009468A2" w:rsidRDefault="00FF03EC" w:rsidP="00B574E4">
      <w:pPr>
        <w:pStyle w:val="CETBodytext"/>
      </w:pPr>
      <w:r w:rsidRPr="009468A2">
        <w:t xml:space="preserve">Where </w:t>
      </w:r>
      <w:proofErr w:type="spellStart"/>
      <w:r w:rsidRPr="009468A2">
        <w:t>m</w:t>
      </w:r>
      <w:r w:rsidRPr="009468A2">
        <w:rPr>
          <w:vertAlign w:val="subscript"/>
        </w:rPr>
        <w:t>s</w:t>
      </w:r>
      <w:proofErr w:type="spellEnd"/>
      <w:r w:rsidRPr="009468A2">
        <w:t xml:space="preserve"> is the mass of sample retained on each sieve (g), m is the total sieved sample mass (g), </w:t>
      </w:r>
      <w:proofErr w:type="spellStart"/>
      <w:r w:rsidRPr="009468A2">
        <w:t>M</w:t>
      </w:r>
      <w:r w:rsidRPr="009468A2">
        <w:rPr>
          <w:vertAlign w:val="subscript"/>
        </w:rPr>
        <w:t>s</w:t>
      </w:r>
      <w:proofErr w:type="spellEnd"/>
      <w:r w:rsidRPr="009468A2">
        <w:t xml:space="preserve"> is the mean of the mesh size of the sieve on which the sample is retained and the previous one (µm)</w:t>
      </w:r>
      <w:r w:rsidR="004B20CB" w:rsidRPr="009468A2">
        <w:t>,</w:t>
      </w:r>
      <w:r w:rsidRPr="009468A2">
        <w:t xml:space="preserve"> and MPS is the mean particle size (µm).</w:t>
      </w:r>
    </w:p>
    <w:p w14:paraId="399D1BD6" w14:textId="376D0066" w:rsidR="00C32AAB" w:rsidRPr="009468A2" w:rsidRDefault="006C3D4E" w:rsidP="00B574E4">
      <w:pPr>
        <w:pStyle w:val="CETBodytext"/>
      </w:pPr>
      <w:r w:rsidRPr="009468A2">
        <w:lastRenderedPageBreak/>
        <w:t xml:space="preserve">To evaluate the flowability of the flours, the methodology described by </w:t>
      </w:r>
      <w:r w:rsidR="00B574E4" w:rsidRPr="009468A2">
        <w:t>Uscanga et al.</w:t>
      </w:r>
      <w:r w:rsidR="00934614" w:rsidRPr="009468A2">
        <w:t xml:space="preserve"> (</w:t>
      </w:r>
      <w:r w:rsidR="00B574E4" w:rsidRPr="009468A2">
        <w:t>2020</w:t>
      </w:r>
      <w:r w:rsidR="00934614" w:rsidRPr="009468A2">
        <w:t>)</w:t>
      </w:r>
      <w:r w:rsidR="00B574E4" w:rsidRPr="009468A2">
        <w:t xml:space="preserve"> </w:t>
      </w:r>
      <w:r w:rsidRPr="009468A2">
        <w:t xml:space="preserve">was used to </w:t>
      </w:r>
      <w:r w:rsidR="00AC7583" w:rsidRPr="009468A2">
        <w:t>analyze</w:t>
      </w:r>
      <w:r w:rsidRPr="009468A2">
        <w:t xml:space="preserve"> the angle of repose </w:t>
      </w:r>
      <w:r w:rsidR="00B574E4" w:rsidRPr="009468A2">
        <w:t>(</w:t>
      </w:r>
      <w:r w:rsidR="00B574E4" w:rsidRPr="009468A2">
        <w:rPr>
          <w:rFonts w:ascii="Symbol" w:hAnsi="Symbol"/>
          <w:lang w:val="en-GB"/>
        </w:rPr>
        <w:t></w:t>
      </w:r>
      <w:r w:rsidR="00B574E4" w:rsidRPr="009468A2">
        <w:t>)</w:t>
      </w:r>
      <w:r w:rsidR="00AC7583" w:rsidRPr="009468A2">
        <w:t>,</w:t>
      </w:r>
      <w:r w:rsidRPr="009468A2">
        <w:t xml:space="preserve"> the apparent porosities of the poured </w:t>
      </w:r>
      <w:r w:rsidR="00B574E4" w:rsidRPr="009468A2">
        <w:t>(</w:t>
      </w:r>
      <w:r w:rsidR="00B574E4" w:rsidRPr="009468A2">
        <w:rPr>
          <w:rFonts w:ascii="Symbol" w:hAnsi="Symbol"/>
          <w:lang w:val="en-GB"/>
        </w:rPr>
        <w:t></w:t>
      </w:r>
      <w:r w:rsidR="00AC7583" w:rsidRPr="009468A2">
        <w:rPr>
          <w:vertAlign w:val="subscript"/>
        </w:rPr>
        <w:t>p</w:t>
      </w:r>
      <w:r w:rsidR="00B574E4" w:rsidRPr="009468A2">
        <w:t xml:space="preserve">) </w:t>
      </w:r>
      <w:r w:rsidRPr="009468A2">
        <w:t>and</w:t>
      </w:r>
      <w:r w:rsidR="00B574E4" w:rsidRPr="009468A2">
        <w:t xml:space="preserve"> </w:t>
      </w:r>
      <w:r w:rsidRPr="009468A2">
        <w:t>tapped</w:t>
      </w:r>
      <w:r w:rsidR="00B574E4" w:rsidRPr="009468A2">
        <w:t xml:space="preserve"> (</w:t>
      </w:r>
      <w:r w:rsidR="00B574E4" w:rsidRPr="009468A2">
        <w:rPr>
          <w:rFonts w:ascii="Symbol" w:hAnsi="Symbol"/>
          <w:lang w:val="en-GB"/>
        </w:rPr>
        <w:t></w:t>
      </w:r>
      <w:r w:rsidR="00AC7583" w:rsidRPr="009468A2">
        <w:rPr>
          <w:vertAlign w:val="subscript"/>
        </w:rPr>
        <w:t>t</w:t>
      </w:r>
      <w:r w:rsidR="00B574E4" w:rsidRPr="009468A2">
        <w:t>)</w:t>
      </w:r>
      <w:r w:rsidRPr="009468A2">
        <w:t xml:space="preserve"> powders</w:t>
      </w:r>
      <w:r w:rsidR="00AC7583" w:rsidRPr="009468A2">
        <w:t>, t</w:t>
      </w:r>
      <w:r w:rsidRPr="009468A2">
        <w:t xml:space="preserve">he Hausner Index (HI) and </w:t>
      </w:r>
      <w:r w:rsidR="00AC7583" w:rsidRPr="009468A2">
        <w:t xml:space="preserve">the </w:t>
      </w:r>
      <w:r w:rsidRPr="009468A2">
        <w:t>Carr Index (CI).</w:t>
      </w:r>
      <w:r w:rsidR="00B574E4" w:rsidRPr="009468A2">
        <w:t xml:space="preserve"> </w:t>
      </w:r>
      <w:r w:rsidRPr="009468A2">
        <w:t xml:space="preserve">To determine the ability of the flours to interact with water, the </w:t>
      </w:r>
      <w:r w:rsidR="00B574E4" w:rsidRPr="009468A2">
        <w:t>hygroscopicity</w:t>
      </w:r>
      <w:r w:rsidRPr="009468A2">
        <w:t xml:space="preserve">, </w:t>
      </w:r>
      <w:r w:rsidR="00B574E4" w:rsidRPr="009468A2">
        <w:t>wettability, dispersibility</w:t>
      </w:r>
      <w:r w:rsidR="00373356" w:rsidRPr="009468A2">
        <w:t xml:space="preserve">, </w:t>
      </w:r>
      <w:r w:rsidR="002A0F4F" w:rsidRPr="009468A2">
        <w:t>solubility, water</w:t>
      </w:r>
      <w:r w:rsidR="00B574E4" w:rsidRPr="009468A2">
        <w:t xml:space="preserve"> retention capacity (WRC) and foam capacity and </w:t>
      </w:r>
      <w:r w:rsidR="002A0F4F" w:rsidRPr="009468A2">
        <w:t>stability</w:t>
      </w:r>
      <w:r w:rsidR="00B574E4" w:rsidRPr="009468A2">
        <w:t xml:space="preserve"> (</w:t>
      </w:r>
      <w:r w:rsidR="00B87985" w:rsidRPr="009468A2">
        <w:t xml:space="preserve">FC and </w:t>
      </w:r>
      <w:r w:rsidR="00B574E4" w:rsidRPr="009468A2">
        <w:t>FS</w:t>
      </w:r>
      <w:r w:rsidR="00B87985" w:rsidRPr="009468A2">
        <w:t>, respectively</w:t>
      </w:r>
      <w:r w:rsidR="00B574E4" w:rsidRPr="009468A2">
        <w:t xml:space="preserve">) </w:t>
      </w:r>
      <w:r w:rsidRPr="009468A2">
        <w:t xml:space="preserve">were </w:t>
      </w:r>
      <w:r w:rsidR="002A0F4F" w:rsidRPr="009468A2">
        <w:t>analyzed</w:t>
      </w:r>
      <w:r w:rsidR="00B574E4" w:rsidRPr="009468A2">
        <w:t>.</w:t>
      </w:r>
      <w:r w:rsidR="00373356" w:rsidRPr="009468A2">
        <w:t xml:space="preserve"> </w:t>
      </w:r>
      <w:r w:rsidR="004B20CB" w:rsidRPr="009468A2">
        <w:t>For the latter, t</w:t>
      </w:r>
      <w:r w:rsidR="002A0F4F" w:rsidRPr="009468A2">
        <w:t>he methodology used in all cases was the one proposed by</w:t>
      </w:r>
      <w:r w:rsidR="00373356" w:rsidRPr="009468A2">
        <w:t xml:space="preserve"> Martínez-Navarrete et al. (2023) </w:t>
      </w:r>
      <w:r w:rsidR="002A0F4F" w:rsidRPr="009468A2">
        <w:t xml:space="preserve">except </w:t>
      </w:r>
      <w:r w:rsidR="00227A31">
        <w:t>for</w:t>
      </w:r>
      <w:r w:rsidR="002A0F4F" w:rsidRPr="009468A2">
        <w:t xml:space="preserve"> wettability </w:t>
      </w:r>
      <w:r w:rsidR="00373356" w:rsidRPr="009468A2">
        <w:t xml:space="preserve">(Standard ISO/TS 17758/IDF 087, 2014) </w:t>
      </w:r>
      <w:r w:rsidR="002A0F4F" w:rsidRPr="009468A2">
        <w:t xml:space="preserve">and hygroscopicity </w:t>
      </w:r>
      <w:r w:rsidR="00373356" w:rsidRPr="009468A2">
        <w:t>(Camacho et al., 2021)</w:t>
      </w:r>
      <w:r w:rsidR="00B87985" w:rsidRPr="009468A2">
        <w:t xml:space="preserve">. </w:t>
      </w:r>
      <w:r w:rsidR="002A0F4F" w:rsidRPr="009468A2">
        <w:t>T</w:t>
      </w:r>
      <w:r w:rsidR="00227A31">
        <w:t>o</w:t>
      </w:r>
      <w:r w:rsidR="002A0F4F" w:rsidRPr="009468A2">
        <w:t xml:space="preserve"> </w:t>
      </w:r>
      <w:r w:rsidR="00227A31">
        <w:t xml:space="preserve">determine </w:t>
      </w:r>
      <w:r w:rsidR="002A0F4F" w:rsidRPr="009468A2">
        <w:t>possible interaction between flours and oil</w:t>
      </w:r>
      <w:r w:rsidR="00227A31">
        <w:t>,</w:t>
      </w:r>
      <w:r w:rsidR="002A0F4F" w:rsidRPr="009468A2">
        <w:t xml:space="preserve"> the oil retention capacity</w:t>
      </w:r>
      <w:r w:rsidR="00623BC8" w:rsidRPr="009468A2">
        <w:t xml:space="preserve"> </w:t>
      </w:r>
      <w:r w:rsidR="00B574E4" w:rsidRPr="009468A2">
        <w:t xml:space="preserve">(ORC, </w:t>
      </w:r>
      <w:r w:rsidR="00C32AAB" w:rsidRPr="009468A2">
        <w:t>Garau et al., 2007</w:t>
      </w:r>
      <w:r w:rsidR="00B574E4" w:rsidRPr="009468A2">
        <w:t xml:space="preserve">) and </w:t>
      </w:r>
      <w:r w:rsidR="002A0F4F" w:rsidRPr="009468A2">
        <w:t xml:space="preserve">the emulsifying activity and stability (EA and EE, respectively) </w:t>
      </w:r>
      <w:r w:rsidR="00227A31">
        <w:t>were determined</w:t>
      </w:r>
      <w:r w:rsidR="002A0F4F" w:rsidRPr="009468A2">
        <w:t xml:space="preserve"> </w:t>
      </w:r>
      <w:r w:rsidR="00B574E4" w:rsidRPr="009468A2">
        <w:t>(</w:t>
      </w:r>
      <w:r w:rsidR="00C32AAB" w:rsidRPr="009468A2">
        <w:t>Martínez-Navarrete et al., 2023</w:t>
      </w:r>
      <w:r w:rsidR="00B574E4" w:rsidRPr="009468A2">
        <w:t>).</w:t>
      </w:r>
    </w:p>
    <w:p w14:paraId="0FB21D67" w14:textId="312FDCD3" w:rsidR="00C32AAB" w:rsidRPr="009468A2" w:rsidRDefault="00C32AAB" w:rsidP="00CB6302">
      <w:pPr>
        <w:pStyle w:val="CETheadingx"/>
      </w:pPr>
      <w:r w:rsidRPr="009468A2">
        <w:t xml:space="preserve">Statistical </w:t>
      </w:r>
      <w:r w:rsidR="00A8419A" w:rsidRPr="009468A2">
        <w:t>analysis</w:t>
      </w:r>
    </w:p>
    <w:p w14:paraId="2374A302" w14:textId="1B2AF75B" w:rsidR="00883906" w:rsidRPr="0060125F" w:rsidRDefault="00373356" w:rsidP="0060125F">
      <w:pPr>
        <w:pStyle w:val="CETheadingx"/>
        <w:numPr>
          <w:ilvl w:val="0"/>
          <w:numId w:val="0"/>
        </w:numPr>
        <w:jc w:val="both"/>
        <w:rPr>
          <w:b w:val="0"/>
        </w:rPr>
      </w:pPr>
      <w:r w:rsidRPr="009468A2">
        <w:rPr>
          <w:b w:val="0"/>
        </w:rPr>
        <w:t xml:space="preserve">A multifactorial ANOVA was performed with two factors, </w:t>
      </w:r>
      <w:r w:rsidR="00B87985" w:rsidRPr="009468A2">
        <w:rPr>
          <w:b w:val="0"/>
        </w:rPr>
        <w:t xml:space="preserve">the </w:t>
      </w:r>
      <w:r w:rsidRPr="009468A2">
        <w:rPr>
          <w:b w:val="0"/>
        </w:rPr>
        <w:t>drying type (</w:t>
      </w:r>
      <w:r w:rsidR="00B87985" w:rsidRPr="009468A2">
        <w:rPr>
          <w:b w:val="0"/>
        </w:rPr>
        <w:t>FD</w:t>
      </w:r>
      <w:r w:rsidRPr="009468A2">
        <w:rPr>
          <w:b w:val="0"/>
        </w:rPr>
        <w:t xml:space="preserve"> and </w:t>
      </w:r>
      <w:r w:rsidR="00B87985" w:rsidRPr="009468A2">
        <w:rPr>
          <w:b w:val="0"/>
        </w:rPr>
        <w:t>AD</w:t>
      </w:r>
      <w:r w:rsidRPr="009468A2">
        <w:rPr>
          <w:b w:val="0"/>
        </w:rPr>
        <w:t xml:space="preserve">) and </w:t>
      </w:r>
      <w:r w:rsidR="00B87985" w:rsidRPr="009468A2">
        <w:rPr>
          <w:b w:val="0"/>
        </w:rPr>
        <w:t xml:space="preserve">the </w:t>
      </w:r>
      <w:r w:rsidRPr="009468A2">
        <w:rPr>
          <w:b w:val="0"/>
        </w:rPr>
        <w:t>drying temperature (45 ºC, 50 ºC</w:t>
      </w:r>
      <w:r w:rsidR="00227A31">
        <w:rPr>
          <w:b w:val="0"/>
        </w:rPr>
        <w:t>,</w:t>
      </w:r>
      <w:r w:rsidRPr="009468A2">
        <w:rPr>
          <w:b w:val="0"/>
        </w:rPr>
        <w:t xml:space="preserve"> and 55 ºC). Differences with a p-value &lt; 0.05 were considered significant. Statistical data processing was carried out using </w:t>
      </w:r>
      <w:proofErr w:type="spellStart"/>
      <w:r w:rsidRPr="009468A2">
        <w:rPr>
          <w:b w:val="0"/>
        </w:rPr>
        <w:t>Statgraphics</w:t>
      </w:r>
      <w:proofErr w:type="spellEnd"/>
      <w:r w:rsidRPr="009468A2">
        <w:rPr>
          <w:b w:val="0"/>
        </w:rPr>
        <w:t xml:space="preserve"> Centurion XVII software under licen</w:t>
      </w:r>
      <w:r w:rsidR="00225942">
        <w:rPr>
          <w:b w:val="0"/>
        </w:rPr>
        <w:t>s</w:t>
      </w:r>
      <w:r w:rsidRPr="009468A2">
        <w:rPr>
          <w:b w:val="0"/>
        </w:rPr>
        <w:t xml:space="preserve">e from the </w:t>
      </w:r>
      <w:proofErr w:type="spellStart"/>
      <w:r w:rsidRPr="009468A2">
        <w:rPr>
          <w:b w:val="0"/>
        </w:rPr>
        <w:t>Universitat</w:t>
      </w:r>
      <w:proofErr w:type="spellEnd"/>
      <w:r w:rsidRPr="009468A2">
        <w:rPr>
          <w:b w:val="0"/>
        </w:rPr>
        <w:t xml:space="preserve"> </w:t>
      </w:r>
      <w:proofErr w:type="spellStart"/>
      <w:r w:rsidRPr="009468A2">
        <w:rPr>
          <w:b w:val="0"/>
        </w:rPr>
        <w:t>Politècnica</w:t>
      </w:r>
      <w:proofErr w:type="spellEnd"/>
      <w:r w:rsidRPr="009468A2">
        <w:rPr>
          <w:b w:val="0"/>
        </w:rPr>
        <w:t xml:space="preserve"> de València.</w:t>
      </w:r>
    </w:p>
    <w:p w14:paraId="16AC4AE1" w14:textId="1CE9C690" w:rsidR="0022176A" w:rsidRPr="009468A2" w:rsidRDefault="0022176A" w:rsidP="0022176A">
      <w:pPr>
        <w:pStyle w:val="CETHeading1"/>
        <w:rPr>
          <w:lang w:val="en-GB"/>
        </w:rPr>
      </w:pPr>
      <w:r w:rsidRPr="009468A2">
        <w:rPr>
          <w:lang w:val="en-GB"/>
        </w:rPr>
        <w:t>Results</w:t>
      </w:r>
      <w:r w:rsidR="005E00A1">
        <w:rPr>
          <w:lang w:val="en-GB"/>
        </w:rPr>
        <w:t xml:space="preserve"> and discussion</w:t>
      </w:r>
    </w:p>
    <w:p w14:paraId="2DC5C1E5" w14:textId="350EAABF" w:rsidR="0022176A" w:rsidRPr="006F4C20" w:rsidRDefault="00623BC8" w:rsidP="0022176A">
      <w:pPr>
        <w:pStyle w:val="CETBodytext"/>
      </w:pPr>
      <w:r w:rsidRPr="009468A2">
        <w:rPr>
          <w:lang w:val="en-GB"/>
        </w:rPr>
        <w:t>Figure 1 shows the particle size distribution of the six flours studied, obtained from the weight of the sample retained on each sieve with respect to the total sieved sample (relative frequency)</w:t>
      </w:r>
      <w:r w:rsidR="00227A31">
        <w:rPr>
          <w:lang w:val="en-GB"/>
        </w:rPr>
        <w:t>, and Table</w:t>
      </w:r>
      <w:r w:rsidR="00F233B0" w:rsidRPr="009468A2">
        <w:rPr>
          <w:lang w:val="en-GB"/>
        </w:rPr>
        <w:t xml:space="preserve"> 1 shows the parameters considered for the characterisation of the particle size distribution.</w:t>
      </w:r>
      <w:r w:rsidR="00772042">
        <w:rPr>
          <w:lang w:val="en-GB"/>
        </w:rPr>
        <w:t xml:space="preserve"> </w:t>
      </w:r>
      <w:r w:rsidR="006F4C20" w:rsidRPr="006F4C20">
        <w:rPr>
          <w:lang w:val="en-GB"/>
        </w:rPr>
        <w:t xml:space="preserve">As shown in Fig. 1, the </w:t>
      </w:r>
      <w:r w:rsidR="00C06DEB">
        <w:rPr>
          <w:lang w:val="en-GB"/>
        </w:rPr>
        <w:t xml:space="preserve">particle </w:t>
      </w:r>
      <w:r w:rsidR="006F4C20" w:rsidRPr="006F4C20">
        <w:rPr>
          <w:lang w:val="en-GB"/>
        </w:rPr>
        <w:t xml:space="preserve">size distribution of the LIO samples </w:t>
      </w:r>
      <w:r w:rsidR="00C06DEB">
        <w:rPr>
          <w:lang w:val="en-GB"/>
        </w:rPr>
        <w:t>was</w:t>
      </w:r>
      <w:r w:rsidR="006F4C20" w:rsidRPr="006F4C20">
        <w:rPr>
          <w:lang w:val="en-GB"/>
        </w:rPr>
        <w:t xml:space="preserve"> more homogeneous. </w:t>
      </w:r>
      <w:r w:rsidR="003D6408" w:rsidRPr="003D6408">
        <w:t>The flours obtained by SAC had more</w:t>
      </w:r>
      <w:r w:rsidR="00227A31">
        <w:t xml:space="preserve"> particles with </w:t>
      </w:r>
      <w:r w:rsidR="003D6408" w:rsidRPr="003D6408">
        <w:t xml:space="preserve">larger particle sizes and fewer </w:t>
      </w:r>
      <w:r w:rsidR="00227A31">
        <w:t xml:space="preserve">with </w:t>
      </w:r>
      <w:r w:rsidR="003D6408" w:rsidRPr="003D6408">
        <w:t xml:space="preserve">smaller </w:t>
      </w:r>
      <w:r w:rsidR="00227A31">
        <w:t>ones</w:t>
      </w:r>
      <w:r w:rsidR="003D6408" w:rsidRPr="003D6408">
        <w:t>.</w:t>
      </w:r>
    </w:p>
    <w:p w14:paraId="088A134E" w14:textId="109948B2" w:rsidR="00600535" w:rsidRPr="009468A2" w:rsidRDefault="00A1382A" w:rsidP="00A1382A">
      <w:pPr>
        <w:pStyle w:val="CETCaption"/>
        <w:spacing w:after="120"/>
      </w:pPr>
      <w:r w:rsidRPr="009468A2">
        <w:object w:dxaOrig="8798" w:dyaOrig="5292" w14:anchorId="7210B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45pt;height:132.45pt" o:ole="">
            <v:imagedata r:id="rId10" o:title=""/>
          </v:shape>
          <o:OLEObject Type="Embed" ProgID="Prism8.Document" ShapeID="_x0000_i1025" DrawAspect="Content" ObjectID="_1810022083" r:id="rId11"/>
        </w:object>
      </w:r>
      <w:r w:rsidRPr="009468A2">
        <w:object w:dxaOrig="8798" w:dyaOrig="5292" w14:anchorId="7741BDC2">
          <v:shape id="_x0000_i1026" type="#_x0000_t75" style="width:218.3pt;height:132.45pt" o:ole="">
            <v:imagedata r:id="rId12" o:title=""/>
          </v:shape>
          <o:OLEObject Type="Embed" ProgID="Prism8.Document" ShapeID="_x0000_i1026" DrawAspect="Content" ObjectID="_1810022084" r:id="rId13"/>
        </w:object>
      </w:r>
    </w:p>
    <w:p w14:paraId="776C15C7" w14:textId="5A602324" w:rsidR="008062F6" w:rsidRDefault="00600535" w:rsidP="00BD077D">
      <w:pPr>
        <w:pStyle w:val="CETCaption"/>
        <w:rPr>
          <w:rStyle w:val="CETCaptionCarattere"/>
          <w:iCs/>
        </w:rPr>
      </w:pPr>
      <w:r w:rsidRPr="009468A2">
        <w:rPr>
          <w:rStyle w:val="CETCaptionCarattere"/>
          <w:i/>
        </w:rPr>
        <w:t xml:space="preserve">Figure 1: </w:t>
      </w:r>
      <w:r w:rsidR="00A1382A" w:rsidRPr="009468A2">
        <w:rPr>
          <w:rStyle w:val="CETCaptionCarattere"/>
          <w:i/>
        </w:rPr>
        <w:t xml:space="preserve">Particle size distribution of samples obtained by </w:t>
      </w:r>
      <w:r w:rsidR="005838E7" w:rsidRPr="009468A2">
        <w:rPr>
          <w:rStyle w:val="CETCaptionCarattere"/>
          <w:i/>
        </w:rPr>
        <w:t>freeze-drying (</w:t>
      </w:r>
      <w:r w:rsidR="00A1382A" w:rsidRPr="009468A2">
        <w:rPr>
          <w:rStyle w:val="CETCaptionCarattere"/>
          <w:i/>
        </w:rPr>
        <w:t>FD</w:t>
      </w:r>
      <w:r w:rsidR="005838E7" w:rsidRPr="009468A2">
        <w:rPr>
          <w:rStyle w:val="CETCaptionCarattere"/>
          <w:i/>
        </w:rPr>
        <w:t>)</w:t>
      </w:r>
      <w:r w:rsidR="00A1382A" w:rsidRPr="009468A2">
        <w:rPr>
          <w:rStyle w:val="CETCaptionCarattere"/>
          <w:i/>
        </w:rPr>
        <w:t xml:space="preserve"> and </w:t>
      </w:r>
      <w:r w:rsidR="005838E7" w:rsidRPr="009468A2">
        <w:rPr>
          <w:rStyle w:val="CETCaptionCarattere"/>
          <w:i/>
        </w:rPr>
        <w:t>air drying (</w:t>
      </w:r>
      <w:r w:rsidR="00A1382A" w:rsidRPr="009468A2">
        <w:rPr>
          <w:rStyle w:val="CETCaptionCarattere"/>
          <w:i/>
        </w:rPr>
        <w:t>AD</w:t>
      </w:r>
      <w:r w:rsidR="005838E7" w:rsidRPr="009468A2">
        <w:rPr>
          <w:rStyle w:val="CETCaptionCarattere"/>
          <w:i/>
        </w:rPr>
        <w:t>)</w:t>
      </w:r>
      <w:r w:rsidR="00C826ED" w:rsidRPr="009468A2">
        <w:rPr>
          <w:rStyle w:val="CETCaptionCarattere"/>
          <w:i/>
        </w:rPr>
        <w:t>, at 45, 50 and 55 ºC</w:t>
      </w:r>
      <w:r w:rsidR="00A1382A" w:rsidRPr="009468A2">
        <w:rPr>
          <w:rStyle w:val="CETCaptionCarattere"/>
          <w:i/>
        </w:rPr>
        <w:t>, as a percentage of the sample retained on each of the sieves (relative frequency).</w:t>
      </w:r>
    </w:p>
    <w:p w14:paraId="6A5167CF" w14:textId="57EE7DD8" w:rsidR="00600535" w:rsidRPr="009468A2" w:rsidRDefault="00600535" w:rsidP="00600535">
      <w:pPr>
        <w:pStyle w:val="CETTabletitle"/>
      </w:pPr>
      <w:r w:rsidRPr="009468A2">
        <w:t xml:space="preserve">Table 1: </w:t>
      </w:r>
      <w:r w:rsidR="00E25CF3" w:rsidRPr="009468A2">
        <w:t>Mean particle size (MPS)</w:t>
      </w:r>
      <w:r w:rsidR="0017068C" w:rsidRPr="009468A2">
        <w:t>, median</w:t>
      </w:r>
      <w:r w:rsidR="002B5018" w:rsidRPr="009468A2">
        <w:t>, and mode of samples obtained by freeze-drying (FD) and air drying (AD) at 45, 50,</w:t>
      </w:r>
      <w:r w:rsidR="0017068C" w:rsidRPr="009468A2">
        <w:t xml:space="preserve"> and 55 ºC,</w:t>
      </w:r>
      <w:r w:rsidR="00E25CF3" w:rsidRPr="009468A2">
        <w:t xml:space="preserve"> expressed as x̅ ± σ.</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560"/>
        <w:gridCol w:w="1417"/>
        <w:gridCol w:w="1701"/>
        <w:gridCol w:w="1276"/>
      </w:tblGrid>
      <w:tr w:rsidR="00600535" w:rsidRPr="009468A2" w14:paraId="4B29AA51" w14:textId="77777777" w:rsidTr="00E25CF3">
        <w:tc>
          <w:tcPr>
            <w:tcW w:w="1134" w:type="dxa"/>
            <w:tcBorders>
              <w:top w:val="single" w:sz="12" w:space="0" w:color="008000"/>
              <w:bottom w:val="single" w:sz="6" w:space="0" w:color="008000"/>
            </w:tcBorders>
            <w:shd w:val="clear" w:color="auto" w:fill="FFFFFF"/>
          </w:tcPr>
          <w:p w14:paraId="500859EC" w14:textId="2228F80D" w:rsidR="00600535" w:rsidRPr="009468A2" w:rsidRDefault="00600535" w:rsidP="00507B47">
            <w:pPr>
              <w:pStyle w:val="CETBodytext"/>
              <w:rPr>
                <w:lang w:val="en-GB"/>
              </w:rPr>
            </w:pPr>
          </w:p>
        </w:tc>
        <w:tc>
          <w:tcPr>
            <w:tcW w:w="1560" w:type="dxa"/>
            <w:tcBorders>
              <w:top w:val="single" w:sz="12" w:space="0" w:color="008000"/>
              <w:bottom w:val="single" w:sz="6" w:space="0" w:color="008000"/>
            </w:tcBorders>
            <w:shd w:val="clear" w:color="auto" w:fill="FFFFFF"/>
          </w:tcPr>
          <w:p w14:paraId="6B6E97E3" w14:textId="5DB93761" w:rsidR="00600535" w:rsidRPr="009468A2" w:rsidRDefault="00600535" w:rsidP="00507B47">
            <w:pPr>
              <w:pStyle w:val="CETBodytext"/>
              <w:rPr>
                <w:lang w:val="en-GB"/>
              </w:rPr>
            </w:pPr>
          </w:p>
        </w:tc>
        <w:tc>
          <w:tcPr>
            <w:tcW w:w="1417" w:type="dxa"/>
            <w:tcBorders>
              <w:top w:val="single" w:sz="12" w:space="0" w:color="008000"/>
              <w:bottom w:val="single" w:sz="6" w:space="0" w:color="008000"/>
            </w:tcBorders>
            <w:shd w:val="clear" w:color="auto" w:fill="FFFFFF"/>
          </w:tcPr>
          <w:p w14:paraId="0CC5C18D" w14:textId="2B068710" w:rsidR="00600535" w:rsidRPr="009468A2" w:rsidRDefault="008070F7" w:rsidP="00507B47">
            <w:pPr>
              <w:pStyle w:val="CETBodytext"/>
              <w:rPr>
                <w:lang w:val="en-GB"/>
              </w:rPr>
            </w:pPr>
            <w:r w:rsidRPr="009468A2">
              <w:rPr>
                <w:lang w:val="en-GB"/>
              </w:rPr>
              <w:t>45 ºC</w:t>
            </w:r>
          </w:p>
        </w:tc>
        <w:tc>
          <w:tcPr>
            <w:tcW w:w="1701" w:type="dxa"/>
            <w:tcBorders>
              <w:top w:val="single" w:sz="12" w:space="0" w:color="008000"/>
              <w:bottom w:val="single" w:sz="6" w:space="0" w:color="008000"/>
            </w:tcBorders>
            <w:shd w:val="clear" w:color="auto" w:fill="FFFFFF"/>
          </w:tcPr>
          <w:p w14:paraId="199EE8DC" w14:textId="6303B0B1" w:rsidR="00600535" w:rsidRPr="009468A2" w:rsidRDefault="008070F7" w:rsidP="00507B47">
            <w:pPr>
              <w:pStyle w:val="CETBodytext"/>
              <w:ind w:right="-1"/>
              <w:rPr>
                <w:rFonts w:cs="Arial"/>
                <w:szCs w:val="18"/>
                <w:lang w:val="en-GB"/>
              </w:rPr>
            </w:pPr>
            <w:r w:rsidRPr="009468A2">
              <w:rPr>
                <w:rFonts w:cs="Arial"/>
                <w:szCs w:val="18"/>
                <w:lang w:val="en-GB"/>
              </w:rPr>
              <w:t>50 ºC</w:t>
            </w:r>
          </w:p>
        </w:tc>
        <w:tc>
          <w:tcPr>
            <w:tcW w:w="1276" w:type="dxa"/>
            <w:tcBorders>
              <w:top w:val="single" w:sz="12" w:space="0" w:color="008000"/>
              <w:bottom w:val="single" w:sz="6" w:space="0" w:color="008000"/>
            </w:tcBorders>
            <w:shd w:val="clear" w:color="auto" w:fill="FFFFFF"/>
          </w:tcPr>
          <w:p w14:paraId="005800F7" w14:textId="15C6F09C" w:rsidR="00600535" w:rsidRPr="009468A2" w:rsidRDefault="008070F7" w:rsidP="00507B47">
            <w:pPr>
              <w:pStyle w:val="CETBodytext"/>
              <w:ind w:right="-1"/>
              <w:rPr>
                <w:rFonts w:cs="Arial"/>
                <w:szCs w:val="18"/>
                <w:lang w:val="en-GB"/>
              </w:rPr>
            </w:pPr>
            <w:r w:rsidRPr="009468A2">
              <w:rPr>
                <w:rFonts w:cs="Arial"/>
                <w:szCs w:val="18"/>
                <w:lang w:val="en-GB"/>
              </w:rPr>
              <w:t>55 ºC</w:t>
            </w:r>
          </w:p>
        </w:tc>
      </w:tr>
      <w:tr w:rsidR="00E25CF3" w:rsidRPr="009468A2" w14:paraId="18FA68DB" w14:textId="77777777" w:rsidTr="00E25CF3">
        <w:tc>
          <w:tcPr>
            <w:tcW w:w="1134" w:type="dxa"/>
            <w:vMerge w:val="restart"/>
            <w:shd w:val="clear" w:color="auto" w:fill="FFFFFF"/>
            <w:vAlign w:val="center"/>
          </w:tcPr>
          <w:p w14:paraId="1877D42D" w14:textId="4333EF97" w:rsidR="00E25CF3" w:rsidRPr="009468A2" w:rsidRDefault="00E25CF3" w:rsidP="00E25CF3">
            <w:pPr>
              <w:pStyle w:val="CETBodytext"/>
              <w:jc w:val="left"/>
              <w:rPr>
                <w:lang w:val="en-GB"/>
              </w:rPr>
            </w:pPr>
            <w:r w:rsidRPr="009468A2">
              <w:rPr>
                <w:lang w:val="en-GB"/>
              </w:rPr>
              <w:t>M</w:t>
            </w:r>
            <w:r w:rsidRPr="009468A2">
              <w:t>PS</w:t>
            </w:r>
            <w:r w:rsidR="002B5018" w:rsidRPr="009468A2">
              <w:t xml:space="preserve"> (</w:t>
            </w:r>
            <w:proofErr w:type="spellStart"/>
            <w:r w:rsidR="002B5018" w:rsidRPr="009468A2">
              <w:t>μm</w:t>
            </w:r>
            <w:proofErr w:type="spellEnd"/>
            <w:r w:rsidR="002B5018" w:rsidRPr="009468A2">
              <w:t>)</w:t>
            </w:r>
          </w:p>
        </w:tc>
        <w:tc>
          <w:tcPr>
            <w:tcW w:w="1560" w:type="dxa"/>
            <w:shd w:val="clear" w:color="auto" w:fill="FFFFFF"/>
          </w:tcPr>
          <w:p w14:paraId="48136FAE" w14:textId="2F43E4D4" w:rsidR="00E25CF3" w:rsidRPr="009468A2" w:rsidRDefault="00E25CF3" w:rsidP="00E25CF3">
            <w:pPr>
              <w:pStyle w:val="CETBodytext"/>
              <w:jc w:val="center"/>
              <w:rPr>
                <w:lang w:val="en-GB"/>
              </w:rPr>
            </w:pPr>
            <w:r w:rsidRPr="009468A2">
              <w:rPr>
                <w:lang w:val="en-GB"/>
              </w:rPr>
              <w:t>F</w:t>
            </w:r>
            <w:r w:rsidRPr="009468A2">
              <w:t>D</w:t>
            </w:r>
          </w:p>
        </w:tc>
        <w:tc>
          <w:tcPr>
            <w:tcW w:w="1417" w:type="dxa"/>
          </w:tcPr>
          <w:p w14:paraId="2CB03BEE" w14:textId="75B649A8" w:rsidR="00E25CF3" w:rsidRPr="009468A2" w:rsidRDefault="00E25CF3" w:rsidP="00E25CF3">
            <w:pPr>
              <w:pStyle w:val="CETBodytext"/>
              <w:rPr>
                <w:szCs w:val="18"/>
                <w:lang w:val="en-GB"/>
              </w:rPr>
            </w:pPr>
            <w:r w:rsidRPr="009468A2">
              <w:rPr>
                <w:rFonts w:cs="Arial"/>
                <w:szCs w:val="18"/>
              </w:rPr>
              <w:t>64</w:t>
            </w:r>
            <w:r w:rsidR="002B5018" w:rsidRPr="009468A2">
              <w:rPr>
                <w:rFonts w:cs="Arial"/>
                <w:szCs w:val="18"/>
              </w:rPr>
              <w:t>.</w:t>
            </w:r>
            <w:r w:rsidRPr="009468A2">
              <w:rPr>
                <w:rFonts w:cs="Arial"/>
                <w:szCs w:val="18"/>
              </w:rPr>
              <w:t>6±0</w:t>
            </w:r>
            <w:r w:rsidR="002B5018" w:rsidRPr="009468A2">
              <w:rPr>
                <w:rFonts w:cs="Arial"/>
                <w:szCs w:val="18"/>
              </w:rPr>
              <w:t>.</w:t>
            </w:r>
            <w:r w:rsidRPr="009468A2">
              <w:rPr>
                <w:rFonts w:cs="Arial"/>
                <w:szCs w:val="18"/>
              </w:rPr>
              <w:t>7</w:t>
            </w:r>
            <w:r w:rsidRPr="009468A2">
              <w:rPr>
                <w:rFonts w:cs="Arial"/>
                <w:szCs w:val="18"/>
                <w:vertAlign w:val="superscript"/>
              </w:rPr>
              <w:t>(</w:t>
            </w:r>
            <w:r w:rsidR="00F372A7" w:rsidRPr="009468A2">
              <w:rPr>
                <w:rFonts w:cs="Arial"/>
                <w:szCs w:val="18"/>
                <w:vertAlign w:val="superscript"/>
              </w:rPr>
              <w:t>B</w:t>
            </w:r>
            <w:r w:rsidRPr="009468A2">
              <w:rPr>
                <w:rFonts w:cs="Arial"/>
                <w:szCs w:val="18"/>
                <w:vertAlign w:val="superscript"/>
              </w:rPr>
              <w:t>a)</w:t>
            </w:r>
          </w:p>
        </w:tc>
        <w:tc>
          <w:tcPr>
            <w:tcW w:w="1701" w:type="dxa"/>
          </w:tcPr>
          <w:p w14:paraId="7FF7EB81" w14:textId="2FE0E9D4" w:rsidR="00E25CF3" w:rsidRPr="009468A2" w:rsidRDefault="00E25CF3" w:rsidP="00E25CF3">
            <w:pPr>
              <w:pStyle w:val="CETBodytext"/>
              <w:ind w:right="-1"/>
              <w:rPr>
                <w:rFonts w:cs="Arial"/>
                <w:szCs w:val="18"/>
                <w:lang w:val="en-GB"/>
              </w:rPr>
            </w:pPr>
            <w:r w:rsidRPr="009468A2">
              <w:rPr>
                <w:szCs w:val="18"/>
              </w:rPr>
              <w:t>66</w:t>
            </w:r>
            <w:r w:rsidR="002B5018" w:rsidRPr="009468A2">
              <w:rPr>
                <w:szCs w:val="18"/>
              </w:rPr>
              <w:t>.</w:t>
            </w:r>
            <w:r w:rsidRPr="009468A2">
              <w:rPr>
                <w:szCs w:val="18"/>
              </w:rPr>
              <w:t>3</w:t>
            </w:r>
            <w:r w:rsidRPr="009468A2">
              <w:rPr>
                <w:rFonts w:cs="Arial"/>
                <w:szCs w:val="18"/>
              </w:rPr>
              <w:t>±0</w:t>
            </w:r>
            <w:r w:rsidR="002B5018" w:rsidRPr="009468A2">
              <w:rPr>
                <w:rFonts w:cs="Arial"/>
                <w:szCs w:val="18"/>
              </w:rPr>
              <w:t>.</w:t>
            </w:r>
            <w:r w:rsidRPr="009468A2">
              <w:rPr>
                <w:rFonts w:cs="Arial"/>
                <w:szCs w:val="18"/>
              </w:rPr>
              <w:t>5</w:t>
            </w:r>
            <w:r w:rsidRPr="009468A2">
              <w:rPr>
                <w:rFonts w:cs="Arial"/>
                <w:szCs w:val="18"/>
                <w:vertAlign w:val="superscript"/>
              </w:rPr>
              <w:t>(Ba)</w:t>
            </w:r>
          </w:p>
        </w:tc>
        <w:tc>
          <w:tcPr>
            <w:tcW w:w="1276" w:type="dxa"/>
          </w:tcPr>
          <w:p w14:paraId="6512B018" w14:textId="77B5BD8A" w:rsidR="00E25CF3" w:rsidRPr="009468A2" w:rsidRDefault="00E25CF3" w:rsidP="00E25CF3">
            <w:pPr>
              <w:pStyle w:val="CETBodytext"/>
              <w:ind w:right="-1"/>
              <w:rPr>
                <w:rFonts w:cs="Arial"/>
                <w:szCs w:val="18"/>
                <w:lang w:val="en-GB"/>
              </w:rPr>
            </w:pPr>
            <w:r w:rsidRPr="009468A2">
              <w:rPr>
                <w:szCs w:val="18"/>
              </w:rPr>
              <w:t>60</w:t>
            </w:r>
            <w:r w:rsidR="002B5018" w:rsidRPr="009468A2">
              <w:rPr>
                <w:szCs w:val="18"/>
              </w:rPr>
              <w:t>.</w:t>
            </w:r>
            <w:r w:rsidRPr="009468A2">
              <w:rPr>
                <w:szCs w:val="18"/>
              </w:rPr>
              <w:t>8</w:t>
            </w:r>
            <w:r w:rsidRPr="009468A2">
              <w:rPr>
                <w:rFonts w:cs="Arial"/>
                <w:szCs w:val="18"/>
              </w:rPr>
              <w:t>±1</w:t>
            </w:r>
            <w:r w:rsidR="002B5018" w:rsidRPr="009468A2">
              <w:rPr>
                <w:rFonts w:cs="Arial"/>
                <w:szCs w:val="18"/>
              </w:rPr>
              <w:t>.</w:t>
            </w:r>
            <w:r w:rsidRPr="009468A2">
              <w:rPr>
                <w:rFonts w:cs="Arial"/>
                <w:szCs w:val="18"/>
              </w:rPr>
              <w:t>5</w:t>
            </w:r>
            <w:r w:rsidRPr="009468A2">
              <w:rPr>
                <w:rFonts w:cs="Arial"/>
                <w:szCs w:val="18"/>
                <w:vertAlign w:val="superscript"/>
              </w:rPr>
              <w:t>(</w:t>
            </w:r>
            <w:r w:rsidR="00F372A7" w:rsidRPr="009468A2">
              <w:rPr>
                <w:rFonts w:cs="Arial"/>
                <w:szCs w:val="18"/>
                <w:vertAlign w:val="superscript"/>
              </w:rPr>
              <w:t>A</w:t>
            </w:r>
            <w:r w:rsidRPr="009468A2">
              <w:rPr>
                <w:rFonts w:cs="Arial"/>
                <w:szCs w:val="18"/>
                <w:vertAlign w:val="superscript"/>
              </w:rPr>
              <w:t>a)</w:t>
            </w:r>
          </w:p>
        </w:tc>
      </w:tr>
      <w:tr w:rsidR="00E25CF3" w:rsidRPr="009468A2" w14:paraId="4423F936" w14:textId="77777777" w:rsidTr="00CA7999">
        <w:trPr>
          <w:trHeight w:val="243"/>
        </w:trPr>
        <w:tc>
          <w:tcPr>
            <w:tcW w:w="1134" w:type="dxa"/>
            <w:vMerge/>
            <w:shd w:val="clear" w:color="auto" w:fill="FFFFFF"/>
          </w:tcPr>
          <w:p w14:paraId="47215D69" w14:textId="77777777" w:rsidR="00E25CF3" w:rsidRPr="009468A2" w:rsidRDefault="00E25CF3" w:rsidP="00E25CF3">
            <w:pPr>
              <w:pStyle w:val="CETBodytext"/>
              <w:rPr>
                <w:lang w:val="en-GB"/>
              </w:rPr>
            </w:pPr>
          </w:p>
        </w:tc>
        <w:tc>
          <w:tcPr>
            <w:tcW w:w="1560" w:type="dxa"/>
            <w:shd w:val="clear" w:color="auto" w:fill="FFFFFF"/>
          </w:tcPr>
          <w:p w14:paraId="66095ADC" w14:textId="6E936E98" w:rsidR="00E25CF3" w:rsidRPr="009468A2" w:rsidRDefault="00E25CF3" w:rsidP="00E25CF3">
            <w:pPr>
              <w:pStyle w:val="CETBodytext"/>
              <w:jc w:val="center"/>
              <w:rPr>
                <w:lang w:val="en-GB"/>
              </w:rPr>
            </w:pPr>
            <w:r w:rsidRPr="009468A2">
              <w:rPr>
                <w:lang w:val="en-GB"/>
              </w:rPr>
              <w:t>A</w:t>
            </w:r>
            <w:r w:rsidRPr="009468A2">
              <w:t>D</w:t>
            </w:r>
          </w:p>
        </w:tc>
        <w:tc>
          <w:tcPr>
            <w:tcW w:w="1417" w:type="dxa"/>
          </w:tcPr>
          <w:p w14:paraId="0FEFA256" w14:textId="17A110D3" w:rsidR="00E25CF3" w:rsidRPr="009468A2" w:rsidRDefault="00E25CF3" w:rsidP="00E25CF3">
            <w:pPr>
              <w:pStyle w:val="CETBodytext"/>
              <w:rPr>
                <w:szCs w:val="18"/>
                <w:lang w:val="en-GB"/>
              </w:rPr>
            </w:pPr>
            <w:r w:rsidRPr="009468A2">
              <w:rPr>
                <w:rFonts w:cs="Arial"/>
                <w:szCs w:val="18"/>
              </w:rPr>
              <w:t>67</w:t>
            </w:r>
            <w:r w:rsidR="002B5018" w:rsidRPr="009468A2">
              <w:rPr>
                <w:rFonts w:cs="Arial"/>
                <w:szCs w:val="18"/>
              </w:rPr>
              <w:t>.</w:t>
            </w:r>
            <w:r w:rsidRPr="009468A2">
              <w:rPr>
                <w:rFonts w:cs="Arial"/>
                <w:szCs w:val="18"/>
              </w:rPr>
              <w:t>7±0</w:t>
            </w:r>
            <w:r w:rsidR="002B5018" w:rsidRPr="009468A2">
              <w:rPr>
                <w:rFonts w:cs="Arial"/>
                <w:szCs w:val="18"/>
              </w:rPr>
              <w:t>.</w:t>
            </w:r>
            <w:r w:rsidRPr="009468A2">
              <w:rPr>
                <w:rFonts w:cs="Arial"/>
                <w:szCs w:val="18"/>
              </w:rPr>
              <w:t>4</w:t>
            </w:r>
            <w:r w:rsidRPr="009468A2">
              <w:rPr>
                <w:rFonts w:cs="Arial"/>
                <w:szCs w:val="18"/>
                <w:vertAlign w:val="superscript"/>
              </w:rPr>
              <w:t>(Ab)</w:t>
            </w:r>
          </w:p>
        </w:tc>
        <w:tc>
          <w:tcPr>
            <w:tcW w:w="1701" w:type="dxa"/>
          </w:tcPr>
          <w:p w14:paraId="77336CBE" w14:textId="1489F933" w:rsidR="00E25CF3" w:rsidRPr="009468A2" w:rsidRDefault="00E25CF3" w:rsidP="00E25CF3">
            <w:pPr>
              <w:pStyle w:val="CETBodytext"/>
              <w:ind w:right="-1"/>
              <w:rPr>
                <w:rFonts w:cs="Arial"/>
                <w:szCs w:val="18"/>
                <w:lang w:val="en-GB"/>
              </w:rPr>
            </w:pPr>
            <w:r w:rsidRPr="009468A2">
              <w:rPr>
                <w:szCs w:val="18"/>
              </w:rPr>
              <w:t>71</w:t>
            </w:r>
            <w:r w:rsidR="002B5018" w:rsidRPr="009468A2">
              <w:rPr>
                <w:szCs w:val="18"/>
              </w:rPr>
              <w:t>.</w:t>
            </w:r>
            <w:r w:rsidRPr="009468A2">
              <w:rPr>
                <w:szCs w:val="18"/>
              </w:rPr>
              <w:t>0</w:t>
            </w:r>
            <w:r w:rsidRPr="009468A2">
              <w:rPr>
                <w:rFonts w:cs="Arial"/>
                <w:szCs w:val="18"/>
              </w:rPr>
              <w:t>±0</w:t>
            </w:r>
            <w:r w:rsidR="002B5018" w:rsidRPr="009468A2">
              <w:rPr>
                <w:rFonts w:cs="Arial"/>
                <w:szCs w:val="18"/>
              </w:rPr>
              <w:t>.</w:t>
            </w:r>
            <w:r w:rsidRPr="009468A2">
              <w:rPr>
                <w:rFonts w:cs="Arial"/>
                <w:szCs w:val="18"/>
              </w:rPr>
              <w:t>3</w:t>
            </w:r>
            <w:r w:rsidRPr="009468A2">
              <w:rPr>
                <w:rFonts w:cs="Arial"/>
                <w:szCs w:val="18"/>
                <w:vertAlign w:val="superscript"/>
              </w:rPr>
              <w:t>(Bb)</w:t>
            </w:r>
          </w:p>
        </w:tc>
        <w:tc>
          <w:tcPr>
            <w:tcW w:w="1276" w:type="dxa"/>
          </w:tcPr>
          <w:p w14:paraId="0ADFBB60" w14:textId="20BDEE83" w:rsidR="00E25CF3" w:rsidRPr="009468A2" w:rsidRDefault="00E25CF3" w:rsidP="00E25CF3">
            <w:pPr>
              <w:pStyle w:val="CETBodytext"/>
              <w:ind w:right="-1"/>
              <w:rPr>
                <w:rFonts w:cs="Arial"/>
                <w:szCs w:val="18"/>
                <w:lang w:val="en-GB"/>
              </w:rPr>
            </w:pPr>
            <w:r w:rsidRPr="009468A2">
              <w:rPr>
                <w:szCs w:val="18"/>
              </w:rPr>
              <w:t>72</w:t>
            </w:r>
            <w:r w:rsidR="002B5018" w:rsidRPr="009468A2">
              <w:rPr>
                <w:szCs w:val="18"/>
              </w:rPr>
              <w:t>.</w:t>
            </w:r>
            <w:r w:rsidRPr="009468A2">
              <w:rPr>
                <w:szCs w:val="18"/>
              </w:rPr>
              <w:t>2</w:t>
            </w:r>
            <w:r w:rsidRPr="009468A2">
              <w:rPr>
                <w:rFonts w:cs="Arial"/>
                <w:szCs w:val="18"/>
              </w:rPr>
              <w:t>±0</w:t>
            </w:r>
            <w:r w:rsidR="002B5018" w:rsidRPr="009468A2">
              <w:rPr>
                <w:rFonts w:cs="Arial"/>
                <w:szCs w:val="18"/>
              </w:rPr>
              <w:t>.</w:t>
            </w:r>
            <w:r w:rsidRPr="009468A2">
              <w:rPr>
                <w:rFonts w:cs="Arial"/>
                <w:szCs w:val="18"/>
              </w:rPr>
              <w:t>5</w:t>
            </w:r>
            <w:r w:rsidRPr="009468A2">
              <w:rPr>
                <w:rFonts w:cs="Arial"/>
                <w:szCs w:val="18"/>
                <w:vertAlign w:val="superscript"/>
              </w:rPr>
              <w:t>(Bb)</w:t>
            </w:r>
          </w:p>
        </w:tc>
      </w:tr>
      <w:tr w:rsidR="00E25CF3" w:rsidRPr="009468A2" w14:paraId="66307AAE" w14:textId="77777777" w:rsidTr="00E25CF3">
        <w:tc>
          <w:tcPr>
            <w:tcW w:w="1134" w:type="dxa"/>
            <w:vMerge w:val="restart"/>
            <w:shd w:val="clear" w:color="auto" w:fill="FFFFFF"/>
            <w:vAlign w:val="center"/>
          </w:tcPr>
          <w:p w14:paraId="6FABA5C9" w14:textId="44F563FC" w:rsidR="00E25CF3" w:rsidRPr="009468A2" w:rsidRDefault="00E25CF3" w:rsidP="00E25CF3">
            <w:pPr>
              <w:pStyle w:val="CETBodytext"/>
              <w:jc w:val="left"/>
              <w:rPr>
                <w:lang w:val="en-GB"/>
              </w:rPr>
            </w:pPr>
            <w:r w:rsidRPr="009468A2">
              <w:rPr>
                <w:lang w:val="en-GB"/>
              </w:rPr>
              <w:t>Median</w:t>
            </w:r>
            <w:r w:rsidR="002B5018" w:rsidRPr="009468A2">
              <w:rPr>
                <w:lang w:val="en-GB"/>
              </w:rPr>
              <w:t xml:space="preserve"> (</w:t>
            </w:r>
            <w:proofErr w:type="spellStart"/>
            <w:r w:rsidR="002B5018" w:rsidRPr="009468A2">
              <w:t>μm</w:t>
            </w:r>
            <w:proofErr w:type="spellEnd"/>
            <w:r w:rsidR="002B5018" w:rsidRPr="009468A2">
              <w:t>)</w:t>
            </w:r>
          </w:p>
        </w:tc>
        <w:tc>
          <w:tcPr>
            <w:tcW w:w="1560" w:type="dxa"/>
            <w:shd w:val="clear" w:color="auto" w:fill="FFFFFF"/>
          </w:tcPr>
          <w:p w14:paraId="270406EF" w14:textId="5CA85776" w:rsidR="00E25CF3" w:rsidRPr="009468A2" w:rsidRDefault="00E25CF3" w:rsidP="00E25CF3">
            <w:pPr>
              <w:pStyle w:val="CETBodytext"/>
              <w:jc w:val="center"/>
              <w:rPr>
                <w:lang w:val="en-GB"/>
              </w:rPr>
            </w:pPr>
            <w:r w:rsidRPr="009468A2">
              <w:rPr>
                <w:lang w:val="en-GB"/>
              </w:rPr>
              <w:t>FD</w:t>
            </w:r>
          </w:p>
        </w:tc>
        <w:tc>
          <w:tcPr>
            <w:tcW w:w="1417" w:type="dxa"/>
          </w:tcPr>
          <w:p w14:paraId="608ABC7D" w14:textId="20C447C6" w:rsidR="00E25CF3" w:rsidRPr="009468A2" w:rsidRDefault="00E25CF3" w:rsidP="00E25CF3">
            <w:pPr>
              <w:pStyle w:val="CETBodytext"/>
              <w:rPr>
                <w:szCs w:val="18"/>
                <w:lang w:val="en-GB"/>
              </w:rPr>
            </w:pPr>
            <w:r w:rsidRPr="009468A2">
              <w:rPr>
                <w:rFonts w:cs="Arial"/>
                <w:szCs w:val="18"/>
              </w:rPr>
              <w:t>73</w:t>
            </w:r>
            <w:r w:rsidR="002B5018" w:rsidRPr="009468A2">
              <w:rPr>
                <w:rFonts w:cs="Arial"/>
                <w:szCs w:val="18"/>
              </w:rPr>
              <w:t>.</w:t>
            </w:r>
            <w:r w:rsidRPr="009468A2">
              <w:rPr>
                <w:rFonts w:cs="Arial"/>
                <w:szCs w:val="18"/>
              </w:rPr>
              <w:t>00±1</w:t>
            </w:r>
            <w:r w:rsidR="002B5018" w:rsidRPr="009468A2">
              <w:rPr>
                <w:rFonts w:cs="Arial"/>
                <w:szCs w:val="18"/>
              </w:rPr>
              <w:t>.</w:t>
            </w:r>
            <w:r w:rsidRPr="009468A2">
              <w:rPr>
                <w:rFonts w:cs="Arial"/>
                <w:szCs w:val="18"/>
              </w:rPr>
              <w:t>03</w:t>
            </w:r>
            <w:r w:rsidRPr="009468A2">
              <w:rPr>
                <w:rFonts w:cs="Arial"/>
                <w:szCs w:val="18"/>
                <w:vertAlign w:val="superscript"/>
              </w:rPr>
              <w:t>(</w:t>
            </w:r>
            <w:r w:rsidR="00A40E22" w:rsidRPr="009468A2">
              <w:rPr>
                <w:rFonts w:cs="Arial"/>
                <w:szCs w:val="18"/>
                <w:vertAlign w:val="superscript"/>
              </w:rPr>
              <w:t>B</w:t>
            </w:r>
            <w:r w:rsidRPr="009468A2">
              <w:rPr>
                <w:rFonts w:cs="Arial"/>
                <w:szCs w:val="18"/>
                <w:vertAlign w:val="superscript"/>
              </w:rPr>
              <w:t>a)</w:t>
            </w:r>
          </w:p>
        </w:tc>
        <w:tc>
          <w:tcPr>
            <w:tcW w:w="1701" w:type="dxa"/>
          </w:tcPr>
          <w:p w14:paraId="456DF40E" w14:textId="5FE3E669" w:rsidR="00E25CF3" w:rsidRPr="009468A2" w:rsidRDefault="00E25CF3" w:rsidP="00E25CF3">
            <w:pPr>
              <w:pStyle w:val="CETBodytext"/>
              <w:ind w:right="-1"/>
              <w:rPr>
                <w:rFonts w:cs="Arial"/>
                <w:szCs w:val="18"/>
                <w:lang w:val="en-GB"/>
              </w:rPr>
            </w:pPr>
            <w:r w:rsidRPr="009468A2">
              <w:rPr>
                <w:szCs w:val="18"/>
              </w:rPr>
              <w:t>76</w:t>
            </w:r>
            <w:r w:rsidR="002B5018" w:rsidRPr="009468A2">
              <w:rPr>
                <w:szCs w:val="18"/>
              </w:rPr>
              <w:t>.</w:t>
            </w:r>
            <w:r w:rsidRPr="009468A2">
              <w:rPr>
                <w:szCs w:val="18"/>
              </w:rPr>
              <w:t>8</w:t>
            </w:r>
            <w:r w:rsidR="00CA7999" w:rsidRPr="009468A2">
              <w:rPr>
                <w:szCs w:val="18"/>
              </w:rPr>
              <w:t>36</w:t>
            </w:r>
            <w:r w:rsidRPr="009468A2">
              <w:rPr>
                <w:rFonts w:cs="Arial"/>
                <w:szCs w:val="18"/>
              </w:rPr>
              <w:t>±</w:t>
            </w:r>
            <w:r w:rsidR="00CA7999" w:rsidRPr="009468A2">
              <w:rPr>
                <w:rFonts w:cs="Arial"/>
                <w:szCs w:val="18"/>
              </w:rPr>
              <w:t>0.998</w:t>
            </w:r>
            <w:r w:rsidRPr="009468A2">
              <w:rPr>
                <w:rFonts w:cs="Arial"/>
                <w:szCs w:val="18"/>
                <w:vertAlign w:val="superscript"/>
              </w:rPr>
              <w:t>(</w:t>
            </w:r>
            <w:r w:rsidR="00A40E22" w:rsidRPr="009468A2">
              <w:rPr>
                <w:rFonts w:cs="Arial"/>
                <w:szCs w:val="18"/>
                <w:vertAlign w:val="superscript"/>
              </w:rPr>
              <w:t>C</w:t>
            </w:r>
            <w:r w:rsidRPr="009468A2">
              <w:rPr>
                <w:rFonts w:cs="Arial"/>
                <w:szCs w:val="18"/>
                <w:vertAlign w:val="superscript"/>
              </w:rPr>
              <w:t>a)</w:t>
            </w:r>
          </w:p>
        </w:tc>
        <w:tc>
          <w:tcPr>
            <w:tcW w:w="1276" w:type="dxa"/>
          </w:tcPr>
          <w:p w14:paraId="2638A577" w14:textId="03A55D51" w:rsidR="00E25CF3" w:rsidRPr="009468A2" w:rsidRDefault="00E25CF3" w:rsidP="00E25CF3">
            <w:pPr>
              <w:pStyle w:val="CETBodytext"/>
              <w:ind w:right="-1"/>
              <w:rPr>
                <w:rFonts w:cs="Arial"/>
                <w:szCs w:val="18"/>
                <w:lang w:val="en-GB"/>
              </w:rPr>
            </w:pPr>
            <w:r w:rsidRPr="009468A2">
              <w:rPr>
                <w:szCs w:val="18"/>
              </w:rPr>
              <w:t>67</w:t>
            </w:r>
            <w:r w:rsidRPr="009468A2">
              <w:rPr>
                <w:rFonts w:cs="Arial"/>
                <w:szCs w:val="18"/>
              </w:rPr>
              <w:t>±3</w:t>
            </w:r>
            <w:r w:rsidRPr="009468A2">
              <w:rPr>
                <w:rFonts w:cs="Arial"/>
                <w:szCs w:val="18"/>
                <w:vertAlign w:val="superscript"/>
              </w:rPr>
              <w:t>(</w:t>
            </w:r>
            <w:r w:rsidR="00F50333" w:rsidRPr="009468A2">
              <w:rPr>
                <w:rFonts w:cs="Arial"/>
                <w:szCs w:val="18"/>
                <w:vertAlign w:val="superscript"/>
              </w:rPr>
              <w:t>A</w:t>
            </w:r>
            <w:r w:rsidRPr="009468A2">
              <w:rPr>
                <w:rFonts w:cs="Arial"/>
                <w:szCs w:val="18"/>
                <w:vertAlign w:val="superscript"/>
              </w:rPr>
              <w:t>a)</w:t>
            </w:r>
          </w:p>
        </w:tc>
      </w:tr>
      <w:tr w:rsidR="00E25CF3" w:rsidRPr="009468A2" w14:paraId="3C8556C1" w14:textId="77777777" w:rsidTr="00E25CF3">
        <w:tc>
          <w:tcPr>
            <w:tcW w:w="1134" w:type="dxa"/>
            <w:vMerge/>
            <w:shd w:val="clear" w:color="auto" w:fill="FFFFFF"/>
          </w:tcPr>
          <w:p w14:paraId="23BDFC2E" w14:textId="77777777" w:rsidR="00E25CF3" w:rsidRPr="009468A2" w:rsidRDefault="00E25CF3" w:rsidP="00E25CF3">
            <w:pPr>
              <w:pStyle w:val="CETBodytext"/>
              <w:rPr>
                <w:lang w:val="en-GB"/>
              </w:rPr>
            </w:pPr>
          </w:p>
        </w:tc>
        <w:tc>
          <w:tcPr>
            <w:tcW w:w="1560" w:type="dxa"/>
            <w:shd w:val="clear" w:color="auto" w:fill="FFFFFF"/>
          </w:tcPr>
          <w:p w14:paraId="4A802769" w14:textId="6ECE08D0" w:rsidR="00E25CF3" w:rsidRPr="009468A2" w:rsidRDefault="00E25CF3" w:rsidP="00E25CF3">
            <w:pPr>
              <w:pStyle w:val="CETBodytext"/>
              <w:jc w:val="center"/>
              <w:rPr>
                <w:lang w:val="en-GB"/>
              </w:rPr>
            </w:pPr>
            <w:r w:rsidRPr="009468A2">
              <w:rPr>
                <w:lang w:val="en-GB"/>
              </w:rPr>
              <w:t>AD</w:t>
            </w:r>
          </w:p>
        </w:tc>
        <w:tc>
          <w:tcPr>
            <w:tcW w:w="1417" w:type="dxa"/>
          </w:tcPr>
          <w:p w14:paraId="3174B18D" w14:textId="2CD7230A" w:rsidR="00E25CF3" w:rsidRPr="009468A2" w:rsidRDefault="00E25CF3" w:rsidP="00E25CF3">
            <w:pPr>
              <w:pStyle w:val="CETBodytext"/>
              <w:rPr>
                <w:szCs w:val="18"/>
                <w:lang w:val="en-GB"/>
              </w:rPr>
            </w:pPr>
            <w:r w:rsidRPr="009468A2">
              <w:rPr>
                <w:rFonts w:cs="Arial"/>
                <w:szCs w:val="18"/>
              </w:rPr>
              <w:t>78</w:t>
            </w:r>
            <w:r w:rsidR="002B5018" w:rsidRPr="009468A2">
              <w:rPr>
                <w:rFonts w:cs="Arial"/>
                <w:szCs w:val="18"/>
              </w:rPr>
              <w:t>.</w:t>
            </w:r>
            <w:r w:rsidRPr="009468A2">
              <w:rPr>
                <w:rFonts w:cs="Arial"/>
                <w:szCs w:val="18"/>
              </w:rPr>
              <w:t>9±0</w:t>
            </w:r>
            <w:r w:rsidR="002B5018" w:rsidRPr="009468A2">
              <w:rPr>
                <w:rFonts w:cs="Arial"/>
                <w:szCs w:val="18"/>
              </w:rPr>
              <w:t>.</w:t>
            </w:r>
            <w:r w:rsidRPr="009468A2">
              <w:rPr>
                <w:rFonts w:cs="Arial"/>
                <w:szCs w:val="18"/>
              </w:rPr>
              <w:t>9</w:t>
            </w:r>
            <w:r w:rsidRPr="009468A2">
              <w:rPr>
                <w:rFonts w:cs="Arial"/>
                <w:szCs w:val="18"/>
                <w:vertAlign w:val="superscript"/>
              </w:rPr>
              <w:t>(Ab)</w:t>
            </w:r>
          </w:p>
        </w:tc>
        <w:tc>
          <w:tcPr>
            <w:tcW w:w="1701" w:type="dxa"/>
          </w:tcPr>
          <w:p w14:paraId="64CC2FDC" w14:textId="3B682880" w:rsidR="00E25CF3" w:rsidRPr="009468A2" w:rsidRDefault="00E25CF3" w:rsidP="00E25CF3">
            <w:pPr>
              <w:pStyle w:val="CETBodytext"/>
              <w:ind w:right="-1"/>
              <w:rPr>
                <w:rFonts w:cs="Arial"/>
                <w:szCs w:val="18"/>
                <w:lang w:val="en-GB"/>
              </w:rPr>
            </w:pPr>
            <w:r w:rsidRPr="009468A2">
              <w:rPr>
                <w:szCs w:val="18"/>
              </w:rPr>
              <w:t>84</w:t>
            </w:r>
            <w:r w:rsidR="002B5018" w:rsidRPr="009468A2">
              <w:rPr>
                <w:szCs w:val="18"/>
              </w:rPr>
              <w:t>.</w:t>
            </w:r>
            <w:r w:rsidRPr="009468A2">
              <w:rPr>
                <w:szCs w:val="18"/>
              </w:rPr>
              <w:t>4</w:t>
            </w:r>
            <w:r w:rsidRPr="009468A2">
              <w:rPr>
                <w:rFonts w:cs="Arial"/>
                <w:szCs w:val="18"/>
              </w:rPr>
              <w:t>±0</w:t>
            </w:r>
            <w:r w:rsidR="002B5018" w:rsidRPr="009468A2">
              <w:rPr>
                <w:rFonts w:cs="Arial"/>
                <w:szCs w:val="18"/>
              </w:rPr>
              <w:t>.</w:t>
            </w:r>
            <w:r w:rsidRPr="009468A2">
              <w:rPr>
                <w:rFonts w:cs="Arial"/>
                <w:szCs w:val="18"/>
              </w:rPr>
              <w:t>7</w:t>
            </w:r>
            <w:r w:rsidRPr="009468A2">
              <w:rPr>
                <w:rFonts w:cs="Arial"/>
                <w:szCs w:val="18"/>
                <w:vertAlign w:val="superscript"/>
              </w:rPr>
              <w:t>(Bb)</w:t>
            </w:r>
          </w:p>
        </w:tc>
        <w:tc>
          <w:tcPr>
            <w:tcW w:w="1276" w:type="dxa"/>
          </w:tcPr>
          <w:p w14:paraId="0854E943" w14:textId="432BE26A" w:rsidR="00E25CF3" w:rsidRPr="009468A2" w:rsidRDefault="00E25CF3" w:rsidP="00E25CF3">
            <w:pPr>
              <w:pStyle w:val="CETBodytext"/>
              <w:ind w:right="-1"/>
              <w:rPr>
                <w:rFonts w:cs="Arial"/>
                <w:szCs w:val="18"/>
                <w:lang w:val="en-GB"/>
              </w:rPr>
            </w:pPr>
            <w:r w:rsidRPr="009468A2">
              <w:rPr>
                <w:szCs w:val="18"/>
              </w:rPr>
              <w:t>85</w:t>
            </w:r>
            <w:r w:rsidR="002B5018" w:rsidRPr="009468A2">
              <w:rPr>
                <w:szCs w:val="18"/>
              </w:rPr>
              <w:t>.</w:t>
            </w:r>
            <w:r w:rsidRPr="009468A2">
              <w:rPr>
                <w:szCs w:val="18"/>
              </w:rPr>
              <w:t>81</w:t>
            </w:r>
            <w:r w:rsidRPr="009468A2">
              <w:rPr>
                <w:rFonts w:cs="Arial"/>
                <w:szCs w:val="18"/>
              </w:rPr>
              <w:t>±1.01</w:t>
            </w:r>
            <w:r w:rsidRPr="009468A2">
              <w:rPr>
                <w:rFonts w:cs="Arial"/>
                <w:szCs w:val="18"/>
                <w:vertAlign w:val="superscript"/>
              </w:rPr>
              <w:t>(Bb)</w:t>
            </w:r>
          </w:p>
        </w:tc>
      </w:tr>
      <w:tr w:rsidR="00E25CF3" w:rsidRPr="009468A2" w14:paraId="5B3D64DA" w14:textId="77777777" w:rsidTr="00E25CF3">
        <w:tc>
          <w:tcPr>
            <w:tcW w:w="1134" w:type="dxa"/>
            <w:vMerge w:val="restart"/>
            <w:shd w:val="clear" w:color="auto" w:fill="FFFFFF"/>
            <w:vAlign w:val="center"/>
          </w:tcPr>
          <w:p w14:paraId="14CCAE2B" w14:textId="30F8B9B3" w:rsidR="00E25CF3" w:rsidRPr="009468A2" w:rsidRDefault="00E25CF3" w:rsidP="00E25CF3">
            <w:pPr>
              <w:pStyle w:val="CETBodytext"/>
              <w:jc w:val="left"/>
              <w:rPr>
                <w:lang w:val="en-GB"/>
              </w:rPr>
            </w:pPr>
            <w:r w:rsidRPr="009468A2">
              <w:rPr>
                <w:lang w:val="en-GB"/>
              </w:rPr>
              <w:t>Mode</w:t>
            </w:r>
            <w:r w:rsidR="002B5018" w:rsidRPr="009468A2">
              <w:rPr>
                <w:lang w:val="en-GB"/>
              </w:rPr>
              <w:t xml:space="preserve"> (</w:t>
            </w:r>
            <w:proofErr w:type="spellStart"/>
            <w:r w:rsidR="002B5018" w:rsidRPr="009468A2">
              <w:t>μm</w:t>
            </w:r>
            <w:proofErr w:type="spellEnd"/>
            <w:r w:rsidR="002B5018" w:rsidRPr="009468A2">
              <w:t>)</w:t>
            </w:r>
          </w:p>
        </w:tc>
        <w:tc>
          <w:tcPr>
            <w:tcW w:w="1560" w:type="dxa"/>
            <w:shd w:val="clear" w:color="auto" w:fill="FFFFFF"/>
          </w:tcPr>
          <w:p w14:paraId="0B4270FB" w14:textId="40DDA4CC" w:rsidR="00E25CF3" w:rsidRPr="009468A2" w:rsidRDefault="00E25CF3" w:rsidP="00E25CF3">
            <w:pPr>
              <w:pStyle w:val="CETBodytext"/>
              <w:jc w:val="center"/>
              <w:rPr>
                <w:lang w:val="en-GB"/>
              </w:rPr>
            </w:pPr>
            <w:r w:rsidRPr="009468A2">
              <w:rPr>
                <w:lang w:val="en-GB"/>
              </w:rPr>
              <w:t>FD</w:t>
            </w:r>
          </w:p>
        </w:tc>
        <w:tc>
          <w:tcPr>
            <w:tcW w:w="1417" w:type="dxa"/>
          </w:tcPr>
          <w:p w14:paraId="0EF4F9FE" w14:textId="511A74CE" w:rsidR="00E25CF3" w:rsidRPr="009468A2" w:rsidRDefault="00E25CF3" w:rsidP="00E25CF3">
            <w:pPr>
              <w:pStyle w:val="CETBodytext"/>
              <w:rPr>
                <w:szCs w:val="18"/>
                <w:lang w:val="en-GB"/>
              </w:rPr>
            </w:pPr>
            <w:r w:rsidRPr="009468A2">
              <w:rPr>
                <w:rFonts w:cs="Arial"/>
                <w:szCs w:val="18"/>
              </w:rPr>
              <w:t>63</w:t>
            </w:r>
            <w:r w:rsidRPr="009468A2">
              <w:rPr>
                <w:rFonts w:cs="Arial"/>
                <w:szCs w:val="18"/>
                <w:vertAlign w:val="superscript"/>
              </w:rPr>
              <w:t>(Aa)</w:t>
            </w:r>
          </w:p>
        </w:tc>
        <w:tc>
          <w:tcPr>
            <w:tcW w:w="1701" w:type="dxa"/>
          </w:tcPr>
          <w:p w14:paraId="67275093" w14:textId="7EFFD87A" w:rsidR="00E25CF3" w:rsidRPr="009468A2" w:rsidRDefault="00E25CF3" w:rsidP="00E25CF3">
            <w:pPr>
              <w:pStyle w:val="CETBodytext"/>
              <w:ind w:right="-1"/>
              <w:rPr>
                <w:rFonts w:cs="Arial"/>
                <w:szCs w:val="18"/>
                <w:lang w:val="en-GB"/>
              </w:rPr>
            </w:pPr>
            <w:r w:rsidRPr="009468A2">
              <w:rPr>
                <w:szCs w:val="18"/>
              </w:rPr>
              <w:t>63</w:t>
            </w:r>
            <w:r w:rsidRPr="009468A2">
              <w:rPr>
                <w:rFonts w:cs="Arial"/>
                <w:szCs w:val="18"/>
                <w:vertAlign w:val="superscript"/>
              </w:rPr>
              <w:t>(Aa)</w:t>
            </w:r>
          </w:p>
        </w:tc>
        <w:tc>
          <w:tcPr>
            <w:tcW w:w="1276" w:type="dxa"/>
          </w:tcPr>
          <w:p w14:paraId="6A4B064B" w14:textId="3820B1C3" w:rsidR="00E25CF3" w:rsidRPr="009468A2" w:rsidRDefault="00E25CF3" w:rsidP="00E25CF3">
            <w:pPr>
              <w:pStyle w:val="CETBodytext"/>
              <w:ind w:right="-1"/>
              <w:rPr>
                <w:rFonts w:cs="Arial"/>
                <w:szCs w:val="18"/>
                <w:lang w:val="en-GB"/>
              </w:rPr>
            </w:pPr>
            <w:r w:rsidRPr="009468A2">
              <w:rPr>
                <w:szCs w:val="18"/>
              </w:rPr>
              <w:t>63</w:t>
            </w:r>
            <w:r w:rsidRPr="009468A2">
              <w:rPr>
                <w:rFonts w:cs="Arial"/>
                <w:szCs w:val="18"/>
                <w:vertAlign w:val="superscript"/>
              </w:rPr>
              <w:t>(Aa)</w:t>
            </w:r>
          </w:p>
        </w:tc>
      </w:tr>
      <w:tr w:rsidR="00E25CF3" w:rsidRPr="009468A2" w14:paraId="1777C522" w14:textId="77777777" w:rsidTr="00E25CF3">
        <w:tc>
          <w:tcPr>
            <w:tcW w:w="1134" w:type="dxa"/>
            <w:vMerge/>
            <w:shd w:val="clear" w:color="auto" w:fill="FFFFFF"/>
          </w:tcPr>
          <w:p w14:paraId="59954EC2" w14:textId="77777777" w:rsidR="00E25CF3" w:rsidRPr="009468A2" w:rsidRDefault="00E25CF3" w:rsidP="00E25CF3">
            <w:pPr>
              <w:pStyle w:val="CETBodytext"/>
              <w:ind w:right="-1"/>
              <w:rPr>
                <w:rFonts w:cs="Arial"/>
                <w:szCs w:val="18"/>
                <w:lang w:val="en-GB"/>
              </w:rPr>
            </w:pPr>
          </w:p>
        </w:tc>
        <w:tc>
          <w:tcPr>
            <w:tcW w:w="1560" w:type="dxa"/>
            <w:shd w:val="clear" w:color="auto" w:fill="FFFFFF"/>
          </w:tcPr>
          <w:p w14:paraId="4FFB40F7" w14:textId="120807BF" w:rsidR="00E25CF3" w:rsidRPr="009468A2" w:rsidRDefault="00E25CF3" w:rsidP="00E25CF3">
            <w:pPr>
              <w:pStyle w:val="CETBodytext"/>
              <w:ind w:right="-1"/>
              <w:jc w:val="center"/>
              <w:rPr>
                <w:rFonts w:cs="Arial"/>
                <w:szCs w:val="18"/>
                <w:lang w:val="en-GB"/>
              </w:rPr>
            </w:pPr>
            <w:r w:rsidRPr="009468A2">
              <w:rPr>
                <w:lang w:val="en-GB"/>
              </w:rPr>
              <w:t>AD</w:t>
            </w:r>
          </w:p>
        </w:tc>
        <w:tc>
          <w:tcPr>
            <w:tcW w:w="1417" w:type="dxa"/>
          </w:tcPr>
          <w:p w14:paraId="74F8316C" w14:textId="59505FFA" w:rsidR="00E25CF3" w:rsidRPr="009468A2" w:rsidRDefault="00E25CF3" w:rsidP="00E25CF3">
            <w:pPr>
              <w:pStyle w:val="CETBodytext"/>
              <w:ind w:right="-1"/>
              <w:rPr>
                <w:rFonts w:cs="Arial"/>
                <w:szCs w:val="18"/>
                <w:lang w:val="en-GB"/>
              </w:rPr>
            </w:pPr>
            <w:r w:rsidRPr="009468A2">
              <w:rPr>
                <w:rFonts w:cs="Arial"/>
                <w:szCs w:val="18"/>
              </w:rPr>
              <w:t>63</w:t>
            </w:r>
            <w:r w:rsidRPr="009468A2">
              <w:rPr>
                <w:rFonts w:cs="Arial"/>
                <w:szCs w:val="18"/>
                <w:vertAlign w:val="superscript"/>
              </w:rPr>
              <w:t>(Aa)</w:t>
            </w:r>
          </w:p>
        </w:tc>
        <w:tc>
          <w:tcPr>
            <w:tcW w:w="1701" w:type="dxa"/>
          </w:tcPr>
          <w:p w14:paraId="708CF970" w14:textId="7B7EE75D" w:rsidR="00E25CF3" w:rsidRPr="009468A2" w:rsidRDefault="00E25CF3" w:rsidP="00E25CF3">
            <w:pPr>
              <w:pStyle w:val="CETBodytext"/>
              <w:ind w:right="-1"/>
              <w:rPr>
                <w:rFonts w:cs="Arial"/>
                <w:szCs w:val="18"/>
                <w:lang w:val="en-GB"/>
              </w:rPr>
            </w:pPr>
            <w:r w:rsidRPr="009468A2">
              <w:rPr>
                <w:szCs w:val="18"/>
              </w:rPr>
              <w:t>81</w:t>
            </w:r>
            <w:r w:rsidRPr="009468A2">
              <w:rPr>
                <w:rFonts w:cs="Arial"/>
                <w:szCs w:val="18"/>
              </w:rPr>
              <w:t>±16</w:t>
            </w:r>
            <w:r w:rsidRPr="009468A2">
              <w:rPr>
                <w:rFonts w:cs="Arial"/>
                <w:szCs w:val="18"/>
                <w:vertAlign w:val="superscript"/>
              </w:rPr>
              <w:t>(Bb)</w:t>
            </w:r>
          </w:p>
        </w:tc>
        <w:tc>
          <w:tcPr>
            <w:tcW w:w="1276" w:type="dxa"/>
          </w:tcPr>
          <w:p w14:paraId="6B4A2B9B" w14:textId="4E7ECA0E" w:rsidR="00E25CF3" w:rsidRPr="009468A2" w:rsidRDefault="00E25CF3" w:rsidP="00E25CF3">
            <w:pPr>
              <w:pStyle w:val="CETBodytext"/>
              <w:ind w:right="-1"/>
              <w:rPr>
                <w:rFonts w:cs="Arial"/>
                <w:szCs w:val="18"/>
                <w:lang w:val="en-GB"/>
              </w:rPr>
            </w:pPr>
            <w:r w:rsidRPr="009468A2">
              <w:rPr>
                <w:szCs w:val="18"/>
              </w:rPr>
              <w:t>90</w:t>
            </w:r>
            <w:r w:rsidRPr="009468A2">
              <w:rPr>
                <w:rFonts w:cs="Arial"/>
                <w:szCs w:val="18"/>
                <w:vertAlign w:val="superscript"/>
              </w:rPr>
              <w:t>(Bb)</w:t>
            </w:r>
          </w:p>
        </w:tc>
      </w:tr>
    </w:tbl>
    <w:p w14:paraId="69697AFE" w14:textId="621CAE3E" w:rsidR="0017068C" w:rsidRPr="009468A2" w:rsidRDefault="00B56D91" w:rsidP="0017068C">
      <w:pPr>
        <w:pStyle w:val="CETHeading1"/>
        <w:numPr>
          <w:ilvl w:val="0"/>
          <w:numId w:val="0"/>
        </w:numPr>
        <w:spacing w:before="0"/>
        <w:rPr>
          <w:b w:val="0"/>
          <w:i/>
          <w:sz w:val="18"/>
          <w:szCs w:val="18"/>
          <w:lang w:val="en-GB"/>
        </w:rPr>
      </w:pPr>
      <w:r w:rsidRPr="009468A2">
        <w:rPr>
          <w:b w:val="0"/>
          <w:i/>
          <w:sz w:val="18"/>
          <w:szCs w:val="18"/>
          <w:lang w:val="en-GB"/>
        </w:rPr>
        <w:t>Different letters in upper case (</w:t>
      </w:r>
      <w:proofErr w:type="gramStart"/>
      <w:r w:rsidRPr="009468A2">
        <w:rPr>
          <w:b w:val="0"/>
          <w:i/>
          <w:sz w:val="18"/>
          <w:szCs w:val="18"/>
          <w:lang w:val="en-GB"/>
        </w:rPr>
        <w:t>A,B</w:t>
      </w:r>
      <w:proofErr w:type="gramEnd"/>
      <w:r w:rsidRPr="009468A2">
        <w:rPr>
          <w:b w:val="0"/>
          <w:i/>
          <w:sz w:val="18"/>
          <w:szCs w:val="18"/>
          <w:lang w:val="en-GB"/>
        </w:rPr>
        <w:t>) or lower case (</w:t>
      </w:r>
      <w:proofErr w:type="spellStart"/>
      <w:proofErr w:type="gramStart"/>
      <w:r w:rsidRPr="009468A2">
        <w:rPr>
          <w:b w:val="0"/>
          <w:i/>
          <w:sz w:val="18"/>
          <w:szCs w:val="18"/>
          <w:lang w:val="en-GB"/>
        </w:rPr>
        <w:t>a,b</w:t>
      </w:r>
      <w:proofErr w:type="spellEnd"/>
      <w:proofErr w:type="gramEnd"/>
      <w:r w:rsidRPr="009468A2">
        <w:rPr>
          <w:b w:val="0"/>
          <w:i/>
          <w:sz w:val="18"/>
          <w:szCs w:val="18"/>
          <w:lang w:val="en-GB"/>
        </w:rPr>
        <w:t>) indicate significant differences (p&lt;0.05) between the temperature (45, 50 or 55 ºC) or the drying process (FD or AD), respectively</w:t>
      </w:r>
      <w:r w:rsidR="0017068C" w:rsidRPr="009468A2">
        <w:rPr>
          <w:b w:val="0"/>
          <w:i/>
          <w:sz w:val="18"/>
          <w:szCs w:val="18"/>
          <w:lang w:val="en-GB"/>
        </w:rPr>
        <w:t>.</w:t>
      </w:r>
    </w:p>
    <w:p w14:paraId="593C64F0" w14:textId="77777777" w:rsidR="00D92770" w:rsidRPr="009468A2" w:rsidRDefault="00D92770" w:rsidP="00D92770">
      <w:pPr>
        <w:pStyle w:val="CETBodytext"/>
      </w:pPr>
      <w:r>
        <w:rPr>
          <w:lang w:val="en-GB"/>
        </w:rPr>
        <w:t xml:space="preserve">As </w:t>
      </w:r>
      <w:r w:rsidRPr="009468A2">
        <w:rPr>
          <w:lang w:val="en-GB"/>
        </w:rPr>
        <w:t xml:space="preserve">observed </w:t>
      </w:r>
      <w:r>
        <w:rPr>
          <w:lang w:val="en-GB"/>
        </w:rPr>
        <w:t xml:space="preserve">in </w:t>
      </w:r>
      <w:r w:rsidRPr="009468A2">
        <w:rPr>
          <w:lang w:val="en-GB"/>
        </w:rPr>
        <w:t>Table 1</w:t>
      </w:r>
      <w:r>
        <w:rPr>
          <w:lang w:val="en-GB"/>
        </w:rPr>
        <w:t xml:space="preserve">, </w:t>
      </w:r>
      <w:r w:rsidRPr="009468A2">
        <w:rPr>
          <w:lang w:val="en-GB"/>
        </w:rPr>
        <w:t xml:space="preserve">FD yields flours with a lower MPS and median than AD (p&lt;0.05). This may be mainly due to the fact that the freeze-dried product is easier to grind as it is more porous and does not suffer from crusting. On the other hand, a higher temperature during FD seems to result in an even more porous product, whereas in </w:t>
      </w:r>
      <w:r>
        <w:rPr>
          <w:lang w:val="en-GB"/>
        </w:rPr>
        <w:t>the case of AD, it would lead to a higher crusting of the product,</w:t>
      </w:r>
      <w:r w:rsidRPr="009468A2">
        <w:rPr>
          <w:lang w:val="en-GB"/>
        </w:rPr>
        <w:t xml:space="preserve"> which would offer more resistance to crushing. </w:t>
      </w:r>
      <w:r w:rsidRPr="009468A2">
        <w:t xml:space="preserve">The mode </w:t>
      </w:r>
      <w:r>
        <w:t>was significantly greater in the case of AD samples obtained at the higher</w:t>
      </w:r>
      <w:r w:rsidRPr="009468A2">
        <w:t xml:space="preserve"> temperatures.</w:t>
      </w:r>
    </w:p>
    <w:p w14:paraId="0A1D92E1" w14:textId="7CF91E0E" w:rsidR="00F968F1" w:rsidRPr="009468A2" w:rsidRDefault="001A1197" w:rsidP="001B203B">
      <w:pPr>
        <w:pStyle w:val="CETBodytext"/>
      </w:pPr>
      <w:r w:rsidRPr="009468A2">
        <w:rPr>
          <w:lang w:val="en-GB"/>
        </w:rPr>
        <w:t xml:space="preserve">Table 2 shows the results of the analysed physical properties related to the powder </w:t>
      </w:r>
      <w:r w:rsidR="009B7D88">
        <w:rPr>
          <w:lang w:val="en-GB"/>
        </w:rPr>
        <w:t>particles'</w:t>
      </w:r>
      <w:r w:rsidRPr="009468A2">
        <w:rPr>
          <w:lang w:val="en-GB"/>
        </w:rPr>
        <w:t xml:space="preserve"> flowability. </w:t>
      </w:r>
      <w:r w:rsidRPr="009468A2">
        <w:rPr>
          <w:color w:val="000000" w:themeColor="text1"/>
          <w:lang w:val="en-GB"/>
        </w:rPr>
        <w:t>These properties influence the behaviour of the powder during handling</w:t>
      </w:r>
      <w:r w:rsidR="008062F6">
        <w:rPr>
          <w:color w:val="000000" w:themeColor="text1"/>
          <w:lang w:val="en-GB"/>
        </w:rPr>
        <w:t>,</w:t>
      </w:r>
      <w:r w:rsidRPr="009468A2">
        <w:rPr>
          <w:color w:val="000000" w:themeColor="text1"/>
          <w:lang w:val="en-GB"/>
        </w:rPr>
        <w:t xml:space="preserve"> after processing. The looser the particles of a </w:t>
      </w:r>
      <w:r w:rsidRPr="009468A2">
        <w:rPr>
          <w:color w:val="000000" w:themeColor="text1"/>
          <w:lang w:val="en-GB"/>
        </w:rPr>
        <w:lastRenderedPageBreak/>
        <w:t xml:space="preserve">powdered product are and the better they flow in the air, the lower the HI, CI and </w:t>
      </w:r>
      <w:r w:rsidRPr="009468A2">
        <w:rPr>
          <w:rFonts w:ascii="Symbol" w:hAnsi="Symbol"/>
          <w:color w:val="000000" w:themeColor="text1"/>
          <w:lang w:val="es-ES"/>
        </w:rPr>
        <w:t></w:t>
      </w:r>
      <w:r w:rsidRPr="009468A2">
        <w:rPr>
          <w:color w:val="000000" w:themeColor="text1"/>
          <w:lang w:val="en-GB"/>
        </w:rPr>
        <w:t xml:space="preserve">. Temperature did not influence any of these </w:t>
      </w:r>
      <w:r w:rsidR="000410D9">
        <w:rPr>
          <w:color w:val="000000" w:themeColor="text1"/>
          <w:lang w:val="en-GB"/>
        </w:rPr>
        <w:t xml:space="preserve">three </w:t>
      </w:r>
      <w:r w:rsidRPr="009468A2">
        <w:rPr>
          <w:color w:val="000000" w:themeColor="text1"/>
          <w:lang w:val="en-GB"/>
        </w:rPr>
        <w:t xml:space="preserve">parameters and, although, according to their values, all products showed an acceptable </w:t>
      </w:r>
      <w:r w:rsidR="0066417A" w:rsidRPr="009468A2">
        <w:rPr>
          <w:color w:val="000000" w:themeColor="text1"/>
          <w:lang w:val="en-GB"/>
        </w:rPr>
        <w:t>behaviour</w:t>
      </w:r>
      <w:r w:rsidRPr="009468A2">
        <w:rPr>
          <w:color w:val="000000" w:themeColor="text1"/>
          <w:lang w:val="en-GB"/>
        </w:rPr>
        <w:t xml:space="preserve"> (</w:t>
      </w:r>
      <w:r w:rsidR="00280978" w:rsidRPr="009468A2">
        <w:rPr>
          <w:color w:val="000000" w:themeColor="text1"/>
          <w:lang w:val="en-GB"/>
        </w:rPr>
        <w:t>Alavi, 2005; Barbosa-</w:t>
      </w:r>
      <w:proofErr w:type="spellStart"/>
      <w:r w:rsidR="00280978" w:rsidRPr="009468A2">
        <w:rPr>
          <w:color w:val="000000" w:themeColor="text1"/>
          <w:lang w:val="en-GB"/>
        </w:rPr>
        <w:t>Cánovas</w:t>
      </w:r>
      <w:proofErr w:type="spellEnd"/>
      <w:r w:rsidR="00280978" w:rsidRPr="009468A2">
        <w:rPr>
          <w:color w:val="000000" w:themeColor="text1"/>
          <w:lang w:val="en-GB"/>
        </w:rPr>
        <w:t xml:space="preserve"> et al., 2005;</w:t>
      </w:r>
      <w:r w:rsidR="00280978" w:rsidRPr="009468A2">
        <w:t xml:space="preserve"> </w:t>
      </w:r>
      <w:r w:rsidR="00280978" w:rsidRPr="009468A2">
        <w:rPr>
          <w:color w:val="000000" w:themeColor="text1"/>
          <w:lang w:val="en-GB"/>
        </w:rPr>
        <w:t>Fitzpatrick, 2013)</w:t>
      </w:r>
      <w:r w:rsidRPr="009468A2">
        <w:rPr>
          <w:color w:val="000000" w:themeColor="text1"/>
          <w:lang w:val="en-GB"/>
        </w:rPr>
        <w:t xml:space="preserve">, the flowability of AD flours, with larger particle size, </w:t>
      </w:r>
      <w:r w:rsidR="00666A55" w:rsidRPr="009468A2">
        <w:rPr>
          <w:color w:val="000000" w:themeColor="text1"/>
          <w:lang w:val="en-GB"/>
        </w:rPr>
        <w:t xml:space="preserve">was </w:t>
      </w:r>
      <w:r w:rsidRPr="009468A2">
        <w:rPr>
          <w:color w:val="000000" w:themeColor="text1"/>
          <w:lang w:val="en-GB"/>
        </w:rPr>
        <w:t>better than th</w:t>
      </w:r>
      <w:r w:rsidR="00666A55" w:rsidRPr="009468A2">
        <w:rPr>
          <w:color w:val="000000" w:themeColor="text1"/>
          <w:lang w:val="en-GB"/>
        </w:rPr>
        <w:t>at of</w:t>
      </w:r>
      <w:r w:rsidRPr="009468A2">
        <w:rPr>
          <w:color w:val="000000" w:themeColor="text1"/>
          <w:lang w:val="en-GB"/>
        </w:rPr>
        <w:t xml:space="preserve"> FD </w:t>
      </w:r>
      <w:r w:rsidR="00666A55" w:rsidRPr="009468A2">
        <w:rPr>
          <w:color w:val="000000" w:themeColor="text1"/>
          <w:lang w:val="en-GB"/>
        </w:rPr>
        <w:t>flours</w:t>
      </w:r>
      <w:r w:rsidRPr="009468A2">
        <w:rPr>
          <w:color w:val="000000" w:themeColor="text1"/>
          <w:lang w:val="en-GB"/>
        </w:rPr>
        <w:t>.</w:t>
      </w:r>
      <w:r w:rsidR="00666A55" w:rsidRPr="009468A2">
        <w:rPr>
          <w:color w:val="000000" w:themeColor="text1"/>
          <w:lang w:val="en-GB"/>
        </w:rPr>
        <w:t xml:space="preserve"> </w:t>
      </w:r>
      <w:r w:rsidR="00666A55" w:rsidRPr="009468A2">
        <w:rPr>
          <w:lang w:val="en-GB"/>
        </w:rPr>
        <w:t>This is consistent with some studies that associate larger particle size with better particle flow of a powder</w:t>
      </w:r>
      <w:r w:rsidR="001B203B" w:rsidRPr="009468A2">
        <w:rPr>
          <w:lang w:val="en-GB"/>
        </w:rPr>
        <w:t xml:space="preserve"> (Zhou et al., 2001)</w:t>
      </w:r>
      <w:r w:rsidR="00F25C49" w:rsidRPr="009468A2">
        <w:rPr>
          <w:lang w:val="en-GB"/>
        </w:rPr>
        <w:t xml:space="preserve">. </w:t>
      </w:r>
      <w:r w:rsidR="004B3700" w:rsidRPr="009468A2">
        <w:t xml:space="preserve">In addition, the lower porosity of the AD samples can </w:t>
      </w:r>
      <w:r w:rsidR="008062F6">
        <w:t>also contribute</w:t>
      </w:r>
      <w:r w:rsidR="004B3700" w:rsidRPr="009468A2">
        <w:t xml:space="preserve"> to their better flowability, which allows better accommodation of the particles</w:t>
      </w:r>
      <w:r w:rsidR="002773FE" w:rsidRPr="009468A2">
        <w:t>.</w:t>
      </w:r>
    </w:p>
    <w:p w14:paraId="463DDE31" w14:textId="36F993D7" w:rsidR="00B56D91" w:rsidRPr="009468A2" w:rsidRDefault="00B56D91" w:rsidP="00B56D91">
      <w:pPr>
        <w:pStyle w:val="CETTabletitle"/>
      </w:pPr>
      <w:r w:rsidRPr="009468A2">
        <w:t xml:space="preserve">Table 2: </w:t>
      </w:r>
      <w:r w:rsidR="00AF2AA6" w:rsidRPr="009468A2">
        <w:t>Mean value ± standard deviation of the</w:t>
      </w:r>
      <w:r w:rsidR="009578BE" w:rsidRPr="009468A2">
        <w:t xml:space="preserve"> angle of repose (α), porosities: poured (</w:t>
      </w:r>
      <w:proofErr w:type="spellStart"/>
      <w:r w:rsidR="009578BE" w:rsidRPr="009468A2">
        <w:t>ε</w:t>
      </w:r>
      <w:r w:rsidR="009578BE" w:rsidRPr="009468A2">
        <w:rPr>
          <w:vertAlign w:val="subscript"/>
        </w:rPr>
        <w:t>p</w:t>
      </w:r>
      <w:proofErr w:type="spellEnd"/>
      <w:r w:rsidR="009578BE" w:rsidRPr="009468A2">
        <w:t>) and tapped (</w:t>
      </w:r>
      <w:proofErr w:type="spellStart"/>
      <w:r w:rsidR="009578BE" w:rsidRPr="009468A2">
        <w:t>ε</w:t>
      </w:r>
      <w:r w:rsidR="009578BE" w:rsidRPr="009468A2">
        <w:rPr>
          <w:vertAlign w:val="subscript"/>
        </w:rPr>
        <w:t>t</w:t>
      </w:r>
      <w:proofErr w:type="spellEnd"/>
      <w:r w:rsidR="009578BE" w:rsidRPr="009468A2">
        <w:t>), Hausner index (HI) and Carr index (CI)</w:t>
      </w:r>
      <w:r w:rsidR="00AF2AA6" w:rsidRPr="009468A2">
        <w:t xml:space="preserve"> </w:t>
      </w:r>
      <w:r w:rsidR="00ED15AD" w:rsidRPr="009468A2">
        <w:t>analysed</w:t>
      </w:r>
      <w:r w:rsidR="009578BE" w:rsidRPr="009468A2">
        <w:t xml:space="preserve"> to</w:t>
      </w:r>
      <w:r w:rsidR="00AF2AA6" w:rsidRPr="009468A2">
        <w:t xml:space="preserve"> the samples</w:t>
      </w:r>
      <w:r w:rsidR="000B4F91" w:rsidRPr="009468A2">
        <w:t xml:space="preserve"> obtained by </w:t>
      </w:r>
      <w:r w:rsidR="009578BE" w:rsidRPr="009468A2">
        <w:t>freeze-drying (FD) and air drying (AD)</w:t>
      </w:r>
      <w:r w:rsidR="000B4F91" w:rsidRPr="009468A2">
        <w:t>, at 45, 50 and 55 ºC</w:t>
      </w:r>
      <w:r w:rsidR="00AF2AA6" w:rsidRPr="009468A2">
        <w:t xml:space="preserv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560"/>
        <w:gridCol w:w="1417"/>
        <w:gridCol w:w="1701"/>
        <w:gridCol w:w="1559"/>
      </w:tblGrid>
      <w:tr w:rsidR="00B56D91" w:rsidRPr="009468A2" w14:paraId="694738B7" w14:textId="77777777" w:rsidTr="00AF2AA6">
        <w:tc>
          <w:tcPr>
            <w:tcW w:w="1134" w:type="dxa"/>
            <w:tcBorders>
              <w:top w:val="single" w:sz="12" w:space="0" w:color="008000"/>
              <w:bottom w:val="single" w:sz="6" w:space="0" w:color="008000"/>
            </w:tcBorders>
            <w:shd w:val="clear" w:color="auto" w:fill="FFFFFF"/>
          </w:tcPr>
          <w:p w14:paraId="4E81E7C0" w14:textId="77777777" w:rsidR="00B56D91" w:rsidRPr="009468A2" w:rsidRDefault="00B56D91" w:rsidP="00723E89">
            <w:pPr>
              <w:pStyle w:val="CETBodytext"/>
              <w:rPr>
                <w:lang w:val="en-GB"/>
              </w:rPr>
            </w:pPr>
          </w:p>
        </w:tc>
        <w:tc>
          <w:tcPr>
            <w:tcW w:w="1560" w:type="dxa"/>
            <w:tcBorders>
              <w:top w:val="single" w:sz="12" w:space="0" w:color="008000"/>
              <w:bottom w:val="single" w:sz="6" w:space="0" w:color="008000"/>
            </w:tcBorders>
            <w:shd w:val="clear" w:color="auto" w:fill="FFFFFF"/>
          </w:tcPr>
          <w:p w14:paraId="68A48471" w14:textId="2261DEB7" w:rsidR="00B56D91" w:rsidRPr="009468A2" w:rsidRDefault="00B56D91" w:rsidP="00723E89">
            <w:pPr>
              <w:pStyle w:val="CETBodytext"/>
              <w:rPr>
                <w:lang w:val="en-GB"/>
              </w:rPr>
            </w:pPr>
          </w:p>
        </w:tc>
        <w:tc>
          <w:tcPr>
            <w:tcW w:w="1417" w:type="dxa"/>
            <w:tcBorders>
              <w:top w:val="single" w:sz="12" w:space="0" w:color="008000"/>
              <w:bottom w:val="single" w:sz="6" w:space="0" w:color="008000"/>
            </w:tcBorders>
            <w:shd w:val="clear" w:color="auto" w:fill="FFFFFF"/>
          </w:tcPr>
          <w:p w14:paraId="0A79DF23" w14:textId="77777777" w:rsidR="00B56D91" w:rsidRPr="009468A2" w:rsidRDefault="00B56D91" w:rsidP="00723E89">
            <w:pPr>
              <w:pStyle w:val="CETBodytext"/>
              <w:rPr>
                <w:lang w:val="en-GB"/>
              </w:rPr>
            </w:pPr>
            <w:r w:rsidRPr="009468A2">
              <w:rPr>
                <w:lang w:val="en-GB"/>
              </w:rPr>
              <w:t>45 ºC</w:t>
            </w:r>
          </w:p>
        </w:tc>
        <w:tc>
          <w:tcPr>
            <w:tcW w:w="1701" w:type="dxa"/>
            <w:tcBorders>
              <w:top w:val="single" w:sz="12" w:space="0" w:color="008000"/>
              <w:bottom w:val="single" w:sz="6" w:space="0" w:color="008000"/>
            </w:tcBorders>
            <w:shd w:val="clear" w:color="auto" w:fill="FFFFFF"/>
          </w:tcPr>
          <w:p w14:paraId="0071ED67" w14:textId="77777777" w:rsidR="00B56D91" w:rsidRPr="009468A2" w:rsidRDefault="00B56D91" w:rsidP="00723E89">
            <w:pPr>
              <w:pStyle w:val="CETBodytext"/>
              <w:ind w:right="-1"/>
              <w:rPr>
                <w:rFonts w:cs="Arial"/>
                <w:szCs w:val="18"/>
                <w:lang w:val="en-GB"/>
              </w:rPr>
            </w:pPr>
            <w:r w:rsidRPr="009468A2">
              <w:rPr>
                <w:rFonts w:cs="Arial"/>
                <w:szCs w:val="18"/>
                <w:lang w:val="en-GB"/>
              </w:rPr>
              <w:t>50 ºC</w:t>
            </w:r>
          </w:p>
        </w:tc>
        <w:tc>
          <w:tcPr>
            <w:tcW w:w="1559" w:type="dxa"/>
            <w:tcBorders>
              <w:top w:val="single" w:sz="12" w:space="0" w:color="008000"/>
              <w:bottom w:val="single" w:sz="6" w:space="0" w:color="008000"/>
            </w:tcBorders>
            <w:shd w:val="clear" w:color="auto" w:fill="FFFFFF"/>
          </w:tcPr>
          <w:p w14:paraId="2DAD37ED" w14:textId="77777777" w:rsidR="00B56D91" w:rsidRPr="009468A2" w:rsidRDefault="00B56D91" w:rsidP="00723E89">
            <w:pPr>
              <w:pStyle w:val="CETBodytext"/>
              <w:ind w:right="-1"/>
              <w:rPr>
                <w:rFonts w:cs="Arial"/>
                <w:szCs w:val="18"/>
                <w:lang w:val="en-GB"/>
              </w:rPr>
            </w:pPr>
            <w:r w:rsidRPr="009468A2">
              <w:rPr>
                <w:rFonts w:cs="Arial"/>
                <w:szCs w:val="18"/>
                <w:lang w:val="en-GB"/>
              </w:rPr>
              <w:t>55 ºC</w:t>
            </w:r>
          </w:p>
        </w:tc>
      </w:tr>
      <w:tr w:rsidR="00B56D91" w:rsidRPr="009468A2" w14:paraId="1A87BF1B" w14:textId="77777777" w:rsidTr="00AF2AA6">
        <w:tc>
          <w:tcPr>
            <w:tcW w:w="1134" w:type="dxa"/>
            <w:tcBorders>
              <w:top w:val="single" w:sz="12" w:space="0" w:color="008000"/>
              <w:bottom w:val="single" w:sz="6" w:space="0" w:color="008000"/>
            </w:tcBorders>
            <w:shd w:val="clear" w:color="auto" w:fill="FFFFFF"/>
          </w:tcPr>
          <w:p w14:paraId="12D2E309" w14:textId="77777777" w:rsidR="00B56D91" w:rsidRPr="009468A2" w:rsidRDefault="00B56D91" w:rsidP="00723E89">
            <w:pPr>
              <w:pStyle w:val="CETBodytext"/>
              <w:rPr>
                <w:lang w:val="en-GB"/>
              </w:rPr>
            </w:pPr>
          </w:p>
        </w:tc>
        <w:tc>
          <w:tcPr>
            <w:tcW w:w="1560" w:type="dxa"/>
            <w:tcBorders>
              <w:top w:val="single" w:sz="12" w:space="0" w:color="008000"/>
              <w:bottom w:val="single" w:sz="6" w:space="0" w:color="008000"/>
            </w:tcBorders>
            <w:shd w:val="clear" w:color="auto" w:fill="FFFFFF"/>
          </w:tcPr>
          <w:p w14:paraId="3F5C8A57" w14:textId="77777777" w:rsidR="00B56D91" w:rsidRPr="009468A2" w:rsidRDefault="00B56D91" w:rsidP="00723E89">
            <w:pPr>
              <w:pStyle w:val="CETBodytext"/>
              <w:rPr>
                <w:lang w:val="en-GB"/>
              </w:rPr>
            </w:pPr>
          </w:p>
        </w:tc>
        <w:tc>
          <w:tcPr>
            <w:tcW w:w="1417" w:type="dxa"/>
            <w:tcBorders>
              <w:top w:val="single" w:sz="12" w:space="0" w:color="008000"/>
              <w:bottom w:val="single" w:sz="6" w:space="0" w:color="008000"/>
            </w:tcBorders>
            <w:shd w:val="clear" w:color="auto" w:fill="FFFFFF"/>
          </w:tcPr>
          <w:p w14:paraId="5C33FCAD" w14:textId="77777777" w:rsidR="00B56D91" w:rsidRPr="009468A2" w:rsidRDefault="00B56D91" w:rsidP="00723E89">
            <w:pPr>
              <w:pStyle w:val="CETBodytext"/>
              <w:rPr>
                <w:lang w:val="en-GB"/>
              </w:rPr>
            </w:pPr>
          </w:p>
        </w:tc>
        <w:tc>
          <w:tcPr>
            <w:tcW w:w="1701" w:type="dxa"/>
            <w:tcBorders>
              <w:top w:val="single" w:sz="12" w:space="0" w:color="008000"/>
              <w:bottom w:val="single" w:sz="6" w:space="0" w:color="008000"/>
            </w:tcBorders>
            <w:shd w:val="clear" w:color="auto" w:fill="FFFFFF"/>
          </w:tcPr>
          <w:p w14:paraId="51716737" w14:textId="77777777" w:rsidR="00B56D91" w:rsidRPr="009468A2" w:rsidRDefault="00B56D91" w:rsidP="00723E89">
            <w:pPr>
              <w:pStyle w:val="CETBodytext"/>
              <w:ind w:right="-1"/>
              <w:rPr>
                <w:rFonts w:cs="Arial"/>
                <w:szCs w:val="18"/>
                <w:lang w:val="en-GB"/>
              </w:rPr>
            </w:pPr>
          </w:p>
        </w:tc>
        <w:tc>
          <w:tcPr>
            <w:tcW w:w="1559" w:type="dxa"/>
            <w:tcBorders>
              <w:top w:val="single" w:sz="12" w:space="0" w:color="008000"/>
              <w:bottom w:val="single" w:sz="6" w:space="0" w:color="008000"/>
            </w:tcBorders>
            <w:shd w:val="clear" w:color="auto" w:fill="FFFFFF"/>
          </w:tcPr>
          <w:p w14:paraId="0691982E" w14:textId="77777777" w:rsidR="00B56D91" w:rsidRPr="009468A2" w:rsidRDefault="00B56D91" w:rsidP="00723E89">
            <w:pPr>
              <w:pStyle w:val="CETBodytext"/>
              <w:ind w:right="-1"/>
              <w:rPr>
                <w:rFonts w:cs="Arial"/>
                <w:szCs w:val="18"/>
                <w:lang w:val="en-GB"/>
              </w:rPr>
            </w:pPr>
          </w:p>
        </w:tc>
      </w:tr>
      <w:tr w:rsidR="00AF2AA6" w:rsidRPr="009468A2" w14:paraId="7EC2B203" w14:textId="77777777" w:rsidTr="00AF2AA6">
        <w:tc>
          <w:tcPr>
            <w:tcW w:w="1134" w:type="dxa"/>
            <w:vMerge w:val="restart"/>
            <w:shd w:val="clear" w:color="auto" w:fill="FFFFFF"/>
            <w:vAlign w:val="center"/>
          </w:tcPr>
          <w:p w14:paraId="6C57C3F8" w14:textId="3837F33E" w:rsidR="00AF2AA6" w:rsidRPr="009468A2" w:rsidRDefault="00AF2AA6" w:rsidP="00AF2AA6">
            <w:pPr>
              <w:pStyle w:val="CETBodytext"/>
              <w:jc w:val="left"/>
              <w:rPr>
                <w:rFonts w:ascii="Symbol" w:hAnsi="Symbol"/>
                <w:lang w:val="en-GB"/>
              </w:rPr>
            </w:pPr>
            <w:r w:rsidRPr="009468A2">
              <w:rPr>
                <w:rFonts w:ascii="Symbol" w:hAnsi="Symbol"/>
                <w:lang w:val="en-GB"/>
              </w:rPr>
              <w:t></w:t>
            </w:r>
            <w:r w:rsidR="00ED15AD" w:rsidRPr="009468A2">
              <w:rPr>
                <w:rFonts w:ascii="Symbol" w:hAnsi="Symbol"/>
                <w:lang w:val="en-GB"/>
              </w:rPr>
              <w:t></w:t>
            </w:r>
            <w:r w:rsidR="00ED15AD" w:rsidRPr="009468A2">
              <w:t>(º)</w:t>
            </w:r>
          </w:p>
        </w:tc>
        <w:tc>
          <w:tcPr>
            <w:tcW w:w="1560" w:type="dxa"/>
            <w:shd w:val="clear" w:color="auto" w:fill="FFFFFF"/>
          </w:tcPr>
          <w:p w14:paraId="7E05F06F" w14:textId="77777777" w:rsidR="00AF2AA6" w:rsidRPr="009468A2" w:rsidRDefault="00AF2AA6" w:rsidP="00AF2AA6">
            <w:pPr>
              <w:pStyle w:val="CETBodytext"/>
              <w:jc w:val="center"/>
              <w:rPr>
                <w:lang w:val="en-GB"/>
              </w:rPr>
            </w:pPr>
            <w:r w:rsidRPr="009468A2">
              <w:rPr>
                <w:lang w:val="en-GB"/>
              </w:rPr>
              <w:t>F</w:t>
            </w:r>
            <w:r w:rsidRPr="009468A2">
              <w:t>D</w:t>
            </w:r>
          </w:p>
        </w:tc>
        <w:tc>
          <w:tcPr>
            <w:tcW w:w="1417" w:type="dxa"/>
          </w:tcPr>
          <w:p w14:paraId="44E5CF88" w14:textId="021B88B1" w:rsidR="00AF2AA6" w:rsidRPr="009468A2" w:rsidRDefault="00AF2AA6" w:rsidP="00AF2AA6">
            <w:pPr>
              <w:pStyle w:val="CETBodytext"/>
              <w:rPr>
                <w:szCs w:val="18"/>
                <w:lang w:val="en-GB"/>
              </w:rPr>
            </w:pPr>
            <w:r w:rsidRPr="009468A2">
              <w:rPr>
                <w:szCs w:val="18"/>
              </w:rPr>
              <w:t>46±3</w:t>
            </w:r>
            <w:r w:rsidRPr="009468A2">
              <w:rPr>
                <w:szCs w:val="18"/>
                <w:vertAlign w:val="superscript"/>
              </w:rPr>
              <w:t>(Aa)</w:t>
            </w:r>
          </w:p>
        </w:tc>
        <w:tc>
          <w:tcPr>
            <w:tcW w:w="1701" w:type="dxa"/>
          </w:tcPr>
          <w:p w14:paraId="3F575BF7" w14:textId="3D59474E" w:rsidR="00AF2AA6" w:rsidRPr="009468A2" w:rsidRDefault="00AF2AA6" w:rsidP="00AF2AA6">
            <w:pPr>
              <w:pStyle w:val="CETBodytext"/>
              <w:ind w:right="-1"/>
              <w:rPr>
                <w:rFonts w:cs="Arial"/>
                <w:szCs w:val="18"/>
                <w:lang w:val="en-GB"/>
              </w:rPr>
            </w:pPr>
            <w:r w:rsidRPr="009468A2">
              <w:rPr>
                <w:szCs w:val="18"/>
              </w:rPr>
              <w:t>45±2</w:t>
            </w:r>
            <w:r w:rsidRPr="009468A2">
              <w:rPr>
                <w:szCs w:val="18"/>
                <w:vertAlign w:val="superscript"/>
              </w:rPr>
              <w:t>(Aa)</w:t>
            </w:r>
          </w:p>
        </w:tc>
        <w:tc>
          <w:tcPr>
            <w:tcW w:w="1559" w:type="dxa"/>
          </w:tcPr>
          <w:p w14:paraId="156FD81E" w14:textId="2422FADA" w:rsidR="00AF2AA6" w:rsidRPr="009468A2" w:rsidRDefault="00AF2AA6" w:rsidP="00AF2AA6">
            <w:pPr>
              <w:pStyle w:val="CETBodytext"/>
              <w:ind w:right="-1"/>
              <w:rPr>
                <w:rFonts w:cs="Arial"/>
                <w:szCs w:val="18"/>
                <w:lang w:val="en-GB"/>
              </w:rPr>
            </w:pPr>
            <w:r w:rsidRPr="009468A2">
              <w:rPr>
                <w:szCs w:val="18"/>
              </w:rPr>
              <w:t>44±4</w:t>
            </w:r>
            <w:r w:rsidRPr="009468A2">
              <w:rPr>
                <w:szCs w:val="18"/>
                <w:vertAlign w:val="superscript"/>
              </w:rPr>
              <w:t>(Aa)</w:t>
            </w:r>
          </w:p>
        </w:tc>
      </w:tr>
      <w:tr w:rsidR="00AF2AA6" w:rsidRPr="009468A2" w14:paraId="48DAB3AC" w14:textId="77777777" w:rsidTr="00AF2AA6">
        <w:tc>
          <w:tcPr>
            <w:tcW w:w="1134" w:type="dxa"/>
            <w:vMerge/>
            <w:shd w:val="clear" w:color="auto" w:fill="FFFFFF"/>
          </w:tcPr>
          <w:p w14:paraId="0E34295C" w14:textId="77777777" w:rsidR="00AF2AA6" w:rsidRPr="009468A2" w:rsidRDefault="00AF2AA6" w:rsidP="00AF2AA6">
            <w:pPr>
              <w:pStyle w:val="CETBodytext"/>
              <w:rPr>
                <w:lang w:val="en-GB"/>
              </w:rPr>
            </w:pPr>
          </w:p>
        </w:tc>
        <w:tc>
          <w:tcPr>
            <w:tcW w:w="1560" w:type="dxa"/>
            <w:shd w:val="clear" w:color="auto" w:fill="FFFFFF"/>
          </w:tcPr>
          <w:p w14:paraId="0223631A" w14:textId="77777777" w:rsidR="00AF2AA6" w:rsidRPr="009468A2" w:rsidRDefault="00AF2AA6" w:rsidP="00AF2AA6">
            <w:pPr>
              <w:pStyle w:val="CETBodytext"/>
              <w:jc w:val="center"/>
              <w:rPr>
                <w:lang w:val="en-GB"/>
              </w:rPr>
            </w:pPr>
            <w:r w:rsidRPr="009468A2">
              <w:rPr>
                <w:lang w:val="en-GB"/>
              </w:rPr>
              <w:t>A</w:t>
            </w:r>
            <w:r w:rsidRPr="009468A2">
              <w:t>D</w:t>
            </w:r>
          </w:p>
        </w:tc>
        <w:tc>
          <w:tcPr>
            <w:tcW w:w="1417" w:type="dxa"/>
          </w:tcPr>
          <w:p w14:paraId="229D8429" w14:textId="0500578F" w:rsidR="00AF2AA6" w:rsidRPr="009468A2" w:rsidRDefault="00AF2AA6" w:rsidP="00AF2AA6">
            <w:pPr>
              <w:pStyle w:val="CETBodytext"/>
              <w:rPr>
                <w:szCs w:val="18"/>
                <w:lang w:val="en-GB"/>
              </w:rPr>
            </w:pPr>
            <w:r w:rsidRPr="009468A2">
              <w:rPr>
                <w:szCs w:val="18"/>
              </w:rPr>
              <w:t>41</w:t>
            </w:r>
            <w:r w:rsidR="00CD5361" w:rsidRPr="009468A2">
              <w:rPr>
                <w:szCs w:val="18"/>
              </w:rPr>
              <w:t>.</w:t>
            </w:r>
            <w:r w:rsidRPr="009468A2">
              <w:rPr>
                <w:szCs w:val="18"/>
              </w:rPr>
              <w:t>5±0</w:t>
            </w:r>
            <w:r w:rsidR="00CD5361" w:rsidRPr="009468A2">
              <w:rPr>
                <w:szCs w:val="18"/>
              </w:rPr>
              <w:t>.</w:t>
            </w:r>
            <w:r w:rsidRPr="009468A2">
              <w:rPr>
                <w:szCs w:val="18"/>
              </w:rPr>
              <w:t>9</w:t>
            </w:r>
            <w:r w:rsidRPr="009468A2">
              <w:rPr>
                <w:szCs w:val="18"/>
                <w:vertAlign w:val="superscript"/>
              </w:rPr>
              <w:t>(Ab)</w:t>
            </w:r>
          </w:p>
        </w:tc>
        <w:tc>
          <w:tcPr>
            <w:tcW w:w="1701" w:type="dxa"/>
          </w:tcPr>
          <w:p w14:paraId="0FE3D6B7" w14:textId="3C2EFEDA" w:rsidR="00AF2AA6" w:rsidRPr="009468A2" w:rsidRDefault="00AF2AA6" w:rsidP="00AF2AA6">
            <w:pPr>
              <w:pStyle w:val="CETBodytext"/>
              <w:ind w:right="-1"/>
              <w:rPr>
                <w:rFonts w:cs="Arial"/>
                <w:szCs w:val="18"/>
                <w:lang w:val="en-GB"/>
              </w:rPr>
            </w:pPr>
            <w:r w:rsidRPr="009468A2">
              <w:rPr>
                <w:szCs w:val="18"/>
              </w:rPr>
              <w:t>42±2</w:t>
            </w:r>
            <w:r w:rsidRPr="009468A2">
              <w:rPr>
                <w:szCs w:val="18"/>
                <w:vertAlign w:val="superscript"/>
              </w:rPr>
              <w:t>(Ab)</w:t>
            </w:r>
          </w:p>
        </w:tc>
        <w:tc>
          <w:tcPr>
            <w:tcW w:w="1559" w:type="dxa"/>
          </w:tcPr>
          <w:p w14:paraId="32B0EF57" w14:textId="27A6D054" w:rsidR="00AF2AA6" w:rsidRPr="009468A2" w:rsidRDefault="00AF2AA6" w:rsidP="00AF2AA6">
            <w:pPr>
              <w:pStyle w:val="CETBodytext"/>
              <w:ind w:right="-1"/>
              <w:rPr>
                <w:rFonts w:cs="Arial"/>
                <w:szCs w:val="18"/>
                <w:lang w:val="en-GB"/>
              </w:rPr>
            </w:pPr>
            <w:r w:rsidRPr="009468A2">
              <w:rPr>
                <w:szCs w:val="18"/>
              </w:rPr>
              <w:t>43</w:t>
            </w:r>
            <w:r w:rsidR="00CD5361" w:rsidRPr="009468A2">
              <w:rPr>
                <w:szCs w:val="18"/>
              </w:rPr>
              <w:t>.</w:t>
            </w:r>
            <w:r w:rsidRPr="009468A2">
              <w:rPr>
                <w:szCs w:val="18"/>
              </w:rPr>
              <w:t>7±1</w:t>
            </w:r>
            <w:r w:rsidR="00CD5361" w:rsidRPr="009468A2">
              <w:rPr>
                <w:szCs w:val="18"/>
              </w:rPr>
              <w:t>.</w:t>
            </w:r>
            <w:r w:rsidRPr="009468A2">
              <w:rPr>
                <w:szCs w:val="18"/>
              </w:rPr>
              <w:t>5</w:t>
            </w:r>
            <w:r w:rsidRPr="009468A2">
              <w:rPr>
                <w:szCs w:val="18"/>
                <w:vertAlign w:val="superscript"/>
              </w:rPr>
              <w:t>(Ab)</w:t>
            </w:r>
          </w:p>
        </w:tc>
      </w:tr>
      <w:tr w:rsidR="00872517" w:rsidRPr="009468A2" w14:paraId="4D954380" w14:textId="77777777" w:rsidTr="00AF2AA6">
        <w:tc>
          <w:tcPr>
            <w:tcW w:w="1134" w:type="dxa"/>
            <w:vMerge w:val="restart"/>
            <w:shd w:val="clear" w:color="auto" w:fill="FFFFFF"/>
            <w:vAlign w:val="center"/>
          </w:tcPr>
          <w:p w14:paraId="578F7BC9" w14:textId="5F9DDF49" w:rsidR="00872517" w:rsidRPr="009468A2" w:rsidRDefault="00872517" w:rsidP="00AF2AA6">
            <w:pPr>
              <w:pStyle w:val="CETBodytext"/>
              <w:jc w:val="left"/>
              <w:rPr>
                <w:rFonts w:ascii="Symbol" w:hAnsi="Symbol"/>
                <w:lang w:val="en-GB"/>
              </w:rPr>
            </w:pPr>
            <w:r w:rsidRPr="009468A2">
              <w:rPr>
                <w:rFonts w:ascii="Symbol" w:hAnsi="Symbol"/>
                <w:lang w:val="en-GB"/>
              </w:rPr>
              <w:t></w:t>
            </w:r>
            <w:r w:rsidRPr="009468A2">
              <w:rPr>
                <w:rFonts w:cs="Arial"/>
                <w:vertAlign w:val="subscript"/>
                <w:lang w:val="en-GB"/>
              </w:rPr>
              <w:t>p</w:t>
            </w:r>
            <w:r w:rsidR="00ED15AD" w:rsidRPr="009468A2">
              <w:rPr>
                <w:rFonts w:cs="Arial"/>
                <w:vertAlign w:val="subscript"/>
                <w:lang w:val="en-GB"/>
              </w:rPr>
              <w:t xml:space="preserve"> </w:t>
            </w:r>
            <w:r w:rsidR="00ED15AD" w:rsidRPr="009468A2">
              <w:t>(%)</w:t>
            </w:r>
          </w:p>
        </w:tc>
        <w:tc>
          <w:tcPr>
            <w:tcW w:w="1560" w:type="dxa"/>
            <w:shd w:val="clear" w:color="auto" w:fill="FFFFFF"/>
          </w:tcPr>
          <w:p w14:paraId="368CB379" w14:textId="4F7FB2B7" w:rsidR="00872517" w:rsidRPr="009468A2" w:rsidRDefault="00872517" w:rsidP="00AF2AA6">
            <w:pPr>
              <w:pStyle w:val="CETBodytext"/>
              <w:jc w:val="center"/>
              <w:rPr>
                <w:lang w:val="en-GB"/>
              </w:rPr>
            </w:pPr>
            <w:r w:rsidRPr="009468A2">
              <w:rPr>
                <w:lang w:val="en-GB"/>
              </w:rPr>
              <w:t>F</w:t>
            </w:r>
            <w:r w:rsidRPr="009468A2">
              <w:t>D</w:t>
            </w:r>
          </w:p>
        </w:tc>
        <w:tc>
          <w:tcPr>
            <w:tcW w:w="1417" w:type="dxa"/>
          </w:tcPr>
          <w:p w14:paraId="4ECE008C" w14:textId="7DB163F0" w:rsidR="00872517" w:rsidRPr="009468A2" w:rsidRDefault="00872517" w:rsidP="00AF2AA6">
            <w:pPr>
              <w:pStyle w:val="CETBodytext"/>
              <w:rPr>
                <w:rFonts w:cs="Arial"/>
                <w:szCs w:val="18"/>
              </w:rPr>
            </w:pPr>
            <w:r w:rsidRPr="009468A2">
              <w:rPr>
                <w:szCs w:val="18"/>
              </w:rPr>
              <w:t>70</w:t>
            </w:r>
            <w:r w:rsidR="00CD5361" w:rsidRPr="009468A2">
              <w:rPr>
                <w:szCs w:val="18"/>
              </w:rPr>
              <w:t>.</w:t>
            </w:r>
            <w:r w:rsidRPr="009468A2">
              <w:rPr>
                <w:szCs w:val="18"/>
              </w:rPr>
              <w:t>5±0</w:t>
            </w:r>
            <w:r w:rsidR="00CD5361" w:rsidRPr="009468A2">
              <w:rPr>
                <w:szCs w:val="18"/>
              </w:rPr>
              <w:t>.</w:t>
            </w:r>
            <w:r w:rsidRPr="009468A2">
              <w:rPr>
                <w:szCs w:val="18"/>
              </w:rPr>
              <w:t>8</w:t>
            </w:r>
            <w:r w:rsidRPr="009468A2">
              <w:rPr>
                <w:szCs w:val="18"/>
                <w:vertAlign w:val="superscript"/>
              </w:rPr>
              <w:t>(Aa)</w:t>
            </w:r>
          </w:p>
        </w:tc>
        <w:tc>
          <w:tcPr>
            <w:tcW w:w="1701" w:type="dxa"/>
          </w:tcPr>
          <w:p w14:paraId="4FF7E1A9" w14:textId="6A363CC7" w:rsidR="00872517" w:rsidRPr="009468A2" w:rsidRDefault="00872517" w:rsidP="00AF2AA6">
            <w:pPr>
              <w:pStyle w:val="CETBodytext"/>
              <w:ind w:right="-1"/>
              <w:rPr>
                <w:szCs w:val="18"/>
              </w:rPr>
            </w:pPr>
            <w:r w:rsidRPr="009468A2">
              <w:rPr>
                <w:szCs w:val="18"/>
              </w:rPr>
              <w:t>69</w:t>
            </w:r>
            <w:r w:rsidR="00CD5361" w:rsidRPr="009468A2">
              <w:rPr>
                <w:szCs w:val="18"/>
              </w:rPr>
              <w:t>.</w:t>
            </w:r>
            <w:r w:rsidRPr="009468A2">
              <w:rPr>
                <w:szCs w:val="18"/>
              </w:rPr>
              <w:t>0±1</w:t>
            </w:r>
            <w:r w:rsidR="00CD5361" w:rsidRPr="009468A2">
              <w:rPr>
                <w:szCs w:val="18"/>
              </w:rPr>
              <w:t>.</w:t>
            </w:r>
            <w:r w:rsidRPr="009468A2">
              <w:rPr>
                <w:szCs w:val="18"/>
              </w:rPr>
              <w:t>3</w:t>
            </w:r>
            <w:r w:rsidRPr="009468A2">
              <w:rPr>
                <w:szCs w:val="18"/>
                <w:vertAlign w:val="superscript"/>
              </w:rPr>
              <w:t>(</w:t>
            </w:r>
            <w:r w:rsidR="00F50333" w:rsidRPr="009468A2">
              <w:rPr>
                <w:szCs w:val="18"/>
                <w:vertAlign w:val="superscript"/>
              </w:rPr>
              <w:t>A</w:t>
            </w:r>
            <w:r w:rsidRPr="009468A2">
              <w:rPr>
                <w:szCs w:val="18"/>
                <w:vertAlign w:val="superscript"/>
              </w:rPr>
              <w:t>a)</w:t>
            </w:r>
          </w:p>
        </w:tc>
        <w:tc>
          <w:tcPr>
            <w:tcW w:w="1559" w:type="dxa"/>
          </w:tcPr>
          <w:p w14:paraId="7398F253" w14:textId="2B797C09" w:rsidR="00872517" w:rsidRPr="009468A2" w:rsidRDefault="00872517" w:rsidP="00AF2AA6">
            <w:pPr>
              <w:pStyle w:val="CETBodytext"/>
              <w:ind w:right="-1"/>
              <w:rPr>
                <w:szCs w:val="18"/>
              </w:rPr>
            </w:pPr>
            <w:r w:rsidRPr="009468A2">
              <w:rPr>
                <w:szCs w:val="18"/>
              </w:rPr>
              <w:t>68</w:t>
            </w:r>
            <w:r w:rsidR="0068196D" w:rsidRPr="009468A2">
              <w:rPr>
                <w:szCs w:val="18"/>
              </w:rPr>
              <w:t>.</w:t>
            </w:r>
            <w:r w:rsidRPr="009468A2">
              <w:rPr>
                <w:szCs w:val="18"/>
              </w:rPr>
              <w:t>8±0</w:t>
            </w:r>
            <w:r w:rsidR="0068196D" w:rsidRPr="009468A2">
              <w:rPr>
                <w:szCs w:val="18"/>
              </w:rPr>
              <w:t>.</w:t>
            </w:r>
            <w:r w:rsidRPr="009468A2">
              <w:rPr>
                <w:szCs w:val="18"/>
              </w:rPr>
              <w:t>7</w:t>
            </w:r>
            <w:r w:rsidRPr="009468A2">
              <w:rPr>
                <w:szCs w:val="18"/>
                <w:vertAlign w:val="superscript"/>
              </w:rPr>
              <w:t>(Aa)</w:t>
            </w:r>
          </w:p>
        </w:tc>
      </w:tr>
      <w:tr w:rsidR="00872517" w:rsidRPr="009468A2" w14:paraId="0CF3A302" w14:textId="77777777" w:rsidTr="00AF2AA6">
        <w:tc>
          <w:tcPr>
            <w:tcW w:w="1134" w:type="dxa"/>
            <w:vMerge/>
            <w:shd w:val="clear" w:color="auto" w:fill="FFFFFF"/>
            <w:vAlign w:val="center"/>
          </w:tcPr>
          <w:p w14:paraId="1D26970E" w14:textId="77777777" w:rsidR="00872517" w:rsidRPr="009468A2" w:rsidRDefault="00872517" w:rsidP="00AF2AA6">
            <w:pPr>
              <w:pStyle w:val="CETBodytext"/>
              <w:jc w:val="left"/>
              <w:rPr>
                <w:lang w:val="en-GB"/>
              </w:rPr>
            </w:pPr>
          </w:p>
        </w:tc>
        <w:tc>
          <w:tcPr>
            <w:tcW w:w="1560" w:type="dxa"/>
            <w:shd w:val="clear" w:color="auto" w:fill="FFFFFF"/>
          </w:tcPr>
          <w:p w14:paraId="6C7DBDAA" w14:textId="70F7EA79" w:rsidR="00872517" w:rsidRPr="009468A2" w:rsidRDefault="00872517" w:rsidP="00AF2AA6">
            <w:pPr>
              <w:pStyle w:val="CETBodytext"/>
              <w:jc w:val="center"/>
              <w:rPr>
                <w:lang w:val="en-GB"/>
              </w:rPr>
            </w:pPr>
            <w:r w:rsidRPr="009468A2">
              <w:rPr>
                <w:lang w:val="en-GB"/>
              </w:rPr>
              <w:t>A</w:t>
            </w:r>
            <w:r w:rsidRPr="009468A2">
              <w:t>D</w:t>
            </w:r>
          </w:p>
        </w:tc>
        <w:tc>
          <w:tcPr>
            <w:tcW w:w="1417" w:type="dxa"/>
          </w:tcPr>
          <w:p w14:paraId="2EE20AD6" w14:textId="5C3EC079" w:rsidR="00872517" w:rsidRPr="009468A2" w:rsidRDefault="00872517" w:rsidP="00AF2AA6">
            <w:pPr>
              <w:pStyle w:val="CETBodytext"/>
              <w:rPr>
                <w:rFonts w:cs="Arial"/>
                <w:szCs w:val="18"/>
              </w:rPr>
            </w:pPr>
            <w:r w:rsidRPr="009468A2">
              <w:rPr>
                <w:szCs w:val="18"/>
              </w:rPr>
              <w:t>55</w:t>
            </w:r>
            <w:r w:rsidR="0068196D" w:rsidRPr="009468A2">
              <w:rPr>
                <w:szCs w:val="18"/>
              </w:rPr>
              <w:t>.</w:t>
            </w:r>
            <w:r w:rsidRPr="009468A2">
              <w:rPr>
                <w:szCs w:val="18"/>
              </w:rPr>
              <w:t>7±0</w:t>
            </w:r>
            <w:r w:rsidR="0068196D" w:rsidRPr="009468A2">
              <w:rPr>
                <w:szCs w:val="18"/>
              </w:rPr>
              <w:t>.</w:t>
            </w:r>
            <w:r w:rsidRPr="009468A2">
              <w:rPr>
                <w:szCs w:val="18"/>
              </w:rPr>
              <w:t>6</w:t>
            </w:r>
            <w:r w:rsidRPr="009468A2">
              <w:rPr>
                <w:szCs w:val="18"/>
                <w:vertAlign w:val="superscript"/>
              </w:rPr>
              <w:t>(Ab)</w:t>
            </w:r>
          </w:p>
        </w:tc>
        <w:tc>
          <w:tcPr>
            <w:tcW w:w="1701" w:type="dxa"/>
          </w:tcPr>
          <w:p w14:paraId="30C672C2" w14:textId="6EB8112A" w:rsidR="00872517" w:rsidRPr="009468A2" w:rsidRDefault="00872517" w:rsidP="00AF2AA6">
            <w:pPr>
              <w:pStyle w:val="CETBodytext"/>
              <w:ind w:right="-1"/>
              <w:rPr>
                <w:szCs w:val="18"/>
              </w:rPr>
            </w:pPr>
            <w:r w:rsidRPr="009468A2">
              <w:rPr>
                <w:szCs w:val="18"/>
              </w:rPr>
              <w:t>53</w:t>
            </w:r>
            <w:r w:rsidR="0068196D" w:rsidRPr="009468A2">
              <w:rPr>
                <w:szCs w:val="18"/>
              </w:rPr>
              <w:t>.</w:t>
            </w:r>
            <w:r w:rsidRPr="009468A2">
              <w:rPr>
                <w:szCs w:val="18"/>
              </w:rPr>
              <w:t>0±0</w:t>
            </w:r>
            <w:r w:rsidR="0068196D" w:rsidRPr="009468A2">
              <w:rPr>
                <w:szCs w:val="18"/>
              </w:rPr>
              <w:t>.</w:t>
            </w:r>
            <w:r w:rsidRPr="009468A2">
              <w:rPr>
                <w:szCs w:val="18"/>
              </w:rPr>
              <w:t>7</w:t>
            </w:r>
            <w:r w:rsidRPr="009468A2">
              <w:rPr>
                <w:szCs w:val="18"/>
                <w:vertAlign w:val="superscript"/>
              </w:rPr>
              <w:t>(Bb)</w:t>
            </w:r>
          </w:p>
        </w:tc>
        <w:tc>
          <w:tcPr>
            <w:tcW w:w="1559" w:type="dxa"/>
          </w:tcPr>
          <w:p w14:paraId="482D4D19" w14:textId="6BC7CCE1" w:rsidR="00872517" w:rsidRPr="009468A2" w:rsidRDefault="00872517" w:rsidP="00AF2AA6">
            <w:pPr>
              <w:pStyle w:val="CETBodytext"/>
              <w:ind w:right="-1"/>
              <w:rPr>
                <w:szCs w:val="18"/>
              </w:rPr>
            </w:pPr>
            <w:r w:rsidRPr="009468A2">
              <w:rPr>
                <w:szCs w:val="18"/>
              </w:rPr>
              <w:t>57</w:t>
            </w:r>
            <w:r w:rsidR="0068196D" w:rsidRPr="009468A2">
              <w:rPr>
                <w:szCs w:val="18"/>
              </w:rPr>
              <w:t>.</w:t>
            </w:r>
            <w:r w:rsidRPr="009468A2">
              <w:rPr>
                <w:szCs w:val="18"/>
              </w:rPr>
              <w:t>1±1</w:t>
            </w:r>
            <w:r w:rsidR="0068196D" w:rsidRPr="009468A2">
              <w:rPr>
                <w:szCs w:val="18"/>
              </w:rPr>
              <w:t>.</w:t>
            </w:r>
            <w:r w:rsidRPr="009468A2">
              <w:rPr>
                <w:szCs w:val="18"/>
              </w:rPr>
              <w:t>2</w:t>
            </w:r>
            <w:r w:rsidRPr="009468A2">
              <w:rPr>
                <w:szCs w:val="18"/>
                <w:vertAlign w:val="superscript"/>
              </w:rPr>
              <w:t>(Ab)</w:t>
            </w:r>
          </w:p>
        </w:tc>
      </w:tr>
      <w:tr w:rsidR="00F50333" w:rsidRPr="009468A2" w14:paraId="714F8550" w14:textId="77777777" w:rsidTr="00AF2AA6">
        <w:tc>
          <w:tcPr>
            <w:tcW w:w="1134" w:type="dxa"/>
            <w:vMerge w:val="restart"/>
            <w:shd w:val="clear" w:color="auto" w:fill="FFFFFF"/>
            <w:vAlign w:val="center"/>
          </w:tcPr>
          <w:p w14:paraId="4F064605" w14:textId="1FA97054" w:rsidR="00F50333" w:rsidRPr="009468A2" w:rsidRDefault="00F50333" w:rsidP="00F50333">
            <w:pPr>
              <w:pStyle w:val="CETBodytext"/>
              <w:jc w:val="left"/>
              <w:rPr>
                <w:lang w:val="en-GB"/>
              </w:rPr>
            </w:pPr>
            <w:r w:rsidRPr="009468A2">
              <w:rPr>
                <w:rFonts w:ascii="Symbol" w:hAnsi="Symbol"/>
                <w:lang w:val="en-GB"/>
              </w:rPr>
              <w:t></w:t>
            </w:r>
            <w:r w:rsidRPr="009468A2">
              <w:rPr>
                <w:rFonts w:cs="Arial"/>
                <w:vertAlign w:val="subscript"/>
                <w:lang w:val="en-GB"/>
              </w:rPr>
              <w:t>t</w:t>
            </w:r>
            <w:r w:rsidR="00ED15AD" w:rsidRPr="009468A2">
              <w:rPr>
                <w:rFonts w:cs="Arial"/>
                <w:vertAlign w:val="subscript"/>
                <w:lang w:val="en-GB"/>
              </w:rPr>
              <w:t xml:space="preserve"> </w:t>
            </w:r>
            <w:r w:rsidR="00ED15AD" w:rsidRPr="009468A2">
              <w:t>(%)</w:t>
            </w:r>
          </w:p>
        </w:tc>
        <w:tc>
          <w:tcPr>
            <w:tcW w:w="1560" w:type="dxa"/>
            <w:shd w:val="clear" w:color="auto" w:fill="FFFFFF"/>
          </w:tcPr>
          <w:p w14:paraId="3EB91AD6" w14:textId="103BB01C" w:rsidR="00F50333" w:rsidRPr="009468A2" w:rsidRDefault="00F50333" w:rsidP="00F50333">
            <w:pPr>
              <w:pStyle w:val="CETBodytext"/>
              <w:jc w:val="center"/>
              <w:rPr>
                <w:lang w:val="en-GB"/>
              </w:rPr>
            </w:pPr>
            <w:r w:rsidRPr="009468A2">
              <w:rPr>
                <w:lang w:val="en-GB"/>
              </w:rPr>
              <w:t>F</w:t>
            </w:r>
            <w:r w:rsidRPr="009468A2">
              <w:t>D</w:t>
            </w:r>
          </w:p>
        </w:tc>
        <w:tc>
          <w:tcPr>
            <w:tcW w:w="1417" w:type="dxa"/>
          </w:tcPr>
          <w:p w14:paraId="5E476898" w14:textId="16590445" w:rsidR="00F50333" w:rsidRPr="009468A2" w:rsidRDefault="00F50333" w:rsidP="00F50333">
            <w:pPr>
              <w:pStyle w:val="CETBodytext"/>
              <w:rPr>
                <w:rFonts w:cs="Arial"/>
                <w:szCs w:val="18"/>
              </w:rPr>
            </w:pPr>
            <w:r w:rsidRPr="009468A2">
              <w:rPr>
                <w:szCs w:val="18"/>
              </w:rPr>
              <w:t>65</w:t>
            </w:r>
            <w:r w:rsidR="0068196D" w:rsidRPr="009468A2">
              <w:rPr>
                <w:szCs w:val="18"/>
              </w:rPr>
              <w:t>.</w:t>
            </w:r>
            <w:r w:rsidRPr="009468A2">
              <w:rPr>
                <w:szCs w:val="18"/>
              </w:rPr>
              <w:t>3±0</w:t>
            </w:r>
            <w:r w:rsidR="0068196D" w:rsidRPr="009468A2">
              <w:rPr>
                <w:szCs w:val="18"/>
              </w:rPr>
              <w:t>.</w:t>
            </w:r>
            <w:r w:rsidRPr="009468A2">
              <w:rPr>
                <w:szCs w:val="18"/>
              </w:rPr>
              <w:t>3</w:t>
            </w:r>
            <w:r w:rsidRPr="009468A2">
              <w:rPr>
                <w:szCs w:val="18"/>
                <w:vertAlign w:val="superscript"/>
              </w:rPr>
              <w:t>(Aa)</w:t>
            </w:r>
          </w:p>
        </w:tc>
        <w:tc>
          <w:tcPr>
            <w:tcW w:w="1701" w:type="dxa"/>
          </w:tcPr>
          <w:p w14:paraId="74847BC9" w14:textId="6B5A67ED" w:rsidR="00F50333" w:rsidRPr="009468A2" w:rsidRDefault="00F50333" w:rsidP="00F50333">
            <w:pPr>
              <w:pStyle w:val="CETBodytext"/>
              <w:ind w:right="-1"/>
              <w:rPr>
                <w:szCs w:val="18"/>
              </w:rPr>
            </w:pPr>
            <w:r w:rsidRPr="009468A2">
              <w:rPr>
                <w:szCs w:val="18"/>
              </w:rPr>
              <w:t>66</w:t>
            </w:r>
            <w:r w:rsidR="0068196D" w:rsidRPr="009468A2">
              <w:rPr>
                <w:szCs w:val="18"/>
              </w:rPr>
              <w:t>.</w:t>
            </w:r>
            <w:r w:rsidRPr="009468A2">
              <w:rPr>
                <w:szCs w:val="18"/>
              </w:rPr>
              <w:t>5±0</w:t>
            </w:r>
            <w:r w:rsidR="0068196D" w:rsidRPr="009468A2">
              <w:rPr>
                <w:szCs w:val="18"/>
              </w:rPr>
              <w:t>.</w:t>
            </w:r>
            <w:r w:rsidRPr="009468A2">
              <w:rPr>
                <w:szCs w:val="18"/>
              </w:rPr>
              <w:t>8</w:t>
            </w:r>
            <w:r w:rsidRPr="009468A2">
              <w:rPr>
                <w:szCs w:val="18"/>
                <w:vertAlign w:val="superscript"/>
              </w:rPr>
              <w:t>(Aa)</w:t>
            </w:r>
          </w:p>
        </w:tc>
        <w:tc>
          <w:tcPr>
            <w:tcW w:w="1559" w:type="dxa"/>
          </w:tcPr>
          <w:p w14:paraId="198DD5CB" w14:textId="67377517" w:rsidR="00F50333" w:rsidRPr="009468A2" w:rsidRDefault="00F50333" w:rsidP="00F50333">
            <w:pPr>
              <w:pStyle w:val="CETBodytext"/>
              <w:ind w:right="-1"/>
              <w:rPr>
                <w:szCs w:val="18"/>
              </w:rPr>
            </w:pPr>
            <w:r w:rsidRPr="009468A2">
              <w:rPr>
                <w:szCs w:val="18"/>
              </w:rPr>
              <w:t>65</w:t>
            </w:r>
            <w:r w:rsidR="0068196D" w:rsidRPr="009468A2">
              <w:rPr>
                <w:szCs w:val="18"/>
              </w:rPr>
              <w:t>.</w:t>
            </w:r>
            <w:r w:rsidRPr="009468A2">
              <w:rPr>
                <w:szCs w:val="18"/>
              </w:rPr>
              <w:t>6±1</w:t>
            </w:r>
            <w:r w:rsidR="0068196D" w:rsidRPr="009468A2">
              <w:rPr>
                <w:szCs w:val="18"/>
              </w:rPr>
              <w:t>.</w:t>
            </w:r>
            <w:r w:rsidRPr="009468A2">
              <w:rPr>
                <w:szCs w:val="18"/>
              </w:rPr>
              <w:t>6</w:t>
            </w:r>
            <w:r w:rsidRPr="009468A2">
              <w:rPr>
                <w:szCs w:val="18"/>
                <w:vertAlign w:val="superscript"/>
              </w:rPr>
              <w:t>(Aa)</w:t>
            </w:r>
          </w:p>
        </w:tc>
      </w:tr>
      <w:tr w:rsidR="00F50333" w:rsidRPr="009468A2" w14:paraId="09A27FAF" w14:textId="77777777" w:rsidTr="00AF2AA6">
        <w:tc>
          <w:tcPr>
            <w:tcW w:w="1134" w:type="dxa"/>
            <w:vMerge/>
            <w:shd w:val="clear" w:color="auto" w:fill="FFFFFF"/>
            <w:vAlign w:val="center"/>
          </w:tcPr>
          <w:p w14:paraId="6DEAFBEC" w14:textId="77777777" w:rsidR="00F50333" w:rsidRPr="009468A2" w:rsidRDefault="00F50333" w:rsidP="00F50333">
            <w:pPr>
              <w:pStyle w:val="CETBodytext"/>
              <w:jc w:val="left"/>
              <w:rPr>
                <w:lang w:val="en-GB"/>
              </w:rPr>
            </w:pPr>
          </w:p>
        </w:tc>
        <w:tc>
          <w:tcPr>
            <w:tcW w:w="1560" w:type="dxa"/>
            <w:shd w:val="clear" w:color="auto" w:fill="FFFFFF"/>
          </w:tcPr>
          <w:p w14:paraId="6ACF7089" w14:textId="5CDFE47B" w:rsidR="00F50333" w:rsidRPr="009468A2" w:rsidRDefault="00F50333" w:rsidP="00F50333">
            <w:pPr>
              <w:pStyle w:val="CETBodytext"/>
              <w:jc w:val="center"/>
              <w:rPr>
                <w:lang w:val="en-GB"/>
              </w:rPr>
            </w:pPr>
            <w:r w:rsidRPr="009468A2">
              <w:rPr>
                <w:lang w:val="en-GB"/>
              </w:rPr>
              <w:t>A</w:t>
            </w:r>
            <w:r w:rsidRPr="009468A2">
              <w:t>D</w:t>
            </w:r>
          </w:p>
        </w:tc>
        <w:tc>
          <w:tcPr>
            <w:tcW w:w="1417" w:type="dxa"/>
          </w:tcPr>
          <w:p w14:paraId="331D35E0" w14:textId="443DB213" w:rsidR="00F50333" w:rsidRPr="009468A2" w:rsidRDefault="00F50333" w:rsidP="00F50333">
            <w:pPr>
              <w:pStyle w:val="CETBodytext"/>
              <w:rPr>
                <w:rFonts w:cs="Arial"/>
                <w:szCs w:val="18"/>
              </w:rPr>
            </w:pPr>
            <w:r w:rsidRPr="009468A2">
              <w:rPr>
                <w:szCs w:val="18"/>
              </w:rPr>
              <w:t>50</w:t>
            </w:r>
            <w:r w:rsidR="0068196D" w:rsidRPr="009468A2">
              <w:rPr>
                <w:szCs w:val="18"/>
              </w:rPr>
              <w:t>.</w:t>
            </w:r>
            <w:r w:rsidRPr="009468A2">
              <w:rPr>
                <w:szCs w:val="18"/>
              </w:rPr>
              <w:t>5±3</w:t>
            </w:r>
            <w:r w:rsidR="0068196D" w:rsidRPr="009468A2">
              <w:rPr>
                <w:szCs w:val="18"/>
              </w:rPr>
              <w:t>.</w:t>
            </w:r>
            <w:r w:rsidRPr="009468A2">
              <w:rPr>
                <w:szCs w:val="18"/>
              </w:rPr>
              <w:t>0</w:t>
            </w:r>
            <w:r w:rsidRPr="009468A2">
              <w:rPr>
                <w:szCs w:val="18"/>
                <w:vertAlign w:val="superscript"/>
              </w:rPr>
              <w:t>(Ab)</w:t>
            </w:r>
          </w:p>
        </w:tc>
        <w:tc>
          <w:tcPr>
            <w:tcW w:w="1701" w:type="dxa"/>
          </w:tcPr>
          <w:p w14:paraId="02A8A0D4" w14:textId="5D6806AA" w:rsidR="00F50333" w:rsidRPr="009468A2" w:rsidRDefault="00F50333" w:rsidP="00F50333">
            <w:pPr>
              <w:pStyle w:val="CETBodytext"/>
              <w:ind w:right="-1"/>
              <w:rPr>
                <w:szCs w:val="18"/>
              </w:rPr>
            </w:pPr>
            <w:r w:rsidRPr="009468A2">
              <w:rPr>
                <w:szCs w:val="18"/>
              </w:rPr>
              <w:t>48</w:t>
            </w:r>
            <w:r w:rsidR="0068196D" w:rsidRPr="009468A2">
              <w:rPr>
                <w:szCs w:val="18"/>
              </w:rPr>
              <w:t>.</w:t>
            </w:r>
            <w:r w:rsidRPr="009468A2">
              <w:rPr>
                <w:szCs w:val="18"/>
              </w:rPr>
              <w:t>2±1</w:t>
            </w:r>
            <w:r w:rsidR="0068196D" w:rsidRPr="009468A2">
              <w:rPr>
                <w:szCs w:val="18"/>
              </w:rPr>
              <w:t>.</w:t>
            </w:r>
            <w:r w:rsidRPr="009468A2">
              <w:rPr>
                <w:szCs w:val="18"/>
              </w:rPr>
              <w:t>4</w:t>
            </w:r>
            <w:r w:rsidRPr="009468A2">
              <w:rPr>
                <w:szCs w:val="18"/>
                <w:vertAlign w:val="superscript"/>
              </w:rPr>
              <w:t>(Ab)</w:t>
            </w:r>
          </w:p>
        </w:tc>
        <w:tc>
          <w:tcPr>
            <w:tcW w:w="1559" w:type="dxa"/>
          </w:tcPr>
          <w:p w14:paraId="1A2E9F50" w14:textId="7DD2FE6C" w:rsidR="00F50333" w:rsidRPr="009468A2" w:rsidRDefault="00F50333" w:rsidP="00F50333">
            <w:pPr>
              <w:pStyle w:val="CETBodytext"/>
              <w:ind w:right="-1"/>
              <w:rPr>
                <w:szCs w:val="18"/>
              </w:rPr>
            </w:pPr>
            <w:r w:rsidRPr="009468A2">
              <w:rPr>
                <w:szCs w:val="18"/>
              </w:rPr>
              <w:t>52</w:t>
            </w:r>
            <w:r w:rsidR="0068196D" w:rsidRPr="009468A2">
              <w:rPr>
                <w:szCs w:val="18"/>
              </w:rPr>
              <w:t>.</w:t>
            </w:r>
            <w:r w:rsidRPr="009468A2">
              <w:rPr>
                <w:szCs w:val="18"/>
              </w:rPr>
              <w:t>5±1</w:t>
            </w:r>
            <w:r w:rsidR="0068196D" w:rsidRPr="009468A2">
              <w:rPr>
                <w:szCs w:val="18"/>
              </w:rPr>
              <w:t>.</w:t>
            </w:r>
            <w:r w:rsidRPr="009468A2">
              <w:rPr>
                <w:szCs w:val="18"/>
              </w:rPr>
              <w:t>0</w:t>
            </w:r>
            <w:r w:rsidRPr="009468A2">
              <w:rPr>
                <w:szCs w:val="18"/>
                <w:vertAlign w:val="superscript"/>
              </w:rPr>
              <w:t>(Ab)</w:t>
            </w:r>
          </w:p>
        </w:tc>
      </w:tr>
      <w:tr w:rsidR="00F50333" w:rsidRPr="009468A2" w14:paraId="42EC1D8E" w14:textId="77777777" w:rsidTr="00AF2AA6">
        <w:tc>
          <w:tcPr>
            <w:tcW w:w="1134" w:type="dxa"/>
            <w:vMerge w:val="restart"/>
            <w:shd w:val="clear" w:color="auto" w:fill="FFFFFF"/>
            <w:vAlign w:val="center"/>
          </w:tcPr>
          <w:p w14:paraId="092BA9E0" w14:textId="7739B717" w:rsidR="00F50333" w:rsidRPr="009468A2" w:rsidRDefault="00F50333" w:rsidP="00F50333">
            <w:pPr>
              <w:pStyle w:val="CETBodytext"/>
              <w:jc w:val="left"/>
              <w:rPr>
                <w:lang w:val="en-GB"/>
              </w:rPr>
            </w:pPr>
            <w:r w:rsidRPr="009468A2">
              <w:rPr>
                <w:lang w:val="en-GB"/>
              </w:rPr>
              <w:t>HI</w:t>
            </w:r>
          </w:p>
        </w:tc>
        <w:tc>
          <w:tcPr>
            <w:tcW w:w="1560" w:type="dxa"/>
            <w:shd w:val="clear" w:color="auto" w:fill="FFFFFF"/>
          </w:tcPr>
          <w:p w14:paraId="6B20A86D" w14:textId="77777777" w:rsidR="00F50333" w:rsidRPr="009468A2" w:rsidRDefault="00F50333" w:rsidP="00F50333">
            <w:pPr>
              <w:pStyle w:val="CETBodytext"/>
              <w:jc w:val="center"/>
              <w:rPr>
                <w:lang w:val="en-GB"/>
              </w:rPr>
            </w:pPr>
            <w:r w:rsidRPr="009468A2">
              <w:rPr>
                <w:lang w:val="en-GB"/>
              </w:rPr>
              <w:t>FD</w:t>
            </w:r>
          </w:p>
        </w:tc>
        <w:tc>
          <w:tcPr>
            <w:tcW w:w="1417" w:type="dxa"/>
          </w:tcPr>
          <w:p w14:paraId="5EEA4453" w14:textId="315E2E49" w:rsidR="00F50333" w:rsidRPr="009468A2" w:rsidRDefault="00F50333" w:rsidP="00F50333">
            <w:pPr>
              <w:pStyle w:val="CETBodytext"/>
              <w:rPr>
                <w:szCs w:val="18"/>
                <w:lang w:val="en-GB"/>
              </w:rPr>
            </w:pPr>
            <w:r w:rsidRPr="009468A2">
              <w:rPr>
                <w:szCs w:val="18"/>
              </w:rPr>
              <w:t>1</w:t>
            </w:r>
            <w:r w:rsidR="0068196D" w:rsidRPr="009468A2">
              <w:rPr>
                <w:szCs w:val="18"/>
              </w:rPr>
              <w:t>.</w:t>
            </w:r>
            <w:r w:rsidRPr="009468A2">
              <w:rPr>
                <w:szCs w:val="18"/>
              </w:rPr>
              <w:t>18±0</w:t>
            </w:r>
            <w:r w:rsidR="0068196D" w:rsidRPr="009468A2">
              <w:rPr>
                <w:szCs w:val="18"/>
              </w:rPr>
              <w:t>.</w:t>
            </w:r>
            <w:r w:rsidRPr="009468A2">
              <w:rPr>
                <w:szCs w:val="18"/>
              </w:rPr>
              <w:t>03</w:t>
            </w:r>
            <w:r w:rsidRPr="009468A2">
              <w:rPr>
                <w:szCs w:val="18"/>
                <w:vertAlign w:val="superscript"/>
              </w:rPr>
              <w:t>(Aa)</w:t>
            </w:r>
          </w:p>
        </w:tc>
        <w:tc>
          <w:tcPr>
            <w:tcW w:w="1701" w:type="dxa"/>
          </w:tcPr>
          <w:p w14:paraId="5C4BFF30" w14:textId="7CFFBE84" w:rsidR="00F50333" w:rsidRPr="009468A2" w:rsidRDefault="00F50333" w:rsidP="00F50333">
            <w:pPr>
              <w:pStyle w:val="CETBodytext"/>
              <w:ind w:right="-1"/>
              <w:rPr>
                <w:rFonts w:cs="Arial"/>
                <w:szCs w:val="18"/>
                <w:lang w:val="en-GB"/>
              </w:rPr>
            </w:pPr>
            <w:r w:rsidRPr="009468A2">
              <w:rPr>
                <w:szCs w:val="18"/>
              </w:rPr>
              <w:t>1</w:t>
            </w:r>
            <w:r w:rsidR="0068196D" w:rsidRPr="009468A2">
              <w:rPr>
                <w:szCs w:val="18"/>
              </w:rPr>
              <w:t>.</w:t>
            </w:r>
            <w:r w:rsidRPr="009468A2">
              <w:rPr>
                <w:szCs w:val="18"/>
              </w:rPr>
              <w:t>08±0</w:t>
            </w:r>
            <w:r w:rsidR="0068196D" w:rsidRPr="009468A2">
              <w:rPr>
                <w:szCs w:val="18"/>
              </w:rPr>
              <w:t>.</w:t>
            </w:r>
            <w:r w:rsidRPr="009468A2">
              <w:rPr>
                <w:szCs w:val="18"/>
              </w:rPr>
              <w:t>02</w:t>
            </w:r>
            <w:r w:rsidRPr="009468A2">
              <w:rPr>
                <w:szCs w:val="18"/>
                <w:vertAlign w:val="superscript"/>
              </w:rPr>
              <w:t>(Aa)</w:t>
            </w:r>
          </w:p>
        </w:tc>
        <w:tc>
          <w:tcPr>
            <w:tcW w:w="1559" w:type="dxa"/>
          </w:tcPr>
          <w:p w14:paraId="6A89C8E0" w14:textId="231F0985" w:rsidR="00F50333" w:rsidRPr="009468A2" w:rsidRDefault="00F50333" w:rsidP="00F50333">
            <w:pPr>
              <w:pStyle w:val="CETBodytext"/>
              <w:ind w:right="-1"/>
              <w:rPr>
                <w:rFonts w:cs="Arial"/>
                <w:szCs w:val="18"/>
                <w:lang w:val="en-GB"/>
              </w:rPr>
            </w:pPr>
            <w:r w:rsidRPr="009468A2">
              <w:rPr>
                <w:szCs w:val="18"/>
              </w:rPr>
              <w:t>1</w:t>
            </w:r>
            <w:r w:rsidR="0068196D" w:rsidRPr="009468A2">
              <w:rPr>
                <w:szCs w:val="18"/>
              </w:rPr>
              <w:t>.</w:t>
            </w:r>
            <w:r w:rsidRPr="009468A2">
              <w:rPr>
                <w:szCs w:val="18"/>
              </w:rPr>
              <w:t>10±0</w:t>
            </w:r>
            <w:r w:rsidR="0068196D" w:rsidRPr="009468A2">
              <w:rPr>
                <w:szCs w:val="18"/>
              </w:rPr>
              <w:t>.</w:t>
            </w:r>
            <w:r w:rsidRPr="009468A2">
              <w:rPr>
                <w:szCs w:val="18"/>
              </w:rPr>
              <w:t>04</w:t>
            </w:r>
            <w:r w:rsidRPr="009468A2">
              <w:rPr>
                <w:szCs w:val="18"/>
                <w:vertAlign w:val="superscript"/>
              </w:rPr>
              <w:t>(Aa)</w:t>
            </w:r>
          </w:p>
        </w:tc>
      </w:tr>
      <w:tr w:rsidR="00F50333" w:rsidRPr="009468A2" w14:paraId="308C7E36" w14:textId="77777777" w:rsidTr="00AF2AA6">
        <w:tc>
          <w:tcPr>
            <w:tcW w:w="1134" w:type="dxa"/>
            <w:vMerge/>
            <w:shd w:val="clear" w:color="auto" w:fill="FFFFFF"/>
          </w:tcPr>
          <w:p w14:paraId="7736A4CD" w14:textId="77777777" w:rsidR="00F50333" w:rsidRPr="009468A2" w:rsidRDefault="00F50333" w:rsidP="00F50333">
            <w:pPr>
              <w:pStyle w:val="CETBodytext"/>
              <w:rPr>
                <w:lang w:val="en-GB"/>
              </w:rPr>
            </w:pPr>
          </w:p>
        </w:tc>
        <w:tc>
          <w:tcPr>
            <w:tcW w:w="1560" w:type="dxa"/>
            <w:shd w:val="clear" w:color="auto" w:fill="FFFFFF"/>
          </w:tcPr>
          <w:p w14:paraId="065D52F9" w14:textId="77777777" w:rsidR="00F50333" w:rsidRPr="009468A2" w:rsidRDefault="00F50333" w:rsidP="00F50333">
            <w:pPr>
              <w:pStyle w:val="CETBodytext"/>
              <w:jc w:val="center"/>
              <w:rPr>
                <w:lang w:val="en-GB"/>
              </w:rPr>
            </w:pPr>
            <w:r w:rsidRPr="009468A2">
              <w:rPr>
                <w:lang w:val="en-GB"/>
              </w:rPr>
              <w:t>AD</w:t>
            </w:r>
          </w:p>
        </w:tc>
        <w:tc>
          <w:tcPr>
            <w:tcW w:w="1417" w:type="dxa"/>
          </w:tcPr>
          <w:p w14:paraId="4544CFBB" w14:textId="2ED26772" w:rsidR="00F50333" w:rsidRPr="009468A2" w:rsidRDefault="00F50333" w:rsidP="00F50333">
            <w:pPr>
              <w:pStyle w:val="CETBodytext"/>
              <w:rPr>
                <w:szCs w:val="18"/>
                <w:lang w:val="en-GB"/>
              </w:rPr>
            </w:pPr>
            <w:r w:rsidRPr="009468A2">
              <w:rPr>
                <w:szCs w:val="18"/>
              </w:rPr>
              <w:t>1</w:t>
            </w:r>
            <w:r w:rsidR="0068196D" w:rsidRPr="009468A2">
              <w:rPr>
                <w:szCs w:val="18"/>
              </w:rPr>
              <w:t>.</w:t>
            </w:r>
            <w:r w:rsidRPr="009468A2">
              <w:rPr>
                <w:szCs w:val="18"/>
              </w:rPr>
              <w:t>12±0</w:t>
            </w:r>
            <w:r w:rsidR="0068196D" w:rsidRPr="009468A2">
              <w:rPr>
                <w:szCs w:val="18"/>
              </w:rPr>
              <w:t>.</w:t>
            </w:r>
            <w:r w:rsidRPr="009468A2">
              <w:rPr>
                <w:szCs w:val="18"/>
              </w:rPr>
              <w:t>06</w:t>
            </w:r>
            <w:r w:rsidRPr="009468A2">
              <w:rPr>
                <w:szCs w:val="18"/>
                <w:vertAlign w:val="superscript"/>
              </w:rPr>
              <w:t>(Aa)</w:t>
            </w:r>
          </w:p>
        </w:tc>
        <w:tc>
          <w:tcPr>
            <w:tcW w:w="1701" w:type="dxa"/>
          </w:tcPr>
          <w:p w14:paraId="7BE21864" w14:textId="1637EC25" w:rsidR="00F50333" w:rsidRPr="009468A2" w:rsidRDefault="00F50333" w:rsidP="00F50333">
            <w:pPr>
              <w:pStyle w:val="CETBodytext"/>
              <w:ind w:right="-1"/>
              <w:rPr>
                <w:rFonts w:cs="Arial"/>
                <w:szCs w:val="18"/>
                <w:lang w:val="en-GB"/>
              </w:rPr>
            </w:pPr>
            <w:r w:rsidRPr="009468A2">
              <w:rPr>
                <w:szCs w:val="18"/>
              </w:rPr>
              <w:t>1</w:t>
            </w:r>
            <w:r w:rsidR="0068196D" w:rsidRPr="009468A2">
              <w:rPr>
                <w:szCs w:val="18"/>
              </w:rPr>
              <w:t>.</w:t>
            </w:r>
            <w:r w:rsidRPr="009468A2">
              <w:rPr>
                <w:szCs w:val="18"/>
              </w:rPr>
              <w:t>103±0</w:t>
            </w:r>
            <w:r w:rsidR="0068196D" w:rsidRPr="009468A2">
              <w:rPr>
                <w:szCs w:val="18"/>
              </w:rPr>
              <w:t>.</w:t>
            </w:r>
            <w:r w:rsidRPr="009468A2">
              <w:rPr>
                <w:szCs w:val="18"/>
              </w:rPr>
              <w:t>014</w:t>
            </w:r>
            <w:r w:rsidRPr="009468A2">
              <w:rPr>
                <w:szCs w:val="18"/>
                <w:vertAlign w:val="superscript"/>
              </w:rPr>
              <w:t>(Aa)</w:t>
            </w:r>
          </w:p>
        </w:tc>
        <w:tc>
          <w:tcPr>
            <w:tcW w:w="1559" w:type="dxa"/>
          </w:tcPr>
          <w:p w14:paraId="2BCE9DE7" w14:textId="418C33D0" w:rsidR="00F50333" w:rsidRPr="009468A2" w:rsidRDefault="00F50333" w:rsidP="00F50333">
            <w:pPr>
              <w:pStyle w:val="CETBodytext"/>
              <w:ind w:right="-1"/>
              <w:rPr>
                <w:rFonts w:cs="Arial"/>
                <w:szCs w:val="18"/>
                <w:lang w:val="en-GB"/>
              </w:rPr>
            </w:pPr>
            <w:r w:rsidRPr="009468A2">
              <w:rPr>
                <w:szCs w:val="18"/>
              </w:rPr>
              <w:t>1</w:t>
            </w:r>
            <w:r w:rsidR="0068196D" w:rsidRPr="009468A2">
              <w:rPr>
                <w:szCs w:val="18"/>
              </w:rPr>
              <w:t>.</w:t>
            </w:r>
            <w:r w:rsidRPr="009468A2">
              <w:rPr>
                <w:szCs w:val="18"/>
              </w:rPr>
              <w:t>107±0</w:t>
            </w:r>
            <w:r w:rsidR="0068196D" w:rsidRPr="009468A2">
              <w:rPr>
                <w:szCs w:val="18"/>
              </w:rPr>
              <w:t>.</w:t>
            </w:r>
            <w:r w:rsidRPr="009468A2">
              <w:rPr>
                <w:szCs w:val="18"/>
              </w:rPr>
              <w:t>007</w:t>
            </w:r>
            <w:r w:rsidRPr="009468A2">
              <w:rPr>
                <w:szCs w:val="18"/>
                <w:vertAlign w:val="superscript"/>
              </w:rPr>
              <w:t>(Aa)</w:t>
            </w:r>
          </w:p>
        </w:tc>
      </w:tr>
      <w:tr w:rsidR="00F50333" w:rsidRPr="009468A2" w14:paraId="3631B5F1" w14:textId="77777777" w:rsidTr="00AF2AA6">
        <w:tc>
          <w:tcPr>
            <w:tcW w:w="1134" w:type="dxa"/>
            <w:vMerge w:val="restart"/>
            <w:shd w:val="clear" w:color="auto" w:fill="FFFFFF"/>
            <w:vAlign w:val="center"/>
          </w:tcPr>
          <w:p w14:paraId="18D2A88C" w14:textId="4123F31B" w:rsidR="00F50333" w:rsidRPr="009468A2" w:rsidRDefault="00F50333" w:rsidP="00F50333">
            <w:pPr>
              <w:pStyle w:val="CETBodytext"/>
              <w:jc w:val="left"/>
              <w:rPr>
                <w:lang w:val="en-GB"/>
              </w:rPr>
            </w:pPr>
            <w:r w:rsidRPr="009468A2">
              <w:rPr>
                <w:lang w:val="en-GB"/>
              </w:rPr>
              <w:t>CI</w:t>
            </w:r>
            <w:r w:rsidR="00ED15AD" w:rsidRPr="009468A2">
              <w:rPr>
                <w:lang w:val="en-GB"/>
              </w:rPr>
              <w:t xml:space="preserve"> </w:t>
            </w:r>
            <w:r w:rsidR="00ED15AD" w:rsidRPr="009468A2">
              <w:t>(%)</w:t>
            </w:r>
          </w:p>
        </w:tc>
        <w:tc>
          <w:tcPr>
            <w:tcW w:w="1560" w:type="dxa"/>
            <w:shd w:val="clear" w:color="auto" w:fill="FFFFFF"/>
          </w:tcPr>
          <w:p w14:paraId="6498CEE9" w14:textId="77777777" w:rsidR="00F50333" w:rsidRPr="009468A2" w:rsidRDefault="00F50333" w:rsidP="00F50333">
            <w:pPr>
              <w:pStyle w:val="CETBodytext"/>
              <w:jc w:val="center"/>
              <w:rPr>
                <w:lang w:val="en-GB"/>
              </w:rPr>
            </w:pPr>
            <w:r w:rsidRPr="009468A2">
              <w:rPr>
                <w:lang w:val="en-GB"/>
              </w:rPr>
              <w:t>FD</w:t>
            </w:r>
          </w:p>
        </w:tc>
        <w:tc>
          <w:tcPr>
            <w:tcW w:w="1417" w:type="dxa"/>
          </w:tcPr>
          <w:p w14:paraId="5546A87F" w14:textId="376E37CC" w:rsidR="00F50333" w:rsidRPr="009468A2" w:rsidRDefault="00F50333" w:rsidP="00F50333">
            <w:pPr>
              <w:pStyle w:val="CETBodytext"/>
              <w:rPr>
                <w:szCs w:val="18"/>
                <w:lang w:val="en-GB"/>
              </w:rPr>
            </w:pPr>
            <w:r w:rsidRPr="009468A2">
              <w:rPr>
                <w:szCs w:val="18"/>
              </w:rPr>
              <w:t>0</w:t>
            </w:r>
            <w:r w:rsidR="0068196D" w:rsidRPr="009468A2">
              <w:rPr>
                <w:szCs w:val="18"/>
              </w:rPr>
              <w:t>.</w:t>
            </w:r>
            <w:r w:rsidRPr="009468A2">
              <w:rPr>
                <w:szCs w:val="18"/>
              </w:rPr>
              <w:t>15±0</w:t>
            </w:r>
            <w:r w:rsidR="0068196D" w:rsidRPr="009468A2">
              <w:rPr>
                <w:szCs w:val="18"/>
              </w:rPr>
              <w:t>.</w:t>
            </w:r>
            <w:r w:rsidRPr="009468A2">
              <w:rPr>
                <w:szCs w:val="18"/>
              </w:rPr>
              <w:t>02</w:t>
            </w:r>
            <w:r w:rsidRPr="009468A2">
              <w:rPr>
                <w:szCs w:val="18"/>
                <w:vertAlign w:val="superscript"/>
              </w:rPr>
              <w:t>(Aa)</w:t>
            </w:r>
          </w:p>
        </w:tc>
        <w:tc>
          <w:tcPr>
            <w:tcW w:w="1701" w:type="dxa"/>
          </w:tcPr>
          <w:p w14:paraId="12BAE08A" w14:textId="7294B381" w:rsidR="00F50333" w:rsidRPr="009468A2" w:rsidRDefault="00F50333" w:rsidP="00F50333">
            <w:pPr>
              <w:pStyle w:val="CETBodytext"/>
              <w:ind w:right="-1"/>
              <w:rPr>
                <w:rFonts w:cs="Arial"/>
                <w:szCs w:val="18"/>
                <w:lang w:val="en-GB"/>
              </w:rPr>
            </w:pPr>
            <w:r w:rsidRPr="009468A2">
              <w:rPr>
                <w:szCs w:val="18"/>
              </w:rPr>
              <w:t>0</w:t>
            </w:r>
            <w:r w:rsidR="0068196D" w:rsidRPr="009468A2">
              <w:rPr>
                <w:szCs w:val="18"/>
              </w:rPr>
              <w:t>.</w:t>
            </w:r>
            <w:r w:rsidRPr="009468A2">
              <w:rPr>
                <w:szCs w:val="18"/>
              </w:rPr>
              <w:t>08±0</w:t>
            </w:r>
            <w:r w:rsidR="0068196D" w:rsidRPr="009468A2">
              <w:rPr>
                <w:szCs w:val="18"/>
              </w:rPr>
              <w:t>.</w:t>
            </w:r>
            <w:r w:rsidRPr="009468A2">
              <w:rPr>
                <w:szCs w:val="18"/>
              </w:rPr>
              <w:t>02</w:t>
            </w:r>
            <w:r w:rsidRPr="009468A2">
              <w:rPr>
                <w:szCs w:val="18"/>
                <w:vertAlign w:val="superscript"/>
              </w:rPr>
              <w:t>(Aa)</w:t>
            </w:r>
          </w:p>
        </w:tc>
        <w:tc>
          <w:tcPr>
            <w:tcW w:w="1559" w:type="dxa"/>
          </w:tcPr>
          <w:p w14:paraId="2644BDCA" w14:textId="6142FC50" w:rsidR="00F50333" w:rsidRPr="009468A2" w:rsidRDefault="00F50333" w:rsidP="00F50333">
            <w:pPr>
              <w:pStyle w:val="CETBodytext"/>
              <w:ind w:right="-1"/>
              <w:rPr>
                <w:rFonts w:cs="Arial"/>
                <w:szCs w:val="18"/>
                <w:lang w:val="en-GB"/>
              </w:rPr>
            </w:pPr>
            <w:r w:rsidRPr="009468A2">
              <w:rPr>
                <w:szCs w:val="18"/>
              </w:rPr>
              <w:t>0</w:t>
            </w:r>
            <w:r w:rsidR="0068196D" w:rsidRPr="009468A2">
              <w:rPr>
                <w:szCs w:val="18"/>
              </w:rPr>
              <w:t>.</w:t>
            </w:r>
            <w:r w:rsidRPr="009468A2">
              <w:rPr>
                <w:szCs w:val="18"/>
              </w:rPr>
              <w:t>09±0</w:t>
            </w:r>
            <w:r w:rsidR="0068196D" w:rsidRPr="009468A2">
              <w:rPr>
                <w:szCs w:val="18"/>
              </w:rPr>
              <w:t>.</w:t>
            </w:r>
            <w:r w:rsidRPr="009468A2">
              <w:rPr>
                <w:szCs w:val="18"/>
              </w:rPr>
              <w:t>04</w:t>
            </w:r>
            <w:r w:rsidRPr="009468A2">
              <w:rPr>
                <w:szCs w:val="18"/>
                <w:vertAlign w:val="superscript"/>
              </w:rPr>
              <w:t>(Aa)</w:t>
            </w:r>
          </w:p>
        </w:tc>
      </w:tr>
      <w:tr w:rsidR="00F50333" w:rsidRPr="009468A2" w14:paraId="0B33C021" w14:textId="77777777" w:rsidTr="00AF2AA6">
        <w:tc>
          <w:tcPr>
            <w:tcW w:w="1134" w:type="dxa"/>
            <w:vMerge/>
            <w:shd w:val="clear" w:color="auto" w:fill="FFFFFF"/>
          </w:tcPr>
          <w:p w14:paraId="2C1DA3F0" w14:textId="77777777" w:rsidR="00F50333" w:rsidRPr="009468A2" w:rsidRDefault="00F50333" w:rsidP="00F50333">
            <w:pPr>
              <w:pStyle w:val="CETBodytext"/>
              <w:ind w:right="-1"/>
              <w:rPr>
                <w:rFonts w:cs="Arial"/>
                <w:szCs w:val="18"/>
                <w:lang w:val="en-GB"/>
              </w:rPr>
            </w:pPr>
          </w:p>
        </w:tc>
        <w:tc>
          <w:tcPr>
            <w:tcW w:w="1560" w:type="dxa"/>
            <w:shd w:val="clear" w:color="auto" w:fill="FFFFFF"/>
          </w:tcPr>
          <w:p w14:paraId="0826E94F" w14:textId="77777777" w:rsidR="00F50333" w:rsidRPr="009468A2" w:rsidRDefault="00F50333" w:rsidP="00F50333">
            <w:pPr>
              <w:pStyle w:val="CETBodytext"/>
              <w:ind w:right="-1"/>
              <w:jc w:val="center"/>
              <w:rPr>
                <w:rFonts w:cs="Arial"/>
                <w:szCs w:val="18"/>
                <w:lang w:val="en-GB"/>
              </w:rPr>
            </w:pPr>
            <w:r w:rsidRPr="009468A2">
              <w:rPr>
                <w:lang w:val="en-GB"/>
              </w:rPr>
              <w:t>AD</w:t>
            </w:r>
          </w:p>
        </w:tc>
        <w:tc>
          <w:tcPr>
            <w:tcW w:w="1417" w:type="dxa"/>
          </w:tcPr>
          <w:p w14:paraId="57D13B3D" w14:textId="0AF678D8" w:rsidR="00F50333" w:rsidRPr="009468A2" w:rsidRDefault="00F50333" w:rsidP="00F50333">
            <w:pPr>
              <w:pStyle w:val="CETBodytext"/>
              <w:ind w:right="-1"/>
              <w:rPr>
                <w:rFonts w:cs="Arial"/>
                <w:szCs w:val="18"/>
                <w:lang w:val="en-GB"/>
              </w:rPr>
            </w:pPr>
            <w:r w:rsidRPr="009468A2">
              <w:rPr>
                <w:szCs w:val="18"/>
              </w:rPr>
              <w:t>0</w:t>
            </w:r>
            <w:r w:rsidR="0068196D" w:rsidRPr="009468A2">
              <w:rPr>
                <w:szCs w:val="18"/>
              </w:rPr>
              <w:t>.</w:t>
            </w:r>
            <w:r w:rsidRPr="009468A2">
              <w:rPr>
                <w:szCs w:val="18"/>
              </w:rPr>
              <w:t>10±0</w:t>
            </w:r>
            <w:r w:rsidR="0068196D" w:rsidRPr="009468A2">
              <w:rPr>
                <w:szCs w:val="18"/>
              </w:rPr>
              <w:t>.</w:t>
            </w:r>
            <w:r w:rsidRPr="009468A2">
              <w:rPr>
                <w:szCs w:val="18"/>
              </w:rPr>
              <w:t>05</w:t>
            </w:r>
            <w:r w:rsidRPr="009468A2">
              <w:rPr>
                <w:szCs w:val="18"/>
                <w:vertAlign w:val="superscript"/>
              </w:rPr>
              <w:t>(Aa)</w:t>
            </w:r>
          </w:p>
        </w:tc>
        <w:tc>
          <w:tcPr>
            <w:tcW w:w="1701" w:type="dxa"/>
          </w:tcPr>
          <w:p w14:paraId="10DA6E34" w14:textId="2CE622D0" w:rsidR="00F50333" w:rsidRPr="009468A2" w:rsidRDefault="00F50333" w:rsidP="00F50333">
            <w:pPr>
              <w:pStyle w:val="CETBodytext"/>
              <w:ind w:right="-1"/>
              <w:rPr>
                <w:rFonts w:cs="Arial"/>
                <w:szCs w:val="18"/>
                <w:lang w:val="en-GB"/>
              </w:rPr>
            </w:pPr>
            <w:r w:rsidRPr="009468A2">
              <w:rPr>
                <w:szCs w:val="18"/>
              </w:rPr>
              <w:t>0</w:t>
            </w:r>
            <w:r w:rsidR="0068196D" w:rsidRPr="009468A2">
              <w:rPr>
                <w:szCs w:val="18"/>
              </w:rPr>
              <w:t>.</w:t>
            </w:r>
            <w:r w:rsidRPr="009468A2">
              <w:rPr>
                <w:szCs w:val="18"/>
              </w:rPr>
              <w:t>093±0</w:t>
            </w:r>
            <w:r w:rsidR="0068196D" w:rsidRPr="009468A2">
              <w:rPr>
                <w:szCs w:val="18"/>
              </w:rPr>
              <w:t>.</w:t>
            </w:r>
            <w:r w:rsidRPr="009468A2">
              <w:rPr>
                <w:szCs w:val="18"/>
              </w:rPr>
              <w:t>012</w:t>
            </w:r>
            <w:r w:rsidRPr="009468A2">
              <w:rPr>
                <w:szCs w:val="18"/>
                <w:vertAlign w:val="superscript"/>
              </w:rPr>
              <w:t>(Aa)</w:t>
            </w:r>
          </w:p>
        </w:tc>
        <w:tc>
          <w:tcPr>
            <w:tcW w:w="1559" w:type="dxa"/>
          </w:tcPr>
          <w:p w14:paraId="26C2689B" w14:textId="2EC9736A" w:rsidR="00F50333" w:rsidRPr="009468A2" w:rsidRDefault="00F50333" w:rsidP="00F50333">
            <w:pPr>
              <w:pStyle w:val="CETBodytext"/>
              <w:ind w:right="-1"/>
              <w:rPr>
                <w:rFonts w:cs="Arial"/>
                <w:szCs w:val="18"/>
                <w:lang w:val="en-GB"/>
              </w:rPr>
            </w:pPr>
            <w:r w:rsidRPr="009468A2">
              <w:rPr>
                <w:szCs w:val="18"/>
              </w:rPr>
              <w:t>0</w:t>
            </w:r>
            <w:r w:rsidR="0068196D" w:rsidRPr="009468A2">
              <w:rPr>
                <w:szCs w:val="18"/>
              </w:rPr>
              <w:t>.</w:t>
            </w:r>
            <w:r w:rsidRPr="009468A2">
              <w:rPr>
                <w:szCs w:val="18"/>
              </w:rPr>
              <w:t>097±0</w:t>
            </w:r>
            <w:r w:rsidR="0068196D" w:rsidRPr="009468A2">
              <w:rPr>
                <w:szCs w:val="18"/>
              </w:rPr>
              <w:t>.</w:t>
            </w:r>
            <w:r w:rsidRPr="009468A2">
              <w:rPr>
                <w:szCs w:val="18"/>
              </w:rPr>
              <w:t>006</w:t>
            </w:r>
            <w:r w:rsidRPr="009468A2">
              <w:rPr>
                <w:szCs w:val="18"/>
                <w:vertAlign w:val="superscript"/>
              </w:rPr>
              <w:t>(Aa)</w:t>
            </w:r>
          </w:p>
        </w:tc>
      </w:tr>
    </w:tbl>
    <w:p w14:paraId="5B5E5FD8" w14:textId="3D1B9B75" w:rsidR="00B56D91" w:rsidRPr="009468A2" w:rsidRDefault="00B56D91" w:rsidP="00B56D91">
      <w:pPr>
        <w:pStyle w:val="CETHeading1"/>
        <w:numPr>
          <w:ilvl w:val="0"/>
          <w:numId w:val="0"/>
        </w:numPr>
        <w:spacing w:before="0"/>
        <w:rPr>
          <w:b w:val="0"/>
          <w:i/>
          <w:sz w:val="18"/>
          <w:szCs w:val="18"/>
          <w:lang w:val="en-GB"/>
        </w:rPr>
      </w:pPr>
      <w:r w:rsidRPr="009468A2">
        <w:rPr>
          <w:b w:val="0"/>
          <w:i/>
          <w:sz w:val="18"/>
          <w:szCs w:val="18"/>
          <w:lang w:val="en-GB"/>
        </w:rPr>
        <w:t>Different letters in upper case (</w:t>
      </w:r>
      <w:proofErr w:type="gramStart"/>
      <w:r w:rsidRPr="009468A2">
        <w:rPr>
          <w:b w:val="0"/>
          <w:i/>
          <w:sz w:val="18"/>
          <w:szCs w:val="18"/>
          <w:lang w:val="en-GB"/>
        </w:rPr>
        <w:t>A,B</w:t>
      </w:r>
      <w:proofErr w:type="gramEnd"/>
      <w:r w:rsidRPr="009468A2">
        <w:rPr>
          <w:b w:val="0"/>
          <w:i/>
          <w:sz w:val="18"/>
          <w:szCs w:val="18"/>
          <w:lang w:val="en-GB"/>
        </w:rPr>
        <w:t>) or lower case (</w:t>
      </w:r>
      <w:proofErr w:type="spellStart"/>
      <w:proofErr w:type="gramStart"/>
      <w:r w:rsidRPr="009468A2">
        <w:rPr>
          <w:b w:val="0"/>
          <w:i/>
          <w:sz w:val="18"/>
          <w:szCs w:val="18"/>
          <w:lang w:val="en-GB"/>
        </w:rPr>
        <w:t>a,b</w:t>
      </w:r>
      <w:proofErr w:type="spellEnd"/>
      <w:proofErr w:type="gramEnd"/>
      <w:r w:rsidRPr="009468A2">
        <w:rPr>
          <w:b w:val="0"/>
          <w:i/>
          <w:sz w:val="18"/>
          <w:szCs w:val="18"/>
          <w:lang w:val="en-GB"/>
        </w:rPr>
        <w:t>) indicate significant differences (p&lt;0.05) between the temperature (45, 50 or 55 ºC) or the drying process (FD or AD), respectively.</w:t>
      </w:r>
    </w:p>
    <w:p w14:paraId="4E3374F7" w14:textId="704B5A69" w:rsidR="0079076C" w:rsidRPr="00227A31" w:rsidRDefault="008062F6" w:rsidP="0079076C">
      <w:pPr>
        <w:pStyle w:val="CETBodytext"/>
      </w:pPr>
      <w:r>
        <w:rPr>
          <w:lang w:val="en-GB"/>
        </w:rPr>
        <w:t>T</w:t>
      </w:r>
      <w:r w:rsidR="00AC7583" w:rsidRPr="009468A2">
        <w:rPr>
          <w:lang w:val="en-GB"/>
        </w:rPr>
        <w:t xml:space="preserve">he properties related to the interaction of </w:t>
      </w:r>
      <w:r>
        <w:rPr>
          <w:lang w:val="en-GB"/>
        </w:rPr>
        <w:t xml:space="preserve">the </w:t>
      </w:r>
      <w:r w:rsidR="00AC7583" w:rsidRPr="009468A2">
        <w:rPr>
          <w:lang w:val="en-GB"/>
        </w:rPr>
        <w:t>powder</w:t>
      </w:r>
      <w:r>
        <w:rPr>
          <w:lang w:val="en-GB"/>
        </w:rPr>
        <w:t>s</w:t>
      </w:r>
      <w:r w:rsidR="00AC7583" w:rsidRPr="009468A2">
        <w:rPr>
          <w:lang w:val="en-GB"/>
        </w:rPr>
        <w:t xml:space="preserve"> with water</w:t>
      </w:r>
      <w:r>
        <w:rPr>
          <w:lang w:val="en-GB"/>
        </w:rPr>
        <w:t xml:space="preserve"> appear in </w:t>
      </w:r>
      <w:r w:rsidRPr="009468A2">
        <w:rPr>
          <w:lang w:val="en-GB"/>
        </w:rPr>
        <w:t>Table 3</w:t>
      </w:r>
      <w:r>
        <w:rPr>
          <w:lang w:val="en-GB"/>
        </w:rPr>
        <w:t>.</w:t>
      </w:r>
      <w:r w:rsidR="00AC7583" w:rsidRPr="009468A2">
        <w:rPr>
          <w:lang w:val="en-GB"/>
        </w:rPr>
        <w:t xml:space="preserve"> </w:t>
      </w:r>
      <w:proofErr w:type="gramStart"/>
      <w:r w:rsidR="00666A55" w:rsidRPr="009468A2">
        <w:rPr>
          <w:lang w:val="en-GB"/>
        </w:rPr>
        <w:t>AD</w:t>
      </w:r>
      <w:proofErr w:type="gramEnd"/>
      <w:r w:rsidR="00666A55" w:rsidRPr="009468A2">
        <w:rPr>
          <w:lang w:val="en-GB"/>
        </w:rPr>
        <w:t xml:space="preserve"> flours were less hygroscopic than FD samples (p&lt;0.05)</w:t>
      </w:r>
      <w:r w:rsidR="00C27EA3">
        <w:rPr>
          <w:lang w:val="en-GB"/>
        </w:rPr>
        <w:t>,</w:t>
      </w:r>
      <w:r w:rsidR="00666A55" w:rsidRPr="009468A2">
        <w:rPr>
          <w:lang w:val="en-GB"/>
        </w:rPr>
        <w:t xml:space="preserve"> </w:t>
      </w:r>
      <w:r w:rsidR="0066417A" w:rsidRPr="009468A2">
        <w:rPr>
          <w:lang w:val="en-GB"/>
        </w:rPr>
        <w:t>which</w:t>
      </w:r>
      <w:r w:rsidR="00666A55" w:rsidRPr="009468A2">
        <w:rPr>
          <w:lang w:val="en-GB"/>
        </w:rPr>
        <w:t xml:space="preserve"> could be considered non-hygroscopic and slightly hygroscopic, respectively </w:t>
      </w:r>
      <w:r w:rsidR="00ED15AD" w:rsidRPr="009468A2">
        <w:rPr>
          <w:lang w:val="en-GB"/>
        </w:rPr>
        <w:t>(Schuck et al., 2012).</w:t>
      </w:r>
      <w:r w:rsidR="00ED4F6C" w:rsidRPr="009468A2">
        <w:t xml:space="preserve"> </w:t>
      </w:r>
      <w:r w:rsidR="00405556">
        <w:t xml:space="preserve">Significant differences were observed in the </w:t>
      </w:r>
      <w:r w:rsidR="00405556" w:rsidRPr="009468A2">
        <w:t>wettability</w:t>
      </w:r>
      <w:r w:rsidR="00405556">
        <w:t>,</w:t>
      </w:r>
      <w:r w:rsidR="00405556" w:rsidRPr="009468A2">
        <w:t xml:space="preserve"> </w:t>
      </w:r>
      <w:r w:rsidR="00405556">
        <w:t xml:space="preserve">much </w:t>
      </w:r>
      <w:r w:rsidR="00ED4F6C" w:rsidRPr="009468A2">
        <w:t xml:space="preserve">lower (longer wetting time) </w:t>
      </w:r>
      <w:r w:rsidR="00405556">
        <w:t>in the case of the samples obtained by FD</w:t>
      </w:r>
      <w:r w:rsidR="00ED4F6C" w:rsidRPr="009468A2">
        <w:t xml:space="preserve">. </w:t>
      </w:r>
      <w:r w:rsidR="000646F0" w:rsidRPr="009468A2">
        <w:t>Th</w:t>
      </w:r>
      <w:r w:rsidR="00405556">
        <w:t>is</w:t>
      </w:r>
      <w:r w:rsidR="000646F0">
        <w:t xml:space="preserve"> </w:t>
      </w:r>
      <w:r w:rsidR="000646F0" w:rsidRPr="009468A2">
        <w:t xml:space="preserve">difference may be related to the different MPS of the samples, the lower the size (FD samples), the greater the surface exposed to the environment, thus favoring the interaction </w:t>
      </w:r>
      <w:r w:rsidR="000646F0" w:rsidRPr="002C3034">
        <w:t>with the water present there. This promotes water adsorption and the formation of liquid bridges between the particles</w:t>
      </w:r>
      <w:r w:rsidR="004832C3" w:rsidRPr="002C3034">
        <w:t>,</w:t>
      </w:r>
      <w:r w:rsidR="000646F0" w:rsidRPr="002C3034">
        <w:t xml:space="preserve"> </w:t>
      </w:r>
      <w:r w:rsidR="000646F0" w:rsidRPr="002C3034">
        <w:rPr>
          <w:lang w:val="en-GB"/>
        </w:rPr>
        <w:t>leading to a tendency to agglomerate on the surface of the liquid</w:t>
      </w:r>
      <w:r w:rsidR="00C27EA3" w:rsidRPr="002C3034">
        <w:rPr>
          <w:lang w:val="en-GB"/>
        </w:rPr>
        <w:t>,</w:t>
      </w:r>
      <w:r w:rsidR="000646F0" w:rsidRPr="002C3034">
        <w:rPr>
          <w:lang w:val="en-GB"/>
        </w:rPr>
        <w:t xml:space="preserve"> which increases </w:t>
      </w:r>
      <w:r w:rsidR="000646F0" w:rsidRPr="002C3034">
        <w:t>the time required for wetting (</w:t>
      </w:r>
      <w:r w:rsidR="000646F0" w:rsidRPr="002C3034">
        <w:rPr>
          <w:lang w:val="en-GB"/>
        </w:rPr>
        <w:t xml:space="preserve">Schubert, 1987; </w:t>
      </w:r>
      <w:r w:rsidR="000646F0" w:rsidRPr="002C3034">
        <w:t>O’Donoghue</w:t>
      </w:r>
      <w:r w:rsidR="000646F0" w:rsidRPr="009468A2">
        <w:t xml:space="preserve"> et al., 2019). </w:t>
      </w:r>
    </w:p>
    <w:p w14:paraId="31020BF9" w14:textId="1595D13F" w:rsidR="00872517" w:rsidRPr="009468A2" w:rsidRDefault="00872517" w:rsidP="00872517">
      <w:pPr>
        <w:pStyle w:val="CETTabletitle"/>
      </w:pPr>
      <w:r w:rsidRPr="009468A2">
        <w:t xml:space="preserve">Table 3: </w:t>
      </w:r>
      <w:r w:rsidR="00774291" w:rsidRPr="009468A2">
        <w:t>For the samples obtained by freeze-drying (FD) and air drying (AD), at 45, 50 and 55 ºC, m</w:t>
      </w:r>
      <w:r w:rsidRPr="009468A2">
        <w:t>ean value ± standard deviation of hygroscopicity (g water gained/100 g dry solutes), water retention capacity (WRC, g water/100 g dry residue), wettability (s), solubility (g soluble solutes/100 g total solutes),</w:t>
      </w:r>
      <w:r w:rsidR="00D07846" w:rsidRPr="009468A2">
        <w:t xml:space="preserve"> </w:t>
      </w:r>
      <w:r w:rsidRPr="009468A2">
        <w:t>dispersibility (g ss passing the sieve/100 g dry solutes)</w:t>
      </w:r>
      <w:r w:rsidR="00271997" w:rsidRPr="009468A2">
        <w:t xml:space="preserve"> and foaming capacity and stability (FC and FS, respectively)</w:t>
      </w:r>
      <w:r w:rsidR="00D07846" w:rsidRPr="009468A2">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1418"/>
        <w:gridCol w:w="1417"/>
        <w:gridCol w:w="1701"/>
        <w:gridCol w:w="1559"/>
      </w:tblGrid>
      <w:tr w:rsidR="00872517" w:rsidRPr="009468A2" w14:paraId="3D7537A5" w14:textId="77777777" w:rsidTr="00872517">
        <w:tc>
          <w:tcPr>
            <w:tcW w:w="1276" w:type="dxa"/>
            <w:tcBorders>
              <w:top w:val="single" w:sz="12" w:space="0" w:color="008000"/>
              <w:bottom w:val="single" w:sz="6" w:space="0" w:color="008000"/>
            </w:tcBorders>
            <w:shd w:val="clear" w:color="auto" w:fill="FFFFFF"/>
          </w:tcPr>
          <w:p w14:paraId="36922912" w14:textId="77777777" w:rsidR="00872517" w:rsidRPr="009468A2" w:rsidRDefault="00872517" w:rsidP="00723E89">
            <w:pPr>
              <w:pStyle w:val="CETBodytext"/>
              <w:rPr>
                <w:lang w:val="en-GB"/>
              </w:rPr>
            </w:pPr>
          </w:p>
        </w:tc>
        <w:tc>
          <w:tcPr>
            <w:tcW w:w="1418" w:type="dxa"/>
            <w:tcBorders>
              <w:top w:val="single" w:sz="12" w:space="0" w:color="008000"/>
              <w:bottom w:val="single" w:sz="6" w:space="0" w:color="008000"/>
            </w:tcBorders>
            <w:shd w:val="clear" w:color="auto" w:fill="FFFFFF"/>
          </w:tcPr>
          <w:p w14:paraId="203E7AAC" w14:textId="798D1222" w:rsidR="00872517" w:rsidRPr="009468A2" w:rsidRDefault="00872517" w:rsidP="00723E89">
            <w:pPr>
              <w:pStyle w:val="CETBodytext"/>
              <w:rPr>
                <w:lang w:val="en-GB"/>
              </w:rPr>
            </w:pPr>
          </w:p>
        </w:tc>
        <w:tc>
          <w:tcPr>
            <w:tcW w:w="1417" w:type="dxa"/>
            <w:tcBorders>
              <w:top w:val="single" w:sz="12" w:space="0" w:color="008000"/>
              <w:bottom w:val="single" w:sz="6" w:space="0" w:color="008000"/>
            </w:tcBorders>
            <w:shd w:val="clear" w:color="auto" w:fill="FFFFFF"/>
          </w:tcPr>
          <w:p w14:paraId="17F4D7E0" w14:textId="77777777" w:rsidR="00872517" w:rsidRPr="009468A2" w:rsidRDefault="00872517" w:rsidP="00723E89">
            <w:pPr>
              <w:pStyle w:val="CETBodytext"/>
              <w:rPr>
                <w:lang w:val="en-GB"/>
              </w:rPr>
            </w:pPr>
            <w:r w:rsidRPr="009468A2">
              <w:rPr>
                <w:lang w:val="en-GB"/>
              </w:rPr>
              <w:t>45 ºC</w:t>
            </w:r>
          </w:p>
        </w:tc>
        <w:tc>
          <w:tcPr>
            <w:tcW w:w="1701" w:type="dxa"/>
            <w:tcBorders>
              <w:top w:val="single" w:sz="12" w:space="0" w:color="008000"/>
              <w:bottom w:val="single" w:sz="6" w:space="0" w:color="008000"/>
            </w:tcBorders>
            <w:shd w:val="clear" w:color="auto" w:fill="FFFFFF"/>
          </w:tcPr>
          <w:p w14:paraId="270A797A" w14:textId="77777777" w:rsidR="00872517" w:rsidRPr="009468A2" w:rsidRDefault="00872517" w:rsidP="00723E89">
            <w:pPr>
              <w:pStyle w:val="CETBodytext"/>
              <w:ind w:right="-1"/>
              <w:rPr>
                <w:rFonts w:cs="Arial"/>
                <w:szCs w:val="18"/>
                <w:lang w:val="en-GB"/>
              </w:rPr>
            </w:pPr>
            <w:r w:rsidRPr="009468A2">
              <w:rPr>
                <w:rFonts w:cs="Arial"/>
                <w:szCs w:val="18"/>
                <w:lang w:val="en-GB"/>
              </w:rPr>
              <w:t>50 ºC</w:t>
            </w:r>
          </w:p>
        </w:tc>
        <w:tc>
          <w:tcPr>
            <w:tcW w:w="1559" w:type="dxa"/>
            <w:tcBorders>
              <w:top w:val="single" w:sz="12" w:space="0" w:color="008000"/>
              <w:bottom w:val="single" w:sz="6" w:space="0" w:color="008000"/>
            </w:tcBorders>
            <w:shd w:val="clear" w:color="auto" w:fill="FFFFFF"/>
          </w:tcPr>
          <w:p w14:paraId="57E313A3" w14:textId="77777777" w:rsidR="00872517" w:rsidRPr="009468A2" w:rsidRDefault="00872517" w:rsidP="00723E89">
            <w:pPr>
              <w:pStyle w:val="CETBodytext"/>
              <w:ind w:right="-1"/>
              <w:rPr>
                <w:rFonts w:cs="Arial"/>
                <w:szCs w:val="18"/>
                <w:lang w:val="en-GB"/>
              </w:rPr>
            </w:pPr>
            <w:r w:rsidRPr="009468A2">
              <w:rPr>
                <w:rFonts w:cs="Arial"/>
                <w:szCs w:val="18"/>
                <w:lang w:val="en-GB"/>
              </w:rPr>
              <w:t>55 ºC</w:t>
            </w:r>
          </w:p>
        </w:tc>
      </w:tr>
      <w:tr w:rsidR="00872517" w:rsidRPr="009468A2" w14:paraId="464D864F" w14:textId="77777777" w:rsidTr="00872517">
        <w:tc>
          <w:tcPr>
            <w:tcW w:w="1276" w:type="dxa"/>
            <w:vMerge w:val="restart"/>
            <w:shd w:val="clear" w:color="auto" w:fill="FFFFFF"/>
            <w:vAlign w:val="center"/>
          </w:tcPr>
          <w:p w14:paraId="5A99BCB6" w14:textId="3F10435C" w:rsidR="00872517" w:rsidRPr="009468A2" w:rsidRDefault="00872517" w:rsidP="00872517">
            <w:pPr>
              <w:pStyle w:val="CETBodytext"/>
              <w:jc w:val="left"/>
              <w:rPr>
                <w:rFonts w:cs="Arial"/>
                <w:lang w:val="en-GB"/>
              </w:rPr>
            </w:pPr>
            <w:r w:rsidRPr="009468A2">
              <w:rPr>
                <w:rFonts w:cs="Arial"/>
                <w:lang w:val="en-GB"/>
              </w:rPr>
              <w:t>Hygroscopicity</w:t>
            </w:r>
          </w:p>
        </w:tc>
        <w:tc>
          <w:tcPr>
            <w:tcW w:w="1418" w:type="dxa"/>
            <w:shd w:val="clear" w:color="auto" w:fill="FFFFFF"/>
          </w:tcPr>
          <w:p w14:paraId="56E9715A" w14:textId="77777777" w:rsidR="00872517" w:rsidRPr="009468A2" w:rsidRDefault="00872517" w:rsidP="00872517">
            <w:pPr>
              <w:pStyle w:val="CETBodytext"/>
              <w:jc w:val="center"/>
              <w:rPr>
                <w:lang w:val="en-GB"/>
              </w:rPr>
            </w:pPr>
            <w:r w:rsidRPr="009468A2">
              <w:rPr>
                <w:lang w:val="en-GB"/>
              </w:rPr>
              <w:t>F</w:t>
            </w:r>
            <w:r w:rsidRPr="009468A2">
              <w:t>D</w:t>
            </w:r>
          </w:p>
        </w:tc>
        <w:tc>
          <w:tcPr>
            <w:tcW w:w="1417" w:type="dxa"/>
          </w:tcPr>
          <w:p w14:paraId="54AE69D4" w14:textId="60601C37" w:rsidR="00872517" w:rsidRPr="009468A2" w:rsidRDefault="00872517" w:rsidP="00872517">
            <w:pPr>
              <w:pStyle w:val="CETBodytext"/>
              <w:rPr>
                <w:szCs w:val="18"/>
                <w:lang w:val="en-GB"/>
              </w:rPr>
            </w:pPr>
            <w:r w:rsidRPr="009468A2">
              <w:rPr>
                <w:szCs w:val="18"/>
              </w:rPr>
              <w:t>4</w:t>
            </w:r>
            <w:r w:rsidR="001853FA" w:rsidRPr="009468A2">
              <w:rPr>
                <w:szCs w:val="18"/>
              </w:rPr>
              <w:t>.</w:t>
            </w:r>
            <w:r w:rsidRPr="009468A2">
              <w:rPr>
                <w:szCs w:val="18"/>
              </w:rPr>
              <w:t>9</w:t>
            </w:r>
            <w:r w:rsidR="001853FA" w:rsidRPr="009468A2">
              <w:rPr>
                <w:szCs w:val="18"/>
              </w:rPr>
              <w:t>0</w:t>
            </w:r>
            <w:r w:rsidRPr="009468A2">
              <w:rPr>
                <w:szCs w:val="18"/>
              </w:rPr>
              <w:t>±0</w:t>
            </w:r>
            <w:r w:rsidR="001853FA" w:rsidRPr="009468A2">
              <w:rPr>
                <w:szCs w:val="18"/>
              </w:rPr>
              <w:t>.</w:t>
            </w:r>
            <w:r w:rsidRPr="009468A2">
              <w:rPr>
                <w:szCs w:val="18"/>
              </w:rPr>
              <w:t>1</w:t>
            </w:r>
            <w:r w:rsidR="001853FA" w:rsidRPr="009468A2">
              <w:rPr>
                <w:szCs w:val="18"/>
              </w:rPr>
              <w:t>0</w:t>
            </w:r>
            <w:r w:rsidRPr="009468A2">
              <w:rPr>
                <w:szCs w:val="18"/>
                <w:vertAlign w:val="superscript"/>
              </w:rPr>
              <w:t>(Aa)</w:t>
            </w:r>
          </w:p>
        </w:tc>
        <w:tc>
          <w:tcPr>
            <w:tcW w:w="1701" w:type="dxa"/>
          </w:tcPr>
          <w:p w14:paraId="421EC594" w14:textId="4C77B143" w:rsidR="00872517" w:rsidRPr="009468A2" w:rsidRDefault="00872517" w:rsidP="00872517">
            <w:pPr>
              <w:pStyle w:val="CETBodytext"/>
              <w:ind w:right="-1"/>
              <w:rPr>
                <w:rFonts w:cs="Arial"/>
                <w:szCs w:val="18"/>
                <w:lang w:val="en-GB"/>
              </w:rPr>
            </w:pPr>
            <w:r w:rsidRPr="009468A2">
              <w:rPr>
                <w:szCs w:val="18"/>
              </w:rPr>
              <w:t>4</w:t>
            </w:r>
            <w:r w:rsidR="001853FA" w:rsidRPr="009468A2">
              <w:rPr>
                <w:szCs w:val="18"/>
              </w:rPr>
              <w:t>.</w:t>
            </w:r>
            <w:r w:rsidRPr="009468A2">
              <w:rPr>
                <w:szCs w:val="18"/>
              </w:rPr>
              <w:t>3±0</w:t>
            </w:r>
            <w:r w:rsidR="001853FA" w:rsidRPr="009468A2">
              <w:rPr>
                <w:szCs w:val="18"/>
              </w:rPr>
              <w:t>.</w:t>
            </w:r>
            <w:r w:rsidRPr="009468A2">
              <w:rPr>
                <w:szCs w:val="18"/>
              </w:rPr>
              <w:t>2</w:t>
            </w:r>
            <w:r w:rsidRPr="009468A2">
              <w:rPr>
                <w:szCs w:val="18"/>
                <w:vertAlign w:val="superscript"/>
              </w:rPr>
              <w:t>(Aa)</w:t>
            </w:r>
          </w:p>
        </w:tc>
        <w:tc>
          <w:tcPr>
            <w:tcW w:w="1559" w:type="dxa"/>
          </w:tcPr>
          <w:p w14:paraId="318E9742" w14:textId="01B0F0C4" w:rsidR="00872517" w:rsidRPr="009468A2" w:rsidRDefault="00872517" w:rsidP="00872517">
            <w:pPr>
              <w:pStyle w:val="CETBodytext"/>
              <w:ind w:right="-1"/>
              <w:rPr>
                <w:rFonts w:cs="Arial"/>
                <w:szCs w:val="18"/>
                <w:lang w:val="en-GB"/>
              </w:rPr>
            </w:pPr>
            <w:r w:rsidRPr="009468A2">
              <w:rPr>
                <w:szCs w:val="18"/>
              </w:rPr>
              <w:t>4</w:t>
            </w:r>
            <w:r w:rsidR="001853FA" w:rsidRPr="009468A2">
              <w:rPr>
                <w:szCs w:val="18"/>
              </w:rPr>
              <w:t>.</w:t>
            </w:r>
            <w:r w:rsidRPr="009468A2">
              <w:rPr>
                <w:szCs w:val="18"/>
              </w:rPr>
              <w:t>4±0</w:t>
            </w:r>
            <w:r w:rsidR="001853FA" w:rsidRPr="009468A2">
              <w:rPr>
                <w:szCs w:val="18"/>
              </w:rPr>
              <w:t>.</w:t>
            </w:r>
            <w:r w:rsidRPr="009468A2">
              <w:rPr>
                <w:szCs w:val="18"/>
              </w:rPr>
              <w:t>3</w:t>
            </w:r>
            <w:r w:rsidRPr="009468A2">
              <w:rPr>
                <w:szCs w:val="18"/>
                <w:vertAlign w:val="superscript"/>
              </w:rPr>
              <w:t>(Aa)</w:t>
            </w:r>
          </w:p>
        </w:tc>
      </w:tr>
      <w:tr w:rsidR="00872517" w:rsidRPr="009468A2" w14:paraId="45205E94" w14:textId="77777777" w:rsidTr="00872517">
        <w:tc>
          <w:tcPr>
            <w:tcW w:w="1276" w:type="dxa"/>
            <w:vMerge/>
            <w:shd w:val="clear" w:color="auto" w:fill="FFFFFF"/>
          </w:tcPr>
          <w:p w14:paraId="27265B8B" w14:textId="77777777" w:rsidR="00872517" w:rsidRPr="009468A2" w:rsidRDefault="00872517" w:rsidP="00872517">
            <w:pPr>
              <w:pStyle w:val="CETBodytext"/>
              <w:rPr>
                <w:rFonts w:cs="Arial"/>
                <w:lang w:val="en-GB"/>
              </w:rPr>
            </w:pPr>
          </w:p>
        </w:tc>
        <w:tc>
          <w:tcPr>
            <w:tcW w:w="1418" w:type="dxa"/>
            <w:shd w:val="clear" w:color="auto" w:fill="FFFFFF"/>
          </w:tcPr>
          <w:p w14:paraId="0592AAFB" w14:textId="77777777" w:rsidR="00872517" w:rsidRPr="009468A2" w:rsidRDefault="00872517" w:rsidP="00872517">
            <w:pPr>
              <w:pStyle w:val="CETBodytext"/>
              <w:jc w:val="center"/>
              <w:rPr>
                <w:lang w:val="en-GB"/>
              </w:rPr>
            </w:pPr>
            <w:r w:rsidRPr="009468A2">
              <w:rPr>
                <w:lang w:val="en-GB"/>
              </w:rPr>
              <w:t>A</w:t>
            </w:r>
            <w:r w:rsidRPr="009468A2">
              <w:t>D</w:t>
            </w:r>
          </w:p>
        </w:tc>
        <w:tc>
          <w:tcPr>
            <w:tcW w:w="1417" w:type="dxa"/>
          </w:tcPr>
          <w:p w14:paraId="66B61D99" w14:textId="5A32CA87" w:rsidR="00872517" w:rsidRPr="009468A2" w:rsidRDefault="00872517" w:rsidP="00872517">
            <w:pPr>
              <w:pStyle w:val="CETBodytext"/>
              <w:rPr>
                <w:szCs w:val="18"/>
                <w:lang w:val="en-GB"/>
              </w:rPr>
            </w:pPr>
            <w:r w:rsidRPr="009468A2">
              <w:rPr>
                <w:szCs w:val="18"/>
              </w:rPr>
              <w:t>3</w:t>
            </w:r>
            <w:r w:rsidR="001853FA" w:rsidRPr="009468A2">
              <w:rPr>
                <w:szCs w:val="18"/>
              </w:rPr>
              <w:t>.</w:t>
            </w:r>
            <w:r w:rsidRPr="009468A2">
              <w:rPr>
                <w:szCs w:val="18"/>
              </w:rPr>
              <w:t>0</w:t>
            </w:r>
            <w:r w:rsidR="001853FA" w:rsidRPr="009468A2">
              <w:rPr>
                <w:szCs w:val="18"/>
              </w:rPr>
              <w:t>0</w:t>
            </w:r>
            <w:r w:rsidRPr="009468A2">
              <w:rPr>
                <w:szCs w:val="18"/>
              </w:rPr>
              <w:t>±0</w:t>
            </w:r>
            <w:r w:rsidR="001853FA" w:rsidRPr="009468A2">
              <w:rPr>
                <w:szCs w:val="18"/>
              </w:rPr>
              <w:t>.</w:t>
            </w:r>
            <w:r w:rsidRPr="009468A2">
              <w:rPr>
                <w:szCs w:val="18"/>
              </w:rPr>
              <w:t>1</w:t>
            </w:r>
            <w:r w:rsidR="001853FA" w:rsidRPr="009468A2">
              <w:rPr>
                <w:szCs w:val="18"/>
              </w:rPr>
              <w:t>0</w:t>
            </w:r>
            <w:r w:rsidRPr="009468A2">
              <w:rPr>
                <w:szCs w:val="18"/>
                <w:vertAlign w:val="superscript"/>
              </w:rPr>
              <w:t>(Ab)</w:t>
            </w:r>
          </w:p>
        </w:tc>
        <w:tc>
          <w:tcPr>
            <w:tcW w:w="1701" w:type="dxa"/>
          </w:tcPr>
          <w:p w14:paraId="739A5C2F" w14:textId="560F741D" w:rsidR="00872517" w:rsidRPr="009468A2" w:rsidRDefault="00872517" w:rsidP="00872517">
            <w:pPr>
              <w:pStyle w:val="CETBodytext"/>
              <w:ind w:right="-1"/>
              <w:rPr>
                <w:rFonts w:cs="Arial"/>
                <w:szCs w:val="18"/>
                <w:lang w:val="en-GB"/>
              </w:rPr>
            </w:pPr>
            <w:r w:rsidRPr="009468A2">
              <w:rPr>
                <w:szCs w:val="18"/>
              </w:rPr>
              <w:t>3</w:t>
            </w:r>
            <w:r w:rsidR="001853FA" w:rsidRPr="009468A2">
              <w:rPr>
                <w:szCs w:val="18"/>
              </w:rPr>
              <w:t>.</w:t>
            </w:r>
            <w:r w:rsidRPr="009468A2">
              <w:rPr>
                <w:szCs w:val="18"/>
              </w:rPr>
              <w:t>2±0</w:t>
            </w:r>
            <w:r w:rsidR="001853FA" w:rsidRPr="009468A2">
              <w:rPr>
                <w:szCs w:val="18"/>
              </w:rPr>
              <w:t>.</w:t>
            </w:r>
            <w:r w:rsidRPr="009468A2">
              <w:rPr>
                <w:szCs w:val="18"/>
              </w:rPr>
              <w:t>1</w:t>
            </w:r>
            <w:r w:rsidRPr="009468A2">
              <w:rPr>
                <w:szCs w:val="18"/>
                <w:vertAlign w:val="superscript"/>
              </w:rPr>
              <w:t>(Ab)</w:t>
            </w:r>
          </w:p>
        </w:tc>
        <w:tc>
          <w:tcPr>
            <w:tcW w:w="1559" w:type="dxa"/>
          </w:tcPr>
          <w:p w14:paraId="03CF5C9B" w14:textId="3A2A0210" w:rsidR="00872517" w:rsidRPr="009468A2" w:rsidRDefault="00872517" w:rsidP="00872517">
            <w:pPr>
              <w:pStyle w:val="CETBodytext"/>
              <w:ind w:right="-1"/>
              <w:rPr>
                <w:rFonts w:cs="Arial"/>
                <w:szCs w:val="18"/>
                <w:lang w:val="en-GB"/>
              </w:rPr>
            </w:pPr>
            <w:r w:rsidRPr="009468A2">
              <w:rPr>
                <w:szCs w:val="18"/>
              </w:rPr>
              <w:t>3</w:t>
            </w:r>
            <w:r w:rsidR="001853FA" w:rsidRPr="009468A2">
              <w:rPr>
                <w:szCs w:val="18"/>
              </w:rPr>
              <w:t>.</w:t>
            </w:r>
            <w:r w:rsidRPr="009468A2">
              <w:rPr>
                <w:szCs w:val="18"/>
              </w:rPr>
              <w:t>0±0</w:t>
            </w:r>
            <w:r w:rsidR="001853FA" w:rsidRPr="009468A2">
              <w:rPr>
                <w:szCs w:val="18"/>
              </w:rPr>
              <w:t>.</w:t>
            </w:r>
            <w:r w:rsidRPr="009468A2">
              <w:rPr>
                <w:szCs w:val="18"/>
              </w:rPr>
              <w:t>6</w:t>
            </w:r>
            <w:r w:rsidRPr="009468A2">
              <w:rPr>
                <w:szCs w:val="18"/>
                <w:vertAlign w:val="superscript"/>
              </w:rPr>
              <w:t>(Ab)</w:t>
            </w:r>
          </w:p>
        </w:tc>
      </w:tr>
      <w:tr w:rsidR="00872517" w:rsidRPr="00D92770" w14:paraId="4B8C26C2" w14:textId="77777777" w:rsidTr="00872517">
        <w:tc>
          <w:tcPr>
            <w:tcW w:w="1276" w:type="dxa"/>
            <w:vMerge w:val="restart"/>
            <w:shd w:val="clear" w:color="auto" w:fill="FFFFFF"/>
            <w:vAlign w:val="center"/>
          </w:tcPr>
          <w:p w14:paraId="05D93D6B" w14:textId="1E1D71DA" w:rsidR="00872517" w:rsidRPr="00D92770" w:rsidRDefault="00872517" w:rsidP="00872517">
            <w:pPr>
              <w:pStyle w:val="CETBodytext"/>
              <w:jc w:val="left"/>
              <w:rPr>
                <w:rFonts w:cs="Arial"/>
                <w:lang w:val="en-GB"/>
              </w:rPr>
            </w:pPr>
            <w:r w:rsidRPr="00D92770">
              <w:rPr>
                <w:rFonts w:cs="Arial"/>
                <w:lang w:val="en-GB"/>
              </w:rPr>
              <w:t>Wettability</w:t>
            </w:r>
          </w:p>
        </w:tc>
        <w:tc>
          <w:tcPr>
            <w:tcW w:w="1418" w:type="dxa"/>
            <w:shd w:val="clear" w:color="auto" w:fill="FFFFFF"/>
          </w:tcPr>
          <w:p w14:paraId="7A15E9B1" w14:textId="77777777" w:rsidR="00872517" w:rsidRPr="00D92770" w:rsidRDefault="00872517" w:rsidP="00872517">
            <w:pPr>
              <w:pStyle w:val="CETBodytext"/>
              <w:jc w:val="center"/>
              <w:rPr>
                <w:lang w:val="en-GB"/>
              </w:rPr>
            </w:pPr>
            <w:r w:rsidRPr="00D92770">
              <w:rPr>
                <w:lang w:val="en-GB"/>
              </w:rPr>
              <w:t>F</w:t>
            </w:r>
            <w:r w:rsidRPr="00D92770">
              <w:t>D</w:t>
            </w:r>
          </w:p>
        </w:tc>
        <w:tc>
          <w:tcPr>
            <w:tcW w:w="1417" w:type="dxa"/>
          </w:tcPr>
          <w:p w14:paraId="35B31181" w14:textId="46A8012C" w:rsidR="00872517" w:rsidRPr="00D92770" w:rsidRDefault="00AC732B" w:rsidP="00872517">
            <w:pPr>
              <w:pStyle w:val="CETBodytext"/>
              <w:rPr>
                <w:rFonts w:cs="Arial"/>
                <w:szCs w:val="18"/>
              </w:rPr>
            </w:pPr>
            <w:r w:rsidRPr="00D92770">
              <w:rPr>
                <w:szCs w:val="18"/>
              </w:rPr>
              <w:t>1976</w:t>
            </w:r>
            <w:r w:rsidR="00872517" w:rsidRPr="00D92770">
              <w:rPr>
                <w:szCs w:val="18"/>
              </w:rPr>
              <w:t>±</w:t>
            </w:r>
            <w:r w:rsidRPr="00D92770">
              <w:rPr>
                <w:szCs w:val="18"/>
              </w:rPr>
              <w:t>245</w:t>
            </w:r>
            <w:r w:rsidR="00872517" w:rsidRPr="00D92770">
              <w:rPr>
                <w:szCs w:val="18"/>
                <w:vertAlign w:val="superscript"/>
              </w:rPr>
              <w:t>(Aa)</w:t>
            </w:r>
          </w:p>
        </w:tc>
        <w:tc>
          <w:tcPr>
            <w:tcW w:w="1701" w:type="dxa"/>
          </w:tcPr>
          <w:p w14:paraId="31B3526A" w14:textId="0C714D7A" w:rsidR="00872517" w:rsidRPr="00D92770" w:rsidRDefault="00872517" w:rsidP="00872517">
            <w:pPr>
              <w:pStyle w:val="CETBodytext"/>
              <w:ind w:right="-1"/>
              <w:rPr>
                <w:szCs w:val="18"/>
              </w:rPr>
            </w:pPr>
            <w:r w:rsidRPr="00D92770">
              <w:rPr>
                <w:szCs w:val="18"/>
              </w:rPr>
              <w:t>1</w:t>
            </w:r>
            <w:r w:rsidR="00AC732B" w:rsidRPr="00D92770">
              <w:rPr>
                <w:szCs w:val="18"/>
              </w:rPr>
              <w:t>712</w:t>
            </w:r>
            <w:r w:rsidRPr="00D92770">
              <w:rPr>
                <w:szCs w:val="18"/>
              </w:rPr>
              <w:t>±</w:t>
            </w:r>
            <w:r w:rsidR="00AC732B" w:rsidRPr="00D92770">
              <w:rPr>
                <w:szCs w:val="18"/>
              </w:rPr>
              <w:t>454</w:t>
            </w:r>
            <w:r w:rsidRPr="00D92770">
              <w:rPr>
                <w:szCs w:val="18"/>
                <w:vertAlign w:val="superscript"/>
              </w:rPr>
              <w:t>(Aa)</w:t>
            </w:r>
          </w:p>
        </w:tc>
        <w:tc>
          <w:tcPr>
            <w:tcW w:w="1559" w:type="dxa"/>
          </w:tcPr>
          <w:p w14:paraId="476D6A19" w14:textId="34487243" w:rsidR="00872517" w:rsidRPr="00D92770" w:rsidRDefault="00AC732B" w:rsidP="00872517">
            <w:pPr>
              <w:pStyle w:val="CETBodytext"/>
              <w:ind w:right="-1"/>
              <w:rPr>
                <w:szCs w:val="18"/>
              </w:rPr>
            </w:pPr>
            <w:r w:rsidRPr="00D92770">
              <w:rPr>
                <w:szCs w:val="18"/>
              </w:rPr>
              <w:t>1368</w:t>
            </w:r>
            <w:r w:rsidR="00872517" w:rsidRPr="00D92770">
              <w:rPr>
                <w:szCs w:val="18"/>
              </w:rPr>
              <w:t>±5</w:t>
            </w:r>
            <w:r w:rsidR="00CA7999" w:rsidRPr="00D92770">
              <w:rPr>
                <w:szCs w:val="18"/>
              </w:rPr>
              <w:t>2</w:t>
            </w:r>
            <w:r w:rsidR="00872517" w:rsidRPr="00D92770">
              <w:rPr>
                <w:szCs w:val="18"/>
                <w:vertAlign w:val="superscript"/>
              </w:rPr>
              <w:t>(Aa)</w:t>
            </w:r>
          </w:p>
        </w:tc>
      </w:tr>
      <w:tr w:rsidR="00872517" w:rsidRPr="00D92770" w14:paraId="65CC01B2" w14:textId="77777777" w:rsidTr="00872517">
        <w:tc>
          <w:tcPr>
            <w:tcW w:w="1276" w:type="dxa"/>
            <w:vMerge/>
            <w:shd w:val="clear" w:color="auto" w:fill="FFFFFF"/>
            <w:vAlign w:val="center"/>
          </w:tcPr>
          <w:p w14:paraId="5AB7CCF9" w14:textId="77777777" w:rsidR="00872517" w:rsidRPr="00D92770" w:rsidRDefault="00872517" w:rsidP="00872517">
            <w:pPr>
              <w:pStyle w:val="CETBodytext"/>
              <w:jc w:val="left"/>
              <w:rPr>
                <w:rFonts w:cs="Arial"/>
                <w:lang w:val="en-GB"/>
              </w:rPr>
            </w:pPr>
          </w:p>
        </w:tc>
        <w:tc>
          <w:tcPr>
            <w:tcW w:w="1418" w:type="dxa"/>
            <w:shd w:val="clear" w:color="auto" w:fill="FFFFFF"/>
          </w:tcPr>
          <w:p w14:paraId="583F46E5" w14:textId="77777777" w:rsidR="00872517" w:rsidRPr="00D92770" w:rsidRDefault="00872517" w:rsidP="00872517">
            <w:pPr>
              <w:pStyle w:val="CETBodytext"/>
              <w:jc w:val="center"/>
              <w:rPr>
                <w:lang w:val="en-GB"/>
              </w:rPr>
            </w:pPr>
            <w:r w:rsidRPr="00D92770">
              <w:rPr>
                <w:lang w:val="en-GB"/>
              </w:rPr>
              <w:t>A</w:t>
            </w:r>
            <w:r w:rsidRPr="00D92770">
              <w:t>D</w:t>
            </w:r>
          </w:p>
        </w:tc>
        <w:tc>
          <w:tcPr>
            <w:tcW w:w="1417" w:type="dxa"/>
          </w:tcPr>
          <w:p w14:paraId="0E8FA240" w14:textId="05C94BAD" w:rsidR="00872517" w:rsidRPr="00D92770" w:rsidRDefault="00AC732B" w:rsidP="00872517">
            <w:pPr>
              <w:pStyle w:val="CETBodytext"/>
              <w:rPr>
                <w:rFonts w:cs="Arial"/>
                <w:szCs w:val="18"/>
              </w:rPr>
            </w:pPr>
            <w:r w:rsidRPr="00D92770">
              <w:rPr>
                <w:szCs w:val="18"/>
              </w:rPr>
              <w:t>304</w:t>
            </w:r>
            <w:r w:rsidR="00872517" w:rsidRPr="00D92770">
              <w:rPr>
                <w:szCs w:val="18"/>
              </w:rPr>
              <w:t>±</w:t>
            </w:r>
            <w:r w:rsidRPr="00D92770">
              <w:rPr>
                <w:szCs w:val="18"/>
              </w:rPr>
              <w:t>4</w:t>
            </w:r>
            <w:r w:rsidR="00872517" w:rsidRPr="00D92770">
              <w:rPr>
                <w:szCs w:val="18"/>
              </w:rPr>
              <w:t>0</w:t>
            </w:r>
            <w:r w:rsidR="00872517" w:rsidRPr="00D92770">
              <w:rPr>
                <w:szCs w:val="18"/>
                <w:vertAlign w:val="superscript"/>
              </w:rPr>
              <w:t>(Ab)</w:t>
            </w:r>
          </w:p>
        </w:tc>
        <w:tc>
          <w:tcPr>
            <w:tcW w:w="1701" w:type="dxa"/>
          </w:tcPr>
          <w:p w14:paraId="375029AC" w14:textId="35EF75B0" w:rsidR="00872517" w:rsidRPr="00D92770" w:rsidRDefault="00AC732B" w:rsidP="00872517">
            <w:pPr>
              <w:pStyle w:val="CETBodytext"/>
              <w:ind w:right="-1"/>
              <w:rPr>
                <w:szCs w:val="18"/>
              </w:rPr>
            </w:pPr>
            <w:r w:rsidRPr="00D92770">
              <w:rPr>
                <w:szCs w:val="18"/>
              </w:rPr>
              <w:t>369</w:t>
            </w:r>
            <w:r w:rsidR="00872517" w:rsidRPr="00D92770">
              <w:rPr>
                <w:szCs w:val="18"/>
              </w:rPr>
              <w:t>±6</w:t>
            </w:r>
            <w:r w:rsidRPr="00D92770">
              <w:rPr>
                <w:szCs w:val="18"/>
              </w:rPr>
              <w:t>9</w:t>
            </w:r>
            <w:r w:rsidR="00872517" w:rsidRPr="00D92770">
              <w:rPr>
                <w:szCs w:val="18"/>
                <w:vertAlign w:val="superscript"/>
              </w:rPr>
              <w:t>(Ab)</w:t>
            </w:r>
          </w:p>
        </w:tc>
        <w:tc>
          <w:tcPr>
            <w:tcW w:w="1559" w:type="dxa"/>
          </w:tcPr>
          <w:p w14:paraId="195B7CB6" w14:textId="3BEB6262" w:rsidR="00872517" w:rsidRPr="00D92770" w:rsidRDefault="00AC732B" w:rsidP="00872517">
            <w:pPr>
              <w:pStyle w:val="CETBodytext"/>
              <w:ind w:right="-1"/>
              <w:rPr>
                <w:szCs w:val="18"/>
              </w:rPr>
            </w:pPr>
            <w:r w:rsidRPr="00D92770">
              <w:rPr>
                <w:szCs w:val="18"/>
              </w:rPr>
              <w:t>524</w:t>
            </w:r>
            <w:r w:rsidR="00872517" w:rsidRPr="00D92770">
              <w:rPr>
                <w:szCs w:val="18"/>
              </w:rPr>
              <w:t>±</w:t>
            </w:r>
            <w:r w:rsidRPr="00D92770">
              <w:rPr>
                <w:szCs w:val="18"/>
              </w:rPr>
              <w:t>101</w:t>
            </w:r>
            <w:r w:rsidR="00872517" w:rsidRPr="00D92770">
              <w:rPr>
                <w:szCs w:val="18"/>
                <w:vertAlign w:val="superscript"/>
              </w:rPr>
              <w:t>(</w:t>
            </w:r>
            <w:r w:rsidR="00DD2874" w:rsidRPr="00D92770">
              <w:rPr>
                <w:szCs w:val="18"/>
                <w:vertAlign w:val="superscript"/>
              </w:rPr>
              <w:t>A</w:t>
            </w:r>
            <w:r w:rsidR="00872517" w:rsidRPr="00D92770">
              <w:rPr>
                <w:szCs w:val="18"/>
                <w:vertAlign w:val="superscript"/>
              </w:rPr>
              <w:t>b)</w:t>
            </w:r>
          </w:p>
        </w:tc>
      </w:tr>
      <w:tr w:rsidR="00C623B2" w:rsidRPr="00D92770" w14:paraId="65E09294" w14:textId="77777777" w:rsidTr="0091383B">
        <w:tc>
          <w:tcPr>
            <w:tcW w:w="1276" w:type="dxa"/>
            <w:vMerge w:val="restart"/>
            <w:shd w:val="clear" w:color="auto" w:fill="FFFFFF"/>
            <w:vAlign w:val="center"/>
          </w:tcPr>
          <w:p w14:paraId="71DE4D93" w14:textId="77777777" w:rsidR="00C623B2" w:rsidRPr="00D92770" w:rsidRDefault="00C623B2" w:rsidP="0091383B">
            <w:pPr>
              <w:pStyle w:val="CETBodytext"/>
              <w:jc w:val="left"/>
              <w:rPr>
                <w:rFonts w:cs="Arial"/>
                <w:lang w:val="en-GB"/>
              </w:rPr>
            </w:pPr>
            <w:r w:rsidRPr="00D92770">
              <w:rPr>
                <w:rFonts w:cs="Arial"/>
                <w:lang w:val="en-GB"/>
              </w:rPr>
              <w:t>Dispersibility</w:t>
            </w:r>
          </w:p>
        </w:tc>
        <w:tc>
          <w:tcPr>
            <w:tcW w:w="1418" w:type="dxa"/>
            <w:shd w:val="clear" w:color="auto" w:fill="FFFFFF"/>
          </w:tcPr>
          <w:p w14:paraId="7852F74F" w14:textId="77777777" w:rsidR="00C623B2" w:rsidRPr="00D92770" w:rsidRDefault="00C623B2" w:rsidP="0091383B">
            <w:pPr>
              <w:pStyle w:val="CETBodytext"/>
              <w:jc w:val="center"/>
              <w:rPr>
                <w:lang w:val="en-GB"/>
              </w:rPr>
            </w:pPr>
            <w:r w:rsidRPr="00D92770">
              <w:rPr>
                <w:lang w:val="en-GB"/>
              </w:rPr>
              <w:t>FD</w:t>
            </w:r>
          </w:p>
        </w:tc>
        <w:tc>
          <w:tcPr>
            <w:tcW w:w="1417" w:type="dxa"/>
          </w:tcPr>
          <w:p w14:paraId="21E69C18" w14:textId="3641C5FC" w:rsidR="00C623B2" w:rsidRPr="00D92770" w:rsidRDefault="00C623B2" w:rsidP="0091383B">
            <w:pPr>
              <w:pStyle w:val="CETBodytext"/>
              <w:rPr>
                <w:szCs w:val="18"/>
                <w:lang w:val="en-GB"/>
              </w:rPr>
            </w:pPr>
            <w:r w:rsidRPr="00D92770">
              <w:rPr>
                <w:szCs w:val="18"/>
              </w:rPr>
              <w:t>8.4±0.8</w:t>
            </w:r>
            <w:r w:rsidRPr="00D92770">
              <w:rPr>
                <w:szCs w:val="18"/>
                <w:vertAlign w:val="superscript"/>
              </w:rPr>
              <w:t>(Aa)</w:t>
            </w:r>
          </w:p>
        </w:tc>
        <w:tc>
          <w:tcPr>
            <w:tcW w:w="1701" w:type="dxa"/>
          </w:tcPr>
          <w:p w14:paraId="26FF0B14" w14:textId="71B5FB9D" w:rsidR="00C623B2" w:rsidRPr="00D92770" w:rsidRDefault="00C623B2" w:rsidP="0091383B">
            <w:pPr>
              <w:pStyle w:val="CETBodytext"/>
              <w:ind w:right="-1"/>
              <w:rPr>
                <w:rFonts w:cs="Arial"/>
                <w:szCs w:val="18"/>
                <w:lang w:val="en-GB"/>
              </w:rPr>
            </w:pPr>
            <w:r w:rsidRPr="00D92770">
              <w:rPr>
                <w:szCs w:val="18"/>
              </w:rPr>
              <w:t>10.2±0.8</w:t>
            </w:r>
            <w:r w:rsidRPr="00D92770">
              <w:rPr>
                <w:szCs w:val="18"/>
                <w:vertAlign w:val="superscript"/>
              </w:rPr>
              <w:t>(Aa)</w:t>
            </w:r>
          </w:p>
        </w:tc>
        <w:tc>
          <w:tcPr>
            <w:tcW w:w="1559" w:type="dxa"/>
          </w:tcPr>
          <w:p w14:paraId="2158C73F" w14:textId="1F4AC8E0" w:rsidR="00C623B2" w:rsidRPr="00D92770" w:rsidRDefault="00C623B2" w:rsidP="0091383B">
            <w:pPr>
              <w:pStyle w:val="CETBodytext"/>
              <w:ind w:right="-1"/>
              <w:rPr>
                <w:rFonts w:cs="Arial"/>
                <w:szCs w:val="18"/>
                <w:lang w:val="en-GB"/>
              </w:rPr>
            </w:pPr>
            <w:r w:rsidRPr="00D92770">
              <w:rPr>
                <w:szCs w:val="18"/>
              </w:rPr>
              <w:t>9.2±0.7</w:t>
            </w:r>
            <w:r w:rsidRPr="00D92770">
              <w:rPr>
                <w:szCs w:val="18"/>
                <w:vertAlign w:val="superscript"/>
              </w:rPr>
              <w:t>(Aa)</w:t>
            </w:r>
          </w:p>
        </w:tc>
      </w:tr>
      <w:tr w:rsidR="00C623B2" w:rsidRPr="00D92770" w14:paraId="6BEF911F" w14:textId="77777777" w:rsidTr="0091383B">
        <w:tc>
          <w:tcPr>
            <w:tcW w:w="1276" w:type="dxa"/>
            <w:vMerge/>
            <w:shd w:val="clear" w:color="auto" w:fill="FFFFFF"/>
          </w:tcPr>
          <w:p w14:paraId="736417AC" w14:textId="77777777" w:rsidR="00C623B2" w:rsidRPr="00D92770" w:rsidRDefault="00C623B2" w:rsidP="0091383B">
            <w:pPr>
              <w:pStyle w:val="CETBodytext"/>
              <w:ind w:right="-1"/>
              <w:rPr>
                <w:rFonts w:cs="Arial"/>
                <w:szCs w:val="18"/>
                <w:lang w:val="en-GB"/>
              </w:rPr>
            </w:pPr>
          </w:p>
        </w:tc>
        <w:tc>
          <w:tcPr>
            <w:tcW w:w="1418" w:type="dxa"/>
            <w:shd w:val="clear" w:color="auto" w:fill="FFFFFF"/>
          </w:tcPr>
          <w:p w14:paraId="61ED0E81" w14:textId="77777777" w:rsidR="00C623B2" w:rsidRPr="00D92770" w:rsidRDefault="00C623B2" w:rsidP="0091383B">
            <w:pPr>
              <w:pStyle w:val="CETBodytext"/>
              <w:ind w:right="-1"/>
              <w:jc w:val="center"/>
              <w:rPr>
                <w:rFonts w:cs="Arial"/>
                <w:szCs w:val="18"/>
                <w:lang w:val="en-GB"/>
              </w:rPr>
            </w:pPr>
            <w:r w:rsidRPr="00D92770">
              <w:rPr>
                <w:lang w:val="en-GB"/>
              </w:rPr>
              <w:t>AD</w:t>
            </w:r>
          </w:p>
        </w:tc>
        <w:tc>
          <w:tcPr>
            <w:tcW w:w="1417" w:type="dxa"/>
          </w:tcPr>
          <w:p w14:paraId="5E524FCA" w14:textId="14551596" w:rsidR="00C623B2" w:rsidRPr="00D92770" w:rsidRDefault="00C623B2" w:rsidP="0091383B">
            <w:pPr>
              <w:pStyle w:val="CETBodytext"/>
              <w:ind w:right="-1"/>
              <w:rPr>
                <w:rFonts w:cs="Arial"/>
                <w:szCs w:val="18"/>
                <w:lang w:val="en-GB"/>
              </w:rPr>
            </w:pPr>
            <w:r w:rsidRPr="00D92770">
              <w:rPr>
                <w:szCs w:val="18"/>
              </w:rPr>
              <w:t>10.2±0.4</w:t>
            </w:r>
            <w:r w:rsidRPr="00D92770">
              <w:rPr>
                <w:szCs w:val="18"/>
                <w:vertAlign w:val="superscript"/>
              </w:rPr>
              <w:t>(Aa)</w:t>
            </w:r>
          </w:p>
        </w:tc>
        <w:tc>
          <w:tcPr>
            <w:tcW w:w="1701" w:type="dxa"/>
          </w:tcPr>
          <w:p w14:paraId="16CBEBED" w14:textId="6D829C03" w:rsidR="00C623B2" w:rsidRPr="00D92770" w:rsidRDefault="00C623B2" w:rsidP="0091383B">
            <w:pPr>
              <w:pStyle w:val="CETBodytext"/>
              <w:ind w:right="-1"/>
              <w:rPr>
                <w:rFonts w:cs="Arial"/>
                <w:szCs w:val="18"/>
                <w:lang w:val="en-GB"/>
              </w:rPr>
            </w:pPr>
            <w:r w:rsidRPr="00D92770">
              <w:rPr>
                <w:szCs w:val="18"/>
              </w:rPr>
              <w:t>9.2±1.0</w:t>
            </w:r>
            <w:r w:rsidRPr="00D92770">
              <w:rPr>
                <w:szCs w:val="18"/>
                <w:vertAlign w:val="superscript"/>
              </w:rPr>
              <w:t>(Aa)</w:t>
            </w:r>
          </w:p>
        </w:tc>
        <w:tc>
          <w:tcPr>
            <w:tcW w:w="1559" w:type="dxa"/>
          </w:tcPr>
          <w:p w14:paraId="28269A06" w14:textId="1308E942" w:rsidR="00C623B2" w:rsidRPr="00D92770" w:rsidRDefault="00C623B2" w:rsidP="0091383B">
            <w:pPr>
              <w:pStyle w:val="CETBodytext"/>
              <w:ind w:right="-1"/>
              <w:rPr>
                <w:rFonts w:cs="Arial"/>
                <w:szCs w:val="18"/>
                <w:lang w:val="en-GB"/>
              </w:rPr>
            </w:pPr>
            <w:r w:rsidRPr="00D92770">
              <w:rPr>
                <w:szCs w:val="18"/>
              </w:rPr>
              <w:t>9.4±0.4</w:t>
            </w:r>
            <w:r w:rsidRPr="00D92770">
              <w:rPr>
                <w:szCs w:val="18"/>
                <w:vertAlign w:val="superscript"/>
              </w:rPr>
              <w:t>(Aa)</w:t>
            </w:r>
          </w:p>
        </w:tc>
      </w:tr>
      <w:tr w:rsidR="00872517" w:rsidRPr="00D92770" w14:paraId="690C0C0E" w14:textId="77777777" w:rsidTr="00872517">
        <w:tc>
          <w:tcPr>
            <w:tcW w:w="1276" w:type="dxa"/>
            <w:vMerge w:val="restart"/>
            <w:shd w:val="clear" w:color="auto" w:fill="FFFFFF"/>
            <w:vAlign w:val="center"/>
          </w:tcPr>
          <w:p w14:paraId="5E69F09D" w14:textId="06559C0C" w:rsidR="00872517" w:rsidRPr="00D92770" w:rsidRDefault="00872517" w:rsidP="00872517">
            <w:pPr>
              <w:pStyle w:val="CETBodytext"/>
              <w:jc w:val="left"/>
              <w:rPr>
                <w:rFonts w:cs="Arial"/>
                <w:lang w:val="en-GB"/>
              </w:rPr>
            </w:pPr>
            <w:r w:rsidRPr="00D92770">
              <w:rPr>
                <w:rFonts w:cs="Arial"/>
                <w:lang w:val="en-GB"/>
              </w:rPr>
              <w:t>Solubility</w:t>
            </w:r>
          </w:p>
        </w:tc>
        <w:tc>
          <w:tcPr>
            <w:tcW w:w="1418" w:type="dxa"/>
            <w:shd w:val="clear" w:color="auto" w:fill="FFFFFF"/>
          </w:tcPr>
          <w:p w14:paraId="2140A6E8" w14:textId="77777777" w:rsidR="00872517" w:rsidRPr="00D92770" w:rsidRDefault="00872517" w:rsidP="00872517">
            <w:pPr>
              <w:pStyle w:val="CETBodytext"/>
              <w:jc w:val="center"/>
              <w:rPr>
                <w:lang w:val="en-GB"/>
              </w:rPr>
            </w:pPr>
            <w:r w:rsidRPr="00D92770">
              <w:rPr>
                <w:lang w:val="en-GB"/>
              </w:rPr>
              <w:t>F</w:t>
            </w:r>
            <w:r w:rsidRPr="00D92770">
              <w:t>D</w:t>
            </w:r>
          </w:p>
        </w:tc>
        <w:tc>
          <w:tcPr>
            <w:tcW w:w="1417" w:type="dxa"/>
          </w:tcPr>
          <w:p w14:paraId="484FCD06" w14:textId="0615557D" w:rsidR="00872517" w:rsidRPr="00D92770" w:rsidRDefault="00872517" w:rsidP="00872517">
            <w:pPr>
              <w:pStyle w:val="CETBodytext"/>
              <w:rPr>
                <w:rFonts w:cs="Arial"/>
                <w:szCs w:val="18"/>
              </w:rPr>
            </w:pPr>
            <w:r w:rsidRPr="00D92770">
              <w:rPr>
                <w:szCs w:val="18"/>
              </w:rPr>
              <w:t>51</w:t>
            </w:r>
            <w:r w:rsidR="001853FA" w:rsidRPr="00D92770">
              <w:rPr>
                <w:szCs w:val="18"/>
              </w:rPr>
              <w:t>.</w:t>
            </w:r>
            <w:r w:rsidRPr="00D92770">
              <w:rPr>
                <w:szCs w:val="18"/>
              </w:rPr>
              <w:t>8±0</w:t>
            </w:r>
            <w:r w:rsidR="001853FA" w:rsidRPr="00D92770">
              <w:rPr>
                <w:szCs w:val="18"/>
              </w:rPr>
              <w:t>.</w:t>
            </w:r>
            <w:r w:rsidRPr="00D92770">
              <w:rPr>
                <w:szCs w:val="18"/>
              </w:rPr>
              <w:t>7</w:t>
            </w:r>
            <w:r w:rsidRPr="00D92770">
              <w:rPr>
                <w:szCs w:val="18"/>
                <w:vertAlign w:val="superscript"/>
              </w:rPr>
              <w:t>(Aa)</w:t>
            </w:r>
          </w:p>
        </w:tc>
        <w:tc>
          <w:tcPr>
            <w:tcW w:w="1701" w:type="dxa"/>
          </w:tcPr>
          <w:p w14:paraId="3879489B" w14:textId="5FA1BD12" w:rsidR="00872517" w:rsidRPr="00D92770" w:rsidRDefault="00872517" w:rsidP="00872517">
            <w:pPr>
              <w:pStyle w:val="CETBodytext"/>
              <w:ind w:right="-1"/>
              <w:rPr>
                <w:szCs w:val="18"/>
              </w:rPr>
            </w:pPr>
            <w:r w:rsidRPr="00D92770">
              <w:rPr>
                <w:szCs w:val="18"/>
              </w:rPr>
              <w:t>47±2</w:t>
            </w:r>
            <w:r w:rsidRPr="00D92770">
              <w:rPr>
                <w:szCs w:val="18"/>
                <w:vertAlign w:val="superscript"/>
              </w:rPr>
              <w:t>(Ba)</w:t>
            </w:r>
          </w:p>
        </w:tc>
        <w:tc>
          <w:tcPr>
            <w:tcW w:w="1559" w:type="dxa"/>
          </w:tcPr>
          <w:p w14:paraId="1FE32B97" w14:textId="36A84698" w:rsidR="00872517" w:rsidRPr="00D92770" w:rsidRDefault="00872517" w:rsidP="00872517">
            <w:pPr>
              <w:pStyle w:val="CETBodytext"/>
              <w:ind w:right="-1"/>
              <w:rPr>
                <w:szCs w:val="18"/>
              </w:rPr>
            </w:pPr>
            <w:r w:rsidRPr="00D92770">
              <w:rPr>
                <w:szCs w:val="18"/>
              </w:rPr>
              <w:t>50</w:t>
            </w:r>
            <w:r w:rsidR="001853FA" w:rsidRPr="00D92770">
              <w:rPr>
                <w:szCs w:val="18"/>
              </w:rPr>
              <w:t>.</w:t>
            </w:r>
            <w:r w:rsidRPr="00D92770">
              <w:rPr>
                <w:szCs w:val="18"/>
              </w:rPr>
              <w:t>3±0</w:t>
            </w:r>
            <w:r w:rsidR="001853FA" w:rsidRPr="00D92770">
              <w:rPr>
                <w:szCs w:val="18"/>
              </w:rPr>
              <w:t>.</w:t>
            </w:r>
            <w:r w:rsidRPr="00D92770">
              <w:rPr>
                <w:szCs w:val="18"/>
              </w:rPr>
              <w:t>4</w:t>
            </w:r>
            <w:r w:rsidRPr="00D92770">
              <w:rPr>
                <w:szCs w:val="18"/>
                <w:vertAlign w:val="superscript"/>
              </w:rPr>
              <w:t>(Aa)</w:t>
            </w:r>
          </w:p>
        </w:tc>
      </w:tr>
      <w:tr w:rsidR="00872517" w:rsidRPr="00D92770" w14:paraId="5028624C" w14:textId="77777777" w:rsidTr="00872517">
        <w:tc>
          <w:tcPr>
            <w:tcW w:w="1276" w:type="dxa"/>
            <w:vMerge/>
            <w:shd w:val="clear" w:color="auto" w:fill="FFFFFF"/>
            <w:vAlign w:val="center"/>
          </w:tcPr>
          <w:p w14:paraId="0E376AE0" w14:textId="77777777" w:rsidR="00872517" w:rsidRPr="00D92770" w:rsidRDefault="00872517" w:rsidP="00872517">
            <w:pPr>
              <w:pStyle w:val="CETBodytext"/>
              <w:jc w:val="left"/>
              <w:rPr>
                <w:rFonts w:cs="Arial"/>
                <w:lang w:val="en-GB"/>
              </w:rPr>
            </w:pPr>
          </w:p>
        </w:tc>
        <w:tc>
          <w:tcPr>
            <w:tcW w:w="1418" w:type="dxa"/>
            <w:shd w:val="clear" w:color="auto" w:fill="FFFFFF"/>
          </w:tcPr>
          <w:p w14:paraId="7F0BDB87" w14:textId="77777777" w:rsidR="00872517" w:rsidRPr="00D92770" w:rsidRDefault="00872517" w:rsidP="00872517">
            <w:pPr>
              <w:pStyle w:val="CETBodytext"/>
              <w:jc w:val="center"/>
              <w:rPr>
                <w:lang w:val="en-GB"/>
              </w:rPr>
            </w:pPr>
            <w:r w:rsidRPr="00D92770">
              <w:rPr>
                <w:lang w:val="en-GB"/>
              </w:rPr>
              <w:t>A</w:t>
            </w:r>
            <w:r w:rsidRPr="00D92770">
              <w:t>D</w:t>
            </w:r>
          </w:p>
        </w:tc>
        <w:tc>
          <w:tcPr>
            <w:tcW w:w="1417" w:type="dxa"/>
          </w:tcPr>
          <w:p w14:paraId="04F1C72D" w14:textId="0BD5BB72" w:rsidR="00872517" w:rsidRPr="00D92770" w:rsidRDefault="00872517" w:rsidP="00872517">
            <w:pPr>
              <w:pStyle w:val="CETBodytext"/>
              <w:rPr>
                <w:rFonts w:cs="Arial"/>
                <w:szCs w:val="18"/>
              </w:rPr>
            </w:pPr>
            <w:r w:rsidRPr="00D92770">
              <w:rPr>
                <w:szCs w:val="18"/>
              </w:rPr>
              <w:t>49</w:t>
            </w:r>
            <w:r w:rsidR="001853FA" w:rsidRPr="00D92770">
              <w:rPr>
                <w:szCs w:val="18"/>
              </w:rPr>
              <w:t>.</w:t>
            </w:r>
            <w:r w:rsidRPr="00D92770">
              <w:rPr>
                <w:szCs w:val="18"/>
              </w:rPr>
              <w:t>0±1</w:t>
            </w:r>
            <w:r w:rsidR="001853FA" w:rsidRPr="00D92770">
              <w:rPr>
                <w:szCs w:val="18"/>
              </w:rPr>
              <w:t>.</w:t>
            </w:r>
            <w:r w:rsidRPr="00D92770">
              <w:rPr>
                <w:szCs w:val="18"/>
              </w:rPr>
              <w:t>6</w:t>
            </w:r>
            <w:r w:rsidRPr="00D92770">
              <w:rPr>
                <w:szCs w:val="18"/>
                <w:vertAlign w:val="superscript"/>
              </w:rPr>
              <w:t>(Ab)</w:t>
            </w:r>
          </w:p>
        </w:tc>
        <w:tc>
          <w:tcPr>
            <w:tcW w:w="1701" w:type="dxa"/>
          </w:tcPr>
          <w:p w14:paraId="4A72CA03" w14:textId="5ADF5585" w:rsidR="00872517" w:rsidRPr="00D92770" w:rsidRDefault="00872517" w:rsidP="00872517">
            <w:pPr>
              <w:pStyle w:val="CETBodytext"/>
              <w:ind w:right="-1"/>
              <w:rPr>
                <w:szCs w:val="18"/>
              </w:rPr>
            </w:pPr>
            <w:r w:rsidRPr="00D92770">
              <w:rPr>
                <w:szCs w:val="18"/>
              </w:rPr>
              <w:t>45±4</w:t>
            </w:r>
            <w:r w:rsidRPr="00D92770">
              <w:rPr>
                <w:szCs w:val="18"/>
                <w:vertAlign w:val="superscript"/>
              </w:rPr>
              <w:t>(Bb)</w:t>
            </w:r>
          </w:p>
        </w:tc>
        <w:tc>
          <w:tcPr>
            <w:tcW w:w="1559" w:type="dxa"/>
          </w:tcPr>
          <w:p w14:paraId="30BCA590" w14:textId="70A91041" w:rsidR="00872517" w:rsidRPr="00D92770" w:rsidRDefault="00872517" w:rsidP="00872517">
            <w:pPr>
              <w:pStyle w:val="CETBodytext"/>
              <w:ind w:right="-1"/>
              <w:rPr>
                <w:szCs w:val="18"/>
              </w:rPr>
            </w:pPr>
            <w:r w:rsidRPr="00D92770">
              <w:rPr>
                <w:szCs w:val="18"/>
              </w:rPr>
              <w:t>48±3</w:t>
            </w:r>
            <w:r w:rsidRPr="00D92770">
              <w:rPr>
                <w:szCs w:val="18"/>
                <w:vertAlign w:val="superscript"/>
              </w:rPr>
              <w:t>(Ab)</w:t>
            </w:r>
          </w:p>
        </w:tc>
      </w:tr>
      <w:tr w:rsidR="00872517" w:rsidRPr="00D92770" w14:paraId="491073C8" w14:textId="77777777" w:rsidTr="00872517">
        <w:tc>
          <w:tcPr>
            <w:tcW w:w="1276" w:type="dxa"/>
            <w:vMerge w:val="restart"/>
            <w:shd w:val="clear" w:color="auto" w:fill="FFFFFF"/>
            <w:vAlign w:val="center"/>
          </w:tcPr>
          <w:p w14:paraId="65CBE1A0" w14:textId="2B9C49A7" w:rsidR="00872517" w:rsidRPr="00D92770" w:rsidRDefault="00872517" w:rsidP="00872517">
            <w:pPr>
              <w:pStyle w:val="CETBodytext"/>
              <w:jc w:val="left"/>
              <w:rPr>
                <w:rFonts w:cs="Arial"/>
                <w:lang w:val="en-GB"/>
              </w:rPr>
            </w:pPr>
            <w:r w:rsidRPr="00D92770">
              <w:rPr>
                <w:rFonts w:cs="Arial"/>
                <w:lang w:val="en-GB"/>
              </w:rPr>
              <w:t>WRC</w:t>
            </w:r>
          </w:p>
        </w:tc>
        <w:tc>
          <w:tcPr>
            <w:tcW w:w="1418" w:type="dxa"/>
            <w:shd w:val="clear" w:color="auto" w:fill="FFFFFF"/>
          </w:tcPr>
          <w:p w14:paraId="599B9FE0" w14:textId="56DDFE27" w:rsidR="00872517" w:rsidRPr="00D92770" w:rsidRDefault="00872517" w:rsidP="00872517">
            <w:pPr>
              <w:pStyle w:val="CETBodytext"/>
              <w:jc w:val="center"/>
              <w:rPr>
                <w:lang w:val="en-GB"/>
              </w:rPr>
            </w:pPr>
            <w:r w:rsidRPr="00D92770">
              <w:rPr>
                <w:lang w:val="en-GB"/>
              </w:rPr>
              <w:t>F</w:t>
            </w:r>
            <w:r w:rsidRPr="00D92770">
              <w:t>D</w:t>
            </w:r>
          </w:p>
        </w:tc>
        <w:tc>
          <w:tcPr>
            <w:tcW w:w="1417" w:type="dxa"/>
          </w:tcPr>
          <w:p w14:paraId="42512BAB" w14:textId="7E6C7685" w:rsidR="00872517" w:rsidRPr="00D92770" w:rsidRDefault="00872517" w:rsidP="00872517">
            <w:pPr>
              <w:pStyle w:val="CETBodytext"/>
              <w:rPr>
                <w:rFonts w:cs="Arial"/>
                <w:szCs w:val="18"/>
              </w:rPr>
            </w:pPr>
            <w:r w:rsidRPr="00D92770">
              <w:rPr>
                <w:szCs w:val="18"/>
              </w:rPr>
              <w:t>5</w:t>
            </w:r>
            <w:r w:rsidR="001853FA" w:rsidRPr="00D92770">
              <w:rPr>
                <w:szCs w:val="18"/>
              </w:rPr>
              <w:t>.</w:t>
            </w:r>
            <w:r w:rsidRPr="00D92770">
              <w:rPr>
                <w:szCs w:val="18"/>
              </w:rPr>
              <w:t>95±0</w:t>
            </w:r>
            <w:r w:rsidR="001853FA" w:rsidRPr="00D92770">
              <w:rPr>
                <w:szCs w:val="18"/>
              </w:rPr>
              <w:t>.</w:t>
            </w:r>
            <w:r w:rsidRPr="00D92770">
              <w:rPr>
                <w:szCs w:val="18"/>
              </w:rPr>
              <w:t>19</w:t>
            </w:r>
            <w:r w:rsidRPr="00D92770">
              <w:rPr>
                <w:szCs w:val="18"/>
                <w:vertAlign w:val="superscript"/>
              </w:rPr>
              <w:t>(Ab)</w:t>
            </w:r>
          </w:p>
        </w:tc>
        <w:tc>
          <w:tcPr>
            <w:tcW w:w="1701" w:type="dxa"/>
          </w:tcPr>
          <w:p w14:paraId="3F050A0D" w14:textId="1012757C" w:rsidR="00872517" w:rsidRPr="00D92770" w:rsidRDefault="00872517" w:rsidP="00872517">
            <w:pPr>
              <w:pStyle w:val="CETBodytext"/>
              <w:ind w:right="-1"/>
              <w:rPr>
                <w:szCs w:val="18"/>
              </w:rPr>
            </w:pPr>
            <w:r w:rsidRPr="00D92770">
              <w:rPr>
                <w:szCs w:val="18"/>
              </w:rPr>
              <w:t>5</w:t>
            </w:r>
            <w:r w:rsidR="00ED6201" w:rsidRPr="00D92770">
              <w:rPr>
                <w:szCs w:val="18"/>
              </w:rPr>
              <w:t>.</w:t>
            </w:r>
            <w:r w:rsidRPr="00D92770">
              <w:rPr>
                <w:szCs w:val="18"/>
              </w:rPr>
              <w:t>58±0</w:t>
            </w:r>
            <w:r w:rsidR="009868A5" w:rsidRPr="00D92770">
              <w:rPr>
                <w:szCs w:val="18"/>
              </w:rPr>
              <w:t>.</w:t>
            </w:r>
            <w:r w:rsidRPr="00D92770">
              <w:rPr>
                <w:szCs w:val="18"/>
              </w:rPr>
              <w:t>09</w:t>
            </w:r>
            <w:r w:rsidRPr="00D92770">
              <w:rPr>
                <w:szCs w:val="18"/>
                <w:vertAlign w:val="superscript"/>
              </w:rPr>
              <w:t>(Bb)</w:t>
            </w:r>
          </w:p>
        </w:tc>
        <w:tc>
          <w:tcPr>
            <w:tcW w:w="1559" w:type="dxa"/>
          </w:tcPr>
          <w:p w14:paraId="3F5F60C6" w14:textId="25C725CC" w:rsidR="00872517" w:rsidRPr="00D92770" w:rsidRDefault="00872517" w:rsidP="00872517">
            <w:pPr>
              <w:pStyle w:val="CETBodytext"/>
              <w:ind w:right="-1"/>
              <w:rPr>
                <w:szCs w:val="18"/>
              </w:rPr>
            </w:pPr>
            <w:r w:rsidRPr="00D92770">
              <w:rPr>
                <w:szCs w:val="18"/>
              </w:rPr>
              <w:t>5</w:t>
            </w:r>
            <w:r w:rsidR="001853FA" w:rsidRPr="00D92770">
              <w:rPr>
                <w:szCs w:val="18"/>
              </w:rPr>
              <w:t>.</w:t>
            </w:r>
            <w:r w:rsidRPr="00D92770">
              <w:rPr>
                <w:szCs w:val="18"/>
              </w:rPr>
              <w:t>83±0</w:t>
            </w:r>
            <w:r w:rsidR="001853FA" w:rsidRPr="00D92770">
              <w:rPr>
                <w:szCs w:val="18"/>
              </w:rPr>
              <w:t>.</w:t>
            </w:r>
            <w:r w:rsidRPr="00D92770">
              <w:rPr>
                <w:szCs w:val="18"/>
              </w:rPr>
              <w:t>13</w:t>
            </w:r>
            <w:r w:rsidRPr="00D92770">
              <w:rPr>
                <w:szCs w:val="18"/>
                <w:vertAlign w:val="superscript"/>
              </w:rPr>
              <w:t>(</w:t>
            </w:r>
            <w:r w:rsidR="00DD2874" w:rsidRPr="00D92770">
              <w:rPr>
                <w:szCs w:val="18"/>
                <w:vertAlign w:val="superscript"/>
              </w:rPr>
              <w:t>Aa</w:t>
            </w:r>
            <w:r w:rsidRPr="00D92770">
              <w:rPr>
                <w:szCs w:val="18"/>
                <w:vertAlign w:val="superscript"/>
              </w:rPr>
              <w:t>)</w:t>
            </w:r>
          </w:p>
        </w:tc>
      </w:tr>
      <w:tr w:rsidR="00872517" w:rsidRPr="00D92770" w14:paraId="6D1A0094" w14:textId="77777777" w:rsidTr="00872517">
        <w:tc>
          <w:tcPr>
            <w:tcW w:w="1276" w:type="dxa"/>
            <w:vMerge/>
            <w:shd w:val="clear" w:color="auto" w:fill="FFFFFF"/>
            <w:vAlign w:val="center"/>
          </w:tcPr>
          <w:p w14:paraId="0AC0193D" w14:textId="77777777" w:rsidR="00872517" w:rsidRPr="00D92770" w:rsidRDefault="00872517" w:rsidP="00872517">
            <w:pPr>
              <w:pStyle w:val="CETBodytext"/>
              <w:jc w:val="left"/>
              <w:rPr>
                <w:rFonts w:cs="Arial"/>
                <w:lang w:val="en-GB"/>
              </w:rPr>
            </w:pPr>
          </w:p>
        </w:tc>
        <w:tc>
          <w:tcPr>
            <w:tcW w:w="1418" w:type="dxa"/>
            <w:shd w:val="clear" w:color="auto" w:fill="FFFFFF"/>
          </w:tcPr>
          <w:p w14:paraId="0694EF0A" w14:textId="1D6BF9BC" w:rsidR="00872517" w:rsidRPr="00D92770" w:rsidRDefault="00872517" w:rsidP="00872517">
            <w:pPr>
              <w:pStyle w:val="CETBodytext"/>
              <w:jc w:val="center"/>
              <w:rPr>
                <w:lang w:val="en-GB"/>
              </w:rPr>
            </w:pPr>
            <w:r w:rsidRPr="00D92770">
              <w:rPr>
                <w:lang w:val="en-GB"/>
              </w:rPr>
              <w:t>A</w:t>
            </w:r>
            <w:r w:rsidRPr="00D92770">
              <w:t>D</w:t>
            </w:r>
          </w:p>
        </w:tc>
        <w:tc>
          <w:tcPr>
            <w:tcW w:w="1417" w:type="dxa"/>
          </w:tcPr>
          <w:p w14:paraId="1AA2F6C0" w14:textId="4C61B2EF" w:rsidR="00872517" w:rsidRPr="00D92770" w:rsidRDefault="00872517" w:rsidP="00872517">
            <w:pPr>
              <w:pStyle w:val="CETBodytext"/>
              <w:rPr>
                <w:rFonts w:cs="Arial"/>
                <w:szCs w:val="18"/>
              </w:rPr>
            </w:pPr>
            <w:r w:rsidRPr="00D92770">
              <w:rPr>
                <w:szCs w:val="18"/>
              </w:rPr>
              <w:t>6</w:t>
            </w:r>
            <w:r w:rsidR="001853FA" w:rsidRPr="00D92770">
              <w:rPr>
                <w:szCs w:val="18"/>
              </w:rPr>
              <w:t>.</w:t>
            </w:r>
            <w:r w:rsidRPr="00D92770">
              <w:rPr>
                <w:szCs w:val="18"/>
              </w:rPr>
              <w:t>9±0</w:t>
            </w:r>
            <w:r w:rsidR="001853FA" w:rsidRPr="00D92770">
              <w:rPr>
                <w:szCs w:val="18"/>
              </w:rPr>
              <w:t>.</w:t>
            </w:r>
            <w:r w:rsidRPr="00D92770">
              <w:rPr>
                <w:szCs w:val="18"/>
              </w:rPr>
              <w:t>2</w:t>
            </w:r>
            <w:r w:rsidRPr="00D92770">
              <w:rPr>
                <w:szCs w:val="18"/>
                <w:vertAlign w:val="superscript"/>
              </w:rPr>
              <w:t>(Aa)</w:t>
            </w:r>
          </w:p>
        </w:tc>
        <w:tc>
          <w:tcPr>
            <w:tcW w:w="1701" w:type="dxa"/>
          </w:tcPr>
          <w:p w14:paraId="78E0EC5A" w14:textId="1E6F7AE0" w:rsidR="00872517" w:rsidRPr="00D92770" w:rsidRDefault="00872517" w:rsidP="00872517">
            <w:pPr>
              <w:pStyle w:val="CETBodytext"/>
              <w:ind w:right="-1"/>
              <w:rPr>
                <w:szCs w:val="18"/>
              </w:rPr>
            </w:pPr>
            <w:r w:rsidRPr="00D92770">
              <w:rPr>
                <w:szCs w:val="18"/>
              </w:rPr>
              <w:t>6</w:t>
            </w:r>
            <w:r w:rsidR="00ED6201" w:rsidRPr="00D92770">
              <w:rPr>
                <w:szCs w:val="18"/>
              </w:rPr>
              <w:t>.</w:t>
            </w:r>
            <w:r w:rsidRPr="00D92770">
              <w:rPr>
                <w:szCs w:val="18"/>
              </w:rPr>
              <w:t>2±0</w:t>
            </w:r>
            <w:r w:rsidR="009868A5" w:rsidRPr="00D92770">
              <w:rPr>
                <w:szCs w:val="18"/>
              </w:rPr>
              <w:t>.</w:t>
            </w:r>
            <w:r w:rsidRPr="00D92770">
              <w:rPr>
                <w:szCs w:val="18"/>
              </w:rPr>
              <w:t>2</w:t>
            </w:r>
            <w:r w:rsidRPr="00D92770">
              <w:rPr>
                <w:szCs w:val="18"/>
                <w:vertAlign w:val="superscript"/>
              </w:rPr>
              <w:t>(Ba)</w:t>
            </w:r>
          </w:p>
        </w:tc>
        <w:tc>
          <w:tcPr>
            <w:tcW w:w="1559" w:type="dxa"/>
          </w:tcPr>
          <w:p w14:paraId="67D83945" w14:textId="33728B63" w:rsidR="00872517" w:rsidRPr="00D92770" w:rsidRDefault="00872517" w:rsidP="00872517">
            <w:pPr>
              <w:pStyle w:val="CETBodytext"/>
              <w:ind w:right="-1"/>
              <w:rPr>
                <w:szCs w:val="18"/>
              </w:rPr>
            </w:pPr>
            <w:r w:rsidRPr="00D92770">
              <w:rPr>
                <w:szCs w:val="18"/>
              </w:rPr>
              <w:t>6</w:t>
            </w:r>
            <w:r w:rsidR="001853FA" w:rsidRPr="00D92770">
              <w:rPr>
                <w:szCs w:val="18"/>
              </w:rPr>
              <w:t>.</w:t>
            </w:r>
            <w:r w:rsidRPr="00D92770">
              <w:rPr>
                <w:szCs w:val="18"/>
              </w:rPr>
              <w:t>0±0</w:t>
            </w:r>
            <w:r w:rsidR="001853FA" w:rsidRPr="00D92770">
              <w:rPr>
                <w:szCs w:val="18"/>
              </w:rPr>
              <w:t>.</w:t>
            </w:r>
            <w:r w:rsidRPr="00D92770">
              <w:rPr>
                <w:szCs w:val="18"/>
              </w:rPr>
              <w:t>2</w:t>
            </w:r>
            <w:r w:rsidRPr="00D92770">
              <w:rPr>
                <w:szCs w:val="18"/>
                <w:vertAlign w:val="superscript"/>
              </w:rPr>
              <w:t>(B</w:t>
            </w:r>
            <w:r w:rsidR="00DD2874" w:rsidRPr="00D92770">
              <w:rPr>
                <w:szCs w:val="18"/>
                <w:vertAlign w:val="superscript"/>
              </w:rPr>
              <w:t>a</w:t>
            </w:r>
            <w:r w:rsidRPr="00D92770">
              <w:rPr>
                <w:szCs w:val="18"/>
                <w:vertAlign w:val="superscript"/>
              </w:rPr>
              <w:t>)</w:t>
            </w:r>
          </w:p>
        </w:tc>
      </w:tr>
      <w:tr w:rsidR="00872517" w:rsidRPr="009468A2" w14:paraId="1686CEB8" w14:textId="77777777" w:rsidTr="00872517">
        <w:tc>
          <w:tcPr>
            <w:tcW w:w="1276" w:type="dxa"/>
            <w:vMerge w:val="restart"/>
            <w:shd w:val="clear" w:color="auto" w:fill="FFFFFF"/>
            <w:vAlign w:val="center"/>
          </w:tcPr>
          <w:p w14:paraId="5BBE21AB" w14:textId="7B21C810" w:rsidR="00872517" w:rsidRPr="009468A2" w:rsidRDefault="00872517" w:rsidP="00872517">
            <w:pPr>
              <w:pStyle w:val="CETBodytext"/>
              <w:jc w:val="left"/>
              <w:rPr>
                <w:rFonts w:cs="Arial"/>
                <w:lang w:val="en-GB"/>
              </w:rPr>
            </w:pPr>
            <w:r w:rsidRPr="009468A2">
              <w:rPr>
                <w:rFonts w:cs="Arial"/>
                <w:lang w:val="en-GB"/>
              </w:rPr>
              <w:t>FC</w:t>
            </w:r>
            <w:r w:rsidR="000410D9">
              <w:rPr>
                <w:rFonts w:cs="Arial"/>
                <w:lang w:val="en-GB"/>
              </w:rPr>
              <w:t xml:space="preserve"> (%)</w:t>
            </w:r>
          </w:p>
        </w:tc>
        <w:tc>
          <w:tcPr>
            <w:tcW w:w="1418" w:type="dxa"/>
            <w:shd w:val="clear" w:color="auto" w:fill="FFFFFF"/>
          </w:tcPr>
          <w:p w14:paraId="281E9575" w14:textId="78FE09B4" w:rsidR="00872517" w:rsidRPr="009468A2" w:rsidRDefault="00872517" w:rsidP="00872517">
            <w:pPr>
              <w:pStyle w:val="CETBodytext"/>
              <w:jc w:val="center"/>
              <w:rPr>
                <w:lang w:val="en-GB"/>
              </w:rPr>
            </w:pPr>
            <w:r w:rsidRPr="009468A2">
              <w:rPr>
                <w:lang w:val="en-GB"/>
              </w:rPr>
              <w:t>F</w:t>
            </w:r>
            <w:r w:rsidRPr="009468A2">
              <w:t>D</w:t>
            </w:r>
          </w:p>
        </w:tc>
        <w:tc>
          <w:tcPr>
            <w:tcW w:w="1417" w:type="dxa"/>
          </w:tcPr>
          <w:p w14:paraId="38587867" w14:textId="497C9655" w:rsidR="00872517" w:rsidRPr="00406ED5" w:rsidRDefault="00872517" w:rsidP="00872517">
            <w:pPr>
              <w:pStyle w:val="CETBodytext"/>
              <w:rPr>
                <w:szCs w:val="18"/>
                <w:vertAlign w:val="superscript"/>
              </w:rPr>
            </w:pPr>
            <w:r w:rsidRPr="009468A2">
              <w:rPr>
                <w:szCs w:val="18"/>
              </w:rPr>
              <w:t>6</w:t>
            </w:r>
            <w:r w:rsidR="00ED6201" w:rsidRPr="009468A2">
              <w:rPr>
                <w:szCs w:val="18"/>
              </w:rPr>
              <w:t>.</w:t>
            </w:r>
            <w:r w:rsidRPr="009468A2">
              <w:rPr>
                <w:szCs w:val="18"/>
              </w:rPr>
              <w:t>1±1</w:t>
            </w:r>
            <w:r w:rsidR="00ED6201" w:rsidRPr="009468A2">
              <w:rPr>
                <w:szCs w:val="18"/>
              </w:rPr>
              <w:t>.</w:t>
            </w:r>
            <w:r w:rsidRPr="009468A2">
              <w:rPr>
                <w:szCs w:val="18"/>
              </w:rPr>
              <w:t>3</w:t>
            </w:r>
            <w:r w:rsidRPr="009468A2">
              <w:rPr>
                <w:szCs w:val="18"/>
                <w:vertAlign w:val="superscript"/>
              </w:rPr>
              <w:t>(A</w:t>
            </w:r>
            <w:r w:rsidR="00406ED5">
              <w:rPr>
                <w:szCs w:val="18"/>
                <w:vertAlign w:val="superscript"/>
              </w:rPr>
              <w:t>a</w:t>
            </w:r>
            <w:r w:rsidR="00406ED5" w:rsidRPr="009468A2">
              <w:rPr>
                <w:szCs w:val="18"/>
                <w:vertAlign w:val="superscript"/>
              </w:rPr>
              <w:t>)</w:t>
            </w:r>
          </w:p>
        </w:tc>
        <w:tc>
          <w:tcPr>
            <w:tcW w:w="1701" w:type="dxa"/>
          </w:tcPr>
          <w:p w14:paraId="350FEB86" w14:textId="524A7563" w:rsidR="00872517" w:rsidRPr="009468A2" w:rsidRDefault="00872517" w:rsidP="00872517">
            <w:pPr>
              <w:pStyle w:val="CETBodytext"/>
              <w:ind w:right="-1"/>
              <w:rPr>
                <w:szCs w:val="18"/>
              </w:rPr>
            </w:pPr>
            <w:r w:rsidRPr="009468A2">
              <w:rPr>
                <w:szCs w:val="18"/>
              </w:rPr>
              <w:t>9±3</w:t>
            </w:r>
            <w:r w:rsidRPr="009468A2">
              <w:rPr>
                <w:szCs w:val="18"/>
                <w:vertAlign w:val="superscript"/>
              </w:rPr>
              <w:t>(Aa)</w:t>
            </w:r>
          </w:p>
        </w:tc>
        <w:tc>
          <w:tcPr>
            <w:tcW w:w="1559" w:type="dxa"/>
          </w:tcPr>
          <w:p w14:paraId="3ECB40EE" w14:textId="18B0BCBE" w:rsidR="00872517" w:rsidRPr="009468A2" w:rsidRDefault="00872517" w:rsidP="00872517">
            <w:pPr>
              <w:pStyle w:val="CETBodytext"/>
              <w:ind w:right="-1"/>
              <w:rPr>
                <w:szCs w:val="18"/>
              </w:rPr>
            </w:pPr>
            <w:r w:rsidRPr="009468A2">
              <w:rPr>
                <w:szCs w:val="18"/>
              </w:rPr>
              <w:t>7</w:t>
            </w:r>
            <w:r w:rsidR="00ED6201" w:rsidRPr="009468A2">
              <w:rPr>
                <w:szCs w:val="18"/>
              </w:rPr>
              <w:t>.</w:t>
            </w:r>
            <w:r w:rsidRPr="009468A2">
              <w:rPr>
                <w:szCs w:val="18"/>
              </w:rPr>
              <w:t>4±1</w:t>
            </w:r>
            <w:r w:rsidR="00ED6201" w:rsidRPr="009468A2">
              <w:rPr>
                <w:szCs w:val="18"/>
              </w:rPr>
              <w:t>.</w:t>
            </w:r>
            <w:r w:rsidRPr="009468A2">
              <w:rPr>
                <w:szCs w:val="18"/>
              </w:rPr>
              <w:t>6</w:t>
            </w:r>
            <w:r w:rsidRPr="009468A2">
              <w:rPr>
                <w:szCs w:val="18"/>
                <w:vertAlign w:val="superscript"/>
              </w:rPr>
              <w:t>(Aa)</w:t>
            </w:r>
          </w:p>
        </w:tc>
      </w:tr>
      <w:tr w:rsidR="00872517" w:rsidRPr="009468A2" w14:paraId="77F91F47" w14:textId="77777777" w:rsidTr="00872517">
        <w:tc>
          <w:tcPr>
            <w:tcW w:w="1276" w:type="dxa"/>
            <w:vMerge/>
            <w:shd w:val="clear" w:color="auto" w:fill="FFFFFF"/>
            <w:vAlign w:val="center"/>
          </w:tcPr>
          <w:p w14:paraId="271D57F2" w14:textId="77777777" w:rsidR="00872517" w:rsidRPr="009468A2" w:rsidRDefault="00872517" w:rsidP="00872517">
            <w:pPr>
              <w:pStyle w:val="CETBodytext"/>
              <w:jc w:val="left"/>
              <w:rPr>
                <w:rFonts w:cs="Arial"/>
                <w:lang w:val="en-GB"/>
              </w:rPr>
            </w:pPr>
          </w:p>
        </w:tc>
        <w:tc>
          <w:tcPr>
            <w:tcW w:w="1418" w:type="dxa"/>
            <w:shd w:val="clear" w:color="auto" w:fill="FFFFFF"/>
          </w:tcPr>
          <w:p w14:paraId="2BC39F94" w14:textId="44C723FE" w:rsidR="00872517" w:rsidRPr="009468A2" w:rsidRDefault="00872517" w:rsidP="00872517">
            <w:pPr>
              <w:pStyle w:val="CETBodytext"/>
              <w:jc w:val="center"/>
              <w:rPr>
                <w:lang w:val="en-GB"/>
              </w:rPr>
            </w:pPr>
            <w:r w:rsidRPr="009468A2">
              <w:rPr>
                <w:lang w:val="en-GB"/>
              </w:rPr>
              <w:t>A</w:t>
            </w:r>
            <w:r w:rsidRPr="009468A2">
              <w:t>D</w:t>
            </w:r>
          </w:p>
        </w:tc>
        <w:tc>
          <w:tcPr>
            <w:tcW w:w="1417" w:type="dxa"/>
          </w:tcPr>
          <w:p w14:paraId="0ACDC13E" w14:textId="2E4B8489" w:rsidR="00872517" w:rsidRPr="009468A2" w:rsidRDefault="00872517" w:rsidP="00872517">
            <w:pPr>
              <w:pStyle w:val="CETBodytext"/>
              <w:rPr>
                <w:rFonts w:cs="Arial"/>
                <w:szCs w:val="18"/>
              </w:rPr>
            </w:pPr>
            <w:r w:rsidRPr="009468A2">
              <w:rPr>
                <w:szCs w:val="18"/>
              </w:rPr>
              <w:t>7</w:t>
            </w:r>
            <w:r w:rsidR="00ED6201" w:rsidRPr="009468A2">
              <w:rPr>
                <w:szCs w:val="18"/>
              </w:rPr>
              <w:t>.</w:t>
            </w:r>
            <w:r w:rsidRPr="009468A2">
              <w:rPr>
                <w:szCs w:val="18"/>
              </w:rPr>
              <w:t>8±1</w:t>
            </w:r>
            <w:r w:rsidR="00ED6201" w:rsidRPr="009468A2">
              <w:rPr>
                <w:szCs w:val="18"/>
              </w:rPr>
              <w:t>.</w:t>
            </w:r>
            <w:r w:rsidRPr="009468A2">
              <w:rPr>
                <w:szCs w:val="18"/>
              </w:rPr>
              <w:t>3</w:t>
            </w:r>
            <w:r w:rsidRPr="009468A2">
              <w:rPr>
                <w:szCs w:val="18"/>
                <w:vertAlign w:val="superscript"/>
              </w:rPr>
              <w:t>(A</w:t>
            </w:r>
            <w:r w:rsidR="0028006B" w:rsidRPr="009468A2">
              <w:rPr>
                <w:szCs w:val="18"/>
                <w:vertAlign w:val="superscript"/>
              </w:rPr>
              <w:t>a</w:t>
            </w:r>
            <w:r w:rsidRPr="009468A2">
              <w:rPr>
                <w:szCs w:val="18"/>
                <w:vertAlign w:val="superscript"/>
              </w:rPr>
              <w:t>)</w:t>
            </w:r>
          </w:p>
        </w:tc>
        <w:tc>
          <w:tcPr>
            <w:tcW w:w="1701" w:type="dxa"/>
          </w:tcPr>
          <w:p w14:paraId="127B1E26" w14:textId="1AE7AD95" w:rsidR="00872517" w:rsidRPr="009468A2" w:rsidRDefault="00872517" w:rsidP="00872517">
            <w:pPr>
              <w:pStyle w:val="CETBodytext"/>
              <w:ind w:right="-1"/>
              <w:rPr>
                <w:szCs w:val="18"/>
              </w:rPr>
            </w:pPr>
            <w:r w:rsidRPr="009468A2">
              <w:rPr>
                <w:szCs w:val="18"/>
              </w:rPr>
              <w:t>5±2</w:t>
            </w:r>
            <w:r w:rsidRPr="009468A2">
              <w:rPr>
                <w:szCs w:val="18"/>
                <w:vertAlign w:val="superscript"/>
              </w:rPr>
              <w:t>(Ab)</w:t>
            </w:r>
          </w:p>
        </w:tc>
        <w:tc>
          <w:tcPr>
            <w:tcW w:w="1559" w:type="dxa"/>
          </w:tcPr>
          <w:p w14:paraId="18405B3E" w14:textId="429041E6" w:rsidR="00872517" w:rsidRPr="009468A2" w:rsidRDefault="00872517" w:rsidP="00872517">
            <w:pPr>
              <w:pStyle w:val="CETBodytext"/>
              <w:ind w:right="-1"/>
              <w:rPr>
                <w:szCs w:val="18"/>
              </w:rPr>
            </w:pPr>
            <w:r w:rsidRPr="009468A2">
              <w:rPr>
                <w:szCs w:val="18"/>
              </w:rPr>
              <w:t>3</w:t>
            </w:r>
            <w:r w:rsidR="00ED6201" w:rsidRPr="009468A2">
              <w:rPr>
                <w:szCs w:val="18"/>
              </w:rPr>
              <w:t>.</w:t>
            </w:r>
            <w:r w:rsidRPr="009468A2">
              <w:rPr>
                <w:szCs w:val="18"/>
              </w:rPr>
              <w:t>5±1</w:t>
            </w:r>
            <w:r w:rsidR="00ED6201" w:rsidRPr="009468A2">
              <w:rPr>
                <w:szCs w:val="18"/>
              </w:rPr>
              <w:t>.</w:t>
            </w:r>
            <w:r w:rsidRPr="009468A2">
              <w:rPr>
                <w:szCs w:val="18"/>
              </w:rPr>
              <w:t>1</w:t>
            </w:r>
            <w:r w:rsidRPr="009468A2">
              <w:rPr>
                <w:szCs w:val="18"/>
                <w:vertAlign w:val="superscript"/>
              </w:rPr>
              <w:t>(Ab)</w:t>
            </w:r>
          </w:p>
        </w:tc>
      </w:tr>
      <w:tr w:rsidR="00872517" w:rsidRPr="009468A2" w14:paraId="5E4B5D52" w14:textId="77777777" w:rsidTr="00872517">
        <w:tc>
          <w:tcPr>
            <w:tcW w:w="1276" w:type="dxa"/>
            <w:vMerge w:val="restart"/>
            <w:shd w:val="clear" w:color="auto" w:fill="FFFFFF"/>
            <w:vAlign w:val="center"/>
          </w:tcPr>
          <w:p w14:paraId="384FE769" w14:textId="5A04F849" w:rsidR="00872517" w:rsidRPr="009468A2" w:rsidRDefault="00872517" w:rsidP="00872517">
            <w:pPr>
              <w:pStyle w:val="CETBodytext"/>
              <w:jc w:val="left"/>
              <w:rPr>
                <w:rFonts w:cs="Arial"/>
                <w:lang w:val="en-GB"/>
              </w:rPr>
            </w:pPr>
            <w:r w:rsidRPr="009468A2">
              <w:rPr>
                <w:rFonts w:cs="Arial"/>
                <w:lang w:val="en-GB"/>
              </w:rPr>
              <w:t>FS</w:t>
            </w:r>
            <w:r w:rsidR="000410D9">
              <w:rPr>
                <w:rFonts w:cs="Arial"/>
                <w:lang w:val="en-GB"/>
              </w:rPr>
              <w:t xml:space="preserve"> (%)</w:t>
            </w:r>
          </w:p>
        </w:tc>
        <w:tc>
          <w:tcPr>
            <w:tcW w:w="1418" w:type="dxa"/>
            <w:shd w:val="clear" w:color="auto" w:fill="FFFFFF"/>
          </w:tcPr>
          <w:p w14:paraId="6C6D6CE6" w14:textId="77777777" w:rsidR="00872517" w:rsidRPr="009468A2" w:rsidRDefault="00872517" w:rsidP="00872517">
            <w:pPr>
              <w:pStyle w:val="CETBodytext"/>
              <w:jc w:val="center"/>
              <w:rPr>
                <w:lang w:val="en-GB"/>
              </w:rPr>
            </w:pPr>
            <w:r w:rsidRPr="009468A2">
              <w:rPr>
                <w:lang w:val="en-GB"/>
              </w:rPr>
              <w:t>FD</w:t>
            </w:r>
          </w:p>
        </w:tc>
        <w:tc>
          <w:tcPr>
            <w:tcW w:w="1417" w:type="dxa"/>
          </w:tcPr>
          <w:p w14:paraId="3CF7B7E1" w14:textId="443F422E" w:rsidR="00872517" w:rsidRPr="009468A2" w:rsidRDefault="00872517" w:rsidP="00872517">
            <w:pPr>
              <w:pStyle w:val="CETBodytext"/>
              <w:rPr>
                <w:szCs w:val="18"/>
                <w:lang w:val="en-GB"/>
              </w:rPr>
            </w:pPr>
            <w:r w:rsidRPr="009468A2">
              <w:rPr>
                <w:szCs w:val="18"/>
              </w:rPr>
              <w:t>104</w:t>
            </w:r>
            <w:r w:rsidR="00ED6201" w:rsidRPr="009468A2">
              <w:rPr>
                <w:szCs w:val="18"/>
              </w:rPr>
              <w:t>.</w:t>
            </w:r>
            <w:r w:rsidRPr="009468A2">
              <w:rPr>
                <w:szCs w:val="18"/>
              </w:rPr>
              <w:t>1±1</w:t>
            </w:r>
            <w:r w:rsidR="00ED6201" w:rsidRPr="009468A2">
              <w:rPr>
                <w:szCs w:val="18"/>
              </w:rPr>
              <w:t>.</w:t>
            </w:r>
            <w:r w:rsidRPr="009468A2">
              <w:rPr>
                <w:szCs w:val="18"/>
              </w:rPr>
              <w:t>4</w:t>
            </w:r>
            <w:r w:rsidRPr="009468A2">
              <w:rPr>
                <w:szCs w:val="18"/>
                <w:vertAlign w:val="superscript"/>
              </w:rPr>
              <w:t>(Aa)</w:t>
            </w:r>
          </w:p>
        </w:tc>
        <w:tc>
          <w:tcPr>
            <w:tcW w:w="1701" w:type="dxa"/>
          </w:tcPr>
          <w:p w14:paraId="06560430" w14:textId="3F5E8C43" w:rsidR="00872517" w:rsidRPr="009468A2" w:rsidRDefault="00872517" w:rsidP="00872517">
            <w:pPr>
              <w:pStyle w:val="CETBodytext"/>
              <w:ind w:right="-1"/>
              <w:rPr>
                <w:rFonts w:cs="Arial"/>
                <w:szCs w:val="18"/>
                <w:lang w:val="en-GB"/>
              </w:rPr>
            </w:pPr>
            <w:r w:rsidRPr="009468A2">
              <w:rPr>
                <w:szCs w:val="18"/>
              </w:rPr>
              <w:t>107±2</w:t>
            </w:r>
            <w:r w:rsidRPr="009468A2">
              <w:rPr>
                <w:szCs w:val="18"/>
                <w:vertAlign w:val="superscript"/>
              </w:rPr>
              <w:t>(A</w:t>
            </w:r>
            <w:r w:rsidR="00674FD1" w:rsidRPr="009468A2">
              <w:rPr>
                <w:szCs w:val="18"/>
                <w:vertAlign w:val="superscript"/>
              </w:rPr>
              <w:t>a</w:t>
            </w:r>
            <w:r w:rsidRPr="009468A2">
              <w:rPr>
                <w:szCs w:val="18"/>
                <w:vertAlign w:val="superscript"/>
              </w:rPr>
              <w:t>)</w:t>
            </w:r>
          </w:p>
        </w:tc>
        <w:tc>
          <w:tcPr>
            <w:tcW w:w="1559" w:type="dxa"/>
          </w:tcPr>
          <w:p w14:paraId="2CEB69EC" w14:textId="600C774B" w:rsidR="00872517" w:rsidRPr="009468A2" w:rsidRDefault="00872517" w:rsidP="00872517">
            <w:pPr>
              <w:pStyle w:val="CETBodytext"/>
              <w:ind w:right="-1"/>
              <w:rPr>
                <w:rFonts w:cs="Arial"/>
                <w:szCs w:val="18"/>
                <w:lang w:val="en-GB"/>
              </w:rPr>
            </w:pPr>
            <w:r w:rsidRPr="009468A2">
              <w:rPr>
                <w:szCs w:val="18"/>
              </w:rPr>
              <w:t>102</w:t>
            </w:r>
            <w:r w:rsidR="00ED6201" w:rsidRPr="009468A2">
              <w:rPr>
                <w:szCs w:val="18"/>
              </w:rPr>
              <w:t>.</w:t>
            </w:r>
            <w:r w:rsidRPr="009468A2">
              <w:rPr>
                <w:szCs w:val="18"/>
              </w:rPr>
              <w:t>4±1</w:t>
            </w:r>
            <w:r w:rsidR="00ED6201" w:rsidRPr="009468A2">
              <w:rPr>
                <w:szCs w:val="18"/>
              </w:rPr>
              <w:t>.</w:t>
            </w:r>
            <w:r w:rsidRPr="009468A2">
              <w:rPr>
                <w:szCs w:val="18"/>
              </w:rPr>
              <w:t>2</w:t>
            </w:r>
            <w:r w:rsidRPr="009468A2">
              <w:rPr>
                <w:szCs w:val="18"/>
                <w:vertAlign w:val="superscript"/>
              </w:rPr>
              <w:t>(Aa)</w:t>
            </w:r>
          </w:p>
        </w:tc>
      </w:tr>
      <w:tr w:rsidR="00872517" w:rsidRPr="009468A2" w14:paraId="27950426" w14:textId="77777777" w:rsidTr="00872517">
        <w:tc>
          <w:tcPr>
            <w:tcW w:w="1276" w:type="dxa"/>
            <w:vMerge/>
            <w:shd w:val="clear" w:color="auto" w:fill="FFFFFF"/>
          </w:tcPr>
          <w:p w14:paraId="0C4803C9" w14:textId="77777777" w:rsidR="00872517" w:rsidRPr="009468A2" w:rsidRDefault="00872517" w:rsidP="00872517">
            <w:pPr>
              <w:pStyle w:val="CETBodytext"/>
              <w:rPr>
                <w:rFonts w:cs="Arial"/>
                <w:lang w:val="en-GB"/>
              </w:rPr>
            </w:pPr>
          </w:p>
        </w:tc>
        <w:tc>
          <w:tcPr>
            <w:tcW w:w="1418" w:type="dxa"/>
            <w:shd w:val="clear" w:color="auto" w:fill="FFFFFF"/>
          </w:tcPr>
          <w:p w14:paraId="41C5E633" w14:textId="77777777" w:rsidR="00872517" w:rsidRPr="009468A2" w:rsidRDefault="00872517" w:rsidP="00872517">
            <w:pPr>
              <w:pStyle w:val="CETBodytext"/>
              <w:jc w:val="center"/>
              <w:rPr>
                <w:lang w:val="en-GB"/>
              </w:rPr>
            </w:pPr>
            <w:r w:rsidRPr="009468A2">
              <w:rPr>
                <w:lang w:val="en-GB"/>
              </w:rPr>
              <w:t>AD</w:t>
            </w:r>
          </w:p>
        </w:tc>
        <w:tc>
          <w:tcPr>
            <w:tcW w:w="1417" w:type="dxa"/>
          </w:tcPr>
          <w:p w14:paraId="601D047F" w14:textId="6EC4AB20" w:rsidR="00872517" w:rsidRPr="009468A2" w:rsidRDefault="00872517" w:rsidP="00872517">
            <w:pPr>
              <w:pStyle w:val="CETBodytext"/>
              <w:rPr>
                <w:szCs w:val="18"/>
                <w:lang w:val="en-GB"/>
              </w:rPr>
            </w:pPr>
            <w:r w:rsidRPr="009468A2">
              <w:rPr>
                <w:szCs w:val="18"/>
              </w:rPr>
              <w:t>104</w:t>
            </w:r>
            <w:r w:rsidR="0068196D" w:rsidRPr="009468A2">
              <w:rPr>
                <w:szCs w:val="18"/>
              </w:rPr>
              <w:t>.</w:t>
            </w:r>
            <w:r w:rsidRPr="009468A2">
              <w:rPr>
                <w:szCs w:val="18"/>
              </w:rPr>
              <w:t>0±3</w:t>
            </w:r>
            <w:r w:rsidR="0068196D" w:rsidRPr="009468A2">
              <w:rPr>
                <w:szCs w:val="18"/>
              </w:rPr>
              <w:t>.</w:t>
            </w:r>
            <w:r w:rsidRPr="009468A2">
              <w:rPr>
                <w:szCs w:val="18"/>
              </w:rPr>
              <w:t>7</w:t>
            </w:r>
            <w:r w:rsidRPr="009468A2">
              <w:rPr>
                <w:szCs w:val="18"/>
                <w:vertAlign w:val="superscript"/>
              </w:rPr>
              <w:t>(A</w:t>
            </w:r>
            <w:r w:rsidR="00674FD1" w:rsidRPr="009468A2">
              <w:rPr>
                <w:szCs w:val="18"/>
                <w:vertAlign w:val="superscript"/>
              </w:rPr>
              <w:t>a</w:t>
            </w:r>
            <w:r w:rsidRPr="009468A2">
              <w:rPr>
                <w:szCs w:val="18"/>
                <w:vertAlign w:val="superscript"/>
              </w:rPr>
              <w:t>)</w:t>
            </w:r>
          </w:p>
        </w:tc>
        <w:tc>
          <w:tcPr>
            <w:tcW w:w="1701" w:type="dxa"/>
          </w:tcPr>
          <w:p w14:paraId="54427166" w14:textId="5BA64CF1" w:rsidR="00872517" w:rsidRPr="009468A2" w:rsidRDefault="00872517" w:rsidP="00872517">
            <w:pPr>
              <w:pStyle w:val="CETBodytext"/>
              <w:ind w:right="-1"/>
              <w:rPr>
                <w:rFonts w:cs="Arial"/>
                <w:szCs w:val="18"/>
                <w:lang w:val="en-GB"/>
              </w:rPr>
            </w:pPr>
            <w:r w:rsidRPr="009468A2">
              <w:rPr>
                <w:szCs w:val="18"/>
              </w:rPr>
              <w:t>100</w:t>
            </w:r>
            <w:r w:rsidR="0068196D" w:rsidRPr="009468A2">
              <w:rPr>
                <w:szCs w:val="18"/>
              </w:rPr>
              <w:t>.</w:t>
            </w:r>
            <w:r w:rsidRPr="009468A2">
              <w:rPr>
                <w:szCs w:val="18"/>
              </w:rPr>
              <w:t>8±1</w:t>
            </w:r>
            <w:r w:rsidR="0068196D" w:rsidRPr="009468A2">
              <w:rPr>
                <w:szCs w:val="18"/>
              </w:rPr>
              <w:t>.</w:t>
            </w:r>
            <w:r w:rsidRPr="009468A2">
              <w:rPr>
                <w:szCs w:val="18"/>
              </w:rPr>
              <w:t>4</w:t>
            </w:r>
            <w:r w:rsidRPr="009468A2">
              <w:rPr>
                <w:szCs w:val="18"/>
                <w:vertAlign w:val="superscript"/>
              </w:rPr>
              <w:t>(A</w:t>
            </w:r>
            <w:r w:rsidR="00674FD1" w:rsidRPr="009468A2">
              <w:rPr>
                <w:szCs w:val="18"/>
                <w:vertAlign w:val="superscript"/>
              </w:rPr>
              <w:t>b</w:t>
            </w:r>
            <w:r w:rsidRPr="009468A2">
              <w:rPr>
                <w:szCs w:val="18"/>
                <w:vertAlign w:val="superscript"/>
              </w:rPr>
              <w:t>)</w:t>
            </w:r>
          </w:p>
        </w:tc>
        <w:tc>
          <w:tcPr>
            <w:tcW w:w="1559" w:type="dxa"/>
          </w:tcPr>
          <w:p w14:paraId="14053A29" w14:textId="14935D36" w:rsidR="00872517" w:rsidRPr="009468A2" w:rsidRDefault="00872517" w:rsidP="00872517">
            <w:pPr>
              <w:pStyle w:val="CETBodytext"/>
              <w:ind w:right="-1"/>
              <w:rPr>
                <w:rFonts w:cs="Arial"/>
                <w:szCs w:val="18"/>
                <w:lang w:val="en-GB"/>
              </w:rPr>
            </w:pPr>
            <w:r w:rsidRPr="009468A2">
              <w:rPr>
                <w:szCs w:val="18"/>
              </w:rPr>
              <w:t>100</w:t>
            </w:r>
            <w:r w:rsidR="0068196D" w:rsidRPr="009468A2">
              <w:rPr>
                <w:szCs w:val="18"/>
              </w:rPr>
              <w:t>.</w:t>
            </w:r>
            <w:r w:rsidRPr="009468A2">
              <w:rPr>
                <w:szCs w:val="18"/>
              </w:rPr>
              <w:t>4±0</w:t>
            </w:r>
            <w:r w:rsidR="0068196D" w:rsidRPr="009468A2">
              <w:rPr>
                <w:szCs w:val="18"/>
              </w:rPr>
              <w:t>.</w:t>
            </w:r>
            <w:r w:rsidRPr="009468A2">
              <w:rPr>
                <w:szCs w:val="18"/>
              </w:rPr>
              <w:t>7</w:t>
            </w:r>
            <w:r w:rsidRPr="009468A2">
              <w:rPr>
                <w:szCs w:val="18"/>
                <w:vertAlign w:val="superscript"/>
              </w:rPr>
              <w:t>(Ab)</w:t>
            </w:r>
          </w:p>
        </w:tc>
      </w:tr>
    </w:tbl>
    <w:p w14:paraId="7F39E14C" w14:textId="34D30713" w:rsidR="00872517" w:rsidRDefault="00872517" w:rsidP="00872517">
      <w:pPr>
        <w:pStyle w:val="CETHeading1"/>
        <w:numPr>
          <w:ilvl w:val="0"/>
          <w:numId w:val="0"/>
        </w:numPr>
        <w:spacing w:before="0"/>
        <w:rPr>
          <w:b w:val="0"/>
          <w:iCs/>
          <w:sz w:val="18"/>
          <w:szCs w:val="18"/>
          <w:lang w:val="en-GB"/>
        </w:rPr>
      </w:pPr>
      <w:r w:rsidRPr="009468A2">
        <w:rPr>
          <w:b w:val="0"/>
          <w:i/>
          <w:sz w:val="18"/>
          <w:szCs w:val="18"/>
          <w:lang w:val="en-GB"/>
        </w:rPr>
        <w:t>Different letters in upper case (</w:t>
      </w:r>
      <w:proofErr w:type="gramStart"/>
      <w:r w:rsidRPr="009468A2">
        <w:rPr>
          <w:b w:val="0"/>
          <w:i/>
          <w:sz w:val="18"/>
          <w:szCs w:val="18"/>
          <w:lang w:val="en-GB"/>
        </w:rPr>
        <w:t>A,B</w:t>
      </w:r>
      <w:proofErr w:type="gramEnd"/>
      <w:r w:rsidRPr="009468A2">
        <w:rPr>
          <w:b w:val="0"/>
          <w:i/>
          <w:sz w:val="18"/>
          <w:szCs w:val="18"/>
          <w:lang w:val="en-GB"/>
        </w:rPr>
        <w:t>) or lower case (</w:t>
      </w:r>
      <w:proofErr w:type="spellStart"/>
      <w:proofErr w:type="gramStart"/>
      <w:r w:rsidRPr="009468A2">
        <w:rPr>
          <w:b w:val="0"/>
          <w:i/>
          <w:sz w:val="18"/>
          <w:szCs w:val="18"/>
          <w:lang w:val="en-GB"/>
        </w:rPr>
        <w:t>a,b</w:t>
      </w:r>
      <w:proofErr w:type="spellEnd"/>
      <w:proofErr w:type="gramEnd"/>
      <w:r w:rsidRPr="009468A2">
        <w:rPr>
          <w:b w:val="0"/>
          <w:i/>
          <w:sz w:val="18"/>
          <w:szCs w:val="18"/>
          <w:lang w:val="en-GB"/>
        </w:rPr>
        <w:t>) indicate significant differences (p&lt;0.05) between the temperature (45, 50 or 55 ºC) or the drying process (FD or AD), respectively.</w:t>
      </w:r>
    </w:p>
    <w:p w14:paraId="15D8637C" w14:textId="7AA13766" w:rsidR="00D92770" w:rsidRPr="00227A31" w:rsidRDefault="00D92770" w:rsidP="00D92770">
      <w:pPr>
        <w:pStyle w:val="CETBodytext"/>
      </w:pPr>
      <w:r w:rsidRPr="009468A2">
        <w:rPr>
          <w:lang w:val="en-GB"/>
        </w:rPr>
        <w:t xml:space="preserve">Dispersibility was not affected by </w:t>
      </w:r>
      <w:r>
        <w:rPr>
          <w:lang w:val="en-GB"/>
        </w:rPr>
        <w:t>the</w:t>
      </w:r>
      <w:r w:rsidRPr="009468A2">
        <w:rPr>
          <w:lang w:val="en-GB"/>
        </w:rPr>
        <w:t xml:space="preserve"> process</w:t>
      </w:r>
      <w:r>
        <w:rPr>
          <w:lang w:val="en-GB"/>
        </w:rPr>
        <w:t xml:space="preserve"> (Table 3)</w:t>
      </w:r>
      <w:r w:rsidRPr="009468A2">
        <w:rPr>
          <w:lang w:val="en-GB"/>
        </w:rPr>
        <w:t xml:space="preserve">. </w:t>
      </w:r>
      <w:r w:rsidRPr="009468A2">
        <w:t>On the other hand, FD samples showed higher solubility</w:t>
      </w:r>
      <w:r>
        <w:t xml:space="preserve"> and lower WRC, which may be related to their greater porosity (Table 2). Nevertheless, for WRC this effect was </w:t>
      </w:r>
      <w:r>
        <w:lastRenderedPageBreak/>
        <w:t xml:space="preserve">not significant (p&gt;0.05) at 55 ºC. FC and FS were affected by the process </w:t>
      </w:r>
      <w:r w:rsidRPr="00740B54">
        <w:t xml:space="preserve">at 50 and 55 ºC, both properties </w:t>
      </w:r>
      <w:r>
        <w:t>being</w:t>
      </w:r>
      <w:r w:rsidRPr="00740B54">
        <w:t xml:space="preserve"> more favorable for the FD samples. A higher crusting of the flours obtained by AD at higher temperatures could justify this result.</w:t>
      </w:r>
    </w:p>
    <w:p w14:paraId="6CC3D059" w14:textId="460812D8" w:rsidR="0060125F" w:rsidRPr="0060125F" w:rsidRDefault="00546C2B" w:rsidP="0060125F">
      <w:pPr>
        <w:pStyle w:val="CETBodytext"/>
      </w:pPr>
      <w:r w:rsidRPr="00740B54">
        <w:rPr>
          <w:lang w:val="en-GB"/>
        </w:rPr>
        <w:t>The drying temperature</w:t>
      </w:r>
      <w:r>
        <w:rPr>
          <w:lang w:val="en-GB"/>
        </w:rPr>
        <w:t xml:space="preserve"> only</w:t>
      </w:r>
      <w:r w:rsidRPr="00740B54">
        <w:rPr>
          <w:lang w:val="en-GB"/>
        </w:rPr>
        <w:t xml:space="preserve"> influences </w:t>
      </w:r>
      <w:r>
        <w:rPr>
          <w:lang w:val="en-GB"/>
        </w:rPr>
        <w:t xml:space="preserve">solubility and WRC </w:t>
      </w:r>
      <w:r w:rsidRPr="00546C2B">
        <w:rPr>
          <w:lang w:val="en-GB"/>
        </w:rPr>
        <w:t>and with an unclear pattern</w:t>
      </w:r>
      <w:r w:rsidRPr="00740B54">
        <w:rPr>
          <w:lang w:val="en-GB"/>
        </w:rPr>
        <w:t xml:space="preserve">. </w:t>
      </w:r>
      <w:r w:rsidR="0007483D">
        <w:rPr>
          <w:lang w:val="en-GB"/>
        </w:rPr>
        <w:t>T</w:t>
      </w:r>
      <w:r w:rsidR="0060125F" w:rsidRPr="00740B54">
        <w:rPr>
          <w:lang w:val="en-GB"/>
        </w:rPr>
        <w:t xml:space="preserve">he composition of the fava bean would affect the interaction of flour with water, mainly </w:t>
      </w:r>
      <w:r w:rsidR="0060125F" w:rsidRPr="002C3034">
        <w:rPr>
          <w:lang w:val="en-GB"/>
        </w:rPr>
        <w:t xml:space="preserve">its content in protein and fibre (13.81 and 57.46 g/ 100 g </w:t>
      </w:r>
      <w:proofErr w:type="spellStart"/>
      <w:r w:rsidR="0060125F" w:rsidRPr="002C3034">
        <w:rPr>
          <w:lang w:val="en-GB"/>
        </w:rPr>
        <w:t>db</w:t>
      </w:r>
      <w:proofErr w:type="spellEnd"/>
      <w:r w:rsidR="0060125F" w:rsidRPr="002C3034">
        <w:rPr>
          <w:lang w:val="en-GB"/>
        </w:rPr>
        <w:t xml:space="preserve">, respectively, </w:t>
      </w:r>
      <w:proofErr w:type="spellStart"/>
      <w:r w:rsidR="0060125F" w:rsidRPr="002C3034">
        <w:rPr>
          <w:lang w:val="en-GB"/>
        </w:rPr>
        <w:t>Mejry</w:t>
      </w:r>
      <w:proofErr w:type="spellEnd"/>
      <w:r w:rsidR="0060125F" w:rsidRPr="002C3034">
        <w:rPr>
          <w:lang w:val="en-GB"/>
        </w:rPr>
        <w:t xml:space="preserve"> et al., 2018). Increasing the d</w:t>
      </w:r>
      <w:r w:rsidR="0060125F" w:rsidRPr="00740B54">
        <w:rPr>
          <w:lang w:val="en-GB"/>
        </w:rPr>
        <w:t xml:space="preserve">rying temperature may affect the protein structure by promoting the migration of hydrophobic groups towards the surface, which would justify the lower solubility and WRC observed at 50 °C when compared to 45 ºC. However, at 55 ºC, the higher solubility of the fibre also present in bean pod flour could justify the observed increase in </w:t>
      </w:r>
      <w:r w:rsidR="0060125F">
        <w:rPr>
          <w:lang w:val="en-GB"/>
        </w:rPr>
        <w:t xml:space="preserve">solubility </w:t>
      </w:r>
      <w:r w:rsidR="0060125F" w:rsidRPr="00740B54">
        <w:rPr>
          <w:lang w:val="en-GB"/>
        </w:rPr>
        <w:t>in this case</w:t>
      </w:r>
      <w:r w:rsidR="0007483D">
        <w:rPr>
          <w:lang w:val="en-GB"/>
        </w:rPr>
        <w:t>,</w:t>
      </w:r>
      <w:r w:rsidR="0060125F">
        <w:rPr>
          <w:lang w:val="en-GB"/>
        </w:rPr>
        <w:t xml:space="preserve"> </w:t>
      </w:r>
      <w:r w:rsidR="0007483D">
        <w:rPr>
          <w:lang w:val="en-GB"/>
        </w:rPr>
        <w:t>with no more effect</w:t>
      </w:r>
      <w:r w:rsidR="0060125F">
        <w:rPr>
          <w:lang w:val="en-GB"/>
        </w:rPr>
        <w:t xml:space="preserve"> in WRC of </w:t>
      </w:r>
      <w:r w:rsidR="00095DE9">
        <w:rPr>
          <w:lang w:val="en-GB"/>
        </w:rPr>
        <w:t>A</w:t>
      </w:r>
      <w:r w:rsidR="0060125F">
        <w:rPr>
          <w:lang w:val="en-GB"/>
        </w:rPr>
        <w:t>D sample</w:t>
      </w:r>
      <w:r w:rsidR="0060125F" w:rsidRPr="00740B54">
        <w:t>. For each drying process, temperature did not affect the FC and FS.</w:t>
      </w:r>
    </w:p>
    <w:p w14:paraId="5EDA54C6" w14:textId="39583624" w:rsidR="00342A7E" w:rsidRPr="009468A2" w:rsidRDefault="00666A55" w:rsidP="00C44756">
      <w:pPr>
        <w:pStyle w:val="CETBodytext"/>
      </w:pPr>
      <w:r w:rsidRPr="009468A2">
        <w:rPr>
          <w:lang w:val="en-GB"/>
        </w:rPr>
        <w:t>Table 4 shows the properties of the powder related to its interaction with the oil. As for ORC, the values obtained were lower than those of WRC, which could be related to the presence in this product of a high number of hydrophilic groups capable of binding to water molecules</w:t>
      </w:r>
      <w:r w:rsidR="00104FAA">
        <w:rPr>
          <w:lang w:val="en-GB"/>
        </w:rPr>
        <w:t>,</w:t>
      </w:r>
      <w:r w:rsidRPr="009468A2">
        <w:rPr>
          <w:lang w:val="en-GB"/>
        </w:rPr>
        <w:t xml:space="preserve"> and to the presence of soluble fibres that have a </w:t>
      </w:r>
      <w:proofErr w:type="gramStart"/>
      <w:r w:rsidRPr="009468A2">
        <w:rPr>
          <w:lang w:val="en-GB"/>
        </w:rPr>
        <w:t>high water</w:t>
      </w:r>
      <w:proofErr w:type="gramEnd"/>
      <w:r w:rsidRPr="009468A2">
        <w:rPr>
          <w:lang w:val="en-GB"/>
        </w:rPr>
        <w:t xml:space="preserve"> absorption capacity</w:t>
      </w:r>
      <w:r w:rsidR="00A8419A" w:rsidRPr="009468A2">
        <w:rPr>
          <w:lang w:val="en-GB"/>
        </w:rPr>
        <w:t xml:space="preserve"> (Mokhtar et al., 2018; </w:t>
      </w:r>
      <w:proofErr w:type="spellStart"/>
      <w:r w:rsidR="00A8419A" w:rsidRPr="009468A2">
        <w:rPr>
          <w:lang w:val="en-GB"/>
        </w:rPr>
        <w:t>Thebaudin</w:t>
      </w:r>
      <w:proofErr w:type="spellEnd"/>
      <w:r w:rsidR="00A8419A" w:rsidRPr="009468A2">
        <w:rPr>
          <w:lang w:val="en-GB"/>
        </w:rPr>
        <w:t xml:space="preserve"> et al., 1997)</w:t>
      </w:r>
      <w:r w:rsidR="00F5575D" w:rsidRPr="009468A2">
        <w:rPr>
          <w:lang w:val="en-GB"/>
        </w:rPr>
        <w:t>.</w:t>
      </w:r>
      <w:r w:rsidR="00A8419A" w:rsidRPr="009468A2">
        <w:rPr>
          <w:lang w:val="en-GB"/>
        </w:rPr>
        <w:t xml:space="preserve"> </w:t>
      </w:r>
      <w:r w:rsidR="00977DE6" w:rsidRPr="009468A2">
        <w:t xml:space="preserve">The ORC of the FD samples was higher than that of the AD samples. This may be due to the higher porosity of the FD samples (Gao et al., 2020) and also to the higher crusting of the AD samples, more intense </w:t>
      </w:r>
      <w:r w:rsidR="00977DE6" w:rsidRPr="009B105F">
        <w:t xml:space="preserve">at </w:t>
      </w:r>
      <w:r w:rsidR="00104FAA" w:rsidRPr="009B105F">
        <w:t xml:space="preserve">the </w:t>
      </w:r>
      <w:r w:rsidR="00977DE6" w:rsidRPr="009B105F">
        <w:t>highe</w:t>
      </w:r>
      <w:r w:rsidR="00104FAA" w:rsidRPr="009B105F">
        <w:t>st</w:t>
      </w:r>
      <w:r w:rsidR="00977DE6" w:rsidRPr="009B105F">
        <w:t xml:space="preserve"> temperature</w:t>
      </w:r>
      <w:r w:rsidR="00977DE6" w:rsidRPr="009468A2">
        <w:t xml:space="preserve"> (p&lt;0.05)</w:t>
      </w:r>
      <w:r w:rsidR="00851627" w:rsidRPr="009468A2">
        <w:t xml:space="preserve">. </w:t>
      </w:r>
      <w:r w:rsidR="00EF57A3" w:rsidRPr="009468A2">
        <w:t>No differences in E</w:t>
      </w:r>
      <w:r w:rsidR="00BC3C51" w:rsidRPr="009468A2">
        <w:t>A</w:t>
      </w:r>
      <w:r w:rsidR="00EF57A3" w:rsidRPr="009468A2">
        <w:t xml:space="preserve"> were observed with either drying method or temperature, although the former did affect ES</w:t>
      </w:r>
      <w:r w:rsidR="005318A8" w:rsidRPr="009468A2">
        <w:t>.</w:t>
      </w:r>
      <w:r w:rsidR="00C826ED" w:rsidRPr="009468A2">
        <w:t xml:space="preserve"> </w:t>
      </w:r>
      <w:r w:rsidR="00EF57A3" w:rsidRPr="009468A2">
        <w:t xml:space="preserve">As described by </w:t>
      </w:r>
      <w:proofErr w:type="spellStart"/>
      <w:r w:rsidR="00EF57A3" w:rsidRPr="009468A2">
        <w:t>Nushtaeva</w:t>
      </w:r>
      <w:proofErr w:type="spellEnd"/>
      <w:r w:rsidR="00EF57A3" w:rsidRPr="009468A2">
        <w:t xml:space="preserve"> (2016), the larger particle size of AD flours could account for this higher stability.</w:t>
      </w:r>
    </w:p>
    <w:p w14:paraId="47CE560A" w14:textId="09293DC0" w:rsidR="00271997" w:rsidRPr="009468A2" w:rsidRDefault="00271997" w:rsidP="00271997">
      <w:pPr>
        <w:pStyle w:val="CETTabletitle"/>
      </w:pPr>
      <w:r w:rsidRPr="009468A2">
        <w:t xml:space="preserve">Table 4: Mean value ± standard deviation of </w:t>
      </w:r>
      <w:r w:rsidR="00774291" w:rsidRPr="009468A2">
        <w:t xml:space="preserve">oil retention capacity (ORC) and emulsifying activity and stability (EA and ES, respectively) for the samples </w:t>
      </w:r>
      <w:r w:rsidR="000B4F91" w:rsidRPr="009468A2">
        <w:t xml:space="preserve">obtained </w:t>
      </w:r>
      <w:r w:rsidR="00774291" w:rsidRPr="009468A2">
        <w:t>by freeze-drying (FD) and air drying (AD)</w:t>
      </w:r>
      <w:r w:rsidR="000B4F91" w:rsidRPr="009468A2">
        <w:t>, at 45, 50 and 55 ºC</w:t>
      </w:r>
      <w:r w:rsidRPr="009468A2">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1418"/>
        <w:gridCol w:w="1417"/>
        <w:gridCol w:w="1701"/>
        <w:gridCol w:w="1276"/>
      </w:tblGrid>
      <w:tr w:rsidR="00271997" w:rsidRPr="009468A2" w14:paraId="52B0FBBA" w14:textId="77777777" w:rsidTr="00C8513A">
        <w:tc>
          <w:tcPr>
            <w:tcW w:w="1276" w:type="dxa"/>
            <w:tcBorders>
              <w:top w:val="single" w:sz="12" w:space="0" w:color="008000"/>
              <w:bottom w:val="single" w:sz="6" w:space="0" w:color="008000"/>
            </w:tcBorders>
            <w:shd w:val="clear" w:color="auto" w:fill="FFFFFF"/>
          </w:tcPr>
          <w:p w14:paraId="51C7979F" w14:textId="77777777" w:rsidR="00271997" w:rsidRPr="009468A2" w:rsidRDefault="00271997" w:rsidP="00723E89">
            <w:pPr>
              <w:pStyle w:val="CETBodytext"/>
              <w:rPr>
                <w:lang w:val="en-GB"/>
              </w:rPr>
            </w:pPr>
          </w:p>
        </w:tc>
        <w:tc>
          <w:tcPr>
            <w:tcW w:w="1418" w:type="dxa"/>
            <w:tcBorders>
              <w:top w:val="single" w:sz="12" w:space="0" w:color="008000"/>
              <w:bottom w:val="single" w:sz="6" w:space="0" w:color="008000"/>
            </w:tcBorders>
            <w:shd w:val="clear" w:color="auto" w:fill="FFFFFF"/>
          </w:tcPr>
          <w:p w14:paraId="71108E5E" w14:textId="37A90578" w:rsidR="00271997" w:rsidRPr="009468A2" w:rsidRDefault="00271997" w:rsidP="005318A8">
            <w:pPr>
              <w:pStyle w:val="CETBodytext"/>
              <w:jc w:val="center"/>
              <w:rPr>
                <w:lang w:val="en-GB"/>
              </w:rPr>
            </w:pPr>
          </w:p>
        </w:tc>
        <w:tc>
          <w:tcPr>
            <w:tcW w:w="1417" w:type="dxa"/>
            <w:tcBorders>
              <w:top w:val="single" w:sz="12" w:space="0" w:color="008000"/>
              <w:bottom w:val="single" w:sz="6" w:space="0" w:color="008000"/>
            </w:tcBorders>
            <w:shd w:val="clear" w:color="auto" w:fill="FFFFFF"/>
          </w:tcPr>
          <w:p w14:paraId="2332A3A9" w14:textId="77777777" w:rsidR="00271997" w:rsidRPr="009468A2" w:rsidRDefault="00271997" w:rsidP="00723E89">
            <w:pPr>
              <w:pStyle w:val="CETBodytext"/>
              <w:rPr>
                <w:lang w:val="en-GB"/>
              </w:rPr>
            </w:pPr>
            <w:r w:rsidRPr="009468A2">
              <w:rPr>
                <w:lang w:val="en-GB"/>
              </w:rPr>
              <w:t>45 ºC</w:t>
            </w:r>
          </w:p>
        </w:tc>
        <w:tc>
          <w:tcPr>
            <w:tcW w:w="1701" w:type="dxa"/>
            <w:tcBorders>
              <w:top w:val="single" w:sz="12" w:space="0" w:color="008000"/>
              <w:bottom w:val="single" w:sz="6" w:space="0" w:color="008000"/>
            </w:tcBorders>
            <w:shd w:val="clear" w:color="auto" w:fill="FFFFFF"/>
          </w:tcPr>
          <w:p w14:paraId="68BD5971" w14:textId="77777777" w:rsidR="00271997" w:rsidRPr="009468A2" w:rsidRDefault="00271997" w:rsidP="00723E89">
            <w:pPr>
              <w:pStyle w:val="CETBodytext"/>
              <w:ind w:right="-1"/>
              <w:rPr>
                <w:rFonts w:cs="Arial"/>
                <w:szCs w:val="18"/>
                <w:lang w:val="en-GB"/>
              </w:rPr>
            </w:pPr>
            <w:r w:rsidRPr="009468A2">
              <w:rPr>
                <w:rFonts w:cs="Arial"/>
                <w:szCs w:val="18"/>
                <w:lang w:val="en-GB"/>
              </w:rPr>
              <w:t>50 ºC</w:t>
            </w:r>
          </w:p>
        </w:tc>
        <w:tc>
          <w:tcPr>
            <w:tcW w:w="1276" w:type="dxa"/>
            <w:tcBorders>
              <w:top w:val="single" w:sz="12" w:space="0" w:color="008000"/>
              <w:bottom w:val="single" w:sz="6" w:space="0" w:color="008000"/>
            </w:tcBorders>
            <w:shd w:val="clear" w:color="auto" w:fill="FFFFFF"/>
          </w:tcPr>
          <w:p w14:paraId="431D3617" w14:textId="77777777" w:rsidR="00271997" w:rsidRPr="009468A2" w:rsidRDefault="00271997" w:rsidP="00723E89">
            <w:pPr>
              <w:pStyle w:val="CETBodytext"/>
              <w:ind w:right="-1"/>
              <w:rPr>
                <w:rFonts w:cs="Arial"/>
                <w:szCs w:val="18"/>
                <w:lang w:val="en-GB"/>
              </w:rPr>
            </w:pPr>
            <w:r w:rsidRPr="009468A2">
              <w:rPr>
                <w:rFonts w:cs="Arial"/>
                <w:szCs w:val="18"/>
                <w:lang w:val="en-GB"/>
              </w:rPr>
              <w:t>55 ºC</w:t>
            </w:r>
          </w:p>
        </w:tc>
      </w:tr>
      <w:tr w:rsidR="00271997" w:rsidRPr="009468A2" w14:paraId="02542B47" w14:textId="77777777" w:rsidTr="00C8513A">
        <w:tc>
          <w:tcPr>
            <w:tcW w:w="1276" w:type="dxa"/>
            <w:vMerge w:val="restart"/>
            <w:shd w:val="clear" w:color="auto" w:fill="FFFFFF"/>
            <w:vAlign w:val="center"/>
          </w:tcPr>
          <w:p w14:paraId="6AB5F392" w14:textId="12D489E8" w:rsidR="00271997" w:rsidRPr="009468A2" w:rsidRDefault="00271997" w:rsidP="00271997">
            <w:pPr>
              <w:pStyle w:val="CETBodytext"/>
              <w:jc w:val="left"/>
              <w:rPr>
                <w:lang w:val="en-GB"/>
              </w:rPr>
            </w:pPr>
            <w:r w:rsidRPr="009468A2">
              <w:rPr>
                <w:lang w:val="en-GB"/>
              </w:rPr>
              <w:t>ORC</w:t>
            </w:r>
            <w:r w:rsidR="000410D9">
              <w:rPr>
                <w:lang w:val="en-GB"/>
              </w:rPr>
              <w:t xml:space="preserve"> (</w:t>
            </w:r>
            <w:r w:rsidR="00C8513A">
              <w:rPr>
                <w:lang w:val="en-GB"/>
              </w:rPr>
              <w:t>g/100 g</w:t>
            </w:r>
            <w:r w:rsidR="000410D9">
              <w:rPr>
                <w:lang w:val="en-GB"/>
              </w:rPr>
              <w:t>)</w:t>
            </w:r>
          </w:p>
        </w:tc>
        <w:tc>
          <w:tcPr>
            <w:tcW w:w="1418" w:type="dxa"/>
            <w:shd w:val="clear" w:color="auto" w:fill="FFFFFF"/>
          </w:tcPr>
          <w:p w14:paraId="614E228C" w14:textId="77777777" w:rsidR="00271997" w:rsidRPr="009468A2" w:rsidRDefault="00271997" w:rsidP="00271997">
            <w:pPr>
              <w:pStyle w:val="CETBodytext"/>
              <w:jc w:val="center"/>
              <w:rPr>
                <w:lang w:val="en-GB"/>
              </w:rPr>
            </w:pPr>
            <w:r w:rsidRPr="009468A2">
              <w:rPr>
                <w:lang w:val="en-GB"/>
              </w:rPr>
              <w:t>F</w:t>
            </w:r>
            <w:r w:rsidRPr="009468A2">
              <w:t>D</w:t>
            </w:r>
          </w:p>
        </w:tc>
        <w:tc>
          <w:tcPr>
            <w:tcW w:w="1417" w:type="dxa"/>
          </w:tcPr>
          <w:p w14:paraId="0D902E07" w14:textId="75B6E403" w:rsidR="00271997" w:rsidRPr="009468A2" w:rsidRDefault="00271997" w:rsidP="00271997">
            <w:pPr>
              <w:pStyle w:val="CETBodytext"/>
              <w:rPr>
                <w:szCs w:val="18"/>
                <w:lang w:val="en-GB"/>
              </w:rPr>
            </w:pPr>
            <w:r w:rsidRPr="009468A2">
              <w:rPr>
                <w:szCs w:val="18"/>
              </w:rPr>
              <w:t>1</w:t>
            </w:r>
            <w:r w:rsidR="00BD1922" w:rsidRPr="009468A2">
              <w:rPr>
                <w:szCs w:val="18"/>
              </w:rPr>
              <w:t>.</w:t>
            </w:r>
            <w:r w:rsidRPr="009468A2">
              <w:rPr>
                <w:szCs w:val="18"/>
              </w:rPr>
              <w:t>09±0</w:t>
            </w:r>
            <w:r w:rsidR="00BD1922" w:rsidRPr="009468A2">
              <w:rPr>
                <w:szCs w:val="18"/>
              </w:rPr>
              <w:t>.</w:t>
            </w:r>
            <w:r w:rsidRPr="009468A2">
              <w:rPr>
                <w:szCs w:val="18"/>
              </w:rPr>
              <w:t>07</w:t>
            </w:r>
            <w:r w:rsidRPr="009468A2">
              <w:rPr>
                <w:szCs w:val="18"/>
                <w:vertAlign w:val="superscript"/>
              </w:rPr>
              <w:t>(Aa)</w:t>
            </w:r>
          </w:p>
        </w:tc>
        <w:tc>
          <w:tcPr>
            <w:tcW w:w="1701" w:type="dxa"/>
          </w:tcPr>
          <w:p w14:paraId="6F427BDC" w14:textId="3E82B7B4" w:rsidR="00271997" w:rsidRPr="009468A2" w:rsidRDefault="00AC3D31" w:rsidP="00271997">
            <w:pPr>
              <w:pStyle w:val="CETBodytext"/>
              <w:ind w:right="-1"/>
              <w:rPr>
                <w:rFonts w:cs="Arial"/>
                <w:szCs w:val="18"/>
                <w:lang w:val="en-GB"/>
              </w:rPr>
            </w:pPr>
            <w:r w:rsidRPr="009468A2">
              <w:rPr>
                <w:szCs w:val="18"/>
              </w:rPr>
              <w:t>0</w:t>
            </w:r>
            <w:r w:rsidR="00BD1922" w:rsidRPr="009468A2">
              <w:rPr>
                <w:szCs w:val="18"/>
              </w:rPr>
              <w:t>.</w:t>
            </w:r>
            <w:r w:rsidRPr="009468A2">
              <w:rPr>
                <w:szCs w:val="18"/>
              </w:rPr>
              <w:t>98</w:t>
            </w:r>
            <w:r w:rsidR="00271997" w:rsidRPr="009468A2">
              <w:rPr>
                <w:szCs w:val="18"/>
              </w:rPr>
              <w:t>±</w:t>
            </w:r>
            <w:r w:rsidRPr="009468A2">
              <w:rPr>
                <w:szCs w:val="18"/>
              </w:rPr>
              <w:t>0</w:t>
            </w:r>
            <w:r w:rsidR="00BD1922" w:rsidRPr="009468A2">
              <w:rPr>
                <w:szCs w:val="18"/>
              </w:rPr>
              <w:t>.0</w:t>
            </w:r>
            <w:r w:rsidRPr="009468A2">
              <w:rPr>
                <w:szCs w:val="18"/>
              </w:rPr>
              <w:t>5</w:t>
            </w:r>
            <w:r w:rsidR="00271997" w:rsidRPr="009468A2">
              <w:rPr>
                <w:szCs w:val="18"/>
                <w:vertAlign w:val="superscript"/>
              </w:rPr>
              <w:t>(Aa)</w:t>
            </w:r>
          </w:p>
        </w:tc>
        <w:tc>
          <w:tcPr>
            <w:tcW w:w="1276" w:type="dxa"/>
          </w:tcPr>
          <w:p w14:paraId="6496A566" w14:textId="0290289B" w:rsidR="00271997" w:rsidRPr="009468A2" w:rsidRDefault="00271997" w:rsidP="00271997">
            <w:pPr>
              <w:pStyle w:val="CETBodytext"/>
              <w:ind w:right="-1"/>
              <w:rPr>
                <w:rFonts w:cs="Arial"/>
                <w:szCs w:val="18"/>
                <w:lang w:val="en-GB"/>
              </w:rPr>
            </w:pPr>
            <w:r w:rsidRPr="009468A2">
              <w:rPr>
                <w:szCs w:val="18"/>
              </w:rPr>
              <w:t>0</w:t>
            </w:r>
            <w:r w:rsidR="00BD1922" w:rsidRPr="009468A2">
              <w:rPr>
                <w:szCs w:val="18"/>
              </w:rPr>
              <w:t>.</w:t>
            </w:r>
            <w:r w:rsidRPr="009468A2">
              <w:rPr>
                <w:szCs w:val="18"/>
              </w:rPr>
              <w:t>99±0</w:t>
            </w:r>
            <w:r w:rsidR="00BD1922" w:rsidRPr="009468A2">
              <w:rPr>
                <w:szCs w:val="18"/>
              </w:rPr>
              <w:t>.</w:t>
            </w:r>
            <w:r w:rsidRPr="009468A2">
              <w:rPr>
                <w:szCs w:val="18"/>
              </w:rPr>
              <w:t>04</w:t>
            </w:r>
            <w:r w:rsidRPr="009468A2">
              <w:rPr>
                <w:szCs w:val="18"/>
                <w:vertAlign w:val="superscript"/>
              </w:rPr>
              <w:t>(</w:t>
            </w:r>
            <w:r w:rsidR="00CA7999" w:rsidRPr="009468A2">
              <w:rPr>
                <w:szCs w:val="18"/>
                <w:vertAlign w:val="superscript"/>
              </w:rPr>
              <w:t>A</w:t>
            </w:r>
            <w:r w:rsidRPr="009468A2">
              <w:rPr>
                <w:szCs w:val="18"/>
                <w:vertAlign w:val="superscript"/>
              </w:rPr>
              <w:t>a)</w:t>
            </w:r>
          </w:p>
        </w:tc>
      </w:tr>
      <w:tr w:rsidR="00271997" w:rsidRPr="00A153C9" w14:paraId="6C40D1F0" w14:textId="77777777" w:rsidTr="00C8513A">
        <w:tc>
          <w:tcPr>
            <w:tcW w:w="1276" w:type="dxa"/>
            <w:vMerge/>
            <w:shd w:val="clear" w:color="auto" w:fill="FFFFFF"/>
          </w:tcPr>
          <w:p w14:paraId="720CE183" w14:textId="77777777" w:rsidR="00271997" w:rsidRPr="009468A2" w:rsidRDefault="00271997" w:rsidP="00271997">
            <w:pPr>
              <w:pStyle w:val="CETBodytext"/>
              <w:rPr>
                <w:lang w:val="en-GB"/>
              </w:rPr>
            </w:pPr>
          </w:p>
        </w:tc>
        <w:tc>
          <w:tcPr>
            <w:tcW w:w="1418" w:type="dxa"/>
            <w:shd w:val="clear" w:color="auto" w:fill="FFFFFF"/>
          </w:tcPr>
          <w:p w14:paraId="73344A90" w14:textId="77777777" w:rsidR="00271997" w:rsidRPr="009468A2" w:rsidRDefault="00271997" w:rsidP="00271997">
            <w:pPr>
              <w:pStyle w:val="CETBodytext"/>
              <w:jc w:val="center"/>
              <w:rPr>
                <w:lang w:val="en-GB"/>
              </w:rPr>
            </w:pPr>
            <w:r w:rsidRPr="009468A2">
              <w:rPr>
                <w:lang w:val="en-GB"/>
              </w:rPr>
              <w:t>A</w:t>
            </w:r>
            <w:r w:rsidRPr="009468A2">
              <w:t>D</w:t>
            </w:r>
          </w:p>
        </w:tc>
        <w:tc>
          <w:tcPr>
            <w:tcW w:w="1417" w:type="dxa"/>
          </w:tcPr>
          <w:p w14:paraId="381D5D57" w14:textId="1F6E6327" w:rsidR="00271997" w:rsidRPr="009468A2" w:rsidRDefault="00271997" w:rsidP="00271997">
            <w:pPr>
              <w:pStyle w:val="CETBodytext"/>
              <w:rPr>
                <w:szCs w:val="18"/>
                <w:lang w:val="en-GB"/>
              </w:rPr>
            </w:pPr>
            <w:r w:rsidRPr="009468A2">
              <w:rPr>
                <w:szCs w:val="18"/>
              </w:rPr>
              <w:t>0</w:t>
            </w:r>
            <w:r w:rsidR="00BD1922" w:rsidRPr="009468A2">
              <w:rPr>
                <w:szCs w:val="18"/>
              </w:rPr>
              <w:t>.</w:t>
            </w:r>
            <w:r w:rsidRPr="009468A2">
              <w:rPr>
                <w:szCs w:val="18"/>
              </w:rPr>
              <w:t>85±0</w:t>
            </w:r>
            <w:r w:rsidR="00BD1922" w:rsidRPr="009468A2">
              <w:rPr>
                <w:szCs w:val="18"/>
              </w:rPr>
              <w:t>.</w:t>
            </w:r>
            <w:r w:rsidRPr="009468A2">
              <w:rPr>
                <w:szCs w:val="18"/>
              </w:rPr>
              <w:t>06</w:t>
            </w:r>
            <w:r w:rsidRPr="009468A2">
              <w:rPr>
                <w:szCs w:val="18"/>
                <w:vertAlign w:val="superscript"/>
              </w:rPr>
              <w:t>(A</w:t>
            </w:r>
            <w:r w:rsidR="00CA7999" w:rsidRPr="009468A2">
              <w:rPr>
                <w:szCs w:val="18"/>
                <w:vertAlign w:val="superscript"/>
              </w:rPr>
              <w:t>b</w:t>
            </w:r>
            <w:r w:rsidRPr="009468A2">
              <w:rPr>
                <w:szCs w:val="18"/>
                <w:vertAlign w:val="superscript"/>
              </w:rPr>
              <w:t>)</w:t>
            </w:r>
          </w:p>
        </w:tc>
        <w:tc>
          <w:tcPr>
            <w:tcW w:w="1701" w:type="dxa"/>
          </w:tcPr>
          <w:p w14:paraId="5992A327" w14:textId="3C019D35" w:rsidR="00271997" w:rsidRPr="009468A2" w:rsidRDefault="00271997" w:rsidP="00271997">
            <w:pPr>
              <w:pStyle w:val="CETBodytext"/>
              <w:ind w:right="-1"/>
              <w:rPr>
                <w:rFonts w:cs="Arial"/>
                <w:szCs w:val="18"/>
                <w:lang w:val="en-GB"/>
              </w:rPr>
            </w:pPr>
            <w:r w:rsidRPr="009468A2">
              <w:rPr>
                <w:szCs w:val="18"/>
              </w:rPr>
              <w:t>0</w:t>
            </w:r>
            <w:r w:rsidR="00BD1922" w:rsidRPr="009468A2">
              <w:rPr>
                <w:szCs w:val="18"/>
              </w:rPr>
              <w:t>.</w:t>
            </w:r>
            <w:r w:rsidRPr="009468A2">
              <w:rPr>
                <w:szCs w:val="18"/>
              </w:rPr>
              <w:t>84±0</w:t>
            </w:r>
            <w:r w:rsidR="00BD1922" w:rsidRPr="009468A2">
              <w:rPr>
                <w:szCs w:val="18"/>
              </w:rPr>
              <w:t>.</w:t>
            </w:r>
            <w:r w:rsidRPr="009468A2">
              <w:rPr>
                <w:szCs w:val="18"/>
              </w:rPr>
              <w:t>05</w:t>
            </w:r>
            <w:r w:rsidRPr="009468A2">
              <w:rPr>
                <w:szCs w:val="18"/>
                <w:vertAlign w:val="superscript"/>
              </w:rPr>
              <w:t>(A</w:t>
            </w:r>
            <w:r w:rsidR="00CA7999" w:rsidRPr="009468A2">
              <w:rPr>
                <w:szCs w:val="18"/>
                <w:vertAlign w:val="superscript"/>
              </w:rPr>
              <w:t>b</w:t>
            </w:r>
            <w:r w:rsidRPr="009468A2">
              <w:rPr>
                <w:szCs w:val="18"/>
                <w:vertAlign w:val="superscript"/>
              </w:rPr>
              <w:t>)</w:t>
            </w:r>
          </w:p>
        </w:tc>
        <w:tc>
          <w:tcPr>
            <w:tcW w:w="1276" w:type="dxa"/>
          </w:tcPr>
          <w:p w14:paraId="6989F31F" w14:textId="78F60E00" w:rsidR="00271997" w:rsidRPr="00A153C9" w:rsidRDefault="00271997" w:rsidP="00271997">
            <w:pPr>
              <w:pStyle w:val="CETBodytext"/>
              <w:ind w:right="-1"/>
              <w:rPr>
                <w:rFonts w:cs="Arial"/>
                <w:szCs w:val="18"/>
                <w:lang w:val="en-GB"/>
              </w:rPr>
            </w:pPr>
            <w:r w:rsidRPr="00A153C9">
              <w:rPr>
                <w:szCs w:val="18"/>
              </w:rPr>
              <w:t>0</w:t>
            </w:r>
            <w:r w:rsidR="00BD1922" w:rsidRPr="00A153C9">
              <w:rPr>
                <w:szCs w:val="18"/>
              </w:rPr>
              <w:t>.</w:t>
            </w:r>
            <w:r w:rsidRPr="00A153C9">
              <w:rPr>
                <w:szCs w:val="18"/>
              </w:rPr>
              <w:t>75±0</w:t>
            </w:r>
            <w:r w:rsidR="00BD1922" w:rsidRPr="00A153C9">
              <w:rPr>
                <w:szCs w:val="18"/>
              </w:rPr>
              <w:t>.</w:t>
            </w:r>
            <w:r w:rsidRPr="00A153C9">
              <w:rPr>
                <w:szCs w:val="18"/>
              </w:rPr>
              <w:t>03</w:t>
            </w:r>
            <w:r w:rsidRPr="00A153C9">
              <w:rPr>
                <w:szCs w:val="18"/>
                <w:vertAlign w:val="superscript"/>
              </w:rPr>
              <w:t>(</w:t>
            </w:r>
            <w:r w:rsidR="00AC3D31" w:rsidRPr="00A153C9">
              <w:rPr>
                <w:szCs w:val="18"/>
                <w:vertAlign w:val="superscript"/>
              </w:rPr>
              <w:t>B</w:t>
            </w:r>
            <w:r w:rsidR="00CA7999" w:rsidRPr="00A153C9">
              <w:rPr>
                <w:szCs w:val="18"/>
                <w:vertAlign w:val="superscript"/>
              </w:rPr>
              <w:t>b</w:t>
            </w:r>
            <w:r w:rsidRPr="00A153C9">
              <w:rPr>
                <w:szCs w:val="18"/>
                <w:vertAlign w:val="superscript"/>
              </w:rPr>
              <w:t>)</w:t>
            </w:r>
          </w:p>
        </w:tc>
      </w:tr>
      <w:tr w:rsidR="00271997" w:rsidRPr="009468A2" w14:paraId="796C1930" w14:textId="77777777" w:rsidTr="00C8513A">
        <w:tc>
          <w:tcPr>
            <w:tcW w:w="1276" w:type="dxa"/>
            <w:vMerge w:val="restart"/>
            <w:shd w:val="clear" w:color="auto" w:fill="FFFFFF"/>
            <w:vAlign w:val="center"/>
          </w:tcPr>
          <w:p w14:paraId="0DC2D0B0" w14:textId="418D401F" w:rsidR="00271997" w:rsidRPr="009468A2" w:rsidRDefault="00271997" w:rsidP="00271997">
            <w:pPr>
              <w:pStyle w:val="CETBodytext"/>
              <w:jc w:val="left"/>
              <w:rPr>
                <w:lang w:val="en-GB"/>
              </w:rPr>
            </w:pPr>
            <w:r w:rsidRPr="009468A2">
              <w:rPr>
                <w:lang w:val="en-GB"/>
              </w:rPr>
              <w:t>EA</w:t>
            </w:r>
            <w:r w:rsidR="000410D9">
              <w:rPr>
                <w:rFonts w:cs="Arial"/>
                <w:lang w:val="en-GB"/>
              </w:rPr>
              <w:t xml:space="preserve"> (%)</w:t>
            </w:r>
          </w:p>
        </w:tc>
        <w:tc>
          <w:tcPr>
            <w:tcW w:w="1418" w:type="dxa"/>
            <w:shd w:val="clear" w:color="auto" w:fill="FFFFFF"/>
          </w:tcPr>
          <w:p w14:paraId="05CCA404" w14:textId="77777777" w:rsidR="00271997" w:rsidRPr="009468A2" w:rsidRDefault="00271997" w:rsidP="00271997">
            <w:pPr>
              <w:pStyle w:val="CETBodytext"/>
              <w:jc w:val="center"/>
              <w:rPr>
                <w:lang w:val="en-GB"/>
              </w:rPr>
            </w:pPr>
            <w:r w:rsidRPr="009468A2">
              <w:rPr>
                <w:lang w:val="en-GB"/>
              </w:rPr>
              <w:t>FD</w:t>
            </w:r>
          </w:p>
        </w:tc>
        <w:tc>
          <w:tcPr>
            <w:tcW w:w="1417" w:type="dxa"/>
          </w:tcPr>
          <w:p w14:paraId="16BCEA26" w14:textId="0514F60C" w:rsidR="00271997" w:rsidRPr="009468A2" w:rsidRDefault="00271997" w:rsidP="00271997">
            <w:pPr>
              <w:pStyle w:val="CETBodytext"/>
              <w:rPr>
                <w:szCs w:val="18"/>
                <w:lang w:val="en-GB"/>
              </w:rPr>
            </w:pPr>
            <w:r w:rsidRPr="009468A2">
              <w:rPr>
                <w:szCs w:val="18"/>
              </w:rPr>
              <w:t>6</w:t>
            </w:r>
            <w:r w:rsidR="00BD1922" w:rsidRPr="009468A2">
              <w:rPr>
                <w:szCs w:val="18"/>
              </w:rPr>
              <w:t>.</w:t>
            </w:r>
            <w:r w:rsidRPr="009468A2">
              <w:rPr>
                <w:szCs w:val="18"/>
              </w:rPr>
              <w:t>0±0</w:t>
            </w:r>
            <w:r w:rsidR="00BD1922" w:rsidRPr="009468A2">
              <w:rPr>
                <w:szCs w:val="18"/>
              </w:rPr>
              <w:t>.</w:t>
            </w:r>
            <w:r w:rsidRPr="009468A2">
              <w:rPr>
                <w:szCs w:val="18"/>
              </w:rPr>
              <w:t>9</w:t>
            </w:r>
            <w:r w:rsidRPr="009468A2">
              <w:rPr>
                <w:szCs w:val="18"/>
                <w:vertAlign w:val="superscript"/>
              </w:rPr>
              <w:t>(Aa)</w:t>
            </w:r>
          </w:p>
        </w:tc>
        <w:tc>
          <w:tcPr>
            <w:tcW w:w="1701" w:type="dxa"/>
          </w:tcPr>
          <w:p w14:paraId="686F6C39" w14:textId="59A1A802" w:rsidR="00271997" w:rsidRPr="009468A2" w:rsidRDefault="00271997" w:rsidP="00271997">
            <w:pPr>
              <w:pStyle w:val="CETBodytext"/>
              <w:ind w:right="-1"/>
              <w:rPr>
                <w:rFonts w:cs="Arial"/>
                <w:szCs w:val="18"/>
                <w:lang w:val="en-GB"/>
              </w:rPr>
            </w:pPr>
            <w:r w:rsidRPr="009468A2">
              <w:rPr>
                <w:szCs w:val="18"/>
              </w:rPr>
              <w:t>6</w:t>
            </w:r>
            <w:r w:rsidR="00BD1922" w:rsidRPr="009468A2">
              <w:rPr>
                <w:szCs w:val="18"/>
              </w:rPr>
              <w:t>.</w:t>
            </w:r>
            <w:r w:rsidRPr="009468A2">
              <w:rPr>
                <w:szCs w:val="18"/>
              </w:rPr>
              <w:t>7±0</w:t>
            </w:r>
            <w:r w:rsidR="00BD1922" w:rsidRPr="009468A2">
              <w:rPr>
                <w:szCs w:val="18"/>
              </w:rPr>
              <w:t>.</w:t>
            </w:r>
            <w:r w:rsidRPr="009468A2">
              <w:rPr>
                <w:szCs w:val="18"/>
              </w:rPr>
              <w:t>3</w:t>
            </w:r>
            <w:r w:rsidRPr="009468A2">
              <w:rPr>
                <w:szCs w:val="18"/>
                <w:vertAlign w:val="superscript"/>
              </w:rPr>
              <w:t>(Aa)</w:t>
            </w:r>
          </w:p>
        </w:tc>
        <w:tc>
          <w:tcPr>
            <w:tcW w:w="1276" w:type="dxa"/>
          </w:tcPr>
          <w:p w14:paraId="1597BE4C" w14:textId="1AB55DD2" w:rsidR="00271997" w:rsidRPr="009468A2" w:rsidRDefault="00271997" w:rsidP="00271997">
            <w:pPr>
              <w:pStyle w:val="CETBodytext"/>
              <w:ind w:right="-1"/>
              <w:rPr>
                <w:rFonts w:cs="Arial"/>
                <w:szCs w:val="18"/>
                <w:lang w:val="en-GB"/>
              </w:rPr>
            </w:pPr>
            <w:r w:rsidRPr="009468A2">
              <w:rPr>
                <w:szCs w:val="18"/>
              </w:rPr>
              <w:t>6</w:t>
            </w:r>
            <w:r w:rsidR="00BD1922" w:rsidRPr="009468A2">
              <w:rPr>
                <w:szCs w:val="18"/>
              </w:rPr>
              <w:t>.</w:t>
            </w:r>
            <w:r w:rsidRPr="009468A2">
              <w:rPr>
                <w:szCs w:val="18"/>
              </w:rPr>
              <w:t>65±0</w:t>
            </w:r>
            <w:r w:rsidR="00BD1922" w:rsidRPr="009468A2">
              <w:rPr>
                <w:szCs w:val="18"/>
              </w:rPr>
              <w:t>.</w:t>
            </w:r>
            <w:r w:rsidRPr="009468A2">
              <w:rPr>
                <w:szCs w:val="18"/>
              </w:rPr>
              <w:t>13</w:t>
            </w:r>
            <w:r w:rsidRPr="009468A2">
              <w:rPr>
                <w:szCs w:val="18"/>
                <w:vertAlign w:val="superscript"/>
              </w:rPr>
              <w:t>(Aa)</w:t>
            </w:r>
          </w:p>
        </w:tc>
      </w:tr>
      <w:tr w:rsidR="00271997" w:rsidRPr="009468A2" w14:paraId="107C7D1A" w14:textId="77777777" w:rsidTr="00C8513A">
        <w:tc>
          <w:tcPr>
            <w:tcW w:w="1276" w:type="dxa"/>
            <w:vMerge/>
            <w:shd w:val="clear" w:color="auto" w:fill="FFFFFF"/>
          </w:tcPr>
          <w:p w14:paraId="430F2D64" w14:textId="77777777" w:rsidR="00271997" w:rsidRPr="009468A2" w:rsidRDefault="00271997" w:rsidP="00271997">
            <w:pPr>
              <w:pStyle w:val="CETBodytext"/>
              <w:rPr>
                <w:lang w:val="en-GB"/>
              </w:rPr>
            </w:pPr>
          </w:p>
        </w:tc>
        <w:tc>
          <w:tcPr>
            <w:tcW w:w="1418" w:type="dxa"/>
            <w:shd w:val="clear" w:color="auto" w:fill="FFFFFF"/>
          </w:tcPr>
          <w:p w14:paraId="384D1EFC" w14:textId="77777777" w:rsidR="00271997" w:rsidRPr="009468A2" w:rsidRDefault="00271997" w:rsidP="00271997">
            <w:pPr>
              <w:pStyle w:val="CETBodytext"/>
              <w:jc w:val="center"/>
              <w:rPr>
                <w:lang w:val="en-GB"/>
              </w:rPr>
            </w:pPr>
            <w:r w:rsidRPr="009468A2">
              <w:rPr>
                <w:lang w:val="en-GB"/>
              </w:rPr>
              <w:t>AD</w:t>
            </w:r>
          </w:p>
        </w:tc>
        <w:tc>
          <w:tcPr>
            <w:tcW w:w="1417" w:type="dxa"/>
          </w:tcPr>
          <w:p w14:paraId="01AA723B" w14:textId="1592411C" w:rsidR="00271997" w:rsidRPr="009468A2" w:rsidRDefault="00271997" w:rsidP="00271997">
            <w:pPr>
              <w:pStyle w:val="CETBodytext"/>
              <w:rPr>
                <w:szCs w:val="18"/>
                <w:lang w:val="en-GB"/>
              </w:rPr>
            </w:pPr>
            <w:r w:rsidRPr="009468A2">
              <w:rPr>
                <w:szCs w:val="18"/>
              </w:rPr>
              <w:t>6</w:t>
            </w:r>
            <w:r w:rsidR="00BD1922" w:rsidRPr="009468A2">
              <w:rPr>
                <w:szCs w:val="18"/>
              </w:rPr>
              <w:t>.</w:t>
            </w:r>
            <w:r w:rsidRPr="009468A2">
              <w:rPr>
                <w:szCs w:val="18"/>
              </w:rPr>
              <w:t>6±0</w:t>
            </w:r>
            <w:r w:rsidR="00BD1922" w:rsidRPr="009468A2">
              <w:rPr>
                <w:szCs w:val="18"/>
              </w:rPr>
              <w:t>.</w:t>
            </w:r>
            <w:r w:rsidRPr="009468A2">
              <w:rPr>
                <w:szCs w:val="18"/>
              </w:rPr>
              <w:t>2</w:t>
            </w:r>
            <w:r w:rsidRPr="009468A2">
              <w:rPr>
                <w:szCs w:val="18"/>
                <w:vertAlign w:val="superscript"/>
              </w:rPr>
              <w:t>(Aa)</w:t>
            </w:r>
          </w:p>
        </w:tc>
        <w:tc>
          <w:tcPr>
            <w:tcW w:w="1701" w:type="dxa"/>
          </w:tcPr>
          <w:p w14:paraId="02ECFC42" w14:textId="753FCE4D" w:rsidR="00271997" w:rsidRPr="009468A2" w:rsidRDefault="00271997" w:rsidP="00271997">
            <w:pPr>
              <w:pStyle w:val="CETBodytext"/>
              <w:ind w:right="-1"/>
              <w:rPr>
                <w:rFonts w:cs="Arial"/>
                <w:szCs w:val="18"/>
                <w:lang w:val="en-GB"/>
              </w:rPr>
            </w:pPr>
            <w:r w:rsidRPr="009468A2">
              <w:rPr>
                <w:szCs w:val="18"/>
              </w:rPr>
              <w:t>6</w:t>
            </w:r>
            <w:r w:rsidR="00BD1922" w:rsidRPr="009468A2">
              <w:rPr>
                <w:szCs w:val="18"/>
              </w:rPr>
              <w:t>.</w:t>
            </w:r>
            <w:r w:rsidRPr="009468A2">
              <w:rPr>
                <w:szCs w:val="18"/>
              </w:rPr>
              <w:t>90±0</w:t>
            </w:r>
            <w:r w:rsidR="00BD1922" w:rsidRPr="009468A2">
              <w:rPr>
                <w:szCs w:val="18"/>
              </w:rPr>
              <w:t>.</w:t>
            </w:r>
            <w:r w:rsidRPr="009468A2">
              <w:rPr>
                <w:szCs w:val="18"/>
              </w:rPr>
              <w:t>08</w:t>
            </w:r>
            <w:r w:rsidRPr="009468A2">
              <w:rPr>
                <w:szCs w:val="18"/>
                <w:vertAlign w:val="superscript"/>
              </w:rPr>
              <w:t>(Aa)</w:t>
            </w:r>
          </w:p>
        </w:tc>
        <w:tc>
          <w:tcPr>
            <w:tcW w:w="1276" w:type="dxa"/>
          </w:tcPr>
          <w:p w14:paraId="589613A5" w14:textId="4B3F0283" w:rsidR="00271997" w:rsidRPr="009468A2" w:rsidRDefault="00271997" w:rsidP="00271997">
            <w:pPr>
              <w:pStyle w:val="CETBodytext"/>
              <w:ind w:right="-1"/>
              <w:rPr>
                <w:rFonts w:cs="Arial"/>
                <w:szCs w:val="18"/>
                <w:lang w:val="en-GB"/>
              </w:rPr>
            </w:pPr>
            <w:r w:rsidRPr="009468A2">
              <w:rPr>
                <w:szCs w:val="18"/>
              </w:rPr>
              <w:t>6</w:t>
            </w:r>
            <w:r w:rsidR="00BD1922" w:rsidRPr="009468A2">
              <w:rPr>
                <w:szCs w:val="18"/>
              </w:rPr>
              <w:t>.</w:t>
            </w:r>
            <w:r w:rsidRPr="009468A2">
              <w:rPr>
                <w:szCs w:val="18"/>
              </w:rPr>
              <w:t>7±0</w:t>
            </w:r>
            <w:r w:rsidR="00BD1922" w:rsidRPr="009468A2">
              <w:rPr>
                <w:szCs w:val="18"/>
              </w:rPr>
              <w:t>.</w:t>
            </w:r>
            <w:r w:rsidRPr="009468A2">
              <w:rPr>
                <w:szCs w:val="18"/>
              </w:rPr>
              <w:t>2</w:t>
            </w:r>
            <w:r w:rsidRPr="009468A2">
              <w:rPr>
                <w:szCs w:val="18"/>
                <w:vertAlign w:val="superscript"/>
              </w:rPr>
              <w:t>(Aa)</w:t>
            </w:r>
          </w:p>
        </w:tc>
      </w:tr>
      <w:tr w:rsidR="00271997" w:rsidRPr="009468A2" w14:paraId="57E45202" w14:textId="77777777" w:rsidTr="00C8513A">
        <w:tc>
          <w:tcPr>
            <w:tcW w:w="1276" w:type="dxa"/>
            <w:vMerge w:val="restart"/>
            <w:shd w:val="clear" w:color="auto" w:fill="FFFFFF"/>
            <w:vAlign w:val="center"/>
          </w:tcPr>
          <w:p w14:paraId="12D80A51" w14:textId="62E1B0A3" w:rsidR="00271997" w:rsidRPr="009468A2" w:rsidRDefault="00271997" w:rsidP="00271997">
            <w:pPr>
              <w:pStyle w:val="CETBodytext"/>
              <w:jc w:val="left"/>
              <w:rPr>
                <w:lang w:val="en-GB"/>
              </w:rPr>
            </w:pPr>
            <w:r w:rsidRPr="009468A2">
              <w:rPr>
                <w:lang w:val="en-GB"/>
              </w:rPr>
              <w:t>ES</w:t>
            </w:r>
            <w:r w:rsidR="000410D9">
              <w:rPr>
                <w:rFonts w:cs="Arial"/>
                <w:lang w:val="en-GB"/>
              </w:rPr>
              <w:t xml:space="preserve"> (%)</w:t>
            </w:r>
          </w:p>
        </w:tc>
        <w:tc>
          <w:tcPr>
            <w:tcW w:w="1418" w:type="dxa"/>
            <w:shd w:val="clear" w:color="auto" w:fill="FFFFFF"/>
          </w:tcPr>
          <w:p w14:paraId="05107DED" w14:textId="77777777" w:rsidR="00271997" w:rsidRPr="009468A2" w:rsidRDefault="00271997" w:rsidP="00271997">
            <w:pPr>
              <w:pStyle w:val="CETBodytext"/>
              <w:jc w:val="center"/>
              <w:rPr>
                <w:lang w:val="en-GB"/>
              </w:rPr>
            </w:pPr>
            <w:r w:rsidRPr="009468A2">
              <w:rPr>
                <w:lang w:val="en-GB"/>
              </w:rPr>
              <w:t>FD</w:t>
            </w:r>
          </w:p>
        </w:tc>
        <w:tc>
          <w:tcPr>
            <w:tcW w:w="1417" w:type="dxa"/>
          </w:tcPr>
          <w:p w14:paraId="64BB9EEC" w14:textId="5C1BA056" w:rsidR="00271997" w:rsidRPr="009468A2" w:rsidRDefault="00271997" w:rsidP="00271997">
            <w:pPr>
              <w:pStyle w:val="CETBodytext"/>
              <w:rPr>
                <w:szCs w:val="18"/>
                <w:lang w:val="en-GB"/>
              </w:rPr>
            </w:pPr>
            <w:r w:rsidRPr="009468A2">
              <w:rPr>
                <w:szCs w:val="18"/>
              </w:rPr>
              <w:t>5</w:t>
            </w:r>
            <w:r w:rsidR="00BD1922" w:rsidRPr="009468A2">
              <w:rPr>
                <w:szCs w:val="18"/>
              </w:rPr>
              <w:t>.</w:t>
            </w:r>
            <w:r w:rsidRPr="009468A2">
              <w:rPr>
                <w:szCs w:val="18"/>
              </w:rPr>
              <w:t>8±1</w:t>
            </w:r>
            <w:r w:rsidR="00BD1922" w:rsidRPr="009468A2">
              <w:rPr>
                <w:szCs w:val="18"/>
              </w:rPr>
              <w:t>.</w:t>
            </w:r>
            <w:r w:rsidRPr="009468A2">
              <w:rPr>
                <w:szCs w:val="18"/>
              </w:rPr>
              <w:t>0</w:t>
            </w:r>
            <w:r w:rsidRPr="009468A2">
              <w:rPr>
                <w:szCs w:val="18"/>
                <w:vertAlign w:val="superscript"/>
              </w:rPr>
              <w:t>(Aa)</w:t>
            </w:r>
          </w:p>
        </w:tc>
        <w:tc>
          <w:tcPr>
            <w:tcW w:w="1701" w:type="dxa"/>
          </w:tcPr>
          <w:p w14:paraId="0CCCBBEC" w14:textId="6FD9FBDC" w:rsidR="00271997" w:rsidRPr="009468A2" w:rsidRDefault="00BD1922" w:rsidP="00271997">
            <w:pPr>
              <w:pStyle w:val="CETBodytext"/>
              <w:ind w:right="-1"/>
              <w:rPr>
                <w:rFonts w:cs="Arial"/>
                <w:szCs w:val="18"/>
                <w:lang w:val="en-GB"/>
              </w:rPr>
            </w:pPr>
            <w:r w:rsidRPr="009468A2">
              <w:rPr>
                <w:szCs w:val="18"/>
              </w:rPr>
              <w:t>5.6±0.2</w:t>
            </w:r>
            <w:r w:rsidR="00271997" w:rsidRPr="009468A2">
              <w:rPr>
                <w:szCs w:val="18"/>
                <w:vertAlign w:val="superscript"/>
              </w:rPr>
              <w:t>(A</w:t>
            </w:r>
            <w:r w:rsidRPr="009468A2">
              <w:rPr>
                <w:szCs w:val="18"/>
                <w:vertAlign w:val="superscript"/>
              </w:rPr>
              <w:t>a</w:t>
            </w:r>
            <w:r w:rsidR="00271997" w:rsidRPr="009468A2">
              <w:rPr>
                <w:szCs w:val="18"/>
                <w:vertAlign w:val="superscript"/>
              </w:rPr>
              <w:t>)</w:t>
            </w:r>
          </w:p>
        </w:tc>
        <w:tc>
          <w:tcPr>
            <w:tcW w:w="1276" w:type="dxa"/>
          </w:tcPr>
          <w:p w14:paraId="25520DB3" w14:textId="5D97A038" w:rsidR="00271997" w:rsidRPr="009468A2" w:rsidRDefault="00271997" w:rsidP="00271997">
            <w:pPr>
              <w:pStyle w:val="CETBodytext"/>
              <w:ind w:right="-1"/>
              <w:rPr>
                <w:rFonts w:cs="Arial"/>
                <w:szCs w:val="18"/>
                <w:lang w:val="en-GB"/>
              </w:rPr>
            </w:pPr>
            <w:r w:rsidRPr="009468A2">
              <w:rPr>
                <w:szCs w:val="18"/>
              </w:rPr>
              <w:t>6</w:t>
            </w:r>
            <w:r w:rsidR="00BD1922" w:rsidRPr="009468A2">
              <w:rPr>
                <w:szCs w:val="18"/>
              </w:rPr>
              <w:t>.</w:t>
            </w:r>
            <w:r w:rsidRPr="009468A2">
              <w:rPr>
                <w:szCs w:val="18"/>
              </w:rPr>
              <w:t>1±0</w:t>
            </w:r>
            <w:r w:rsidR="00BD1922" w:rsidRPr="009468A2">
              <w:rPr>
                <w:szCs w:val="18"/>
              </w:rPr>
              <w:t>.</w:t>
            </w:r>
            <w:r w:rsidRPr="009468A2">
              <w:rPr>
                <w:szCs w:val="18"/>
              </w:rPr>
              <w:t>7</w:t>
            </w:r>
            <w:r w:rsidRPr="009468A2">
              <w:rPr>
                <w:szCs w:val="18"/>
                <w:vertAlign w:val="superscript"/>
              </w:rPr>
              <w:t>(Aa)</w:t>
            </w:r>
          </w:p>
        </w:tc>
      </w:tr>
      <w:tr w:rsidR="00271997" w:rsidRPr="009468A2" w14:paraId="3FC631BC" w14:textId="77777777" w:rsidTr="00C8513A">
        <w:tc>
          <w:tcPr>
            <w:tcW w:w="1276" w:type="dxa"/>
            <w:vMerge/>
            <w:shd w:val="clear" w:color="auto" w:fill="FFFFFF"/>
          </w:tcPr>
          <w:p w14:paraId="6D2B0997" w14:textId="77777777" w:rsidR="00271997" w:rsidRPr="009468A2" w:rsidRDefault="00271997" w:rsidP="00271997">
            <w:pPr>
              <w:pStyle w:val="CETBodytext"/>
              <w:ind w:right="-1"/>
              <w:rPr>
                <w:rFonts w:cs="Arial"/>
                <w:szCs w:val="18"/>
                <w:lang w:val="en-GB"/>
              </w:rPr>
            </w:pPr>
          </w:p>
        </w:tc>
        <w:tc>
          <w:tcPr>
            <w:tcW w:w="1418" w:type="dxa"/>
            <w:shd w:val="clear" w:color="auto" w:fill="FFFFFF"/>
          </w:tcPr>
          <w:p w14:paraId="271BD128" w14:textId="77777777" w:rsidR="00271997" w:rsidRPr="009468A2" w:rsidRDefault="00271997" w:rsidP="00271997">
            <w:pPr>
              <w:pStyle w:val="CETBodytext"/>
              <w:ind w:right="-1"/>
              <w:jc w:val="center"/>
              <w:rPr>
                <w:rFonts w:cs="Arial"/>
                <w:szCs w:val="18"/>
                <w:lang w:val="en-GB"/>
              </w:rPr>
            </w:pPr>
            <w:r w:rsidRPr="009468A2">
              <w:rPr>
                <w:lang w:val="en-GB"/>
              </w:rPr>
              <w:t>AD</w:t>
            </w:r>
          </w:p>
        </w:tc>
        <w:tc>
          <w:tcPr>
            <w:tcW w:w="1417" w:type="dxa"/>
          </w:tcPr>
          <w:p w14:paraId="7133A333" w14:textId="5E1FAB17" w:rsidR="00271997" w:rsidRPr="009468A2" w:rsidRDefault="00271997" w:rsidP="00271997">
            <w:pPr>
              <w:pStyle w:val="CETBodytext"/>
              <w:ind w:right="-1"/>
              <w:rPr>
                <w:rFonts w:cs="Arial"/>
                <w:szCs w:val="18"/>
                <w:lang w:val="en-GB"/>
              </w:rPr>
            </w:pPr>
            <w:r w:rsidRPr="009468A2">
              <w:rPr>
                <w:szCs w:val="18"/>
              </w:rPr>
              <w:t>8</w:t>
            </w:r>
            <w:r w:rsidR="00BD1922" w:rsidRPr="009468A2">
              <w:rPr>
                <w:szCs w:val="18"/>
              </w:rPr>
              <w:t>.</w:t>
            </w:r>
            <w:r w:rsidRPr="009468A2">
              <w:rPr>
                <w:szCs w:val="18"/>
              </w:rPr>
              <w:t>8±0</w:t>
            </w:r>
            <w:r w:rsidR="00BD1922" w:rsidRPr="009468A2">
              <w:rPr>
                <w:szCs w:val="18"/>
              </w:rPr>
              <w:t>.</w:t>
            </w:r>
            <w:r w:rsidRPr="009468A2">
              <w:rPr>
                <w:szCs w:val="18"/>
              </w:rPr>
              <w:t>6</w:t>
            </w:r>
            <w:r w:rsidRPr="009468A2">
              <w:rPr>
                <w:szCs w:val="18"/>
                <w:vertAlign w:val="superscript"/>
              </w:rPr>
              <w:t>(Ab)</w:t>
            </w:r>
          </w:p>
        </w:tc>
        <w:tc>
          <w:tcPr>
            <w:tcW w:w="1701" w:type="dxa"/>
          </w:tcPr>
          <w:p w14:paraId="6508DA27" w14:textId="4F9D0FE4" w:rsidR="00271997" w:rsidRPr="009468A2" w:rsidRDefault="00BD1922" w:rsidP="00271997">
            <w:pPr>
              <w:pStyle w:val="CETBodytext"/>
              <w:ind w:right="-1"/>
              <w:rPr>
                <w:rFonts w:cs="Arial"/>
                <w:szCs w:val="18"/>
                <w:lang w:val="en-GB"/>
              </w:rPr>
            </w:pPr>
            <w:r w:rsidRPr="009468A2">
              <w:rPr>
                <w:szCs w:val="18"/>
              </w:rPr>
              <w:t>7.9±0.7</w:t>
            </w:r>
            <w:r w:rsidR="00271997" w:rsidRPr="009468A2">
              <w:rPr>
                <w:szCs w:val="18"/>
                <w:vertAlign w:val="superscript"/>
              </w:rPr>
              <w:t>(A</w:t>
            </w:r>
            <w:r w:rsidRPr="009468A2">
              <w:rPr>
                <w:szCs w:val="18"/>
                <w:vertAlign w:val="superscript"/>
              </w:rPr>
              <w:t>b</w:t>
            </w:r>
            <w:r w:rsidR="00271997" w:rsidRPr="009468A2">
              <w:rPr>
                <w:szCs w:val="18"/>
                <w:vertAlign w:val="superscript"/>
              </w:rPr>
              <w:t>)</w:t>
            </w:r>
          </w:p>
        </w:tc>
        <w:tc>
          <w:tcPr>
            <w:tcW w:w="1276" w:type="dxa"/>
          </w:tcPr>
          <w:p w14:paraId="1FA60979" w14:textId="699B9B2C" w:rsidR="00271997" w:rsidRPr="009468A2" w:rsidRDefault="00271997" w:rsidP="00271997">
            <w:pPr>
              <w:pStyle w:val="CETBodytext"/>
              <w:ind w:right="-1"/>
              <w:rPr>
                <w:rFonts w:cs="Arial"/>
                <w:szCs w:val="18"/>
                <w:lang w:val="en-GB"/>
              </w:rPr>
            </w:pPr>
            <w:r w:rsidRPr="009468A2">
              <w:rPr>
                <w:szCs w:val="18"/>
              </w:rPr>
              <w:t>7</w:t>
            </w:r>
            <w:r w:rsidR="00BD1922" w:rsidRPr="009468A2">
              <w:rPr>
                <w:szCs w:val="18"/>
              </w:rPr>
              <w:t>.</w:t>
            </w:r>
            <w:r w:rsidRPr="009468A2">
              <w:rPr>
                <w:szCs w:val="18"/>
              </w:rPr>
              <w:t>9±0</w:t>
            </w:r>
            <w:r w:rsidR="00BD1922" w:rsidRPr="009468A2">
              <w:rPr>
                <w:szCs w:val="18"/>
              </w:rPr>
              <w:t>.</w:t>
            </w:r>
            <w:r w:rsidRPr="009468A2">
              <w:rPr>
                <w:szCs w:val="18"/>
              </w:rPr>
              <w:t>3</w:t>
            </w:r>
            <w:r w:rsidRPr="009468A2">
              <w:rPr>
                <w:szCs w:val="18"/>
                <w:vertAlign w:val="superscript"/>
              </w:rPr>
              <w:t>(Ab)</w:t>
            </w:r>
          </w:p>
        </w:tc>
      </w:tr>
    </w:tbl>
    <w:p w14:paraId="316EDDC7" w14:textId="301044D4" w:rsidR="00271997" w:rsidRPr="009468A2" w:rsidRDefault="00271997" w:rsidP="00271997">
      <w:pPr>
        <w:pStyle w:val="CETHeading1"/>
        <w:numPr>
          <w:ilvl w:val="0"/>
          <w:numId w:val="0"/>
        </w:numPr>
        <w:spacing w:before="0"/>
        <w:rPr>
          <w:b w:val="0"/>
          <w:i/>
          <w:sz w:val="18"/>
          <w:szCs w:val="18"/>
          <w:lang w:val="en-GB"/>
        </w:rPr>
      </w:pPr>
      <w:r w:rsidRPr="009468A2">
        <w:rPr>
          <w:b w:val="0"/>
          <w:i/>
          <w:sz w:val="18"/>
          <w:szCs w:val="18"/>
          <w:lang w:val="en-GB"/>
        </w:rPr>
        <w:t>Different letters in upper case (</w:t>
      </w:r>
      <w:proofErr w:type="gramStart"/>
      <w:r w:rsidRPr="009468A2">
        <w:rPr>
          <w:b w:val="0"/>
          <w:i/>
          <w:sz w:val="18"/>
          <w:szCs w:val="18"/>
          <w:lang w:val="en-GB"/>
        </w:rPr>
        <w:t>A,B</w:t>
      </w:r>
      <w:proofErr w:type="gramEnd"/>
      <w:r w:rsidRPr="009468A2">
        <w:rPr>
          <w:b w:val="0"/>
          <w:i/>
          <w:sz w:val="18"/>
          <w:szCs w:val="18"/>
          <w:lang w:val="en-GB"/>
        </w:rPr>
        <w:t>) or lower case (</w:t>
      </w:r>
      <w:proofErr w:type="spellStart"/>
      <w:proofErr w:type="gramStart"/>
      <w:r w:rsidRPr="009468A2">
        <w:rPr>
          <w:b w:val="0"/>
          <w:i/>
          <w:sz w:val="18"/>
          <w:szCs w:val="18"/>
          <w:lang w:val="en-GB"/>
        </w:rPr>
        <w:t>a,b</w:t>
      </w:r>
      <w:proofErr w:type="spellEnd"/>
      <w:proofErr w:type="gramEnd"/>
      <w:r w:rsidRPr="009468A2">
        <w:rPr>
          <w:b w:val="0"/>
          <w:i/>
          <w:sz w:val="18"/>
          <w:szCs w:val="18"/>
          <w:lang w:val="en-GB"/>
        </w:rPr>
        <w:t>) indicate significant differences (p&lt;0.05) between the temperature (45, 50 or 55 ºC) or the drying process (FD or AD), respectively.</w:t>
      </w:r>
    </w:p>
    <w:p w14:paraId="06E3F49E" w14:textId="78B596DC" w:rsidR="0017068C" w:rsidRPr="009468A2" w:rsidRDefault="00600535" w:rsidP="0017068C">
      <w:pPr>
        <w:pStyle w:val="CETHeading1"/>
        <w:rPr>
          <w:lang w:val="en-GB"/>
        </w:rPr>
      </w:pPr>
      <w:r w:rsidRPr="009468A2">
        <w:rPr>
          <w:lang w:val="en-GB"/>
        </w:rPr>
        <w:t>Conclusions</w:t>
      </w:r>
    </w:p>
    <w:p w14:paraId="5D62C417" w14:textId="21952105" w:rsidR="00777164" w:rsidRPr="00B82678" w:rsidRDefault="00666A55" w:rsidP="00777164">
      <w:pPr>
        <w:pStyle w:val="CETBodytext"/>
      </w:pPr>
      <w:r w:rsidRPr="009468A2">
        <w:rPr>
          <w:lang w:val="en-GB"/>
        </w:rPr>
        <w:t xml:space="preserve">The results </w:t>
      </w:r>
      <w:r w:rsidR="0066417A" w:rsidRPr="009468A2">
        <w:rPr>
          <w:lang w:val="en-GB"/>
        </w:rPr>
        <w:t>of this study</w:t>
      </w:r>
      <w:r w:rsidRPr="009468A2">
        <w:rPr>
          <w:lang w:val="en-GB"/>
        </w:rPr>
        <w:t xml:space="preserve"> seem to show a significant influence of the drying method on the properties studied. Th</w:t>
      </w:r>
      <w:r w:rsidR="005820E4">
        <w:rPr>
          <w:lang w:val="en-GB"/>
        </w:rPr>
        <w:t>e</w:t>
      </w:r>
      <w:r w:rsidRPr="009468A2">
        <w:rPr>
          <w:lang w:val="en-GB"/>
        </w:rPr>
        <w:t xml:space="preserve"> effect </w:t>
      </w:r>
      <w:r w:rsidR="005820E4">
        <w:rPr>
          <w:lang w:val="en-GB"/>
        </w:rPr>
        <w:t xml:space="preserve">of the </w:t>
      </w:r>
      <w:r w:rsidR="005820E4" w:rsidRPr="009468A2">
        <w:rPr>
          <w:lang w:val="en-GB"/>
        </w:rPr>
        <w:t xml:space="preserve">process </w:t>
      </w:r>
      <w:r w:rsidRPr="009468A2">
        <w:rPr>
          <w:lang w:val="en-GB"/>
        </w:rPr>
        <w:t>seems to be a consequence of the different structure of the dr</w:t>
      </w:r>
      <w:r w:rsidR="0066417A" w:rsidRPr="009468A2">
        <w:rPr>
          <w:lang w:val="en-GB"/>
        </w:rPr>
        <w:t>ied</w:t>
      </w:r>
      <w:r w:rsidRPr="009468A2">
        <w:rPr>
          <w:lang w:val="en-GB"/>
        </w:rPr>
        <w:t xml:space="preserve"> matrix. FD resulted in more porous products, making them easier to grind. On the other hand, AD results in the formation of a surface crust</w:t>
      </w:r>
      <w:r w:rsidR="000B4E93">
        <w:rPr>
          <w:lang w:val="en-GB"/>
        </w:rPr>
        <w:t>,</w:t>
      </w:r>
      <w:r w:rsidRPr="009468A2">
        <w:rPr>
          <w:lang w:val="en-GB"/>
        </w:rPr>
        <w:t xml:space="preserve"> </w:t>
      </w:r>
      <w:r w:rsidR="00D37079" w:rsidRPr="00D37079">
        <w:rPr>
          <w:lang w:val="en-GB"/>
        </w:rPr>
        <w:t>more intense at higher temperatures</w:t>
      </w:r>
      <w:r w:rsidR="00D37079">
        <w:rPr>
          <w:lang w:val="en-GB"/>
        </w:rPr>
        <w:t xml:space="preserve">, </w:t>
      </w:r>
      <w:r w:rsidRPr="009468A2">
        <w:rPr>
          <w:lang w:val="en-GB"/>
        </w:rPr>
        <w:t xml:space="preserve">which makes the product more resistant to crushing. This results in </w:t>
      </w:r>
      <w:r w:rsidR="000B4E93">
        <w:rPr>
          <w:lang w:val="en-GB"/>
        </w:rPr>
        <w:t xml:space="preserve">flour particles of larger </w:t>
      </w:r>
      <w:r w:rsidRPr="009468A2">
        <w:rPr>
          <w:lang w:val="en-GB"/>
        </w:rPr>
        <w:t xml:space="preserve">size and lower interparticle porosity when obtained by AD. </w:t>
      </w:r>
      <w:r w:rsidR="0066417A" w:rsidRPr="009468A2">
        <w:t>Because of this, although all the flours showed acceptable flowability</w:t>
      </w:r>
      <w:r w:rsidR="00D37079">
        <w:t xml:space="preserve"> and</w:t>
      </w:r>
      <w:r w:rsidR="0066417A" w:rsidRPr="009468A2">
        <w:t xml:space="preserve"> low </w:t>
      </w:r>
      <w:r w:rsidR="0066417A" w:rsidRPr="001E1E13">
        <w:t>hygroscopicity</w:t>
      </w:r>
      <w:r w:rsidR="001E1E13" w:rsidRPr="001E1E13">
        <w:t>,</w:t>
      </w:r>
      <w:r w:rsidR="0066417A" w:rsidRPr="009468A2">
        <w:t xml:space="preserve"> which are desirable characteristics in this type of product, </w:t>
      </w:r>
      <w:r w:rsidR="0066417A" w:rsidRPr="001E1E13">
        <w:t>these properties were improved in the ADs</w:t>
      </w:r>
      <w:r w:rsidR="0066417A" w:rsidRPr="009468A2">
        <w:t xml:space="preserve">, which, in addition, </w:t>
      </w:r>
      <w:r w:rsidR="001E1E13" w:rsidRPr="009468A2">
        <w:t>exhibited</w:t>
      </w:r>
      <w:r w:rsidR="0066417A" w:rsidRPr="009468A2">
        <w:t xml:space="preserve"> much shorter wetting time, lower ORC</w:t>
      </w:r>
      <w:r w:rsidR="000B4E93">
        <w:t>,</w:t>
      </w:r>
      <w:r w:rsidR="0066417A" w:rsidRPr="009468A2">
        <w:t xml:space="preserve"> and higher emulsion stability. The flours obtained by FD showed higher </w:t>
      </w:r>
      <w:r w:rsidR="00D37079">
        <w:t xml:space="preserve">solubility, </w:t>
      </w:r>
      <w:r w:rsidR="00095DE9" w:rsidRPr="00E47E0F">
        <w:t xml:space="preserve">and at the highest temperatures, also higher </w:t>
      </w:r>
      <w:r w:rsidR="0066417A" w:rsidRPr="00E47E0F">
        <w:t>foaming capacity and foam stability than the ADs</w:t>
      </w:r>
      <w:r w:rsidR="0066417A" w:rsidRPr="009468A2">
        <w:t xml:space="preserve">. </w:t>
      </w:r>
      <w:r w:rsidR="00626791" w:rsidRPr="00626791">
        <w:t xml:space="preserve">On the other hand, although some significant differences in solubility, WRC, and ORC due to temperature are observed, the values </w:t>
      </w:r>
      <w:r w:rsidR="00626791">
        <w:t>were</w:t>
      </w:r>
      <w:r w:rsidR="00626791" w:rsidRPr="00626791">
        <w:t xml:space="preserve"> very similar due to the high reproducibility of the measurements. Temperature does not significantly affect the other measured properties</w:t>
      </w:r>
      <w:r w:rsidR="001E1E13" w:rsidRPr="001E1E13">
        <w:t xml:space="preserve">. </w:t>
      </w:r>
      <w:r w:rsidR="00256550" w:rsidRPr="009468A2">
        <w:t xml:space="preserve">With these results, thinking about the design of a versatile, high quality, easy to obtain and, possibly, lower cost ingredient, it seems more advisable to use hot air drying, </w:t>
      </w:r>
      <w:r w:rsidR="00626791" w:rsidRPr="00626791">
        <w:t>at 55 ºC</w:t>
      </w:r>
      <w:r w:rsidR="00E47E0F">
        <w:t>,</w:t>
      </w:r>
      <w:r w:rsidR="00626791" w:rsidRPr="00626791">
        <w:t xml:space="preserve"> to shorten the duration of the process</w:t>
      </w:r>
      <w:r w:rsidR="001E1E13" w:rsidRPr="001E1E13">
        <w:t>.</w:t>
      </w:r>
      <w:r w:rsidR="00B548FB">
        <w:t xml:space="preserve"> </w:t>
      </w:r>
      <w:r w:rsidR="00B548FB" w:rsidRPr="00B548FB">
        <w:t>This process would be especially recommended if the powdered ingredient is to be used for the formulation of emulsions. Only for the formulation of foams, it could be considered to obtain the flour by freeze-drying at 55 ºC.</w:t>
      </w:r>
    </w:p>
    <w:p w14:paraId="1BBCA9B7" w14:textId="31099B9F" w:rsidR="00A8419A" w:rsidRPr="001E1E13" w:rsidRDefault="00A8419A" w:rsidP="00600535">
      <w:pPr>
        <w:pStyle w:val="CETBodytext"/>
      </w:pPr>
    </w:p>
    <w:p w14:paraId="07A6D20F" w14:textId="0ECF229E" w:rsidR="00280FAF" w:rsidRPr="009468A2" w:rsidRDefault="00280FAF" w:rsidP="00280FAF">
      <w:pPr>
        <w:pStyle w:val="CETHeadingxx"/>
        <w:rPr>
          <w:lang w:val="en-GB"/>
        </w:rPr>
        <w:sectPr w:rsidR="00280FAF" w:rsidRPr="009468A2" w:rsidSect="00A714EF">
          <w:type w:val="continuous"/>
          <w:pgSz w:w="11906" w:h="16838" w:code="9"/>
          <w:pgMar w:top="1701" w:right="1418" w:bottom="1701" w:left="1701" w:header="1701" w:footer="0" w:gutter="0"/>
          <w:cols w:space="708"/>
          <w:formProt w:val="0"/>
          <w:titlePg/>
          <w:docGrid w:linePitch="360"/>
        </w:sectPr>
      </w:pPr>
      <w:r w:rsidRPr="009468A2">
        <w:rPr>
          <w:lang w:val="en-GB"/>
        </w:rPr>
        <w:t>Nomenclature</w:t>
      </w:r>
    </w:p>
    <w:p w14:paraId="072F0EE7" w14:textId="77777777" w:rsidR="00626EA4" w:rsidRPr="009468A2" w:rsidRDefault="00626EA4" w:rsidP="00626EA4">
      <w:pPr>
        <w:pStyle w:val="CETBodytext"/>
        <w:jc w:val="left"/>
        <w:rPr>
          <w:rFonts w:eastAsia="SimSun"/>
          <w:lang w:val="en-GB"/>
        </w:rPr>
      </w:pPr>
      <w:r w:rsidRPr="009468A2">
        <w:rPr>
          <w:rFonts w:eastAsia="SimSun"/>
          <w:lang w:val="en-GB"/>
        </w:rPr>
        <w:t>AD – Hot air drying</w:t>
      </w:r>
    </w:p>
    <w:p w14:paraId="2289351B" w14:textId="77777777" w:rsidR="00626EA4" w:rsidRPr="009468A2" w:rsidRDefault="00626EA4" w:rsidP="00626EA4">
      <w:pPr>
        <w:pStyle w:val="CETBodytext"/>
        <w:jc w:val="left"/>
        <w:rPr>
          <w:rFonts w:eastAsia="SimSun"/>
        </w:rPr>
      </w:pPr>
      <w:r w:rsidRPr="009468A2">
        <w:rPr>
          <w:rFonts w:eastAsia="SimSun"/>
        </w:rPr>
        <w:t>CI – Carr Index, %</w:t>
      </w:r>
    </w:p>
    <w:p w14:paraId="75694EDC" w14:textId="77777777" w:rsidR="00626EA4" w:rsidRPr="009468A2" w:rsidRDefault="00626EA4" w:rsidP="00626EA4">
      <w:pPr>
        <w:pStyle w:val="CETBodytext"/>
        <w:jc w:val="left"/>
        <w:rPr>
          <w:rFonts w:eastAsia="SimSun"/>
        </w:rPr>
      </w:pPr>
      <w:r w:rsidRPr="009468A2">
        <w:rPr>
          <w:rFonts w:eastAsia="SimSun"/>
        </w:rPr>
        <w:t>EA – Emulsifying activity, %</w:t>
      </w:r>
    </w:p>
    <w:p w14:paraId="13C59752" w14:textId="77777777" w:rsidR="00626EA4" w:rsidRPr="009468A2" w:rsidRDefault="00626EA4" w:rsidP="00626EA4">
      <w:pPr>
        <w:pStyle w:val="CETBodytext"/>
        <w:jc w:val="left"/>
        <w:rPr>
          <w:rFonts w:eastAsia="SimSun"/>
        </w:rPr>
      </w:pPr>
      <w:r w:rsidRPr="009468A2">
        <w:rPr>
          <w:rFonts w:eastAsia="SimSun"/>
        </w:rPr>
        <w:t>ES – Emulsifying stability, %</w:t>
      </w:r>
    </w:p>
    <w:p w14:paraId="32AFB883" w14:textId="77777777" w:rsidR="00626EA4" w:rsidRPr="009468A2" w:rsidRDefault="00626EA4" w:rsidP="00626EA4">
      <w:pPr>
        <w:pStyle w:val="CETBodytext"/>
        <w:jc w:val="left"/>
        <w:rPr>
          <w:rFonts w:eastAsia="SimSun"/>
        </w:rPr>
      </w:pPr>
      <w:r w:rsidRPr="009468A2">
        <w:rPr>
          <w:rFonts w:eastAsia="SimSun"/>
        </w:rPr>
        <w:t xml:space="preserve">FC– </w:t>
      </w:r>
      <w:r w:rsidRPr="009468A2">
        <w:t>foam capacity</w:t>
      </w:r>
      <w:r w:rsidRPr="009468A2">
        <w:rPr>
          <w:rFonts w:eastAsia="SimSun"/>
        </w:rPr>
        <w:t>, %</w:t>
      </w:r>
    </w:p>
    <w:p w14:paraId="25D52BD8" w14:textId="7702B1A5" w:rsidR="00280FAF" w:rsidRPr="009468A2" w:rsidRDefault="00D10B70" w:rsidP="00280FAF">
      <w:pPr>
        <w:pStyle w:val="CETBodytext"/>
        <w:jc w:val="left"/>
        <w:rPr>
          <w:rFonts w:eastAsia="SimSun"/>
          <w:lang w:val="en-GB"/>
        </w:rPr>
      </w:pPr>
      <w:r w:rsidRPr="009468A2">
        <w:rPr>
          <w:rFonts w:eastAsia="SimSun"/>
          <w:lang w:val="en-GB"/>
        </w:rPr>
        <w:t>FD</w:t>
      </w:r>
      <w:r w:rsidR="00280FAF" w:rsidRPr="009468A2">
        <w:rPr>
          <w:rFonts w:eastAsia="SimSun"/>
          <w:lang w:val="en-GB"/>
        </w:rPr>
        <w:t xml:space="preserve"> – </w:t>
      </w:r>
      <w:r w:rsidRPr="009468A2">
        <w:rPr>
          <w:rFonts w:eastAsia="SimSun"/>
          <w:lang w:val="en-GB"/>
        </w:rPr>
        <w:t>Freeze-drying</w:t>
      </w:r>
    </w:p>
    <w:p w14:paraId="24B135F0" w14:textId="77777777" w:rsidR="00626EA4" w:rsidRPr="009468A2" w:rsidRDefault="00626EA4" w:rsidP="00626EA4">
      <w:pPr>
        <w:pStyle w:val="CETBodytext"/>
        <w:jc w:val="left"/>
        <w:rPr>
          <w:rFonts w:eastAsia="SimSun"/>
        </w:rPr>
      </w:pPr>
      <w:r w:rsidRPr="009468A2">
        <w:rPr>
          <w:rFonts w:eastAsia="SimSun"/>
        </w:rPr>
        <w:t xml:space="preserve">FS – </w:t>
      </w:r>
      <w:r w:rsidRPr="009468A2">
        <w:t>foam stability</w:t>
      </w:r>
      <w:r w:rsidRPr="009468A2">
        <w:rPr>
          <w:rFonts w:eastAsia="SimSun"/>
        </w:rPr>
        <w:t>, %</w:t>
      </w:r>
    </w:p>
    <w:p w14:paraId="5A6624BF" w14:textId="053E741B" w:rsidR="00280FAF" w:rsidRPr="009468A2" w:rsidRDefault="00D10B70" w:rsidP="00280FAF">
      <w:pPr>
        <w:pStyle w:val="CETBodytext"/>
        <w:jc w:val="left"/>
        <w:rPr>
          <w:rFonts w:eastAsia="SimSun"/>
        </w:rPr>
      </w:pPr>
      <w:r w:rsidRPr="009468A2">
        <w:rPr>
          <w:rFonts w:eastAsia="SimSun"/>
        </w:rPr>
        <w:t>GA</w:t>
      </w:r>
      <w:r w:rsidR="00280FAF" w:rsidRPr="009468A2">
        <w:rPr>
          <w:rFonts w:eastAsia="SimSun"/>
        </w:rPr>
        <w:t xml:space="preserve"> – </w:t>
      </w:r>
      <w:r w:rsidRPr="009468A2">
        <w:rPr>
          <w:rFonts w:eastAsia="SimSun"/>
        </w:rPr>
        <w:t>Gum Arabic</w:t>
      </w:r>
      <w:r w:rsidR="00AB3376" w:rsidRPr="009468A2">
        <w:rPr>
          <w:rFonts w:eastAsia="SimSun"/>
        </w:rPr>
        <w:t xml:space="preserve">, </w:t>
      </w:r>
      <w:r w:rsidR="00626EA4" w:rsidRPr="009468A2">
        <w:rPr>
          <w:rFonts w:eastAsia="SimSun"/>
        </w:rPr>
        <w:t>%</w:t>
      </w:r>
    </w:p>
    <w:p w14:paraId="239D64E3" w14:textId="77777777" w:rsidR="00626EA4" w:rsidRPr="009468A2" w:rsidRDefault="00626EA4" w:rsidP="00626EA4">
      <w:pPr>
        <w:pStyle w:val="CETBodytext"/>
        <w:jc w:val="left"/>
        <w:rPr>
          <w:rFonts w:eastAsia="SimSun"/>
        </w:rPr>
      </w:pPr>
      <w:r w:rsidRPr="009468A2">
        <w:rPr>
          <w:rFonts w:eastAsia="SimSun"/>
        </w:rPr>
        <w:t>HI – Hausner Index, -</w:t>
      </w:r>
    </w:p>
    <w:p w14:paraId="68342DCE" w14:textId="77777777" w:rsidR="00626EA4" w:rsidRPr="009468A2" w:rsidRDefault="00626EA4" w:rsidP="00626EA4">
      <w:pPr>
        <w:pStyle w:val="CETBodytext"/>
        <w:jc w:val="left"/>
        <w:rPr>
          <w:rFonts w:eastAsia="SimSun"/>
        </w:rPr>
      </w:pPr>
      <w:r w:rsidRPr="009468A2">
        <w:rPr>
          <w:rFonts w:eastAsia="SimSun"/>
        </w:rPr>
        <w:t xml:space="preserve">MPS – Mean particle size, </w:t>
      </w:r>
      <w:r w:rsidRPr="009468A2">
        <w:rPr>
          <w:rFonts w:ascii="Symbol" w:eastAsia="SimSun" w:hAnsi="Symbol"/>
        </w:rPr>
        <w:t></w:t>
      </w:r>
      <w:r w:rsidRPr="009468A2">
        <w:rPr>
          <w:rFonts w:eastAsia="SimSun"/>
        </w:rPr>
        <w:t>m</w:t>
      </w:r>
    </w:p>
    <w:p w14:paraId="34CE33C5" w14:textId="77777777" w:rsidR="00626EA4" w:rsidRPr="009468A2" w:rsidRDefault="00626EA4" w:rsidP="00626EA4">
      <w:pPr>
        <w:pStyle w:val="CETBodytext"/>
        <w:jc w:val="left"/>
        <w:rPr>
          <w:rFonts w:eastAsia="SimSun"/>
        </w:rPr>
      </w:pPr>
      <w:r w:rsidRPr="009468A2">
        <w:rPr>
          <w:rFonts w:eastAsia="SimSun"/>
        </w:rPr>
        <w:lastRenderedPageBreak/>
        <w:t xml:space="preserve">ORC – </w:t>
      </w:r>
      <w:r w:rsidRPr="009468A2">
        <w:t>Oil retention capacity</w:t>
      </w:r>
      <w:r w:rsidRPr="009468A2">
        <w:rPr>
          <w:rFonts w:eastAsia="SimSun"/>
        </w:rPr>
        <w:t>, %</w:t>
      </w:r>
    </w:p>
    <w:p w14:paraId="3DF4ABD0" w14:textId="174FDDB9" w:rsidR="00AB3376" w:rsidRPr="009468A2" w:rsidRDefault="00626EA4" w:rsidP="00626EA4">
      <w:pPr>
        <w:pStyle w:val="CETBodytext"/>
        <w:jc w:val="left"/>
        <w:rPr>
          <w:rFonts w:eastAsia="SimSun"/>
        </w:rPr>
      </w:pPr>
      <w:r w:rsidRPr="009468A2">
        <w:rPr>
          <w:rFonts w:eastAsia="SimSun"/>
        </w:rPr>
        <w:t xml:space="preserve">WRC – </w:t>
      </w:r>
      <w:r w:rsidRPr="009468A2">
        <w:t>Water retention capacity</w:t>
      </w:r>
      <w:r w:rsidRPr="009468A2">
        <w:rPr>
          <w:rFonts w:eastAsia="SimSun"/>
        </w:rPr>
        <w:t xml:space="preserve">, </w:t>
      </w:r>
      <w:r w:rsidR="009B7D88" w:rsidRPr="00564742">
        <w:rPr>
          <w:rFonts w:eastAsia="SimSun"/>
        </w:rPr>
        <w:t>%</w:t>
      </w:r>
    </w:p>
    <w:p w14:paraId="2E4EE6F7" w14:textId="7D58424E" w:rsidR="00280FAF" w:rsidRPr="009468A2" w:rsidRDefault="00280FAF" w:rsidP="00626EA4">
      <w:pPr>
        <w:pStyle w:val="CETBodytext"/>
        <w:jc w:val="left"/>
        <w:rPr>
          <w:rFonts w:eastAsia="SimSun"/>
        </w:rPr>
      </w:pPr>
      <w:r w:rsidRPr="009468A2">
        <w:rPr>
          <w:rFonts w:eastAsia="SimSun"/>
          <w:lang w:val="el-GR"/>
        </w:rPr>
        <w:t xml:space="preserve">α </w:t>
      </w:r>
      <w:r w:rsidR="00D10B70" w:rsidRPr="009468A2">
        <w:rPr>
          <w:rFonts w:eastAsia="SimSun"/>
          <w:lang w:val="el-GR"/>
        </w:rPr>
        <w:t>–</w:t>
      </w:r>
      <w:r w:rsidRPr="009468A2">
        <w:rPr>
          <w:rFonts w:eastAsia="SimSun"/>
          <w:lang w:val="el-GR"/>
        </w:rPr>
        <w:t xml:space="preserve"> </w:t>
      </w:r>
      <w:r w:rsidR="00D10B70" w:rsidRPr="009468A2">
        <w:rPr>
          <w:rFonts w:eastAsia="SimSun"/>
        </w:rPr>
        <w:t>Angle of repose, º</w:t>
      </w:r>
    </w:p>
    <w:p w14:paraId="3E8CA367" w14:textId="36DB4CA8" w:rsidR="00D10B70" w:rsidRPr="009468A2" w:rsidRDefault="00D10B70" w:rsidP="00280FAF">
      <w:pPr>
        <w:pStyle w:val="CETBodytext"/>
        <w:jc w:val="left"/>
        <w:rPr>
          <w:rFonts w:eastAsia="SimSun" w:cs="Arial"/>
          <w:lang w:val="en-GB"/>
        </w:rPr>
      </w:pPr>
      <w:r w:rsidRPr="009468A2">
        <w:rPr>
          <w:rFonts w:ascii="Symbol" w:eastAsia="SimSun" w:hAnsi="Symbol" w:cs="Arial"/>
          <w:lang w:val="el-GR"/>
        </w:rPr>
        <w:t></w:t>
      </w:r>
      <w:r w:rsidRPr="009468A2">
        <w:rPr>
          <w:rFonts w:eastAsia="SimSun" w:cs="Arial"/>
          <w:vertAlign w:val="subscript"/>
          <w:lang w:val="el-GR"/>
        </w:rPr>
        <w:t>p</w:t>
      </w:r>
      <w:r w:rsidRPr="009468A2">
        <w:rPr>
          <w:rFonts w:eastAsia="SimSun" w:cs="Arial"/>
          <w:lang w:val="el-GR"/>
        </w:rPr>
        <w:t xml:space="preserve"> </w:t>
      </w:r>
      <w:r w:rsidRPr="009468A2">
        <w:rPr>
          <w:rFonts w:eastAsia="SimSun"/>
          <w:lang w:val="el-GR"/>
        </w:rPr>
        <w:t>–</w:t>
      </w:r>
      <w:r w:rsidRPr="009468A2">
        <w:rPr>
          <w:rFonts w:eastAsia="SimSun"/>
          <w:lang w:val="en-GB"/>
        </w:rPr>
        <w:t xml:space="preserve"> Apparent </w:t>
      </w:r>
      <w:r w:rsidRPr="009468A2">
        <w:rPr>
          <w:rFonts w:eastAsia="SimSun" w:cs="Arial"/>
          <w:lang w:val="el-GR"/>
        </w:rPr>
        <w:t>porosit</w:t>
      </w:r>
      <w:r w:rsidR="009B7D88" w:rsidRPr="009B7D88">
        <w:rPr>
          <w:rFonts w:eastAsia="SimSun" w:cs="Arial"/>
        </w:rPr>
        <w:t>y</w:t>
      </w:r>
      <w:r w:rsidRPr="009468A2">
        <w:rPr>
          <w:rFonts w:eastAsia="SimSun" w:cs="Arial"/>
          <w:lang w:val="el-GR"/>
        </w:rPr>
        <w:t xml:space="preserve"> of the poured </w:t>
      </w:r>
      <w:r w:rsidRPr="009468A2">
        <w:rPr>
          <w:rFonts w:eastAsia="SimSun" w:cs="Arial"/>
          <w:lang w:val="en-GB"/>
        </w:rPr>
        <w:t xml:space="preserve">powder, </w:t>
      </w:r>
      <w:r w:rsidR="00626EA4" w:rsidRPr="009468A2">
        <w:rPr>
          <w:rFonts w:eastAsia="SimSun" w:cs="Arial"/>
          <w:lang w:val="en-GB"/>
        </w:rPr>
        <w:t>%</w:t>
      </w:r>
    </w:p>
    <w:p w14:paraId="141D07C6" w14:textId="0E1DE63E" w:rsidR="00280FAF" w:rsidRPr="009468A2" w:rsidRDefault="00D10B70" w:rsidP="00280FAF">
      <w:pPr>
        <w:pStyle w:val="CETBodytext"/>
        <w:jc w:val="left"/>
        <w:rPr>
          <w:rFonts w:eastAsia="SimSun"/>
          <w:lang w:val="en-GB"/>
        </w:rPr>
      </w:pPr>
      <w:r w:rsidRPr="009468A2">
        <w:rPr>
          <w:rFonts w:ascii="Symbol" w:eastAsia="SimSun" w:hAnsi="Symbol" w:cs="Arial"/>
          <w:lang w:val="el-GR"/>
        </w:rPr>
        <w:t></w:t>
      </w:r>
      <w:r w:rsidRPr="009468A2">
        <w:rPr>
          <w:rFonts w:eastAsia="SimSun" w:cs="Arial"/>
          <w:vertAlign w:val="subscript"/>
          <w:lang w:val="el-GR"/>
        </w:rPr>
        <w:t>t</w:t>
      </w:r>
      <w:r w:rsidRPr="009468A2">
        <w:rPr>
          <w:rFonts w:eastAsia="SimSun" w:cs="Arial"/>
          <w:lang w:val="en-GB"/>
        </w:rPr>
        <w:t xml:space="preserve"> </w:t>
      </w:r>
      <w:r w:rsidR="00280FAF" w:rsidRPr="009468A2">
        <w:rPr>
          <w:rFonts w:eastAsia="SimSun"/>
        </w:rPr>
        <w:t xml:space="preserve">– </w:t>
      </w:r>
      <w:r w:rsidRPr="009468A2">
        <w:rPr>
          <w:rFonts w:eastAsia="SimSun"/>
          <w:lang w:val="en-GB"/>
        </w:rPr>
        <w:t xml:space="preserve">Apparent </w:t>
      </w:r>
      <w:r w:rsidRPr="009468A2">
        <w:rPr>
          <w:rFonts w:eastAsia="SimSun" w:cs="Arial"/>
          <w:lang w:val="el-GR"/>
        </w:rPr>
        <w:t>porosit</w:t>
      </w:r>
      <w:r w:rsidR="009B7D88" w:rsidRPr="009B7D88">
        <w:rPr>
          <w:rFonts w:eastAsia="SimSun" w:cs="Arial"/>
        </w:rPr>
        <w:t>y</w:t>
      </w:r>
      <w:r w:rsidRPr="009468A2">
        <w:rPr>
          <w:rFonts w:eastAsia="SimSun" w:cs="Arial"/>
          <w:lang w:val="el-GR"/>
        </w:rPr>
        <w:t xml:space="preserve"> of the </w:t>
      </w:r>
      <w:proofErr w:type="spellStart"/>
      <w:r w:rsidRPr="009468A2">
        <w:rPr>
          <w:rFonts w:eastAsia="SimSun" w:cs="Arial"/>
          <w:lang w:val="en-GB"/>
        </w:rPr>
        <w:t>tapp</w:t>
      </w:r>
      <w:proofErr w:type="spellEnd"/>
      <w:r w:rsidRPr="009468A2">
        <w:rPr>
          <w:rFonts w:eastAsia="SimSun" w:cs="Arial"/>
          <w:lang w:val="el-GR"/>
        </w:rPr>
        <w:t>ed</w:t>
      </w:r>
      <w:r w:rsidRPr="009468A2">
        <w:rPr>
          <w:rFonts w:eastAsia="SimSun" w:cs="Arial"/>
          <w:lang w:val="en-GB"/>
        </w:rPr>
        <w:t xml:space="preserve"> powder,</w:t>
      </w:r>
      <w:r w:rsidR="00626EA4" w:rsidRPr="009468A2">
        <w:rPr>
          <w:rFonts w:eastAsia="SimSun" w:cs="Arial"/>
          <w:lang w:val="en-GB"/>
        </w:rPr>
        <w:t xml:space="preserve"> %</w:t>
      </w:r>
    </w:p>
    <w:p w14:paraId="38BFE636" w14:textId="47F8F27F" w:rsidR="00280FAF" w:rsidRPr="009468A2" w:rsidRDefault="00280FAF" w:rsidP="00280FAF">
      <w:pPr>
        <w:pStyle w:val="CETBodytext"/>
        <w:jc w:val="left"/>
        <w:rPr>
          <w:rFonts w:eastAsia="SimSun"/>
        </w:rPr>
        <w:sectPr w:rsidR="00280FAF" w:rsidRPr="009468A2" w:rsidSect="00A714EF">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9468A2" w:rsidRDefault="00600535" w:rsidP="00600535">
      <w:pPr>
        <w:pStyle w:val="CETAcknowledgementstitle"/>
      </w:pPr>
      <w:r w:rsidRPr="009468A2">
        <w:t>Acknowledgments</w:t>
      </w:r>
    </w:p>
    <w:p w14:paraId="24876D8A" w14:textId="785F404A" w:rsidR="00C24AF1" w:rsidRPr="009468A2" w:rsidRDefault="001E710B" w:rsidP="00600535">
      <w:pPr>
        <w:pStyle w:val="CETBodytext"/>
        <w:rPr>
          <w:lang w:val="es-ES"/>
        </w:rPr>
      </w:pPr>
      <w:r w:rsidRPr="009468A2">
        <w:rPr>
          <w:lang w:val="en-GB"/>
        </w:rPr>
        <w:t xml:space="preserve">This work is part of [PID2022-139711OB-C21] </w:t>
      </w:r>
      <w:proofErr w:type="spellStart"/>
      <w:r w:rsidRPr="009468A2">
        <w:rPr>
          <w:lang w:val="en-GB"/>
        </w:rPr>
        <w:t>R&amp;D&amp;i</w:t>
      </w:r>
      <w:proofErr w:type="spellEnd"/>
      <w:r w:rsidRPr="009468A2">
        <w:rPr>
          <w:lang w:val="en-GB"/>
        </w:rPr>
        <w:t xml:space="preserve"> Project. </w:t>
      </w:r>
      <w:proofErr w:type="spellStart"/>
      <w:r w:rsidRPr="009468A2">
        <w:rPr>
          <w:lang w:val="es-ES"/>
        </w:rPr>
        <w:t>The</w:t>
      </w:r>
      <w:proofErr w:type="spellEnd"/>
      <w:r w:rsidRPr="009468A2">
        <w:rPr>
          <w:lang w:val="es-ES"/>
        </w:rPr>
        <w:t xml:space="preserve"> </w:t>
      </w:r>
      <w:proofErr w:type="spellStart"/>
      <w:r w:rsidRPr="009468A2">
        <w:rPr>
          <w:lang w:val="es-ES"/>
        </w:rPr>
        <w:t>authors</w:t>
      </w:r>
      <w:proofErr w:type="spellEnd"/>
      <w:r w:rsidRPr="009468A2">
        <w:rPr>
          <w:lang w:val="es-ES"/>
        </w:rPr>
        <w:t xml:space="preserve"> </w:t>
      </w:r>
      <w:proofErr w:type="spellStart"/>
      <w:r w:rsidRPr="009468A2">
        <w:rPr>
          <w:lang w:val="es-ES"/>
        </w:rPr>
        <w:t>appreciate</w:t>
      </w:r>
      <w:proofErr w:type="spellEnd"/>
      <w:r w:rsidRPr="009468A2">
        <w:rPr>
          <w:lang w:val="es-ES"/>
        </w:rPr>
        <w:t xml:space="preserve"> </w:t>
      </w:r>
      <w:proofErr w:type="spellStart"/>
      <w:r w:rsidRPr="009468A2">
        <w:rPr>
          <w:lang w:val="es-ES"/>
        </w:rPr>
        <w:t>the</w:t>
      </w:r>
      <w:proofErr w:type="spellEnd"/>
      <w:r w:rsidRPr="009468A2">
        <w:rPr>
          <w:lang w:val="es-ES"/>
        </w:rPr>
        <w:t xml:space="preserve"> </w:t>
      </w:r>
      <w:proofErr w:type="spellStart"/>
      <w:r w:rsidRPr="009468A2">
        <w:rPr>
          <w:lang w:val="es-ES"/>
        </w:rPr>
        <w:t>financial</w:t>
      </w:r>
      <w:proofErr w:type="spellEnd"/>
      <w:r w:rsidRPr="009468A2">
        <w:rPr>
          <w:lang w:val="es-ES"/>
        </w:rPr>
        <w:t xml:space="preserve"> </w:t>
      </w:r>
      <w:proofErr w:type="spellStart"/>
      <w:r w:rsidRPr="009468A2">
        <w:rPr>
          <w:lang w:val="es-ES"/>
        </w:rPr>
        <w:t>support</w:t>
      </w:r>
      <w:proofErr w:type="spellEnd"/>
      <w:r w:rsidRPr="009468A2">
        <w:rPr>
          <w:lang w:val="es-ES"/>
        </w:rPr>
        <w:t xml:space="preserve"> </w:t>
      </w:r>
      <w:proofErr w:type="spellStart"/>
      <w:r w:rsidRPr="009468A2">
        <w:rPr>
          <w:lang w:val="es-ES"/>
        </w:rPr>
        <w:t>offered</w:t>
      </w:r>
      <w:proofErr w:type="spellEnd"/>
      <w:r w:rsidRPr="009468A2">
        <w:rPr>
          <w:lang w:val="es-ES"/>
        </w:rPr>
        <w:t xml:space="preserve"> </w:t>
      </w:r>
      <w:proofErr w:type="spellStart"/>
      <w:r w:rsidRPr="009468A2">
        <w:rPr>
          <w:lang w:val="es-ES"/>
        </w:rPr>
        <w:t>by</w:t>
      </w:r>
      <w:proofErr w:type="spellEnd"/>
      <w:r w:rsidRPr="009468A2">
        <w:rPr>
          <w:lang w:val="es-ES"/>
        </w:rPr>
        <w:t xml:space="preserve"> Ministerio de Ciencia e Innovación/Agencia Estatal de Investigación/10.13039/501100011033/; and “Fondo Europeo de Desarrollo Regional Una manera de hacer Europa”</w:t>
      </w:r>
      <w:r w:rsidR="00C24AF1" w:rsidRPr="009468A2">
        <w:rPr>
          <w:lang w:val="es-ES"/>
        </w:rPr>
        <w:t>.</w:t>
      </w:r>
    </w:p>
    <w:p w14:paraId="4F1327F8" w14:textId="77777777" w:rsidR="00600535" w:rsidRPr="009468A2" w:rsidRDefault="00600535" w:rsidP="00600535">
      <w:pPr>
        <w:pStyle w:val="CETReference"/>
      </w:pPr>
      <w:r w:rsidRPr="009468A2">
        <w:t>References</w:t>
      </w:r>
    </w:p>
    <w:p w14:paraId="7945686C" w14:textId="33474E57" w:rsidR="00280978" w:rsidRPr="009468A2" w:rsidRDefault="00280978" w:rsidP="00280978">
      <w:pPr>
        <w:pStyle w:val="CETReferencetext"/>
        <w:rPr>
          <w:lang w:val="es-ES"/>
        </w:rPr>
      </w:pPr>
      <w:r w:rsidRPr="009468A2">
        <w:t xml:space="preserve">Alavi, S., </w:t>
      </w:r>
      <w:proofErr w:type="spellStart"/>
      <w:r w:rsidRPr="009468A2">
        <w:t>Caussat</w:t>
      </w:r>
      <w:proofErr w:type="spellEnd"/>
      <w:r w:rsidRPr="009468A2">
        <w:t xml:space="preserve">, B., 2005. Experimental study on fluidization of </w:t>
      </w:r>
      <w:proofErr w:type="spellStart"/>
      <w:r w:rsidRPr="009468A2">
        <w:t>micronic</w:t>
      </w:r>
      <w:proofErr w:type="spellEnd"/>
      <w:r w:rsidRPr="009468A2">
        <w:t xml:space="preserve"> powders. </w:t>
      </w:r>
      <w:proofErr w:type="spellStart"/>
      <w:r w:rsidRPr="009468A2">
        <w:rPr>
          <w:lang w:val="es-ES"/>
        </w:rPr>
        <w:t>Powder</w:t>
      </w:r>
      <w:proofErr w:type="spellEnd"/>
      <w:r w:rsidRPr="009468A2">
        <w:rPr>
          <w:lang w:val="es-ES"/>
        </w:rPr>
        <w:t xml:space="preserve"> </w:t>
      </w:r>
      <w:proofErr w:type="spellStart"/>
      <w:r w:rsidRPr="009468A2">
        <w:rPr>
          <w:lang w:val="es-ES"/>
        </w:rPr>
        <w:t>Technology</w:t>
      </w:r>
      <w:proofErr w:type="spellEnd"/>
      <w:r w:rsidRPr="009468A2">
        <w:rPr>
          <w:lang w:val="es-ES"/>
        </w:rPr>
        <w:t>, 157, 114–120.</w:t>
      </w:r>
    </w:p>
    <w:p w14:paraId="5195249D" w14:textId="2753E1BF" w:rsidR="00280978" w:rsidRPr="009468A2" w:rsidRDefault="00280978" w:rsidP="00280978">
      <w:pPr>
        <w:pStyle w:val="CETReferencetext"/>
      </w:pPr>
      <w:r w:rsidRPr="009468A2">
        <w:rPr>
          <w:lang w:val="es-ES"/>
        </w:rPr>
        <w:t xml:space="preserve">Barbosa-Cánovas, G., Ortega-Rivas, E., Juliano, P., Yan, H., (Ed.), 2005. </w:t>
      </w:r>
      <w:r w:rsidRPr="009468A2">
        <w:t>Food powders Physical Properties, processing and functionality. Kluwer Academic/Plenum Publishers, New York.</w:t>
      </w:r>
    </w:p>
    <w:p w14:paraId="7381A90A" w14:textId="589ABD96" w:rsidR="00CB6302" w:rsidRPr="009468A2" w:rsidRDefault="00CB6302" w:rsidP="00C24AF1">
      <w:pPr>
        <w:pStyle w:val="CETReferencetext"/>
      </w:pPr>
      <w:r w:rsidRPr="004411BC">
        <w:rPr>
          <w:lang w:val="es-ES"/>
        </w:rPr>
        <w:t>Camacho</w:t>
      </w:r>
      <w:r w:rsidR="004411BC">
        <w:rPr>
          <w:lang w:val="es-ES"/>
        </w:rPr>
        <w:t>,</w:t>
      </w:r>
      <w:r w:rsidRPr="009468A2">
        <w:rPr>
          <w:lang w:val="es-ES"/>
        </w:rPr>
        <w:t xml:space="preserve"> M. M., Silva-Espinoza</w:t>
      </w:r>
      <w:r w:rsidR="004411BC">
        <w:rPr>
          <w:lang w:val="es-ES"/>
        </w:rPr>
        <w:t>,</w:t>
      </w:r>
      <w:r w:rsidRPr="009468A2">
        <w:rPr>
          <w:lang w:val="es-ES"/>
        </w:rPr>
        <w:t xml:space="preserve"> M. A., Martínez-Navarrete</w:t>
      </w:r>
      <w:r w:rsidR="004411BC">
        <w:rPr>
          <w:lang w:val="es-ES"/>
        </w:rPr>
        <w:t>,</w:t>
      </w:r>
      <w:r w:rsidRPr="009468A2">
        <w:rPr>
          <w:lang w:val="es-ES"/>
        </w:rPr>
        <w:t xml:space="preserve"> N., 2021. </w:t>
      </w:r>
      <w:r w:rsidRPr="009468A2">
        <w:t xml:space="preserve">Sorption </w:t>
      </w:r>
      <w:proofErr w:type="spellStart"/>
      <w:r w:rsidRPr="009468A2">
        <w:t>Behavior</w:t>
      </w:r>
      <w:proofErr w:type="spellEnd"/>
      <w:r w:rsidRPr="009468A2">
        <w:t>, Glass Transition and Flowability of Powdered Orange Co-product, Materials Circular Economy, 3, 17.</w:t>
      </w:r>
    </w:p>
    <w:p w14:paraId="4DF5822A" w14:textId="7F47D359" w:rsidR="00280978" w:rsidRPr="009468A2" w:rsidRDefault="00280978" w:rsidP="00280978">
      <w:pPr>
        <w:pStyle w:val="CETReferencetext"/>
      </w:pPr>
      <w:r w:rsidRPr="009468A2">
        <w:t>Fitzpatrick, J. J., 2013, Powder properties in food production systems. In B. Bhandari, N. Bansal, M. Zhang, &amp; P. Schuck (Eds.), Woodhead Publishing Series in Food Science, Technology and Nutrition, Handbook of Food Powders (pp. 285–308). Woodhead Publishing Food Powders.</w:t>
      </w:r>
    </w:p>
    <w:p w14:paraId="755CC7AF" w14:textId="42E5C74C" w:rsidR="00512FE1" w:rsidRPr="009468A2" w:rsidRDefault="00512FE1" w:rsidP="00512FE1">
      <w:pPr>
        <w:pStyle w:val="CETReferencetext"/>
      </w:pPr>
      <w:r w:rsidRPr="009468A2">
        <w:t xml:space="preserve">Gao, W., Chen, F., Zhang, </w:t>
      </w:r>
      <w:r w:rsidR="00CD5361" w:rsidRPr="009468A2">
        <w:t>I.,</w:t>
      </w:r>
      <w:r w:rsidRPr="009468A2">
        <w:t xml:space="preserve"> Meng, Q., 2020, Effects of superfine grinding on asparagus pomace. Part I: changes on physicochemical and functional properties, Journal of Food Science, 85, 1827-1833,</w:t>
      </w:r>
    </w:p>
    <w:p w14:paraId="40F2BA55" w14:textId="66D3DDF2" w:rsidR="00CB6302" w:rsidRPr="009468A2" w:rsidRDefault="00CB6302" w:rsidP="00C24AF1">
      <w:pPr>
        <w:pStyle w:val="CETReferencetext"/>
      </w:pPr>
      <w:proofErr w:type="spellStart"/>
      <w:r w:rsidRPr="009468A2">
        <w:rPr>
          <w:lang w:val="es-ES"/>
        </w:rPr>
        <w:t>Garau</w:t>
      </w:r>
      <w:proofErr w:type="spellEnd"/>
      <w:r w:rsidR="004411BC">
        <w:rPr>
          <w:lang w:val="es-ES"/>
        </w:rPr>
        <w:t>,</w:t>
      </w:r>
      <w:r w:rsidRPr="009468A2">
        <w:rPr>
          <w:lang w:val="es-ES"/>
        </w:rPr>
        <w:t xml:space="preserve"> M. C., </w:t>
      </w:r>
      <w:proofErr w:type="spellStart"/>
      <w:r w:rsidRPr="009468A2">
        <w:rPr>
          <w:lang w:val="es-ES"/>
        </w:rPr>
        <w:t>Simal</w:t>
      </w:r>
      <w:proofErr w:type="spellEnd"/>
      <w:r w:rsidRPr="009468A2">
        <w:rPr>
          <w:lang w:val="es-ES"/>
        </w:rPr>
        <w:t xml:space="preserve"> S., Rosello C., </w:t>
      </w:r>
      <w:proofErr w:type="spellStart"/>
      <w:r w:rsidRPr="009468A2">
        <w:rPr>
          <w:lang w:val="es-ES"/>
        </w:rPr>
        <w:t>Femenia</w:t>
      </w:r>
      <w:proofErr w:type="spellEnd"/>
      <w:r w:rsidRPr="009468A2">
        <w:rPr>
          <w:lang w:val="es-ES"/>
        </w:rPr>
        <w:t xml:space="preserve">, A., 2007. </w:t>
      </w:r>
      <w:r w:rsidRPr="009468A2">
        <w:t xml:space="preserve">Effect of air-drying temperature on physical-chemical properties of dietary fibre and antioxidant capacity of orange (Citrus aurantium v. </w:t>
      </w:r>
      <w:proofErr w:type="spellStart"/>
      <w:r w:rsidRPr="009468A2">
        <w:t>Canoneta</w:t>
      </w:r>
      <w:proofErr w:type="spellEnd"/>
      <w:r w:rsidRPr="009468A2">
        <w:t>) by products, Food Chemistry, 104 (3), 1014-1024</w:t>
      </w:r>
    </w:p>
    <w:p w14:paraId="3155976D" w14:textId="415C8F2B" w:rsidR="00597DA4" w:rsidRPr="009468A2" w:rsidRDefault="00597DA4" w:rsidP="00C24AF1">
      <w:pPr>
        <w:pStyle w:val="CETReferencetext"/>
      </w:pPr>
      <w:proofErr w:type="spellStart"/>
      <w:proofErr w:type="gramStart"/>
      <w:r w:rsidRPr="009468A2">
        <w:t>Helka</w:t>
      </w:r>
      <w:r w:rsidR="004411BC">
        <w:t>,</w:t>
      </w:r>
      <w:r w:rsidRPr="009468A2">
        <w:t>r</w:t>
      </w:r>
      <w:proofErr w:type="spellEnd"/>
      <w:proofErr w:type="gramEnd"/>
      <w:r w:rsidRPr="009468A2">
        <w:t xml:space="preserve"> P.B., Sahoo</w:t>
      </w:r>
      <w:r w:rsidR="004411BC">
        <w:t>,</w:t>
      </w:r>
      <w:r w:rsidRPr="009468A2">
        <w:t xml:space="preserve"> A.K., Patil</w:t>
      </w:r>
      <w:r w:rsidR="004411BC">
        <w:t>,</w:t>
      </w:r>
      <w:r w:rsidRPr="009468A2">
        <w:t xml:space="preserve"> N.J.,2016. Review: food Industry by-products used as a functional food </w:t>
      </w:r>
      <w:r w:rsidR="00CD5361" w:rsidRPr="009468A2">
        <w:t>ingredient</w:t>
      </w:r>
      <w:r w:rsidRPr="009468A2">
        <w:t>. International Journal of Waste Resources, 6:1–6.</w:t>
      </w:r>
    </w:p>
    <w:p w14:paraId="6AAB6E4E" w14:textId="644FC22E" w:rsidR="00CB6302" w:rsidRPr="009468A2" w:rsidRDefault="00CB6302" w:rsidP="00C24AF1">
      <w:pPr>
        <w:pStyle w:val="CETReferencetext"/>
      </w:pPr>
      <w:r w:rsidRPr="009468A2">
        <w:t xml:space="preserve">ISO, 2014. International standards organization ISO/TS 17758/IDF 087. Instant Dried Milk - Determination of the Dispersibility and Wettability </w:t>
      </w:r>
    </w:p>
    <w:p w14:paraId="49FD0036" w14:textId="23C4A619" w:rsidR="00CB6302" w:rsidRPr="009468A2" w:rsidRDefault="00CB6302" w:rsidP="00C24AF1">
      <w:pPr>
        <w:pStyle w:val="CETReferencetext"/>
        <w:rPr>
          <w:rFonts w:cstheme="minorHAnsi"/>
          <w:color w:val="000000"/>
        </w:rPr>
      </w:pPr>
      <w:r w:rsidRPr="004C4A48">
        <w:rPr>
          <w:rFonts w:cstheme="minorHAnsi"/>
          <w:color w:val="000000"/>
          <w:lang w:val="en-US"/>
        </w:rPr>
        <w:t>Martínez-Navarrete</w:t>
      </w:r>
      <w:r w:rsidR="004411BC" w:rsidRPr="004C4A48">
        <w:rPr>
          <w:rFonts w:cstheme="minorHAnsi"/>
          <w:color w:val="000000"/>
          <w:lang w:val="en-US"/>
        </w:rPr>
        <w:t>,</w:t>
      </w:r>
      <w:r w:rsidRPr="004C4A48">
        <w:rPr>
          <w:rFonts w:cstheme="minorHAnsi"/>
          <w:color w:val="000000"/>
          <w:lang w:val="en-US"/>
        </w:rPr>
        <w:t xml:space="preserve"> N., García-Martínez</w:t>
      </w:r>
      <w:r w:rsidR="004411BC" w:rsidRPr="004C4A48">
        <w:rPr>
          <w:rFonts w:cstheme="minorHAnsi"/>
          <w:color w:val="000000"/>
          <w:lang w:val="en-US"/>
        </w:rPr>
        <w:t>,</w:t>
      </w:r>
      <w:r w:rsidRPr="004C4A48">
        <w:rPr>
          <w:rFonts w:cstheme="minorHAnsi"/>
          <w:color w:val="000000"/>
          <w:lang w:val="en-US"/>
        </w:rPr>
        <w:t xml:space="preserve"> E., Camacho</w:t>
      </w:r>
      <w:r w:rsidR="004411BC" w:rsidRPr="004C4A48">
        <w:rPr>
          <w:rFonts w:cstheme="minorHAnsi"/>
          <w:color w:val="000000"/>
          <w:lang w:val="en-US"/>
        </w:rPr>
        <w:t>,</w:t>
      </w:r>
      <w:r w:rsidRPr="004C4A48">
        <w:rPr>
          <w:rFonts w:cstheme="minorHAnsi"/>
          <w:color w:val="000000"/>
          <w:lang w:val="en-US"/>
        </w:rPr>
        <w:t xml:space="preserve"> M.M., 2023. </w:t>
      </w:r>
      <w:r w:rsidRPr="009468A2">
        <w:rPr>
          <w:rFonts w:cstheme="minorHAnsi"/>
          <w:color w:val="000000"/>
          <w:lang w:val="en-US"/>
        </w:rPr>
        <w:t xml:space="preserve">Characterization of the orange juice powder co-product for its valorization as a food ingredient, </w:t>
      </w:r>
      <w:r w:rsidRPr="009468A2">
        <w:rPr>
          <w:rFonts w:cstheme="minorHAnsi"/>
          <w:color w:val="000000"/>
        </w:rPr>
        <w:t xml:space="preserve">Foods, 12, 97. </w:t>
      </w:r>
    </w:p>
    <w:p w14:paraId="0B24820B" w14:textId="2B57A51D" w:rsidR="00597DA4" w:rsidRPr="009468A2" w:rsidRDefault="00597DA4" w:rsidP="00C24AF1">
      <w:pPr>
        <w:pStyle w:val="CETReferencetext"/>
      </w:pPr>
      <w:r w:rsidRPr="009468A2">
        <w:rPr>
          <w:lang w:val="en-US"/>
        </w:rPr>
        <w:t xml:space="preserve">Mejri, F., Selmi, S., Martins, A., </w:t>
      </w:r>
      <w:proofErr w:type="spellStart"/>
      <w:r w:rsidRPr="009468A2">
        <w:rPr>
          <w:lang w:val="en-US"/>
        </w:rPr>
        <w:t>Benkhoud</w:t>
      </w:r>
      <w:proofErr w:type="spellEnd"/>
      <w:r w:rsidRPr="009468A2">
        <w:rPr>
          <w:lang w:val="en-US"/>
        </w:rPr>
        <w:t xml:space="preserve">, H., Baati, T., Chaabane, H., </w:t>
      </w:r>
      <w:proofErr w:type="spellStart"/>
      <w:r w:rsidRPr="009468A2">
        <w:rPr>
          <w:lang w:val="en-US"/>
        </w:rPr>
        <w:t>Njim</w:t>
      </w:r>
      <w:proofErr w:type="spellEnd"/>
      <w:r w:rsidRPr="009468A2">
        <w:rPr>
          <w:lang w:val="en-US"/>
        </w:rPr>
        <w:t xml:space="preserve">, L., Serralheiro, M.L.M., Rauter, A.P., Hosni, K., 2018. Broad bean (Vicia faba L.) pods: A rich source of bioactive ingredients with antimicrobial, antioxidant, enzyme inhibitory, anti-diabetic and health-promoting properties. </w:t>
      </w:r>
      <w:r w:rsidRPr="009468A2">
        <w:t>Food and Function, 9, 2051–2059.</w:t>
      </w:r>
    </w:p>
    <w:p w14:paraId="5C6607B9" w14:textId="5623922D" w:rsidR="00BC4D5A" w:rsidRPr="009468A2" w:rsidRDefault="00BC4D5A" w:rsidP="00C24AF1">
      <w:pPr>
        <w:pStyle w:val="CETReferencetext"/>
      </w:pPr>
      <w:r w:rsidRPr="009468A2">
        <w:t xml:space="preserve">Mokhtar, S.M., </w:t>
      </w:r>
      <w:proofErr w:type="spellStart"/>
      <w:r w:rsidRPr="009468A2">
        <w:t>Swailam</w:t>
      </w:r>
      <w:proofErr w:type="spellEnd"/>
      <w:r w:rsidRPr="009468A2">
        <w:t>, H.M</w:t>
      </w:r>
      <w:r w:rsidR="00F90937" w:rsidRPr="009468A2">
        <w:t>.</w:t>
      </w:r>
      <w:r w:rsidRPr="009468A2">
        <w:t>,</w:t>
      </w:r>
      <w:r w:rsidR="00F90937" w:rsidRPr="009468A2">
        <w:t xml:space="preserve"> </w:t>
      </w:r>
      <w:proofErr w:type="spellStart"/>
      <w:r w:rsidRPr="009468A2">
        <w:t>Embaby</w:t>
      </w:r>
      <w:proofErr w:type="spellEnd"/>
      <w:r w:rsidRPr="009468A2">
        <w:t>, H.E.S., 2018, Physicochemical properties, nutritional value and techno-functional properties of goldenberry (Physalis peruviana) waste powder concise title: Composition of goldenberry juice waste. Food Chemistry, 248, 1-7.</w:t>
      </w:r>
    </w:p>
    <w:p w14:paraId="7A2FE365" w14:textId="634133EE" w:rsidR="00F90937" w:rsidRPr="009468A2" w:rsidRDefault="00F90937" w:rsidP="00F90937">
      <w:pPr>
        <w:pStyle w:val="CETReferencetext"/>
        <w:rPr>
          <w:rFonts w:cstheme="minorHAnsi"/>
          <w:color w:val="000000"/>
        </w:rPr>
      </w:pPr>
      <w:proofErr w:type="spellStart"/>
      <w:r w:rsidRPr="009468A2">
        <w:rPr>
          <w:rFonts w:cstheme="minorHAnsi"/>
          <w:color w:val="000000"/>
        </w:rPr>
        <w:t>Nushtaeva</w:t>
      </w:r>
      <w:proofErr w:type="spellEnd"/>
      <w:r w:rsidRPr="009468A2">
        <w:rPr>
          <w:rFonts w:cstheme="minorHAnsi"/>
          <w:color w:val="000000"/>
        </w:rPr>
        <w:t>, A.V., 2016, Natural food-grade solid particles for emulsion stabilization, Colloids and Surfaces A: Physicochemical and Engineering Aspects, 504, 449-457</w:t>
      </w:r>
      <w:r w:rsidR="00632063" w:rsidRPr="009468A2">
        <w:rPr>
          <w:rFonts w:cstheme="minorHAnsi"/>
          <w:color w:val="000000"/>
        </w:rPr>
        <w:t>.</w:t>
      </w:r>
    </w:p>
    <w:p w14:paraId="4ED96CD5" w14:textId="53EC573A" w:rsidR="00597DA4" w:rsidRPr="009468A2" w:rsidRDefault="00597DA4" w:rsidP="00F90937">
      <w:pPr>
        <w:pStyle w:val="CETReferencetext"/>
        <w:rPr>
          <w:rFonts w:cstheme="minorHAnsi"/>
          <w:color w:val="000000"/>
        </w:rPr>
      </w:pPr>
      <w:r w:rsidRPr="009468A2">
        <w:rPr>
          <w:rFonts w:cstheme="minorHAnsi"/>
          <w:color w:val="000000"/>
        </w:rPr>
        <w:t xml:space="preserve">O’Donoghue, L., T., Haque, M.K., Kennedy, D., </w:t>
      </w:r>
      <w:proofErr w:type="spellStart"/>
      <w:r w:rsidRPr="009468A2">
        <w:rPr>
          <w:rFonts w:cstheme="minorHAnsi"/>
          <w:color w:val="000000"/>
        </w:rPr>
        <w:t>Laffir</w:t>
      </w:r>
      <w:proofErr w:type="spellEnd"/>
      <w:r w:rsidRPr="009468A2">
        <w:rPr>
          <w:rFonts w:cstheme="minorHAnsi"/>
          <w:color w:val="000000"/>
        </w:rPr>
        <w:t xml:space="preserve">, F.R.., Hogan, S.A., O’Mahony, J.A., Murphy, E.G., </w:t>
      </w:r>
      <w:r w:rsidR="00CD5361" w:rsidRPr="009468A2">
        <w:rPr>
          <w:rFonts w:cstheme="minorHAnsi"/>
          <w:color w:val="000000"/>
        </w:rPr>
        <w:t>2019, Influence</w:t>
      </w:r>
      <w:r w:rsidRPr="009468A2">
        <w:rPr>
          <w:rFonts w:cstheme="minorHAnsi"/>
          <w:color w:val="000000"/>
        </w:rPr>
        <w:t xml:space="preserve"> of particle size on the physicochemical properties and stickiness of dairy powders, Dairy Journal, 98, 54-63.</w:t>
      </w:r>
    </w:p>
    <w:p w14:paraId="553DCED1" w14:textId="38BF5B36" w:rsidR="00B87C26" w:rsidRDefault="00B87C26" w:rsidP="00B87C26">
      <w:pPr>
        <w:pStyle w:val="CETReferencetext"/>
        <w:rPr>
          <w:lang w:val="en-US"/>
        </w:rPr>
      </w:pPr>
      <w:r w:rsidRPr="009468A2">
        <w:t xml:space="preserve">Schuck, P., Jeantet, R., </w:t>
      </w:r>
      <w:proofErr w:type="spellStart"/>
      <w:r w:rsidRPr="009468A2">
        <w:t>Dolivet</w:t>
      </w:r>
      <w:proofErr w:type="spellEnd"/>
      <w:r w:rsidRPr="009468A2">
        <w:t xml:space="preserve">, A. (Ed), 2012, Analytical methods for food and daily powders. </w:t>
      </w:r>
      <w:r w:rsidRPr="00C27EA3">
        <w:rPr>
          <w:lang w:val="en-US"/>
        </w:rPr>
        <w:t>John Wiley &amp; Sons, 654 Hoboken, NS, USA.</w:t>
      </w:r>
    </w:p>
    <w:p w14:paraId="201AEA34" w14:textId="6524912C" w:rsidR="004C4A48" w:rsidRPr="00C27EA3" w:rsidRDefault="004C4A48" w:rsidP="00B87C26">
      <w:pPr>
        <w:pStyle w:val="CETReferencetext"/>
        <w:rPr>
          <w:lang w:val="en-US"/>
        </w:rPr>
      </w:pPr>
      <w:r w:rsidRPr="004C4A48">
        <w:rPr>
          <w:lang w:val="en-US"/>
        </w:rPr>
        <w:t>Schubert, H.</w:t>
      </w:r>
      <w:r>
        <w:rPr>
          <w:lang w:val="en-US"/>
        </w:rPr>
        <w:t xml:space="preserve">, </w:t>
      </w:r>
      <w:r w:rsidRPr="004C4A48">
        <w:rPr>
          <w:lang w:val="en-US"/>
        </w:rPr>
        <w:t>1987</w:t>
      </w:r>
      <w:r>
        <w:rPr>
          <w:lang w:val="en-US"/>
        </w:rPr>
        <w:t>,</w:t>
      </w:r>
      <w:r w:rsidRPr="004C4A48">
        <w:rPr>
          <w:lang w:val="en-US"/>
        </w:rPr>
        <w:t xml:space="preserve"> Food particle technology. Part 1: Properties of particles and particulate food systems. Journal of Food Engineering, 6, 1</w:t>
      </w:r>
      <w:r>
        <w:rPr>
          <w:lang w:val="en-US"/>
        </w:rPr>
        <w:t>-</w:t>
      </w:r>
      <w:r w:rsidRPr="004C4A48">
        <w:rPr>
          <w:lang w:val="en-US"/>
        </w:rPr>
        <w:t xml:space="preserve">32. </w:t>
      </w:r>
    </w:p>
    <w:p w14:paraId="4D877377" w14:textId="62C5E7FB" w:rsidR="00565EF7" w:rsidRPr="004C4A48" w:rsidRDefault="00565EF7" w:rsidP="00C24AF1">
      <w:pPr>
        <w:pStyle w:val="CETReferencetext"/>
        <w:rPr>
          <w:rFonts w:cstheme="minorHAnsi"/>
          <w:color w:val="000000"/>
          <w:lang w:val="es-ES"/>
        </w:rPr>
      </w:pPr>
      <w:proofErr w:type="spellStart"/>
      <w:r w:rsidRPr="009468A2">
        <w:rPr>
          <w:rFonts w:cstheme="minorHAnsi"/>
          <w:color w:val="000000"/>
        </w:rPr>
        <w:t>Thebaudin</w:t>
      </w:r>
      <w:proofErr w:type="spellEnd"/>
      <w:r w:rsidRPr="009468A2">
        <w:rPr>
          <w:rFonts w:cstheme="minorHAnsi"/>
          <w:color w:val="000000"/>
        </w:rPr>
        <w:t xml:space="preserve">, J.Y., Lefebvre, A.C., Harrington, M., Bourgeois, C.M., 1997, Dietary </w:t>
      </w:r>
      <w:proofErr w:type="spellStart"/>
      <w:r w:rsidRPr="009468A2">
        <w:rPr>
          <w:rFonts w:cstheme="minorHAnsi"/>
          <w:color w:val="000000"/>
        </w:rPr>
        <w:t>fibers</w:t>
      </w:r>
      <w:proofErr w:type="spellEnd"/>
      <w:r w:rsidRPr="009468A2">
        <w:rPr>
          <w:rFonts w:cstheme="minorHAnsi"/>
          <w:color w:val="000000"/>
        </w:rPr>
        <w:t xml:space="preserve">: Nutritional and </w:t>
      </w:r>
      <w:proofErr w:type="spellStart"/>
      <w:r w:rsidRPr="009468A2">
        <w:rPr>
          <w:rFonts w:cstheme="minorHAnsi"/>
          <w:color w:val="000000"/>
        </w:rPr>
        <w:t>Tecnological</w:t>
      </w:r>
      <w:proofErr w:type="spellEnd"/>
      <w:r w:rsidRPr="009468A2">
        <w:rPr>
          <w:rFonts w:cstheme="minorHAnsi"/>
          <w:color w:val="000000"/>
        </w:rPr>
        <w:t xml:space="preserve"> Interest</w:t>
      </w:r>
      <w:r w:rsidR="004411BC">
        <w:rPr>
          <w:rFonts w:cstheme="minorHAnsi"/>
          <w:color w:val="000000"/>
        </w:rPr>
        <w:t>,</w:t>
      </w:r>
      <w:r w:rsidRPr="009468A2">
        <w:rPr>
          <w:rFonts w:cstheme="minorHAnsi"/>
          <w:color w:val="000000"/>
        </w:rPr>
        <w:t xml:space="preserve"> Trends in Food Science and Technology. </w:t>
      </w:r>
      <w:r w:rsidRPr="004C4A48">
        <w:rPr>
          <w:rFonts w:cstheme="minorHAnsi"/>
          <w:color w:val="000000"/>
          <w:lang w:val="es-ES"/>
        </w:rPr>
        <w:t>8, 41-47</w:t>
      </w:r>
    </w:p>
    <w:p w14:paraId="49AAE836" w14:textId="57BFF775" w:rsidR="00CB6302" w:rsidRPr="009468A2" w:rsidRDefault="00CB6302" w:rsidP="00C24AF1">
      <w:pPr>
        <w:pStyle w:val="CETReferencetext"/>
      </w:pPr>
      <w:r w:rsidRPr="004411BC">
        <w:rPr>
          <w:lang w:val="es-ES"/>
        </w:rPr>
        <w:t>Uscanga</w:t>
      </w:r>
      <w:r w:rsidR="004411BC" w:rsidRPr="004411BC">
        <w:rPr>
          <w:lang w:val="es-ES"/>
        </w:rPr>
        <w:t>,</w:t>
      </w:r>
      <w:r w:rsidRPr="004411BC">
        <w:rPr>
          <w:lang w:val="es-ES"/>
        </w:rPr>
        <w:t xml:space="preserve"> M.A., Camacho</w:t>
      </w:r>
      <w:r w:rsidR="004411BC">
        <w:rPr>
          <w:lang w:val="es-ES"/>
        </w:rPr>
        <w:t>,</w:t>
      </w:r>
      <w:r w:rsidRPr="004411BC">
        <w:rPr>
          <w:lang w:val="es-ES"/>
        </w:rPr>
        <w:t xml:space="preserve"> M.M., Salgado</w:t>
      </w:r>
      <w:r w:rsidR="004411BC">
        <w:rPr>
          <w:lang w:val="es-ES"/>
        </w:rPr>
        <w:t>,</w:t>
      </w:r>
      <w:r w:rsidRPr="004411BC">
        <w:rPr>
          <w:lang w:val="es-ES"/>
        </w:rPr>
        <w:t xml:space="preserve"> M. A., Martínez-Navarrete</w:t>
      </w:r>
      <w:r w:rsidR="004411BC">
        <w:rPr>
          <w:lang w:val="es-ES"/>
        </w:rPr>
        <w:t>,</w:t>
      </w:r>
      <w:r w:rsidRPr="004411BC">
        <w:rPr>
          <w:lang w:val="es-ES"/>
        </w:rPr>
        <w:t xml:space="preserve"> N., 2020. </w:t>
      </w:r>
      <w:r w:rsidRPr="009468A2">
        <w:t>Influence of an orange product composition on the characteristics of the obtained freeze-dried cake and powder as related to their consumption pattern</w:t>
      </w:r>
      <w:r w:rsidR="004411BC">
        <w:t>,</w:t>
      </w:r>
      <w:r w:rsidRPr="009468A2">
        <w:t xml:space="preserve"> Food and Bioprocess Technology, 12, 1368-1379.</w:t>
      </w:r>
    </w:p>
    <w:p w14:paraId="7F68FFCD" w14:textId="0C596315" w:rsidR="00597DA4" w:rsidRPr="009468A2" w:rsidRDefault="00597DA4" w:rsidP="00C24AF1">
      <w:pPr>
        <w:pStyle w:val="CETReferencetext"/>
      </w:pPr>
      <w:r w:rsidRPr="009468A2">
        <w:rPr>
          <w:lang w:val="es-ES"/>
        </w:rPr>
        <w:t xml:space="preserve">Valente, I. M., Maia, M.R.G., </w:t>
      </w:r>
      <w:proofErr w:type="spellStart"/>
      <w:r w:rsidRPr="009468A2">
        <w:rPr>
          <w:lang w:val="es-ES"/>
        </w:rPr>
        <w:t>Malushi</w:t>
      </w:r>
      <w:proofErr w:type="spellEnd"/>
      <w:r w:rsidRPr="009468A2">
        <w:rPr>
          <w:lang w:val="es-ES"/>
        </w:rPr>
        <w:t xml:space="preserve">, N., Oliveira H.M., Papa, L., </w:t>
      </w:r>
      <w:proofErr w:type="spellStart"/>
      <w:r w:rsidRPr="009468A2">
        <w:rPr>
          <w:lang w:val="es-ES"/>
        </w:rPr>
        <w:t>Rodrigues</w:t>
      </w:r>
      <w:proofErr w:type="spellEnd"/>
      <w:r w:rsidRPr="009468A2">
        <w:rPr>
          <w:lang w:val="es-ES"/>
        </w:rPr>
        <w:t xml:space="preserve">, J.A., Fonseca, M., Cabrita, A.R.J., 2018. </w:t>
      </w:r>
      <w:r w:rsidRPr="009468A2">
        <w:t>Profiling of phenolic compounds and antioxidant properties of European varieties and cultivars of Vicia faba L. pods. Phytochemistry, 152, 223-229.</w:t>
      </w:r>
    </w:p>
    <w:p w14:paraId="19C4FC68" w14:textId="64231AAD" w:rsidR="004628D2" w:rsidRPr="009468A2" w:rsidRDefault="00597DA4" w:rsidP="005126C2">
      <w:pPr>
        <w:pStyle w:val="CETReferencetext"/>
      </w:pPr>
      <w:r w:rsidRPr="009468A2">
        <w:rPr>
          <w:lang w:val="en-US"/>
        </w:rPr>
        <w:t xml:space="preserve">Zhou, Y. C., Xu, B. H., Yu, A.B., Zulli, P., 2001. An experimental and numerical study of the angle of repose of coarse spheres. </w:t>
      </w:r>
      <w:r w:rsidRPr="009468A2">
        <w:t>Powder Technology 125 (1), 45-54.</w:t>
      </w:r>
    </w:p>
    <w:sectPr w:rsidR="004628D2" w:rsidRPr="009468A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1D347" w14:textId="77777777" w:rsidR="002A1750" w:rsidRDefault="002A1750" w:rsidP="004F5E36">
      <w:r>
        <w:separator/>
      </w:r>
    </w:p>
  </w:endnote>
  <w:endnote w:type="continuationSeparator" w:id="0">
    <w:p w14:paraId="32323A2A" w14:textId="77777777" w:rsidR="002A1750" w:rsidRDefault="002A17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E08D" w14:textId="77777777" w:rsidR="002A1750" w:rsidRDefault="002A1750" w:rsidP="004F5E36">
      <w:r>
        <w:separator/>
      </w:r>
    </w:p>
  </w:footnote>
  <w:footnote w:type="continuationSeparator" w:id="0">
    <w:p w14:paraId="09136367" w14:textId="77777777" w:rsidR="002A1750" w:rsidRDefault="002A175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7606A11"/>
    <w:multiLevelType w:val="multilevel"/>
    <w:tmpl w:val="BBB4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0E4230"/>
    <w:multiLevelType w:val="hybridMultilevel"/>
    <w:tmpl w:val="8FA649EC"/>
    <w:lvl w:ilvl="0" w:tplc="02C0E60A">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020127">
    <w:abstractNumId w:val="11"/>
  </w:num>
  <w:num w:numId="2" w16cid:durableId="1087312367">
    <w:abstractNumId w:val="8"/>
  </w:num>
  <w:num w:numId="3" w16cid:durableId="1294942755">
    <w:abstractNumId w:val="3"/>
  </w:num>
  <w:num w:numId="4" w16cid:durableId="1206679118">
    <w:abstractNumId w:val="2"/>
  </w:num>
  <w:num w:numId="5" w16cid:durableId="45422040">
    <w:abstractNumId w:val="1"/>
  </w:num>
  <w:num w:numId="6" w16cid:durableId="1652178215">
    <w:abstractNumId w:val="0"/>
  </w:num>
  <w:num w:numId="7" w16cid:durableId="1130048069">
    <w:abstractNumId w:val="9"/>
  </w:num>
  <w:num w:numId="8" w16cid:durableId="713433624">
    <w:abstractNumId w:val="7"/>
  </w:num>
  <w:num w:numId="9" w16cid:durableId="1477452078">
    <w:abstractNumId w:val="6"/>
  </w:num>
  <w:num w:numId="10" w16cid:durableId="1479571954">
    <w:abstractNumId w:val="5"/>
  </w:num>
  <w:num w:numId="11" w16cid:durableId="1319648558">
    <w:abstractNumId w:val="4"/>
  </w:num>
  <w:num w:numId="12" w16cid:durableId="76678439">
    <w:abstractNumId w:val="19"/>
  </w:num>
  <w:num w:numId="13" w16cid:durableId="1039008782">
    <w:abstractNumId w:val="13"/>
  </w:num>
  <w:num w:numId="14" w16cid:durableId="1555383868">
    <w:abstractNumId w:val="20"/>
  </w:num>
  <w:num w:numId="15" w16cid:durableId="510948837">
    <w:abstractNumId w:val="22"/>
  </w:num>
  <w:num w:numId="16" w16cid:durableId="1087993775">
    <w:abstractNumId w:val="21"/>
  </w:num>
  <w:num w:numId="17" w16cid:durableId="1805928056">
    <w:abstractNumId w:val="12"/>
  </w:num>
  <w:num w:numId="18" w16cid:durableId="1031686267">
    <w:abstractNumId w:val="13"/>
    <w:lvlOverride w:ilvl="0">
      <w:startOverride w:val="1"/>
    </w:lvlOverride>
  </w:num>
  <w:num w:numId="19" w16cid:durableId="1438140909">
    <w:abstractNumId w:val="18"/>
  </w:num>
  <w:num w:numId="20" w16cid:durableId="1492595978">
    <w:abstractNumId w:val="17"/>
  </w:num>
  <w:num w:numId="21" w16cid:durableId="1814560843">
    <w:abstractNumId w:val="16"/>
  </w:num>
  <w:num w:numId="22" w16cid:durableId="2046564845">
    <w:abstractNumId w:val="15"/>
  </w:num>
  <w:num w:numId="23" w16cid:durableId="181363337">
    <w:abstractNumId w:val="11"/>
  </w:num>
  <w:num w:numId="24" w16cid:durableId="84423896">
    <w:abstractNumId w:val="14"/>
  </w:num>
  <w:num w:numId="25" w16cid:durableId="2086029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62D"/>
    <w:rsid w:val="00005A19"/>
    <w:rsid w:val="000117CB"/>
    <w:rsid w:val="0002211E"/>
    <w:rsid w:val="0003148D"/>
    <w:rsid w:val="00031EEC"/>
    <w:rsid w:val="00036176"/>
    <w:rsid w:val="000410D9"/>
    <w:rsid w:val="00051566"/>
    <w:rsid w:val="00054288"/>
    <w:rsid w:val="000562A9"/>
    <w:rsid w:val="00062A9A"/>
    <w:rsid w:val="00063853"/>
    <w:rsid w:val="000646F0"/>
    <w:rsid w:val="00065058"/>
    <w:rsid w:val="0007483D"/>
    <w:rsid w:val="00086C39"/>
    <w:rsid w:val="00095DE9"/>
    <w:rsid w:val="00096572"/>
    <w:rsid w:val="000A03B2"/>
    <w:rsid w:val="000B4E93"/>
    <w:rsid w:val="000B4F91"/>
    <w:rsid w:val="000D0268"/>
    <w:rsid w:val="000D34BE"/>
    <w:rsid w:val="000E102F"/>
    <w:rsid w:val="000E36F1"/>
    <w:rsid w:val="000E3A73"/>
    <w:rsid w:val="000E414A"/>
    <w:rsid w:val="000F093C"/>
    <w:rsid w:val="000F787B"/>
    <w:rsid w:val="00104FAA"/>
    <w:rsid w:val="0012091F"/>
    <w:rsid w:val="00125BA9"/>
    <w:rsid w:val="00126BC2"/>
    <w:rsid w:val="001308B6"/>
    <w:rsid w:val="0013121F"/>
    <w:rsid w:val="00131FE6"/>
    <w:rsid w:val="0013263F"/>
    <w:rsid w:val="001331DF"/>
    <w:rsid w:val="00134DE4"/>
    <w:rsid w:val="0014034D"/>
    <w:rsid w:val="00144D16"/>
    <w:rsid w:val="00147ADD"/>
    <w:rsid w:val="00150E59"/>
    <w:rsid w:val="00152DE3"/>
    <w:rsid w:val="00157CCC"/>
    <w:rsid w:val="00164CF9"/>
    <w:rsid w:val="001667A6"/>
    <w:rsid w:val="0017068C"/>
    <w:rsid w:val="00177203"/>
    <w:rsid w:val="00184AD6"/>
    <w:rsid w:val="001853FA"/>
    <w:rsid w:val="001879F4"/>
    <w:rsid w:val="001A1197"/>
    <w:rsid w:val="001A4AF7"/>
    <w:rsid w:val="001B0349"/>
    <w:rsid w:val="001B1E93"/>
    <w:rsid w:val="001B203B"/>
    <w:rsid w:val="001B65C1"/>
    <w:rsid w:val="001C684B"/>
    <w:rsid w:val="001D0619"/>
    <w:rsid w:val="001D0CFB"/>
    <w:rsid w:val="001D21AF"/>
    <w:rsid w:val="001D53FC"/>
    <w:rsid w:val="001E1E13"/>
    <w:rsid w:val="001E710B"/>
    <w:rsid w:val="001F42A5"/>
    <w:rsid w:val="001F55FD"/>
    <w:rsid w:val="001F7B9D"/>
    <w:rsid w:val="001F7F35"/>
    <w:rsid w:val="00201C93"/>
    <w:rsid w:val="00210000"/>
    <w:rsid w:val="0022176A"/>
    <w:rsid w:val="002224B4"/>
    <w:rsid w:val="002243B5"/>
    <w:rsid w:val="00225942"/>
    <w:rsid w:val="00227A31"/>
    <w:rsid w:val="002404B2"/>
    <w:rsid w:val="002447EF"/>
    <w:rsid w:val="00251550"/>
    <w:rsid w:val="002534E1"/>
    <w:rsid w:val="00256550"/>
    <w:rsid w:val="00263B05"/>
    <w:rsid w:val="00271997"/>
    <w:rsid w:val="0027221A"/>
    <w:rsid w:val="00275B61"/>
    <w:rsid w:val="002773FE"/>
    <w:rsid w:val="0028006B"/>
    <w:rsid w:val="00280978"/>
    <w:rsid w:val="00280FAF"/>
    <w:rsid w:val="00282656"/>
    <w:rsid w:val="00296B83"/>
    <w:rsid w:val="002976E2"/>
    <w:rsid w:val="002A0F4F"/>
    <w:rsid w:val="002A1750"/>
    <w:rsid w:val="002B2E56"/>
    <w:rsid w:val="002B4015"/>
    <w:rsid w:val="002B5018"/>
    <w:rsid w:val="002B709F"/>
    <w:rsid w:val="002B70F5"/>
    <w:rsid w:val="002B78CE"/>
    <w:rsid w:val="002C2FB6"/>
    <w:rsid w:val="002C3034"/>
    <w:rsid w:val="002D12E2"/>
    <w:rsid w:val="002E5FA7"/>
    <w:rsid w:val="002F3309"/>
    <w:rsid w:val="002F712E"/>
    <w:rsid w:val="003008CE"/>
    <w:rsid w:val="003009B7"/>
    <w:rsid w:val="00300E56"/>
    <w:rsid w:val="0030152C"/>
    <w:rsid w:val="0030469C"/>
    <w:rsid w:val="0031480A"/>
    <w:rsid w:val="00321CA6"/>
    <w:rsid w:val="00323763"/>
    <w:rsid w:val="00323C5F"/>
    <w:rsid w:val="003312AE"/>
    <w:rsid w:val="00331FCD"/>
    <w:rsid w:val="00334C09"/>
    <w:rsid w:val="00342A7E"/>
    <w:rsid w:val="00342CC7"/>
    <w:rsid w:val="00351981"/>
    <w:rsid w:val="003554CE"/>
    <w:rsid w:val="003723D4"/>
    <w:rsid w:val="00373356"/>
    <w:rsid w:val="00374F0E"/>
    <w:rsid w:val="00381905"/>
    <w:rsid w:val="0038476D"/>
    <w:rsid w:val="00384BB4"/>
    <w:rsid w:val="00384CC8"/>
    <w:rsid w:val="003871FD"/>
    <w:rsid w:val="003A1E30"/>
    <w:rsid w:val="003A2829"/>
    <w:rsid w:val="003A5871"/>
    <w:rsid w:val="003A7D1C"/>
    <w:rsid w:val="003B304B"/>
    <w:rsid w:val="003B3146"/>
    <w:rsid w:val="003B5A83"/>
    <w:rsid w:val="003B6489"/>
    <w:rsid w:val="003C2F6E"/>
    <w:rsid w:val="003C4328"/>
    <w:rsid w:val="003D576D"/>
    <w:rsid w:val="003D589B"/>
    <w:rsid w:val="003D6408"/>
    <w:rsid w:val="003E1DE2"/>
    <w:rsid w:val="003E6B88"/>
    <w:rsid w:val="003F015E"/>
    <w:rsid w:val="00400414"/>
    <w:rsid w:val="00404CAB"/>
    <w:rsid w:val="00405556"/>
    <w:rsid w:val="00406ED5"/>
    <w:rsid w:val="0041446B"/>
    <w:rsid w:val="00431D67"/>
    <w:rsid w:val="0044071E"/>
    <w:rsid w:val="004411BC"/>
    <w:rsid w:val="0044329C"/>
    <w:rsid w:val="00453E24"/>
    <w:rsid w:val="00457456"/>
    <w:rsid w:val="004577FE"/>
    <w:rsid w:val="00457B9C"/>
    <w:rsid w:val="0046164A"/>
    <w:rsid w:val="004628D2"/>
    <w:rsid w:val="00462DCD"/>
    <w:rsid w:val="004648AD"/>
    <w:rsid w:val="004703A9"/>
    <w:rsid w:val="004760DE"/>
    <w:rsid w:val="004763D7"/>
    <w:rsid w:val="004832C3"/>
    <w:rsid w:val="004A004E"/>
    <w:rsid w:val="004A24CF"/>
    <w:rsid w:val="004B20CB"/>
    <w:rsid w:val="004B22F0"/>
    <w:rsid w:val="004B3700"/>
    <w:rsid w:val="004B6CD1"/>
    <w:rsid w:val="004B6E3B"/>
    <w:rsid w:val="004C271A"/>
    <w:rsid w:val="004C3D1D"/>
    <w:rsid w:val="004C3D84"/>
    <w:rsid w:val="004C4A48"/>
    <w:rsid w:val="004C7913"/>
    <w:rsid w:val="004D18A7"/>
    <w:rsid w:val="004D3742"/>
    <w:rsid w:val="004D482F"/>
    <w:rsid w:val="004E4DD6"/>
    <w:rsid w:val="004F0ED3"/>
    <w:rsid w:val="004F5E36"/>
    <w:rsid w:val="00507B47"/>
    <w:rsid w:val="00507BEF"/>
    <w:rsid w:val="00507CC9"/>
    <w:rsid w:val="005119A5"/>
    <w:rsid w:val="005126C2"/>
    <w:rsid w:val="00512FE1"/>
    <w:rsid w:val="00520774"/>
    <w:rsid w:val="005278B7"/>
    <w:rsid w:val="005318A8"/>
    <w:rsid w:val="00532016"/>
    <w:rsid w:val="005346C8"/>
    <w:rsid w:val="00543E7D"/>
    <w:rsid w:val="00546C2B"/>
    <w:rsid w:val="00547A68"/>
    <w:rsid w:val="005531C9"/>
    <w:rsid w:val="00557E00"/>
    <w:rsid w:val="00561B68"/>
    <w:rsid w:val="0056374C"/>
    <w:rsid w:val="00564742"/>
    <w:rsid w:val="00565EF7"/>
    <w:rsid w:val="00570C43"/>
    <w:rsid w:val="00575032"/>
    <w:rsid w:val="005820E4"/>
    <w:rsid w:val="005838E7"/>
    <w:rsid w:val="00590F14"/>
    <w:rsid w:val="00592372"/>
    <w:rsid w:val="00597DA4"/>
    <w:rsid w:val="005B2110"/>
    <w:rsid w:val="005B32B4"/>
    <w:rsid w:val="005B61E6"/>
    <w:rsid w:val="005B7D15"/>
    <w:rsid w:val="005C6E09"/>
    <w:rsid w:val="005C77E1"/>
    <w:rsid w:val="005D668A"/>
    <w:rsid w:val="005D6A2F"/>
    <w:rsid w:val="005E00A1"/>
    <w:rsid w:val="005E1A82"/>
    <w:rsid w:val="005E6B92"/>
    <w:rsid w:val="005E72C6"/>
    <w:rsid w:val="005E794C"/>
    <w:rsid w:val="005F0A28"/>
    <w:rsid w:val="005F0E5E"/>
    <w:rsid w:val="00600535"/>
    <w:rsid w:val="0060125F"/>
    <w:rsid w:val="00610CD6"/>
    <w:rsid w:val="00620DEE"/>
    <w:rsid w:val="00621F92"/>
    <w:rsid w:val="0062280A"/>
    <w:rsid w:val="00623BC8"/>
    <w:rsid w:val="00625639"/>
    <w:rsid w:val="00626791"/>
    <w:rsid w:val="00626A23"/>
    <w:rsid w:val="00626EA4"/>
    <w:rsid w:val="00631B33"/>
    <w:rsid w:val="00632063"/>
    <w:rsid w:val="0064184D"/>
    <w:rsid w:val="006422CC"/>
    <w:rsid w:val="00651740"/>
    <w:rsid w:val="006571B3"/>
    <w:rsid w:val="0065747B"/>
    <w:rsid w:val="00660E3E"/>
    <w:rsid w:val="00662E74"/>
    <w:rsid w:val="0066417A"/>
    <w:rsid w:val="00666A55"/>
    <w:rsid w:val="00674FD1"/>
    <w:rsid w:val="00680C23"/>
    <w:rsid w:val="00681460"/>
    <w:rsid w:val="0068196D"/>
    <w:rsid w:val="006869FA"/>
    <w:rsid w:val="00693766"/>
    <w:rsid w:val="0069519E"/>
    <w:rsid w:val="006A3281"/>
    <w:rsid w:val="006B4888"/>
    <w:rsid w:val="006C2E45"/>
    <w:rsid w:val="006C359C"/>
    <w:rsid w:val="006C3D4E"/>
    <w:rsid w:val="006C4FC2"/>
    <w:rsid w:val="006C5579"/>
    <w:rsid w:val="006D6E8B"/>
    <w:rsid w:val="006E737D"/>
    <w:rsid w:val="006F4C20"/>
    <w:rsid w:val="00707DD1"/>
    <w:rsid w:val="007102C4"/>
    <w:rsid w:val="00711676"/>
    <w:rsid w:val="00712E06"/>
    <w:rsid w:val="00713973"/>
    <w:rsid w:val="00720A24"/>
    <w:rsid w:val="00732386"/>
    <w:rsid w:val="0073514D"/>
    <w:rsid w:val="00740B54"/>
    <w:rsid w:val="007447F3"/>
    <w:rsid w:val="00746376"/>
    <w:rsid w:val="00750A2B"/>
    <w:rsid w:val="0075499F"/>
    <w:rsid w:val="007661C8"/>
    <w:rsid w:val="0077098D"/>
    <w:rsid w:val="00772042"/>
    <w:rsid w:val="00774291"/>
    <w:rsid w:val="00777164"/>
    <w:rsid w:val="0079076C"/>
    <w:rsid w:val="007931FA"/>
    <w:rsid w:val="007A4861"/>
    <w:rsid w:val="007A7BBA"/>
    <w:rsid w:val="007B0C50"/>
    <w:rsid w:val="007B48F9"/>
    <w:rsid w:val="007C1A43"/>
    <w:rsid w:val="007D0951"/>
    <w:rsid w:val="007D4847"/>
    <w:rsid w:val="0080013E"/>
    <w:rsid w:val="00804C22"/>
    <w:rsid w:val="008062F6"/>
    <w:rsid w:val="008070F7"/>
    <w:rsid w:val="00813288"/>
    <w:rsid w:val="0081381E"/>
    <w:rsid w:val="008168FC"/>
    <w:rsid w:val="00830996"/>
    <w:rsid w:val="008345F1"/>
    <w:rsid w:val="00841F48"/>
    <w:rsid w:val="00851627"/>
    <w:rsid w:val="00865B07"/>
    <w:rsid w:val="008667EA"/>
    <w:rsid w:val="00872517"/>
    <w:rsid w:val="0087637F"/>
    <w:rsid w:val="00883906"/>
    <w:rsid w:val="00892AD5"/>
    <w:rsid w:val="008A1512"/>
    <w:rsid w:val="008A5A37"/>
    <w:rsid w:val="008C7456"/>
    <w:rsid w:val="008D32B9"/>
    <w:rsid w:val="008D433B"/>
    <w:rsid w:val="008D4A16"/>
    <w:rsid w:val="008D7FCC"/>
    <w:rsid w:val="008E566E"/>
    <w:rsid w:val="008E58F7"/>
    <w:rsid w:val="0090161A"/>
    <w:rsid w:val="00901EB6"/>
    <w:rsid w:val="00904C62"/>
    <w:rsid w:val="00912FEF"/>
    <w:rsid w:val="00922BA8"/>
    <w:rsid w:val="00924DAC"/>
    <w:rsid w:val="00927058"/>
    <w:rsid w:val="00934614"/>
    <w:rsid w:val="00941530"/>
    <w:rsid w:val="00942750"/>
    <w:rsid w:val="009450CE"/>
    <w:rsid w:val="009459BB"/>
    <w:rsid w:val="009468A2"/>
    <w:rsid w:val="00947179"/>
    <w:rsid w:val="00950A5D"/>
    <w:rsid w:val="0095164B"/>
    <w:rsid w:val="0095243E"/>
    <w:rsid w:val="00954090"/>
    <w:rsid w:val="009573E7"/>
    <w:rsid w:val="009578BE"/>
    <w:rsid w:val="00962FDE"/>
    <w:rsid w:val="00963E05"/>
    <w:rsid w:val="00964A45"/>
    <w:rsid w:val="00967843"/>
    <w:rsid w:val="00967D54"/>
    <w:rsid w:val="00971028"/>
    <w:rsid w:val="00977DE6"/>
    <w:rsid w:val="009821FA"/>
    <w:rsid w:val="009868A5"/>
    <w:rsid w:val="00993B84"/>
    <w:rsid w:val="00996483"/>
    <w:rsid w:val="00996F5A"/>
    <w:rsid w:val="009A58C4"/>
    <w:rsid w:val="009A7FD9"/>
    <w:rsid w:val="009B041A"/>
    <w:rsid w:val="009B105F"/>
    <w:rsid w:val="009B1AC2"/>
    <w:rsid w:val="009B7D88"/>
    <w:rsid w:val="009C37C3"/>
    <w:rsid w:val="009C7C86"/>
    <w:rsid w:val="009D2FF7"/>
    <w:rsid w:val="009D7D1E"/>
    <w:rsid w:val="009E7884"/>
    <w:rsid w:val="009E788A"/>
    <w:rsid w:val="009F0E08"/>
    <w:rsid w:val="00A0035F"/>
    <w:rsid w:val="00A13732"/>
    <w:rsid w:val="00A1382A"/>
    <w:rsid w:val="00A153C9"/>
    <w:rsid w:val="00A1763D"/>
    <w:rsid w:val="00A17CEC"/>
    <w:rsid w:val="00A2085E"/>
    <w:rsid w:val="00A27EF0"/>
    <w:rsid w:val="00A31E76"/>
    <w:rsid w:val="00A3277C"/>
    <w:rsid w:val="00A346DC"/>
    <w:rsid w:val="00A40E22"/>
    <w:rsid w:val="00A42361"/>
    <w:rsid w:val="00A46C0A"/>
    <w:rsid w:val="00A50B20"/>
    <w:rsid w:val="00A51390"/>
    <w:rsid w:val="00A60D13"/>
    <w:rsid w:val="00A616B2"/>
    <w:rsid w:val="00A714EF"/>
    <w:rsid w:val="00A7223D"/>
    <w:rsid w:val="00A72272"/>
    <w:rsid w:val="00A72745"/>
    <w:rsid w:val="00A76EFC"/>
    <w:rsid w:val="00A77BF1"/>
    <w:rsid w:val="00A8419A"/>
    <w:rsid w:val="00A87D50"/>
    <w:rsid w:val="00A91010"/>
    <w:rsid w:val="00A97F29"/>
    <w:rsid w:val="00AA064B"/>
    <w:rsid w:val="00AA0E66"/>
    <w:rsid w:val="00AA702E"/>
    <w:rsid w:val="00AA7A60"/>
    <w:rsid w:val="00AA7D26"/>
    <w:rsid w:val="00AB0964"/>
    <w:rsid w:val="00AB3376"/>
    <w:rsid w:val="00AB5011"/>
    <w:rsid w:val="00AC3D31"/>
    <w:rsid w:val="00AC732B"/>
    <w:rsid w:val="00AC7368"/>
    <w:rsid w:val="00AC7583"/>
    <w:rsid w:val="00AD16B9"/>
    <w:rsid w:val="00AD3661"/>
    <w:rsid w:val="00AE3475"/>
    <w:rsid w:val="00AE377D"/>
    <w:rsid w:val="00AF02F1"/>
    <w:rsid w:val="00AF0EBA"/>
    <w:rsid w:val="00AF2AA6"/>
    <w:rsid w:val="00AF3EBB"/>
    <w:rsid w:val="00AF4115"/>
    <w:rsid w:val="00AF46C8"/>
    <w:rsid w:val="00B02C8A"/>
    <w:rsid w:val="00B16CFB"/>
    <w:rsid w:val="00B17FBD"/>
    <w:rsid w:val="00B2411E"/>
    <w:rsid w:val="00B315A6"/>
    <w:rsid w:val="00B31813"/>
    <w:rsid w:val="00B33365"/>
    <w:rsid w:val="00B406BB"/>
    <w:rsid w:val="00B46E92"/>
    <w:rsid w:val="00B51811"/>
    <w:rsid w:val="00B548FB"/>
    <w:rsid w:val="00B56D91"/>
    <w:rsid w:val="00B574E4"/>
    <w:rsid w:val="00B57B36"/>
    <w:rsid w:val="00B57E6F"/>
    <w:rsid w:val="00B71B37"/>
    <w:rsid w:val="00B7630E"/>
    <w:rsid w:val="00B805E1"/>
    <w:rsid w:val="00B82678"/>
    <w:rsid w:val="00B8686D"/>
    <w:rsid w:val="00B87985"/>
    <w:rsid w:val="00B87C26"/>
    <w:rsid w:val="00B93F69"/>
    <w:rsid w:val="00B95F88"/>
    <w:rsid w:val="00BB1DDC"/>
    <w:rsid w:val="00BB72E4"/>
    <w:rsid w:val="00BC1FF6"/>
    <w:rsid w:val="00BC30C9"/>
    <w:rsid w:val="00BC3C51"/>
    <w:rsid w:val="00BC4D5A"/>
    <w:rsid w:val="00BD077D"/>
    <w:rsid w:val="00BD1922"/>
    <w:rsid w:val="00BD54B8"/>
    <w:rsid w:val="00BE3E58"/>
    <w:rsid w:val="00C01616"/>
    <w:rsid w:val="00C0162B"/>
    <w:rsid w:val="00C068ED"/>
    <w:rsid w:val="00C06DEB"/>
    <w:rsid w:val="00C22E0C"/>
    <w:rsid w:val="00C24AF1"/>
    <w:rsid w:val="00C25B69"/>
    <w:rsid w:val="00C27EA3"/>
    <w:rsid w:val="00C32AAB"/>
    <w:rsid w:val="00C345B1"/>
    <w:rsid w:val="00C40142"/>
    <w:rsid w:val="00C44756"/>
    <w:rsid w:val="00C52C3C"/>
    <w:rsid w:val="00C57182"/>
    <w:rsid w:val="00C57863"/>
    <w:rsid w:val="00C623B2"/>
    <w:rsid w:val="00C640AF"/>
    <w:rsid w:val="00C655FD"/>
    <w:rsid w:val="00C75407"/>
    <w:rsid w:val="00C766E3"/>
    <w:rsid w:val="00C826ED"/>
    <w:rsid w:val="00C841C6"/>
    <w:rsid w:val="00C8513A"/>
    <w:rsid w:val="00C870A8"/>
    <w:rsid w:val="00C93833"/>
    <w:rsid w:val="00C94434"/>
    <w:rsid w:val="00CA0D75"/>
    <w:rsid w:val="00CA1C95"/>
    <w:rsid w:val="00CA5A9C"/>
    <w:rsid w:val="00CA7999"/>
    <w:rsid w:val="00CB6302"/>
    <w:rsid w:val="00CC4C20"/>
    <w:rsid w:val="00CC6C3C"/>
    <w:rsid w:val="00CC6DA6"/>
    <w:rsid w:val="00CC702D"/>
    <w:rsid w:val="00CD3517"/>
    <w:rsid w:val="00CD5361"/>
    <w:rsid w:val="00CD5FE2"/>
    <w:rsid w:val="00CE4CBC"/>
    <w:rsid w:val="00CE50DD"/>
    <w:rsid w:val="00CE7C68"/>
    <w:rsid w:val="00D02B4C"/>
    <w:rsid w:val="00D040C4"/>
    <w:rsid w:val="00D07846"/>
    <w:rsid w:val="00D10B70"/>
    <w:rsid w:val="00D175CD"/>
    <w:rsid w:val="00D20AD1"/>
    <w:rsid w:val="00D2582C"/>
    <w:rsid w:val="00D3412C"/>
    <w:rsid w:val="00D37079"/>
    <w:rsid w:val="00D46B7E"/>
    <w:rsid w:val="00D57C84"/>
    <w:rsid w:val="00D6057D"/>
    <w:rsid w:val="00D6227A"/>
    <w:rsid w:val="00D657BF"/>
    <w:rsid w:val="00D67A08"/>
    <w:rsid w:val="00D71640"/>
    <w:rsid w:val="00D72172"/>
    <w:rsid w:val="00D75917"/>
    <w:rsid w:val="00D836C5"/>
    <w:rsid w:val="00D84576"/>
    <w:rsid w:val="00D85540"/>
    <w:rsid w:val="00D92770"/>
    <w:rsid w:val="00DA1399"/>
    <w:rsid w:val="00DA24C6"/>
    <w:rsid w:val="00DA4D7B"/>
    <w:rsid w:val="00DD271C"/>
    <w:rsid w:val="00DD2874"/>
    <w:rsid w:val="00DE117E"/>
    <w:rsid w:val="00DE264A"/>
    <w:rsid w:val="00DF5072"/>
    <w:rsid w:val="00DF7AEF"/>
    <w:rsid w:val="00E02D18"/>
    <w:rsid w:val="00E041E7"/>
    <w:rsid w:val="00E23CA1"/>
    <w:rsid w:val="00E25CF3"/>
    <w:rsid w:val="00E409A8"/>
    <w:rsid w:val="00E47E0F"/>
    <w:rsid w:val="00E50C12"/>
    <w:rsid w:val="00E551F2"/>
    <w:rsid w:val="00E630F4"/>
    <w:rsid w:val="00E65B91"/>
    <w:rsid w:val="00E7209D"/>
    <w:rsid w:val="00E72EAD"/>
    <w:rsid w:val="00E77223"/>
    <w:rsid w:val="00E8528B"/>
    <w:rsid w:val="00E85B94"/>
    <w:rsid w:val="00E978D0"/>
    <w:rsid w:val="00EA1632"/>
    <w:rsid w:val="00EA30E0"/>
    <w:rsid w:val="00EA4613"/>
    <w:rsid w:val="00EA7F91"/>
    <w:rsid w:val="00EB1523"/>
    <w:rsid w:val="00EB4C65"/>
    <w:rsid w:val="00EC0E49"/>
    <w:rsid w:val="00EC101F"/>
    <w:rsid w:val="00EC1D9F"/>
    <w:rsid w:val="00ED15AD"/>
    <w:rsid w:val="00ED2B6E"/>
    <w:rsid w:val="00ED4F6C"/>
    <w:rsid w:val="00ED6201"/>
    <w:rsid w:val="00EE0131"/>
    <w:rsid w:val="00EE17B0"/>
    <w:rsid w:val="00EF06D9"/>
    <w:rsid w:val="00EF57A3"/>
    <w:rsid w:val="00F172C4"/>
    <w:rsid w:val="00F233B0"/>
    <w:rsid w:val="00F25296"/>
    <w:rsid w:val="00F25C49"/>
    <w:rsid w:val="00F3049E"/>
    <w:rsid w:val="00F30C64"/>
    <w:rsid w:val="00F32BA2"/>
    <w:rsid w:val="00F32CDB"/>
    <w:rsid w:val="00F35153"/>
    <w:rsid w:val="00F372A7"/>
    <w:rsid w:val="00F50333"/>
    <w:rsid w:val="00F5575D"/>
    <w:rsid w:val="00F565FE"/>
    <w:rsid w:val="00F610A4"/>
    <w:rsid w:val="00F63A70"/>
    <w:rsid w:val="00F63D8C"/>
    <w:rsid w:val="00F6647F"/>
    <w:rsid w:val="00F66807"/>
    <w:rsid w:val="00F7534E"/>
    <w:rsid w:val="00F90937"/>
    <w:rsid w:val="00F92B01"/>
    <w:rsid w:val="00F93EDF"/>
    <w:rsid w:val="00F968F1"/>
    <w:rsid w:val="00F96EA3"/>
    <w:rsid w:val="00FA1802"/>
    <w:rsid w:val="00FA21D0"/>
    <w:rsid w:val="00FA5F5F"/>
    <w:rsid w:val="00FB730C"/>
    <w:rsid w:val="00FC2695"/>
    <w:rsid w:val="00FC3E03"/>
    <w:rsid w:val="00FC3FC1"/>
    <w:rsid w:val="00FF03EC"/>
    <w:rsid w:val="00FF181E"/>
    <w:rsid w:val="00FF7E6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customStyle="1" w:styleId="reference">
    <w:name w:val="reference"/>
    <w:basedOn w:val="Fuentedeprrafopredeter"/>
    <w:rsid w:val="008D7FCC"/>
  </w:style>
  <w:style w:type="character" w:customStyle="1" w:styleId="anchor-text">
    <w:name w:val="anchor-text"/>
    <w:basedOn w:val="Fuentedeprrafopredeter"/>
    <w:rsid w:val="008D7FCC"/>
  </w:style>
  <w:style w:type="character" w:customStyle="1" w:styleId="label">
    <w:name w:val="label"/>
    <w:basedOn w:val="Fuentedeprrafopredeter"/>
    <w:rsid w:val="008D7FCC"/>
  </w:style>
  <w:style w:type="character" w:styleId="nfasis">
    <w:name w:val="Emphasis"/>
    <w:basedOn w:val="Fuentedeprrafopredeter"/>
    <w:uiPriority w:val="20"/>
    <w:qFormat/>
    <w:rsid w:val="0095243E"/>
    <w:rPr>
      <w:i/>
      <w:iCs/>
    </w:rPr>
  </w:style>
  <w:style w:type="paragraph" w:styleId="Revisin">
    <w:name w:val="Revision"/>
    <w:hidden/>
    <w:uiPriority w:val="99"/>
    <w:semiHidden/>
    <w:rsid w:val="00934614"/>
    <w:pPr>
      <w:spacing w:after="0" w:line="240" w:lineRule="auto"/>
    </w:pPr>
    <w:rPr>
      <w:rFonts w:ascii="Arial" w:eastAsia="Times New Roman" w:hAnsi="Arial" w:cs="Times New Roman"/>
      <w:sz w:val="18"/>
      <w:szCs w:val="20"/>
      <w:lang w:val="en-GB"/>
    </w:rPr>
  </w:style>
  <w:style w:type="character" w:styleId="Mencinsinresolver">
    <w:name w:val="Unresolved Mention"/>
    <w:basedOn w:val="Fuentedeprrafopredeter"/>
    <w:uiPriority w:val="99"/>
    <w:semiHidden/>
    <w:unhideWhenUsed/>
    <w:rsid w:val="00F90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3838">
      <w:bodyDiv w:val="1"/>
      <w:marLeft w:val="0"/>
      <w:marRight w:val="0"/>
      <w:marTop w:val="0"/>
      <w:marBottom w:val="0"/>
      <w:divBdr>
        <w:top w:val="none" w:sz="0" w:space="0" w:color="auto"/>
        <w:left w:val="none" w:sz="0" w:space="0" w:color="auto"/>
        <w:bottom w:val="none" w:sz="0" w:space="0" w:color="auto"/>
        <w:right w:val="none" w:sz="0" w:space="0" w:color="auto"/>
      </w:divBdr>
    </w:div>
    <w:div w:id="268120691">
      <w:bodyDiv w:val="1"/>
      <w:marLeft w:val="0"/>
      <w:marRight w:val="0"/>
      <w:marTop w:val="0"/>
      <w:marBottom w:val="0"/>
      <w:divBdr>
        <w:top w:val="none" w:sz="0" w:space="0" w:color="auto"/>
        <w:left w:val="none" w:sz="0" w:space="0" w:color="auto"/>
        <w:bottom w:val="none" w:sz="0" w:space="0" w:color="auto"/>
        <w:right w:val="none" w:sz="0" w:space="0" w:color="auto"/>
      </w:divBdr>
    </w:div>
    <w:div w:id="416828923">
      <w:bodyDiv w:val="1"/>
      <w:marLeft w:val="0"/>
      <w:marRight w:val="0"/>
      <w:marTop w:val="0"/>
      <w:marBottom w:val="0"/>
      <w:divBdr>
        <w:top w:val="none" w:sz="0" w:space="0" w:color="auto"/>
        <w:left w:val="none" w:sz="0" w:space="0" w:color="auto"/>
        <w:bottom w:val="none" w:sz="0" w:space="0" w:color="auto"/>
        <w:right w:val="none" w:sz="0" w:space="0" w:color="auto"/>
      </w:divBdr>
    </w:div>
    <w:div w:id="516961930">
      <w:bodyDiv w:val="1"/>
      <w:marLeft w:val="0"/>
      <w:marRight w:val="0"/>
      <w:marTop w:val="0"/>
      <w:marBottom w:val="0"/>
      <w:divBdr>
        <w:top w:val="none" w:sz="0" w:space="0" w:color="auto"/>
        <w:left w:val="none" w:sz="0" w:space="0" w:color="auto"/>
        <w:bottom w:val="none" w:sz="0" w:space="0" w:color="auto"/>
        <w:right w:val="none" w:sz="0" w:space="0" w:color="auto"/>
      </w:divBdr>
    </w:div>
    <w:div w:id="563298205">
      <w:bodyDiv w:val="1"/>
      <w:marLeft w:val="0"/>
      <w:marRight w:val="0"/>
      <w:marTop w:val="0"/>
      <w:marBottom w:val="0"/>
      <w:divBdr>
        <w:top w:val="none" w:sz="0" w:space="0" w:color="auto"/>
        <w:left w:val="none" w:sz="0" w:space="0" w:color="auto"/>
        <w:bottom w:val="none" w:sz="0" w:space="0" w:color="auto"/>
        <w:right w:val="none" w:sz="0" w:space="0" w:color="auto"/>
      </w:divBdr>
      <w:divsChild>
        <w:div w:id="622492945">
          <w:marLeft w:val="0"/>
          <w:marRight w:val="0"/>
          <w:marTop w:val="60"/>
          <w:marBottom w:val="0"/>
          <w:divBdr>
            <w:top w:val="none" w:sz="0" w:space="0" w:color="auto"/>
            <w:left w:val="none" w:sz="0" w:space="0" w:color="auto"/>
            <w:bottom w:val="none" w:sz="0" w:space="0" w:color="auto"/>
            <w:right w:val="none" w:sz="0" w:space="0" w:color="auto"/>
          </w:divBdr>
        </w:div>
        <w:div w:id="1296645169">
          <w:marLeft w:val="0"/>
          <w:marRight w:val="0"/>
          <w:marTop w:val="0"/>
          <w:marBottom w:val="0"/>
          <w:divBdr>
            <w:top w:val="none" w:sz="0" w:space="0" w:color="auto"/>
            <w:left w:val="none" w:sz="0" w:space="0" w:color="auto"/>
            <w:bottom w:val="none" w:sz="0" w:space="0" w:color="auto"/>
            <w:right w:val="none" w:sz="0" w:space="0" w:color="auto"/>
          </w:divBdr>
          <w:divsChild>
            <w:div w:id="889194884">
              <w:marLeft w:val="0"/>
              <w:marRight w:val="0"/>
              <w:marTop w:val="0"/>
              <w:marBottom w:val="0"/>
              <w:divBdr>
                <w:top w:val="none" w:sz="0" w:space="0" w:color="auto"/>
                <w:left w:val="none" w:sz="0" w:space="0" w:color="auto"/>
                <w:bottom w:val="none" w:sz="0" w:space="0" w:color="auto"/>
                <w:right w:val="none" w:sz="0" w:space="0" w:color="auto"/>
              </w:divBdr>
            </w:div>
            <w:div w:id="541014389">
              <w:marLeft w:val="0"/>
              <w:marRight w:val="0"/>
              <w:marTop w:val="0"/>
              <w:marBottom w:val="0"/>
              <w:divBdr>
                <w:top w:val="none" w:sz="0" w:space="0" w:color="auto"/>
                <w:left w:val="none" w:sz="0" w:space="0" w:color="auto"/>
                <w:bottom w:val="none" w:sz="0" w:space="0" w:color="auto"/>
                <w:right w:val="none" w:sz="0" w:space="0" w:color="auto"/>
              </w:divBdr>
            </w:div>
          </w:divsChild>
        </w:div>
        <w:div w:id="1203640629">
          <w:marLeft w:val="0"/>
          <w:marRight w:val="0"/>
          <w:marTop w:val="0"/>
          <w:marBottom w:val="0"/>
          <w:divBdr>
            <w:top w:val="none" w:sz="0" w:space="0" w:color="auto"/>
            <w:left w:val="none" w:sz="0" w:space="0" w:color="auto"/>
            <w:bottom w:val="none" w:sz="0" w:space="0" w:color="auto"/>
            <w:right w:val="none" w:sz="0" w:space="0" w:color="auto"/>
          </w:divBdr>
        </w:div>
      </w:divsChild>
    </w:div>
    <w:div w:id="719868104">
      <w:bodyDiv w:val="1"/>
      <w:marLeft w:val="0"/>
      <w:marRight w:val="0"/>
      <w:marTop w:val="0"/>
      <w:marBottom w:val="0"/>
      <w:divBdr>
        <w:top w:val="none" w:sz="0" w:space="0" w:color="auto"/>
        <w:left w:val="none" w:sz="0" w:space="0" w:color="auto"/>
        <w:bottom w:val="none" w:sz="0" w:space="0" w:color="auto"/>
        <w:right w:val="none" w:sz="0" w:space="0" w:color="auto"/>
      </w:divBdr>
    </w:div>
    <w:div w:id="72896277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8087">
      <w:bodyDiv w:val="1"/>
      <w:marLeft w:val="0"/>
      <w:marRight w:val="0"/>
      <w:marTop w:val="0"/>
      <w:marBottom w:val="0"/>
      <w:divBdr>
        <w:top w:val="none" w:sz="0" w:space="0" w:color="auto"/>
        <w:left w:val="none" w:sz="0" w:space="0" w:color="auto"/>
        <w:bottom w:val="none" w:sz="0" w:space="0" w:color="auto"/>
        <w:right w:val="none" w:sz="0" w:space="0" w:color="auto"/>
      </w:divBdr>
    </w:div>
    <w:div w:id="1249584223">
      <w:bodyDiv w:val="1"/>
      <w:marLeft w:val="0"/>
      <w:marRight w:val="0"/>
      <w:marTop w:val="0"/>
      <w:marBottom w:val="0"/>
      <w:divBdr>
        <w:top w:val="none" w:sz="0" w:space="0" w:color="auto"/>
        <w:left w:val="none" w:sz="0" w:space="0" w:color="auto"/>
        <w:bottom w:val="none" w:sz="0" w:space="0" w:color="auto"/>
        <w:right w:val="none" w:sz="0" w:space="0" w:color="auto"/>
      </w:divBdr>
    </w:div>
    <w:div w:id="1362625782">
      <w:bodyDiv w:val="1"/>
      <w:marLeft w:val="0"/>
      <w:marRight w:val="0"/>
      <w:marTop w:val="0"/>
      <w:marBottom w:val="0"/>
      <w:divBdr>
        <w:top w:val="none" w:sz="0" w:space="0" w:color="auto"/>
        <w:left w:val="none" w:sz="0" w:space="0" w:color="auto"/>
        <w:bottom w:val="none" w:sz="0" w:space="0" w:color="auto"/>
        <w:right w:val="none" w:sz="0" w:space="0" w:color="auto"/>
      </w:divBdr>
    </w:div>
    <w:div w:id="140633864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1316205">
      <w:bodyDiv w:val="1"/>
      <w:marLeft w:val="0"/>
      <w:marRight w:val="0"/>
      <w:marTop w:val="0"/>
      <w:marBottom w:val="0"/>
      <w:divBdr>
        <w:top w:val="none" w:sz="0" w:space="0" w:color="auto"/>
        <w:left w:val="none" w:sz="0" w:space="0" w:color="auto"/>
        <w:bottom w:val="none" w:sz="0" w:space="0" w:color="auto"/>
        <w:right w:val="none" w:sz="0" w:space="0" w:color="auto"/>
      </w:divBdr>
    </w:div>
    <w:div w:id="161339511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0056">
      <w:bodyDiv w:val="1"/>
      <w:marLeft w:val="0"/>
      <w:marRight w:val="0"/>
      <w:marTop w:val="0"/>
      <w:marBottom w:val="0"/>
      <w:divBdr>
        <w:top w:val="none" w:sz="0" w:space="0" w:color="auto"/>
        <w:left w:val="none" w:sz="0" w:space="0" w:color="auto"/>
        <w:bottom w:val="none" w:sz="0" w:space="0" w:color="auto"/>
        <w:right w:val="none" w:sz="0" w:space="0" w:color="auto"/>
      </w:divBdr>
    </w:div>
    <w:div w:id="1746565103">
      <w:bodyDiv w:val="1"/>
      <w:marLeft w:val="0"/>
      <w:marRight w:val="0"/>
      <w:marTop w:val="0"/>
      <w:marBottom w:val="0"/>
      <w:divBdr>
        <w:top w:val="none" w:sz="0" w:space="0" w:color="auto"/>
        <w:left w:val="none" w:sz="0" w:space="0" w:color="auto"/>
        <w:bottom w:val="none" w:sz="0" w:space="0" w:color="auto"/>
        <w:right w:val="none" w:sz="0" w:space="0" w:color="auto"/>
      </w:divBdr>
    </w:div>
    <w:div w:id="1788230948">
      <w:bodyDiv w:val="1"/>
      <w:marLeft w:val="0"/>
      <w:marRight w:val="0"/>
      <w:marTop w:val="0"/>
      <w:marBottom w:val="0"/>
      <w:divBdr>
        <w:top w:val="none" w:sz="0" w:space="0" w:color="auto"/>
        <w:left w:val="none" w:sz="0" w:space="0" w:color="auto"/>
        <w:bottom w:val="none" w:sz="0" w:space="0" w:color="auto"/>
        <w:right w:val="none" w:sz="0" w:space="0" w:color="auto"/>
      </w:divBdr>
    </w:div>
    <w:div w:id="1888644235">
      <w:bodyDiv w:val="1"/>
      <w:marLeft w:val="0"/>
      <w:marRight w:val="0"/>
      <w:marTop w:val="0"/>
      <w:marBottom w:val="0"/>
      <w:divBdr>
        <w:top w:val="none" w:sz="0" w:space="0" w:color="auto"/>
        <w:left w:val="none" w:sz="0" w:space="0" w:color="auto"/>
        <w:bottom w:val="none" w:sz="0" w:space="0" w:color="auto"/>
        <w:right w:val="none" w:sz="0" w:space="0" w:color="auto"/>
      </w:divBdr>
    </w:div>
    <w:div w:id="212036709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FDA4-B2D7-4DA7-AF80-3DCD74C1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6</Pages>
  <Words>3889</Words>
  <Characters>21566</Characters>
  <Application>Microsoft Office Word</Application>
  <DocSecurity>0</DocSecurity>
  <Lines>179</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NMN</cp:lastModifiedBy>
  <cp:revision>93</cp:revision>
  <cp:lastPrinted>2015-05-12T18:31:00Z</cp:lastPrinted>
  <dcterms:created xsi:type="dcterms:W3CDTF">2025-03-05T11:41:00Z</dcterms:created>
  <dcterms:modified xsi:type="dcterms:W3CDTF">2025-05-29T09:08:00Z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aac02a7d7312c2c2140e31feca44408ab6b06ef12beff43561dbb41a6b4be3b1</vt:lpwstr>
  </property>
</Properties>
</file>