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EC4C6AF" w:rsidR="00DD3D9E" w:rsidRPr="00053EA6" w:rsidRDefault="00C907D7">
      <w:pPr>
        <w:pStyle w:val="Els-Title"/>
      </w:pPr>
      <w:r w:rsidRPr="00053EA6">
        <w:t>A h</w:t>
      </w:r>
      <w:r w:rsidR="00D731BF" w:rsidRPr="00053EA6">
        <w:t>ybrid evolutionary algorithm for multi-energy system planning under uncertainty</w:t>
      </w:r>
    </w:p>
    <w:p w14:paraId="144DE680" w14:textId="3E47EEBA" w:rsidR="00DD3D9E" w:rsidRPr="00053EA6" w:rsidRDefault="00DD61D2">
      <w:pPr>
        <w:pStyle w:val="Els-Author"/>
        <w:rPr>
          <w:lang w:val="de-DE"/>
        </w:rPr>
      </w:pPr>
      <w:r w:rsidRPr="00053EA6">
        <w:rPr>
          <w:lang w:val="de-DE"/>
        </w:rPr>
        <w:t>Hagen Seele</w:t>
      </w:r>
      <w:r w:rsidRPr="00053EA6">
        <w:rPr>
          <w:vertAlign w:val="superscript"/>
          <w:lang w:val="de-DE"/>
        </w:rPr>
        <w:t>a</w:t>
      </w:r>
      <w:r w:rsidRPr="00053EA6">
        <w:rPr>
          <w:lang w:val="de-DE"/>
        </w:rPr>
        <w:t>, Florian Seibel</w:t>
      </w:r>
      <w:r w:rsidRPr="00053EA6">
        <w:rPr>
          <w:vertAlign w:val="superscript"/>
          <w:lang w:val="de-DE"/>
        </w:rPr>
        <w:t>a</w:t>
      </w:r>
      <w:r w:rsidRPr="00053EA6">
        <w:rPr>
          <w:lang w:val="de-DE"/>
        </w:rPr>
        <w:t>, Dörthe Franzisca Hagedorn</w:t>
      </w:r>
      <w:r w:rsidRPr="00053EA6">
        <w:rPr>
          <w:vertAlign w:val="superscript"/>
          <w:lang w:val="de-DE"/>
        </w:rPr>
        <w:t>a</w:t>
      </w:r>
      <w:r w:rsidRPr="00053EA6">
        <w:rPr>
          <w:lang w:val="de-DE"/>
        </w:rPr>
        <w:t>, Christiane Reinert</w:t>
      </w:r>
      <w:r w:rsidRPr="00053EA6">
        <w:rPr>
          <w:vertAlign w:val="superscript"/>
          <w:lang w:val="de-DE"/>
        </w:rPr>
        <w:t>a</w:t>
      </w:r>
      <w:r w:rsidRPr="00053EA6">
        <w:rPr>
          <w:lang w:val="de-DE"/>
        </w:rPr>
        <w:t>, Niklas von der Assen</w:t>
      </w:r>
      <w:r w:rsidRPr="00053EA6">
        <w:rPr>
          <w:vertAlign w:val="superscript"/>
          <w:lang w:val="de-DE"/>
        </w:rPr>
        <w:t>a,*</w:t>
      </w:r>
    </w:p>
    <w:p w14:paraId="64D1CC6D" w14:textId="77777777" w:rsidR="00C76B73" w:rsidRPr="00053EA6" w:rsidRDefault="00C76B73" w:rsidP="00C76B73">
      <w:pPr>
        <w:pStyle w:val="Els-Affiliation"/>
        <w:rPr>
          <w:lang w:val="en-US"/>
        </w:rPr>
      </w:pPr>
      <w:r w:rsidRPr="00053EA6">
        <w:rPr>
          <w:vertAlign w:val="superscript"/>
          <w:lang w:val="en-US"/>
        </w:rPr>
        <w:t>a</w:t>
      </w:r>
      <w:r w:rsidRPr="00053EA6">
        <w:rPr>
          <w:lang w:val="en-US"/>
        </w:rPr>
        <w:t>Institute of Technical Thermodynamics, RWTH Aachen University, Schinkelstr. 8,</w:t>
      </w:r>
    </w:p>
    <w:p w14:paraId="5F9C5699" w14:textId="77777777" w:rsidR="00C76B73" w:rsidRPr="00053EA6" w:rsidRDefault="00C76B73" w:rsidP="00C76B73">
      <w:pPr>
        <w:pStyle w:val="Els-Affiliation"/>
        <w:rPr>
          <w:lang w:val="en-US"/>
        </w:rPr>
      </w:pPr>
      <w:r w:rsidRPr="00053EA6">
        <w:rPr>
          <w:lang w:val="en-US"/>
        </w:rPr>
        <w:t>52062 Aachen, Germany</w:t>
      </w:r>
    </w:p>
    <w:p w14:paraId="0BB32618" w14:textId="7F6BE010" w:rsidR="00C76B73" w:rsidRPr="00053EA6" w:rsidRDefault="00F110A5" w:rsidP="00C76B73">
      <w:pPr>
        <w:pStyle w:val="Els-Affiliation"/>
        <w:spacing w:after="120"/>
        <w:rPr>
          <w:lang w:val="en-US"/>
        </w:rPr>
      </w:pPr>
      <w:r w:rsidRPr="00053EA6">
        <w:rPr>
          <w:vertAlign w:val="superscript"/>
          <w:lang w:val="en-US"/>
        </w:rPr>
        <w:t>*</w:t>
      </w:r>
      <w:r w:rsidR="00C76B73" w:rsidRPr="00053EA6">
        <w:rPr>
          <w:lang w:val="en-US"/>
        </w:rPr>
        <w:t>niklas.vonderassen@ltt.rwth-aachen.de</w:t>
      </w:r>
    </w:p>
    <w:p w14:paraId="72C91984" w14:textId="77777777" w:rsidR="00C76B73" w:rsidRPr="00053EA6" w:rsidRDefault="00C76B73" w:rsidP="00C76B73">
      <w:pPr>
        <w:pStyle w:val="Els-Abstract"/>
      </w:pPr>
      <w:r w:rsidRPr="00053EA6">
        <w:t>Abstract</w:t>
      </w:r>
    </w:p>
    <w:p w14:paraId="27E4E300" w14:textId="63E423FF" w:rsidR="00C76B73" w:rsidRPr="00053EA6" w:rsidRDefault="00F4191E" w:rsidP="00C76B73">
      <w:pPr>
        <w:pStyle w:val="Els-body-text"/>
        <w:spacing w:after="120"/>
        <w:rPr>
          <w:bCs/>
        </w:rPr>
      </w:pPr>
      <w:r w:rsidRPr="00053EA6">
        <w:rPr>
          <w:bCs/>
        </w:rPr>
        <w:t xml:space="preserve">The transition </w:t>
      </w:r>
      <w:r w:rsidR="00C76B73" w:rsidRPr="00053EA6">
        <w:rPr>
          <w:bCs/>
        </w:rPr>
        <w:t>from fossil-based to renewable energy systems</w:t>
      </w:r>
      <w:r w:rsidRPr="00053EA6">
        <w:rPr>
          <w:bCs/>
        </w:rPr>
        <w:t xml:space="preserve"> is accompanied by many uncertainties. Thus</w:t>
      </w:r>
      <w:r w:rsidR="00C76B73" w:rsidRPr="00053EA6">
        <w:rPr>
          <w:bCs/>
        </w:rPr>
        <w:t xml:space="preserve">, </w:t>
      </w:r>
      <w:r w:rsidRPr="00053EA6">
        <w:rPr>
          <w:bCs/>
        </w:rPr>
        <w:t>reliable</w:t>
      </w:r>
      <w:r w:rsidR="00C76B73" w:rsidRPr="00053EA6">
        <w:rPr>
          <w:bCs/>
        </w:rPr>
        <w:t xml:space="preserve"> decision-making tools </w:t>
      </w:r>
      <w:r w:rsidRPr="00053EA6">
        <w:rPr>
          <w:bCs/>
        </w:rPr>
        <w:t xml:space="preserve">for energy system planners </w:t>
      </w:r>
      <w:r w:rsidR="00C76B73" w:rsidRPr="00053EA6">
        <w:rPr>
          <w:bCs/>
        </w:rPr>
        <w:t xml:space="preserve">are vital. This paper introduces a hybrid evolutionary algorithm (HEA) for energy system planning while considering multiple sources of uncertainty. The HEA </w:t>
      </w:r>
      <w:r w:rsidR="0009262A" w:rsidRPr="00053EA6">
        <w:rPr>
          <w:bCs/>
        </w:rPr>
        <w:t>minimizes</w:t>
      </w:r>
      <w:r w:rsidR="00C76B73" w:rsidRPr="00053EA6">
        <w:rPr>
          <w:bCs/>
        </w:rPr>
        <w:t xml:space="preserve"> the expected total annualized cost of a</w:t>
      </w:r>
      <w:r w:rsidR="0009262A" w:rsidRPr="00053EA6">
        <w:rPr>
          <w:bCs/>
        </w:rPr>
        <w:t xml:space="preserve"> sector-coupled</w:t>
      </w:r>
      <w:r w:rsidR="00C76B73" w:rsidRPr="00053EA6">
        <w:rPr>
          <w:bCs/>
        </w:rPr>
        <w:t xml:space="preserve"> energy system by solving a two-stage stochastic program. The algorithm combines an evolutionary algorithm for</w:t>
      </w:r>
      <w:r w:rsidRPr="00053EA6">
        <w:rPr>
          <w:bCs/>
        </w:rPr>
        <w:t xml:space="preserve"> the first-stage</w:t>
      </w:r>
      <w:r w:rsidR="00C76B73" w:rsidRPr="00053EA6">
        <w:rPr>
          <w:bCs/>
        </w:rPr>
        <w:t xml:space="preserve"> investment decisions with global optimization for </w:t>
      </w:r>
      <w:r w:rsidRPr="00053EA6">
        <w:rPr>
          <w:bCs/>
        </w:rPr>
        <w:t xml:space="preserve">second-stage </w:t>
      </w:r>
      <w:r w:rsidR="00C76B73" w:rsidRPr="00053EA6">
        <w:rPr>
          <w:bCs/>
        </w:rPr>
        <w:t xml:space="preserve">operational decisions. </w:t>
      </w:r>
      <w:r w:rsidR="0009262A" w:rsidRPr="00053EA6">
        <w:rPr>
          <w:bCs/>
        </w:rPr>
        <w:t>Our</w:t>
      </w:r>
      <w:r w:rsidR="00C76B73" w:rsidRPr="00053EA6">
        <w:rPr>
          <w:bCs/>
        </w:rPr>
        <w:t xml:space="preserve"> HEA contains three key developments: </w:t>
      </w:r>
      <w:r w:rsidRPr="00053EA6">
        <w:rPr>
          <w:bCs/>
        </w:rPr>
        <w:t>(</w:t>
      </w:r>
      <w:proofErr w:type="spellStart"/>
      <w:r w:rsidRPr="00053EA6">
        <w:rPr>
          <w:bCs/>
        </w:rPr>
        <w:t>i</w:t>
      </w:r>
      <w:proofErr w:type="spellEnd"/>
      <w:r w:rsidRPr="00053EA6">
        <w:rPr>
          <w:bCs/>
        </w:rPr>
        <w:t>) a</w:t>
      </w:r>
      <w:r w:rsidR="00C76B73" w:rsidRPr="00053EA6">
        <w:rPr>
          <w:bCs/>
        </w:rPr>
        <w:t xml:space="preserve"> graph-based representation of energy systems rendering the definition of a superstructure obsolete,</w:t>
      </w:r>
      <w:r w:rsidRPr="00053EA6">
        <w:rPr>
          <w:bCs/>
        </w:rPr>
        <w:t xml:space="preserve"> (ii)</w:t>
      </w:r>
      <w:r w:rsidR="00C76B73" w:rsidRPr="00053EA6">
        <w:rPr>
          <w:bCs/>
        </w:rPr>
        <w:t xml:space="preserve"> a subsystem recombination operator for refining design candidates, and </w:t>
      </w:r>
      <w:r w:rsidRPr="00053EA6">
        <w:rPr>
          <w:bCs/>
        </w:rPr>
        <w:t xml:space="preserve">(iii) </w:t>
      </w:r>
      <w:r w:rsidR="00C76B73" w:rsidRPr="00053EA6">
        <w:rPr>
          <w:bCs/>
        </w:rPr>
        <w:t xml:space="preserve">an extendable mutation operation based on a so-called energy conversion hierarchy. We evaluate the HEA in terms of computational performance and solution quality </w:t>
      </w:r>
      <w:r w:rsidRPr="00053EA6">
        <w:rPr>
          <w:bCs/>
        </w:rPr>
        <w:t>within</w:t>
      </w:r>
      <w:r w:rsidR="00C76B73" w:rsidRPr="00053EA6">
        <w:rPr>
          <w:bCs/>
        </w:rPr>
        <w:t xml:space="preserve"> a case study. The case study focuses on designing an industrial energy system. As</w:t>
      </w:r>
      <w:r w:rsidR="0082045E">
        <w:rPr>
          <w:bCs/>
        </w:rPr>
        <w:t xml:space="preserve"> a</w:t>
      </w:r>
      <w:r w:rsidR="00C76B73" w:rsidRPr="00053EA6">
        <w:rPr>
          <w:bCs/>
        </w:rPr>
        <w:t xml:space="preserve"> benchmark</w:t>
      </w:r>
      <w:r w:rsidRPr="00053EA6">
        <w:rPr>
          <w:bCs/>
        </w:rPr>
        <w:t xml:space="preserve"> approach</w:t>
      </w:r>
      <w:r w:rsidR="00C76B73" w:rsidRPr="00053EA6">
        <w:rPr>
          <w:bCs/>
        </w:rPr>
        <w:t xml:space="preserve">, we use a superstructure-based design optimization. We compare the approaches for design tasks of increasing complexity, i.e., we increase the number of scenarios for the two-stage stochastic programs. We find that the HEA can identify designs of slightly lower total annualized cost compared to the superstructure-based optimization. Furthermore, we find that the </w:t>
      </w:r>
      <w:r w:rsidR="002C4886" w:rsidRPr="00053EA6">
        <w:rPr>
          <w:bCs/>
        </w:rPr>
        <w:t>computation</w:t>
      </w:r>
      <w:r w:rsidR="007C64E3" w:rsidRPr="00053EA6">
        <w:rPr>
          <w:bCs/>
        </w:rPr>
        <w:t>al</w:t>
      </w:r>
      <w:r w:rsidR="002C4886" w:rsidRPr="00053EA6">
        <w:rPr>
          <w:bCs/>
        </w:rPr>
        <w:t xml:space="preserve"> time of the HEA increases less strongly when considering a </w:t>
      </w:r>
      <w:r w:rsidR="00C76B73" w:rsidRPr="00053EA6">
        <w:rPr>
          <w:bCs/>
        </w:rPr>
        <w:t xml:space="preserve">higher number of scenarios. Thus, the HEA </w:t>
      </w:r>
      <w:r w:rsidRPr="00053EA6">
        <w:rPr>
          <w:bCs/>
        </w:rPr>
        <w:t>can be</w:t>
      </w:r>
      <w:r w:rsidR="00C76B73" w:rsidRPr="00053EA6">
        <w:rPr>
          <w:bCs/>
        </w:rPr>
        <w:t xml:space="preserve"> a promising alternative to superstructure-based approaches for identifying energy system designs under uncertainty.</w:t>
      </w:r>
    </w:p>
    <w:p w14:paraId="021BDCA0" w14:textId="3E070B87" w:rsidR="00C76B73" w:rsidRPr="00053EA6" w:rsidRDefault="00C76B73" w:rsidP="00DD61D2">
      <w:pPr>
        <w:pStyle w:val="Els-body-text"/>
        <w:spacing w:after="120"/>
      </w:pPr>
      <w:r w:rsidRPr="00053EA6">
        <w:rPr>
          <w:b/>
          <w:bCs/>
        </w:rPr>
        <w:t>Keywords</w:t>
      </w:r>
      <w:r w:rsidRPr="00053EA6">
        <w:t>: Synthesis, Distributed multi-energy systems, Multiple uncertainties, Graph-based representation.</w:t>
      </w:r>
    </w:p>
    <w:p w14:paraId="01EBA718" w14:textId="77777777" w:rsidR="00C76B73" w:rsidRPr="00053EA6" w:rsidRDefault="00C76B73" w:rsidP="00C76B73">
      <w:pPr>
        <w:pStyle w:val="Els-1storder-head"/>
      </w:pPr>
      <w:r w:rsidRPr="00053EA6">
        <w:t>Introduction</w:t>
      </w:r>
    </w:p>
    <w:p w14:paraId="4875E357" w14:textId="63DDE916" w:rsidR="00C76B73" w:rsidRPr="00053EA6" w:rsidRDefault="00C76B73" w:rsidP="00C76B73">
      <w:pPr>
        <w:jc w:val="both"/>
        <w:rPr>
          <w:lang w:val="en-US"/>
        </w:rPr>
      </w:pPr>
      <w:r w:rsidRPr="00053EA6">
        <w:rPr>
          <w:lang w:val="en-US"/>
        </w:rPr>
        <w:t xml:space="preserve">Transitioning from fossil-based to renewable energy systems necessitates prompt investments in complex infrastructure, despite facing uncertainties (Roald et al., 2023). Here, process system engineering techniques as reviewed by </w:t>
      </w:r>
      <w:proofErr w:type="spellStart"/>
      <w:r w:rsidRPr="00053EA6">
        <w:rPr>
          <w:lang w:val="en-US"/>
        </w:rPr>
        <w:t>Pistikopoulous</w:t>
      </w:r>
      <w:proofErr w:type="spellEnd"/>
      <w:r w:rsidRPr="00053EA6">
        <w:rPr>
          <w:lang w:val="en-US"/>
        </w:rPr>
        <w:t xml:space="preserve"> et al. (2021)</w:t>
      </w:r>
      <w:r w:rsidR="00AA1C14" w:rsidRPr="00053EA6">
        <w:rPr>
          <w:lang w:val="en-US"/>
        </w:rPr>
        <w:t>,</w:t>
      </w:r>
      <w:r w:rsidRPr="00053EA6">
        <w:rPr>
          <w:lang w:val="en-US"/>
        </w:rPr>
        <w:t xml:space="preserve"> can aid solving design tasks </w:t>
      </w:r>
      <w:r w:rsidR="00FF6EF9" w:rsidRPr="00053EA6">
        <w:rPr>
          <w:lang w:val="en-US"/>
        </w:rPr>
        <w:t>regarding</w:t>
      </w:r>
      <w:r w:rsidRPr="00053EA6">
        <w:rPr>
          <w:lang w:val="en-US"/>
        </w:rPr>
        <w:t xml:space="preserve"> synthesis and design decisions. For example, superstructure-based optimization has been successfully applied to energy system planning problems. To consider uncertainty in energy system planning, various methods exist, e.g., stochastic programming (Fodstad et al., 2022). However, developing feasible solution strategies can be challenging as superstructure-based optimization models often yield large-scale non-convex optimization problems</w:t>
      </w:r>
      <w:r w:rsidR="00011719" w:rsidRPr="00053EA6">
        <w:rPr>
          <w:lang w:val="en-US"/>
        </w:rPr>
        <w:t xml:space="preserve"> which </w:t>
      </w:r>
      <w:r w:rsidR="00800644" w:rsidRPr="00053EA6">
        <w:rPr>
          <w:lang w:val="en-US"/>
        </w:rPr>
        <w:t>can be</w:t>
      </w:r>
      <w:r w:rsidR="00011719" w:rsidRPr="00053EA6">
        <w:rPr>
          <w:lang w:val="en-US"/>
        </w:rPr>
        <w:t xml:space="preserve"> hard to solve</w:t>
      </w:r>
      <w:r w:rsidRPr="00053EA6">
        <w:rPr>
          <w:lang w:val="en-US"/>
        </w:rPr>
        <w:t xml:space="preserve"> (Mencarelli et al., 2020). To deal with the potentially prohibitive computational burden </w:t>
      </w:r>
      <w:r w:rsidRPr="00053EA6">
        <w:rPr>
          <w:lang w:val="en-US"/>
        </w:rPr>
        <w:lastRenderedPageBreak/>
        <w:t xml:space="preserve">of solving the design task, evolutionary algorithms (EAs) can be a valuable search heuristic. Zhou et al. (2013) develop a superstructure-based </w:t>
      </w:r>
      <w:r w:rsidR="00BE56E2" w:rsidRPr="00053EA6">
        <w:rPr>
          <w:lang w:val="en-US"/>
        </w:rPr>
        <w:t xml:space="preserve">hybrid </w:t>
      </w:r>
      <w:r w:rsidRPr="00053EA6">
        <w:rPr>
          <w:lang w:val="en-US"/>
        </w:rPr>
        <w:t xml:space="preserve">EA </w:t>
      </w:r>
      <w:r w:rsidR="00B31F06" w:rsidRPr="00053EA6">
        <w:rPr>
          <w:lang w:val="en-US"/>
        </w:rPr>
        <w:t>adopting a</w:t>
      </w:r>
      <w:r w:rsidR="00BE56E2" w:rsidRPr="00053EA6">
        <w:rPr>
          <w:lang w:val="en-US"/>
        </w:rPr>
        <w:t xml:space="preserve">n EA for chemical batch scheduling </w:t>
      </w:r>
      <w:r w:rsidRPr="00053EA6">
        <w:rPr>
          <w:lang w:val="en-US"/>
        </w:rPr>
        <w:t>and apply it to an energy system planning problem.</w:t>
      </w:r>
      <w:r w:rsidR="006F3814" w:rsidRPr="00053EA6">
        <w:rPr>
          <w:lang w:val="en-US"/>
        </w:rPr>
        <w:t xml:space="preserve"> </w:t>
      </w:r>
      <w:r w:rsidRPr="00053EA6">
        <w:rPr>
          <w:lang w:val="en-US"/>
        </w:rPr>
        <w:t>However, the loss in computational performance did not outweigh the benefits of considering uncertainty in the</w:t>
      </w:r>
      <w:r w:rsidR="00DC4CD2" w:rsidRPr="00053EA6">
        <w:rPr>
          <w:lang w:val="en-US"/>
        </w:rPr>
        <w:t>ir</w:t>
      </w:r>
      <w:r w:rsidRPr="00053EA6">
        <w:rPr>
          <w:lang w:val="en-US"/>
        </w:rPr>
        <w:t xml:space="preserve"> case study. Furthermore, defining superstructures can </w:t>
      </w:r>
      <w:r w:rsidR="00FF6EF9" w:rsidRPr="00053EA6">
        <w:rPr>
          <w:lang w:val="en-US"/>
        </w:rPr>
        <w:t xml:space="preserve">already </w:t>
      </w:r>
      <w:r w:rsidRPr="00053EA6">
        <w:rPr>
          <w:lang w:val="en-US"/>
        </w:rPr>
        <w:t>be a cumbersome task. Voll et al. (2012) develop a sophisticated superstructure-free approach</w:t>
      </w:r>
      <w:r w:rsidR="00304911" w:rsidRPr="00053EA6">
        <w:rPr>
          <w:lang w:val="en-US"/>
        </w:rPr>
        <w:t xml:space="preserve"> featuring a problem-specific EA</w:t>
      </w:r>
      <w:r w:rsidRPr="00053EA6">
        <w:rPr>
          <w:lang w:val="en-US"/>
        </w:rPr>
        <w:t xml:space="preserve"> for solving the design task; however, without the consideration of uncertainty</w:t>
      </w:r>
      <w:r w:rsidR="006B2EAD" w:rsidRPr="00053EA6">
        <w:rPr>
          <w:lang w:val="en-US"/>
        </w:rPr>
        <w:t xml:space="preserve">. </w:t>
      </w:r>
      <w:r w:rsidRPr="00053EA6">
        <w:rPr>
          <w:lang w:val="en-US"/>
        </w:rPr>
        <w:t xml:space="preserve">In this </w:t>
      </w:r>
      <w:r w:rsidR="005A6451" w:rsidRPr="00053EA6">
        <w:rPr>
          <w:lang w:val="en-US"/>
        </w:rPr>
        <w:t>paper</w:t>
      </w:r>
      <w:r w:rsidRPr="00053EA6">
        <w:rPr>
          <w:lang w:val="en-US"/>
        </w:rPr>
        <w:t xml:space="preserve">, </w:t>
      </w:r>
      <w:r w:rsidR="005A6451" w:rsidRPr="00053EA6">
        <w:rPr>
          <w:lang w:val="en-US"/>
        </w:rPr>
        <w:t xml:space="preserve">we build upon </w:t>
      </w:r>
      <w:r w:rsidR="003A7298" w:rsidRPr="00053EA6">
        <w:rPr>
          <w:lang w:val="en-US"/>
        </w:rPr>
        <w:t>the</w:t>
      </w:r>
      <w:r w:rsidR="00DC4CD2" w:rsidRPr="00053EA6">
        <w:rPr>
          <w:lang w:val="en-US"/>
        </w:rPr>
        <w:t>ir</w:t>
      </w:r>
      <w:r w:rsidR="003A7298" w:rsidRPr="00053EA6">
        <w:rPr>
          <w:lang w:val="en-US"/>
        </w:rPr>
        <w:t xml:space="preserve"> superstructure-free approach </w:t>
      </w:r>
      <w:r w:rsidR="00A4207D" w:rsidRPr="00053EA6">
        <w:rPr>
          <w:lang w:val="en-US"/>
        </w:rPr>
        <w:t>by considering uncertainty with a two-stage stochastic program</w:t>
      </w:r>
      <w:r w:rsidR="00304911" w:rsidRPr="00053EA6">
        <w:rPr>
          <w:lang w:val="en-US"/>
        </w:rPr>
        <w:t xml:space="preserve"> and </w:t>
      </w:r>
      <w:r w:rsidR="007C73F2" w:rsidRPr="00053EA6">
        <w:rPr>
          <w:lang w:val="en-US"/>
        </w:rPr>
        <w:t>using</w:t>
      </w:r>
      <w:r w:rsidR="00304911" w:rsidRPr="00053EA6">
        <w:rPr>
          <w:lang w:val="en-US"/>
        </w:rPr>
        <w:t xml:space="preserve"> a </w:t>
      </w:r>
      <w:r w:rsidR="00484542" w:rsidRPr="00053EA6">
        <w:rPr>
          <w:lang w:val="en-US"/>
        </w:rPr>
        <w:t>two-</w:t>
      </w:r>
      <w:r w:rsidR="00304911" w:rsidRPr="00053EA6">
        <w:rPr>
          <w:lang w:val="en-US"/>
        </w:rPr>
        <w:t>stage</w:t>
      </w:r>
      <w:r w:rsidR="00484542" w:rsidRPr="00053EA6">
        <w:rPr>
          <w:lang w:val="en-US"/>
        </w:rPr>
        <w:t xml:space="preserve"> </w:t>
      </w:r>
      <w:r w:rsidR="00304911" w:rsidRPr="00053EA6">
        <w:rPr>
          <w:lang w:val="en-US"/>
        </w:rPr>
        <w:t xml:space="preserve">decomposition </w:t>
      </w:r>
      <w:r w:rsidR="00A73276" w:rsidRPr="00053EA6">
        <w:rPr>
          <w:lang w:val="en-US"/>
        </w:rPr>
        <w:t>like</w:t>
      </w:r>
      <w:r w:rsidR="00304911" w:rsidRPr="00053EA6">
        <w:rPr>
          <w:lang w:val="en-US"/>
        </w:rPr>
        <w:t xml:space="preserve"> Zhou et al. (2013)</w:t>
      </w:r>
      <w:r w:rsidR="00D27E09" w:rsidRPr="00053EA6">
        <w:rPr>
          <w:lang w:val="en-US"/>
        </w:rPr>
        <w:t>.</w:t>
      </w:r>
      <w:r w:rsidR="008D19E4" w:rsidRPr="00053EA6">
        <w:rPr>
          <w:lang w:val="en-US"/>
        </w:rPr>
        <w:t xml:space="preserve"> </w:t>
      </w:r>
      <w:r w:rsidR="00D27E09" w:rsidRPr="00053EA6">
        <w:t xml:space="preserve">As the EA of </w:t>
      </w:r>
      <w:r w:rsidR="00D27E09" w:rsidRPr="00053EA6">
        <w:rPr>
          <w:lang w:val="en-US"/>
        </w:rPr>
        <w:t xml:space="preserve">Voll et al. (2012) </w:t>
      </w:r>
      <w:r w:rsidR="00D27E09" w:rsidRPr="00053EA6">
        <w:t>does not address component sizing, adopting their approach is non-trivial</w:t>
      </w:r>
      <w:r w:rsidR="008D19E4" w:rsidRPr="00053EA6">
        <w:rPr>
          <w:lang w:val="en-US"/>
        </w:rPr>
        <w:t xml:space="preserve">: </w:t>
      </w:r>
      <w:r w:rsidR="00A73276" w:rsidRPr="00053EA6">
        <w:rPr>
          <w:lang w:val="en-US"/>
        </w:rPr>
        <w:t>We extend</w:t>
      </w:r>
      <w:r w:rsidR="00A4207D" w:rsidRPr="00053EA6">
        <w:rPr>
          <w:lang w:val="en-US"/>
        </w:rPr>
        <w:t xml:space="preserve"> the mutation operator</w:t>
      </w:r>
      <w:r w:rsidR="00A73276" w:rsidRPr="00053EA6">
        <w:rPr>
          <w:lang w:val="en-US"/>
        </w:rPr>
        <w:t xml:space="preserve"> of Voll et al. (2012)</w:t>
      </w:r>
      <w:r w:rsidR="00A4207D" w:rsidRPr="00053EA6">
        <w:rPr>
          <w:lang w:val="en-US"/>
        </w:rPr>
        <w:t xml:space="preserve"> to also adjust component capacities, </w:t>
      </w:r>
      <w:r w:rsidR="003A7298" w:rsidRPr="00053EA6">
        <w:rPr>
          <w:lang w:val="en-US"/>
        </w:rPr>
        <w:t>introduce</w:t>
      </w:r>
      <w:r w:rsidR="00A73276" w:rsidRPr="00053EA6">
        <w:rPr>
          <w:lang w:val="en-US"/>
        </w:rPr>
        <w:t xml:space="preserve"> </w:t>
      </w:r>
      <w:r w:rsidR="00A4207D" w:rsidRPr="00053EA6">
        <w:rPr>
          <w:lang w:val="en-US"/>
        </w:rPr>
        <w:t xml:space="preserve">a recombination operator, and </w:t>
      </w:r>
      <w:r w:rsidR="003A7298" w:rsidRPr="00053EA6">
        <w:rPr>
          <w:lang w:val="en-US"/>
        </w:rPr>
        <w:t>propose</w:t>
      </w:r>
      <w:r w:rsidR="00A4207D" w:rsidRPr="00053EA6">
        <w:rPr>
          <w:lang w:val="en-US"/>
        </w:rPr>
        <w:t xml:space="preserve"> a graph-based representation. </w:t>
      </w:r>
      <w:r w:rsidR="008B59C0" w:rsidRPr="00053EA6">
        <w:t xml:space="preserve">Besides, we note that our approach adopts an evolution strategy and parameter control, both being outlined by Eiben and Smith (2015). </w:t>
      </w:r>
      <w:r w:rsidR="00A4207D" w:rsidRPr="00053EA6">
        <w:rPr>
          <w:lang w:val="en-US"/>
        </w:rPr>
        <w:t xml:space="preserve">In the following, we present </w:t>
      </w:r>
      <w:r w:rsidR="00A73276" w:rsidRPr="00053EA6">
        <w:rPr>
          <w:lang w:val="en-US"/>
        </w:rPr>
        <w:t>our</w:t>
      </w:r>
      <w:r w:rsidR="00A4207D" w:rsidRPr="00053EA6">
        <w:rPr>
          <w:lang w:val="en-US"/>
        </w:rPr>
        <w:t xml:space="preserve"> </w:t>
      </w:r>
      <w:r w:rsidRPr="00053EA6">
        <w:rPr>
          <w:lang w:val="en-US"/>
        </w:rPr>
        <w:t xml:space="preserve">superstructure-free hybrid evolutionary algorithm for energy system planning </w:t>
      </w:r>
      <w:r w:rsidR="00A4207D" w:rsidRPr="00053EA6">
        <w:rPr>
          <w:lang w:val="en-US"/>
        </w:rPr>
        <w:t xml:space="preserve">under </w:t>
      </w:r>
      <w:r w:rsidRPr="00053EA6">
        <w:rPr>
          <w:lang w:val="en-US"/>
        </w:rPr>
        <w:t>uncertainty.</w:t>
      </w:r>
    </w:p>
    <w:p w14:paraId="6D9F641A" w14:textId="77777777" w:rsidR="00C76B73" w:rsidRPr="00053EA6" w:rsidRDefault="00C76B73" w:rsidP="00C76B73">
      <w:pPr>
        <w:pStyle w:val="Els-1storder-head"/>
      </w:pPr>
      <w:r w:rsidRPr="00053EA6">
        <w:t>Method: Hybrid evolutionary algorithm for energy system planning</w:t>
      </w:r>
    </w:p>
    <w:p w14:paraId="16D03A66" w14:textId="77777777" w:rsidR="00C76B73" w:rsidRPr="00053EA6" w:rsidRDefault="00C76B73" w:rsidP="00C76B73">
      <w:pPr>
        <w:pStyle w:val="Els-2ndorder-head"/>
      </w:pPr>
      <w:r w:rsidRPr="00053EA6">
        <w:t>Overview</w:t>
      </w:r>
      <w:r w:rsidRPr="00053EA6">
        <w:rPr>
          <w:noProof/>
        </w:rPr>
        <w:t xml:space="preserve"> </w:t>
      </w:r>
    </w:p>
    <w:p w14:paraId="792A58F8" w14:textId="79D9729D" w:rsidR="00A15A35" w:rsidRPr="00053EA6" w:rsidRDefault="00756AF3" w:rsidP="00A15A35">
      <w:pPr>
        <w:pStyle w:val="Els-body-text"/>
      </w:pPr>
      <w:bookmarkStart w:id="0" w:name="_Hlk151501932"/>
      <w:r w:rsidRPr="00053EA6">
        <w:t xml:space="preserve">Our </w:t>
      </w:r>
      <w:r w:rsidR="00AA7952" w:rsidRPr="00053EA6">
        <w:t xml:space="preserve">hybrid evolutionary algorithm </w:t>
      </w:r>
      <w:r w:rsidR="00DD4AFD" w:rsidRPr="00053EA6">
        <w:t xml:space="preserve">(HEA) </w:t>
      </w:r>
      <w:r w:rsidR="00C76B73" w:rsidRPr="00053EA6">
        <w:t>aims to solve a two-stage stochastic program with recourse for energy system planning under uncertainty</w:t>
      </w:r>
      <w:bookmarkEnd w:id="0"/>
      <w:r w:rsidR="00C76B73" w:rsidRPr="00053EA6">
        <w:t>. Here, uncertainty is represented by a set of probability-weighted scenarios.</w:t>
      </w:r>
      <w:r w:rsidR="00C907D7" w:rsidRPr="00053EA6">
        <w:t xml:space="preserve"> The HEA aims to identify the individual, i.e., energy system design, with the highest fitness. </w:t>
      </w:r>
      <w:r w:rsidR="00636BC7" w:rsidRPr="00053EA6">
        <w:t xml:space="preserve">We measure the fitness of an individual by the expected total annualized cost to be able to rank designs candidates. </w:t>
      </w:r>
      <w:r w:rsidR="00C907D7" w:rsidRPr="00053EA6">
        <w:t xml:space="preserve">The key idea of our HEA </w:t>
      </w:r>
      <w:r w:rsidR="005F75DF" w:rsidRPr="00053EA6">
        <w:t xml:space="preserve">for solving the stochastic program </w:t>
      </w:r>
      <w:r w:rsidR="00C907D7" w:rsidRPr="00053EA6">
        <w:t xml:space="preserve">is to address the investment decision variables with an EA and the operational decision </w:t>
      </w:r>
      <w:r w:rsidR="0029493E">
        <w:t xml:space="preserve">variables </w:t>
      </w:r>
      <w:r w:rsidR="00C907D7" w:rsidRPr="00053EA6">
        <w:t>with global optimization</w:t>
      </w:r>
      <w:r w:rsidR="00766602" w:rsidRPr="00053EA6">
        <w:t>:</w:t>
      </w:r>
      <w:r w:rsidR="00DE1CFF" w:rsidRPr="00053EA6">
        <w:t xml:space="preserve"> </w:t>
      </w:r>
      <w:r w:rsidR="00E77292" w:rsidRPr="00053EA6">
        <w:t>an</w:t>
      </w:r>
      <w:r w:rsidR="00636BC7" w:rsidRPr="00053EA6">
        <w:t xml:space="preserve"> </w:t>
      </w:r>
      <w:r w:rsidR="00E77292" w:rsidRPr="00053EA6">
        <w:t xml:space="preserve">EA addresses the </w:t>
      </w:r>
      <w:r w:rsidR="00636BC7" w:rsidRPr="00053EA6">
        <w:t xml:space="preserve">first stage of the here-and-now decisions while the second stage of the wait-and-see decisions is addressed by solving mixed-integer linear programs (MILPs). </w:t>
      </w:r>
      <w:r w:rsidR="00484542" w:rsidRPr="00053EA6">
        <w:t>As a consequence</w:t>
      </w:r>
      <w:r w:rsidR="005F75DF" w:rsidRPr="00053EA6">
        <w:t xml:space="preserve">, </w:t>
      </w:r>
      <w:r w:rsidR="00636BC7" w:rsidRPr="00053EA6">
        <w:t>we can define independent MILPs for determining operational expenditure for each scenario</w:t>
      </w:r>
      <w:r w:rsidR="00484542" w:rsidRPr="00053EA6">
        <w:t xml:space="preserve"> removing the ties between the scenario subproblems</w:t>
      </w:r>
      <w:r w:rsidR="0029493E">
        <w:t xml:space="preserve">. This decoupling </w:t>
      </w:r>
      <w:r w:rsidR="00636BC7" w:rsidRPr="00053EA6">
        <w:t>reduc</w:t>
      </w:r>
      <w:r w:rsidR="0029493E">
        <w:t>es</w:t>
      </w:r>
      <w:r w:rsidR="00636BC7" w:rsidRPr="00053EA6">
        <w:t xml:space="preserve"> </w:t>
      </w:r>
      <w:r w:rsidR="005F75DF" w:rsidRPr="00053EA6">
        <w:t>sub</w:t>
      </w:r>
      <w:r w:rsidR="00636BC7" w:rsidRPr="00053EA6">
        <w:t>problem complexity and allow</w:t>
      </w:r>
      <w:r w:rsidR="0029493E">
        <w:t>s</w:t>
      </w:r>
      <w:r w:rsidR="00636BC7" w:rsidRPr="00053EA6">
        <w:t xml:space="preserve"> for parallel computation.</w:t>
      </w:r>
    </w:p>
    <w:p w14:paraId="5759A8FF" w14:textId="77777777" w:rsidR="00A575EA" w:rsidRPr="00053EA6" w:rsidRDefault="00A575EA" w:rsidP="00A15A35">
      <w:pPr>
        <w:pStyle w:val="Els-body-text"/>
      </w:pPr>
    </w:p>
    <w:p w14:paraId="3D3C8892" w14:textId="61C9CD6B" w:rsidR="00A575EA" w:rsidRPr="00053EA6" w:rsidRDefault="00A575EA" w:rsidP="00A15A35">
      <w:pPr>
        <w:pStyle w:val="Els-body-text"/>
      </w:pPr>
      <w:r w:rsidRPr="00053EA6">
        <w:rPr>
          <w:noProof/>
        </w:rPr>
        <w:drawing>
          <wp:inline distT="0" distB="0" distL="0" distR="0" wp14:anchorId="4733D7D8" wp14:editId="2AEC4C57">
            <wp:extent cx="4451634" cy="2130425"/>
            <wp:effectExtent l="0" t="0" r="5080" b="0"/>
            <wp:docPr id="12813980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7721" name="Grafik 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451634" cy="2130425"/>
                    </a:xfrm>
                    <a:prstGeom prst="rect">
                      <a:avLst/>
                    </a:prstGeom>
                  </pic:spPr>
                </pic:pic>
              </a:graphicData>
            </a:graphic>
          </wp:inline>
        </w:drawing>
      </w:r>
    </w:p>
    <w:p w14:paraId="49FF5889" w14:textId="77777777" w:rsidR="00A575EA" w:rsidRPr="00053EA6" w:rsidRDefault="00A575EA" w:rsidP="00A575EA">
      <w:pPr>
        <w:pStyle w:val="Els-body-text"/>
        <w:rPr>
          <w:i/>
          <w:iCs/>
        </w:rPr>
      </w:pPr>
      <w:r w:rsidRPr="00053EA6">
        <w:rPr>
          <w:i/>
          <w:iCs/>
        </w:rPr>
        <w:t>Figure 1: Steps of the hybrid evolutionary algorithm.</w:t>
      </w:r>
    </w:p>
    <w:p w14:paraId="505B97C3" w14:textId="09F5DFCC" w:rsidR="00C76B73" w:rsidRPr="00053EA6" w:rsidRDefault="00DB658D" w:rsidP="00C76B73">
      <w:pPr>
        <w:pStyle w:val="Els-body-text"/>
      </w:pPr>
      <w:r w:rsidRPr="00053EA6">
        <w:lastRenderedPageBreak/>
        <w:t xml:space="preserve">Figure 1 shows the steps of </w:t>
      </w:r>
      <w:r w:rsidR="00AA7952" w:rsidRPr="00053EA6">
        <w:t xml:space="preserve">our HEA </w:t>
      </w:r>
      <w:r w:rsidRPr="00053EA6">
        <w:t xml:space="preserve">explained in the following. </w:t>
      </w:r>
      <w:r w:rsidR="00C76B73" w:rsidRPr="00053EA6">
        <w:t xml:space="preserve">To approach the design task, the HEA starts off with an initialization step. The initialization randomly generates a large set of individuals, evaluates their fitness, and conducts a tournament selection to obtain the initial population of a predefined size. The fitness evaluation involves determining capital expenditure using cost correlations and solving MILPs for determining operational expenditure for the considered scenarios. The population, i.e., a set of individuals representing energy system designs, is updated in each iteration of the HEA. To update a population, the HEA performs environment selections constraining the population size, </w:t>
      </w:r>
      <w:proofErr w:type="spellStart"/>
      <w:r w:rsidR="00C76B73" w:rsidRPr="00053EA6">
        <w:t>recombinations</w:t>
      </w:r>
      <w:proofErr w:type="spellEnd"/>
      <w:r w:rsidR="00C76B73" w:rsidRPr="00053EA6">
        <w:t>, mutations, and fitness evaluations until reaching a predetermined number of iterations or a time limit. Ultimately, the HEA yields the design with the lowest expected total annualized cost identified during its runtime.</w:t>
      </w:r>
      <w:r w:rsidRPr="00053EA6">
        <w:t xml:space="preserve"> </w:t>
      </w:r>
    </w:p>
    <w:p w14:paraId="67734DE8" w14:textId="38974058" w:rsidR="00C76B73" w:rsidRPr="00053EA6" w:rsidRDefault="00A8241E" w:rsidP="00C76B73">
      <w:pPr>
        <w:pStyle w:val="Els-2ndorder-head"/>
      </w:pPr>
      <w:r w:rsidRPr="00053EA6">
        <w:t xml:space="preserve">Novel key </w:t>
      </w:r>
      <w:r w:rsidR="00C76B73" w:rsidRPr="00053EA6">
        <w:t>components</w:t>
      </w:r>
    </w:p>
    <w:p w14:paraId="3329C4EA" w14:textId="2F5BBCFE" w:rsidR="00DB5259" w:rsidRPr="00053EA6" w:rsidRDefault="00A15A35" w:rsidP="00DD61D2">
      <w:pPr>
        <w:pStyle w:val="Els-body-text"/>
      </w:pPr>
      <w:r w:rsidRPr="00053EA6">
        <w:t xml:space="preserve">The three key components introduced in this work are the graph-based representation, the recombination operator, and the extended mutation operator.  </w:t>
      </w:r>
      <w:r w:rsidR="00E75150" w:rsidRPr="00053EA6">
        <w:t xml:space="preserve">We </w:t>
      </w:r>
      <w:r w:rsidR="002B4D96" w:rsidRPr="00053EA6">
        <w:t>define</w:t>
      </w:r>
      <w:r w:rsidR="00E75150" w:rsidRPr="00053EA6">
        <w:t xml:space="preserve"> a </w:t>
      </w:r>
      <w:r w:rsidR="00E75150" w:rsidRPr="00053EA6">
        <w:rPr>
          <w:b/>
          <w:bCs/>
        </w:rPr>
        <w:t>graph-based representation</w:t>
      </w:r>
      <w:r w:rsidR="00E75150" w:rsidRPr="00053EA6">
        <w:t xml:space="preserve"> </w:t>
      </w:r>
      <w:r w:rsidR="002B4D96" w:rsidRPr="00053EA6">
        <w:t xml:space="preserve">using a weighted graph </w:t>
      </w:r>
      <m:oMath>
        <m:r>
          <w:rPr>
            <w:rFonts w:ascii="Cambria Math" w:hAnsi="Cambria Math"/>
          </w:rPr>
          <m:t>G=(V, E,</m:t>
        </m:r>
        <m:sSub>
          <m:sSubPr>
            <m:ctrlPr>
              <w:rPr>
                <w:rFonts w:ascii="Cambria Math" w:hAnsi="Cambria Math"/>
                <w:i/>
              </w:rPr>
            </m:ctrlPr>
          </m:sSubPr>
          <m:e>
            <m:r>
              <w:rPr>
                <w:rFonts w:ascii="Cambria Math" w:hAnsi="Cambria Math"/>
              </w:rPr>
              <m:t>l</m:t>
            </m:r>
          </m:e>
          <m:sub>
            <m:r>
              <w:rPr>
                <w:rFonts w:ascii="Cambria Math" w:hAnsi="Cambria Math"/>
              </w:rPr>
              <m:t>V</m:t>
            </m:r>
          </m:sub>
        </m:sSub>
        <m:r>
          <w:rPr>
            <w:rFonts w:ascii="Cambria Math" w:hAnsi="Cambria Math"/>
          </w:rPr>
          <m:t>)</m:t>
        </m:r>
      </m:oMath>
      <w:r w:rsidR="002B4D96" w:rsidRPr="00053EA6">
        <w:t xml:space="preserve"> and graph weight </w:t>
      </w:r>
      <m:oMath>
        <m:sSub>
          <m:sSubPr>
            <m:ctrlPr>
              <w:rPr>
                <w:rFonts w:ascii="Cambria Math" w:hAnsi="Cambria Math"/>
                <w:i/>
              </w:rPr>
            </m:ctrlPr>
          </m:sSubPr>
          <m:e>
            <m:r>
              <w:rPr>
                <w:rFonts w:ascii="Cambria Math" w:hAnsi="Cambria Math"/>
              </w:rPr>
              <m:t>l</m:t>
            </m:r>
          </m:e>
          <m:sub>
            <m:r>
              <w:rPr>
                <w:rFonts w:ascii="Cambria Math" w:hAnsi="Cambria Math"/>
              </w:rPr>
              <m:t>G</m:t>
            </m:r>
          </m:sub>
        </m:sSub>
      </m:oMath>
      <w:r w:rsidR="003F666D">
        <w:t xml:space="preserve"> to specify an individual</w:t>
      </w:r>
      <w:r w:rsidR="00D54F58" w:rsidRPr="00053EA6">
        <w:t>.</w:t>
      </w:r>
      <w:r w:rsidR="002B4D96" w:rsidRPr="00053EA6">
        <w:t xml:space="preserve"> </w:t>
      </w:r>
      <w:r w:rsidR="00C76B73" w:rsidRPr="00053EA6">
        <w:t xml:space="preserve">The graph </w:t>
      </w:r>
      <m:oMath>
        <m:r>
          <w:rPr>
            <w:rFonts w:ascii="Cambria Math" w:hAnsi="Cambria Math"/>
          </w:rPr>
          <m:t>G</m:t>
        </m:r>
      </m:oMath>
      <w:r w:rsidR="00C76B73" w:rsidRPr="00053EA6">
        <w:t xml:space="preserve"> encodes an energy system design as well as additional parameters influencing the HEA’s behavior during runtime. Each vertex in the set of vertices </w:t>
      </w:r>
      <m:oMath>
        <m:r>
          <w:rPr>
            <w:rFonts w:ascii="Cambria Math" w:hAnsi="Cambria Math"/>
          </w:rPr>
          <m:t>V</m:t>
        </m:r>
      </m:oMath>
      <w:r w:rsidR="00C76B73" w:rsidRPr="00053EA6">
        <w:t xml:space="preserve"> of the graph corresponds to one component of the energy system. The vertex weight </w:t>
      </w:r>
      <m:oMath>
        <m:sSub>
          <m:sSubPr>
            <m:ctrlPr>
              <w:rPr>
                <w:rFonts w:ascii="Cambria Math" w:hAnsi="Cambria Math"/>
                <w:i/>
              </w:rPr>
            </m:ctrlPr>
          </m:sSubPr>
          <m:e>
            <m:r>
              <w:rPr>
                <w:rFonts w:ascii="Cambria Math" w:hAnsi="Cambria Math"/>
              </w:rPr>
              <m:t>l</m:t>
            </m:r>
          </m:e>
          <m:sub>
            <m:r>
              <w:rPr>
                <w:rFonts w:ascii="Cambria Math" w:hAnsi="Cambria Math"/>
              </w:rPr>
              <m:t>V</m:t>
            </m:r>
          </m:sub>
        </m:sSub>
      </m:oMath>
      <w:r w:rsidR="00C76B73" w:rsidRPr="00053EA6">
        <w:t xml:space="preserve"> defines the type and capacity of each component as well as a parameter influencing the strength of capacity mutations. The graph weight </w:t>
      </w:r>
      <m:oMath>
        <m:sSub>
          <m:sSubPr>
            <m:ctrlPr>
              <w:rPr>
                <w:rFonts w:ascii="Cambria Math" w:hAnsi="Cambria Math"/>
                <w:i/>
              </w:rPr>
            </m:ctrlPr>
          </m:sSubPr>
          <m:e>
            <m:r>
              <w:rPr>
                <w:rFonts w:ascii="Cambria Math" w:hAnsi="Cambria Math"/>
              </w:rPr>
              <m:t>l</m:t>
            </m:r>
          </m:e>
          <m:sub>
            <m:r>
              <w:rPr>
                <w:rFonts w:ascii="Cambria Math" w:hAnsi="Cambria Math"/>
              </w:rPr>
              <m:t>G</m:t>
            </m:r>
          </m:sub>
        </m:sSub>
      </m:oMath>
      <w:r w:rsidR="00C76B73" w:rsidRPr="00053EA6">
        <w:t xml:space="preserve"> defines parameters influencing the frequency of mutations resulting in the removal, exchange, or addition of components. For encoding designs, we assume lossless connections for each energy carrier and thus an implicit definition of component connections</w:t>
      </w:r>
      <w:r w:rsidR="00054FC3" w:rsidRPr="00053EA6">
        <w:t xml:space="preserve">. Consequently, </w:t>
      </w:r>
      <w:r w:rsidR="00C76B73" w:rsidRPr="00053EA6">
        <w:t xml:space="preserve">the set of edges </w:t>
      </w:r>
      <m:oMath>
        <m:r>
          <w:rPr>
            <w:rFonts w:ascii="Cambria Math" w:hAnsi="Cambria Math"/>
          </w:rPr>
          <m:t>E</m:t>
        </m:r>
      </m:oMath>
      <w:r w:rsidR="00C76B73" w:rsidRPr="00053EA6">
        <w:t xml:space="preserve"> remains empty. </w:t>
      </w:r>
      <w:r w:rsidR="0014330A" w:rsidRPr="00053EA6">
        <w:t>By using this graph-based representation, the HEA does not require the cumbersome definition of a superstructure</w:t>
      </w:r>
      <w:r w:rsidR="003F666D">
        <w:t>. F</w:t>
      </w:r>
      <w:r w:rsidR="008B59C0" w:rsidRPr="00053EA6">
        <w:t xml:space="preserve">or superstructure-based approaches, problem complexity can increase exponentially with the number of equipment considered in the superstructure. </w:t>
      </w:r>
      <w:r w:rsidR="003F666D">
        <w:t>A</w:t>
      </w:r>
      <w:r w:rsidR="008B59C0" w:rsidRPr="00053EA6">
        <w:t>s our graph-based representation puts no restrictions on the types and number of components</w:t>
      </w:r>
      <w:r w:rsidR="003F666D">
        <w:t>, we classify our approach as superstructure-free</w:t>
      </w:r>
      <w:r w:rsidR="008B59C0" w:rsidRPr="00053EA6">
        <w:t>.</w:t>
      </w:r>
    </w:p>
    <w:p w14:paraId="4D80A368" w14:textId="29743D8C" w:rsidR="00C76B73" w:rsidRPr="00053EA6" w:rsidRDefault="0014330A" w:rsidP="0014330A">
      <w:pPr>
        <w:pStyle w:val="Els-body-text"/>
      </w:pPr>
      <w:r w:rsidRPr="00053EA6">
        <w:t xml:space="preserve">Building </w:t>
      </w:r>
      <w:r w:rsidR="008B59C0" w:rsidRPr="00053EA6">
        <w:t>upon the work of Voll et al. (2012)</w:t>
      </w:r>
      <w:r w:rsidRPr="00053EA6">
        <w:t>,</w:t>
      </w:r>
      <w:r w:rsidR="008B59C0" w:rsidRPr="00053EA6">
        <w:t xml:space="preserve"> </w:t>
      </w:r>
      <w:r w:rsidRPr="00053EA6">
        <w:t>we develop</w:t>
      </w:r>
      <w:r w:rsidR="008B59C0" w:rsidRPr="00053EA6">
        <w:t xml:space="preserve"> an EA for investments decisions by extending their mutation operator and introducing a recombination operator. </w:t>
      </w:r>
      <w:r w:rsidR="00054FC3" w:rsidRPr="00053EA6">
        <w:t xml:space="preserve">Alike the graph-based representation, the two variation operators (i.e., recombination and mutation operator) are adapted to the energy system planning problem. </w:t>
      </w:r>
      <w:r w:rsidR="00C76B73" w:rsidRPr="00053EA6">
        <w:t xml:space="preserve">Adapting the variation operators to the design task aims to enhance the performance of the HEA by incorporating problem-specific knowledge. Our </w:t>
      </w:r>
      <w:r w:rsidR="00C76B73" w:rsidRPr="00053EA6">
        <w:rPr>
          <w:b/>
          <w:bCs/>
        </w:rPr>
        <w:t>recombination operator</w:t>
      </w:r>
      <w:r w:rsidR="00C76B73" w:rsidRPr="00053EA6">
        <w:t xml:space="preserve"> seeks to combine beneficial properties from two distinct individuals using a subsystem recombination approach and is inspired by Emmerich et al. (2001). Furthermore, the recombination operator addresses the issue that common recombination operators cannot be applied to graphs. For recombining, the components of an individual are assigned to a subsystem according to their main function (e.g., a heat pump is assigned to the heating subsystem). The recombination operator randomly chooses for each subsystem which individual ought to provide the respective components, i.e., component type and capacity. Certain other parameters of the HEA, i.e., the parameters influencing the HEA’s behavior, are recombined either similarly or by determining the arithmetic mean.</w:t>
      </w:r>
      <w:r w:rsidR="00946B53" w:rsidRPr="00053EA6">
        <w:t xml:space="preserve"> As recombining individuals can reduce diversity of a population, t</w:t>
      </w:r>
      <w:r w:rsidR="00855AB5" w:rsidRPr="00053EA6">
        <w:t xml:space="preserve">he recombination operator is </w:t>
      </w:r>
      <w:r w:rsidR="00FC2529" w:rsidRPr="00053EA6">
        <w:t>bypassed</w:t>
      </w:r>
      <w:r w:rsidR="00946B53" w:rsidRPr="00053EA6">
        <w:t xml:space="preserve"> at times </w:t>
      </w:r>
      <w:r w:rsidR="00FC2529" w:rsidRPr="00053EA6">
        <w:t xml:space="preserve">and individuals are cloned </w:t>
      </w:r>
      <w:r w:rsidR="00946B53" w:rsidRPr="00053EA6">
        <w:t>instead</w:t>
      </w:r>
      <w:r w:rsidR="00855AB5" w:rsidRPr="00053EA6">
        <w:t>.</w:t>
      </w:r>
      <w:r w:rsidR="00C76B73" w:rsidRPr="00053EA6">
        <w:t xml:space="preserve"> The </w:t>
      </w:r>
      <w:r w:rsidR="009E1C92" w:rsidRPr="00053EA6">
        <w:rPr>
          <w:b/>
        </w:rPr>
        <w:t>extended</w:t>
      </w:r>
      <w:r w:rsidR="009E1C92" w:rsidRPr="00053EA6">
        <w:t xml:space="preserve"> </w:t>
      </w:r>
      <w:r w:rsidR="00E97765" w:rsidRPr="00053EA6">
        <w:rPr>
          <w:b/>
          <w:bCs/>
        </w:rPr>
        <w:t>m</w:t>
      </w:r>
      <w:r w:rsidR="00C76B73" w:rsidRPr="00053EA6">
        <w:rPr>
          <w:b/>
          <w:bCs/>
        </w:rPr>
        <w:t>utation operator</w:t>
      </w:r>
      <w:r w:rsidR="00C76B73" w:rsidRPr="00053EA6">
        <w:t xml:space="preserve"> aims to allow exploring the solution space and escaping local optima by addressing the four principles for the design of mutation operators also considered by Voll et al. (2012</w:t>
      </w:r>
      <w:r w:rsidR="00446AE1" w:rsidRPr="00053EA6">
        <w:t xml:space="preserve">): </w:t>
      </w:r>
      <w:r w:rsidR="00C76B73" w:rsidRPr="00053EA6">
        <w:t xml:space="preserve">scalability, reachability, locality, and symmetry. </w:t>
      </w:r>
      <w:r w:rsidR="008B59C0" w:rsidRPr="00053EA6">
        <w:t>Th</w:t>
      </w:r>
      <w:r w:rsidR="00C76B73" w:rsidRPr="00053EA6">
        <w:t xml:space="preserve">e mutation operator of Voll et al. </w:t>
      </w:r>
      <w:r w:rsidR="00C76B73" w:rsidRPr="00053EA6">
        <w:lastRenderedPageBreak/>
        <w:t>(2012) utilizes an energy conversion hierarchy (ECH)</w:t>
      </w:r>
      <w:r w:rsidR="00D54F58" w:rsidRPr="00053EA6">
        <w:t xml:space="preserve"> offering an easily definable yet rational component replacement strategy</w:t>
      </w:r>
      <w:r w:rsidR="00C76B73" w:rsidRPr="00053EA6">
        <w:t xml:space="preserve"> but does not adjust the capacity of components. </w:t>
      </w:r>
      <w:r w:rsidR="00D54F58" w:rsidRPr="00053EA6">
        <w:t xml:space="preserve">Our extended mutation operator uses an ECH </w:t>
      </w:r>
      <w:r w:rsidR="009E1C92" w:rsidRPr="00053EA6">
        <w:t>and</w:t>
      </w:r>
      <w:r w:rsidR="00D54F58" w:rsidRPr="00053EA6">
        <w:t xml:space="preserve"> additionally alters component types as well as component capacities.</w:t>
      </w:r>
    </w:p>
    <w:p w14:paraId="5B09BCB9" w14:textId="77777777" w:rsidR="00C76B73" w:rsidRPr="00053EA6" w:rsidRDefault="00C76B73" w:rsidP="00C76B73">
      <w:pPr>
        <w:pStyle w:val="Els-1storder-head"/>
        <w:spacing w:after="120"/>
      </w:pPr>
      <w:r w:rsidRPr="00053EA6">
        <w:t>Results</w:t>
      </w:r>
    </w:p>
    <w:p w14:paraId="2A744A30" w14:textId="0D5CBE95" w:rsidR="002C4886" w:rsidRPr="00053EA6" w:rsidRDefault="00C76B73" w:rsidP="00C76B73">
      <w:pPr>
        <w:jc w:val="both"/>
        <w:rPr>
          <w:lang w:val="en-US"/>
        </w:rPr>
      </w:pPr>
      <w:r w:rsidRPr="00053EA6">
        <w:rPr>
          <w:lang w:val="en-US"/>
        </w:rPr>
        <w:t>We evaluate the developed HEA in terms of computational performance and solution quality using a case study adapted from the literature. The case study is based on the work of Sass et al. (2020) and aims for designing an industrial energy system to fulfill heating, cooling, and electricity demands.</w:t>
      </w:r>
      <w:r w:rsidR="00991DDE" w:rsidRPr="00053EA6">
        <w:rPr>
          <w:lang w:val="en-US"/>
        </w:rPr>
        <w:t xml:space="preserve"> </w:t>
      </w:r>
      <w:r w:rsidR="00F23C54" w:rsidRPr="00053EA6">
        <w:rPr>
          <w:lang w:val="en-US"/>
        </w:rPr>
        <w:t xml:space="preserve">We construct probability-weighted scenarios similarly to </w:t>
      </w:r>
      <w:proofErr w:type="spellStart"/>
      <w:r w:rsidR="00F23C54" w:rsidRPr="00053EA6">
        <w:rPr>
          <w:lang w:val="en-US"/>
        </w:rPr>
        <w:t>Mavromatidis</w:t>
      </w:r>
      <w:proofErr w:type="spellEnd"/>
      <w:r w:rsidR="00F23C54" w:rsidRPr="00053EA6">
        <w:rPr>
          <w:lang w:val="en-US"/>
        </w:rPr>
        <w:t xml:space="preserve"> et al. (2018). The scenarios </w:t>
      </w:r>
      <m:oMath>
        <m:r>
          <w:rPr>
            <w:rFonts w:ascii="Cambria Math" w:hAnsi="Cambria Math"/>
            <w:lang w:val="en-US"/>
          </w:rPr>
          <m:t>s∈S</m:t>
        </m:r>
      </m:oMath>
      <w:r w:rsidR="008D48C3" w:rsidRPr="00053EA6">
        <w:rPr>
          <w:lang w:val="en-US"/>
        </w:rPr>
        <w:t xml:space="preserve"> occurring with the probability </w:t>
      </w:r>
      <m:oMath>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s</m:t>
            </m:r>
          </m:sub>
        </m:sSub>
      </m:oMath>
      <w:r w:rsidR="008D48C3" w:rsidRPr="00053EA6">
        <w:rPr>
          <w:lang w:val="en-US"/>
        </w:rPr>
        <w:t xml:space="preserve"> </w:t>
      </w:r>
      <w:r w:rsidR="00F23C54" w:rsidRPr="00053EA6">
        <w:rPr>
          <w:lang w:val="en-US"/>
        </w:rPr>
        <w:t xml:space="preserve">exhibit different energy demands, electricity prices, and gas prices. </w:t>
      </w:r>
      <w:r w:rsidR="00991DDE" w:rsidRPr="00053EA6">
        <w:rPr>
          <w:lang w:val="en-US"/>
        </w:rPr>
        <w:t>As a benchmark</w:t>
      </w:r>
      <w:r w:rsidR="008B4831" w:rsidRPr="00053EA6">
        <w:rPr>
          <w:lang w:val="en-US"/>
        </w:rPr>
        <w:t xml:space="preserve"> approach</w:t>
      </w:r>
      <w:r w:rsidR="00991DDE" w:rsidRPr="00053EA6">
        <w:rPr>
          <w:lang w:val="en-US"/>
        </w:rPr>
        <w:t>, we use a superstructure-based design optimization.</w:t>
      </w:r>
      <w:r w:rsidR="00D27473" w:rsidRPr="00053EA6">
        <w:rPr>
          <w:lang w:val="en-US"/>
        </w:rPr>
        <w:t xml:space="preserve"> </w:t>
      </w:r>
      <w:r w:rsidR="00F23C54" w:rsidRPr="00053EA6">
        <w:rPr>
          <w:lang w:val="en-US"/>
        </w:rPr>
        <w:t xml:space="preserve">The benchmark </w:t>
      </w:r>
      <w:r w:rsidR="008D48C3" w:rsidRPr="00053EA6">
        <w:rPr>
          <w:lang w:val="en-US"/>
        </w:rPr>
        <w:t>solve</w:t>
      </w:r>
      <w:r w:rsidR="008B4831" w:rsidRPr="00053EA6">
        <w:rPr>
          <w:lang w:val="en-US"/>
        </w:rPr>
        <w:t>s</w:t>
      </w:r>
      <w:r w:rsidR="00284606" w:rsidRPr="00053EA6">
        <w:rPr>
          <w:lang w:val="en-US"/>
        </w:rPr>
        <w:t xml:space="preserve"> the same</w:t>
      </w:r>
      <w:r w:rsidR="00F23C54" w:rsidRPr="00053EA6">
        <w:rPr>
          <w:lang w:val="en-US"/>
        </w:rPr>
        <w:t xml:space="preserve"> two-stage stochastic programs directly</w:t>
      </w:r>
      <w:r w:rsidR="008D48C3" w:rsidRPr="00053EA6">
        <w:rPr>
          <w:lang w:val="en-US"/>
        </w:rPr>
        <w:t xml:space="preserve"> while also minimizing the expected total annualized cost as</w:t>
      </w:r>
      <w:r w:rsidR="00F23C54" w:rsidRPr="00053EA6">
        <w:rPr>
          <w:lang w:val="en-US"/>
        </w:rPr>
        <w:t xml:space="preserve"> given in Eq. (1)</w:t>
      </w:r>
      <w:r w:rsidR="008D48C3" w:rsidRPr="00053EA6">
        <w:rPr>
          <w:lang w:val="en-US"/>
        </w:rPr>
        <w:t xml:space="preserve">. Both approaches use identical component models and </w:t>
      </w:r>
      <w:r w:rsidR="00284606" w:rsidRPr="00053EA6">
        <w:rPr>
          <w:lang w:val="en-US"/>
        </w:rPr>
        <w:t xml:space="preserve">identical </w:t>
      </w:r>
      <w:r w:rsidR="008D48C3" w:rsidRPr="00053EA6">
        <w:rPr>
          <w:lang w:val="en-US"/>
        </w:rPr>
        <w:t xml:space="preserve">model parameters to determine the capital expenditure </w:t>
      </w:r>
      <m:oMath>
        <m:r>
          <w:rPr>
            <w:rFonts w:ascii="Cambria Math" w:hAnsi="Cambria Math"/>
            <w:lang w:val="en-US"/>
          </w:rPr>
          <m:t>CAPEX</m:t>
        </m:r>
      </m:oMath>
      <w:r w:rsidR="009C3A3A" w:rsidRPr="00053EA6">
        <w:rPr>
          <w:lang w:val="en-US"/>
        </w:rPr>
        <w:t xml:space="preserve">, </w:t>
      </w:r>
      <w:r w:rsidR="00DD5AC6" w:rsidRPr="00053EA6">
        <w:rPr>
          <w:lang w:val="en-US"/>
        </w:rPr>
        <w:t xml:space="preserve">the </w:t>
      </w:r>
      <w:r w:rsidR="009C3A3A" w:rsidRPr="00053EA6">
        <w:rPr>
          <w:lang w:val="en-US"/>
        </w:rPr>
        <w:t>operational expenditure </w:t>
      </w:r>
      <m:oMath>
        <m:r>
          <w:rPr>
            <w:rFonts w:ascii="Cambria Math" w:hAnsi="Cambria Math"/>
            <w:lang w:val="en-US"/>
          </w:rPr>
          <m:t>OPEX</m:t>
        </m:r>
      </m:oMath>
      <w:r w:rsidR="009C3A3A" w:rsidRPr="00053EA6">
        <w:rPr>
          <w:lang w:val="en-US"/>
        </w:rPr>
        <w:t xml:space="preserve">, and </w:t>
      </w:r>
      <w:r w:rsidR="00DD5AC6" w:rsidRPr="00053EA6">
        <w:rPr>
          <w:lang w:val="en-US"/>
        </w:rPr>
        <w:t xml:space="preserve">the expected </w:t>
      </w:r>
      <w:r w:rsidR="009C3A3A" w:rsidRPr="00053EA6">
        <w:rPr>
          <w:lang w:val="en-US"/>
        </w:rPr>
        <w:t xml:space="preserve">total annualized cost </w:t>
      </w:r>
      <m:oMath>
        <m:r>
          <w:rPr>
            <w:rFonts w:ascii="Cambria Math" w:hAnsi="Cambria Math"/>
            <w:lang w:val="en-US"/>
          </w:rPr>
          <m:t>TAC</m:t>
        </m:r>
      </m:oMath>
      <w:r w:rsidR="008D48C3" w:rsidRPr="00053EA6">
        <w:rPr>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1269"/>
      </w:tblGrid>
      <w:tr w:rsidR="00053EA6" w:rsidRPr="00053EA6" w14:paraId="139403F6" w14:textId="77777777" w:rsidTr="00F43322">
        <w:trPr>
          <w:trHeight w:val="1408"/>
        </w:trPr>
        <w:tc>
          <w:tcPr>
            <w:tcW w:w="5807" w:type="dxa"/>
            <w:vAlign w:val="center"/>
          </w:tcPr>
          <w:p w14:paraId="44E72C8C" w14:textId="271B8891" w:rsidR="002C4886" w:rsidRPr="00053EA6" w:rsidRDefault="00000000" w:rsidP="00F43322">
            <w:pPr>
              <w:rPr>
                <w:lang w:val="en-US"/>
              </w:rPr>
            </w:pPr>
            <m:oMath>
              <m:func>
                <m:funcPr>
                  <m:ctrlPr>
                    <w:rPr>
                      <w:rFonts w:ascii="Cambria Math" w:hAnsi="Cambria Math"/>
                      <w:i/>
                      <w:lang w:val="en-US"/>
                    </w:rPr>
                  </m:ctrlPr>
                </m:funcPr>
                <m:fName>
                  <m:r>
                    <m:rPr>
                      <m:sty m:val="p"/>
                    </m:rPr>
                    <w:rPr>
                      <w:rFonts w:ascii="Cambria Math" w:hAnsi="Cambria Math"/>
                      <w:lang w:val="en-US"/>
                    </w:rPr>
                    <m:t>min</m:t>
                  </m:r>
                </m:fName>
                <m:e>
                  <m:r>
                    <m:rPr>
                      <m:scr m:val="double-struck"/>
                    </m:rPr>
                    <w:rPr>
                      <w:rFonts w:ascii="Cambria Math" w:hAnsi="Cambria Math"/>
                      <w:lang w:val="en-US"/>
                    </w:rPr>
                    <m:t>E(</m:t>
                  </m:r>
                  <m:r>
                    <w:rPr>
                      <w:rFonts w:ascii="Cambria Math" w:hAnsi="Cambria Math"/>
                      <w:lang w:val="en-US"/>
                    </w:rPr>
                    <m:t>TAC)</m:t>
                  </m:r>
                </m:e>
              </m:func>
              <m:r>
                <w:rPr>
                  <w:rFonts w:ascii="Cambria Math" w:hAnsi="Cambria Math"/>
                  <w:lang w:val="en-US"/>
                </w:rPr>
                <m:t>=</m:t>
              </m:r>
              <m:limLow>
                <m:limLowPr>
                  <m:ctrlPr>
                    <w:rPr>
                      <w:rFonts w:ascii="Cambria Math" w:hAnsi="Cambria Math"/>
                      <w:i/>
                      <w:lang w:val="en-US"/>
                    </w:rPr>
                  </m:ctrlPr>
                </m:limLowPr>
                <m:e>
                  <m:groupChr>
                    <m:groupChrPr>
                      <m:ctrlPr>
                        <w:rPr>
                          <w:rFonts w:ascii="Cambria Math" w:hAnsi="Cambria Math"/>
                          <w:i/>
                          <w:lang w:val="en-US"/>
                        </w:rPr>
                      </m:ctrlPr>
                    </m:groupChrPr>
                    <m:e>
                      <m:limLow>
                        <m:limLowPr>
                          <m:ctrlPr>
                            <w:rPr>
                              <w:rFonts w:ascii="Cambria Math" w:hAnsi="Cambria Math"/>
                              <w:i/>
                              <w:lang w:val="en-US"/>
                            </w:rPr>
                          </m:ctrlPr>
                        </m:limLowPr>
                        <m:e>
                          <m:groupChr>
                            <m:groupChrPr>
                              <m:ctrlPr>
                                <w:rPr>
                                  <w:rFonts w:ascii="Cambria Math" w:hAnsi="Cambria Math"/>
                                  <w:i/>
                                  <w:lang w:val="en-US"/>
                                </w:rPr>
                              </m:ctrlPr>
                            </m:groupChrPr>
                            <m:e>
                              <m:r>
                                <w:rPr>
                                  <w:rFonts w:ascii="Cambria Math" w:hAnsi="Cambria Math"/>
                                  <w:lang w:val="en-US"/>
                                </w:rPr>
                                <m:t>CAPEX</m:t>
                              </m:r>
                            </m:e>
                          </m:groupChr>
                        </m:e>
                        <m:lim>
                          <m:eqArr>
                            <m:eqArrPr>
                              <m:ctrlPr>
                                <w:rPr>
                                  <w:rFonts w:ascii="Cambria Math" w:hAnsi="Cambria Math"/>
                                  <w:lang w:val="en-US"/>
                                </w:rPr>
                              </m:ctrlPr>
                            </m:eqArrPr>
                            <m:e>
                              <m:r>
                                <m:rPr>
                                  <m:sty m:val="p"/>
                                </m:rPr>
                                <w:rPr>
                                  <w:rFonts w:ascii="Cambria Math" w:hAnsi="Cambria Math"/>
                                  <w:lang w:val="en-US"/>
                                </w:rPr>
                                <m:t>capital</m:t>
                              </m:r>
                            </m:e>
                            <m:e>
                              <m:r>
                                <m:rPr>
                                  <m:sty m:val="p"/>
                                </m:rPr>
                                <w:rPr>
                                  <w:rFonts w:ascii="Cambria Math" w:hAnsi="Cambria Math"/>
                                  <w:lang w:val="en-US"/>
                                </w:rPr>
                                <m:t>expenditure</m:t>
                              </m:r>
                            </m:e>
                          </m:eqArr>
                        </m:lim>
                      </m:limLow>
                      <m:r>
                        <w:rPr>
                          <w:rFonts w:ascii="Cambria Math" w:hAnsi="Cambria Math"/>
                          <w:lang w:val="en-US"/>
                        </w:rPr>
                        <m:t>+</m:t>
                      </m:r>
                      <m:limLow>
                        <m:limLowPr>
                          <m:ctrlPr>
                            <w:rPr>
                              <w:rFonts w:ascii="Cambria Math" w:hAnsi="Cambria Math"/>
                              <w:i/>
                              <w:lang w:val="en-US"/>
                            </w:rPr>
                          </m:ctrlPr>
                        </m:limLowPr>
                        <m:e>
                          <m:groupChr>
                            <m:groupChrPr>
                              <m:ctrlPr>
                                <w:rPr>
                                  <w:rFonts w:ascii="Cambria Math" w:hAnsi="Cambria Math"/>
                                  <w:i/>
                                  <w:lang w:val="en-US"/>
                                </w:rPr>
                              </m:ctrlPr>
                            </m:groupChrPr>
                            <m:e>
                              <m:nary>
                                <m:naryPr>
                                  <m:chr m:val="∑"/>
                                  <m:limLoc m:val="undOvr"/>
                                  <m:supHide m:val="1"/>
                                  <m:ctrlPr>
                                    <w:rPr>
                                      <w:rFonts w:ascii="Cambria Math" w:hAnsi="Cambria Math"/>
                                      <w:i/>
                                      <w:lang w:val="en-US"/>
                                    </w:rPr>
                                  </m:ctrlPr>
                                </m:naryPr>
                                <m:sub>
                                  <m:r>
                                    <w:rPr>
                                      <w:rFonts w:ascii="Cambria Math" w:hAnsi="Cambria Math"/>
                                      <w:lang w:val="en-US"/>
                                    </w:rPr>
                                    <m:t>s∈S</m:t>
                                  </m:r>
                                </m:sub>
                                <m:sup/>
                                <m:e>
                                  <m:sSub>
                                    <m:sSubPr>
                                      <m:ctrlPr>
                                        <w:rPr>
                                          <w:rFonts w:ascii="Cambria Math" w:hAnsi="Cambria Math"/>
                                          <w:i/>
                                          <w:lang w:val="en-US"/>
                                        </w:rPr>
                                      </m:ctrlPr>
                                    </m:sSubPr>
                                    <m:e>
                                      <m:r>
                                        <w:rPr>
                                          <w:rFonts w:ascii="Cambria Math" w:hAnsi="Cambria Math"/>
                                          <w:lang w:val="en-US"/>
                                        </w:rPr>
                                        <m:t>π</m:t>
                                      </m:r>
                                    </m:e>
                                    <m:sub>
                                      <m:r>
                                        <w:rPr>
                                          <w:rFonts w:ascii="Cambria Math" w:hAnsi="Cambria Math"/>
                                          <w:lang w:val="en-US"/>
                                        </w:rPr>
                                        <m:t>s</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OPEX</m:t>
                                      </m:r>
                                    </m:e>
                                    <m:sub>
                                      <m:r>
                                        <w:rPr>
                                          <w:rFonts w:ascii="Cambria Math" w:hAnsi="Cambria Math"/>
                                          <w:lang w:val="en-US"/>
                                        </w:rPr>
                                        <m:t>s</m:t>
                                      </m:r>
                                    </m:sub>
                                  </m:sSub>
                                </m:e>
                              </m:nary>
                            </m:e>
                          </m:groupChr>
                        </m:e>
                        <m:lim>
                          <m:eqArr>
                            <m:eqArrPr>
                              <m:ctrlPr>
                                <w:rPr>
                                  <w:rFonts w:ascii="Cambria Math" w:hAnsi="Cambria Math"/>
                                  <w:lang w:val="en-US"/>
                                </w:rPr>
                              </m:ctrlPr>
                            </m:eqArrPr>
                            <m:e>
                              <m:r>
                                <m:rPr>
                                  <m:sty m:val="p"/>
                                </m:rPr>
                                <w:rPr>
                                  <w:rFonts w:ascii="Cambria Math" w:hAnsi="Cambria Math"/>
                                  <w:lang w:val="en-US"/>
                                </w:rPr>
                                <m:t>expected operational</m:t>
                              </m:r>
                            </m:e>
                            <m:e>
                              <m:r>
                                <m:rPr>
                                  <m:sty m:val="p"/>
                                </m:rPr>
                                <w:rPr>
                                  <w:rFonts w:ascii="Cambria Math" w:hAnsi="Cambria Math"/>
                                  <w:lang w:val="en-US"/>
                                </w:rPr>
                                <m:t>expenditure</m:t>
                              </m:r>
                            </m:e>
                          </m:eqArr>
                        </m:lim>
                      </m:limLow>
                    </m:e>
                  </m:groupChr>
                </m:e>
                <m:lim>
                  <m:r>
                    <m:rPr>
                      <m:sty m:val="p"/>
                    </m:rPr>
                    <w:rPr>
                      <w:rFonts w:ascii="Cambria Math" w:hAnsi="Cambria Math"/>
                      <w:lang w:val="en-US"/>
                    </w:rPr>
                    <m:t>expected total annualized cost</m:t>
                  </m:r>
                </m:lim>
              </m:limLow>
            </m:oMath>
            <w:r w:rsidR="00D27473" w:rsidRPr="00053EA6">
              <w:rPr>
                <w:lang w:val="en-US"/>
              </w:rPr>
              <w:t xml:space="preserve"> </w:t>
            </w:r>
          </w:p>
        </w:tc>
        <w:tc>
          <w:tcPr>
            <w:tcW w:w="1269" w:type="dxa"/>
            <w:vAlign w:val="center"/>
          </w:tcPr>
          <w:p w14:paraId="73A4C7DB" w14:textId="40C29209" w:rsidR="002C4886" w:rsidRPr="00053EA6" w:rsidRDefault="0094227C" w:rsidP="00F43322">
            <w:pPr>
              <w:jc w:val="right"/>
              <w:rPr>
                <w:lang w:val="en-US"/>
              </w:rPr>
            </w:pPr>
            <w:r w:rsidRPr="00053EA6">
              <w:rPr>
                <w:lang w:val="en-US"/>
              </w:rPr>
              <w:t>(1)</w:t>
            </w:r>
          </w:p>
        </w:tc>
      </w:tr>
    </w:tbl>
    <w:p w14:paraId="03F77D70" w14:textId="6F4F7C1E" w:rsidR="00C76B73" w:rsidRPr="00053EA6" w:rsidRDefault="00C76B73" w:rsidP="00C76B73">
      <w:pPr>
        <w:jc w:val="both"/>
        <w:rPr>
          <w:lang w:val="en-US"/>
        </w:rPr>
      </w:pPr>
      <w:r w:rsidRPr="00053EA6">
        <w:rPr>
          <w:lang w:val="en-US"/>
        </w:rPr>
        <w:t xml:space="preserve">We compare </w:t>
      </w:r>
      <w:r w:rsidR="006B5B76" w:rsidRPr="00053EA6">
        <w:rPr>
          <w:lang w:val="en-US"/>
        </w:rPr>
        <w:t xml:space="preserve">the HEA with the benchmark approach </w:t>
      </w:r>
      <w:r w:rsidRPr="00053EA6">
        <w:rPr>
          <w:lang w:val="en-US"/>
        </w:rPr>
        <w:t xml:space="preserve">for design tasks of increasing complexity: </w:t>
      </w:r>
      <w:r w:rsidR="00726AEC" w:rsidRPr="00053EA6">
        <w:rPr>
          <w:lang w:val="en-US"/>
        </w:rPr>
        <w:t xml:space="preserve">we </w:t>
      </w:r>
      <w:r w:rsidRPr="00053EA6">
        <w:rPr>
          <w:lang w:val="en-US"/>
        </w:rPr>
        <w:t>set up four two-stage stochastic programs with 1, 4, 16, and 64 scenarios, respectively.</w:t>
      </w:r>
      <w:r w:rsidR="00F23C54" w:rsidRPr="00053EA6">
        <w:rPr>
          <w:lang w:val="en-US"/>
        </w:rPr>
        <w:t xml:space="preserve"> </w:t>
      </w:r>
      <w:r w:rsidR="009F1852" w:rsidRPr="00053EA6">
        <w:rPr>
          <w:lang w:val="en-US"/>
        </w:rPr>
        <w:t xml:space="preserve">Figure 2 shows the observed solution quality over time for multiple </w:t>
      </w:r>
      <w:proofErr w:type="gramStart"/>
      <w:r w:rsidR="009F1852" w:rsidRPr="00053EA6">
        <w:rPr>
          <w:lang w:val="en-US"/>
        </w:rPr>
        <w:t>algorithm</w:t>
      </w:r>
      <w:proofErr w:type="gramEnd"/>
      <w:r w:rsidR="009F1852" w:rsidRPr="00053EA6">
        <w:rPr>
          <w:lang w:val="en-US"/>
        </w:rPr>
        <w:t xml:space="preserve"> runs. All runs are terminated after 40 hours, and we repeat runs to examine the stochastic nature of the HEA. </w:t>
      </w:r>
      <w:r w:rsidRPr="00053EA6">
        <w:rPr>
          <w:lang w:val="en-US"/>
        </w:rPr>
        <w:t>For the cases of 1, 4, and 16 scenario</w:t>
      </w:r>
      <w:r w:rsidR="00C428BE" w:rsidRPr="00053EA6">
        <w:rPr>
          <w:lang w:val="en-US"/>
        </w:rPr>
        <w:t>s</w:t>
      </w:r>
      <w:r w:rsidRPr="00053EA6">
        <w:rPr>
          <w:lang w:val="en-US"/>
        </w:rPr>
        <w:t xml:space="preserve">, both approaches yield similar high-quality solutions. For the case of 16 scenarios, the HEA yields a design with slightly lower expected </w:t>
      </w:r>
      <w:r w:rsidR="0021751E" w:rsidRPr="00053EA6">
        <w:rPr>
          <w:lang w:val="en-US"/>
        </w:rPr>
        <w:t xml:space="preserve">total annualized </w:t>
      </w:r>
      <w:r w:rsidRPr="00053EA6">
        <w:rPr>
          <w:lang w:val="en-US"/>
        </w:rPr>
        <w:t>cost (i.e., -0.1</w:t>
      </w:r>
      <w:r w:rsidR="00F110A5" w:rsidRPr="00053EA6">
        <w:rPr>
          <w:lang w:val="en-US"/>
        </w:rPr>
        <w:t> </w:t>
      </w:r>
      <w:r w:rsidRPr="00053EA6">
        <w:rPr>
          <w:lang w:val="en-US"/>
        </w:rPr>
        <w:t>%</w:t>
      </w:r>
      <w:r w:rsidR="009C7581" w:rsidRPr="00053EA6">
        <w:rPr>
          <w:lang w:val="en-US"/>
        </w:rPr>
        <w:t xml:space="preserve"> compared to benchmark solution</w:t>
      </w:r>
      <w:r w:rsidRPr="00053EA6">
        <w:rPr>
          <w:lang w:val="en-US"/>
        </w:rPr>
        <w:t xml:space="preserve">; </w:t>
      </w:r>
      <w:r w:rsidR="009C7581" w:rsidRPr="00053EA6">
        <w:rPr>
          <w:lang w:val="en-US"/>
        </w:rPr>
        <w:t xml:space="preserve">remaining </w:t>
      </w:r>
      <w:r w:rsidRPr="00053EA6">
        <w:rPr>
          <w:lang w:val="en-US"/>
        </w:rPr>
        <w:t>optimality gap of benchmark: 1.1</w:t>
      </w:r>
      <w:r w:rsidR="00F110A5" w:rsidRPr="00053EA6">
        <w:rPr>
          <w:lang w:val="en-US"/>
        </w:rPr>
        <w:t> </w:t>
      </w:r>
      <w:r w:rsidRPr="00053EA6">
        <w:rPr>
          <w:lang w:val="en-US"/>
        </w:rPr>
        <w:t xml:space="preserve">%). </w:t>
      </w:r>
      <w:r w:rsidR="008F00BD" w:rsidRPr="00053EA6">
        <w:rPr>
          <w:lang w:val="en-US"/>
        </w:rPr>
        <w:t xml:space="preserve">As expected, increasing the number of scenarios considered </w:t>
      </w:r>
      <w:r w:rsidR="002907A9" w:rsidRPr="00053EA6">
        <w:rPr>
          <w:lang w:val="en-US"/>
        </w:rPr>
        <w:t>severely lowers</w:t>
      </w:r>
      <w:r w:rsidR="00246C94" w:rsidRPr="00053EA6">
        <w:rPr>
          <w:lang w:val="en-US"/>
        </w:rPr>
        <w:t xml:space="preserve"> the</w:t>
      </w:r>
      <w:r w:rsidR="008F00BD" w:rsidRPr="00053EA6">
        <w:rPr>
          <w:lang w:val="en-US"/>
        </w:rPr>
        <w:t xml:space="preserve"> </w:t>
      </w:r>
      <w:r w:rsidR="002907A9" w:rsidRPr="00053EA6">
        <w:rPr>
          <w:lang w:val="en-US"/>
        </w:rPr>
        <w:t>computational performance</w:t>
      </w:r>
      <w:r w:rsidR="009C7581" w:rsidRPr="00053EA6">
        <w:rPr>
          <w:lang w:val="en-US"/>
        </w:rPr>
        <w:t xml:space="preserve"> of both approaches</w:t>
      </w:r>
      <w:r w:rsidR="008F00BD" w:rsidRPr="00053EA6">
        <w:rPr>
          <w:lang w:val="en-US"/>
        </w:rPr>
        <w:t xml:space="preserve">. </w:t>
      </w:r>
      <w:r w:rsidR="00DB26C3" w:rsidRPr="00053EA6">
        <w:rPr>
          <w:lang w:val="en-US"/>
        </w:rPr>
        <w:t>However, e</w:t>
      </w:r>
      <w:r w:rsidR="00246C94" w:rsidRPr="00053EA6">
        <w:rPr>
          <w:lang w:val="en-US"/>
        </w:rPr>
        <w:t>ven though the HEA matches the benchmark in terms of solution quality</w:t>
      </w:r>
      <w:r w:rsidR="008F00BD" w:rsidRPr="00053EA6">
        <w:rPr>
          <w:lang w:val="en-US"/>
        </w:rPr>
        <w:t xml:space="preserve">, </w:t>
      </w:r>
      <w:r w:rsidR="00631F13" w:rsidRPr="00053EA6">
        <w:rPr>
          <w:lang w:val="en-US"/>
        </w:rPr>
        <w:t>the HEA’s</w:t>
      </w:r>
      <w:r w:rsidR="00246C94" w:rsidRPr="00053EA6">
        <w:rPr>
          <w:lang w:val="en-US"/>
        </w:rPr>
        <w:t xml:space="preserve"> convergence rate is worse </w:t>
      </w:r>
      <w:r w:rsidR="008F00BD" w:rsidRPr="00053EA6">
        <w:rPr>
          <w:lang w:val="en-US"/>
        </w:rPr>
        <w:t xml:space="preserve">in </w:t>
      </w:r>
      <w:r w:rsidR="00246C94" w:rsidRPr="00053EA6">
        <w:rPr>
          <w:lang w:val="en-US"/>
        </w:rPr>
        <w:t xml:space="preserve">three of the four </w:t>
      </w:r>
      <w:r w:rsidR="008F00BD" w:rsidRPr="00053EA6">
        <w:rPr>
          <w:lang w:val="en-US"/>
        </w:rPr>
        <w:t>cases</w:t>
      </w:r>
      <w:r w:rsidR="00631F13" w:rsidRPr="00053EA6">
        <w:rPr>
          <w:lang w:val="en-US"/>
        </w:rPr>
        <w:t xml:space="preserve"> and t</w:t>
      </w:r>
      <w:r w:rsidR="00B41A37" w:rsidRPr="00053EA6">
        <w:rPr>
          <w:lang w:val="en-US"/>
        </w:rPr>
        <w:t>he s</w:t>
      </w:r>
      <w:r w:rsidRPr="00053EA6">
        <w:rPr>
          <w:lang w:val="en-US"/>
        </w:rPr>
        <w:t>uperstructure-based approach</w:t>
      </w:r>
      <w:r w:rsidR="00B41A37" w:rsidRPr="00053EA6">
        <w:rPr>
          <w:lang w:val="en-US"/>
        </w:rPr>
        <w:t xml:space="preserve"> </w:t>
      </w:r>
      <w:r w:rsidRPr="00053EA6">
        <w:rPr>
          <w:lang w:val="en-US"/>
        </w:rPr>
        <w:t xml:space="preserve">excels </w:t>
      </w:r>
      <w:r w:rsidR="00631F13" w:rsidRPr="00053EA6">
        <w:rPr>
          <w:lang w:val="en-US"/>
        </w:rPr>
        <w:t>particularly</w:t>
      </w:r>
      <w:r w:rsidR="00B41A37" w:rsidRPr="00053EA6">
        <w:rPr>
          <w:lang w:val="en-US"/>
        </w:rPr>
        <w:t xml:space="preserve"> for the </w:t>
      </w:r>
      <w:r w:rsidR="00631F13" w:rsidRPr="00053EA6">
        <w:rPr>
          <w:lang w:val="en-US"/>
        </w:rPr>
        <w:t>easier</w:t>
      </w:r>
      <w:r w:rsidR="00B41A37" w:rsidRPr="00053EA6">
        <w:rPr>
          <w:lang w:val="en-US"/>
        </w:rPr>
        <w:t xml:space="preserve"> </w:t>
      </w:r>
      <w:r w:rsidRPr="00053EA6">
        <w:rPr>
          <w:lang w:val="en-US"/>
        </w:rPr>
        <w:t>design tasks (e.</w:t>
      </w:r>
      <w:r w:rsidR="00631F13" w:rsidRPr="00053EA6">
        <w:rPr>
          <w:lang w:val="en-US"/>
        </w:rPr>
        <w:t>g.</w:t>
      </w:r>
      <w:r w:rsidRPr="00053EA6">
        <w:rPr>
          <w:lang w:val="en-US"/>
        </w:rPr>
        <w:t xml:space="preserve">, </w:t>
      </w:r>
      <w:r w:rsidR="00631F13" w:rsidRPr="00053EA6">
        <w:rPr>
          <w:lang w:val="en-US"/>
        </w:rPr>
        <w:t>the benchmark</w:t>
      </w:r>
      <w:r w:rsidR="007756AC" w:rsidRPr="00053EA6">
        <w:rPr>
          <w:lang w:val="en-US"/>
        </w:rPr>
        <w:t xml:space="preserve"> approach </w:t>
      </w:r>
      <w:r w:rsidRPr="00053EA6">
        <w:rPr>
          <w:lang w:val="en-US"/>
        </w:rPr>
        <w:t>finds the final design approx. 100 times faster</w:t>
      </w:r>
      <w:r w:rsidR="00B41A37" w:rsidRPr="00053EA6">
        <w:rPr>
          <w:lang w:val="en-US"/>
        </w:rPr>
        <w:t xml:space="preserve"> </w:t>
      </w:r>
      <w:r w:rsidR="009E291B" w:rsidRPr="00053EA6">
        <w:rPr>
          <w:lang w:val="en-US"/>
        </w:rPr>
        <w:t xml:space="preserve">than the HEA </w:t>
      </w:r>
      <w:r w:rsidR="00B41A37" w:rsidRPr="00053EA6">
        <w:rPr>
          <w:lang w:val="en-US"/>
        </w:rPr>
        <w:t>when only one scenario is considered</w:t>
      </w:r>
      <w:r w:rsidRPr="00053EA6">
        <w:rPr>
          <w:lang w:val="en-US"/>
        </w:rPr>
        <w:t>)</w:t>
      </w:r>
      <w:r w:rsidR="00B41A37" w:rsidRPr="00053EA6">
        <w:rPr>
          <w:lang w:val="en-US"/>
        </w:rPr>
        <w:t>.</w:t>
      </w:r>
      <w:r w:rsidRPr="00053EA6">
        <w:rPr>
          <w:lang w:val="en-US"/>
        </w:rPr>
        <w:t xml:space="preserve"> </w:t>
      </w:r>
      <w:r w:rsidR="00DB26C3" w:rsidRPr="00053EA6">
        <w:rPr>
          <w:lang w:val="en-US"/>
        </w:rPr>
        <w:t>Nevertheless</w:t>
      </w:r>
      <w:r w:rsidR="00B41A37" w:rsidRPr="00053EA6">
        <w:rPr>
          <w:lang w:val="en-US"/>
        </w:rPr>
        <w:t xml:space="preserve">, notably, </w:t>
      </w:r>
      <w:r w:rsidRPr="00053EA6">
        <w:rPr>
          <w:lang w:val="en-US"/>
        </w:rPr>
        <w:t>both approaches show a comparable increase in solution quality over time</w:t>
      </w:r>
      <w:r w:rsidR="00B41A37" w:rsidRPr="00053EA6">
        <w:rPr>
          <w:lang w:val="en-US"/>
        </w:rPr>
        <w:t xml:space="preserve"> for the hardest design task</w:t>
      </w:r>
      <w:r w:rsidR="00631F13" w:rsidRPr="00053EA6">
        <w:rPr>
          <w:lang w:val="en-US"/>
        </w:rPr>
        <w:t xml:space="preserve">. This trend indicates that the HEA is less penalized by an increased problem difficulty suggesting that </w:t>
      </w:r>
      <w:r w:rsidRPr="00053EA6">
        <w:rPr>
          <w:lang w:val="en-US"/>
        </w:rPr>
        <w:t xml:space="preserve">the HEA </w:t>
      </w:r>
      <w:r w:rsidR="00631F13" w:rsidRPr="00053EA6">
        <w:rPr>
          <w:lang w:val="en-US"/>
        </w:rPr>
        <w:t>can</w:t>
      </w:r>
      <w:r w:rsidR="008F00BD" w:rsidRPr="00053EA6">
        <w:rPr>
          <w:lang w:val="en-US"/>
        </w:rPr>
        <w:t xml:space="preserve"> be </w:t>
      </w:r>
      <w:r w:rsidRPr="00053EA6">
        <w:rPr>
          <w:lang w:val="en-US"/>
        </w:rPr>
        <w:t xml:space="preserve">a promising solution strategy for design tasks of elevated complexity. </w:t>
      </w:r>
      <w:r w:rsidR="00631F13" w:rsidRPr="00053EA6">
        <w:rPr>
          <w:lang w:val="en-US"/>
        </w:rPr>
        <w:t>Furthermore</w:t>
      </w:r>
      <w:r w:rsidRPr="00053EA6">
        <w:rPr>
          <w:lang w:val="en-US"/>
        </w:rPr>
        <w:t xml:space="preserve">, we observe a consistent convergence </w:t>
      </w:r>
      <w:r w:rsidR="002F7B10" w:rsidRPr="00053EA6">
        <w:rPr>
          <w:lang w:val="en-US"/>
        </w:rPr>
        <w:t>behavior</w:t>
      </w:r>
      <w:r w:rsidRPr="00053EA6">
        <w:rPr>
          <w:lang w:val="en-US"/>
        </w:rPr>
        <w:t xml:space="preserve"> for the cases in which we run the HEA multiple times, in spite of the stochastic nature of EAs.</w:t>
      </w:r>
      <w:r w:rsidR="008F00BD" w:rsidRPr="00053EA6">
        <w:rPr>
          <w:lang w:val="en-US"/>
        </w:rPr>
        <w:t xml:space="preserve"> However, no general statements regarding </w:t>
      </w:r>
      <w:r w:rsidR="00763804" w:rsidRPr="00053EA6">
        <w:rPr>
          <w:lang w:val="en-US"/>
        </w:rPr>
        <w:t>the HEA’s</w:t>
      </w:r>
      <w:r w:rsidR="008F00BD" w:rsidRPr="00053EA6">
        <w:rPr>
          <w:lang w:val="en-US"/>
        </w:rPr>
        <w:t xml:space="preserve"> reliability</w:t>
      </w:r>
      <w:r w:rsidR="00631F13" w:rsidRPr="00053EA6">
        <w:rPr>
          <w:lang w:val="en-US"/>
        </w:rPr>
        <w:t xml:space="preserve"> to find high-quality solutions</w:t>
      </w:r>
      <w:r w:rsidR="008F00BD" w:rsidRPr="00053EA6">
        <w:rPr>
          <w:lang w:val="en-US"/>
        </w:rPr>
        <w:t xml:space="preserve"> can be made, as we consider only a limited set of problem instances.</w:t>
      </w:r>
      <w:r w:rsidRPr="00053EA6">
        <w:rPr>
          <w:lang w:val="en-US"/>
        </w:rPr>
        <w:t xml:space="preserve"> Besides, it is worth noting that our preliminary results indicate that adding promising design candidates to the initialization, e.g., designs obtained by a superstructure-based optimization considering only one scenario, can significantly improve the overall performance.</w:t>
      </w:r>
    </w:p>
    <w:p w14:paraId="22CD0E81" w14:textId="0857C323" w:rsidR="00211104" w:rsidRPr="00053EA6" w:rsidRDefault="00211104" w:rsidP="00C76B73">
      <w:pPr>
        <w:jc w:val="both"/>
        <w:rPr>
          <w:lang w:val="en-US"/>
        </w:rPr>
      </w:pPr>
    </w:p>
    <w:p w14:paraId="60E3902B" w14:textId="6DD29D8D" w:rsidR="00211104" w:rsidRPr="00053EA6" w:rsidRDefault="00211104" w:rsidP="00053EA6">
      <w:pPr>
        <w:pStyle w:val="Els-body-text"/>
        <w:jc w:val="center"/>
        <w:rPr>
          <w:i/>
          <w:iCs/>
        </w:rPr>
      </w:pPr>
      <w:r w:rsidRPr="00053EA6">
        <w:rPr>
          <w:noProof/>
        </w:rPr>
        <w:lastRenderedPageBreak/>
        <w:drawing>
          <wp:inline distT="0" distB="0" distL="0" distR="0" wp14:anchorId="51032ECB" wp14:editId="55CAA84E">
            <wp:extent cx="2940710" cy="3775469"/>
            <wp:effectExtent l="0" t="0" r="0" b="0"/>
            <wp:docPr id="86658402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022595" name="Grafik 2"/>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t="944" b="944"/>
                    <a:stretch>
                      <a:fillRect/>
                    </a:stretch>
                  </pic:blipFill>
                  <pic:spPr bwMode="auto">
                    <a:xfrm>
                      <a:off x="0" y="0"/>
                      <a:ext cx="2982255" cy="3828807"/>
                    </a:xfrm>
                    <a:prstGeom prst="rect">
                      <a:avLst/>
                    </a:prstGeom>
                    <a:extLst>
                      <a:ext uri="{53640926-AAD7-44D8-BBD7-CCE9431645EC}">
                        <a14:shadowObscured xmlns:a14="http://schemas.microsoft.com/office/drawing/2010/main"/>
                      </a:ext>
                    </a:extLst>
                  </pic:spPr>
                </pic:pic>
              </a:graphicData>
            </a:graphic>
          </wp:inline>
        </w:drawing>
      </w:r>
    </w:p>
    <w:p w14:paraId="624301E4" w14:textId="15650E55" w:rsidR="00211104" w:rsidRPr="00053EA6" w:rsidRDefault="00211104" w:rsidP="00211104">
      <w:pPr>
        <w:pStyle w:val="Els-body-text"/>
        <w:rPr>
          <w:i/>
          <w:iCs/>
        </w:rPr>
      </w:pPr>
      <w:r w:rsidRPr="00053EA6">
        <w:rPr>
          <w:i/>
          <w:iCs/>
        </w:rPr>
        <w:t>Figure 2: Progress of the developed hybrid evolutionary algorithm (HEA) in comparison to the upper and lower bound of the superstructure-based optimization (SO) as reference.</w:t>
      </w:r>
    </w:p>
    <w:p w14:paraId="4893F379" w14:textId="77777777" w:rsidR="00C76B73" w:rsidRPr="00053EA6" w:rsidRDefault="00C76B73" w:rsidP="00C76B73">
      <w:pPr>
        <w:pStyle w:val="Els-1storder-head"/>
        <w:spacing w:after="120"/>
      </w:pPr>
      <w:r w:rsidRPr="00053EA6">
        <w:t>Conclusions</w:t>
      </w:r>
    </w:p>
    <w:p w14:paraId="6E2DF872" w14:textId="4E8EC3B4" w:rsidR="00C534E6" w:rsidRPr="00053EA6" w:rsidRDefault="00C76B73" w:rsidP="00D3203C">
      <w:pPr>
        <w:pStyle w:val="Els-body-text"/>
      </w:pPr>
      <w:r w:rsidRPr="00053EA6">
        <w:t xml:space="preserve">Prompt investments in energy infrastructure are required despite multiple sources of uncertainty (e.g., due to uncertain energy prices, demands, availability of renewables, extreme events, </w:t>
      </w:r>
      <w:r w:rsidR="009E291B" w:rsidRPr="00053EA6">
        <w:t xml:space="preserve">potential </w:t>
      </w:r>
      <w:r w:rsidRPr="00053EA6">
        <w:t xml:space="preserve">component </w:t>
      </w:r>
      <w:r w:rsidR="00765BD4" w:rsidRPr="00053EA6">
        <w:t xml:space="preserve">or grid </w:t>
      </w:r>
      <w:r w:rsidRPr="00053EA6">
        <w:t xml:space="preserve">outages, future technology </w:t>
      </w:r>
      <w:r w:rsidR="00765BD4" w:rsidRPr="00053EA6">
        <w:t>parameters</w:t>
      </w:r>
      <w:r w:rsidRPr="00053EA6">
        <w:t>, investment costs, or policies).</w:t>
      </w:r>
      <w:r w:rsidR="00876EA5" w:rsidRPr="00053EA6">
        <w:t xml:space="preserve"> Uncertainties increase the complexity of design tasks underscoring t</w:t>
      </w:r>
      <w:r w:rsidR="00823CB3" w:rsidRPr="00053EA6">
        <w:t xml:space="preserve">he need for reliable energy system planning </w:t>
      </w:r>
      <w:r w:rsidR="00876EA5" w:rsidRPr="00053EA6">
        <w:t>methods</w:t>
      </w:r>
      <w:r w:rsidR="00823CB3" w:rsidRPr="00053EA6">
        <w:t>.</w:t>
      </w:r>
      <w:r w:rsidR="00163ECA" w:rsidRPr="00053EA6">
        <w:t xml:space="preserve"> </w:t>
      </w:r>
      <w:r w:rsidRPr="00053EA6">
        <w:t xml:space="preserve">In this work, we present a superstructure-free hybrid evolutionary algorithm (HEA) for designing energy systems under uncertainty. The HEA utilizes stage decomposition enabling parallel computing and reducing subproblem complexity. The three key components of the developed approach are </w:t>
      </w:r>
      <w:r w:rsidR="00C5402A" w:rsidRPr="00053EA6">
        <w:t>(</w:t>
      </w:r>
      <w:proofErr w:type="spellStart"/>
      <w:r w:rsidR="00C5402A" w:rsidRPr="00053EA6">
        <w:t>i</w:t>
      </w:r>
      <w:proofErr w:type="spellEnd"/>
      <w:r w:rsidRPr="00053EA6">
        <w:t>) the graph-based representations making the algorithm superstructure-free</w:t>
      </w:r>
      <w:r w:rsidR="00C428BE" w:rsidRPr="00053EA6">
        <w:t xml:space="preserve">; </w:t>
      </w:r>
      <w:r w:rsidR="00C5402A" w:rsidRPr="00053EA6">
        <w:t>(ii</w:t>
      </w:r>
      <w:r w:rsidRPr="00053EA6">
        <w:t>) the subsystem recombination enabling the usage of a recombination operator for refining the solution quality</w:t>
      </w:r>
      <w:r w:rsidR="00C428BE" w:rsidRPr="00053EA6">
        <w:t xml:space="preserve">; </w:t>
      </w:r>
      <w:r w:rsidRPr="00053EA6">
        <w:t xml:space="preserve">and </w:t>
      </w:r>
      <w:r w:rsidR="00C5402A" w:rsidRPr="00053EA6">
        <w:t>(iii</w:t>
      </w:r>
      <w:r w:rsidRPr="00053EA6">
        <w:t>) the</w:t>
      </w:r>
      <w:r w:rsidR="006F6C07" w:rsidRPr="00053EA6">
        <w:t xml:space="preserve"> extended</w:t>
      </w:r>
      <w:r w:rsidRPr="00053EA6">
        <w:t xml:space="preserve"> mutation operator featuring an energy conversion hierarchy (ECH). The developed components aim to avoid the generation of invalid design candidates and thus to increase computational performance. In a case study adapted from the literature, we compare the HEA </w:t>
      </w:r>
      <w:r w:rsidR="00C5402A" w:rsidRPr="00053EA6">
        <w:t xml:space="preserve">with </w:t>
      </w:r>
      <w:r w:rsidRPr="00053EA6">
        <w:t>a superstructure-based design optimization</w:t>
      </w:r>
      <w:r w:rsidR="00805280" w:rsidRPr="00053EA6">
        <w:t xml:space="preserve"> using four design tasks of increasing difficulty</w:t>
      </w:r>
      <w:r w:rsidRPr="00053EA6">
        <w:t>. We show that the HEA can reach</w:t>
      </w:r>
      <w:r w:rsidR="00F4191E" w:rsidRPr="00053EA6">
        <w:t xml:space="preserve"> similar or, </w:t>
      </w:r>
      <w:r w:rsidRPr="00053EA6">
        <w:t>in certain cases</w:t>
      </w:r>
      <w:r w:rsidR="00F4191E" w:rsidRPr="00053EA6">
        <w:t>,</w:t>
      </w:r>
      <w:r w:rsidRPr="00053EA6">
        <w:t xml:space="preserve"> </w:t>
      </w:r>
      <w:r w:rsidR="00805280" w:rsidRPr="00053EA6">
        <w:t xml:space="preserve">a </w:t>
      </w:r>
      <w:r w:rsidRPr="00053EA6">
        <w:t xml:space="preserve">slightly </w:t>
      </w:r>
      <w:r w:rsidR="00F4191E" w:rsidRPr="00053EA6">
        <w:t>better solution</w:t>
      </w:r>
      <w:r w:rsidRPr="00053EA6">
        <w:t xml:space="preserve"> quality </w:t>
      </w:r>
      <w:r w:rsidR="00F4191E" w:rsidRPr="00053EA6">
        <w:t xml:space="preserve">than </w:t>
      </w:r>
      <w:r w:rsidRPr="00053EA6">
        <w:t xml:space="preserve">the benchmark. </w:t>
      </w:r>
      <w:r w:rsidR="00AD5D21" w:rsidRPr="00053EA6">
        <w:t>As expected, the complexity added by considering uncertainty impedes</w:t>
      </w:r>
      <w:r w:rsidR="00163ECA" w:rsidRPr="00053EA6">
        <w:t xml:space="preserve"> the computational performance of</w:t>
      </w:r>
      <w:r w:rsidR="00AD5D21" w:rsidRPr="00053EA6">
        <w:t xml:space="preserve"> both approaches. </w:t>
      </w:r>
      <w:r w:rsidR="004B0B7B" w:rsidRPr="00053EA6">
        <w:lastRenderedPageBreak/>
        <w:t>In the case study, t</w:t>
      </w:r>
      <w:r w:rsidR="005C2ACD" w:rsidRPr="00053EA6">
        <w:t xml:space="preserve">he HEA can match </w:t>
      </w:r>
      <w:r w:rsidR="004B0B7B" w:rsidRPr="00053EA6">
        <w:t xml:space="preserve">the </w:t>
      </w:r>
      <w:r w:rsidR="009E291B" w:rsidRPr="00053EA6">
        <w:t xml:space="preserve">computational </w:t>
      </w:r>
      <w:r w:rsidR="004B0B7B" w:rsidRPr="00053EA6">
        <w:t xml:space="preserve">performance of </w:t>
      </w:r>
      <w:r w:rsidR="005C2ACD" w:rsidRPr="00053EA6">
        <w:t xml:space="preserve">the benchmark approach for the most difficult design task. Furthermore, the comparisons shows that the HEA is less affected by an increased design task difficulty. </w:t>
      </w:r>
      <w:r w:rsidR="00B36315" w:rsidRPr="00053EA6">
        <w:t xml:space="preserve">However, </w:t>
      </w:r>
      <w:r w:rsidRPr="00053EA6">
        <w:t xml:space="preserve">the </w:t>
      </w:r>
      <w:r w:rsidR="00163ECA" w:rsidRPr="00053EA6">
        <w:t xml:space="preserve">benchmark outperforms the HEA </w:t>
      </w:r>
      <w:r w:rsidR="00B36315" w:rsidRPr="00053EA6">
        <w:t xml:space="preserve">in three </w:t>
      </w:r>
      <w:r w:rsidR="00805280" w:rsidRPr="00053EA6">
        <w:t xml:space="preserve">of four </w:t>
      </w:r>
      <w:r w:rsidR="00B36315" w:rsidRPr="00053EA6">
        <w:t>cases</w:t>
      </w:r>
      <w:r w:rsidR="00C534E6" w:rsidRPr="00053EA6">
        <w:t xml:space="preserve">. </w:t>
      </w:r>
      <w:r w:rsidR="00057C6D" w:rsidRPr="00053EA6">
        <w:t>Nevertheless, the demonstrated ability to generate high-quality solutions, the flexible graph-based representation, the extendable variation operators, and the HEA’s ability to improve upon existing solutions renders the algorithm to be a promising approach for energy system design under uncertainty</w:t>
      </w:r>
      <w:r w:rsidR="00A2158A" w:rsidRPr="00053EA6">
        <w:t>, i.e., complex design tasks</w:t>
      </w:r>
      <w:r w:rsidR="00057C6D" w:rsidRPr="00053EA6">
        <w:t>.</w:t>
      </w:r>
      <w:r w:rsidR="00A2158A" w:rsidRPr="00053EA6">
        <w:t xml:space="preserve"> To seize the HEA’s potential, f</w:t>
      </w:r>
      <w:r w:rsidR="00C534E6" w:rsidRPr="00053EA6">
        <w:t xml:space="preserve">uture work </w:t>
      </w:r>
      <w:r w:rsidR="00380485" w:rsidRPr="00053EA6">
        <w:t>could aim for improving the convergence rate either by addressing</w:t>
      </w:r>
      <w:r w:rsidR="00C534E6" w:rsidRPr="00053EA6">
        <w:t xml:space="preserve"> the initialization phase or </w:t>
      </w:r>
      <w:r w:rsidR="00380485" w:rsidRPr="00053EA6">
        <w:t xml:space="preserve">by using </w:t>
      </w:r>
      <w:r w:rsidR="00C534E6" w:rsidRPr="00053EA6">
        <w:t xml:space="preserve">surrogate models </w:t>
      </w:r>
      <w:r w:rsidR="00380485" w:rsidRPr="00053EA6">
        <w:t xml:space="preserve">to approximate the </w:t>
      </w:r>
      <w:r w:rsidR="00C534E6" w:rsidRPr="00053EA6">
        <w:t>fitness function</w:t>
      </w:r>
      <w:r w:rsidR="00463B64" w:rsidRPr="00053EA6">
        <w:t xml:space="preserve">. Additionally, </w:t>
      </w:r>
      <w:r w:rsidR="00C534E6" w:rsidRPr="00053EA6">
        <w:t xml:space="preserve">applying the HEA to more difficult design tasks, e.g., by considering different kinds of uncertainties or seasonal storages, might </w:t>
      </w:r>
      <w:r w:rsidR="00463B64" w:rsidRPr="00053EA6">
        <w:t>allow demonstrating the HEA’s beneficial properties.</w:t>
      </w:r>
    </w:p>
    <w:p w14:paraId="15027DF8" w14:textId="77777777" w:rsidR="00C76B73" w:rsidRPr="00053EA6" w:rsidRDefault="00C76B73" w:rsidP="00C76B73">
      <w:pPr>
        <w:pStyle w:val="Els-1storder-head"/>
        <w:numPr>
          <w:ilvl w:val="0"/>
          <w:numId w:val="0"/>
        </w:numPr>
        <w:spacing w:after="120"/>
      </w:pPr>
      <w:r w:rsidRPr="00053EA6">
        <w:t>Acknowledgements</w:t>
      </w:r>
    </w:p>
    <w:p w14:paraId="3C31512D" w14:textId="0A0F95B1" w:rsidR="006E0F5F" w:rsidRPr="00053EA6" w:rsidRDefault="00C76B73" w:rsidP="00F43322">
      <w:pPr>
        <w:pStyle w:val="Els-body-text"/>
        <w:rPr>
          <w:b/>
          <w:sz w:val="22"/>
          <w:szCs w:val="22"/>
          <w:highlight w:val="yellow"/>
        </w:rPr>
      </w:pPr>
      <w:r w:rsidRPr="00053EA6">
        <w:t>This study is funded by the German Federal Ministry of Economic Affairs and Energy (ref. no.: 03EN2031A). The support is gratefully acknowledged.</w:t>
      </w:r>
    </w:p>
    <w:p w14:paraId="1B69E005" w14:textId="28DCDDAF" w:rsidR="00C76B73" w:rsidRPr="00053EA6" w:rsidRDefault="00C76B73" w:rsidP="00C76B73">
      <w:pPr>
        <w:pStyle w:val="Els-reference-head"/>
      </w:pPr>
      <w:r w:rsidRPr="00053EA6">
        <w:t>References</w:t>
      </w:r>
    </w:p>
    <w:p w14:paraId="47C3E6EC" w14:textId="77777777" w:rsidR="00C76B73" w:rsidRPr="00053EA6" w:rsidRDefault="00C76B73" w:rsidP="00C76B73">
      <w:pPr>
        <w:pStyle w:val="Els-referenceno-number"/>
        <w:rPr>
          <w:lang w:val="de-DE"/>
        </w:rPr>
      </w:pPr>
      <w:bookmarkStart w:id="1" w:name="_Hlk152199106"/>
      <w:r w:rsidRPr="00053EA6">
        <w:rPr>
          <w:lang w:val="en-US"/>
        </w:rPr>
        <w:t xml:space="preserve">A.E. Eiben, J.E. Smith, 2015. Introduction to Evolutionary Computing, Natural Computing Series. </w:t>
      </w:r>
      <w:r w:rsidRPr="00053EA6">
        <w:rPr>
          <w:lang w:val="de-DE"/>
        </w:rPr>
        <w:t>Springer Berlin Heidelberg, Berlin, Heidelberg. https://doi.org/10.1007/978-3-662-44874-8</w:t>
      </w:r>
    </w:p>
    <w:bookmarkEnd w:id="1"/>
    <w:p w14:paraId="417ED409" w14:textId="77777777" w:rsidR="00C76B73" w:rsidRPr="00053EA6" w:rsidRDefault="00C76B73" w:rsidP="00C76B73">
      <w:pPr>
        <w:pStyle w:val="Els-referenceno-number"/>
        <w:rPr>
          <w:lang w:val="en-US"/>
        </w:rPr>
      </w:pPr>
      <w:r w:rsidRPr="00053EA6">
        <w:rPr>
          <w:lang w:val="de-DE"/>
        </w:rPr>
        <w:t xml:space="preserve">M. Emmerich, M. Grötzner, M. Schütz, 2001. </w:t>
      </w:r>
      <w:r w:rsidRPr="00053EA6">
        <w:rPr>
          <w:lang w:val="en-US"/>
        </w:rPr>
        <w:t>Design of Graph-Based Evolutionary Algorithms: A Case Study for Chemical Process Networks. Evolutionary Computation 9, 329–354. https://doi.org/10.1162/106365601750406028</w:t>
      </w:r>
    </w:p>
    <w:p w14:paraId="3999311D" w14:textId="489CAFCD" w:rsidR="00C76B73" w:rsidRPr="00053EA6" w:rsidRDefault="00C76B73" w:rsidP="00C76B73">
      <w:pPr>
        <w:pStyle w:val="Els-referenceno-number"/>
        <w:rPr>
          <w:lang w:val="en-US"/>
        </w:rPr>
      </w:pPr>
      <w:r w:rsidRPr="00053EA6">
        <w:rPr>
          <w:lang w:val="en-US"/>
        </w:rPr>
        <w:t>M. Fodstad, P. Crespo del Granado, L. Hellemo, B.R. Knudsen, P. Pisciella, A. Silvast, C.  Bordin, S. Schmidt, J. Straus, 2022. Next frontiers in energy system modelling: A review on challenges and the state of the art. Renewable and Sustainable Energy Reviews 160, 112246. https://doi.org/10.1016/j.rser.2022.112246</w:t>
      </w:r>
    </w:p>
    <w:p w14:paraId="3E1129F5" w14:textId="454AFF23" w:rsidR="00991DDE" w:rsidRPr="00053EA6" w:rsidRDefault="00991DDE" w:rsidP="00C76B73">
      <w:pPr>
        <w:pStyle w:val="Els-referenceno-number"/>
        <w:rPr>
          <w:lang w:val="en-US"/>
        </w:rPr>
      </w:pPr>
      <w:r w:rsidRPr="00053EA6">
        <w:rPr>
          <w:lang w:val="en-US"/>
        </w:rPr>
        <w:t>G. Mavromatidis, K. Orehounig, J. Carmeliet, 2018. Design of distributed energy systems under uncertainty: A two-stage stochastic programming approach. Applied Energy 222, 932–950. https://doi.org/10.1016/j.apenergy.2018.04.019</w:t>
      </w:r>
    </w:p>
    <w:p w14:paraId="44FE0931" w14:textId="77777777" w:rsidR="00C76B73" w:rsidRPr="00053EA6" w:rsidRDefault="00C76B73" w:rsidP="00C76B73">
      <w:pPr>
        <w:pStyle w:val="Els-referenceno-number"/>
        <w:rPr>
          <w:lang w:val="en-US"/>
        </w:rPr>
      </w:pPr>
      <w:r w:rsidRPr="00053EA6">
        <w:rPr>
          <w:lang w:val="en-US"/>
        </w:rPr>
        <w:t>L. Mencarelli, Q. Chen, A. Pagot, I.E. Grossmann, 2020. A review on superstructure optimization approaches in process system engineering. Computers &amp; Chemical Engineering 136, 106808. https://doi.org/10.1016/j.compchemeng.2020.106808</w:t>
      </w:r>
    </w:p>
    <w:p w14:paraId="60B3669A" w14:textId="77777777" w:rsidR="00C76B73" w:rsidRPr="00053EA6" w:rsidRDefault="00C76B73" w:rsidP="00C76B73">
      <w:pPr>
        <w:pStyle w:val="Els-referenceno-number"/>
        <w:rPr>
          <w:lang w:val="en-US"/>
        </w:rPr>
      </w:pPr>
      <w:r w:rsidRPr="00053EA6">
        <w:rPr>
          <w:lang w:val="en-US"/>
        </w:rPr>
        <w:t>E.N. Pistikopoulos, A. Barbosa-Povoa, J.H. Lee, R. Misener, A. Mitsos, G.V. Reklaitis, V. Venkatasubramanian, F. You, R. Gani, 2021. Process systems engineering – The generation next? Computers &amp; Chemical Engineering 147, 107252. https://doi.org/10.1016/j.compchemeng.2021.107252</w:t>
      </w:r>
    </w:p>
    <w:p w14:paraId="5D741EED" w14:textId="77777777" w:rsidR="00C76B73" w:rsidRPr="00053EA6" w:rsidRDefault="00C76B73" w:rsidP="00C76B73">
      <w:pPr>
        <w:pStyle w:val="Els-referenceno-number"/>
        <w:rPr>
          <w:lang w:val="en-US"/>
        </w:rPr>
      </w:pPr>
      <w:r w:rsidRPr="00053EA6">
        <w:rPr>
          <w:lang w:val="en-US"/>
        </w:rPr>
        <w:t>L.A. Roald, D. Pozo, A. Papavasiliou, D.K. Molzahn, J. Kazempour, A. Conejo, 2023. Power systems optimization under uncertainty: A review of methods and applications. Electric Power Systems Research 214, 108725. https://doi.org/10.1016/j.epsr.2022.108725</w:t>
      </w:r>
    </w:p>
    <w:p w14:paraId="4AD3430A" w14:textId="77777777" w:rsidR="00C76B73" w:rsidRPr="00053EA6" w:rsidRDefault="00C76B73" w:rsidP="00C76B73">
      <w:pPr>
        <w:pStyle w:val="Els-referenceno-number"/>
        <w:rPr>
          <w:lang w:val="en-US"/>
        </w:rPr>
      </w:pPr>
      <w:r w:rsidRPr="00053EA6">
        <w:rPr>
          <w:lang w:val="en-US"/>
        </w:rPr>
        <w:t>S. Sass, T. Faulwasser, D.E. Hollermann, C.D. Kappatou, D. Sauer, T. Schütz, D.Y. Shu, A. Bardow, L. Gröll, V. Hagenmeyer, D. Müller, A. Mitsos, 2020. Model compendium, data, and optimization benchmarks for sector-coupled energy systems. Computers &amp; Chemical Engineering 135, 106760. https://doi.org/10.1016/j.compchemeng.2020.106760</w:t>
      </w:r>
    </w:p>
    <w:p w14:paraId="25BFA16A" w14:textId="77777777" w:rsidR="00C76B73" w:rsidRPr="00053EA6" w:rsidRDefault="00C76B73" w:rsidP="00C76B73">
      <w:pPr>
        <w:pStyle w:val="Els-referenceno-number"/>
        <w:rPr>
          <w:lang w:val="en-US"/>
        </w:rPr>
      </w:pPr>
      <w:r w:rsidRPr="00053EA6">
        <w:rPr>
          <w:lang w:val="en-US"/>
        </w:rPr>
        <w:t>P. Voll, M. Lampe, G. Wrobel, A. Bardow, 2012. Superstructure-free synthesis and optimization of distributed industrial energy supply systems. Energy 45, 424–435. https://doi.org/10.1016/j.energy.2012.01.041</w:t>
      </w:r>
    </w:p>
    <w:p w14:paraId="144DE6C3" w14:textId="65CDC8D3" w:rsidR="008D2649" w:rsidRPr="00053EA6" w:rsidRDefault="00C76B73" w:rsidP="00053EA6">
      <w:pPr>
        <w:pStyle w:val="Els-referenceno-number"/>
        <w:rPr>
          <w:lang w:val="en-US"/>
        </w:rPr>
      </w:pPr>
      <w:r w:rsidRPr="00053EA6">
        <w:rPr>
          <w:lang w:val="en-US"/>
        </w:rPr>
        <w:t>Z. Zhou, J. Zhang, P. Liu, Z. Li, M.C. Georgiadis, E.N. Pistikopoulos, 2013. A two-stage stochastic programming model for the optimal design of distributed energy systems. Applied Energy 103, 135–144. https://doi.org/10.1016/j.apenergy.2012.09.019</w:t>
      </w:r>
    </w:p>
    <w:sectPr w:rsidR="008D2649" w:rsidRPr="00053EA6" w:rsidSect="008B018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91673" w14:textId="77777777" w:rsidR="008637C1" w:rsidRDefault="008637C1">
      <w:r>
        <w:separator/>
      </w:r>
    </w:p>
  </w:endnote>
  <w:endnote w:type="continuationSeparator" w:id="0">
    <w:p w14:paraId="060625D1" w14:textId="77777777" w:rsidR="008637C1" w:rsidRDefault="00863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5D0A" w14:textId="77777777" w:rsidR="00424795" w:rsidRDefault="004247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25F68" w14:textId="77777777" w:rsidR="00424795" w:rsidRDefault="00424795">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0273" w14:textId="77777777" w:rsidR="00424795" w:rsidRDefault="004247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CB1E8" w14:textId="77777777" w:rsidR="008637C1" w:rsidRDefault="008637C1">
      <w:r>
        <w:separator/>
      </w:r>
    </w:p>
  </w:footnote>
  <w:footnote w:type="continuationSeparator" w:id="0">
    <w:p w14:paraId="1D144BFF" w14:textId="77777777" w:rsidR="008637C1" w:rsidRDefault="00863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515AE545" w:rsidR="00DD3D9E" w:rsidRDefault="00DD3D9E">
    <w:pPr>
      <w:pStyle w:val="Kopfzeile"/>
      <w:tabs>
        <w:tab w:val="clear" w:pos="7200"/>
        <w:tab w:val="right" w:pos="7088"/>
      </w:tabs>
    </w:pPr>
    <w:r>
      <w:rPr>
        <w:rStyle w:val="Seitenzahl"/>
      </w:rPr>
      <w:tab/>
    </w:r>
    <w:r>
      <w:rPr>
        <w:rStyle w:val="Seitenzahl"/>
        <w:i/>
      </w:rPr>
      <w:tab/>
    </w:r>
    <w:r w:rsidR="00C76B73">
      <w:rPr>
        <w:i/>
      </w:rPr>
      <w:t>H. Seele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1EA679CA" w:rsidR="00DD3D9E" w:rsidRDefault="00424795" w:rsidP="00DD61D2">
    <w:pPr>
      <w:pStyle w:val="Kopfzeile"/>
      <w:tabs>
        <w:tab w:val="clear" w:pos="7200"/>
        <w:tab w:val="right" w:pos="7088"/>
      </w:tabs>
      <w:jc w:val="center"/>
      <w:rPr>
        <w:sz w:val="24"/>
      </w:rPr>
    </w:pPr>
    <w:r w:rsidRPr="00424795">
      <w:rPr>
        <w:i/>
      </w:rPr>
      <w:t>Hybrid evolutionary algorithm for multi-energy system planning under uncertainty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 xml:space="preserve">Flavio Manenti, Gintaras V. </w:t>
    </w:r>
    <w:proofErr w:type="spellStart"/>
    <w:r w:rsidRPr="0068162C">
      <w:rPr>
        <w:color w:val="auto"/>
        <w:sz w:val="18"/>
        <w:szCs w:val="18"/>
      </w:rPr>
      <w:t>Reklaitis</w:t>
    </w:r>
    <w:proofErr w:type="spellEnd"/>
    <w:r w:rsidRPr="0068162C">
      <w:rPr>
        <w:color w:val="auto"/>
        <w:sz w:val="18"/>
        <w:szCs w:val="18"/>
      </w:rPr>
      <w:t xml:space="preserve">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51A0"/>
    <w:rsid w:val="00011719"/>
    <w:rsid w:val="00053EA6"/>
    <w:rsid w:val="00054FC3"/>
    <w:rsid w:val="00057C6D"/>
    <w:rsid w:val="00075E1C"/>
    <w:rsid w:val="0009262A"/>
    <w:rsid w:val="000D3D9B"/>
    <w:rsid w:val="000E0183"/>
    <w:rsid w:val="0011022B"/>
    <w:rsid w:val="00126044"/>
    <w:rsid w:val="00132030"/>
    <w:rsid w:val="0014330A"/>
    <w:rsid w:val="00157262"/>
    <w:rsid w:val="0016032F"/>
    <w:rsid w:val="00163ECA"/>
    <w:rsid w:val="001757C8"/>
    <w:rsid w:val="00184090"/>
    <w:rsid w:val="001879F6"/>
    <w:rsid w:val="00190C84"/>
    <w:rsid w:val="001C0148"/>
    <w:rsid w:val="001C3555"/>
    <w:rsid w:val="001C757E"/>
    <w:rsid w:val="001D267C"/>
    <w:rsid w:val="0020390F"/>
    <w:rsid w:val="00211104"/>
    <w:rsid w:val="00216E5D"/>
    <w:rsid w:val="0021751E"/>
    <w:rsid w:val="00246C94"/>
    <w:rsid w:val="00264926"/>
    <w:rsid w:val="00264F87"/>
    <w:rsid w:val="00284606"/>
    <w:rsid w:val="002907A9"/>
    <w:rsid w:val="0029493E"/>
    <w:rsid w:val="002A4FE2"/>
    <w:rsid w:val="002B4D96"/>
    <w:rsid w:val="002C4886"/>
    <w:rsid w:val="002C59B0"/>
    <w:rsid w:val="002D64C3"/>
    <w:rsid w:val="002F03CA"/>
    <w:rsid w:val="002F7B10"/>
    <w:rsid w:val="00304911"/>
    <w:rsid w:val="00307332"/>
    <w:rsid w:val="00346B49"/>
    <w:rsid w:val="0035116B"/>
    <w:rsid w:val="00372787"/>
    <w:rsid w:val="00375447"/>
    <w:rsid w:val="003766F6"/>
    <w:rsid w:val="00380485"/>
    <w:rsid w:val="00381C8E"/>
    <w:rsid w:val="003820B1"/>
    <w:rsid w:val="00382F57"/>
    <w:rsid w:val="003A3379"/>
    <w:rsid w:val="003A7298"/>
    <w:rsid w:val="003B4F1E"/>
    <w:rsid w:val="003D1582"/>
    <w:rsid w:val="003D4FD7"/>
    <w:rsid w:val="003D7E4C"/>
    <w:rsid w:val="003E08E7"/>
    <w:rsid w:val="003E41C2"/>
    <w:rsid w:val="003E4247"/>
    <w:rsid w:val="003E6EAA"/>
    <w:rsid w:val="003F3529"/>
    <w:rsid w:val="003F666D"/>
    <w:rsid w:val="004146A8"/>
    <w:rsid w:val="00414CBC"/>
    <w:rsid w:val="00424795"/>
    <w:rsid w:val="00442DA9"/>
    <w:rsid w:val="00446AE1"/>
    <w:rsid w:val="00463B64"/>
    <w:rsid w:val="00474932"/>
    <w:rsid w:val="00475383"/>
    <w:rsid w:val="00484542"/>
    <w:rsid w:val="0049772C"/>
    <w:rsid w:val="004B0B7B"/>
    <w:rsid w:val="004E3649"/>
    <w:rsid w:val="00543949"/>
    <w:rsid w:val="00552EEB"/>
    <w:rsid w:val="005A4743"/>
    <w:rsid w:val="005A6451"/>
    <w:rsid w:val="005C2ACD"/>
    <w:rsid w:val="005E23B3"/>
    <w:rsid w:val="005F0EEC"/>
    <w:rsid w:val="005F601E"/>
    <w:rsid w:val="005F75CC"/>
    <w:rsid w:val="005F75DF"/>
    <w:rsid w:val="00614F77"/>
    <w:rsid w:val="0062041C"/>
    <w:rsid w:val="00631F13"/>
    <w:rsid w:val="00636BC7"/>
    <w:rsid w:val="00662F59"/>
    <w:rsid w:val="00663F08"/>
    <w:rsid w:val="00670685"/>
    <w:rsid w:val="006810E6"/>
    <w:rsid w:val="00685014"/>
    <w:rsid w:val="0069630B"/>
    <w:rsid w:val="00696E61"/>
    <w:rsid w:val="006A1F57"/>
    <w:rsid w:val="006A69BF"/>
    <w:rsid w:val="006B2EAD"/>
    <w:rsid w:val="006B5B76"/>
    <w:rsid w:val="006B6090"/>
    <w:rsid w:val="006C37F9"/>
    <w:rsid w:val="006E0F5F"/>
    <w:rsid w:val="006E58A1"/>
    <w:rsid w:val="006F18B6"/>
    <w:rsid w:val="006F30C9"/>
    <w:rsid w:val="006F3814"/>
    <w:rsid w:val="006F6C07"/>
    <w:rsid w:val="006F6E68"/>
    <w:rsid w:val="00703BFB"/>
    <w:rsid w:val="00711DF4"/>
    <w:rsid w:val="00726AEC"/>
    <w:rsid w:val="007553FE"/>
    <w:rsid w:val="00756AF3"/>
    <w:rsid w:val="00763804"/>
    <w:rsid w:val="00765BD4"/>
    <w:rsid w:val="00766602"/>
    <w:rsid w:val="007756AC"/>
    <w:rsid w:val="007C46B6"/>
    <w:rsid w:val="007C64E3"/>
    <w:rsid w:val="007C73F2"/>
    <w:rsid w:val="007D70A1"/>
    <w:rsid w:val="007D7DEA"/>
    <w:rsid w:val="00800546"/>
    <w:rsid w:val="00800644"/>
    <w:rsid w:val="00805280"/>
    <w:rsid w:val="008054F3"/>
    <w:rsid w:val="0080750C"/>
    <w:rsid w:val="00807A1C"/>
    <w:rsid w:val="008132E8"/>
    <w:rsid w:val="0082045E"/>
    <w:rsid w:val="00823407"/>
    <w:rsid w:val="00823CB3"/>
    <w:rsid w:val="00835D44"/>
    <w:rsid w:val="00835DA9"/>
    <w:rsid w:val="00855AB5"/>
    <w:rsid w:val="008637C1"/>
    <w:rsid w:val="00876EA5"/>
    <w:rsid w:val="00877C4A"/>
    <w:rsid w:val="008966C8"/>
    <w:rsid w:val="008A447D"/>
    <w:rsid w:val="008B0184"/>
    <w:rsid w:val="008B4831"/>
    <w:rsid w:val="008B59C0"/>
    <w:rsid w:val="008C5D02"/>
    <w:rsid w:val="008D19E4"/>
    <w:rsid w:val="008D2649"/>
    <w:rsid w:val="008D48C3"/>
    <w:rsid w:val="008D70E2"/>
    <w:rsid w:val="008F00BD"/>
    <w:rsid w:val="009045E4"/>
    <w:rsid w:val="0090568D"/>
    <w:rsid w:val="00906491"/>
    <w:rsid w:val="009125C9"/>
    <w:rsid w:val="00913879"/>
    <w:rsid w:val="00917661"/>
    <w:rsid w:val="00941B3C"/>
    <w:rsid w:val="0094227C"/>
    <w:rsid w:val="00946B53"/>
    <w:rsid w:val="009662FF"/>
    <w:rsid w:val="00970E5D"/>
    <w:rsid w:val="0097701C"/>
    <w:rsid w:val="00980A65"/>
    <w:rsid w:val="009866AC"/>
    <w:rsid w:val="00990188"/>
    <w:rsid w:val="00991DDE"/>
    <w:rsid w:val="009B57F7"/>
    <w:rsid w:val="009C3A3A"/>
    <w:rsid w:val="009C3A9C"/>
    <w:rsid w:val="009C7581"/>
    <w:rsid w:val="009E1C92"/>
    <w:rsid w:val="009E291B"/>
    <w:rsid w:val="009F1852"/>
    <w:rsid w:val="009F1965"/>
    <w:rsid w:val="00A13676"/>
    <w:rsid w:val="00A15A35"/>
    <w:rsid w:val="00A2158A"/>
    <w:rsid w:val="00A25E70"/>
    <w:rsid w:val="00A33765"/>
    <w:rsid w:val="00A4207D"/>
    <w:rsid w:val="00A458C7"/>
    <w:rsid w:val="00A52E92"/>
    <w:rsid w:val="00A53D99"/>
    <w:rsid w:val="00A575EA"/>
    <w:rsid w:val="00A63269"/>
    <w:rsid w:val="00A67CAA"/>
    <w:rsid w:val="00A73276"/>
    <w:rsid w:val="00A8241E"/>
    <w:rsid w:val="00A92377"/>
    <w:rsid w:val="00AA1C14"/>
    <w:rsid w:val="00AA7952"/>
    <w:rsid w:val="00AB29ED"/>
    <w:rsid w:val="00AC1F9E"/>
    <w:rsid w:val="00AD528A"/>
    <w:rsid w:val="00AD5355"/>
    <w:rsid w:val="00AD5D21"/>
    <w:rsid w:val="00AE3490"/>
    <w:rsid w:val="00AE3CB6"/>
    <w:rsid w:val="00AE4BD8"/>
    <w:rsid w:val="00B00FED"/>
    <w:rsid w:val="00B022FC"/>
    <w:rsid w:val="00B139F1"/>
    <w:rsid w:val="00B21315"/>
    <w:rsid w:val="00B31F06"/>
    <w:rsid w:val="00B36315"/>
    <w:rsid w:val="00B41A37"/>
    <w:rsid w:val="00B4388F"/>
    <w:rsid w:val="00B60989"/>
    <w:rsid w:val="00B62688"/>
    <w:rsid w:val="00B63237"/>
    <w:rsid w:val="00B72C12"/>
    <w:rsid w:val="00BA4362"/>
    <w:rsid w:val="00BB1495"/>
    <w:rsid w:val="00BE56E2"/>
    <w:rsid w:val="00C035CF"/>
    <w:rsid w:val="00C1537A"/>
    <w:rsid w:val="00C21428"/>
    <w:rsid w:val="00C23663"/>
    <w:rsid w:val="00C276EC"/>
    <w:rsid w:val="00C428BE"/>
    <w:rsid w:val="00C534E6"/>
    <w:rsid w:val="00C5402A"/>
    <w:rsid w:val="00C75685"/>
    <w:rsid w:val="00C76B73"/>
    <w:rsid w:val="00C83E9C"/>
    <w:rsid w:val="00C907D7"/>
    <w:rsid w:val="00C960DC"/>
    <w:rsid w:val="00CA14DF"/>
    <w:rsid w:val="00D02C75"/>
    <w:rsid w:val="00D10E22"/>
    <w:rsid w:val="00D13D2C"/>
    <w:rsid w:val="00D15C11"/>
    <w:rsid w:val="00D27473"/>
    <w:rsid w:val="00D27E09"/>
    <w:rsid w:val="00D319A8"/>
    <w:rsid w:val="00D3203C"/>
    <w:rsid w:val="00D54F58"/>
    <w:rsid w:val="00D70109"/>
    <w:rsid w:val="00D731BF"/>
    <w:rsid w:val="00D7608B"/>
    <w:rsid w:val="00DB093E"/>
    <w:rsid w:val="00DB26C3"/>
    <w:rsid w:val="00DB3C65"/>
    <w:rsid w:val="00DB5259"/>
    <w:rsid w:val="00DB658D"/>
    <w:rsid w:val="00DC2F94"/>
    <w:rsid w:val="00DC303F"/>
    <w:rsid w:val="00DC4CD2"/>
    <w:rsid w:val="00DD3D9E"/>
    <w:rsid w:val="00DD4AFD"/>
    <w:rsid w:val="00DD5AC6"/>
    <w:rsid w:val="00DD61D2"/>
    <w:rsid w:val="00DD7908"/>
    <w:rsid w:val="00DE1CFF"/>
    <w:rsid w:val="00E21084"/>
    <w:rsid w:val="00E3126E"/>
    <w:rsid w:val="00E329F3"/>
    <w:rsid w:val="00E44D43"/>
    <w:rsid w:val="00E47DB5"/>
    <w:rsid w:val="00E75150"/>
    <w:rsid w:val="00E77292"/>
    <w:rsid w:val="00E811C8"/>
    <w:rsid w:val="00E82297"/>
    <w:rsid w:val="00E97765"/>
    <w:rsid w:val="00ED0CFC"/>
    <w:rsid w:val="00ED7EF2"/>
    <w:rsid w:val="00EE4F77"/>
    <w:rsid w:val="00EF39FD"/>
    <w:rsid w:val="00F06842"/>
    <w:rsid w:val="00F10484"/>
    <w:rsid w:val="00F107FD"/>
    <w:rsid w:val="00F110A5"/>
    <w:rsid w:val="00F13290"/>
    <w:rsid w:val="00F15381"/>
    <w:rsid w:val="00F20668"/>
    <w:rsid w:val="00F23C54"/>
    <w:rsid w:val="00F26705"/>
    <w:rsid w:val="00F301B4"/>
    <w:rsid w:val="00F40AD0"/>
    <w:rsid w:val="00F4191E"/>
    <w:rsid w:val="00F43322"/>
    <w:rsid w:val="00F44A03"/>
    <w:rsid w:val="00F54E1C"/>
    <w:rsid w:val="00F64120"/>
    <w:rsid w:val="00F65D1B"/>
    <w:rsid w:val="00F67065"/>
    <w:rsid w:val="00F95F66"/>
    <w:rsid w:val="00FB64A8"/>
    <w:rsid w:val="00FC2529"/>
    <w:rsid w:val="00FC5669"/>
    <w:rsid w:val="00FC7636"/>
    <w:rsid w:val="00FE19EB"/>
    <w:rsid w:val="00FF6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B0184"/>
    <w:rPr>
      <w:lang w:eastAsia="en-US"/>
    </w:rPr>
  </w:style>
  <w:style w:type="paragraph" w:styleId="berschrift3">
    <w:name w:val="heading 3"/>
    <w:basedOn w:val="Standard"/>
    <w:next w:val="Standard"/>
    <w:qFormat/>
    <w:rsid w:val="008B0184"/>
    <w:pPr>
      <w:keepNext/>
      <w:spacing w:before="240" w:after="60"/>
      <w:outlineLvl w:val="2"/>
    </w:pPr>
    <w:rPr>
      <w:rFonts w:ascii="Arial" w:hAnsi="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nzeichen">
    <w:name w:val="endnote reference"/>
    <w:basedOn w:val="Absatz-Standardschriftart"/>
    <w:semiHidden/>
    <w:rsid w:val="008B0184"/>
    <w:rPr>
      <w:vertAlign w:val="superscript"/>
    </w:rPr>
  </w:style>
  <w:style w:type="paragraph" w:styleId="Kopfzeile">
    <w:name w:val="header"/>
    <w:rsid w:val="008B0184"/>
    <w:pPr>
      <w:tabs>
        <w:tab w:val="center" w:pos="3600"/>
        <w:tab w:val="right" w:pos="7200"/>
      </w:tabs>
      <w:spacing w:line="200" w:lineRule="atLeast"/>
    </w:pPr>
    <w:rPr>
      <w:noProof/>
      <w:lang w:eastAsia="en-US"/>
    </w:rPr>
  </w:style>
  <w:style w:type="paragraph" w:styleId="Fuzeile">
    <w:name w:val="footer"/>
    <w:basedOn w:val="Kopfzeile"/>
    <w:rsid w:val="008B0184"/>
  </w:style>
  <w:style w:type="character" w:styleId="Funotenzeichen">
    <w:name w:val="footnote reference"/>
    <w:semiHidden/>
    <w:rsid w:val="008B0184"/>
    <w:rPr>
      <w:vertAlign w:val="superscript"/>
    </w:rPr>
  </w:style>
  <w:style w:type="paragraph" w:styleId="Funotentext">
    <w:name w:val="footnote text"/>
    <w:basedOn w:val="Standard"/>
    <w:semiHidden/>
    <w:rsid w:val="008B0184"/>
    <w:rPr>
      <w:rFonts w:ascii="Univers" w:hAnsi="Univers"/>
    </w:rPr>
  </w:style>
  <w:style w:type="character" w:styleId="Hyperlink">
    <w:name w:val="Hyperlink"/>
    <w:basedOn w:val="Absatz-Standardschriftart"/>
    <w:rsid w:val="008B0184"/>
    <w:rPr>
      <w:color w:val="0000FF"/>
      <w:u w:val="single"/>
    </w:rPr>
  </w:style>
  <w:style w:type="character" w:customStyle="1" w:styleId="MTEquationSection">
    <w:name w:val="MTEquationSection"/>
    <w:basedOn w:val="Absatz-Standardschriftart"/>
    <w:rsid w:val="008B0184"/>
    <w:rPr>
      <w:vanish/>
      <w:color w:val="FF0000"/>
    </w:rPr>
  </w:style>
  <w:style w:type="character" w:styleId="Seitenzahl">
    <w:name w:val="page number"/>
    <w:basedOn w:val="Absatz-Standardschriftar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Absatz-Standardschriftart"/>
    <w:rsid w:val="008B0184"/>
    <w:rPr>
      <w:sz w:val="18"/>
      <w:lang w:val="en-US" w:eastAsia="en-US" w:bidi="ar-SA"/>
    </w:rPr>
  </w:style>
  <w:style w:type="character" w:styleId="Kommentarzeichen">
    <w:name w:val="annotation reference"/>
    <w:basedOn w:val="Absatz-Standardschriftart"/>
    <w:semiHidden/>
    <w:rsid w:val="008B0184"/>
    <w:rPr>
      <w:sz w:val="16"/>
      <w:szCs w:val="16"/>
    </w:rPr>
  </w:style>
  <w:style w:type="paragraph" w:styleId="Kommentartext">
    <w:name w:val="annotation text"/>
    <w:basedOn w:val="Standard"/>
    <w:semiHidden/>
    <w:rsid w:val="008B0184"/>
  </w:style>
  <w:style w:type="paragraph" w:styleId="Kommentarthema">
    <w:name w:val="annotation subject"/>
    <w:basedOn w:val="Kommentartext"/>
    <w:next w:val="Kommentartext"/>
    <w:semiHidden/>
    <w:rsid w:val="008B0184"/>
    <w:rPr>
      <w:b/>
      <w:bCs/>
    </w:rPr>
  </w:style>
  <w:style w:type="paragraph" w:styleId="Sprechblasentext">
    <w:name w:val="Balloon Text"/>
    <w:basedOn w:val="Standard"/>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Absatz-Standardschriftart"/>
    <w:rsid w:val="00F06842"/>
    <w:rPr>
      <w:u w:val="single"/>
    </w:rPr>
  </w:style>
  <w:style w:type="paragraph" w:customStyle="1" w:styleId="ElsevierBodyTextCentredNospace">
    <w:name w:val="Elsevier Body Text Centred No space"/>
    <w:basedOn w:val="Standard"/>
    <w:qFormat/>
    <w:rsid w:val="00F06842"/>
    <w:pPr>
      <w:jc w:val="center"/>
    </w:pPr>
    <w:rPr>
      <w:bCs/>
      <w:iCs/>
      <w:color w:val="000000" w:themeColor="text1"/>
      <w:sz w:val="22"/>
      <w:szCs w:val="24"/>
      <w:lang w:val="en-US"/>
    </w:rPr>
  </w:style>
  <w:style w:type="paragraph" w:styleId="berarbeitung">
    <w:name w:val="Revision"/>
    <w:hidden/>
    <w:uiPriority w:val="99"/>
    <w:semiHidden/>
    <w:rsid w:val="00941B3C"/>
    <w:rPr>
      <w:lang w:eastAsia="en-US"/>
    </w:rPr>
  </w:style>
  <w:style w:type="character" w:styleId="NichtaufgelsteErwhnung">
    <w:name w:val="Unresolved Mention"/>
    <w:basedOn w:val="Absatz-Standardschriftart"/>
    <w:uiPriority w:val="99"/>
    <w:semiHidden/>
    <w:unhideWhenUsed/>
    <w:rsid w:val="00991DDE"/>
    <w:rPr>
      <w:color w:val="605E5C"/>
      <w:shd w:val="clear" w:color="auto" w:fill="E1DFDD"/>
    </w:rPr>
  </w:style>
  <w:style w:type="table" w:styleId="Tabellenraster">
    <w:name w:val="Table Grid"/>
    <w:basedOn w:val="NormaleTabelle"/>
    <w:rsid w:val="002C4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2C488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104225">
      <w:bodyDiv w:val="1"/>
      <w:marLeft w:val="0"/>
      <w:marRight w:val="0"/>
      <w:marTop w:val="0"/>
      <w:marBottom w:val="0"/>
      <w:divBdr>
        <w:top w:val="none" w:sz="0" w:space="0" w:color="auto"/>
        <w:left w:val="none" w:sz="0" w:space="0" w:color="auto"/>
        <w:bottom w:val="none" w:sz="0" w:space="0" w:color="auto"/>
        <w:right w:val="none" w:sz="0" w:space="0" w:color="auto"/>
      </w:divBdr>
    </w:div>
    <w:div w:id="1515025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2531</Words>
  <Characters>15947</Characters>
  <Application>Microsoft Office Word</Application>
  <DocSecurity>0</DocSecurity>
  <Lines>132</Lines>
  <Paragraphs>36</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Hagen Seele</cp:lastModifiedBy>
  <cp:revision>4</cp:revision>
  <cp:lastPrinted>2023-11-30T09:26:00Z</cp:lastPrinted>
  <dcterms:created xsi:type="dcterms:W3CDTF">2024-01-15T14:17:00Z</dcterms:created>
  <dcterms:modified xsi:type="dcterms:W3CDTF">2024-01-15T14:26:00Z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