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A1291" w14:textId="77777777" w:rsidR="00835183" w:rsidRDefault="00835183" w:rsidP="000D0225">
      <w:pPr>
        <w:pStyle w:val="Els-Author"/>
        <w:rPr>
          <w:b/>
          <w:noProof w:val="0"/>
          <w:color w:val="000000" w:themeColor="text1"/>
          <w:sz w:val="32"/>
          <w:lang w:val="en-US"/>
        </w:rPr>
      </w:pPr>
      <w:r w:rsidRPr="00835183">
        <w:rPr>
          <w:b/>
          <w:noProof w:val="0"/>
          <w:color w:val="000000" w:themeColor="text1"/>
          <w:sz w:val="32"/>
          <w:lang w:val="en-US"/>
        </w:rPr>
        <w:t>Integration of process and working-fluid design for Combined Heating and Power (CHP) systems</w:t>
      </w:r>
    </w:p>
    <w:p w14:paraId="67FE6A8E" w14:textId="5247F054" w:rsidR="000D0225" w:rsidRPr="00835183" w:rsidRDefault="00481A8E" w:rsidP="000D0225">
      <w:pPr>
        <w:pStyle w:val="Els-Author"/>
        <w:rPr>
          <w:lang w:val="fr-FR"/>
        </w:rPr>
      </w:pPr>
      <w:r w:rsidRPr="00835183">
        <w:rPr>
          <w:lang w:val="fr-FR"/>
        </w:rPr>
        <w:t>Andres Pina-Martinez</w:t>
      </w:r>
      <w:r w:rsidR="008626DF" w:rsidRPr="00835183">
        <w:rPr>
          <w:lang w:val="fr-FR"/>
        </w:rPr>
        <w:t>*</w:t>
      </w:r>
      <w:r w:rsidR="000D0225" w:rsidRPr="00835183">
        <w:rPr>
          <w:lang w:val="fr-FR"/>
        </w:rPr>
        <w:t xml:space="preserve">, </w:t>
      </w:r>
      <w:r>
        <w:rPr>
          <w:lang w:val="fr-FR"/>
        </w:rPr>
        <w:t>Romain Pri</w:t>
      </w:r>
      <w:r w:rsidR="00B368EB">
        <w:rPr>
          <w:lang w:val="fr-FR"/>
        </w:rPr>
        <w:t>v</w:t>
      </w:r>
      <w:r>
        <w:rPr>
          <w:lang w:val="fr-FR"/>
        </w:rPr>
        <w:t>at, Je</w:t>
      </w:r>
      <w:r w:rsidR="00E2754C">
        <w:rPr>
          <w:lang w:val="fr-FR"/>
        </w:rPr>
        <w:t>an</w:t>
      </w:r>
      <w:r>
        <w:rPr>
          <w:lang w:val="fr-FR"/>
        </w:rPr>
        <w:t>-François Portha, Jean-Marc Commenge</w:t>
      </w:r>
    </w:p>
    <w:p w14:paraId="01B73E24" w14:textId="6DD79197" w:rsidR="000D0225" w:rsidRPr="00835183" w:rsidRDefault="000D0225" w:rsidP="000D0225">
      <w:pPr>
        <w:rPr>
          <w:i/>
          <w:lang w:val="fr-FR"/>
        </w:rPr>
      </w:pPr>
      <w:r w:rsidRPr="00835183">
        <w:rPr>
          <w:i/>
          <w:lang w:val="fr-FR"/>
        </w:rPr>
        <w:t>Université de Lorraine, CNRS, LRGP, F-54000 Nancy, France</w:t>
      </w:r>
    </w:p>
    <w:p w14:paraId="01F935A3" w14:textId="39EA5F08" w:rsidR="000D0225" w:rsidRPr="00835183" w:rsidRDefault="00481A8E" w:rsidP="000D0225">
      <w:pPr>
        <w:rPr>
          <w:i/>
          <w:lang w:val="fr-FR"/>
        </w:rPr>
      </w:pPr>
      <w:r>
        <w:rPr>
          <w:i/>
          <w:lang w:val="fr-FR"/>
        </w:rPr>
        <w:t>andres-david.pina-martinez</w:t>
      </w:r>
      <w:r w:rsidR="000D0225" w:rsidRPr="00835183">
        <w:rPr>
          <w:i/>
          <w:lang w:val="fr-FR"/>
        </w:rPr>
        <w:t>@univ-lorraine.fr</w:t>
      </w:r>
    </w:p>
    <w:p w14:paraId="144DE684" w14:textId="77777777" w:rsidR="008D2649" w:rsidRDefault="008D2649" w:rsidP="008D2649">
      <w:pPr>
        <w:pStyle w:val="Els-Abstract"/>
      </w:pPr>
      <w:r>
        <w:t>Abstract</w:t>
      </w:r>
    </w:p>
    <w:p w14:paraId="615D0273" w14:textId="35FF3C6E" w:rsidR="00E24D38" w:rsidRPr="007D3617" w:rsidRDefault="0085533D" w:rsidP="000D0225">
      <w:pPr>
        <w:pStyle w:val="Els-body-text"/>
        <w:spacing w:after="120"/>
      </w:pPr>
      <w:r w:rsidRPr="00B84A29">
        <w:rPr>
          <w:lang w:val="en-GB"/>
        </w:rPr>
        <w:t xml:space="preserve">In </w:t>
      </w:r>
      <w:r w:rsidR="00F77B49">
        <w:rPr>
          <w:lang w:val="en-GB"/>
        </w:rPr>
        <w:t>this</w:t>
      </w:r>
      <w:r w:rsidRPr="00B84A29">
        <w:rPr>
          <w:lang w:val="en-GB"/>
        </w:rPr>
        <w:t xml:space="preserve"> work, a product-</w:t>
      </w:r>
      <w:r w:rsidR="007B2ED4">
        <w:rPr>
          <w:lang w:val="en-GB"/>
        </w:rPr>
        <w:t xml:space="preserve"> </w:t>
      </w:r>
      <w:r>
        <w:rPr>
          <w:lang w:val="en-GB"/>
        </w:rPr>
        <w:t xml:space="preserve">and process-design </w:t>
      </w:r>
      <w:r w:rsidRPr="00B84A29">
        <w:rPr>
          <w:lang w:val="en-GB"/>
        </w:rPr>
        <w:t>approach for the selection of suitable working fluids</w:t>
      </w:r>
      <w:r>
        <w:rPr>
          <w:lang w:val="en-GB"/>
        </w:rPr>
        <w:t xml:space="preserve"> and flowsheet configuration</w:t>
      </w:r>
      <w:r w:rsidRPr="00B84A29">
        <w:rPr>
          <w:lang w:val="en-GB"/>
        </w:rPr>
        <w:t xml:space="preserve"> for novel Combined Heating and Power applications </w:t>
      </w:r>
      <w:r w:rsidR="007B2ED4">
        <w:rPr>
          <w:lang w:val="en-GB"/>
        </w:rPr>
        <w:t>is</w:t>
      </w:r>
      <w:r w:rsidRPr="00B84A29">
        <w:rPr>
          <w:lang w:val="en-GB"/>
        </w:rPr>
        <w:t xml:space="preserve"> presented</w:t>
      </w:r>
      <w:r w:rsidR="007D3617">
        <w:t>.</w:t>
      </w:r>
      <w:r w:rsidR="00BA6715">
        <w:t xml:space="preserve"> F</w:t>
      </w:r>
      <w:proofErr w:type="spellStart"/>
      <w:r w:rsidR="00D3521E" w:rsidRPr="00BA6715">
        <w:rPr>
          <w:lang w:val="en-GB"/>
        </w:rPr>
        <w:t>irst</w:t>
      </w:r>
      <w:proofErr w:type="spellEnd"/>
      <w:r w:rsidR="00BA6715" w:rsidRPr="00BA6715">
        <w:rPr>
          <w:lang w:val="en-GB"/>
        </w:rPr>
        <w:t>, molecules</w:t>
      </w:r>
      <w:r w:rsidR="00BA6715">
        <w:rPr>
          <w:lang w:val="en-GB"/>
        </w:rPr>
        <w:t xml:space="preserve"> </w:t>
      </w:r>
      <w:r w:rsidR="00BA6715" w:rsidRPr="00BA6715">
        <w:rPr>
          <w:lang w:val="en-GB"/>
        </w:rPr>
        <w:t>that meet the requirements imposed by the process</w:t>
      </w:r>
      <w:r w:rsidR="00BA6715">
        <w:rPr>
          <w:lang w:val="en-GB"/>
        </w:rPr>
        <w:t>, and thus,</w:t>
      </w:r>
      <w:r w:rsidR="00BA6715" w:rsidRPr="00BA6715">
        <w:rPr>
          <w:lang w:val="en-GB"/>
        </w:rPr>
        <w:t xml:space="preserve"> could be used as working fluid are </w:t>
      </w:r>
      <w:r w:rsidR="00BA6715">
        <w:rPr>
          <w:lang w:val="en-GB"/>
        </w:rPr>
        <w:t>screened</w:t>
      </w:r>
      <w:r w:rsidR="00BA6715" w:rsidRPr="00BA6715">
        <w:rPr>
          <w:lang w:val="en-GB"/>
        </w:rPr>
        <w:t xml:space="preserve"> from a set of about 2500 compounds.</w:t>
      </w:r>
      <w:r w:rsidR="00386FA7">
        <w:rPr>
          <w:lang w:val="en-GB"/>
        </w:rPr>
        <w:t xml:space="preserve"> After the screening,</w:t>
      </w:r>
      <w:r w:rsidR="00386FA7" w:rsidRPr="00386FA7">
        <w:rPr>
          <w:lang w:val="en-GB"/>
        </w:rPr>
        <w:t xml:space="preserve"> an optimisation procedure based on a superstructure approach is implemented to identify simultaneously the optimal process flowsheet</w:t>
      </w:r>
      <w:r w:rsidR="00386FA7">
        <w:rPr>
          <w:lang w:val="en-GB"/>
        </w:rPr>
        <w:t>s</w:t>
      </w:r>
      <w:r w:rsidR="00386FA7" w:rsidRPr="00386FA7">
        <w:rPr>
          <w:lang w:val="en-GB"/>
        </w:rPr>
        <w:t xml:space="preserve"> and the corresponding working fluid.</w:t>
      </w:r>
      <w:r w:rsidR="00071911">
        <w:rPr>
          <w:lang w:val="en-GB"/>
        </w:rPr>
        <w:t xml:space="preserve"> </w:t>
      </w:r>
      <w:r w:rsidR="00071911" w:rsidRPr="00071911">
        <w:rPr>
          <w:lang w:val="en-GB"/>
        </w:rPr>
        <w:t xml:space="preserve">The </w:t>
      </w:r>
      <w:r w:rsidR="00A47007">
        <w:rPr>
          <w:lang w:val="en-GB"/>
        </w:rPr>
        <w:t>design problem is</w:t>
      </w:r>
      <w:r w:rsidR="00071911" w:rsidRPr="00071911">
        <w:rPr>
          <w:lang w:val="en-GB"/>
        </w:rPr>
        <w:t xml:space="preserve"> expressed as a multi-objective MINLP problem and solved using MIDACO, an extended evolutionary Ant Colony Optimization (ACO) solver.</w:t>
      </w:r>
      <w:r w:rsidR="00A47007">
        <w:rPr>
          <w:lang w:val="en-GB"/>
        </w:rPr>
        <w:t xml:space="preserve"> </w:t>
      </w:r>
      <w:r w:rsidR="00A47007" w:rsidRPr="00A47007">
        <w:rPr>
          <w:lang w:val="en-GB"/>
        </w:rPr>
        <w:t xml:space="preserve">The analysis of the set of Pareto points reveals that, in terms of process, regeneration and two bleedings should be included in the flowsheet. Moreover, </w:t>
      </w:r>
      <w:r w:rsidR="001F6538">
        <w:rPr>
          <w:lang w:val="en-GB"/>
        </w:rPr>
        <w:t>turbine</w:t>
      </w:r>
      <w:r w:rsidR="00A47007" w:rsidRPr="00A47007">
        <w:rPr>
          <w:lang w:val="en-GB"/>
        </w:rPr>
        <w:t xml:space="preserve"> bleeding </w:t>
      </w:r>
      <w:r w:rsidR="001F6538">
        <w:rPr>
          <w:lang w:val="en-GB"/>
        </w:rPr>
        <w:t>s</w:t>
      </w:r>
      <w:r w:rsidR="00A47007" w:rsidRPr="00A47007">
        <w:rPr>
          <w:lang w:val="en-GB"/>
        </w:rPr>
        <w:t>hould be used to provide heating power to the end-user. In terms of working-fluid design, HFC-152 and HFCO-1233zd (E) seem to be promising candidates for CHP applications.</w:t>
      </w:r>
    </w:p>
    <w:p w14:paraId="5E0CAA42" w14:textId="533261DB" w:rsidR="008626DF" w:rsidRDefault="008626DF" w:rsidP="008626DF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48036C">
        <w:rPr>
          <w:lang w:val="en-GB"/>
        </w:rPr>
        <w:t xml:space="preserve">process synthesis, </w:t>
      </w:r>
      <w:r w:rsidR="007F430F">
        <w:rPr>
          <w:lang w:val="en-GB"/>
        </w:rPr>
        <w:t>superstructure optimisation</w:t>
      </w:r>
      <w:r w:rsidR="0048036C">
        <w:rPr>
          <w:lang w:val="en-GB"/>
        </w:rPr>
        <w:t xml:space="preserve">, </w:t>
      </w:r>
      <w:r w:rsidR="00D01A70">
        <w:rPr>
          <w:lang w:val="en-GB"/>
        </w:rPr>
        <w:t>combined heat and power</w:t>
      </w:r>
      <w:r>
        <w:rPr>
          <w:lang w:val="en-GB"/>
        </w:rPr>
        <w:t>.</w:t>
      </w:r>
    </w:p>
    <w:p w14:paraId="11692F8B" w14:textId="799D277F" w:rsidR="000D0225" w:rsidRDefault="008626DF" w:rsidP="008626DF">
      <w:pPr>
        <w:pStyle w:val="Els-body-text"/>
        <w:spacing w:after="120"/>
        <w:rPr>
          <w:b/>
          <w:sz w:val="22"/>
          <w:lang w:val="en-GB"/>
        </w:rPr>
      </w:pPr>
      <w:r>
        <w:rPr>
          <w:b/>
          <w:sz w:val="22"/>
          <w:lang w:val="en-GB"/>
        </w:rPr>
        <w:t xml:space="preserve">1. </w:t>
      </w:r>
      <w:r w:rsidRPr="008626DF">
        <w:rPr>
          <w:b/>
          <w:sz w:val="22"/>
          <w:lang w:val="en-GB"/>
        </w:rPr>
        <w:t>Introduction</w:t>
      </w:r>
    </w:p>
    <w:p w14:paraId="6104661D" w14:textId="2B4E3721" w:rsidR="003C41A3" w:rsidRPr="00E827FA" w:rsidRDefault="003C41A3" w:rsidP="00D50FE3">
      <w:pPr>
        <w:ind w:firstLine="284"/>
        <w:rPr>
          <w:lang w:val="en-US"/>
        </w:rPr>
      </w:pPr>
      <w:r w:rsidRPr="00554BAD">
        <w:rPr>
          <w:lang w:val="en-US"/>
        </w:rPr>
        <w:t xml:space="preserve">The promotion of DES has opened the way to different technologies such as combined heat and power (CHP) or combined cooling, heating and power (CCHP) systems. </w:t>
      </w:r>
      <w:r w:rsidRPr="00E827FA">
        <w:rPr>
          <w:lang w:val="en-US"/>
        </w:rPr>
        <w:t xml:space="preserve">Recently, </w:t>
      </w:r>
      <w:proofErr w:type="spellStart"/>
      <w:r w:rsidRPr="00E827FA">
        <w:rPr>
          <w:lang w:val="en-US"/>
        </w:rPr>
        <w:t>Briola</w:t>
      </w:r>
      <w:proofErr w:type="spellEnd"/>
      <w:r>
        <w:rPr>
          <w:lang w:val="en-US"/>
        </w:rPr>
        <w:t xml:space="preserve"> </w:t>
      </w:r>
      <w:r w:rsidR="00077462" w:rsidRPr="00077462">
        <w:t>(2017)</w:t>
      </w:r>
      <w:r w:rsidRPr="00E827FA">
        <w:rPr>
          <w:lang w:val="en-US"/>
        </w:rPr>
        <w:t xml:space="preserve"> presented a novel CCHP cycle</w:t>
      </w:r>
      <w:r>
        <w:rPr>
          <w:lang w:val="en-US"/>
        </w:rPr>
        <w:t xml:space="preserve"> </w:t>
      </w:r>
      <w:r w:rsidR="00A607C2">
        <w:rPr>
          <w:lang w:val="en-US"/>
        </w:rPr>
        <w:t>that</w:t>
      </w:r>
      <w:r w:rsidRPr="00E827FA">
        <w:rPr>
          <w:lang w:val="en-US"/>
        </w:rPr>
        <w:t xml:space="preserve"> enables the development of an all-in-one device capable of producing electric, heating and cooling power with a single working fluid. Among the design challenges of this novel CCHP system, the working fluid selection appears as a key stage of its development.</w:t>
      </w:r>
    </w:p>
    <w:p w14:paraId="00CE5655" w14:textId="767DE72C" w:rsidR="003C41A3" w:rsidRDefault="003C41A3" w:rsidP="00D50FE3">
      <w:pPr>
        <w:ind w:firstLine="284"/>
        <w:rPr>
          <w:lang w:val="en-US"/>
        </w:rPr>
      </w:pPr>
      <w:r>
        <w:rPr>
          <w:lang w:val="en-US"/>
        </w:rPr>
        <w:t xml:space="preserve">In this way, a first study </w:t>
      </w:r>
      <w:r w:rsidR="00077462" w:rsidRPr="00077462">
        <w:rPr>
          <w:szCs w:val="24"/>
        </w:rPr>
        <w:t>(Piña-Martinez et al., 2021)</w:t>
      </w:r>
      <w:r>
        <w:rPr>
          <w:lang w:val="en-US"/>
        </w:rPr>
        <w:t xml:space="preserve"> devoted to the working fluid selection was carried out by implementing a</w:t>
      </w:r>
      <w:r w:rsidRPr="00E553F3">
        <w:rPr>
          <w:lang w:val="en-US"/>
        </w:rPr>
        <w:t xml:space="preserve"> database search to screen about 60 000 structures included in the</w:t>
      </w:r>
      <w:r w:rsidR="006431D7">
        <w:rPr>
          <w:lang w:val="en-US"/>
        </w:rPr>
        <w:t xml:space="preserve"> </w:t>
      </w:r>
      <w:r w:rsidR="006431D7">
        <w:t xml:space="preserve">Dortmund Data Bank (DDB), the Design Institute for Physical Properties (DIPPR) database and the NIST </w:t>
      </w:r>
      <w:proofErr w:type="spellStart"/>
      <w:r w:rsidR="006431D7">
        <w:t>ThermoData</w:t>
      </w:r>
      <w:proofErr w:type="spellEnd"/>
      <w:r w:rsidR="006431D7">
        <w:t xml:space="preserve"> Engine 103b (NIST TDE 103b)</w:t>
      </w:r>
      <w:r w:rsidRPr="00E553F3">
        <w:rPr>
          <w:lang w:val="en-US"/>
        </w:rPr>
        <w:t>. The screening consider</w:t>
      </w:r>
      <w:r>
        <w:rPr>
          <w:lang w:val="en-US"/>
        </w:rPr>
        <w:t>ed</w:t>
      </w:r>
      <w:r w:rsidRPr="00E553F3">
        <w:rPr>
          <w:lang w:val="en-US"/>
        </w:rPr>
        <w:t xml:space="preserve"> thermodynamic, process-related, constructional, safety and environmental constraints</w:t>
      </w:r>
      <w:r>
        <w:rPr>
          <w:lang w:val="en-US"/>
        </w:rPr>
        <w:t xml:space="preserve">. In such study, the process flowsheet was not considered as a degree of freedom of the design problem. However, the choice of a working fluid is inherently coupled to the choice of the appropriate process flowsheet. </w:t>
      </w:r>
    </w:p>
    <w:p w14:paraId="13BAC1FE" w14:textId="373CFD2F" w:rsidR="0085533D" w:rsidRDefault="00EF68D1" w:rsidP="0085533D">
      <w:pPr>
        <w:ind w:firstLine="284"/>
        <w:rPr>
          <w:lang w:val="en-US"/>
        </w:rPr>
      </w:pPr>
      <w:r>
        <w:rPr>
          <w:lang w:val="en-US"/>
        </w:rPr>
        <w:t xml:space="preserve">In order to have a first overview of the trade-off between design variables, the </w:t>
      </w:r>
      <w:r w:rsidR="00513998">
        <w:rPr>
          <w:lang w:val="en-US"/>
        </w:rPr>
        <w:t xml:space="preserve">CHP configuration of the </w:t>
      </w:r>
      <w:r>
        <w:rPr>
          <w:lang w:val="en-US"/>
        </w:rPr>
        <w:t xml:space="preserve">original CCHP cycle is considered </w:t>
      </w:r>
      <w:r w:rsidR="00513998">
        <w:rPr>
          <w:lang w:val="en-US"/>
        </w:rPr>
        <w:t xml:space="preserve">in this study. </w:t>
      </w:r>
      <w:r w:rsidR="003C41A3" w:rsidRPr="00813569">
        <w:t xml:space="preserve">The objective of this work is to design a </w:t>
      </w:r>
      <w:r w:rsidR="003C41A3">
        <w:t xml:space="preserve">complete </w:t>
      </w:r>
      <w:r w:rsidR="003C41A3" w:rsidRPr="00813569">
        <w:t xml:space="preserve">CHP cycle </w:t>
      </w:r>
      <w:r w:rsidR="003C41A3">
        <w:t xml:space="preserve">– including the selection of the working fluid - </w:t>
      </w:r>
      <w:r w:rsidR="003C41A3" w:rsidRPr="00813569">
        <w:t>by implementing simultaneously product and process design approaches:</w:t>
      </w:r>
      <w:r w:rsidR="003C41A3">
        <w:t xml:space="preserve"> first, molecules that could be used as working fluid are searched for from a set of about 2500 compounds. Then, an optimisation procedure based on a </w:t>
      </w:r>
      <w:r w:rsidR="003C41A3" w:rsidRPr="00813569">
        <w:t>superstructure</w:t>
      </w:r>
      <w:r w:rsidR="003C41A3">
        <w:t xml:space="preserve"> approach is implemented to identify simultaneously the </w:t>
      </w:r>
      <w:r w:rsidR="003C41A3" w:rsidRPr="00813569">
        <w:t>optimal process flowsheet</w:t>
      </w:r>
      <w:r w:rsidR="003C41A3">
        <w:t xml:space="preserve"> and the corresponding working fluid. </w:t>
      </w:r>
      <w:r w:rsidR="003C41A3">
        <w:rPr>
          <w:lang w:val="en-US"/>
        </w:rPr>
        <w:t xml:space="preserve">The paper </w:t>
      </w:r>
      <w:r w:rsidR="00AB2CE9">
        <w:rPr>
          <w:lang w:val="en-US"/>
        </w:rPr>
        <w:t>describes</w:t>
      </w:r>
      <w:r w:rsidR="00CE7F4F" w:rsidRPr="00CE7F4F">
        <w:rPr>
          <w:lang w:val="en-US"/>
        </w:rPr>
        <w:t xml:space="preserve"> of the original CHP cycle</w:t>
      </w:r>
      <w:r w:rsidR="00BF56F7">
        <w:rPr>
          <w:lang w:val="en-US"/>
        </w:rPr>
        <w:t xml:space="preserve">, </w:t>
      </w:r>
      <w:r w:rsidR="003C41A3">
        <w:rPr>
          <w:lang w:val="en-US"/>
        </w:rPr>
        <w:t xml:space="preserve">the methodology for the integrated </w:t>
      </w:r>
      <w:r w:rsidR="003C41A3" w:rsidRPr="00E24ECF">
        <w:rPr>
          <w:lang w:val="en-US"/>
        </w:rPr>
        <w:lastRenderedPageBreak/>
        <w:t>process and working-fluid design</w:t>
      </w:r>
      <w:r w:rsidR="003C41A3">
        <w:rPr>
          <w:lang w:val="en-US"/>
        </w:rPr>
        <w:t xml:space="preserve"> implemented in this work</w:t>
      </w:r>
      <w:r w:rsidR="00AB2CE9">
        <w:rPr>
          <w:lang w:val="en-US"/>
        </w:rPr>
        <w:t>. It also</w:t>
      </w:r>
      <w:r w:rsidR="00BF56F7">
        <w:rPr>
          <w:lang w:val="en-US"/>
        </w:rPr>
        <w:t xml:space="preserve"> introduces t</w:t>
      </w:r>
      <w:r w:rsidR="003C41A3">
        <w:rPr>
          <w:lang w:val="en-US"/>
        </w:rPr>
        <w:t>he case study for the design of a CHP cycle</w:t>
      </w:r>
      <w:r w:rsidR="00AB2CE9">
        <w:rPr>
          <w:lang w:val="en-US"/>
        </w:rPr>
        <w:t xml:space="preserve"> and presents</w:t>
      </w:r>
      <w:r w:rsidR="003C41A3">
        <w:rPr>
          <w:lang w:val="en-US"/>
        </w:rPr>
        <w:t xml:space="preserve"> the results of the integrated design</w:t>
      </w:r>
      <w:r w:rsidR="00AB2CE9">
        <w:rPr>
          <w:lang w:val="en-US"/>
        </w:rPr>
        <w:t>.</w:t>
      </w:r>
    </w:p>
    <w:p w14:paraId="586D6931" w14:textId="1ED7565F" w:rsidR="000D0225" w:rsidRPr="00DD4CFB" w:rsidRDefault="001021B8" w:rsidP="00BF56F7">
      <w:pPr>
        <w:pStyle w:val="Els-1storder-head"/>
        <w:spacing w:after="120"/>
        <w:rPr>
          <w:b w:val="0"/>
          <w:color w:val="FF0000"/>
        </w:rPr>
      </w:pPr>
      <w:r w:rsidRPr="001021B8">
        <w:t xml:space="preserve">2. </w:t>
      </w:r>
      <w:r w:rsidR="00DD4CFB" w:rsidRPr="00DD4CFB">
        <w:t>Brief description of the original CHP cycle</w:t>
      </w:r>
    </w:p>
    <w:p w14:paraId="358A176D" w14:textId="7BC7B01F" w:rsidR="00C22C32" w:rsidRDefault="00C22C32" w:rsidP="00C22C32">
      <w:pPr>
        <w:rPr>
          <w:lang w:val="en-US"/>
        </w:rPr>
      </w:pPr>
      <w:r>
        <w:rPr>
          <w:lang w:val="en-US"/>
        </w:rPr>
        <w:t>The basic CHP process comprises five main steps: t</w:t>
      </w:r>
      <w:r w:rsidRPr="007A3988">
        <w:rPr>
          <w:lang w:val="en-US"/>
        </w:rPr>
        <w:t xml:space="preserve">he fluid in a liquid state is compressed by a pump (1-2), </w:t>
      </w:r>
      <w:r>
        <w:rPr>
          <w:lang w:val="en-US"/>
        </w:rPr>
        <w:t>preheated, evaporated</w:t>
      </w:r>
      <w:r w:rsidR="00BE3371">
        <w:rPr>
          <w:lang w:val="en-US"/>
        </w:rPr>
        <w:t xml:space="preserve"> at</w:t>
      </w:r>
      <w:r>
        <w:rPr>
          <w:lang w:val="en-US"/>
        </w:rPr>
        <w:t xml:space="preserve"> </w:t>
      </w:r>
      <w:r w:rsidRPr="007A3988">
        <w:rPr>
          <w:lang w:val="en-US"/>
        </w:rPr>
        <w:t xml:space="preserve">constant pressure (2-3), expanded in a first turbine (3-4), cooled at constant pressure in a condenser in order to provide the required </w:t>
      </w:r>
      <w:r>
        <w:rPr>
          <w:lang w:val="en-US"/>
        </w:rPr>
        <w:t xml:space="preserve">end-user </w:t>
      </w:r>
      <w:r w:rsidRPr="007A3988">
        <w:rPr>
          <w:lang w:val="en-US"/>
        </w:rPr>
        <w:t>heating power</w:t>
      </w:r>
      <w:r>
        <w:rPr>
          <w:lang w:val="en-US"/>
        </w:rPr>
        <w:t xml:space="preserve"> </w:t>
      </w:r>
      <w:r w:rsidRPr="007A3988">
        <w:rPr>
          <w:lang w:val="en-US"/>
        </w:rPr>
        <w:t>(</w:t>
      </w:r>
      <w:proofErr w:type="spellStart"/>
      <w:r>
        <w:rPr>
          <w:lang w:val="en-US"/>
        </w:rPr>
        <w:t>Q</w:t>
      </w:r>
      <w:r w:rsidRPr="0005278B">
        <w:rPr>
          <w:vertAlign w:val="subscript"/>
          <w:lang w:val="en-US"/>
        </w:rPr>
        <w:t>m</w:t>
      </w:r>
      <w:proofErr w:type="spellEnd"/>
      <w:r w:rsidRPr="007A3988">
        <w:rPr>
          <w:lang w:val="en-US"/>
        </w:rPr>
        <w:t>) at T</w:t>
      </w:r>
      <w:r w:rsidRPr="0005278B">
        <w:rPr>
          <w:vertAlign w:val="subscript"/>
          <w:lang w:val="en-US"/>
        </w:rPr>
        <w:t>M</w:t>
      </w:r>
      <w:r w:rsidRPr="007A3988">
        <w:rPr>
          <w:lang w:val="en-US"/>
        </w:rPr>
        <w:t>. Then, it is expanded in a second turbine (5-6) and condensed at constant pressure (6</w:t>
      </w:r>
      <w:r w:rsidR="00A66B91">
        <w:rPr>
          <w:lang w:val="en-US"/>
        </w:rPr>
        <w:t>-</w:t>
      </w:r>
      <w:r w:rsidRPr="007A3988">
        <w:rPr>
          <w:lang w:val="en-US"/>
        </w:rPr>
        <w:t>1) to the initial state.</w:t>
      </w:r>
      <w:r>
        <w:rPr>
          <w:lang w:val="en-US"/>
        </w:rPr>
        <w:t xml:space="preserve"> </w:t>
      </w:r>
    </w:p>
    <w:p w14:paraId="7797EEFE" w14:textId="23C9E5D3" w:rsidR="00B039DE" w:rsidRDefault="008150A6" w:rsidP="00DA1D62">
      <w:pPr>
        <w:pStyle w:val="Els-body-text"/>
        <w:keepNext/>
        <w:jc w:val="center"/>
      </w:pPr>
      <w:r w:rsidRPr="008150A6">
        <w:rPr>
          <w:noProof/>
        </w:rPr>
        <w:drawing>
          <wp:inline distT="0" distB="0" distL="0" distR="0" wp14:anchorId="021195D9" wp14:editId="1C3529CE">
            <wp:extent cx="1016000" cy="139855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70" cy="14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C32" w:rsidRPr="00C22C32">
        <w:rPr>
          <w:noProof/>
        </w:rPr>
        <w:t xml:space="preserve"> </w:t>
      </w:r>
      <w:r w:rsidR="00C22C32" w:rsidRPr="00E80B8D">
        <w:rPr>
          <w:noProof/>
        </w:rPr>
        <w:drawing>
          <wp:inline distT="0" distB="0" distL="0" distR="0" wp14:anchorId="76DB99D7" wp14:editId="46D3DD46">
            <wp:extent cx="1795503" cy="1312334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" b="3259"/>
                    <a:stretch/>
                  </pic:blipFill>
                  <pic:spPr bwMode="auto">
                    <a:xfrm>
                      <a:off x="0" y="0"/>
                      <a:ext cx="1848357" cy="13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C6425" w14:textId="35FB3CDD" w:rsidR="00C22C32" w:rsidRDefault="00B039DE" w:rsidP="00DA1D62">
      <w:pPr>
        <w:pStyle w:val="Lgende"/>
        <w:spacing w:before="0"/>
        <w:jc w:val="center"/>
      </w:pPr>
      <w:bookmarkStart w:id="0" w:name="_Ref14993105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A4CCB">
        <w:rPr>
          <w:noProof/>
        </w:rPr>
        <w:t>1</w:t>
      </w:r>
      <w:r>
        <w:fldChar w:fldCharType="end"/>
      </w:r>
      <w:bookmarkEnd w:id="0"/>
      <w:r>
        <w:t xml:space="preserve">: </w:t>
      </w:r>
      <w:r w:rsidR="00C22C32">
        <w:t xml:space="preserve">a) Schematic view of </w:t>
      </w:r>
      <w:r w:rsidR="00163F3D">
        <w:t>a</w:t>
      </w:r>
      <w:r w:rsidR="00C22C32">
        <w:t xml:space="preserve"> CHP cycle. b) </w:t>
      </w:r>
      <w:r w:rsidR="00910BF2">
        <w:t>C</w:t>
      </w:r>
      <w:r w:rsidR="00C22C32">
        <w:t>orresponding temperature-entropy diagram.</w:t>
      </w:r>
    </w:p>
    <w:p w14:paraId="564DFF30" w14:textId="0A42F4B4" w:rsidR="0005487D" w:rsidRPr="001021B8" w:rsidRDefault="0005487D" w:rsidP="0005487D">
      <w:pPr>
        <w:pStyle w:val="Els-body-text"/>
        <w:spacing w:after="120"/>
        <w:rPr>
          <w:b/>
          <w:color w:val="FF0000"/>
          <w:sz w:val="22"/>
          <w:lang w:val="en-GB"/>
        </w:rPr>
      </w:pPr>
      <w:r>
        <w:rPr>
          <w:b/>
          <w:sz w:val="22"/>
        </w:rPr>
        <w:t>3</w:t>
      </w:r>
      <w:r w:rsidRPr="001021B8">
        <w:rPr>
          <w:b/>
          <w:sz w:val="22"/>
        </w:rPr>
        <w:t xml:space="preserve">. </w:t>
      </w:r>
      <w:r w:rsidR="0087311D" w:rsidRPr="0087311D">
        <w:rPr>
          <w:b/>
          <w:sz w:val="22"/>
        </w:rPr>
        <w:t>Design methodology</w:t>
      </w:r>
      <w:r w:rsidR="0014490B">
        <w:rPr>
          <w:b/>
          <w:sz w:val="22"/>
        </w:rPr>
        <w:t xml:space="preserve"> and implementation</w:t>
      </w:r>
    </w:p>
    <w:p w14:paraId="6CD59632" w14:textId="38F67636" w:rsidR="000278EE" w:rsidRDefault="000278EE" w:rsidP="00652B8E">
      <w:pPr>
        <w:ind w:firstLine="284"/>
      </w:pPr>
      <w:r w:rsidRPr="000278EE">
        <w:t>The methodology implemented in this work is inspired from the main stages described by</w:t>
      </w:r>
      <w:r w:rsidR="00861FD1">
        <w:t xml:space="preserve"> </w:t>
      </w:r>
      <w:r w:rsidR="00B43609" w:rsidRPr="00B43609">
        <w:rPr>
          <w:szCs w:val="24"/>
        </w:rPr>
        <w:t xml:space="preserve">Piña-Martinez et al. </w:t>
      </w:r>
      <w:r w:rsidR="00861FD1">
        <w:rPr>
          <w:szCs w:val="24"/>
        </w:rPr>
        <w:t>(</w:t>
      </w:r>
      <w:r w:rsidR="00B43609" w:rsidRPr="00B43609">
        <w:rPr>
          <w:szCs w:val="24"/>
        </w:rPr>
        <w:t>2021)</w:t>
      </w:r>
      <w:r w:rsidRPr="000278EE">
        <w:rPr>
          <w:lang w:val="en-US"/>
        </w:rPr>
        <w:t>:</w:t>
      </w:r>
      <w:r w:rsidR="006274F2">
        <w:rPr>
          <w:lang w:val="en-US"/>
        </w:rPr>
        <w:t xml:space="preserve"> </w:t>
      </w:r>
      <w:r w:rsidR="006C34BD">
        <w:rPr>
          <w:lang w:val="en-US"/>
        </w:rPr>
        <w:t xml:space="preserve">1) </w:t>
      </w:r>
      <w:r w:rsidR="006C34BD" w:rsidRPr="00861FD1">
        <w:t>needs and goals</w:t>
      </w:r>
      <w:r w:rsidR="006C34BD">
        <w:t>; 2) g</w:t>
      </w:r>
      <w:r w:rsidR="006C34BD" w:rsidRPr="00861FD1">
        <w:t>eneration of the initial set of molecule candidates</w:t>
      </w:r>
      <w:r w:rsidR="006C34BD">
        <w:t>, and 3) f</w:t>
      </w:r>
      <w:r w:rsidR="006C34BD" w:rsidRPr="00861FD1">
        <w:t>lowsheet and working fluid optimisation</w:t>
      </w:r>
      <w:r w:rsidR="006C34BD">
        <w:t>.</w:t>
      </w:r>
    </w:p>
    <w:p w14:paraId="76978735" w14:textId="77777777" w:rsidR="006C34BD" w:rsidRDefault="006C34BD" w:rsidP="006423E2">
      <w:pPr>
        <w:pStyle w:val="Els-2ndorder-head"/>
        <w:spacing w:after="120"/>
        <w:rPr>
          <w:i w:val="0"/>
          <w:lang w:val="en-GB"/>
        </w:rPr>
      </w:pPr>
      <w:bookmarkStart w:id="1" w:name="_GoBack"/>
      <w:bookmarkEnd w:id="1"/>
      <w:r>
        <w:rPr>
          <w:lang w:val="en-GB"/>
        </w:rPr>
        <w:t>3</w:t>
      </w:r>
      <w:r w:rsidRPr="001021B8">
        <w:rPr>
          <w:lang w:val="en-GB"/>
        </w:rPr>
        <w:t xml:space="preserve">.1. </w:t>
      </w:r>
      <w:r>
        <w:rPr>
          <w:lang w:val="en-GB"/>
        </w:rPr>
        <w:t>Needs and goals</w:t>
      </w:r>
    </w:p>
    <w:p w14:paraId="63C291E1" w14:textId="528BE223" w:rsidR="00624CF2" w:rsidRDefault="006C34BD" w:rsidP="00652B8E">
      <w:pPr>
        <w:ind w:firstLine="284"/>
        <w:rPr>
          <w:lang w:val="en-US"/>
        </w:rPr>
      </w:pPr>
      <w:r>
        <w:t>E</w:t>
      </w:r>
      <w:r w:rsidRPr="009729E9">
        <w:t>ven if the considered operation is CHP, the original needs for CCHP are maintained. This is to ensure that the working fluid is still able to operate in CCHP mode.</w:t>
      </w:r>
      <w:r>
        <w:t xml:space="preserve"> The needs are: 1) subcritical operation; 2) no freezing at T</w:t>
      </w:r>
      <w:r w:rsidRPr="00B71773">
        <w:rPr>
          <w:vertAlign w:val="subscript"/>
        </w:rPr>
        <w:t>C</w:t>
      </w:r>
      <w:r w:rsidRPr="004865C9">
        <w:t xml:space="preserve">; 3) low mechanical stress 4) no air </w:t>
      </w:r>
      <w:r w:rsidR="007F1118">
        <w:t xml:space="preserve">infiltration, </w:t>
      </w:r>
      <w:r>
        <w:t>5) compact units; 6) toxicity and flammability risks, and steel compatibility equivalent to n-pentane since it is already used in commercial ORC applications</w:t>
      </w:r>
      <w:r w:rsidR="0060338E">
        <w:t>,</w:t>
      </w:r>
      <w:r>
        <w:t xml:space="preserve"> 7) low environmental impact (Global Warming Potential and Ozone Depletion Potential).</w:t>
      </w:r>
    </w:p>
    <w:p w14:paraId="70D97429" w14:textId="77777777" w:rsidR="006C34BD" w:rsidRDefault="006C34BD" w:rsidP="006423E2">
      <w:pPr>
        <w:pStyle w:val="Els-2ndorder-head"/>
        <w:spacing w:after="120"/>
        <w:rPr>
          <w:i w:val="0"/>
          <w:lang w:val="en-GB"/>
        </w:rPr>
      </w:pPr>
      <w:r>
        <w:rPr>
          <w:lang w:val="en-GB"/>
        </w:rPr>
        <w:t xml:space="preserve">3.2. </w:t>
      </w:r>
      <w:r w:rsidRPr="00EB1ECF">
        <w:rPr>
          <w:lang w:val="en-GB"/>
        </w:rPr>
        <w:t>Generation of the initial set of molecule candidates and screening procedure</w:t>
      </w:r>
    </w:p>
    <w:p w14:paraId="7EB53A17" w14:textId="6E1BBF97" w:rsidR="006C34BD" w:rsidRDefault="006C34BD" w:rsidP="006C34BD">
      <w:pPr>
        <w:ind w:firstLine="284"/>
      </w:pPr>
      <w:r>
        <w:t>I</w:t>
      </w:r>
      <w:r>
        <w:t xml:space="preserve">n this study, the experimental or estimated data available in the </w:t>
      </w:r>
      <w:r w:rsidRPr="00E553F3">
        <w:rPr>
          <w:lang w:val="en-US"/>
        </w:rPr>
        <w:t xml:space="preserve">DDB, the DIPPR and the NIST </w:t>
      </w:r>
      <w:r>
        <w:rPr>
          <w:lang w:val="en-US"/>
        </w:rPr>
        <w:t xml:space="preserve">databases </w:t>
      </w:r>
      <w:r>
        <w:t>are used to generate the initial set of 2540 molecule candidates. The screening order is: (1) critical temperature, (2) triple-point temperature, (3) vapor pressure at T</w:t>
      </w:r>
      <w:r w:rsidRPr="006431D7">
        <w:rPr>
          <w:vertAlign w:val="subscript"/>
        </w:rPr>
        <w:t>C</w:t>
      </w:r>
      <w:r>
        <w:t>, (4) density at T</w:t>
      </w:r>
      <w:r w:rsidRPr="006431D7">
        <w:rPr>
          <w:vertAlign w:val="subscript"/>
        </w:rPr>
        <w:t>C</w:t>
      </w:r>
      <w:r>
        <w:t>, (5) vapor pressure at T</w:t>
      </w:r>
      <w:r w:rsidRPr="006431D7">
        <w:rPr>
          <w:vertAlign w:val="subscript"/>
        </w:rPr>
        <w:t>H</w:t>
      </w:r>
      <w:r>
        <w:t>, (6) toxicity, (7) GWP, (8) ODP, (9) autoignition temperature (AIT), (10) compatibility and (11) stability.</w:t>
      </w:r>
    </w:p>
    <w:p w14:paraId="6D15653B" w14:textId="77777777" w:rsidR="00C40A87" w:rsidRDefault="00C40A87" w:rsidP="006423E2">
      <w:pPr>
        <w:pStyle w:val="Els-2ndorder-head"/>
        <w:spacing w:after="120"/>
        <w:rPr>
          <w:i w:val="0"/>
          <w:lang w:val="en-GB"/>
        </w:rPr>
      </w:pPr>
      <w:r>
        <w:rPr>
          <w:lang w:val="en-GB"/>
        </w:rPr>
        <w:t xml:space="preserve">3.3. </w:t>
      </w:r>
      <w:r w:rsidRPr="007D6BCD">
        <w:rPr>
          <w:lang w:val="en-GB"/>
        </w:rPr>
        <w:t>Flowsheet and working fluid optimisation</w:t>
      </w:r>
    </w:p>
    <w:p w14:paraId="7A2B65BD" w14:textId="369BCC55" w:rsidR="00920138" w:rsidRDefault="00C40A87" w:rsidP="00DA1D62">
      <w:pPr>
        <w:pStyle w:val="Els-body-text"/>
        <w:rPr>
          <w:rFonts w:eastAsiaTheme="minorEastAsia"/>
        </w:rPr>
      </w:pPr>
      <w:r>
        <w:rPr>
          <w:i/>
          <w:lang w:val="en-GB"/>
        </w:rPr>
        <w:t>Superstructure modelling</w:t>
      </w:r>
      <w:r w:rsidR="00DA1D62">
        <w:rPr>
          <w:i/>
          <w:lang w:val="en-GB"/>
        </w:rPr>
        <w:t xml:space="preserve">. </w:t>
      </w:r>
      <w:r>
        <w:rPr>
          <w:rFonts w:eastAsiaTheme="minorEastAsia"/>
        </w:rPr>
        <w:t>T</w:t>
      </w:r>
      <w:r w:rsidR="00920138">
        <w:rPr>
          <w:rFonts w:eastAsiaTheme="minorEastAsia"/>
        </w:rPr>
        <w:t xml:space="preserve">o consider the flowsheet structure as a degree of freedom in the design problem, a superstructure including several process alternatives simultaneously is defined. </w:t>
      </w:r>
      <w:r w:rsidR="00920138" w:rsidRPr="00297D7A">
        <w:rPr>
          <w:rFonts w:eastAsiaTheme="minorEastAsia"/>
        </w:rPr>
        <w:t>To do so, additional</w:t>
      </w:r>
      <w:r w:rsidR="00920138">
        <w:rPr>
          <w:rFonts w:eastAsiaTheme="minorEastAsia"/>
        </w:rPr>
        <w:t xml:space="preserve"> </w:t>
      </w:r>
      <w:r w:rsidR="00920138" w:rsidRPr="00297D7A">
        <w:rPr>
          <w:rFonts w:eastAsiaTheme="minorEastAsia"/>
        </w:rPr>
        <w:t>units are added to the flowsheet to act as switches that divert</w:t>
      </w:r>
      <w:r w:rsidR="00920138">
        <w:rPr>
          <w:rFonts w:eastAsiaTheme="minorEastAsia"/>
        </w:rPr>
        <w:t xml:space="preserve"> </w:t>
      </w:r>
      <w:r w:rsidR="00920138" w:rsidRPr="00297D7A">
        <w:rPr>
          <w:rFonts w:eastAsiaTheme="minorEastAsia"/>
        </w:rPr>
        <w:t>the overall incoming mass flow towards a specific downstream</w:t>
      </w:r>
      <w:r w:rsidR="00920138">
        <w:rPr>
          <w:rFonts w:eastAsiaTheme="minorEastAsia"/>
        </w:rPr>
        <w:t xml:space="preserve"> </w:t>
      </w:r>
      <w:r w:rsidR="00920138" w:rsidRPr="00297D7A">
        <w:rPr>
          <w:rFonts w:eastAsiaTheme="minorEastAsia"/>
        </w:rPr>
        <w:t>section of the process, as described</w:t>
      </w:r>
      <w:r w:rsidR="00920138">
        <w:rPr>
          <w:rFonts w:eastAsiaTheme="minorEastAsia"/>
        </w:rPr>
        <w:t xml:space="preserve"> by </w:t>
      </w:r>
      <w:r w:rsidR="00C17510" w:rsidRPr="00C17510">
        <w:rPr>
          <w:rFonts w:eastAsiaTheme="minorEastAsia"/>
        </w:rPr>
        <w:t>Quintero-</w:t>
      </w:r>
      <w:proofErr w:type="spellStart"/>
      <w:r w:rsidR="00C17510" w:rsidRPr="00C17510">
        <w:rPr>
          <w:rFonts w:eastAsiaTheme="minorEastAsia"/>
        </w:rPr>
        <w:t>Masselski</w:t>
      </w:r>
      <w:proofErr w:type="spellEnd"/>
      <w:r w:rsidR="00C17510" w:rsidRPr="00C17510">
        <w:rPr>
          <w:rFonts w:eastAsiaTheme="minorEastAsia"/>
        </w:rPr>
        <w:t xml:space="preserve"> et al. </w:t>
      </w:r>
      <w:r w:rsidR="00C17510">
        <w:rPr>
          <w:rFonts w:eastAsiaTheme="minorEastAsia"/>
        </w:rPr>
        <w:t>(</w:t>
      </w:r>
      <w:r w:rsidR="00C17510" w:rsidRPr="00C17510">
        <w:rPr>
          <w:rFonts w:eastAsiaTheme="minorEastAsia"/>
        </w:rPr>
        <w:t>2022</w:t>
      </w:r>
      <w:r w:rsidR="00C17510">
        <w:rPr>
          <w:rFonts w:eastAsiaTheme="minorEastAsia"/>
        </w:rPr>
        <w:t>)</w:t>
      </w:r>
      <w:r w:rsidR="00920138">
        <w:rPr>
          <w:rFonts w:eastAsiaTheme="minorEastAsia"/>
        </w:rPr>
        <w:t>. The path selection is represented by binary structural decision variables:</w:t>
      </w:r>
    </w:p>
    <w:tbl>
      <w:tblPr>
        <w:tblStyle w:val="Grilledutableau"/>
        <w:tblW w:w="7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2"/>
        <w:gridCol w:w="525"/>
      </w:tblGrid>
      <w:tr w:rsidR="00920138" w:rsidRPr="00835596" w14:paraId="36621E34" w14:textId="77777777" w:rsidTr="00F72844">
        <w:trPr>
          <w:trHeight w:val="498"/>
        </w:trPr>
        <w:tc>
          <w:tcPr>
            <w:tcW w:w="6562" w:type="dxa"/>
            <w:vAlign w:val="center"/>
          </w:tcPr>
          <w:p w14:paraId="6DEB0403" w14:textId="77777777" w:rsidR="00920138" w:rsidRPr="00F629AD" w:rsidRDefault="0098246D" w:rsidP="00502A51">
            <w:pPr>
              <w:jc w:val="center"/>
              <w:rPr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b/>
                            <w:i/>
                            <w:lang w:val="en-US"/>
                          </w:rPr>
                        </m:ctrlPr>
                      </m:eqArr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 xml:space="preserve">1    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if path i is selected,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 xml:space="preserve">0    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otherwise                    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25" w:type="dxa"/>
            <w:vAlign w:val="center"/>
          </w:tcPr>
          <w:p w14:paraId="6C05D24F" w14:textId="4B38D49C" w:rsidR="00920138" w:rsidRPr="00835596" w:rsidRDefault="00920138" w:rsidP="00F629AD">
            <w:pPr>
              <w:jc w:val="right"/>
              <w:rPr>
                <w:lang w:val="en-US"/>
              </w:rPr>
            </w:pPr>
            <w:r w:rsidRPr="00835596">
              <w:t>(</w:t>
            </w:r>
            <w:r w:rsidR="000F115E">
              <w:fldChar w:fldCharType="begin"/>
            </w:r>
            <w:r w:rsidR="000F115E">
              <w:instrText xml:space="preserve"> SEQ Equation \* ARABIC </w:instrText>
            </w:r>
            <w:r w:rsidR="000F115E">
              <w:fldChar w:fldCharType="separate"/>
            </w:r>
            <w:r w:rsidR="006A4CCB">
              <w:rPr>
                <w:noProof/>
              </w:rPr>
              <w:t>1</w:t>
            </w:r>
            <w:r w:rsidR="000F115E">
              <w:rPr>
                <w:noProof/>
              </w:rPr>
              <w:fldChar w:fldCharType="end"/>
            </w:r>
            <w:r w:rsidRPr="00835596">
              <w:rPr>
                <w:noProof/>
              </w:rPr>
              <w:t>)</w:t>
            </w:r>
          </w:p>
        </w:tc>
      </w:tr>
    </w:tbl>
    <w:p w14:paraId="744500B5" w14:textId="2772186D" w:rsidR="00C519D6" w:rsidRDefault="00C519D6" w:rsidP="00DA44F9">
      <w:pPr>
        <w:ind w:firstLine="284"/>
        <w:rPr>
          <w:rFonts w:eastAsiaTheme="minorEastAsia"/>
          <w:lang w:val="en-US"/>
        </w:rPr>
      </w:pPr>
    </w:p>
    <w:p w14:paraId="0F54AB14" w14:textId="6E7E0151" w:rsidR="00385FC7" w:rsidRDefault="00C519D6" w:rsidP="00DA1D62">
      <w:pPr>
        <w:rPr>
          <w:rFonts w:eastAsiaTheme="minorEastAsia"/>
          <w:lang w:val="en-US"/>
        </w:rPr>
      </w:pPr>
      <w:r w:rsidRPr="003C137D">
        <w:rPr>
          <w:i/>
        </w:rPr>
        <w:t>Working-fluid selection</w:t>
      </w:r>
      <w:r w:rsidR="00DA1D62">
        <w:rPr>
          <w:i/>
        </w:rPr>
        <w:t xml:space="preserve">. </w:t>
      </w:r>
      <w:r w:rsidR="00DA44F9">
        <w:rPr>
          <w:rFonts w:eastAsiaTheme="minorEastAsia"/>
          <w:lang w:val="en-US"/>
        </w:rPr>
        <w:t>After the screening, t</w:t>
      </w:r>
      <w:r w:rsidR="00385FC7">
        <w:rPr>
          <w:rFonts w:eastAsiaTheme="minorEastAsia"/>
          <w:lang w:val="en-US"/>
        </w:rPr>
        <w:t xml:space="preserve">he selection of the working fluid is considered in the design problem by means of </w:t>
      </w:r>
      <w:r w:rsidR="00385FC7">
        <w:t xml:space="preserve">a non-negative discrete variable </w:t>
      </w:r>
      <m:oMath>
        <m:r>
          <w:rPr>
            <w:rFonts w:ascii="Cambria Math" w:eastAsiaTheme="minorEastAsia" w:hAnsi="Cambria Math"/>
            <w:lang w:val="en-US"/>
          </w:rPr>
          <m:t>w</m:t>
        </m:r>
        <m:r>
          <w:rPr>
            <w:rFonts w:ascii="Cambria Math" w:eastAsiaTheme="minorEastAsia" w:hAnsi="Cambria Math"/>
            <w:lang w:val="en-US"/>
          </w:rPr>
          <m:t xml:space="preserve"> </m:t>
        </m:r>
      </m:oMath>
      <w:r w:rsidR="00BC649F">
        <w:rPr>
          <w:lang w:val="en-US"/>
        </w:rPr>
        <w:t xml:space="preserve">corresponding to </w:t>
      </w:r>
      <w:r w:rsidR="00385FC7">
        <w:rPr>
          <w:rFonts w:eastAsiaTheme="minorEastAsia"/>
          <w:lang w:val="en-US"/>
        </w:rPr>
        <w:t xml:space="preserve">the total number of candidate molecules. The working fluid stream is defined as a multicomponent stream </w:t>
      </w:r>
      <w:r w:rsidR="00182DF7">
        <w:rPr>
          <w:rFonts w:eastAsiaTheme="minorEastAsia"/>
          <w:lang w:val="en-US"/>
        </w:rPr>
        <w:t>and m</w:t>
      </w:r>
      <w:r w:rsidR="00385FC7">
        <w:rPr>
          <w:rFonts w:eastAsiaTheme="minorEastAsia"/>
          <w:lang w:val="en-US"/>
        </w:rPr>
        <w:t>olar fractions are defined as follows: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3"/>
        <w:gridCol w:w="534"/>
      </w:tblGrid>
      <w:tr w:rsidR="00385FC7" w:rsidRPr="00835596" w14:paraId="4492AD46" w14:textId="77777777" w:rsidTr="00502A51">
        <w:trPr>
          <w:trHeight w:val="498"/>
        </w:trPr>
        <w:tc>
          <w:tcPr>
            <w:tcW w:w="8500" w:type="dxa"/>
            <w:vAlign w:val="center"/>
          </w:tcPr>
          <w:p w14:paraId="3E33D198" w14:textId="5F39E62A" w:rsidR="00385FC7" w:rsidRPr="00F629AD" w:rsidRDefault="0098246D" w:rsidP="00F629AD">
            <w:pPr>
              <w:jc w:val="left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=1.0</m:t>
              </m:r>
            </m:oMath>
            <w:r w:rsidR="00E419ED">
              <w:rPr>
                <w:rFonts w:eastAsiaTheme="minorEastAsia"/>
                <w:lang w:val="en-US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j≠w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=0.0</m:t>
              </m:r>
            </m:oMath>
          </w:p>
        </w:tc>
        <w:tc>
          <w:tcPr>
            <w:tcW w:w="562" w:type="dxa"/>
            <w:vAlign w:val="center"/>
          </w:tcPr>
          <w:p w14:paraId="64FC77F4" w14:textId="0AD4FF3E" w:rsidR="00385FC7" w:rsidRPr="00835596" w:rsidRDefault="00385FC7" w:rsidP="00F629AD">
            <w:pPr>
              <w:jc w:val="right"/>
              <w:rPr>
                <w:lang w:val="en-US"/>
              </w:rPr>
            </w:pPr>
            <w:r w:rsidRPr="00835596">
              <w:t>(</w:t>
            </w:r>
            <w:r w:rsidR="000F115E">
              <w:fldChar w:fldCharType="begin"/>
            </w:r>
            <w:r w:rsidR="000F115E">
              <w:instrText xml:space="preserve"> SEQ Equation \* ARABIC </w:instrText>
            </w:r>
            <w:r w:rsidR="000F115E">
              <w:fldChar w:fldCharType="separate"/>
            </w:r>
            <w:r w:rsidR="006A4CCB">
              <w:rPr>
                <w:noProof/>
              </w:rPr>
              <w:t>2</w:t>
            </w:r>
            <w:r w:rsidR="000F115E">
              <w:rPr>
                <w:noProof/>
              </w:rPr>
              <w:fldChar w:fldCharType="end"/>
            </w:r>
            <w:r w:rsidRPr="00835596">
              <w:rPr>
                <w:noProof/>
              </w:rPr>
              <w:t>)</w:t>
            </w:r>
          </w:p>
        </w:tc>
      </w:tr>
    </w:tbl>
    <w:p w14:paraId="0F1713D5" w14:textId="77777777" w:rsidR="0024764B" w:rsidRPr="006A7950" w:rsidRDefault="0024764B" w:rsidP="006423E2">
      <w:pPr>
        <w:pStyle w:val="Els-2ndorder-head"/>
        <w:spacing w:after="120"/>
        <w:rPr>
          <w:i w:val="0"/>
        </w:rPr>
      </w:pPr>
      <w:r w:rsidRPr="006A7950">
        <w:t>3.4. Implementation and optimization algorithm</w:t>
      </w:r>
    </w:p>
    <w:p w14:paraId="2DC55110" w14:textId="643DBC2D" w:rsidR="003125E0" w:rsidRDefault="00DA4654" w:rsidP="003125E0">
      <w:pPr>
        <w:ind w:firstLine="284"/>
      </w:pPr>
      <w:r w:rsidRPr="00015C3A">
        <w:rPr>
          <w:lang w:val="en-US"/>
        </w:rPr>
        <w:t xml:space="preserve">The superstructure simulation is performed with the steady-state software simulation </w:t>
      </w:r>
      <w:proofErr w:type="spellStart"/>
      <w:r w:rsidRPr="00015C3A">
        <w:rPr>
          <w:lang w:val="en-US"/>
        </w:rPr>
        <w:t>ProSimPlus</w:t>
      </w:r>
      <w:proofErr w:type="spellEnd"/>
      <w:r w:rsidRPr="00015C3A">
        <w:rPr>
          <w:lang w:val="en-US"/>
        </w:rPr>
        <w:t xml:space="preserve">. </w:t>
      </w:r>
      <w:r w:rsidR="006D3DFF">
        <w:rPr>
          <w:lang w:val="en-US"/>
        </w:rPr>
        <w:t>T</w:t>
      </w:r>
      <w:r w:rsidR="003125E0" w:rsidRPr="006E2A7F">
        <w:rPr>
          <w:lang w:val="en-US"/>
        </w:rPr>
        <w:t xml:space="preserve">he </w:t>
      </w:r>
      <w:r w:rsidR="003125E0" w:rsidRPr="006E2A7F">
        <w:rPr>
          <w:i/>
          <w:lang w:val="en-US"/>
        </w:rPr>
        <w:t xml:space="preserve">translated-consistent </w:t>
      </w:r>
      <w:r w:rsidR="003125E0" w:rsidRPr="006E2A7F">
        <w:rPr>
          <w:lang w:val="en-US"/>
        </w:rPr>
        <w:t>Peng-Robinson (</w:t>
      </w:r>
      <w:proofErr w:type="spellStart"/>
      <w:r w:rsidR="003125E0" w:rsidRPr="006E2A7F">
        <w:rPr>
          <w:i/>
          <w:lang w:val="en-US"/>
        </w:rPr>
        <w:t>tc</w:t>
      </w:r>
      <w:proofErr w:type="spellEnd"/>
      <w:r w:rsidR="003125E0" w:rsidRPr="006E2A7F">
        <w:rPr>
          <w:lang w:val="en-US"/>
        </w:rPr>
        <w:t xml:space="preserve">-PR) model </w:t>
      </w:r>
      <w:r w:rsidR="00B43609" w:rsidRPr="00B43609">
        <w:t xml:space="preserve">(Le </w:t>
      </w:r>
      <w:proofErr w:type="spellStart"/>
      <w:r w:rsidR="00B43609" w:rsidRPr="00B43609">
        <w:t>Guennec</w:t>
      </w:r>
      <w:proofErr w:type="spellEnd"/>
      <w:r w:rsidR="00B43609" w:rsidRPr="00B43609">
        <w:t xml:space="preserve"> et al., 2016)</w:t>
      </w:r>
      <w:r w:rsidR="003125E0" w:rsidRPr="004321A0">
        <w:rPr>
          <w:lang w:val="en-US"/>
        </w:rPr>
        <w:t xml:space="preserve"> is used to estimate saturation and caloric properties.</w:t>
      </w:r>
      <w:r w:rsidR="00E90171">
        <w:rPr>
          <w:lang w:val="en-US"/>
        </w:rPr>
        <w:t xml:space="preserve"> </w:t>
      </w:r>
      <w:r w:rsidR="00250936">
        <w:t xml:space="preserve">As presented in section 4.3, the design problem corresponds to a </w:t>
      </w:r>
      <w:r w:rsidR="00250936">
        <w:rPr>
          <w:rFonts w:eastAsiaTheme="minorEastAsia"/>
          <w:lang w:val="en-US"/>
        </w:rPr>
        <w:t xml:space="preserve">mixed-integer nonlinear programming (MINLP) problem. </w:t>
      </w:r>
      <w:r w:rsidR="003125E0">
        <w:t>For this work, MIDACO</w:t>
      </w:r>
      <w:r w:rsidR="00C574CA">
        <w:t xml:space="preserve">, </w:t>
      </w:r>
      <w:r w:rsidR="003125E0">
        <w:t>an extended ant colony optimization algorithm for non</w:t>
      </w:r>
      <w:r w:rsidR="00D15DD7">
        <w:t>-convex</w:t>
      </w:r>
      <w:r w:rsidR="003125E0">
        <w:t xml:space="preserve"> </w:t>
      </w:r>
      <w:r w:rsidR="00250936">
        <w:t>MINLP</w:t>
      </w:r>
      <w:r w:rsidR="00C574CA">
        <w:t>, is used</w:t>
      </w:r>
      <w:r w:rsidR="003125E0">
        <w:t>.</w:t>
      </w:r>
      <w:r w:rsidR="003363BD">
        <w:t xml:space="preserve"> </w:t>
      </w:r>
      <w:r w:rsidR="006F147E">
        <w:t>A</w:t>
      </w:r>
      <w:r w:rsidR="00706DF7">
        <w:t>s all metaheuristic algorithms, it does not guarantee global optimality, however the exploration limits for the algorithm are considered sufficiently large to achieve a good trade-off between the performance indicators.</w:t>
      </w:r>
    </w:p>
    <w:p w14:paraId="271067BB" w14:textId="0310A851" w:rsidR="00A4582D" w:rsidRPr="001021B8" w:rsidRDefault="00A4582D" w:rsidP="0093757C">
      <w:pPr>
        <w:pStyle w:val="Els-1storder-head"/>
        <w:spacing w:after="120"/>
        <w:rPr>
          <w:b w:val="0"/>
          <w:color w:val="FF0000"/>
          <w:lang w:val="en-GB"/>
        </w:rPr>
      </w:pPr>
      <w:r>
        <w:t xml:space="preserve">4. </w:t>
      </w:r>
      <w:r w:rsidR="0062196A">
        <w:t xml:space="preserve">CHP integrated </w:t>
      </w:r>
      <w:r w:rsidR="0062196A" w:rsidRPr="0093757C">
        <w:rPr>
          <w:lang w:val="en-GB"/>
        </w:rPr>
        <w:t>design</w:t>
      </w:r>
    </w:p>
    <w:p w14:paraId="5505055D" w14:textId="1A855C06" w:rsidR="00C5730E" w:rsidRDefault="00290294" w:rsidP="0093757C">
      <w:pPr>
        <w:pStyle w:val="Els-2ndorder-head"/>
        <w:spacing w:after="120"/>
        <w:rPr>
          <w:i w:val="0"/>
        </w:rPr>
      </w:pPr>
      <w:r>
        <w:t>4.1</w:t>
      </w:r>
      <w:r w:rsidR="000C4778">
        <w:t>.</w:t>
      </w:r>
      <w:r>
        <w:t xml:space="preserve"> Superstructure description</w:t>
      </w:r>
      <w:r w:rsidR="00CE7DB8">
        <w:t xml:space="preserve"> and process considerations</w:t>
      </w:r>
    </w:p>
    <w:p w14:paraId="058C4678" w14:textId="7347888E" w:rsidR="00C75210" w:rsidRDefault="00C75210" w:rsidP="003C137D">
      <w:pPr>
        <w:ind w:firstLine="284"/>
        <w:rPr>
          <w:lang w:val="en-US"/>
        </w:rPr>
      </w:pPr>
      <w:r>
        <w:rPr>
          <w:lang w:val="en-US"/>
        </w:rPr>
        <w:t>The superstructure embeds four flowsheet options and their combinations</w:t>
      </w:r>
      <w:r w:rsidR="00790334">
        <w:rPr>
          <w:lang w:val="en-US"/>
        </w:rPr>
        <w:t xml:space="preserve">. Three of them are classically related to power applications: </w:t>
      </w:r>
      <w:r>
        <w:rPr>
          <w:lang w:val="en-US"/>
        </w:rPr>
        <w:t>a) reheating, b) turbine bleeding (open), and c) regeneratio</w:t>
      </w:r>
      <w:r w:rsidR="00790334">
        <w:rPr>
          <w:lang w:val="en-US"/>
        </w:rPr>
        <w:t>n</w:t>
      </w:r>
      <w:r>
        <w:rPr>
          <w:lang w:val="en-US"/>
        </w:rPr>
        <w:t xml:space="preserve">. </w:t>
      </w:r>
      <w:r w:rsidR="00244CBB">
        <w:rPr>
          <w:lang w:val="en-US"/>
        </w:rPr>
        <w:t xml:space="preserve">The fourth option is related to the end-user heat supply: </w:t>
      </w:r>
      <w:r w:rsidR="00244CBB" w:rsidRPr="000E60D0">
        <w:rPr>
          <w:lang w:val="en-US"/>
        </w:rPr>
        <w:t xml:space="preserve">in the case of turbine bleeding, the extracted stream may be used </w:t>
      </w:r>
      <w:r w:rsidR="005B48C0">
        <w:rPr>
          <w:lang w:val="en-US"/>
        </w:rPr>
        <w:t>for</w:t>
      </w:r>
      <w:r w:rsidR="00244CBB" w:rsidRPr="000E60D0">
        <w:rPr>
          <w:lang w:val="en-US"/>
        </w:rPr>
        <w:t xml:space="preserve"> </w:t>
      </w:r>
      <w:r w:rsidR="005B48C0">
        <w:rPr>
          <w:lang w:val="en-US"/>
        </w:rPr>
        <w:t>end-user</w:t>
      </w:r>
      <w:r w:rsidR="00244CBB" w:rsidRPr="000E60D0">
        <w:rPr>
          <w:lang w:val="en-US"/>
        </w:rPr>
        <w:t xml:space="preserve"> heating</w:t>
      </w:r>
      <w:r w:rsidR="005B48C0">
        <w:rPr>
          <w:lang w:val="en-US"/>
        </w:rPr>
        <w:t>.</w:t>
      </w:r>
      <w:r w:rsidR="00DA13E1">
        <w:rPr>
          <w:lang w:val="en-US"/>
        </w:rPr>
        <w:t xml:space="preserve"> </w:t>
      </w:r>
    </w:p>
    <w:p w14:paraId="18AE341F" w14:textId="5A18E9A5" w:rsidR="00932DED" w:rsidRDefault="00B71773" w:rsidP="00932DED">
      <w:pPr>
        <w:ind w:firstLine="284"/>
        <w:rPr>
          <w:lang w:val="en-US"/>
        </w:rPr>
      </w:pPr>
      <w:r>
        <w:rPr>
          <w:lang w:val="en-US"/>
        </w:rPr>
        <w:t>For the description of the CHP superstructure</w:t>
      </w:r>
      <w:r w:rsidR="00932DED">
        <w:rPr>
          <w:lang w:val="en-US"/>
        </w:rPr>
        <w:t xml:space="preserve"> (</w:t>
      </w:r>
      <w:r w:rsidR="00932DED">
        <w:rPr>
          <w:lang w:val="en-US"/>
        </w:rPr>
        <w:fldChar w:fldCharType="begin"/>
      </w:r>
      <w:r w:rsidR="00932DED">
        <w:rPr>
          <w:lang w:val="en-US"/>
        </w:rPr>
        <w:instrText xml:space="preserve"> REF _Ref151717851 \h </w:instrText>
      </w:r>
      <w:r w:rsidR="00932DED">
        <w:rPr>
          <w:lang w:val="en-US"/>
        </w:rPr>
      </w:r>
      <w:r w:rsidR="00932DED">
        <w:rPr>
          <w:lang w:val="en-US"/>
        </w:rPr>
        <w:fldChar w:fldCharType="separate"/>
      </w:r>
      <w:r w:rsidR="006A4CCB">
        <w:t xml:space="preserve">Figure </w:t>
      </w:r>
      <w:r w:rsidR="006A4CCB">
        <w:rPr>
          <w:noProof/>
        </w:rPr>
        <w:t>2</w:t>
      </w:r>
      <w:r w:rsidR="00932DED">
        <w:rPr>
          <w:lang w:val="en-US"/>
        </w:rPr>
        <w:fldChar w:fldCharType="end"/>
      </w:r>
      <w:r w:rsidR="00932DED">
        <w:rPr>
          <w:lang w:val="en-US"/>
        </w:rPr>
        <w:t>)</w:t>
      </w:r>
      <w:r>
        <w:rPr>
          <w:lang w:val="en-US"/>
        </w:rPr>
        <w:t xml:space="preserve">, consider the stream entering switch </w:t>
      </w:r>
      <w:r w:rsidRPr="009B31DF">
        <w:rPr>
          <w:b/>
          <w:bCs/>
          <w:lang w:val="en-US"/>
        </w:rPr>
        <w:t>S1</w:t>
      </w:r>
      <w:r>
        <w:rPr>
          <w:lang w:val="en-US"/>
        </w:rPr>
        <w:t xml:space="preserve">. </w:t>
      </w:r>
      <w:r>
        <w:rPr>
          <w:rFonts w:eastAsiaTheme="minorEastAsia"/>
          <w:lang w:val="en-US"/>
        </w:rPr>
        <w:t xml:space="preserve">If the total reheat option is active, turbine </w:t>
      </w:r>
      <w:r w:rsidRPr="00737FD7">
        <w:rPr>
          <w:rFonts w:eastAsiaTheme="minorEastAsia"/>
          <w:b/>
          <w:bCs/>
          <w:lang w:val="en-US"/>
        </w:rPr>
        <w:t>T1</w:t>
      </w:r>
      <w:r>
        <w:rPr>
          <w:rFonts w:eastAsiaTheme="minorEastAsia"/>
          <w:lang w:val="en-US"/>
        </w:rPr>
        <w:t xml:space="preserve"> and reheater </w:t>
      </w:r>
      <w:r w:rsidRPr="00737FD7">
        <w:rPr>
          <w:rFonts w:eastAsiaTheme="minorEastAsia"/>
          <w:b/>
          <w:bCs/>
          <w:lang w:val="en-US"/>
        </w:rPr>
        <w:t>Rh1</w:t>
      </w:r>
      <w:r>
        <w:rPr>
          <w:rFonts w:eastAsiaTheme="minorEastAsia"/>
          <w:lang w:val="en-US"/>
        </w:rPr>
        <w:t xml:space="preserve"> are active. On the contrary, a high-pressure (HP) bleeding can be selected. If it is the case, turbine </w:t>
      </w:r>
      <w:r w:rsidRPr="009801AE">
        <w:rPr>
          <w:rFonts w:eastAsiaTheme="minorEastAsia"/>
          <w:b/>
          <w:bCs/>
          <w:lang w:val="en-US"/>
        </w:rPr>
        <w:t>T2</w:t>
      </w:r>
      <w:r>
        <w:rPr>
          <w:rFonts w:eastAsiaTheme="minorEastAsia"/>
          <w:lang w:val="en-US"/>
        </w:rPr>
        <w:t xml:space="preserve"> and splitter </w:t>
      </w:r>
      <w:r w:rsidRPr="009801AE">
        <w:rPr>
          <w:rFonts w:eastAsiaTheme="minorEastAsia"/>
          <w:b/>
          <w:bCs/>
          <w:lang w:val="en-US"/>
        </w:rPr>
        <w:t>Sp1</w:t>
      </w:r>
      <w:r>
        <w:rPr>
          <w:rFonts w:eastAsiaTheme="minorEastAsia"/>
          <w:lang w:val="en-US"/>
        </w:rPr>
        <w:t xml:space="preserve"> are active. If the </w:t>
      </w:r>
      <w:r w:rsidR="009308AD">
        <w:rPr>
          <w:rFonts w:eastAsiaTheme="minorEastAsia"/>
          <w:lang w:val="en-US"/>
        </w:rPr>
        <w:t>end-user</w:t>
      </w:r>
      <w:r>
        <w:rPr>
          <w:rFonts w:eastAsiaTheme="minorEastAsia"/>
          <w:lang w:val="en-US"/>
        </w:rPr>
        <w:t xml:space="preserve"> heat supply by bleeding is active, condenser </w:t>
      </w:r>
      <w:r w:rsidRPr="00F46A7E">
        <w:rPr>
          <w:rFonts w:eastAsiaTheme="minorEastAsia"/>
          <w:b/>
          <w:bCs/>
          <w:lang w:val="en-US"/>
        </w:rPr>
        <w:t>Cn1</w:t>
      </w:r>
      <w:r>
        <w:rPr>
          <w:rFonts w:eastAsiaTheme="minorEastAsia"/>
          <w:lang w:val="en-US"/>
        </w:rPr>
        <w:t xml:space="preserve"> is active. The remaining stream exiting splitter </w:t>
      </w:r>
      <w:r w:rsidRPr="00F46A7E">
        <w:rPr>
          <w:rFonts w:eastAsiaTheme="minorEastAsia"/>
          <w:b/>
          <w:bCs/>
          <w:lang w:val="en-US"/>
        </w:rPr>
        <w:t>Sp1</w:t>
      </w:r>
      <w:r>
        <w:rPr>
          <w:rFonts w:eastAsiaTheme="minorEastAsia"/>
          <w:lang w:val="en-US"/>
        </w:rPr>
        <w:t xml:space="preserve"> may be reheated. In that case, turbine </w:t>
      </w:r>
      <w:r w:rsidRPr="00F46A7E">
        <w:rPr>
          <w:rFonts w:eastAsiaTheme="minorEastAsia"/>
          <w:b/>
          <w:bCs/>
          <w:lang w:val="en-US"/>
        </w:rPr>
        <w:t>T6</w:t>
      </w:r>
      <w:r>
        <w:rPr>
          <w:rFonts w:eastAsiaTheme="minorEastAsia"/>
          <w:lang w:val="en-US"/>
        </w:rPr>
        <w:t xml:space="preserve"> and reheater </w:t>
      </w:r>
      <w:r w:rsidRPr="00F46A7E">
        <w:rPr>
          <w:rFonts w:eastAsiaTheme="minorEastAsia"/>
          <w:b/>
          <w:bCs/>
          <w:lang w:val="en-US"/>
        </w:rPr>
        <w:t>Rh2</w:t>
      </w:r>
      <w:r>
        <w:rPr>
          <w:rFonts w:eastAsiaTheme="minorEastAsia"/>
          <w:lang w:val="en-US"/>
        </w:rPr>
        <w:t xml:space="preserve"> are active. </w:t>
      </w:r>
      <w:r>
        <w:rPr>
          <w:lang w:val="en-US"/>
        </w:rPr>
        <w:t xml:space="preserve">Analogously, a low-pressure (LP) bleeding with reheat and/or EU heat supply options can be represented by switches </w:t>
      </w:r>
      <w:r w:rsidRPr="004B5B8A">
        <w:rPr>
          <w:b/>
          <w:bCs/>
          <w:lang w:val="en-US"/>
        </w:rPr>
        <w:t>S4</w:t>
      </w:r>
      <w:r>
        <w:rPr>
          <w:lang w:val="en-US"/>
        </w:rPr>
        <w:t xml:space="preserve">, </w:t>
      </w:r>
      <w:r w:rsidRPr="004B5B8A">
        <w:rPr>
          <w:b/>
          <w:bCs/>
          <w:lang w:val="en-US"/>
        </w:rPr>
        <w:t>S5</w:t>
      </w:r>
      <w:r>
        <w:rPr>
          <w:lang w:val="en-US"/>
        </w:rPr>
        <w:t xml:space="preserve"> and </w:t>
      </w:r>
      <w:r w:rsidRPr="004B5B8A">
        <w:rPr>
          <w:b/>
          <w:bCs/>
          <w:lang w:val="en-US"/>
        </w:rPr>
        <w:t>S7</w:t>
      </w:r>
      <w:r>
        <w:rPr>
          <w:lang w:val="en-US"/>
        </w:rPr>
        <w:t>.</w:t>
      </w:r>
      <w:r w:rsidR="00664FCA">
        <w:rPr>
          <w:lang w:val="en-US"/>
        </w:rPr>
        <w:t xml:space="preserve"> </w:t>
      </w:r>
      <w:r w:rsidR="00932DED">
        <w:rPr>
          <w:lang w:val="en-US"/>
        </w:rPr>
        <w:t xml:space="preserve">The working fluid exiting closing switch </w:t>
      </w:r>
      <w:r w:rsidR="00932DED" w:rsidRPr="00031D79">
        <w:rPr>
          <w:b/>
          <w:bCs/>
          <w:lang w:val="en-US"/>
        </w:rPr>
        <w:t>Cs4</w:t>
      </w:r>
      <w:r w:rsidR="00932DED">
        <w:rPr>
          <w:lang w:val="en-US"/>
        </w:rPr>
        <w:t xml:space="preserve"> enters turbine </w:t>
      </w:r>
      <w:r w:rsidR="00932DED" w:rsidRPr="00031D79">
        <w:rPr>
          <w:b/>
          <w:bCs/>
          <w:lang w:val="en-US"/>
        </w:rPr>
        <w:t>T4</w:t>
      </w:r>
      <w:r w:rsidR="00932DED" w:rsidRPr="00D736B4">
        <w:rPr>
          <w:lang w:val="en-US"/>
        </w:rPr>
        <w:t>.</w:t>
      </w:r>
      <w:r w:rsidR="00932DED">
        <w:rPr>
          <w:lang w:val="en-US"/>
        </w:rPr>
        <w:t xml:space="preserve"> After this point, if end-user heating power has not been supplied by condensers </w:t>
      </w:r>
      <w:r w:rsidR="00932DED" w:rsidRPr="00151DCE">
        <w:rPr>
          <w:b/>
          <w:bCs/>
          <w:lang w:val="en-US"/>
        </w:rPr>
        <w:t>Cn1</w:t>
      </w:r>
      <w:r w:rsidR="00932DED">
        <w:rPr>
          <w:lang w:val="en-US"/>
        </w:rPr>
        <w:t xml:space="preserve"> or </w:t>
      </w:r>
      <w:r w:rsidR="00932DED" w:rsidRPr="00151DCE">
        <w:rPr>
          <w:b/>
          <w:bCs/>
          <w:lang w:val="en-US"/>
        </w:rPr>
        <w:t>Cn2</w:t>
      </w:r>
      <w:r w:rsidR="00932DED">
        <w:rPr>
          <w:lang w:val="en-US"/>
        </w:rPr>
        <w:t xml:space="preserve">, then condenser </w:t>
      </w:r>
      <w:r w:rsidR="00932DED" w:rsidRPr="00D736B4">
        <w:rPr>
          <w:b/>
          <w:bCs/>
          <w:lang w:val="en-US"/>
        </w:rPr>
        <w:t>Cn3</w:t>
      </w:r>
      <w:r w:rsidR="00932DED">
        <w:rPr>
          <w:lang w:val="en-US"/>
        </w:rPr>
        <w:t xml:space="preserve"> and turbine </w:t>
      </w:r>
      <w:r w:rsidR="00932DED" w:rsidRPr="00D736B4">
        <w:rPr>
          <w:b/>
          <w:bCs/>
          <w:lang w:val="en-US"/>
        </w:rPr>
        <w:t>T5</w:t>
      </w:r>
      <w:r w:rsidR="00932DED">
        <w:rPr>
          <w:lang w:val="en-US"/>
        </w:rPr>
        <w:t xml:space="preserve"> are active. Then, if the regeneration option is active, regenerator </w:t>
      </w:r>
      <w:r w:rsidR="00932DED" w:rsidRPr="00756633">
        <w:rPr>
          <w:b/>
          <w:bCs/>
          <w:lang w:val="en-US"/>
        </w:rPr>
        <w:t>Rg1</w:t>
      </w:r>
      <w:r w:rsidR="00932DED">
        <w:rPr>
          <w:lang w:val="en-US"/>
        </w:rPr>
        <w:t xml:space="preserve"> is active. After that, the working fluid is condensed (</w:t>
      </w:r>
      <w:r w:rsidR="00932DED" w:rsidRPr="006C6815">
        <w:rPr>
          <w:b/>
          <w:bCs/>
          <w:lang w:val="en-US"/>
        </w:rPr>
        <w:t>Cn4</w:t>
      </w:r>
      <w:r w:rsidR="00932DED">
        <w:rPr>
          <w:lang w:val="en-US"/>
        </w:rPr>
        <w:t>), compressed (</w:t>
      </w:r>
      <w:r w:rsidR="00932DED" w:rsidRPr="006C6815">
        <w:rPr>
          <w:b/>
          <w:bCs/>
          <w:lang w:val="en-US"/>
        </w:rPr>
        <w:t>P1</w:t>
      </w:r>
      <w:r w:rsidR="00932DED">
        <w:rPr>
          <w:lang w:val="en-US"/>
        </w:rPr>
        <w:t>), and regenerated (</w:t>
      </w:r>
      <w:r w:rsidR="00932DED" w:rsidRPr="00756633">
        <w:rPr>
          <w:b/>
          <w:bCs/>
          <w:lang w:val="en-US"/>
        </w:rPr>
        <w:t>Rg1</w:t>
      </w:r>
      <w:r w:rsidR="00932DED">
        <w:rPr>
          <w:lang w:val="en-US"/>
        </w:rPr>
        <w:t xml:space="preserve">) if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reg</m:t>
            </m:r>
          </m:sub>
        </m:sSub>
        <m:r>
          <w:rPr>
            <w:rFonts w:ascii="Cambria Math" w:eastAsiaTheme="minorEastAsia" w:hAnsi="Cambria Math"/>
            <w:lang w:val="en-US"/>
          </w:rPr>
          <m:t>=1</m:t>
        </m:r>
      </m:oMath>
      <w:r w:rsidR="00932DED">
        <w:rPr>
          <w:rFonts w:eastAsiaTheme="minorEastAsia"/>
          <w:lang w:val="en-US"/>
        </w:rPr>
        <w:t xml:space="preserve">. </w:t>
      </w:r>
      <w:r w:rsidR="00932DED">
        <w:rPr>
          <w:lang w:val="en-US"/>
        </w:rPr>
        <w:t xml:space="preserve">Finally, if bleeding options are active, the feedwater stream is mixed (mixers </w:t>
      </w:r>
      <w:r w:rsidR="00932DED" w:rsidRPr="00064024">
        <w:rPr>
          <w:b/>
          <w:bCs/>
          <w:lang w:val="en-US"/>
        </w:rPr>
        <w:t>Mx1</w:t>
      </w:r>
      <w:r w:rsidR="00932DED">
        <w:rPr>
          <w:lang w:val="en-US"/>
        </w:rPr>
        <w:t xml:space="preserve"> and </w:t>
      </w:r>
      <w:r w:rsidR="00932DED" w:rsidRPr="00064024">
        <w:rPr>
          <w:b/>
          <w:bCs/>
          <w:lang w:val="en-US"/>
        </w:rPr>
        <w:t>Mx2</w:t>
      </w:r>
      <w:r w:rsidR="00932DED">
        <w:rPr>
          <w:lang w:val="en-US"/>
        </w:rPr>
        <w:t xml:space="preserve">) with bleeding stream 1, or 2, or both depending on the number of active bleeding streams. </w:t>
      </w:r>
    </w:p>
    <w:p w14:paraId="3F8C9F2E" w14:textId="76F432B3" w:rsidR="007417AB" w:rsidRDefault="00F50F68" w:rsidP="007417AB">
      <w:pPr>
        <w:ind w:firstLine="284"/>
        <w:rPr>
          <w:lang w:val="en-US"/>
        </w:rPr>
      </w:pPr>
      <w:r>
        <w:rPr>
          <w:lang w:val="en-US"/>
        </w:rPr>
        <w:t xml:space="preserve">The assumptions used in this work have been adopted from those outlined by Pina-Martinez et al. (2021). The required power and heating needs are 3 and 4 MW respectively. The heat transfer fluid with an unknown mass flow rate enters evaporator </w:t>
      </w:r>
      <w:r w:rsidRPr="004A3269">
        <w:rPr>
          <w:b/>
          <w:lang w:val="en-US"/>
        </w:rPr>
        <w:t>Ev1</w:t>
      </w:r>
      <w:r>
        <w:rPr>
          <w:lang w:val="en-US"/>
        </w:rPr>
        <w:t xml:space="preserve"> at T</w:t>
      </w:r>
      <w:r w:rsidRPr="002B3F8A">
        <w:rPr>
          <w:vertAlign w:val="subscript"/>
          <w:lang w:val="en-US"/>
        </w:rPr>
        <w:t>HS</w:t>
      </w:r>
      <w:r>
        <w:rPr>
          <w:lang w:val="en-US"/>
        </w:rPr>
        <w:t xml:space="preserve"> = 220°C</w:t>
      </w:r>
      <w:r w:rsidRPr="004342F1">
        <w:rPr>
          <w:lang w:val="en-US"/>
        </w:rPr>
        <w:t>, the maximum temperature reached by the working fluid during the operation is set to 150 °C</w:t>
      </w:r>
      <w:r>
        <w:rPr>
          <w:lang w:val="en-US"/>
        </w:rPr>
        <w:t xml:space="preserve">. </w:t>
      </w:r>
      <w:r w:rsidR="00952F09">
        <w:rPr>
          <w:lang w:val="en-US"/>
        </w:rPr>
        <w:t xml:space="preserve">Cooling water is assumed as cooling medium in condenser </w:t>
      </w:r>
      <w:r w:rsidR="00952F09" w:rsidRPr="00E75425">
        <w:rPr>
          <w:b/>
          <w:lang w:val="en-US"/>
        </w:rPr>
        <w:t>Cn4</w:t>
      </w:r>
      <w:r w:rsidR="00952F09">
        <w:rPr>
          <w:lang w:val="en-US"/>
        </w:rPr>
        <w:t xml:space="preserve"> with an inlet temperature of </w:t>
      </w:r>
      <w:proofErr w:type="spellStart"/>
      <w:r w:rsidR="00952F09">
        <w:rPr>
          <w:lang w:val="en-US"/>
        </w:rPr>
        <w:t>T</w:t>
      </w:r>
      <w:r w:rsidR="00952F09">
        <w:rPr>
          <w:vertAlign w:val="subscript"/>
          <w:lang w:val="en-US"/>
        </w:rPr>
        <w:t>c</w:t>
      </w:r>
      <w:r w:rsidR="00952F09" w:rsidRPr="007949B0">
        <w:rPr>
          <w:vertAlign w:val="subscript"/>
          <w:lang w:val="en-US"/>
        </w:rPr>
        <w:t>o</w:t>
      </w:r>
      <w:r w:rsidR="00952F09">
        <w:rPr>
          <w:vertAlign w:val="subscript"/>
          <w:lang w:val="en-US"/>
        </w:rPr>
        <w:t>ol</w:t>
      </w:r>
      <w:proofErr w:type="spellEnd"/>
      <w:r w:rsidR="00952F09">
        <w:rPr>
          <w:lang w:val="en-US"/>
        </w:rPr>
        <w:t xml:space="preserve"> = 15°C and an outlet temperature of 30°C.</w:t>
      </w:r>
      <w:r w:rsidR="00EE5853">
        <w:rPr>
          <w:lang w:val="en-US"/>
        </w:rPr>
        <w:t xml:space="preserve"> </w:t>
      </w:r>
      <w:r w:rsidR="00EE5853">
        <w:rPr>
          <w:lang w:val="en-US"/>
        </w:rPr>
        <w:t xml:space="preserve">The end-user heating power is used for hot water generation. Depending on the configuration, water stream enters either condensers </w:t>
      </w:r>
      <w:r w:rsidR="00EE5853" w:rsidRPr="00571CB3">
        <w:rPr>
          <w:b/>
          <w:lang w:val="en-US"/>
        </w:rPr>
        <w:t>1</w:t>
      </w:r>
      <w:r w:rsidR="00EE5853">
        <w:rPr>
          <w:lang w:val="en-US"/>
        </w:rPr>
        <w:t xml:space="preserve">, </w:t>
      </w:r>
      <w:r w:rsidR="00EE5853" w:rsidRPr="00DA13E1">
        <w:rPr>
          <w:b/>
          <w:lang w:val="en-US"/>
        </w:rPr>
        <w:t>2</w:t>
      </w:r>
      <w:r w:rsidR="00EE5853">
        <w:rPr>
          <w:lang w:val="en-US"/>
        </w:rPr>
        <w:t xml:space="preserve"> or </w:t>
      </w:r>
      <w:r w:rsidR="00EE5853" w:rsidRPr="00571CB3">
        <w:rPr>
          <w:b/>
          <w:lang w:val="en-US"/>
        </w:rPr>
        <w:t>3</w:t>
      </w:r>
      <w:r w:rsidR="00EE5853">
        <w:rPr>
          <w:lang w:val="en-US"/>
        </w:rPr>
        <w:t xml:space="preserve"> at 15°C and leaves at 80°C.</w:t>
      </w:r>
    </w:p>
    <w:p w14:paraId="2C1CE19F" w14:textId="77777777" w:rsidR="007417AB" w:rsidRDefault="007417AB" w:rsidP="007417AB">
      <w:pPr>
        <w:jc w:val="center"/>
        <w:rPr>
          <w:lang w:val="en-US"/>
        </w:rPr>
      </w:pPr>
      <w:r w:rsidRPr="008F13EA">
        <w:rPr>
          <w:noProof/>
        </w:rPr>
        <w:lastRenderedPageBreak/>
        <w:drawing>
          <wp:inline distT="0" distB="0" distL="0" distR="0" wp14:anchorId="3D27E508" wp14:editId="2A1CA0D5">
            <wp:extent cx="3354606" cy="3312000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0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6C19" w14:textId="77777777" w:rsidR="007417AB" w:rsidRDefault="007417AB" w:rsidP="00952F09">
      <w:pPr>
        <w:pStyle w:val="Lgende"/>
        <w:spacing w:before="0"/>
        <w:jc w:val="center"/>
      </w:pPr>
      <w:bookmarkStart w:id="2" w:name="_Ref15171785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2"/>
      <w:r>
        <w:t xml:space="preserve">: </w:t>
      </w:r>
      <w:r w:rsidRPr="00AA1ED3">
        <w:t>Flowsheet of t</w:t>
      </w:r>
      <w:r>
        <w:t xml:space="preserve">he CHP cycle superstructure. Abbreviations: Cn: condenser; </w:t>
      </w:r>
      <w:proofErr w:type="spellStart"/>
      <w:r>
        <w:t>Ev</w:t>
      </w:r>
      <w:proofErr w:type="spellEnd"/>
      <w:r>
        <w:t xml:space="preserve">: evaporator; Mx: mixer; P: pump; </w:t>
      </w:r>
      <w:proofErr w:type="spellStart"/>
      <w:r>
        <w:t>Rg</w:t>
      </w:r>
      <w:proofErr w:type="spellEnd"/>
      <w:r>
        <w:t xml:space="preserve">: regenerator; S: switch, </w:t>
      </w:r>
      <w:proofErr w:type="spellStart"/>
      <w:r>
        <w:t>Sp</w:t>
      </w:r>
      <w:proofErr w:type="spellEnd"/>
      <w:r>
        <w:t>: splitter; T: turbine.</w:t>
      </w:r>
    </w:p>
    <w:p w14:paraId="49F30C4B" w14:textId="6EC0A89F" w:rsidR="007417AB" w:rsidRDefault="007417AB" w:rsidP="007417AB">
      <w:pPr>
        <w:ind w:firstLine="284"/>
        <w:rPr>
          <w:lang w:val="en-US"/>
        </w:rPr>
      </w:pPr>
      <w:r>
        <w:rPr>
          <w:lang w:val="en-US"/>
        </w:rPr>
        <w:t xml:space="preserve">This condition imposes that the working fluid should be condensed at </w:t>
      </w:r>
      <w:proofErr w:type="spellStart"/>
      <w:r>
        <w:rPr>
          <w:lang w:val="en-US"/>
        </w:rPr>
        <w:t>P</w:t>
      </w:r>
      <w:r w:rsidRPr="00D92050">
        <w:rPr>
          <w:vertAlign w:val="superscript"/>
          <w:lang w:val="en-US"/>
        </w:rPr>
        <w:t>sat</w:t>
      </w:r>
      <w:proofErr w:type="spellEnd"/>
      <w:r>
        <w:rPr>
          <w:lang w:val="en-US"/>
        </w:rPr>
        <w:t xml:space="preserve">(90°C), in order to avoid a temperature cross. In consequence, if the bleeding option and end-user heat supply by bleeding are both active, bleeding pressure must be equal to </w:t>
      </w:r>
      <w:proofErr w:type="spellStart"/>
      <w:r>
        <w:rPr>
          <w:lang w:val="en-US"/>
        </w:rPr>
        <w:t>P</w:t>
      </w:r>
      <w:r w:rsidRPr="00D92050">
        <w:rPr>
          <w:vertAlign w:val="superscript"/>
          <w:lang w:val="en-US"/>
        </w:rPr>
        <w:t>sat</w:t>
      </w:r>
      <w:proofErr w:type="spellEnd"/>
      <w:r>
        <w:rPr>
          <w:lang w:val="en-US"/>
        </w:rPr>
        <w:t xml:space="preserve">(90°C). Otherwise, it is a degree of freedom of the problem. In addition, the stream exits condenser </w:t>
      </w:r>
      <w:r w:rsidRPr="00FB15E9">
        <w:rPr>
          <w:b/>
          <w:lang w:val="en-US"/>
        </w:rPr>
        <w:t>Cn4</w:t>
      </w:r>
      <w:r>
        <w:rPr>
          <w:lang w:val="en-US"/>
        </w:rPr>
        <w:t xml:space="preserve"> as saturated liquid at 40°C. For all heat exchangers, the minimum temperature approach is equal to 10 K.</w:t>
      </w:r>
    </w:p>
    <w:p w14:paraId="28DCA33A" w14:textId="77777777" w:rsidR="009965C6" w:rsidRDefault="009965C6" w:rsidP="009965C6">
      <w:pPr>
        <w:pStyle w:val="Els-2ndorder-head"/>
        <w:spacing w:after="120"/>
        <w:rPr>
          <w:i w:val="0"/>
          <w:lang w:val="en-GB"/>
        </w:rPr>
      </w:pPr>
      <w:r>
        <w:rPr>
          <w:lang w:val="en-GB"/>
        </w:rPr>
        <w:t>4.3. Problem statement</w:t>
      </w:r>
    </w:p>
    <w:p w14:paraId="336EA297" w14:textId="77777777" w:rsidR="009965C6" w:rsidRDefault="009965C6" w:rsidP="009965C6">
      <w:pPr>
        <w:ind w:firstLine="284"/>
      </w:pPr>
      <w:r w:rsidRPr="00DC2C25">
        <w:t>Given Combined Heating and Power cycle specifications, constraints and a thermo-economic pair of objective functions, a</w:t>
      </w:r>
      <w:r>
        <w:t xml:space="preserve">n </w:t>
      </w:r>
      <w:r w:rsidRPr="00DC2C25">
        <w:t>optimi</w:t>
      </w:r>
      <w:r>
        <w:t>s</w:t>
      </w:r>
      <w:r w:rsidRPr="00DC2C25">
        <w:t xml:space="preserve">ation problem is formulated to determine an optimal process flowsheet and </w:t>
      </w:r>
      <w:r>
        <w:t>the corresponding working fluid: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7"/>
        <w:gridCol w:w="530"/>
      </w:tblGrid>
      <w:tr w:rsidR="009965C6" w:rsidRPr="009E1483" w14:paraId="3B451865" w14:textId="77777777" w:rsidTr="00A71CB2">
        <w:trPr>
          <w:trHeight w:val="498"/>
        </w:trPr>
        <w:tc>
          <w:tcPr>
            <w:tcW w:w="8500" w:type="dxa"/>
            <w:vAlign w:val="center"/>
          </w:tcPr>
          <w:p w14:paraId="36604F60" w14:textId="77777777" w:rsidR="009965C6" w:rsidRPr="0094427A" w:rsidRDefault="0098246D" w:rsidP="00A71CB2">
            <w:pPr>
              <w:jc w:val="left"/>
              <w:rPr>
                <w:rFonts w:eastAsiaTheme="minorEastAsia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min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y,w</m:t>
                        </m:r>
                      </m:lim>
                    </m:limLow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,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y,w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w:br/>
                </m:r>
              </m:oMath>
            </m:oMathPara>
            <m:oMath>
              <m:r>
                <w:rPr>
                  <w:rFonts w:ascii="Cambria Math" w:hAnsi="Cambria Math"/>
                  <w:lang w:val="en-US"/>
                </w:rPr>
                <m:t xml:space="preserve">s.t.     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y,w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  <w:r w:rsidR="009965C6">
              <w:rPr>
                <w:lang w:val="en-US"/>
              </w:rPr>
              <w:t>;</w:t>
            </w:r>
            <m:oMath>
              <m:r>
                <w:rPr>
                  <w:rFonts w:ascii="Cambria Math" w:hAnsi="Cambria Math"/>
                  <w:lang w:val="en-US"/>
                </w:rPr>
                <m:t xml:space="preserve">   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y,w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≤0</m:t>
              </m:r>
            </m:oMath>
          </w:p>
        </w:tc>
        <w:tc>
          <w:tcPr>
            <w:tcW w:w="562" w:type="dxa"/>
            <w:vAlign w:val="center"/>
          </w:tcPr>
          <w:p w14:paraId="27D1EB85" w14:textId="4FEBADC0" w:rsidR="009965C6" w:rsidRPr="009E1483" w:rsidRDefault="009965C6" w:rsidP="00A71CB2">
            <w:pPr>
              <w:jc w:val="right"/>
              <w:rPr>
                <w:lang w:val="en-US"/>
              </w:rPr>
            </w:pPr>
            <w:r>
              <w:t>(</w:t>
            </w:r>
            <w:r w:rsidR="000F115E">
              <w:fldChar w:fldCharType="begin"/>
            </w:r>
            <w:r w:rsidR="000F115E">
              <w:instrText xml:space="preserve"> SEQ Equation \* ARABIC </w:instrText>
            </w:r>
            <w:r w:rsidR="000F115E">
              <w:fldChar w:fldCharType="separate"/>
            </w:r>
            <w:r w:rsidR="006A4CCB">
              <w:rPr>
                <w:noProof/>
              </w:rPr>
              <w:t>3</w:t>
            </w:r>
            <w:r w:rsidR="000F115E">
              <w:rPr>
                <w:noProof/>
              </w:rPr>
              <w:fldChar w:fldCharType="end"/>
            </w:r>
            <w:r>
              <w:rPr>
                <w:noProof/>
              </w:rPr>
              <w:t>)</w:t>
            </w:r>
          </w:p>
        </w:tc>
      </w:tr>
    </w:tbl>
    <w:p w14:paraId="4CA31B14" w14:textId="28529A3F" w:rsidR="002863AB" w:rsidRDefault="009965C6" w:rsidP="002863AB">
      <w:pPr>
        <w:rPr>
          <w:rFonts w:eastAsiaTheme="minorEastAsia"/>
          <w:lang w:val="en-US"/>
        </w:rPr>
      </w:pPr>
      <w:r>
        <w:t xml:space="preserve">where </w:t>
      </w:r>
      <m:oMath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en-US"/>
          </w:rPr>
          <m:t>∈</m:t>
        </m:r>
        <m:sSup>
          <m:sSupPr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sSupPr>
          <m:e>
            <m:r>
              <m:rPr>
                <m:scr m:val="double-struck"/>
                <m:sty m:val="bi"/>
              </m:rP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lang w:val="en-US"/>
              </w:rPr>
              <m:t>c</m:t>
            </m:r>
          </m:sup>
        </m:sSup>
      </m:oMath>
      <w:r>
        <w:t xml:space="preserve"> represents a vector of </w:t>
      </w:r>
      <m:oMath>
        <m:r>
          <w:rPr>
            <w:rFonts w:ascii="Cambria Math" w:hAnsi="Cambria Math"/>
          </w:rPr>
          <m:t>c</m:t>
        </m:r>
      </m:oMath>
      <w:r>
        <w:t xml:space="preserve"> continuous process variables; </w:t>
      </w:r>
      <m:oMath>
        <m:r>
          <m:rPr>
            <m:sty m:val="bi"/>
          </m:rP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  <w:lang w:val="en-US"/>
          </w:rPr>
          <m:t>∈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0,1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b</m:t>
            </m:r>
          </m:sup>
        </m:sSup>
      </m:oMath>
      <w:r>
        <w:t xml:space="preserve"> represents a vector of </w:t>
      </w:r>
      <m:oMath>
        <m:r>
          <w:rPr>
            <w:rFonts w:ascii="Cambria Math" w:hAnsi="Cambria Math"/>
          </w:rPr>
          <m:t>b</m:t>
        </m:r>
      </m:oMath>
      <w:r>
        <w:t xml:space="preserve"> binary structural decision variables; and </w:t>
      </w:r>
      <m:oMath>
        <m:r>
          <m:rPr>
            <m:sty m:val="bi"/>
          </m:rPr>
          <w:rPr>
            <w:rFonts w:ascii="Cambria Math" w:hAnsi="Cambria Math"/>
            <w:lang w:val="en-US"/>
          </w:rPr>
          <m:t>w</m:t>
        </m:r>
        <m:r>
          <w:rPr>
            <w:rFonts w:ascii="Cambria Math" w:hAnsi="Cambria Math"/>
            <w:lang w:val="en-US"/>
          </w:rPr>
          <m:t>∈</m:t>
        </m:r>
        <m:r>
          <m:rPr>
            <m:scr m:val="double-struck"/>
            <m:sty m:val="bi"/>
          </m:rPr>
          <w:rPr>
            <w:rFonts w:ascii="Cambria Math" w:eastAsiaTheme="minorEastAsia" w:hAnsi="Cambria Math"/>
            <w:lang w:val="en-US"/>
          </w:rPr>
          <m:t>N</m:t>
        </m:r>
      </m:oMath>
      <w:r>
        <w:rPr>
          <w:lang w:val="en-US"/>
        </w:rPr>
        <w:t xml:space="preserve"> </w:t>
      </w:r>
      <w:r>
        <w:t xml:space="preserve">represents a non-negative discrete variable and enables the selection of a given working fluid. The set of equations </w:t>
      </w:r>
      <m:oMath>
        <m:r>
          <m:rPr>
            <m:sty m:val="bi"/>
          </m:rPr>
          <w:rPr>
            <w:rFonts w:ascii="Cambria Math" w:hAnsi="Cambria Math"/>
            <w:lang w:val="en-US"/>
          </w:rPr>
          <m:t>h</m:t>
        </m:r>
      </m:oMath>
      <w:r>
        <w:rPr>
          <w:b/>
          <w:lang w:val="en-US"/>
        </w:rPr>
        <w:t xml:space="preserve"> </w:t>
      </w:r>
      <w:r w:rsidRPr="00CC3B3A">
        <w:rPr>
          <w:bCs/>
          <w:lang w:val="en-US"/>
        </w:rPr>
        <w:t>c</w:t>
      </w:r>
      <w:r>
        <w:rPr>
          <w:rFonts w:eastAsiaTheme="minorEastAsia"/>
          <w:lang w:val="en-US"/>
        </w:rPr>
        <w:t xml:space="preserve">orresponds to a vector of </w:t>
      </w:r>
      <m:oMath>
        <m:r>
          <w:rPr>
            <w:rFonts w:ascii="Cambria Math" w:eastAsiaTheme="minorEastAsia" w:hAnsi="Cambria Math"/>
            <w:lang w:val="en-US"/>
          </w:rPr>
          <m:t>e</m:t>
        </m:r>
      </m:oMath>
      <w:r>
        <w:rPr>
          <w:rFonts w:eastAsiaTheme="minorEastAsia"/>
          <w:lang w:val="en-US"/>
        </w:rPr>
        <w:t xml:space="preserve"> equality constraints including mass and energy balances, thermodynamic relations, and sizing equations. The set of equations </w:t>
      </w:r>
      <m:oMath>
        <m:r>
          <m:rPr>
            <m:sty m:val="bi"/>
          </m:rPr>
          <w:rPr>
            <w:rFonts w:ascii="Cambria Math" w:hAnsi="Cambria Math"/>
            <w:lang w:val="en-US"/>
          </w:rPr>
          <m:t>g</m:t>
        </m:r>
      </m:oMath>
      <w:r w:rsidRPr="00420E5D"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t xml:space="preserve">corresponds to a vector of </w:t>
      </w:r>
      <m:oMath>
        <m:r>
          <w:rPr>
            <w:rFonts w:ascii="Cambria Math" w:eastAsiaTheme="minorEastAsia" w:hAnsi="Cambria Math"/>
            <w:lang w:val="en-US"/>
          </w:rPr>
          <m:t>m</m:t>
        </m:r>
      </m:oMath>
      <w:r>
        <w:rPr>
          <w:rFonts w:eastAsiaTheme="minorEastAsia"/>
          <w:lang w:val="en-US"/>
        </w:rPr>
        <w:t xml:space="preserve"> inequality constraints that enforce bounds on the operating conditions and binary variables in order to satisfy design specifications.</w:t>
      </w:r>
      <w:r w:rsidR="007F1118">
        <w:rPr>
          <w:rFonts w:eastAsiaTheme="minorEastAsia"/>
          <w:lang w:val="en-US"/>
        </w:rPr>
        <w:t xml:space="preserve"> </w:t>
      </w:r>
      <w:r w:rsidR="008E60E1">
        <w:rPr>
          <w:rFonts w:eastAsiaTheme="minorEastAsia"/>
          <w:lang w:val="en-US"/>
        </w:rPr>
        <w:t xml:space="preserve">The presented structural options represented by 7 binary variables correspond to a maximum number of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2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7</m:t>
            </m:r>
          </m:sup>
        </m:sSup>
        <m:r>
          <w:rPr>
            <w:rFonts w:ascii="Cambria Math" w:eastAsiaTheme="minorEastAsia" w:hAnsi="Cambria Math"/>
            <w:lang w:val="en-US"/>
          </w:rPr>
          <m:t>=128</m:t>
        </m:r>
      </m:oMath>
      <w:r w:rsidR="008E60E1">
        <w:rPr>
          <w:rFonts w:eastAsiaTheme="minorEastAsia"/>
          <w:lang w:val="en-US"/>
        </w:rPr>
        <w:t xml:space="preserve"> potential integer combinations. However, many combinations are infeasible due to logic constraints, e.g., </w:t>
      </w:r>
      <w:r w:rsidR="00A424AD">
        <w:rPr>
          <w:rFonts w:eastAsiaTheme="minorEastAsia"/>
          <w:lang w:val="en-US"/>
        </w:rPr>
        <w:t>i</w:t>
      </w:r>
      <w:r w:rsidR="00A424AD">
        <w:rPr>
          <w:rFonts w:eastAsiaTheme="minorEastAsia"/>
          <w:lang w:val="en-US"/>
        </w:rPr>
        <w:t>f the total reheat option is active</w:t>
      </w:r>
      <w:r w:rsidR="00A424AD">
        <w:rPr>
          <w:rFonts w:eastAsiaTheme="minorEastAsia"/>
          <w:lang w:val="en-US"/>
        </w:rPr>
        <w:t>, HP bleeding cannot be active.</w:t>
      </w:r>
      <w:r w:rsidR="002863AB">
        <w:rPr>
          <w:rFonts w:eastAsiaTheme="minorEastAsia"/>
          <w:lang w:val="en-US"/>
        </w:rPr>
        <w:br w:type="page"/>
      </w:r>
    </w:p>
    <w:p w14:paraId="5D5CC154" w14:textId="140049DF" w:rsidR="00C7506E" w:rsidRDefault="00C7506E" w:rsidP="0093757C">
      <w:pPr>
        <w:pStyle w:val="Els-2ndorder-head"/>
        <w:spacing w:after="120"/>
        <w:rPr>
          <w:i w:val="0"/>
        </w:rPr>
      </w:pPr>
      <w:r>
        <w:lastRenderedPageBreak/>
        <w:t>4.3.</w:t>
      </w:r>
      <w:r w:rsidR="00DD34B1">
        <w:t>1.</w:t>
      </w:r>
      <w:r>
        <w:t xml:space="preserve"> Objective functions</w:t>
      </w:r>
    </w:p>
    <w:p w14:paraId="1406D54E" w14:textId="16C085E1" w:rsidR="0055536E" w:rsidRPr="005D439D" w:rsidRDefault="00C7506E" w:rsidP="007A67FB">
      <w:pPr>
        <w:ind w:firstLine="284"/>
        <w:rPr>
          <w:lang w:val="en-US"/>
        </w:rPr>
      </w:pPr>
      <w:r>
        <w:rPr>
          <w:i/>
        </w:rPr>
        <w:t>L</w:t>
      </w:r>
      <w:r w:rsidR="001B4F43">
        <w:rPr>
          <w:i/>
        </w:rPr>
        <w:t>evelized cost of electricity (LCOE)</w:t>
      </w:r>
      <w:r w:rsidR="0055536E">
        <w:rPr>
          <w:i/>
        </w:rPr>
        <w:t xml:space="preserve">. </w:t>
      </w:r>
      <w:r w:rsidR="004E1544" w:rsidRPr="00EE1B09">
        <w:rPr>
          <w:lang w:val="en-US"/>
        </w:rPr>
        <w:t xml:space="preserve">According </w:t>
      </w:r>
      <w:r w:rsidR="004E1544">
        <w:rPr>
          <w:lang w:val="en-US"/>
        </w:rPr>
        <w:t xml:space="preserve">to the </w:t>
      </w:r>
      <w:r w:rsidR="004E1544" w:rsidRPr="00D100CF">
        <w:t xml:space="preserve">International Energy Agency (IEA) report: Projected Costs of Generating Electricity, </w:t>
      </w:r>
      <w:r w:rsidR="004E1544" w:rsidRPr="00077462">
        <w:t xml:space="preserve">(IEA, </w:t>
      </w:r>
      <w:r w:rsidR="004E1544">
        <w:t>2020</w:t>
      </w:r>
      <w:r w:rsidR="004E1544" w:rsidRPr="00077462">
        <w:t>)</w:t>
      </w:r>
      <w:r w:rsidR="004E1544">
        <w:t>,</w:t>
      </w:r>
      <w:r w:rsidR="004E1544">
        <w:t xml:space="preserve"> </w:t>
      </w:r>
      <w:r w:rsidR="0055536E">
        <w:rPr>
          <w:lang w:val="en-US"/>
        </w:rPr>
        <w:t>LCOE</w:t>
      </w:r>
      <w:r w:rsidR="009260D0">
        <w:rPr>
          <w:lang w:val="en-US"/>
        </w:rPr>
        <w:t xml:space="preserve"> (Eq. 4)</w:t>
      </w:r>
      <w:r w:rsidR="0055536E">
        <w:rPr>
          <w:lang w:val="en-US"/>
        </w:rPr>
        <w:t xml:space="preserve"> is the principal tool for comparing the plant-level unit costs of different baseload technologies over their operating lifetimes</w:t>
      </w:r>
      <w:r w:rsidR="009260D0">
        <w:rPr>
          <w:lang w:val="en-US"/>
        </w:rPr>
        <w:t>.</w:t>
      </w:r>
      <w:r w:rsidR="0055536E">
        <w:rPr>
          <w:lang w:val="en-US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1"/>
        <w:gridCol w:w="506"/>
      </w:tblGrid>
      <w:tr w:rsidR="00EB2046" w:rsidRPr="00835596" w14:paraId="59A899F7" w14:textId="77777777" w:rsidTr="004165D0">
        <w:trPr>
          <w:trHeight w:val="498"/>
        </w:trPr>
        <w:tc>
          <w:tcPr>
            <w:tcW w:w="8500" w:type="dxa"/>
            <w:vAlign w:val="center"/>
          </w:tcPr>
          <w:p w14:paraId="3254DEBB" w14:textId="02E641A3" w:rsidR="00EB2046" w:rsidRPr="001D396A" w:rsidRDefault="00D1025A" w:rsidP="004165D0">
            <w:pPr>
              <w:jc w:val="center"/>
              <w:rPr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lang w:val="en-US"/>
                  </w:rPr>
                  <m:t>LCOE=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CAPEX∙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1+i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1+i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+OPEX-HC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  <w:lang w:val="en-US"/>
                      </w:rPr>
                      <m:t>PRO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elec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2" w:type="dxa"/>
            <w:vAlign w:val="center"/>
          </w:tcPr>
          <w:p w14:paraId="7CF18C84" w14:textId="31581DFB" w:rsidR="00EB2046" w:rsidRPr="00835596" w:rsidRDefault="00EB2046" w:rsidP="001D396A">
            <w:pPr>
              <w:jc w:val="right"/>
              <w:rPr>
                <w:lang w:val="en-US"/>
              </w:rPr>
            </w:pPr>
            <w:r w:rsidRPr="00835596">
              <w:t>(</w:t>
            </w:r>
            <w:r w:rsidR="0098246D">
              <w:fldChar w:fldCharType="begin"/>
            </w:r>
            <w:r w:rsidR="0098246D">
              <w:instrText xml:space="preserve"> SEQ Equation \* ARABIC </w:instrText>
            </w:r>
            <w:r w:rsidR="0098246D">
              <w:fldChar w:fldCharType="separate"/>
            </w:r>
            <w:r w:rsidR="006A4CCB">
              <w:rPr>
                <w:noProof/>
              </w:rPr>
              <w:t>4</w:t>
            </w:r>
            <w:r w:rsidR="0098246D">
              <w:rPr>
                <w:noProof/>
              </w:rPr>
              <w:fldChar w:fldCharType="end"/>
            </w:r>
            <w:r w:rsidRPr="00835596">
              <w:rPr>
                <w:noProof/>
              </w:rPr>
              <w:t>)</w:t>
            </w:r>
          </w:p>
        </w:tc>
      </w:tr>
    </w:tbl>
    <w:p w14:paraId="3E9D2D89" w14:textId="226ED887" w:rsidR="008F4C8D" w:rsidRPr="008F4C8D" w:rsidRDefault="008F4C8D" w:rsidP="008F4C8D">
      <w:pPr>
        <w:rPr>
          <w:lang w:val="en-US"/>
        </w:rPr>
      </w:pPr>
      <w:r>
        <w:rPr>
          <w:lang w:val="en-US"/>
        </w:rPr>
        <w:t>where</w:t>
      </w:r>
      <w:r w:rsidR="00C52302">
        <w:rPr>
          <w:lang w:val="en-US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="00C52302">
        <w:t xml:space="preserve"> represents the </w:t>
      </w:r>
      <w:r w:rsidR="00C52302" w:rsidRPr="00D100CF">
        <w:t>discount rate</w:t>
      </w:r>
      <w:r w:rsidR="00C52302">
        <w:t>,</w:t>
      </w:r>
      <w:r w:rsidR="00C52302" w:rsidRPr="00D100CF">
        <w:t xml:space="preserve"> and </w:t>
      </w:r>
      <m:oMath>
        <m:r>
          <w:rPr>
            <w:rFonts w:ascii="Cambria Math" w:hAnsi="Cambria Math"/>
          </w:rPr>
          <m:t>n</m:t>
        </m:r>
      </m:oMath>
      <w:r w:rsidR="00C52302" w:rsidRPr="00D100CF">
        <w:t xml:space="preserve"> the project lifetime</w:t>
      </w:r>
      <w:r w:rsidR="00C52302">
        <w:t>.</w:t>
      </w:r>
      <w:r>
        <w:rPr>
          <w:lang w:val="en-US"/>
        </w:rPr>
        <w:t xml:space="preserve"> CAPEX and OPEX accounts for the capital and operational expenditures respectively. </w:t>
      </w:r>
      <w:r w:rsidR="00C475FF">
        <w:rPr>
          <w:lang w:val="en-US"/>
        </w:rPr>
        <w:t>For CHP, t</w:t>
      </w:r>
      <w:r w:rsidR="000162AC">
        <w:rPr>
          <w:lang w:val="en-US"/>
        </w:rPr>
        <w:t xml:space="preserve">he heat credit (HC) consists of the total cash flow related to the heat supply in a yearly basis. </w:t>
      </w:r>
      <w:r w:rsidR="00A57E86">
        <w:rPr>
          <w:lang w:val="en-US"/>
        </w:rPr>
        <w:t>For this case study, the p</w:t>
      </w:r>
      <w:proofErr w:type="spellStart"/>
      <w:r w:rsidR="00D100CF" w:rsidRPr="00D100CF">
        <w:t>roject</w:t>
      </w:r>
      <w:proofErr w:type="spellEnd"/>
      <w:r w:rsidR="00D100CF" w:rsidRPr="00D100CF">
        <w:t xml:space="preserve"> lifetime is equal to 25 years, with a discount rate of 7%, and 7446h of annual operation</w:t>
      </w:r>
      <w:r w:rsidR="00EE1B09">
        <w:t>. M</w:t>
      </w:r>
      <w:r w:rsidR="00D100CF" w:rsidRPr="00D100CF">
        <w:t xml:space="preserve">aintenance cost of each equipment is fixed at 3% of the purchased cost. </w:t>
      </w:r>
      <w:r w:rsidR="00840892">
        <w:t>H</w:t>
      </w:r>
      <w:r w:rsidR="00D100CF" w:rsidRPr="00D100CF">
        <w:t>eat price is equal to 34.87 €/MWh</w:t>
      </w:r>
      <w:r w:rsidR="00DD7FE8">
        <w:t>.</w:t>
      </w:r>
      <w:r w:rsidR="00550927">
        <w:t xml:space="preserve"> </w:t>
      </w:r>
      <w:r w:rsidR="00D100CF" w:rsidRPr="00D100CF">
        <w:t>Biomass price is 16.4 €/MWh.</w:t>
      </w:r>
      <w:r w:rsidR="00B137E0">
        <w:t xml:space="preserve"> </w:t>
      </w:r>
      <w:r w:rsidR="00B137E0">
        <w:rPr>
          <w:lang w:val="en-US"/>
        </w:rPr>
        <w:t>Cooling water price is</w:t>
      </w:r>
      <w:r w:rsidR="00B137E0" w:rsidRPr="00B137E0">
        <w:rPr>
          <w:lang w:val="en-US"/>
        </w:rPr>
        <w:t xml:space="preserve"> 1.12 €/MWh (Schilling et al., 2020). The exchange rate is 1 USD/€.</w:t>
      </w:r>
      <w:r w:rsidR="00C475FF">
        <w:rPr>
          <w:lang w:val="en-US"/>
        </w:rPr>
        <w:t xml:space="preserve"> </w:t>
      </w:r>
      <w:r w:rsidRPr="008F4C8D">
        <w:rPr>
          <w:lang w:val="en-US"/>
        </w:rPr>
        <w:t xml:space="preserve">The economic evaluation is based on the Manual of Process Economic Evaluation </w:t>
      </w:r>
      <w:r w:rsidR="00B65C84" w:rsidRPr="00B65C84">
        <w:t>(</w:t>
      </w:r>
      <w:proofErr w:type="spellStart"/>
      <w:r w:rsidR="00B65C84" w:rsidRPr="00B65C84">
        <w:t>Chauvel</w:t>
      </w:r>
      <w:proofErr w:type="spellEnd"/>
      <w:r w:rsidR="00B65C84" w:rsidRPr="00B65C84">
        <w:t xml:space="preserve"> et al., 2003)</w:t>
      </w:r>
      <w:r w:rsidRPr="008F4C8D">
        <w:rPr>
          <w:lang w:val="en-US"/>
        </w:rPr>
        <w:t xml:space="preserve">, and more specifically, the </w:t>
      </w:r>
      <w:proofErr w:type="spellStart"/>
      <w:r w:rsidRPr="008F4C8D">
        <w:rPr>
          <w:lang w:val="en-US"/>
        </w:rPr>
        <w:t>Pré-Estime</w:t>
      </w:r>
      <w:proofErr w:type="spellEnd"/>
      <w:r w:rsidRPr="008F4C8D">
        <w:rPr>
          <w:lang w:val="en-US"/>
        </w:rPr>
        <w:t xml:space="preserve"> method. </w:t>
      </w:r>
    </w:p>
    <w:p w14:paraId="5E184425" w14:textId="2E43604D" w:rsidR="00C7506E" w:rsidRPr="00887648" w:rsidRDefault="00C7506E" w:rsidP="00270684">
      <w:pPr>
        <w:ind w:firstLine="284"/>
        <w:rPr>
          <w:iCs/>
        </w:rPr>
      </w:pPr>
      <w:r>
        <w:rPr>
          <w:i/>
        </w:rPr>
        <w:t>P</w:t>
      </w:r>
      <w:r w:rsidR="00CD4AF8">
        <w:rPr>
          <w:i/>
        </w:rPr>
        <w:t>rimary energy savings ratio (P</w:t>
      </w:r>
      <w:r>
        <w:rPr>
          <w:i/>
        </w:rPr>
        <w:t>ESR</w:t>
      </w:r>
      <w:r w:rsidR="00CD4AF8">
        <w:rPr>
          <w:i/>
        </w:rPr>
        <w:t>)</w:t>
      </w:r>
      <w:r w:rsidR="00887648">
        <w:rPr>
          <w:i/>
        </w:rPr>
        <w:t>.</w:t>
      </w:r>
      <w:r w:rsidR="0015414A" w:rsidRPr="0015414A">
        <w:rPr>
          <w:iCs/>
        </w:rPr>
        <w:t xml:space="preserve"> </w:t>
      </w:r>
      <w:r w:rsidR="00581F7B" w:rsidRPr="00581F7B">
        <w:rPr>
          <w:iCs/>
        </w:rPr>
        <w:t xml:space="preserve">This parameter provides information on how much primary energy is saved by using a multigeneration system instead of separated ones to supply </w:t>
      </w:r>
      <w:r w:rsidR="00581F7B">
        <w:rPr>
          <w:iCs/>
        </w:rPr>
        <w:t>the required duties</w:t>
      </w:r>
      <w:r w:rsidR="00581F7B" w:rsidRPr="00581F7B">
        <w:rPr>
          <w:iCs/>
        </w:rPr>
        <w:t>. PESR is defined as:</w:t>
      </w:r>
      <w:r w:rsidR="00887648" w:rsidRPr="0015414A">
        <w:rPr>
          <w:iCs/>
        </w:rPr>
        <w:t xml:space="preserve"> </w:t>
      </w:r>
    </w:p>
    <w:tbl>
      <w:tblPr>
        <w:tblStyle w:val="Grilledutableau"/>
        <w:tblW w:w="7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7"/>
        <w:gridCol w:w="530"/>
      </w:tblGrid>
      <w:tr w:rsidR="00581F7B" w:rsidRPr="00835596" w14:paraId="7098354E" w14:textId="77777777" w:rsidTr="001D6651">
        <w:trPr>
          <w:trHeight w:val="498"/>
        </w:trPr>
        <w:tc>
          <w:tcPr>
            <w:tcW w:w="6557" w:type="dxa"/>
            <w:vAlign w:val="center"/>
          </w:tcPr>
          <w:p w14:paraId="7215ADDC" w14:textId="3732B1C0" w:rsidR="00581F7B" w:rsidRPr="000B4799" w:rsidRDefault="000E3B66" w:rsidP="00422D98">
            <w:pPr>
              <w:jc w:val="center"/>
              <w:rPr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lang w:val="en-US"/>
                  </w:rPr>
                  <m:t>PESR=1-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HS,CHP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HS,SS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30" w:type="dxa"/>
            <w:vAlign w:val="center"/>
          </w:tcPr>
          <w:p w14:paraId="44BBB83F" w14:textId="1F13AE14" w:rsidR="00581F7B" w:rsidRPr="00835596" w:rsidRDefault="00581F7B" w:rsidP="00422D98">
            <w:pPr>
              <w:jc w:val="center"/>
              <w:rPr>
                <w:lang w:val="en-US"/>
              </w:rPr>
            </w:pPr>
            <w:r w:rsidRPr="00835596">
              <w:t>(</w:t>
            </w:r>
            <w:r w:rsidR="0098246D">
              <w:fldChar w:fldCharType="begin"/>
            </w:r>
            <w:r w:rsidR="0098246D">
              <w:instrText xml:space="preserve"> SEQ Equation \* ARABIC </w:instrText>
            </w:r>
            <w:r w:rsidR="0098246D">
              <w:fldChar w:fldCharType="separate"/>
            </w:r>
            <w:r w:rsidR="006A4CCB">
              <w:rPr>
                <w:noProof/>
              </w:rPr>
              <w:t>5</w:t>
            </w:r>
            <w:r w:rsidR="0098246D">
              <w:rPr>
                <w:noProof/>
              </w:rPr>
              <w:fldChar w:fldCharType="end"/>
            </w:r>
            <w:r w:rsidRPr="00835596">
              <w:rPr>
                <w:noProof/>
              </w:rPr>
              <w:t>)</w:t>
            </w:r>
          </w:p>
        </w:tc>
      </w:tr>
    </w:tbl>
    <w:p w14:paraId="78622808" w14:textId="4A1C4183" w:rsidR="00C7506E" w:rsidRPr="00EE32CE" w:rsidRDefault="001D6651" w:rsidP="00110DD8">
      <w:pPr>
        <w:rPr>
          <w:lang w:val="en-US"/>
        </w:rPr>
      </w:pPr>
      <w:r w:rsidRPr="00EE32CE">
        <w:rPr>
          <w:lang w:val="en-US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US"/>
              </w:rPr>
              <m:t>HS,CHP</m:t>
            </m:r>
          </m:sub>
        </m:sSub>
      </m:oMath>
      <w:r w:rsidRPr="00EE32CE">
        <w:rPr>
          <w:lang w:val="en-US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US"/>
              </w:rPr>
              <m:t>HS,SS</m:t>
            </m:r>
          </m:sub>
        </m:sSub>
      </m:oMath>
      <w:r w:rsidRPr="00EE32CE">
        <w:rPr>
          <w:lang w:val="en-US"/>
        </w:rPr>
        <w:t xml:space="preserve"> are the amount of energy per unit of time from the heat source required by the CHP system and separated systems (SS) to provide electric and heating powers respectively.</w:t>
      </w:r>
      <w:r w:rsidR="00EE32CE">
        <w:rPr>
          <w:lang w:val="en-US"/>
        </w:rPr>
        <w:t xml:space="preserve"> Detailed calculations are provided by </w:t>
      </w:r>
      <w:r w:rsidR="00C52303" w:rsidRPr="00C52303">
        <w:rPr>
          <w:szCs w:val="24"/>
        </w:rPr>
        <w:t>Piña-Martinez et al., 2021</w:t>
      </w:r>
      <w:r w:rsidR="00C52303">
        <w:rPr>
          <w:lang w:val="en-US"/>
        </w:rPr>
        <w:t>.</w:t>
      </w:r>
    </w:p>
    <w:p w14:paraId="6BF2E03B" w14:textId="40F25D7B" w:rsidR="001415DB" w:rsidRPr="0093757C" w:rsidRDefault="002A4D21" w:rsidP="0093757C">
      <w:pPr>
        <w:pStyle w:val="Els-1storder-head"/>
        <w:spacing w:after="120"/>
        <w:rPr>
          <w:lang w:val="en-GB"/>
        </w:rPr>
      </w:pPr>
      <w:r>
        <w:rPr>
          <w:lang w:val="en-GB"/>
        </w:rPr>
        <w:t>5</w:t>
      </w:r>
      <w:r w:rsidR="001415DB">
        <w:rPr>
          <w:lang w:val="en-GB"/>
        </w:rPr>
        <w:t xml:space="preserve">. </w:t>
      </w:r>
      <w:r w:rsidRPr="002A4D21">
        <w:rPr>
          <w:lang w:val="en-GB"/>
        </w:rPr>
        <w:t>Results of the integrated design of the CHP cycle</w:t>
      </w:r>
    </w:p>
    <w:p w14:paraId="4C1BB5FD" w14:textId="1A5B6A62" w:rsidR="00116B6C" w:rsidRDefault="00006FB3" w:rsidP="00815D66">
      <w:pPr>
        <w:ind w:firstLine="284"/>
      </w:pPr>
      <w:r>
        <w:t xml:space="preserve">The results of the integrated working-fluid and CHP cycle design are presented in detail. </w:t>
      </w:r>
      <w:r w:rsidR="000B17A3">
        <w:t xml:space="preserve">Three parallel </w:t>
      </w:r>
      <w:r w:rsidR="008C71D5">
        <w:rPr>
          <w:lang w:val="en-US"/>
        </w:rPr>
        <w:t>MIDACO</w:t>
      </w:r>
      <w:r w:rsidR="000B17A3">
        <w:rPr>
          <w:lang w:val="en-US"/>
        </w:rPr>
        <w:t xml:space="preserve"> instances</w:t>
      </w:r>
      <w:r w:rsidR="008C71D5">
        <w:rPr>
          <w:lang w:val="en-US"/>
        </w:rPr>
        <w:t xml:space="preserve"> took</w:t>
      </w:r>
      <w:r w:rsidRPr="006D5B68">
        <w:rPr>
          <w:lang w:val="en-US"/>
        </w:rPr>
        <w:t xml:space="preserve"> </w:t>
      </w:r>
      <w:r w:rsidR="007D0ACE" w:rsidRPr="003A3079">
        <w:rPr>
          <w:lang w:val="en-US"/>
        </w:rPr>
        <w:t>56 h</w:t>
      </w:r>
      <w:r w:rsidRPr="006D5B68">
        <w:rPr>
          <w:lang w:val="en-US"/>
        </w:rPr>
        <w:t xml:space="preserve"> </w:t>
      </w:r>
      <w:r w:rsidR="008C71D5">
        <w:rPr>
          <w:lang w:val="en-US"/>
        </w:rPr>
        <w:t>and evaluated 1</w:t>
      </w:r>
      <w:r>
        <w:rPr>
          <w:lang w:val="en-US"/>
        </w:rPr>
        <w:t>56 84</w:t>
      </w:r>
      <w:r w:rsidR="00C96FB3">
        <w:rPr>
          <w:lang w:val="en-US"/>
        </w:rPr>
        <w:t>0</w:t>
      </w:r>
      <w:r w:rsidRPr="006D5B68">
        <w:rPr>
          <w:lang w:val="en-US"/>
        </w:rPr>
        <w:t xml:space="preserve"> points. </w:t>
      </w:r>
      <w:r w:rsidR="00662689">
        <w:rPr>
          <w:lang w:val="en-US"/>
        </w:rPr>
        <w:t xml:space="preserve">Optimization procedure was stopped when the </w:t>
      </w:r>
      <w:r w:rsidR="000C3B98">
        <w:rPr>
          <w:lang w:val="en-US"/>
        </w:rPr>
        <w:t>Pareto front</w:t>
      </w:r>
      <w:r w:rsidR="00662689">
        <w:rPr>
          <w:lang w:val="en-US"/>
        </w:rPr>
        <w:t xml:space="preserve"> w</w:t>
      </w:r>
      <w:r w:rsidR="000C3B98">
        <w:rPr>
          <w:lang w:val="en-US"/>
        </w:rPr>
        <w:t>as</w:t>
      </w:r>
      <w:r w:rsidR="00662689">
        <w:rPr>
          <w:lang w:val="en-US"/>
        </w:rPr>
        <w:t xml:space="preserve"> not improved after </w:t>
      </w:r>
      <w:r w:rsidR="007B6F86">
        <w:rPr>
          <w:lang w:val="en-US"/>
        </w:rPr>
        <w:t>5</w:t>
      </w:r>
      <w:r w:rsidR="00662689">
        <w:rPr>
          <w:lang w:val="en-US"/>
        </w:rPr>
        <w:t xml:space="preserve">0 000 consecutive evaluations. </w:t>
      </w:r>
      <w:r>
        <w:rPr>
          <w:lang w:val="en-US"/>
        </w:rPr>
        <w:t xml:space="preserve">Out of the 128 structural alternatives, 36 are found feasible. </w:t>
      </w:r>
      <w:r w:rsidRPr="006D5B68">
        <w:rPr>
          <w:lang w:val="en-US"/>
        </w:rPr>
        <w:t xml:space="preserve">This optimization contains </w:t>
      </w:r>
      <w:r w:rsidR="00260462">
        <w:rPr>
          <w:lang w:val="en-US"/>
        </w:rPr>
        <w:t>52 505</w:t>
      </w:r>
      <w:r w:rsidRPr="006D5B68">
        <w:rPr>
          <w:lang w:val="en-US"/>
        </w:rPr>
        <w:t xml:space="preserve"> feasible points</w:t>
      </w:r>
      <w:r w:rsidR="005D1DB7">
        <w:rPr>
          <w:lang w:val="en-US"/>
        </w:rPr>
        <w:t>,</w:t>
      </w:r>
      <w:r w:rsidRPr="006D5B68">
        <w:rPr>
          <w:lang w:val="en-US"/>
        </w:rPr>
        <w:t xml:space="preserve"> 1</w:t>
      </w:r>
      <w:r w:rsidR="00260462">
        <w:rPr>
          <w:lang w:val="en-US"/>
        </w:rPr>
        <w:t>04 335</w:t>
      </w:r>
      <w:r w:rsidRPr="006D5B68">
        <w:rPr>
          <w:lang w:val="en-US"/>
        </w:rPr>
        <w:t xml:space="preserve"> unfeasible points</w:t>
      </w:r>
      <w:r w:rsidR="005D1DB7">
        <w:rPr>
          <w:lang w:val="en-US"/>
        </w:rPr>
        <w:t xml:space="preserve"> and </w:t>
      </w:r>
      <w:r w:rsidR="005D1DB7" w:rsidRPr="005D1DB7">
        <w:t>24 Pareto points were obtained</w:t>
      </w:r>
      <w:r w:rsidRPr="005D1DB7">
        <w:rPr>
          <w:lang w:val="en-US"/>
        </w:rPr>
        <w:t>.</w:t>
      </w:r>
      <w:r w:rsidR="00815D66">
        <w:rPr>
          <w:lang w:val="en-US"/>
        </w:rPr>
        <w:t xml:space="preserve"> </w:t>
      </w:r>
      <w:r>
        <w:t xml:space="preserve">It is worth recalling that </w:t>
      </w:r>
      <w:r>
        <w:rPr>
          <w:rFonts w:eastAsiaTheme="minorEastAsia"/>
          <w:lang w:val="en-US"/>
        </w:rPr>
        <w:t>the structural options present in the</w:t>
      </w:r>
      <w:r w:rsidR="00A05539">
        <w:rPr>
          <w:rFonts w:eastAsiaTheme="minorEastAsia"/>
          <w:lang w:val="en-US"/>
        </w:rPr>
        <w:t xml:space="preserve"> </w:t>
      </w:r>
      <w:r w:rsidR="00270684">
        <w:rPr>
          <w:rFonts w:eastAsiaTheme="minorEastAsia"/>
          <w:lang w:val="en-US"/>
        </w:rPr>
        <w:t>superstructure were</w:t>
      </w:r>
      <w:r>
        <w:rPr>
          <w:rFonts w:eastAsiaTheme="minorEastAsia"/>
          <w:lang w:val="en-US"/>
        </w:rPr>
        <w:t xml:space="preserve"> represented by 7 binary variables</w:t>
      </w:r>
      <w:r>
        <w:t>. In order to have a better insight of the results, it was decided to create 2 meta-variables (</w:t>
      </w:r>
      <w:proofErr w:type="spellStart"/>
      <w:r>
        <w:t>y</w:t>
      </w:r>
      <w:r w:rsidRPr="003E337A">
        <w:rPr>
          <w:vertAlign w:val="subscript"/>
        </w:rPr>
        <w:t>I</w:t>
      </w:r>
      <w:proofErr w:type="spellEnd"/>
      <w:r>
        <w:t xml:space="preserve"> and </w:t>
      </w:r>
      <w:proofErr w:type="spellStart"/>
      <w:r>
        <w:t>y</w:t>
      </w:r>
      <w:r w:rsidRPr="003E337A">
        <w:rPr>
          <w:vertAlign w:val="subscript"/>
        </w:rPr>
        <w:t>II</w:t>
      </w:r>
      <w:proofErr w:type="spellEnd"/>
      <w:r>
        <w:t xml:space="preserve">). Variable </w:t>
      </w:r>
      <w:proofErr w:type="spellStart"/>
      <w:r>
        <w:t>y</w:t>
      </w:r>
      <w:r w:rsidRPr="003E337A">
        <w:rPr>
          <w:vertAlign w:val="subscript"/>
        </w:rPr>
        <w:t>I</w:t>
      </w:r>
      <w:proofErr w:type="spellEnd"/>
      <w:r>
        <w:t xml:space="preserve"> groups binary variables (y</w:t>
      </w:r>
      <w:r w:rsidRPr="003E337A">
        <w:rPr>
          <w:vertAlign w:val="subscript"/>
        </w:rPr>
        <w:t>rh0</w:t>
      </w:r>
      <w:r>
        <w:t>, y</w:t>
      </w:r>
      <w:r w:rsidRPr="003E337A">
        <w:rPr>
          <w:vertAlign w:val="subscript"/>
        </w:rPr>
        <w:t>bl1</w:t>
      </w:r>
      <w:r>
        <w:t xml:space="preserve"> and y</w:t>
      </w:r>
      <w:r w:rsidRPr="003E337A">
        <w:rPr>
          <w:vertAlign w:val="subscript"/>
        </w:rPr>
        <w:t>bl2</w:t>
      </w:r>
      <w:r>
        <w:t>) and their feasible combinations (</w:t>
      </w:r>
      <w:r>
        <w:fldChar w:fldCharType="begin"/>
      </w:r>
      <w:r>
        <w:instrText xml:space="preserve"> REF _Ref151052157 \h </w:instrText>
      </w:r>
      <w:r>
        <w:fldChar w:fldCharType="separate"/>
      </w:r>
      <w:r w:rsidR="006A4CCB" w:rsidRPr="00ED450E">
        <w:t xml:space="preserve">Table </w:t>
      </w:r>
      <w:r w:rsidR="006A4CCB">
        <w:rPr>
          <w:noProof/>
        </w:rPr>
        <w:t>1</w:t>
      </w:r>
      <w:r>
        <w:fldChar w:fldCharType="end"/>
      </w:r>
      <w:r>
        <w:t xml:space="preserve">), while variable </w:t>
      </w:r>
      <w:proofErr w:type="spellStart"/>
      <w:r>
        <w:t>y</w:t>
      </w:r>
      <w:r w:rsidRPr="00A05539">
        <w:rPr>
          <w:vertAlign w:val="subscript"/>
        </w:rPr>
        <w:t>II</w:t>
      </w:r>
      <w:proofErr w:type="spellEnd"/>
      <w:r>
        <w:t xml:space="preserve"> groups binary variables (y</w:t>
      </w:r>
      <w:r w:rsidRPr="003E337A">
        <w:rPr>
          <w:vertAlign w:val="subscript"/>
        </w:rPr>
        <w:t>rh1</w:t>
      </w:r>
      <w:r>
        <w:t xml:space="preserve"> and y</w:t>
      </w:r>
      <w:r w:rsidRPr="003E337A">
        <w:rPr>
          <w:vertAlign w:val="subscript"/>
        </w:rPr>
        <w:t>rh2</w:t>
      </w:r>
      <w:r>
        <w:t>) (</w:t>
      </w:r>
      <w:r w:rsidR="0010530F">
        <w:fldChar w:fldCharType="begin"/>
      </w:r>
      <w:r w:rsidR="0010530F">
        <w:instrText xml:space="preserve"> REF _Ref152254095 \h </w:instrText>
      </w:r>
      <w:r w:rsidR="0010530F">
        <w:fldChar w:fldCharType="separate"/>
      </w:r>
      <w:r w:rsidR="006A4CCB" w:rsidRPr="00ED450E">
        <w:t xml:space="preserve">Table </w:t>
      </w:r>
      <w:r w:rsidR="006A4CCB">
        <w:rPr>
          <w:noProof/>
        </w:rPr>
        <w:t>2</w:t>
      </w:r>
      <w:r w:rsidR="0010530F">
        <w:fldChar w:fldCharType="end"/>
      </w:r>
      <w:r>
        <w:t>).</w:t>
      </w:r>
    </w:p>
    <w:p w14:paraId="4713AE20" w14:textId="4FDA5644" w:rsidR="00811960" w:rsidRDefault="003E3924" w:rsidP="00146C61">
      <w:pPr>
        <w:ind w:firstLine="284"/>
      </w:pPr>
      <w:r>
        <w:t xml:space="preserve">From </w:t>
      </w:r>
      <w:r w:rsidR="00FA570D">
        <w:fldChar w:fldCharType="begin"/>
      </w:r>
      <w:r w:rsidR="00FA570D">
        <w:instrText xml:space="preserve"> REF _Ref151053236 \h </w:instrText>
      </w:r>
      <w:r w:rsidR="00FA570D">
        <w:fldChar w:fldCharType="separate"/>
      </w:r>
      <w:r w:rsidR="006A4CCB" w:rsidRPr="00001119">
        <w:t xml:space="preserve">Figure </w:t>
      </w:r>
      <w:r w:rsidR="006A4CCB">
        <w:rPr>
          <w:noProof/>
        </w:rPr>
        <w:t>3</w:t>
      </w:r>
      <w:r w:rsidR="00FA570D">
        <w:fldChar w:fldCharType="end"/>
      </w:r>
      <w:r>
        <w:t>,</w:t>
      </w:r>
      <w:r w:rsidR="00FA570D">
        <w:t xml:space="preserve"> it is possible to observe that all the configurations lying on the Pareto front consist of two turbine bleedings, </w:t>
      </w:r>
      <w:r w:rsidR="003E337A">
        <w:t>end-user</w:t>
      </w:r>
      <w:r w:rsidR="00FA570D">
        <w:t xml:space="preserve"> heat supply with the LP bleeding and regeneration. </w:t>
      </w:r>
      <w:r w:rsidR="000C1EB9">
        <w:t xml:space="preserve">Hereafter, such features are called </w:t>
      </w:r>
      <w:r w:rsidR="000C1EB9" w:rsidRPr="000C1EB9">
        <w:rPr>
          <w:i/>
        </w:rPr>
        <w:t>general features</w:t>
      </w:r>
      <w:r w:rsidR="000C1EB9">
        <w:t xml:space="preserve">. </w:t>
      </w:r>
      <w:r w:rsidR="00FA570D">
        <w:t xml:space="preserve">In terms of </w:t>
      </w:r>
      <w:proofErr w:type="spellStart"/>
      <w:r w:rsidR="00FA570D">
        <w:t>y</w:t>
      </w:r>
      <w:r w:rsidR="00FA570D" w:rsidRPr="003E337A">
        <w:rPr>
          <w:vertAlign w:val="subscript"/>
        </w:rPr>
        <w:t>II</w:t>
      </w:r>
      <w:proofErr w:type="spellEnd"/>
      <w:r w:rsidR="00FA570D">
        <w:t xml:space="preserve">, it is possible to distinguish three configurations on the Pareto front. The first zone corresponds to </w:t>
      </w:r>
      <w:proofErr w:type="spellStart"/>
      <w:r w:rsidR="00FA570D">
        <w:t>y</w:t>
      </w:r>
      <w:r w:rsidR="00FA570D" w:rsidRPr="003E337A">
        <w:rPr>
          <w:vertAlign w:val="subscript"/>
        </w:rPr>
        <w:t>II</w:t>
      </w:r>
      <w:proofErr w:type="spellEnd"/>
      <w:r w:rsidR="00FA570D">
        <w:t xml:space="preserve"> = 3, </w:t>
      </w:r>
      <w:r w:rsidR="003D48B5">
        <w:t xml:space="preserve">it corresponds to a configuration with the general features and </w:t>
      </w:r>
      <w:r w:rsidR="000C1EB9">
        <w:t>the</w:t>
      </w:r>
      <w:r w:rsidR="00FA570D">
        <w:t xml:space="preserve"> reheating of the remaining streams exiting splitters </w:t>
      </w:r>
      <w:r w:rsidR="00FA570D" w:rsidRPr="004F0030">
        <w:rPr>
          <w:b/>
        </w:rPr>
        <w:t>Sp1</w:t>
      </w:r>
      <w:r w:rsidR="00FA570D">
        <w:t xml:space="preserve"> and </w:t>
      </w:r>
      <w:r w:rsidR="00FA570D" w:rsidRPr="004F0030">
        <w:rPr>
          <w:b/>
        </w:rPr>
        <w:t>Sp2</w:t>
      </w:r>
      <w:r w:rsidR="00FA570D">
        <w:t xml:space="preserve">. </w:t>
      </w:r>
      <w:r w:rsidR="003C6D3D">
        <w:t>This configuration cluster results in an average PESR and LCOE of 19.5% and 171.8 USD/MWh</w:t>
      </w:r>
      <w:r w:rsidR="00FC042F">
        <w:t xml:space="preserve"> respectively</w:t>
      </w:r>
      <w:r w:rsidR="003C6D3D">
        <w:t>.</w:t>
      </w:r>
      <w:r w:rsidR="00DE36E0">
        <w:t xml:space="preserve"> </w:t>
      </w:r>
      <w:r w:rsidR="00FA570D">
        <w:t>Points lying on the second zone (</w:t>
      </w:r>
      <w:proofErr w:type="spellStart"/>
      <w:r w:rsidR="00FA570D">
        <w:t>y</w:t>
      </w:r>
      <w:r w:rsidR="00FA570D" w:rsidRPr="003E337A">
        <w:rPr>
          <w:vertAlign w:val="subscript"/>
        </w:rPr>
        <w:t>II</w:t>
      </w:r>
      <w:proofErr w:type="spellEnd"/>
      <w:r w:rsidR="00FA570D">
        <w:t xml:space="preserve"> = 2) represent a flowsheet </w:t>
      </w:r>
      <w:r w:rsidR="0035662B">
        <w:t>with the general features and the</w:t>
      </w:r>
      <w:r w:rsidR="00FA570D">
        <w:t xml:space="preserve"> reheating of the remaining stream exiting splitter </w:t>
      </w:r>
      <w:r w:rsidR="00FA570D" w:rsidRPr="00FA1503">
        <w:rPr>
          <w:b/>
        </w:rPr>
        <w:t>Sp1</w:t>
      </w:r>
      <w:r w:rsidR="00FA570D">
        <w:t xml:space="preserve">. </w:t>
      </w:r>
      <w:r w:rsidR="002515A1">
        <w:t xml:space="preserve">This cluster </w:t>
      </w:r>
      <w:r w:rsidR="00C817D4">
        <w:t xml:space="preserve">exhibits a lower average PESR (18.6%) </w:t>
      </w:r>
      <w:r w:rsidR="00F54C2A">
        <w:t xml:space="preserve">and LCOE (168.2 USD/MWh) </w:t>
      </w:r>
      <w:r w:rsidR="00C817D4">
        <w:t>than cluster 1</w:t>
      </w:r>
      <w:r w:rsidR="00F54C2A">
        <w:t xml:space="preserve">. </w:t>
      </w:r>
      <w:r w:rsidR="00FA570D">
        <w:t>Finally, the third zone of the Pareto front (</w:t>
      </w:r>
      <w:proofErr w:type="spellStart"/>
      <w:r w:rsidR="00FA570D">
        <w:t>y</w:t>
      </w:r>
      <w:r w:rsidR="00FA570D" w:rsidRPr="003E337A">
        <w:rPr>
          <w:vertAlign w:val="subscript"/>
        </w:rPr>
        <w:t>II</w:t>
      </w:r>
      <w:proofErr w:type="spellEnd"/>
      <w:r w:rsidR="00FA570D">
        <w:t xml:space="preserve"> = 0) corresponds to a configuration with </w:t>
      </w:r>
      <w:r w:rsidR="00FA1503">
        <w:t xml:space="preserve">the general features and </w:t>
      </w:r>
      <w:r w:rsidR="00FA570D">
        <w:t>no reheat at all.</w:t>
      </w:r>
      <w:r w:rsidR="00092801">
        <w:t xml:space="preserve"> </w:t>
      </w:r>
      <w:r w:rsidR="000B6DAC">
        <w:t>Such a cluster exhibits the lowest average PESR (1</w:t>
      </w:r>
      <w:r w:rsidR="00260877">
        <w:t>6</w:t>
      </w:r>
      <w:r w:rsidR="000B6DAC">
        <w:t>.</w:t>
      </w:r>
      <w:r w:rsidR="00260877">
        <w:t>9</w:t>
      </w:r>
      <w:r w:rsidR="000B6DAC">
        <w:t xml:space="preserve">%) and LCOE </w:t>
      </w:r>
      <w:r w:rsidR="000B6DAC">
        <w:lastRenderedPageBreak/>
        <w:t>(1</w:t>
      </w:r>
      <w:r w:rsidR="00FA33A4">
        <w:t>64</w:t>
      </w:r>
      <w:r w:rsidR="000B6DAC">
        <w:t>.</w:t>
      </w:r>
      <w:r w:rsidR="00FA33A4">
        <w:t>6</w:t>
      </w:r>
      <w:r w:rsidR="000B6DAC">
        <w:t xml:space="preserve"> USD/MWh)</w:t>
      </w:r>
      <w:r w:rsidR="00AB5193">
        <w:t>.</w:t>
      </w:r>
      <w:r w:rsidR="00F05A62">
        <w:t xml:space="preserve"> </w:t>
      </w:r>
      <w:r w:rsidR="006619A9">
        <w:t>In terms of working fluids</w:t>
      </w:r>
      <w:r w:rsidR="00236406">
        <w:t xml:space="preserve"> (</w:t>
      </w:r>
      <w:r w:rsidR="00236406">
        <w:fldChar w:fldCharType="begin"/>
      </w:r>
      <w:r w:rsidR="00236406">
        <w:instrText xml:space="preserve"> REF _Ref151053236 \h </w:instrText>
      </w:r>
      <w:r w:rsidR="00236406">
        <w:fldChar w:fldCharType="separate"/>
      </w:r>
      <w:r w:rsidR="00236406" w:rsidRPr="00001119">
        <w:t xml:space="preserve">Figure </w:t>
      </w:r>
      <w:r w:rsidR="00236406">
        <w:rPr>
          <w:noProof/>
        </w:rPr>
        <w:t>3</w:t>
      </w:r>
      <w:r w:rsidR="00236406">
        <w:fldChar w:fldCharType="end"/>
      </w:r>
      <w:r w:rsidR="00236406">
        <w:t>.</w:t>
      </w:r>
      <w:r w:rsidR="00AA374E">
        <w:t>e</w:t>
      </w:r>
      <w:r w:rsidR="00236406">
        <w:t>)</w:t>
      </w:r>
      <w:r w:rsidR="006619A9">
        <w:t xml:space="preserve">, </w:t>
      </w:r>
      <w:r w:rsidR="007825A1">
        <w:t xml:space="preserve">only three molecules passed all the filters: </w:t>
      </w:r>
      <w:r w:rsidR="00072EAA">
        <w:t>1) 1,2-difluoroethane</w:t>
      </w:r>
      <w:r w:rsidR="00242EBC">
        <w:t xml:space="preserve"> (</w:t>
      </w:r>
      <w:r w:rsidR="00242EBC">
        <w:t>HFC-152</w:t>
      </w:r>
      <w:r w:rsidR="00242EBC">
        <w:t>)</w:t>
      </w:r>
      <w:r w:rsidR="00072EAA">
        <w:t xml:space="preserve">, 2) neopentane and 3) </w:t>
      </w:r>
      <w:r w:rsidR="00072EAA" w:rsidRPr="00072EAA">
        <w:t>(E)-1-chloro-3,3,3-trifluoro-1-propene</w:t>
      </w:r>
      <w:r w:rsidR="00242EBC">
        <w:t xml:space="preserve"> (</w:t>
      </w:r>
      <w:r w:rsidR="00242EBC">
        <w:t>HCFO-1233zd(E)</w:t>
      </w:r>
      <w:r w:rsidR="00242EBC">
        <w:t>)</w:t>
      </w:r>
      <w:r w:rsidR="00072EAA">
        <w:t xml:space="preserve">. </w:t>
      </w:r>
      <w:r w:rsidR="00146C61">
        <w:fldChar w:fldCharType="begin"/>
      </w:r>
      <w:r w:rsidR="00146C61">
        <w:instrText xml:space="preserve"> REF _Ref151053236 \h </w:instrText>
      </w:r>
      <w:r w:rsidR="00146C61">
        <w:fldChar w:fldCharType="separate"/>
      </w:r>
      <w:r w:rsidR="006A4CCB" w:rsidRPr="00001119">
        <w:t xml:space="preserve">Figure </w:t>
      </w:r>
      <w:r w:rsidR="006A4CCB">
        <w:rPr>
          <w:noProof/>
        </w:rPr>
        <w:t>3</w:t>
      </w:r>
      <w:r w:rsidR="00146C61">
        <w:fldChar w:fldCharType="end"/>
      </w:r>
      <w:r w:rsidR="00146C61">
        <w:t>.</w:t>
      </w:r>
      <w:r w:rsidR="00AA374E">
        <w:t>e</w:t>
      </w:r>
      <w:r w:rsidR="00146C61">
        <w:t xml:space="preserve"> shows that </w:t>
      </w:r>
      <w:r w:rsidR="006619A9">
        <w:t>HFC-152</w:t>
      </w:r>
      <w:r w:rsidR="007825A1">
        <w:t xml:space="preserve"> </w:t>
      </w:r>
      <w:r w:rsidR="006619A9">
        <w:t>is used with configuration 1, while HCFO-1233zd(E)</w:t>
      </w:r>
      <w:r w:rsidR="007825A1">
        <w:t xml:space="preserve"> </w:t>
      </w:r>
      <w:r w:rsidR="006619A9">
        <w:t>is the best match for configurations 2 and 3.</w:t>
      </w:r>
    </w:p>
    <w:p w14:paraId="694ED7A2" w14:textId="77777777" w:rsidR="003E734D" w:rsidRDefault="003E734D" w:rsidP="00006FB3">
      <w:pPr>
        <w:rPr>
          <w:lang w:val="en-US"/>
        </w:rPr>
        <w:sectPr w:rsidR="003E734D" w:rsidSect="008B0184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2377" w:right="2410" w:bottom="2892" w:left="2410" w:header="1701" w:footer="2892" w:gutter="0"/>
          <w:cols w:space="720" w:equalWidth="0">
            <w:col w:w="7087"/>
          </w:cols>
          <w:titlePg/>
          <w:docGrid w:linePitch="272"/>
        </w:sectPr>
      </w:pPr>
    </w:p>
    <w:p w14:paraId="2C033197" w14:textId="3237F5A9" w:rsidR="00C54E5E" w:rsidRPr="00ED450E" w:rsidRDefault="00C54E5E" w:rsidP="00952F09">
      <w:pPr>
        <w:pStyle w:val="Lgende"/>
        <w:spacing w:after="0"/>
      </w:pPr>
      <w:bookmarkStart w:id="3" w:name="_Ref151052157"/>
      <w:r w:rsidRPr="00ED450E">
        <w:t xml:space="preserve">Table </w:t>
      </w:r>
      <w:r>
        <w:fldChar w:fldCharType="begin"/>
      </w:r>
      <w:r w:rsidRPr="00ED450E">
        <w:instrText xml:space="preserve"> SEQ Table \* ARABIC </w:instrText>
      </w:r>
      <w:r>
        <w:fldChar w:fldCharType="separate"/>
      </w:r>
      <w:r w:rsidR="006A4CCB">
        <w:rPr>
          <w:noProof/>
        </w:rPr>
        <w:t>1</w:t>
      </w:r>
      <w:r>
        <w:fldChar w:fldCharType="end"/>
      </w:r>
      <w:bookmarkEnd w:id="3"/>
      <w:r w:rsidRPr="00ED450E">
        <w:t xml:space="preserve">. Definition of variable </w:t>
      </w:r>
      <w:proofErr w:type="spellStart"/>
      <w:r w:rsidRPr="00ED450E">
        <w:t>y</w:t>
      </w:r>
      <w:r w:rsidRPr="00ED450E">
        <w:rPr>
          <w:vertAlign w:val="subscript"/>
        </w:rPr>
        <w:t>I</w:t>
      </w:r>
      <w:proofErr w:type="spellEnd"/>
      <w: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717"/>
        <w:gridCol w:w="718"/>
        <w:gridCol w:w="718"/>
      </w:tblGrid>
      <w:tr w:rsidR="00C54E5E" w:rsidRPr="000E2884" w14:paraId="5664BC93" w14:textId="77777777" w:rsidTr="00C61158">
        <w:trPr>
          <w:trHeight w:val="208"/>
          <w:jc w:val="center"/>
        </w:trPr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92295A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proofErr w:type="spellStart"/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y</w:t>
            </w:r>
            <w:r w:rsidRPr="00C1598A">
              <w:rPr>
                <w:b/>
                <w:color w:val="000000"/>
                <w:sz w:val="16"/>
                <w:szCs w:val="18"/>
                <w:vertAlign w:val="subscript"/>
                <w:lang w:eastAsia="fr-FR"/>
              </w:rPr>
              <w:t>I</w:t>
            </w:r>
            <w:proofErr w:type="spellEnd"/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491DB7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y</w:t>
            </w:r>
            <w:r w:rsidRPr="00C1598A">
              <w:rPr>
                <w:b/>
                <w:color w:val="000000"/>
                <w:sz w:val="16"/>
                <w:szCs w:val="18"/>
                <w:vertAlign w:val="subscript"/>
                <w:lang w:eastAsia="fr-FR"/>
              </w:rPr>
              <w:t>rh,0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5BBEA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y</w:t>
            </w:r>
            <w:r w:rsidRPr="00C1598A">
              <w:rPr>
                <w:b/>
                <w:color w:val="000000"/>
                <w:sz w:val="16"/>
                <w:szCs w:val="18"/>
                <w:vertAlign w:val="subscript"/>
                <w:lang w:eastAsia="fr-FR"/>
              </w:rPr>
              <w:t>bl,1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06CFF5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y</w:t>
            </w:r>
            <w:r w:rsidRPr="00C1598A">
              <w:rPr>
                <w:b/>
                <w:color w:val="000000"/>
                <w:sz w:val="16"/>
                <w:szCs w:val="18"/>
                <w:vertAlign w:val="subscript"/>
                <w:lang w:eastAsia="fr-FR"/>
              </w:rPr>
              <w:t>bl,2</w:t>
            </w:r>
          </w:p>
        </w:tc>
      </w:tr>
      <w:tr w:rsidR="00C54E5E" w:rsidRPr="000E2884" w14:paraId="5E888A0C" w14:textId="77777777" w:rsidTr="00C61158">
        <w:trPr>
          <w:trHeight w:val="125"/>
          <w:jc w:val="center"/>
        </w:trPr>
        <w:tc>
          <w:tcPr>
            <w:tcW w:w="717" w:type="dxa"/>
            <w:tcBorders>
              <w:top w:val="single" w:sz="4" w:space="0" w:color="auto"/>
            </w:tcBorders>
            <w:vAlign w:val="bottom"/>
          </w:tcPr>
          <w:p w14:paraId="71A333AF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</w:tcBorders>
            <w:vAlign w:val="bottom"/>
          </w:tcPr>
          <w:p w14:paraId="1D02AA13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</w:tcBorders>
            <w:vAlign w:val="bottom"/>
          </w:tcPr>
          <w:p w14:paraId="0A436B27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</w:tcBorders>
            <w:vAlign w:val="bottom"/>
          </w:tcPr>
          <w:p w14:paraId="57727F3F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</w:tr>
      <w:tr w:rsidR="00C54E5E" w:rsidRPr="000E2884" w14:paraId="47A8ECD6" w14:textId="77777777" w:rsidTr="00C61158">
        <w:trPr>
          <w:trHeight w:val="142"/>
          <w:jc w:val="center"/>
        </w:trPr>
        <w:tc>
          <w:tcPr>
            <w:tcW w:w="717" w:type="dxa"/>
            <w:vAlign w:val="bottom"/>
          </w:tcPr>
          <w:p w14:paraId="3724D95C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7" w:type="dxa"/>
            <w:vAlign w:val="bottom"/>
          </w:tcPr>
          <w:p w14:paraId="1BB36096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8" w:type="dxa"/>
            <w:vAlign w:val="bottom"/>
          </w:tcPr>
          <w:p w14:paraId="4B8D1CE1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8" w:type="dxa"/>
            <w:vAlign w:val="bottom"/>
          </w:tcPr>
          <w:p w14:paraId="7F99BB07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</w:tr>
      <w:tr w:rsidR="00C54E5E" w:rsidRPr="000E2884" w14:paraId="21014673" w14:textId="77777777" w:rsidTr="00C61158">
        <w:trPr>
          <w:trHeight w:val="202"/>
          <w:jc w:val="center"/>
        </w:trPr>
        <w:tc>
          <w:tcPr>
            <w:tcW w:w="717" w:type="dxa"/>
            <w:vAlign w:val="bottom"/>
          </w:tcPr>
          <w:p w14:paraId="369299CC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2</w:t>
            </w:r>
          </w:p>
        </w:tc>
        <w:tc>
          <w:tcPr>
            <w:tcW w:w="717" w:type="dxa"/>
            <w:vAlign w:val="bottom"/>
          </w:tcPr>
          <w:p w14:paraId="3122E899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8" w:type="dxa"/>
            <w:vAlign w:val="bottom"/>
          </w:tcPr>
          <w:p w14:paraId="234205FB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8" w:type="dxa"/>
            <w:vAlign w:val="bottom"/>
          </w:tcPr>
          <w:p w14:paraId="36EC4434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</w:tr>
      <w:tr w:rsidR="00C54E5E" w:rsidRPr="000E2884" w14:paraId="3166A8F5" w14:textId="77777777" w:rsidTr="00C61158">
        <w:trPr>
          <w:trHeight w:val="135"/>
          <w:jc w:val="center"/>
        </w:trPr>
        <w:tc>
          <w:tcPr>
            <w:tcW w:w="717" w:type="dxa"/>
            <w:vAlign w:val="bottom"/>
          </w:tcPr>
          <w:p w14:paraId="48F86F29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3</w:t>
            </w:r>
          </w:p>
        </w:tc>
        <w:tc>
          <w:tcPr>
            <w:tcW w:w="717" w:type="dxa"/>
            <w:vAlign w:val="bottom"/>
          </w:tcPr>
          <w:p w14:paraId="7DCD595F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8" w:type="dxa"/>
            <w:vAlign w:val="bottom"/>
          </w:tcPr>
          <w:p w14:paraId="49EA9DC7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8" w:type="dxa"/>
            <w:vAlign w:val="bottom"/>
          </w:tcPr>
          <w:p w14:paraId="48B3B655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</w:tr>
      <w:tr w:rsidR="00C54E5E" w:rsidRPr="000E2884" w14:paraId="2C815B0A" w14:textId="77777777" w:rsidTr="00C61158">
        <w:trPr>
          <w:trHeight w:val="194"/>
          <w:jc w:val="center"/>
        </w:trPr>
        <w:tc>
          <w:tcPr>
            <w:tcW w:w="717" w:type="dxa"/>
            <w:tcBorders>
              <w:bottom w:val="single" w:sz="4" w:space="0" w:color="auto"/>
            </w:tcBorders>
            <w:vAlign w:val="bottom"/>
          </w:tcPr>
          <w:p w14:paraId="4A6C7CD2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b/>
                <w:color w:val="000000"/>
                <w:sz w:val="16"/>
                <w:szCs w:val="18"/>
                <w:lang w:eastAsia="fr-FR"/>
              </w:rPr>
              <w:t>4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bottom"/>
          </w:tcPr>
          <w:p w14:paraId="3EFD5882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bottom"/>
          </w:tcPr>
          <w:p w14:paraId="1839535D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bottom"/>
          </w:tcPr>
          <w:p w14:paraId="6A3FCBFB" w14:textId="77777777" w:rsidR="00C54E5E" w:rsidRPr="00C1598A" w:rsidRDefault="00C54E5E" w:rsidP="004476CF">
            <w:pPr>
              <w:jc w:val="center"/>
              <w:rPr>
                <w:sz w:val="16"/>
                <w:szCs w:val="18"/>
              </w:rPr>
            </w:pPr>
            <w:r w:rsidRPr="00C1598A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</w:tr>
    </w:tbl>
    <w:p w14:paraId="29A3EF15" w14:textId="77777777" w:rsidR="00C61158" w:rsidRDefault="00C61158" w:rsidP="00C61158">
      <w:bookmarkStart w:id="4" w:name="_Ref151052167"/>
    </w:p>
    <w:p w14:paraId="6484BB92" w14:textId="0B13AB36" w:rsidR="00C54E5E" w:rsidRPr="00ED450E" w:rsidRDefault="00C54E5E" w:rsidP="00952F09">
      <w:pPr>
        <w:pStyle w:val="Lgende"/>
        <w:spacing w:after="0"/>
      </w:pPr>
      <w:bookmarkStart w:id="5" w:name="_Ref152254095"/>
      <w:r w:rsidRPr="00ED450E">
        <w:t xml:space="preserve">Table </w:t>
      </w:r>
      <w:r>
        <w:fldChar w:fldCharType="begin"/>
      </w:r>
      <w:r w:rsidRPr="00ED450E">
        <w:instrText xml:space="preserve"> SEQ Table \* ARABIC </w:instrText>
      </w:r>
      <w:r>
        <w:fldChar w:fldCharType="separate"/>
      </w:r>
      <w:r w:rsidR="006A4CCB">
        <w:rPr>
          <w:noProof/>
        </w:rPr>
        <w:t>2</w:t>
      </w:r>
      <w:r>
        <w:fldChar w:fldCharType="end"/>
      </w:r>
      <w:bookmarkEnd w:id="4"/>
      <w:bookmarkEnd w:id="5"/>
      <w:r w:rsidRPr="00ED450E">
        <w:t xml:space="preserve">. Definition of variable </w:t>
      </w:r>
      <w:proofErr w:type="spellStart"/>
      <w:r w:rsidRPr="00ED450E">
        <w:t>y</w:t>
      </w:r>
      <w:r w:rsidRPr="00ED450E">
        <w:rPr>
          <w:vertAlign w:val="subscript"/>
        </w:rPr>
        <w:t>I</w:t>
      </w:r>
      <w:r>
        <w:rPr>
          <w:vertAlign w:val="subscript"/>
        </w:rPr>
        <w:t>I</w:t>
      </w:r>
      <w:proofErr w:type="spellEnd"/>
      <w: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714"/>
        <w:gridCol w:w="714"/>
      </w:tblGrid>
      <w:tr w:rsidR="00C54E5E" w:rsidRPr="000E2884" w14:paraId="5ECB4B56" w14:textId="77777777" w:rsidTr="00C61158">
        <w:trPr>
          <w:trHeight w:val="200"/>
          <w:jc w:val="center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CBDF5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proofErr w:type="spellStart"/>
            <w:r w:rsidRPr="002922D9">
              <w:rPr>
                <w:b/>
                <w:color w:val="000000"/>
                <w:sz w:val="16"/>
                <w:szCs w:val="18"/>
                <w:lang w:eastAsia="fr-FR"/>
              </w:rPr>
              <w:t>y</w:t>
            </w:r>
            <w:r w:rsidRPr="002922D9">
              <w:rPr>
                <w:b/>
                <w:color w:val="000000"/>
                <w:sz w:val="16"/>
                <w:szCs w:val="18"/>
                <w:vertAlign w:val="subscript"/>
                <w:lang w:eastAsia="fr-FR"/>
              </w:rPr>
              <w:t>II</w:t>
            </w:r>
            <w:proofErr w:type="spellEnd"/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B04BC1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b/>
                <w:color w:val="000000"/>
                <w:sz w:val="16"/>
                <w:szCs w:val="18"/>
                <w:lang w:eastAsia="fr-FR"/>
              </w:rPr>
              <w:t>y</w:t>
            </w:r>
            <w:r w:rsidRPr="002922D9">
              <w:rPr>
                <w:b/>
                <w:color w:val="000000"/>
                <w:sz w:val="16"/>
                <w:szCs w:val="18"/>
                <w:vertAlign w:val="subscript"/>
                <w:lang w:eastAsia="fr-FR"/>
              </w:rPr>
              <w:t>rh,1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56E63B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b/>
                <w:color w:val="000000"/>
                <w:sz w:val="16"/>
                <w:szCs w:val="18"/>
                <w:lang w:eastAsia="fr-FR"/>
              </w:rPr>
              <w:t>y</w:t>
            </w:r>
            <w:r w:rsidRPr="002922D9">
              <w:rPr>
                <w:b/>
                <w:color w:val="000000"/>
                <w:sz w:val="16"/>
                <w:szCs w:val="18"/>
                <w:vertAlign w:val="subscript"/>
                <w:lang w:eastAsia="fr-FR"/>
              </w:rPr>
              <w:t>rh,2</w:t>
            </w:r>
          </w:p>
        </w:tc>
      </w:tr>
      <w:tr w:rsidR="00C54E5E" w:rsidRPr="000E2884" w14:paraId="119F9342" w14:textId="77777777" w:rsidTr="00C61158">
        <w:trPr>
          <w:trHeight w:val="125"/>
          <w:jc w:val="center"/>
        </w:trPr>
        <w:tc>
          <w:tcPr>
            <w:tcW w:w="714" w:type="dxa"/>
            <w:tcBorders>
              <w:top w:val="single" w:sz="4" w:space="0" w:color="auto"/>
            </w:tcBorders>
            <w:vAlign w:val="bottom"/>
          </w:tcPr>
          <w:p w14:paraId="3815FD48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b/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</w:tcBorders>
            <w:vAlign w:val="bottom"/>
          </w:tcPr>
          <w:p w14:paraId="3EA2813B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4" w:type="dxa"/>
            <w:tcBorders>
              <w:top w:val="single" w:sz="4" w:space="0" w:color="auto"/>
            </w:tcBorders>
            <w:vAlign w:val="bottom"/>
          </w:tcPr>
          <w:p w14:paraId="7B44989C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</w:tr>
      <w:tr w:rsidR="00C54E5E" w:rsidRPr="000E2884" w14:paraId="550324E6" w14:textId="77777777" w:rsidTr="00C61158">
        <w:trPr>
          <w:trHeight w:val="142"/>
          <w:jc w:val="center"/>
        </w:trPr>
        <w:tc>
          <w:tcPr>
            <w:tcW w:w="714" w:type="dxa"/>
            <w:vAlign w:val="bottom"/>
          </w:tcPr>
          <w:p w14:paraId="31E104BF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b/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4" w:type="dxa"/>
            <w:vAlign w:val="bottom"/>
          </w:tcPr>
          <w:p w14:paraId="207FEEF4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  <w:tc>
          <w:tcPr>
            <w:tcW w:w="714" w:type="dxa"/>
            <w:vAlign w:val="bottom"/>
          </w:tcPr>
          <w:p w14:paraId="66FEB8C4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</w:tr>
      <w:tr w:rsidR="00C54E5E" w:rsidRPr="000E2884" w14:paraId="4F155647" w14:textId="77777777" w:rsidTr="00C61158">
        <w:trPr>
          <w:trHeight w:val="116"/>
          <w:jc w:val="center"/>
        </w:trPr>
        <w:tc>
          <w:tcPr>
            <w:tcW w:w="714" w:type="dxa"/>
            <w:vAlign w:val="bottom"/>
          </w:tcPr>
          <w:p w14:paraId="74AB6265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b/>
                <w:color w:val="000000"/>
                <w:sz w:val="16"/>
                <w:szCs w:val="18"/>
                <w:lang w:eastAsia="fr-FR"/>
              </w:rPr>
              <w:t>2</w:t>
            </w:r>
          </w:p>
        </w:tc>
        <w:tc>
          <w:tcPr>
            <w:tcW w:w="714" w:type="dxa"/>
            <w:vAlign w:val="bottom"/>
          </w:tcPr>
          <w:p w14:paraId="6DEAAA89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4" w:type="dxa"/>
            <w:vAlign w:val="bottom"/>
          </w:tcPr>
          <w:p w14:paraId="5E9D2EB2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0</w:t>
            </w:r>
          </w:p>
        </w:tc>
      </w:tr>
      <w:tr w:rsidR="00C54E5E" w:rsidRPr="000E2884" w14:paraId="0CC40D7E" w14:textId="77777777" w:rsidTr="00C61158">
        <w:trPr>
          <w:trHeight w:val="191"/>
          <w:jc w:val="center"/>
        </w:trPr>
        <w:tc>
          <w:tcPr>
            <w:tcW w:w="714" w:type="dxa"/>
            <w:tcBorders>
              <w:bottom w:val="single" w:sz="4" w:space="0" w:color="auto"/>
            </w:tcBorders>
            <w:vAlign w:val="bottom"/>
          </w:tcPr>
          <w:p w14:paraId="009BC60D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b/>
                <w:color w:val="000000"/>
                <w:sz w:val="16"/>
                <w:szCs w:val="18"/>
                <w:lang w:eastAsia="fr-FR"/>
              </w:rPr>
              <w:t>3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bottom"/>
          </w:tcPr>
          <w:p w14:paraId="7309958B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bottom"/>
          </w:tcPr>
          <w:p w14:paraId="51BAF7DF" w14:textId="77777777" w:rsidR="00C54E5E" w:rsidRPr="002922D9" w:rsidRDefault="00C54E5E" w:rsidP="004476CF">
            <w:pPr>
              <w:jc w:val="center"/>
              <w:rPr>
                <w:sz w:val="16"/>
                <w:szCs w:val="18"/>
              </w:rPr>
            </w:pPr>
            <w:r w:rsidRPr="002922D9">
              <w:rPr>
                <w:color w:val="000000"/>
                <w:sz w:val="16"/>
                <w:szCs w:val="18"/>
                <w:lang w:eastAsia="fr-FR"/>
              </w:rPr>
              <w:t>1</w:t>
            </w:r>
          </w:p>
        </w:tc>
      </w:tr>
    </w:tbl>
    <w:p w14:paraId="06EA5F25" w14:textId="77777777" w:rsidR="00596D06" w:rsidRPr="00DF45BA" w:rsidRDefault="00596D06" w:rsidP="00006FB3">
      <w:pPr>
        <w:rPr>
          <w:lang w:val="en-US"/>
        </w:rPr>
      </w:pPr>
    </w:p>
    <w:p w14:paraId="68279704" w14:textId="77777777" w:rsidR="00596D06" w:rsidRDefault="00596D06" w:rsidP="00006FB3">
      <w:pPr>
        <w:sectPr w:rsidR="00596D06" w:rsidSect="00C54E5E">
          <w:type w:val="continuous"/>
          <w:pgSz w:w="11906" w:h="16838" w:code="9"/>
          <w:pgMar w:top="2377" w:right="2410" w:bottom="2892" w:left="2410" w:header="1701" w:footer="2892" w:gutter="0"/>
          <w:cols w:num="2" w:space="720"/>
          <w:titlePg/>
          <w:docGrid w:linePitch="272"/>
        </w:sectPr>
      </w:pPr>
    </w:p>
    <w:p w14:paraId="25B4AF0F" w14:textId="77777777" w:rsidR="00945E65" w:rsidRDefault="00945E65" w:rsidP="00945E65">
      <w:pPr>
        <w:jc w:val="center"/>
      </w:pPr>
      <w:r w:rsidRPr="0004412D">
        <w:rPr>
          <w:noProof/>
        </w:rPr>
        <w:drawing>
          <wp:inline distT="0" distB="0" distL="0" distR="0" wp14:anchorId="3C4F3C18" wp14:editId="2B48BE63">
            <wp:extent cx="2943409" cy="15120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09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9EA7" w14:textId="77777777" w:rsidR="00945E65" w:rsidRDefault="00945E65" w:rsidP="00945E65">
      <w:pPr>
        <w:pStyle w:val="Lgende"/>
        <w:spacing w:before="0"/>
      </w:pPr>
      <w:bookmarkStart w:id="6" w:name="_Ref151053236"/>
      <w:r w:rsidRPr="00001119">
        <w:t xml:space="preserve">Figure </w:t>
      </w:r>
      <w:r>
        <w:fldChar w:fldCharType="begin"/>
      </w:r>
      <w:r w:rsidRPr="00001119"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6"/>
      <w:r w:rsidRPr="00001119">
        <w:t xml:space="preserve">. </w:t>
      </w:r>
      <w:r w:rsidRPr="005C6598">
        <w:t>Trade-off figure</w:t>
      </w:r>
      <w:r>
        <w:t>s</w:t>
      </w:r>
      <w:r w:rsidRPr="005C6598">
        <w:t xml:space="preserve"> b</w:t>
      </w:r>
      <w:r>
        <w:t xml:space="preserve">etween LCOE and PESR as a function of meta-variables </w:t>
      </w:r>
      <w:proofErr w:type="spellStart"/>
      <w:r>
        <w:t>y</w:t>
      </w:r>
      <w:r w:rsidRPr="00001119">
        <w:rPr>
          <w:vertAlign w:val="subscript"/>
        </w:rPr>
        <w:t>I</w:t>
      </w:r>
      <w:proofErr w:type="spellEnd"/>
      <w:r>
        <w:t xml:space="preserve">, </w:t>
      </w:r>
      <w:proofErr w:type="spellStart"/>
      <w:r>
        <w:t>y</w:t>
      </w:r>
      <w:r w:rsidRPr="00001119">
        <w:rPr>
          <w:vertAlign w:val="subscript"/>
        </w:rPr>
        <w:t>II</w:t>
      </w:r>
      <w:proofErr w:type="spellEnd"/>
      <w:r>
        <w:t xml:space="preserve">, binary variables </w:t>
      </w:r>
      <w:proofErr w:type="spellStart"/>
      <w:r>
        <w:t>y</w:t>
      </w:r>
      <w:r w:rsidRPr="00001119">
        <w:rPr>
          <w:vertAlign w:val="subscript"/>
        </w:rPr>
        <w:t>b+h</w:t>
      </w:r>
      <w:proofErr w:type="spellEnd"/>
      <w:r>
        <w:t xml:space="preserve"> and </w:t>
      </w:r>
      <w:proofErr w:type="spellStart"/>
      <w:r>
        <w:t>y</w:t>
      </w:r>
      <w:r w:rsidRPr="00001119">
        <w:rPr>
          <w:vertAlign w:val="subscript"/>
        </w:rPr>
        <w:t>reg</w:t>
      </w:r>
      <w:proofErr w:type="spellEnd"/>
      <w:r>
        <w:t>, and the working fluid integer variable (w).</w:t>
      </w:r>
    </w:p>
    <w:p w14:paraId="74B98FE1" w14:textId="25AE279C" w:rsidR="005B2428" w:rsidRPr="003F5E9F" w:rsidRDefault="005B2428" w:rsidP="005B2428">
      <w:pPr>
        <w:pStyle w:val="Els-1storder-head"/>
        <w:spacing w:after="120"/>
        <w:rPr>
          <w:b w:val="0"/>
          <w:lang w:val="en-GB"/>
        </w:rPr>
      </w:pPr>
      <w:r>
        <w:rPr>
          <w:lang w:val="en-GB"/>
        </w:rPr>
        <w:t>6</w:t>
      </w:r>
      <w:r w:rsidRPr="003F5E9F">
        <w:rPr>
          <w:lang w:val="en-GB"/>
        </w:rPr>
        <w:t>. Conclusions</w:t>
      </w:r>
    </w:p>
    <w:p w14:paraId="0DD197FD" w14:textId="77777777" w:rsidR="005B2428" w:rsidRDefault="005B2428" w:rsidP="005B2428">
      <w:pPr>
        <w:pStyle w:val="Els-body-text"/>
        <w:spacing w:after="120"/>
      </w:pPr>
      <w:r w:rsidRPr="00B84A29">
        <w:rPr>
          <w:lang w:val="en-GB"/>
        </w:rPr>
        <w:t>In the present work, a product-</w:t>
      </w:r>
      <w:r>
        <w:rPr>
          <w:lang w:val="en-GB"/>
        </w:rPr>
        <w:t xml:space="preserve">and process-design </w:t>
      </w:r>
      <w:r w:rsidRPr="00B84A29">
        <w:rPr>
          <w:lang w:val="en-GB"/>
        </w:rPr>
        <w:t>approach for the selection of suitable working fluids</w:t>
      </w:r>
      <w:r>
        <w:rPr>
          <w:lang w:val="en-GB"/>
        </w:rPr>
        <w:t xml:space="preserve"> and flowsheet configuration</w:t>
      </w:r>
      <w:r w:rsidRPr="00B84A29">
        <w:rPr>
          <w:lang w:val="en-GB"/>
        </w:rPr>
        <w:t xml:space="preserve"> for novel Combined Heating and Power applications has been presented. </w:t>
      </w:r>
      <w:r>
        <w:rPr>
          <w:lang w:val="en-GB"/>
        </w:rPr>
        <w:t>Integrated design of the CHP system enabled to identify two promising working fluids (</w:t>
      </w:r>
      <w:r>
        <w:t xml:space="preserve">HFC-152 and HCFO-1233zd(E)), and </w:t>
      </w:r>
      <w:r>
        <w:rPr>
          <w:lang w:val="en-GB"/>
        </w:rPr>
        <w:t xml:space="preserve">three process structures highlighting that optimal configurations consist of </w:t>
      </w:r>
      <w:r>
        <w:t>turbine bleedings with heating supply, and regeneration.</w:t>
      </w:r>
    </w:p>
    <w:p w14:paraId="1222F836" w14:textId="3C573491" w:rsidR="003F5E9F" w:rsidRDefault="003F5E9F" w:rsidP="0093757C">
      <w:pPr>
        <w:pStyle w:val="Els-1storder-head"/>
        <w:spacing w:after="120"/>
        <w:rPr>
          <w:b w:val="0"/>
          <w:lang w:val="en-GB"/>
        </w:rPr>
      </w:pPr>
      <w:r w:rsidRPr="003F5E9F">
        <w:rPr>
          <w:lang w:val="en-GB"/>
        </w:rPr>
        <w:t>References</w:t>
      </w:r>
    </w:p>
    <w:p w14:paraId="71D69AC4" w14:textId="2B0AD2E7" w:rsidR="00C52303" w:rsidRPr="00AE1C5D" w:rsidRDefault="00AE1C5D" w:rsidP="003F118D">
      <w:pPr>
        <w:pStyle w:val="Bibliographie"/>
        <w:spacing w:line="240" w:lineRule="auto"/>
        <w:ind w:left="284" w:hanging="284"/>
        <w:rPr>
          <w:sz w:val="18"/>
        </w:rPr>
      </w:pPr>
      <w:r w:rsidRPr="00AE1C5D">
        <w:rPr>
          <w:sz w:val="18"/>
        </w:rPr>
        <w:t xml:space="preserve">S. </w:t>
      </w:r>
      <w:proofErr w:type="spellStart"/>
      <w:r w:rsidR="00C52303" w:rsidRPr="00AE1C5D">
        <w:rPr>
          <w:sz w:val="18"/>
        </w:rPr>
        <w:t>Briola</w:t>
      </w:r>
      <w:proofErr w:type="spellEnd"/>
      <w:r w:rsidR="00C52303" w:rsidRPr="00AE1C5D">
        <w:rPr>
          <w:sz w:val="18"/>
        </w:rPr>
        <w:t>,</w:t>
      </w:r>
      <w:r w:rsidR="00697870">
        <w:rPr>
          <w:sz w:val="18"/>
        </w:rPr>
        <w:t xml:space="preserve"> </w:t>
      </w:r>
      <w:r w:rsidR="00C52303" w:rsidRPr="00AE1C5D">
        <w:rPr>
          <w:sz w:val="18"/>
        </w:rPr>
        <w:t>2017</w:t>
      </w:r>
      <w:r w:rsidR="00697870">
        <w:rPr>
          <w:sz w:val="18"/>
        </w:rPr>
        <w:t>,</w:t>
      </w:r>
      <w:r w:rsidR="00C52303" w:rsidRPr="00AE1C5D">
        <w:rPr>
          <w:sz w:val="18"/>
        </w:rPr>
        <w:t xml:space="preserve"> Plant and method for the supply of electric power and/or mechanical power, heating power and/or cooling power (World Intellectual Property Organization WO2017158511A1). </w:t>
      </w:r>
    </w:p>
    <w:p w14:paraId="50FC3F1F" w14:textId="500740FD" w:rsidR="00C52303" w:rsidRPr="00AE1C5D" w:rsidRDefault="00697870" w:rsidP="003F118D">
      <w:pPr>
        <w:pStyle w:val="Bibliographie"/>
        <w:spacing w:line="240" w:lineRule="auto"/>
        <w:ind w:left="284" w:hanging="295"/>
        <w:rPr>
          <w:sz w:val="18"/>
        </w:rPr>
      </w:pPr>
      <w:r>
        <w:rPr>
          <w:sz w:val="18"/>
          <w:lang w:val="fr-FR"/>
        </w:rPr>
        <w:t xml:space="preserve">A. </w:t>
      </w:r>
      <w:r w:rsidR="00C52303" w:rsidRPr="00AE1C5D">
        <w:rPr>
          <w:sz w:val="18"/>
          <w:lang w:val="fr-FR"/>
        </w:rPr>
        <w:t xml:space="preserve">Chauvel, </w:t>
      </w:r>
      <w:r>
        <w:rPr>
          <w:sz w:val="18"/>
          <w:lang w:val="fr-FR"/>
        </w:rPr>
        <w:t xml:space="preserve">G. </w:t>
      </w:r>
      <w:r w:rsidR="00C52303" w:rsidRPr="00AE1C5D">
        <w:rPr>
          <w:sz w:val="18"/>
          <w:lang w:val="fr-FR"/>
        </w:rPr>
        <w:t xml:space="preserve">Fournier, </w:t>
      </w:r>
      <w:r>
        <w:rPr>
          <w:sz w:val="18"/>
          <w:lang w:val="fr-FR"/>
        </w:rPr>
        <w:t xml:space="preserve">C. </w:t>
      </w:r>
      <w:r w:rsidR="00C52303" w:rsidRPr="00AE1C5D">
        <w:rPr>
          <w:sz w:val="18"/>
          <w:lang w:val="fr-FR"/>
        </w:rPr>
        <w:t>Raimbault</w:t>
      </w:r>
      <w:r>
        <w:rPr>
          <w:sz w:val="18"/>
          <w:lang w:val="fr-FR"/>
        </w:rPr>
        <w:t>,</w:t>
      </w:r>
      <w:r w:rsidR="00C52303" w:rsidRPr="00AE1C5D">
        <w:rPr>
          <w:sz w:val="18"/>
          <w:lang w:val="fr-FR"/>
        </w:rPr>
        <w:t xml:space="preserve"> 2003. </w:t>
      </w:r>
      <w:r w:rsidR="00C52303" w:rsidRPr="00AE1C5D">
        <w:rPr>
          <w:sz w:val="18"/>
        </w:rPr>
        <w:t>Manual of Process Economic Evaluation. Editions TECHNIP.</w:t>
      </w:r>
    </w:p>
    <w:p w14:paraId="780E7415" w14:textId="12C94C28" w:rsidR="00C52303" w:rsidRPr="00AE1C5D" w:rsidRDefault="00755A55" w:rsidP="003F118D">
      <w:pPr>
        <w:pStyle w:val="Bibliographie"/>
        <w:spacing w:line="240" w:lineRule="auto"/>
        <w:ind w:left="284" w:hanging="295"/>
        <w:rPr>
          <w:sz w:val="18"/>
        </w:rPr>
      </w:pPr>
      <w:r w:rsidRPr="00755A55">
        <w:rPr>
          <w:sz w:val="18"/>
        </w:rPr>
        <w:t>I</w:t>
      </w:r>
      <w:r w:rsidR="00B45F2C">
        <w:rPr>
          <w:sz w:val="18"/>
        </w:rPr>
        <w:t xml:space="preserve">nternational </w:t>
      </w:r>
      <w:r w:rsidRPr="00755A55">
        <w:rPr>
          <w:sz w:val="18"/>
        </w:rPr>
        <w:t>E</w:t>
      </w:r>
      <w:r w:rsidR="00B45F2C">
        <w:rPr>
          <w:sz w:val="18"/>
        </w:rPr>
        <w:t xml:space="preserve">nergy </w:t>
      </w:r>
      <w:r w:rsidRPr="00755A55">
        <w:rPr>
          <w:sz w:val="18"/>
        </w:rPr>
        <w:t>A</w:t>
      </w:r>
      <w:r w:rsidR="00B45F2C">
        <w:rPr>
          <w:sz w:val="18"/>
        </w:rPr>
        <w:t>gency</w:t>
      </w:r>
      <w:r w:rsidR="00D3011E">
        <w:rPr>
          <w:sz w:val="18"/>
        </w:rPr>
        <w:t xml:space="preserve"> (IEA)</w:t>
      </w:r>
      <w:r>
        <w:rPr>
          <w:sz w:val="18"/>
        </w:rPr>
        <w:t xml:space="preserve">, </w:t>
      </w:r>
      <w:r w:rsidRPr="00755A55">
        <w:rPr>
          <w:sz w:val="18"/>
        </w:rPr>
        <w:t>2020, Projected Costs of Generating Electricity 2020</w:t>
      </w:r>
      <w:r w:rsidR="00B45F2C">
        <w:rPr>
          <w:sz w:val="18"/>
        </w:rPr>
        <w:t>.</w:t>
      </w:r>
    </w:p>
    <w:p w14:paraId="5D883214" w14:textId="0FE14348" w:rsidR="00C52303" w:rsidRPr="00AE1C5D" w:rsidRDefault="00F17245" w:rsidP="003F118D">
      <w:pPr>
        <w:pStyle w:val="Bibliographie"/>
        <w:spacing w:line="240" w:lineRule="auto"/>
        <w:ind w:left="284" w:hanging="284"/>
        <w:rPr>
          <w:sz w:val="18"/>
        </w:rPr>
      </w:pPr>
      <w:r w:rsidRPr="00F17245">
        <w:rPr>
          <w:sz w:val="18"/>
          <w:lang w:val="en-US"/>
        </w:rPr>
        <w:t xml:space="preserve">Y. </w:t>
      </w:r>
      <w:r w:rsidR="00C52303" w:rsidRPr="00F17245">
        <w:rPr>
          <w:sz w:val="18"/>
          <w:lang w:val="en-US"/>
        </w:rPr>
        <w:t xml:space="preserve">Le </w:t>
      </w:r>
      <w:proofErr w:type="spellStart"/>
      <w:r w:rsidR="00C52303" w:rsidRPr="00F17245">
        <w:rPr>
          <w:sz w:val="18"/>
          <w:lang w:val="en-US"/>
        </w:rPr>
        <w:t>Guennec</w:t>
      </w:r>
      <w:proofErr w:type="spellEnd"/>
      <w:r w:rsidR="00C52303" w:rsidRPr="00F17245">
        <w:rPr>
          <w:sz w:val="18"/>
          <w:lang w:val="en-US"/>
        </w:rPr>
        <w:t xml:space="preserve">, </w:t>
      </w:r>
      <w:r w:rsidRPr="00F17245">
        <w:rPr>
          <w:sz w:val="18"/>
          <w:lang w:val="en-US"/>
        </w:rPr>
        <w:t xml:space="preserve">R. </w:t>
      </w:r>
      <w:r w:rsidR="00C52303" w:rsidRPr="00F17245">
        <w:rPr>
          <w:sz w:val="18"/>
          <w:lang w:val="en-US"/>
        </w:rPr>
        <w:t xml:space="preserve">Privat, </w:t>
      </w:r>
      <w:r w:rsidRPr="00F17245">
        <w:rPr>
          <w:sz w:val="18"/>
          <w:lang w:val="en-US"/>
        </w:rPr>
        <w:t xml:space="preserve">J.N. </w:t>
      </w:r>
      <w:proofErr w:type="spellStart"/>
      <w:r w:rsidR="00C52303" w:rsidRPr="00F17245">
        <w:rPr>
          <w:sz w:val="18"/>
          <w:lang w:val="en-US"/>
        </w:rPr>
        <w:t>Jaubert</w:t>
      </w:r>
      <w:proofErr w:type="spellEnd"/>
      <w:r w:rsidR="00C52303" w:rsidRPr="00F17245">
        <w:rPr>
          <w:sz w:val="18"/>
          <w:lang w:val="en-US"/>
        </w:rPr>
        <w:t>, 2016</w:t>
      </w:r>
      <w:r w:rsidRPr="00F17245">
        <w:rPr>
          <w:sz w:val="18"/>
          <w:lang w:val="en-US"/>
        </w:rPr>
        <w:t>,</w:t>
      </w:r>
      <w:r w:rsidR="00C52303" w:rsidRPr="00F17245">
        <w:rPr>
          <w:sz w:val="18"/>
          <w:lang w:val="en-US"/>
        </w:rPr>
        <w:t xml:space="preserve"> </w:t>
      </w:r>
      <w:r w:rsidR="00C52303" w:rsidRPr="00AE1C5D">
        <w:rPr>
          <w:sz w:val="18"/>
        </w:rPr>
        <w:t xml:space="preserve">Development of the translated-consistent </w:t>
      </w:r>
      <w:proofErr w:type="spellStart"/>
      <w:r w:rsidR="00C52303" w:rsidRPr="00F17245">
        <w:rPr>
          <w:i/>
          <w:iCs/>
          <w:sz w:val="18"/>
        </w:rPr>
        <w:t>tc</w:t>
      </w:r>
      <w:proofErr w:type="spellEnd"/>
      <w:r w:rsidR="00C52303" w:rsidRPr="00AE1C5D">
        <w:rPr>
          <w:sz w:val="18"/>
        </w:rPr>
        <w:t xml:space="preserve">-PR and </w:t>
      </w:r>
      <w:proofErr w:type="spellStart"/>
      <w:r w:rsidR="00C52303" w:rsidRPr="00F17245">
        <w:rPr>
          <w:i/>
          <w:iCs/>
          <w:sz w:val="18"/>
        </w:rPr>
        <w:t>tc</w:t>
      </w:r>
      <w:proofErr w:type="spellEnd"/>
      <w:r w:rsidR="00C52303" w:rsidRPr="00AE1C5D">
        <w:rPr>
          <w:sz w:val="18"/>
        </w:rPr>
        <w:t xml:space="preserve">-RK cubic equations of state for a safe and accurate prediction of volumetric, energetic and saturation properties of pure compounds in the sub- and super-critical domains. Fluid Phase Equilibria, 429, 301–312. </w:t>
      </w:r>
    </w:p>
    <w:p w14:paraId="4CF60B32" w14:textId="5283964B" w:rsidR="00C52303" w:rsidRPr="00AE1C5D" w:rsidRDefault="004A4CA3" w:rsidP="003F118D">
      <w:pPr>
        <w:pStyle w:val="Bibliographie"/>
        <w:spacing w:line="240" w:lineRule="auto"/>
        <w:ind w:left="284" w:hanging="284"/>
        <w:rPr>
          <w:sz w:val="18"/>
        </w:rPr>
      </w:pPr>
      <w:r>
        <w:rPr>
          <w:sz w:val="18"/>
        </w:rPr>
        <w:t xml:space="preserve">A. </w:t>
      </w:r>
      <w:r w:rsidR="00C52303" w:rsidRPr="00AE1C5D">
        <w:rPr>
          <w:sz w:val="18"/>
        </w:rPr>
        <w:t xml:space="preserve">Piña-Martinez, </w:t>
      </w:r>
      <w:r>
        <w:rPr>
          <w:sz w:val="18"/>
        </w:rPr>
        <w:t>S.</w:t>
      </w:r>
      <w:r w:rsidR="00C52303" w:rsidRPr="00AE1C5D">
        <w:rPr>
          <w:sz w:val="18"/>
        </w:rPr>
        <w:t xml:space="preserve"> </w:t>
      </w:r>
      <w:proofErr w:type="spellStart"/>
      <w:r w:rsidR="00C52303" w:rsidRPr="00AE1C5D">
        <w:rPr>
          <w:sz w:val="18"/>
        </w:rPr>
        <w:t>Lasala</w:t>
      </w:r>
      <w:proofErr w:type="spellEnd"/>
      <w:r w:rsidR="00C52303" w:rsidRPr="00AE1C5D">
        <w:rPr>
          <w:sz w:val="18"/>
        </w:rPr>
        <w:t xml:space="preserve">, </w:t>
      </w:r>
      <w:r>
        <w:rPr>
          <w:sz w:val="18"/>
        </w:rPr>
        <w:t>R.</w:t>
      </w:r>
      <w:r w:rsidR="00C52303" w:rsidRPr="00AE1C5D">
        <w:rPr>
          <w:sz w:val="18"/>
        </w:rPr>
        <w:t xml:space="preserve"> Privat,</w:t>
      </w:r>
      <w:r>
        <w:rPr>
          <w:sz w:val="18"/>
        </w:rPr>
        <w:t xml:space="preserve"> V.</w:t>
      </w:r>
      <w:r w:rsidR="00C52303" w:rsidRPr="00AE1C5D">
        <w:rPr>
          <w:sz w:val="18"/>
        </w:rPr>
        <w:t xml:space="preserve"> Falk, </w:t>
      </w:r>
      <w:r>
        <w:rPr>
          <w:sz w:val="18"/>
        </w:rPr>
        <w:t>J.N.</w:t>
      </w:r>
      <w:r w:rsidR="00C52303" w:rsidRPr="00AE1C5D">
        <w:rPr>
          <w:sz w:val="18"/>
        </w:rPr>
        <w:t xml:space="preserve"> </w:t>
      </w:r>
      <w:proofErr w:type="spellStart"/>
      <w:r w:rsidR="00C52303" w:rsidRPr="00AE1C5D">
        <w:rPr>
          <w:sz w:val="18"/>
        </w:rPr>
        <w:t>Jaubert</w:t>
      </w:r>
      <w:proofErr w:type="spellEnd"/>
      <w:r w:rsidR="00C52303" w:rsidRPr="00AE1C5D">
        <w:rPr>
          <w:sz w:val="18"/>
        </w:rPr>
        <w:t>, 2021</w:t>
      </w:r>
      <w:r>
        <w:rPr>
          <w:sz w:val="18"/>
        </w:rPr>
        <w:t>,</w:t>
      </w:r>
      <w:r w:rsidR="00C52303" w:rsidRPr="00AE1C5D">
        <w:rPr>
          <w:sz w:val="18"/>
        </w:rPr>
        <w:t xml:space="preserve"> Design of Promising Working Fluids for Emergent Combined Cooling, Heating, and Power (CCHP) Systems. ACS Sustainable Chemistry &amp; Engineering, 9(35), 11807–11824. </w:t>
      </w:r>
    </w:p>
    <w:p w14:paraId="16186684" w14:textId="5DD9D581" w:rsidR="00C52303" w:rsidRPr="00AE1C5D" w:rsidRDefault="00CD7614" w:rsidP="003F118D">
      <w:pPr>
        <w:pStyle w:val="Bibliographie"/>
        <w:spacing w:line="240" w:lineRule="auto"/>
        <w:ind w:left="284" w:hanging="284"/>
        <w:rPr>
          <w:sz w:val="18"/>
        </w:rPr>
      </w:pPr>
      <w:r w:rsidRPr="00CD7614">
        <w:rPr>
          <w:sz w:val="18"/>
          <w:lang w:val="en-US"/>
        </w:rPr>
        <w:t xml:space="preserve">C. </w:t>
      </w:r>
      <w:r w:rsidR="00C52303" w:rsidRPr="00CD7614">
        <w:rPr>
          <w:sz w:val="18"/>
          <w:lang w:val="en-US"/>
        </w:rPr>
        <w:t>Quintero-</w:t>
      </w:r>
      <w:proofErr w:type="spellStart"/>
      <w:r w:rsidR="00C52303" w:rsidRPr="00CD7614">
        <w:rPr>
          <w:sz w:val="18"/>
          <w:lang w:val="en-US"/>
        </w:rPr>
        <w:t>Masselski</w:t>
      </w:r>
      <w:proofErr w:type="spellEnd"/>
      <w:r w:rsidR="00C52303" w:rsidRPr="00CD7614">
        <w:rPr>
          <w:sz w:val="18"/>
          <w:lang w:val="en-US"/>
        </w:rPr>
        <w:t xml:space="preserve">, </w:t>
      </w:r>
      <w:r w:rsidRPr="00CD7614">
        <w:rPr>
          <w:sz w:val="18"/>
          <w:lang w:val="en-US"/>
        </w:rPr>
        <w:t>J.F.</w:t>
      </w:r>
      <w:r w:rsidR="00C52303" w:rsidRPr="00CD7614">
        <w:rPr>
          <w:sz w:val="18"/>
          <w:lang w:val="en-US"/>
        </w:rPr>
        <w:t xml:space="preserve"> </w:t>
      </w:r>
      <w:proofErr w:type="spellStart"/>
      <w:r w:rsidR="00C52303" w:rsidRPr="00CD7614">
        <w:rPr>
          <w:sz w:val="18"/>
          <w:lang w:val="en-US"/>
        </w:rPr>
        <w:t>Portha</w:t>
      </w:r>
      <w:proofErr w:type="spellEnd"/>
      <w:r w:rsidR="00C52303" w:rsidRPr="00CD7614">
        <w:rPr>
          <w:sz w:val="18"/>
          <w:lang w:val="en-US"/>
        </w:rPr>
        <w:t>,</w:t>
      </w:r>
      <w:r w:rsidRPr="00CD7614">
        <w:rPr>
          <w:sz w:val="18"/>
          <w:lang w:val="en-US"/>
        </w:rPr>
        <w:t xml:space="preserve"> L.</w:t>
      </w:r>
      <w:r w:rsidR="00C52303" w:rsidRPr="00CD7614">
        <w:rPr>
          <w:sz w:val="18"/>
          <w:lang w:val="en-US"/>
        </w:rPr>
        <w:t xml:space="preserve"> Falk, 2022</w:t>
      </w:r>
      <w:r w:rsidRPr="00CD7614">
        <w:rPr>
          <w:sz w:val="18"/>
          <w:lang w:val="en-US"/>
        </w:rPr>
        <w:t>,</w:t>
      </w:r>
      <w:r w:rsidR="00C52303" w:rsidRPr="00CD7614">
        <w:rPr>
          <w:sz w:val="18"/>
          <w:lang w:val="en-US"/>
        </w:rPr>
        <w:t xml:space="preserve"> </w:t>
      </w:r>
      <w:r w:rsidR="00C52303" w:rsidRPr="00AE1C5D">
        <w:rPr>
          <w:sz w:val="18"/>
        </w:rPr>
        <w:t xml:space="preserve">Conception and optimization of an ammonia synthesis superstructure for energy storage. Chemical Engineering Research and Design, 177, 826–842. </w:t>
      </w:r>
    </w:p>
    <w:p w14:paraId="5E8DA7B9" w14:textId="580C9922" w:rsidR="00F03CB7" w:rsidRPr="005B2428" w:rsidRDefault="00251103" w:rsidP="001068F2">
      <w:pPr>
        <w:pStyle w:val="Bibliographie"/>
        <w:spacing w:line="240" w:lineRule="auto"/>
        <w:ind w:left="284" w:hanging="284"/>
      </w:pPr>
      <w:r>
        <w:rPr>
          <w:sz w:val="18"/>
        </w:rPr>
        <w:t xml:space="preserve">J. </w:t>
      </w:r>
      <w:r w:rsidR="00C52303" w:rsidRPr="00AE1C5D">
        <w:rPr>
          <w:sz w:val="18"/>
        </w:rPr>
        <w:t>Schilling,</w:t>
      </w:r>
      <w:r>
        <w:rPr>
          <w:sz w:val="18"/>
        </w:rPr>
        <w:t xml:space="preserve"> C.</w:t>
      </w:r>
      <w:r w:rsidR="00C52303" w:rsidRPr="00AE1C5D">
        <w:rPr>
          <w:sz w:val="18"/>
        </w:rPr>
        <w:t xml:space="preserve"> </w:t>
      </w:r>
      <w:proofErr w:type="spellStart"/>
      <w:r w:rsidR="00C52303" w:rsidRPr="00AE1C5D">
        <w:rPr>
          <w:sz w:val="18"/>
        </w:rPr>
        <w:t>Horend</w:t>
      </w:r>
      <w:proofErr w:type="spellEnd"/>
      <w:r w:rsidR="00C52303" w:rsidRPr="00AE1C5D">
        <w:rPr>
          <w:sz w:val="18"/>
        </w:rPr>
        <w:t xml:space="preserve">, </w:t>
      </w:r>
      <w:r>
        <w:rPr>
          <w:sz w:val="18"/>
        </w:rPr>
        <w:t>A.</w:t>
      </w:r>
      <w:r w:rsidR="00C52303" w:rsidRPr="00AE1C5D">
        <w:rPr>
          <w:sz w:val="18"/>
        </w:rPr>
        <w:t xml:space="preserve"> </w:t>
      </w:r>
      <w:proofErr w:type="spellStart"/>
      <w:r w:rsidR="00C52303" w:rsidRPr="00AE1C5D">
        <w:rPr>
          <w:sz w:val="18"/>
        </w:rPr>
        <w:t>Bardow</w:t>
      </w:r>
      <w:proofErr w:type="spellEnd"/>
      <w:r w:rsidR="00C52303" w:rsidRPr="00AE1C5D">
        <w:rPr>
          <w:sz w:val="18"/>
        </w:rPr>
        <w:t>, 2020</w:t>
      </w:r>
      <w:r>
        <w:rPr>
          <w:sz w:val="18"/>
        </w:rPr>
        <w:t>,</w:t>
      </w:r>
      <w:r w:rsidR="00C52303" w:rsidRPr="00AE1C5D">
        <w:rPr>
          <w:sz w:val="18"/>
        </w:rPr>
        <w:t xml:space="preserve"> Integrating superstructure-based design of molecules, processes, and flowsheets. </w:t>
      </w:r>
      <w:proofErr w:type="spellStart"/>
      <w:r w:rsidR="00C52303" w:rsidRPr="00AE1C5D">
        <w:rPr>
          <w:sz w:val="18"/>
        </w:rPr>
        <w:t>AIChE</w:t>
      </w:r>
      <w:proofErr w:type="spellEnd"/>
      <w:r w:rsidR="00C52303" w:rsidRPr="00AE1C5D">
        <w:rPr>
          <w:sz w:val="18"/>
        </w:rPr>
        <w:t xml:space="preserve"> Journal, 66(5), e16903.</w:t>
      </w:r>
    </w:p>
    <w:sectPr w:rsidR="00F03CB7" w:rsidRPr="005B2428" w:rsidSect="008B0184"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452EB" w14:textId="77777777" w:rsidR="0098246D" w:rsidRDefault="0098246D">
      <w:r>
        <w:separator/>
      </w:r>
    </w:p>
  </w:endnote>
  <w:endnote w:type="continuationSeparator" w:id="0">
    <w:p w14:paraId="383CF9D7" w14:textId="77777777" w:rsidR="0098246D" w:rsidRDefault="00982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5A3FF" w14:textId="77777777" w:rsidR="0098246D" w:rsidRDefault="0098246D">
      <w:r>
        <w:separator/>
      </w:r>
    </w:p>
  </w:footnote>
  <w:footnote w:type="continuationSeparator" w:id="0">
    <w:p w14:paraId="56DD36C8" w14:textId="77777777" w:rsidR="0098246D" w:rsidRDefault="00982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9" w14:textId="226F25B6" w:rsidR="00DD3D9E" w:rsidRPr="00835183" w:rsidRDefault="00DD3D9E">
    <w:pPr>
      <w:pStyle w:val="En-tte"/>
      <w:tabs>
        <w:tab w:val="clear" w:pos="7200"/>
        <w:tab w:val="right" w:pos="7088"/>
      </w:tabs>
      <w:rPr>
        <w:lang w:val="fr-FR"/>
      </w:rPr>
    </w:pPr>
    <w:r>
      <w:rPr>
        <w:rStyle w:val="Numrodepage"/>
      </w:rPr>
      <w:tab/>
    </w:r>
    <w:r w:rsidR="00D50FE3">
      <w:rPr>
        <w:rStyle w:val="Numrodepage"/>
      </w:rPr>
      <w:tab/>
    </w:r>
    <w:r w:rsidR="00D50FE3">
      <w:rPr>
        <w:i/>
        <w:lang w:val="fr-FR"/>
      </w:rPr>
      <w:t xml:space="preserve">A. Piña-Martinez </w:t>
    </w:r>
    <w:r w:rsidR="001021B8" w:rsidRPr="00835183">
      <w:rPr>
        <w:i/>
        <w:lang w:val="fr-FR"/>
      </w:rPr>
      <w:t>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A" w14:textId="653037A0" w:rsidR="00DD3D9E" w:rsidRPr="003002CA" w:rsidRDefault="00914B9A" w:rsidP="003002CA">
    <w:pPr>
      <w:pStyle w:val="En-tte"/>
    </w:pPr>
    <w:r w:rsidRPr="00914B9A">
      <w:rPr>
        <w:i/>
      </w:rPr>
      <w:t>Integration of process and working-fluid design for Combined Heating and Power (CHP) systems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B" w14:textId="77777777" w:rsidR="00F06842" w:rsidRPr="003B50B5" w:rsidRDefault="00F06842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 xml:space="preserve">Flavio </w:t>
    </w:r>
    <w:proofErr w:type="spellStart"/>
    <w:r w:rsidRPr="0068162C">
      <w:rPr>
        <w:color w:val="auto"/>
        <w:sz w:val="18"/>
        <w:szCs w:val="18"/>
      </w:rPr>
      <w:t>Manenti</w:t>
    </w:r>
    <w:proofErr w:type="spellEnd"/>
    <w:r w:rsidRPr="0068162C">
      <w:rPr>
        <w:color w:val="auto"/>
        <w:sz w:val="18"/>
        <w:szCs w:val="18"/>
      </w:rPr>
      <w:t xml:space="preserve">, </w:t>
    </w:r>
    <w:proofErr w:type="spellStart"/>
    <w:r w:rsidRPr="0068162C">
      <w:rPr>
        <w:color w:val="auto"/>
        <w:sz w:val="18"/>
        <w:szCs w:val="18"/>
      </w:rPr>
      <w:t>Gintaras</w:t>
    </w:r>
    <w:proofErr w:type="spellEnd"/>
    <w:r w:rsidRPr="0068162C">
      <w:rPr>
        <w:color w:val="auto"/>
        <w:sz w:val="18"/>
        <w:szCs w:val="18"/>
      </w:rPr>
      <w:t xml:space="preserve"> V. </w:t>
    </w:r>
    <w:proofErr w:type="spellStart"/>
    <w:r w:rsidRPr="0068162C">
      <w:rPr>
        <w:color w:val="auto"/>
        <w:sz w:val="18"/>
        <w:szCs w:val="18"/>
      </w:rPr>
      <w:t>Reklaitis</w:t>
    </w:r>
    <w:proofErr w:type="spellEnd"/>
    <w:r w:rsidRPr="0068162C">
      <w:rPr>
        <w:color w:val="auto"/>
        <w:sz w:val="18"/>
        <w:szCs w:val="18"/>
      </w:rPr>
      <w:t xml:space="preserve">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DD3D9E" w:rsidRDefault="00F06842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 w:rsidR="00DD3D9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52F5E3B"/>
    <w:multiLevelType w:val="hybridMultilevel"/>
    <w:tmpl w:val="851E7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4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5" w15:restartNumberingAfterBreak="0">
    <w:nsid w:val="2438217E"/>
    <w:multiLevelType w:val="multilevel"/>
    <w:tmpl w:val="B324223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568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406B7F"/>
    <w:multiLevelType w:val="hybridMultilevel"/>
    <w:tmpl w:val="B588D3D4"/>
    <w:lvl w:ilvl="0" w:tplc="0A1C37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8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3C3E31"/>
    <w:multiLevelType w:val="hybridMultilevel"/>
    <w:tmpl w:val="74426E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442EC"/>
    <w:multiLevelType w:val="hybridMultilevel"/>
    <w:tmpl w:val="59928A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97CD1"/>
    <w:multiLevelType w:val="hybridMultilevel"/>
    <w:tmpl w:val="4970BC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6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8" w15:restartNumberingAfterBreak="0">
    <w:nsid w:val="60334ECF"/>
    <w:multiLevelType w:val="multilevel"/>
    <w:tmpl w:val="F3FA73D0"/>
    <w:lvl w:ilvl="0">
      <w:start w:val="1"/>
      <w:numFmt w:val="decimal"/>
      <w:suff w:val="space"/>
      <w:lvlText w:val="Chapter %1:"/>
      <w:lvlJc w:val="left"/>
      <w:pPr>
        <w:ind w:left="1418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0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778F694D"/>
    <w:multiLevelType w:val="hybridMultilevel"/>
    <w:tmpl w:val="138E7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16"/>
  </w:num>
  <w:num w:numId="4">
    <w:abstractNumId w:val="16"/>
  </w:num>
  <w:num w:numId="5">
    <w:abstractNumId w:val="0"/>
  </w:num>
  <w:num w:numId="6">
    <w:abstractNumId w:val="8"/>
  </w:num>
  <w:num w:numId="7">
    <w:abstractNumId w:val="17"/>
  </w:num>
  <w:num w:numId="8">
    <w:abstractNumId w:val="2"/>
  </w:num>
  <w:num w:numId="9">
    <w:abstractNumId w:val="15"/>
  </w:num>
  <w:num w:numId="10">
    <w:abstractNumId w:val="20"/>
  </w:num>
  <w:num w:numId="11">
    <w:abstractNumId w:val="19"/>
  </w:num>
  <w:num w:numId="12">
    <w:abstractNumId w:val="7"/>
  </w:num>
  <w:num w:numId="13">
    <w:abstractNumId w:val="13"/>
  </w:num>
  <w:num w:numId="14">
    <w:abstractNumId w:val="3"/>
  </w:num>
  <w:num w:numId="15">
    <w:abstractNumId w:val="9"/>
  </w:num>
  <w:num w:numId="16">
    <w:abstractNumId w:val="4"/>
  </w:num>
  <w:num w:numId="17">
    <w:abstractNumId w:val="5"/>
  </w:num>
  <w:num w:numId="18">
    <w:abstractNumId w:val="14"/>
  </w:num>
  <w:num w:numId="19">
    <w:abstractNumId w:val="1"/>
  </w:num>
  <w:num w:numId="20">
    <w:abstractNumId w:val="11"/>
  </w:num>
  <w:num w:numId="21">
    <w:abstractNumId w:val="10"/>
  </w:num>
  <w:num w:numId="22">
    <w:abstractNumId w:val="21"/>
  </w:num>
  <w:num w:numId="23">
    <w:abstractNumId w:val="6"/>
  </w:num>
  <w:num w:numId="24">
    <w:abstractNumId w:val="1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06FB3"/>
    <w:rsid w:val="00012359"/>
    <w:rsid w:val="00015C3A"/>
    <w:rsid w:val="000162AC"/>
    <w:rsid w:val="000278EE"/>
    <w:rsid w:val="00037AEC"/>
    <w:rsid w:val="00043BED"/>
    <w:rsid w:val="0004412D"/>
    <w:rsid w:val="00044925"/>
    <w:rsid w:val="00050FC5"/>
    <w:rsid w:val="0005487D"/>
    <w:rsid w:val="00055229"/>
    <w:rsid w:val="00055E24"/>
    <w:rsid w:val="000653C2"/>
    <w:rsid w:val="00065576"/>
    <w:rsid w:val="00071911"/>
    <w:rsid w:val="00072EAA"/>
    <w:rsid w:val="00077462"/>
    <w:rsid w:val="0008521D"/>
    <w:rsid w:val="00092801"/>
    <w:rsid w:val="00094B95"/>
    <w:rsid w:val="000962C9"/>
    <w:rsid w:val="000A2135"/>
    <w:rsid w:val="000A35AF"/>
    <w:rsid w:val="000A4124"/>
    <w:rsid w:val="000A48EB"/>
    <w:rsid w:val="000B17A3"/>
    <w:rsid w:val="000B4799"/>
    <w:rsid w:val="000B6DAC"/>
    <w:rsid w:val="000C1EB9"/>
    <w:rsid w:val="000C3B98"/>
    <w:rsid w:val="000C4778"/>
    <w:rsid w:val="000D0225"/>
    <w:rsid w:val="000D260B"/>
    <w:rsid w:val="000D3D9B"/>
    <w:rsid w:val="000D417D"/>
    <w:rsid w:val="000D6589"/>
    <w:rsid w:val="000E236D"/>
    <w:rsid w:val="000E2884"/>
    <w:rsid w:val="000E2D54"/>
    <w:rsid w:val="000E3B66"/>
    <w:rsid w:val="000E5ADF"/>
    <w:rsid w:val="000F115E"/>
    <w:rsid w:val="000F4FB4"/>
    <w:rsid w:val="000F54BB"/>
    <w:rsid w:val="001021B8"/>
    <w:rsid w:val="0010530F"/>
    <w:rsid w:val="001068F2"/>
    <w:rsid w:val="00110482"/>
    <w:rsid w:val="00110DD8"/>
    <w:rsid w:val="00114482"/>
    <w:rsid w:val="00116B6C"/>
    <w:rsid w:val="00117FBD"/>
    <w:rsid w:val="00125CD4"/>
    <w:rsid w:val="00133085"/>
    <w:rsid w:val="0013318E"/>
    <w:rsid w:val="0013548B"/>
    <w:rsid w:val="001415DB"/>
    <w:rsid w:val="0014490B"/>
    <w:rsid w:val="00146648"/>
    <w:rsid w:val="00146C61"/>
    <w:rsid w:val="0015414A"/>
    <w:rsid w:val="00155899"/>
    <w:rsid w:val="0016032F"/>
    <w:rsid w:val="00163F3D"/>
    <w:rsid w:val="001661EA"/>
    <w:rsid w:val="00182A91"/>
    <w:rsid w:val="00182DF7"/>
    <w:rsid w:val="001842B2"/>
    <w:rsid w:val="001879F6"/>
    <w:rsid w:val="00191293"/>
    <w:rsid w:val="00193991"/>
    <w:rsid w:val="0019496E"/>
    <w:rsid w:val="001A21C9"/>
    <w:rsid w:val="001A53B9"/>
    <w:rsid w:val="001B00D8"/>
    <w:rsid w:val="001B4CA9"/>
    <w:rsid w:val="001B4F43"/>
    <w:rsid w:val="001C0148"/>
    <w:rsid w:val="001C30FC"/>
    <w:rsid w:val="001C5D84"/>
    <w:rsid w:val="001C757E"/>
    <w:rsid w:val="001D2D1A"/>
    <w:rsid w:val="001D396A"/>
    <w:rsid w:val="001D423B"/>
    <w:rsid w:val="001D6651"/>
    <w:rsid w:val="001F4098"/>
    <w:rsid w:val="001F6538"/>
    <w:rsid w:val="0020134B"/>
    <w:rsid w:val="0020390F"/>
    <w:rsid w:val="00225019"/>
    <w:rsid w:val="002352A6"/>
    <w:rsid w:val="00236406"/>
    <w:rsid w:val="00242EBC"/>
    <w:rsid w:val="00244CBB"/>
    <w:rsid w:val="00246AFC"/>
    <w:rsid w:val="0024764B"/>
    <w:rsid w:val="00250936"/>
    <w:rsid w:val="00251103"/>
    <w:rsid w:val="002515A1"/>
    <w:rsid w:val="00255C4B"/>
    <w:rsid w:val="00260462"/>
    <w:rsid w:val="00260877"/>
    <w:rsid w:val="00264926"/>
    <w:rsid w:val="00270684"/>
    <w:rsid w:val="00280BB5"/>
    <w:rsid w:val="00284B88"/>
    <w:rsid w:val="002863AB"/>
    <w:rsid w:val="00286918"/>
    <w:rsid w:val="00290294"/>
    <w:rsid w:val="002908FF"/>
    <w:rsid w:val="002922D9"/>
    <w:rsid w:val="002928C0"/>
    <w:rsid w:val="00294342"/>
    <w:rsid w:val="002965D0"/>
    <w:rsid w:val="002A4D21"/>
    <w:rsid w:val="002A6D9A"/>
    <w:rsid w:val="002B3F8A"/>
    <w:rsid w:val="002C1B44"/>
    <w:rsid w:val="002C1E7B"/>
    <w:rsid w:val="002C241C"/>
    <w:rsid w:val="002C6AC7"/>
    <w:rsid w:val="002D2428"/>
    <w:rsid w:val="002D3195"/>
    <w:rsid w:val="002E7374"/>
    <w:rsid w:val="002F0F2B"/>
    <w:rsid w:val="002F1EB1"/>
    <w:rsid w:val="003002CA"/>
    <w:rsid w:val="00305F9F"/>
    <w:rsid w:val="003125E0"/>
    <w:rsid w:val="00322D73"/>
    <w:rsid w:val="003276AF"/>
    <w:rsid w:val="003338F1"/>
    <w:rsid w:val="0033454F"/>
    <w:rsid w:val="003363BD"/>
    <w:rsid w:val="0034037C"/>
    <w:rsid w:val="00350BE2"/>
    <w:rsid w:val="00351798"/>
    <w:rsid w:val="003529B7"/>
    <w:rsid w:val="0035662B"/>
    <w:rsid w:val="003574EE"/>
    <w:rsid w:val="00361B3F"/>
    <w:rsid w:val="003728E9"/>
    <w:rsid w:val="00385FC7"/>
    <w:rsid w:val="00386FA7"/>
    <w:rsid w:val="003A3079"/>
    <w:rsid w:val="003A3D1C"/>
    <w:rsid w:val="003B2103"/>
    <w:rsid w:val="003B3F00"/>
    <w:rsid w:val="003B741F"/>
    <w:rsid w:val="003C0C02"/>
    <w:rsid w:val="003C102B"/>
    <w:rsid w:val="003C137D"/>
    <w:rsid w:val="003C41A3"/>
    <w:rsid w:val="003C6D3D"/>
    <w:rsid w:val="003D1582"/>
    <w:rsid w:val="003D3D15"/>
    <w:rsid w:val="003D48B5"/>
    <w:rsid w:val="003D4909"/>
    <w:rsid w:val="003D7E4C"/>
    <w:rsid w:val="003E337A"/>
    <w:rsid w:val="003E3924"/>
    <w:rsid w:val="003E3D7B"/>
    <w:rsid w:val="003E41C2"/>
    <w:rsid w:val="003E547E"/>
    <w:rsid w:val="003E734D"/>
    <w:rsid w:val="003F118D"/>
    <w:rsid w:val="003F5E9F"/>
    <w:rsid w:val="0040228C"/>
    <w:rsid w:val="0040763F"/>
    <w:rsid w:val="00413572"/>
    <w:rsid w:val="0042523F"/>
    <w:rsid w:val="00426875"/>
    <w:rsid w:val="00430EE0"/>
    <w:rsid w:val="004321A0"/>
    <w:rsid w:val="00433574"/>
    <w:rsid w:val="004342F1"/>
    <w:rsid w:val="00437D7D"/>
    <w:rsid w:val="004458E4"/>
    <w:rsid w:val="0045031E"/>
    <w:rsid w:val="00452A28"/>
    <w:rsid w:val="0046758F"/>
    <w:rsid w:val="00470531"/>
    <w:rsid w:val="004718B3"/>
    <w:rsid w:val="00477EF4"/>
    <w:rsid w:val="0048029E"/>
    <w:rsid w:val="0048036C"/>
    <w:rsid w:val="00480AA7"/>
    <w:rsid w:val="00481A8E"/>
    <w:rsid w:val="004865C9"/>
    <w:rsid w:val="00493047"/>
    <w:rsid w:val="0049666E"/>
    <w:rsid w:val="0049772C"/>
    <w:rsid w:val="004A03FF"/>
    <w:rsid w:val="004A1905"/>
    <w:rsid w:val="004A4CA3"/>
    <w:rsid w:val="004B0929"/>
    <w:rsid w:val="004B2D5C"/>
    <w:rsid w:val="004B478F"/>
    <w:rsid w:val="004B7149"/>
    <w:rsid w:val="004D4BC5"/>
    <w:rsid w:val="004D62D2"/>
    <w:rsid w:val="004E1544"/>
    <w:rsid w:val="004E1F39"/>
    <w:rsid w:val="004E5522"/>
    <w:rsid w:val="004E5E9B"/>
    <w:rsid w:val="004F0030"/>
    <w:rsid w:val="004F2E84"/>
    <w:rsid w:val="00513677"/>
    <w:rsid w:val="00513998"/>
    <w:rsid w:val="00513DEC"/>
    <w:rsid w:val="0051780D"/>
    <w:rsid w:val="0052273A"/>
    <w:rsid w:val="00522E5E"/>
    <w:rsid w:val="00527121"/>
    <w:rsid w:val="0053353E"/>
    <w:rsid w:val="0053484B"/>
    <w:rsid w:val="0054734B"/>
    <w:rsid w:val="00550927"/>
    <w:rsid w:val="005525E7"/>
    <w:rsid w:val="00552EEB"/>
    <w:rsid w:val="0055536E"/>
    <w:rsid w:val="00560119"/>
    <w:rsid w:val="00566EC2"/>
    <w:rsid w:val="00570FD8"/>
    <w:rsid w:val="005723F7"/>
    <w:rsid w:val="00577545"/>
    <w:rsid w:val="0058005C"/>
    <w:rsid w:val="0058026F"/>
    <w:rsid w:val="00581F7B"/>
    <w:rsid w:val="00587ED8"/>
    <w:rsid w:val="00596385"/>
    <w:rsid w:val="00596D06"/>
    <w:rsid w:val="00597CD6"/>
    <w:rsid w:val="005B1A40"/>
    <w:rsid w:val="005B2428"/>
    <w:rsid w:val="005B3088"/>
    <w:rsid w:val="005B48C0"/>
    <w:rsid w:val="005C0887"/>
    <w:rsid w:val="005C6DE1"/>
    <w:rsid w:val="005D0D7C"/>
    <w:rsid w:val="005D155F"/>
    <w:rsid w:val="005D1DB7"/>
    <w:rsid w:val="005D3355"/>
    <w:rsid w:val="005D4A10"/>
    <w:rsid w:val="005D6246"/>
    <w:rsid w:val="005D6BF7"/>
    <w:rsid w:val="005E1337"/>
    <w:rsid w:val="0060338E"/>
    <w:rsid w:val="00607918"/>
    <w:rsid w:val="0061499B"/>
    <w:rsid w:val="0062196A"/>
    <w:rsid w:val="00624CF2"/>
    <w:rsid w:val="00625C93"/>
    <w:rsid w:val="00625D1D"/>
    <w:rsid w:val="006270A8"/>
    <w:rsid w:val="006274F2"/>
    <w:rsid w:val="00635FCE"/>
    <w:rsid w:val="006423E2"/>
    <w:rsid w:val="006431D7"/>
    <w:rsid w:val="00643989"/>
    <w:rsid w:val="006521DF"/>
    <w:rsid w:val="00652B8E"/>
    <w:rsid w:val="006562E7"/>
    <w:rsid w:val="006619A9"/>
    <w:rsid w:val="00662689"/>
    <w:rsid w:val="006648BB"/>
    <w:rsid w:val="00664FCA"/>
    <w:rsid w:val="0066683C"/>
    <w:rsid w:val="006803E4"/>
    <w:rsid w:val="0069593E"/>
    <w:rsid w:val="00697870"/>
    <w:rsid w:val="006A4CCB"/>
    <w:rsid w:val="006A69BF"/>
    <w:rsid w:val="006A6D77"/>
    <w:rsid w:val="006A7950"/>
    <w:rsid w:val="006B26C0"/>
    <w:rsid w:val="006B5320"/>
    <w:rsid w:val="006C0172"/>
    <w:rsid w:val="006C34BD"/>
    <w:rsid w:val="006C69C8"/>
    <w:rsid w:val="006D0DBF"/>
    <w:rsid w:val="006D2956"/>
    <w:rsid w:val="006D3793"/>
    <w:rsid w:val="006D3DFF"/>
    <w:rsid w:val="006D6A16"/>
    <w:rsid w:val="006E2A7F"/>
    <w:rsid w:val="006E3984"/>
    <w:rsid w:val="006E6DFC"/>
    <w:rsid w:val="006F147E"/>
    <w:rsid w:val="006F23C5"/>
    <w:rsid w:val="006F782F"/>
    <w:rsid w:val="00700BFF"/>
    <w:rsid w:val="00703F3A"/>
    <w:rsid w:val="00705109"/>
    <w:rsid w:val="007062AC"/>
    <w:rsid w:val="00706DF7"/>
    <w:rsid w:val="00707767"/>
    <w:rsid w:val="00711DF4"/>
    <w:rsid w:val="00712834"/>
    <w:rsid w:val="00712FAF"/>
    <w:rsid w:val="00714489"/>
    <w:rsid w:val="00716AD4"/>
    <w:rsid w:val="00722DB9"/>
    <w:rsid w:val="00723ECD"/>
    <w:rsid w:val="007270E0"/>
    <w:rsid w:val="007417AB"/>
    <w:rsid w:val="00744BC0"/>
    <w:rsid w:val="0075351E"/>
    <w:rsid w:val="00755A55"/>
    <w:rsid w:val="00755CC3"/>
    <w:rsid w:val="00761AD1"/>
    <w:rsid w:val="007724B1"/>
    <w:rsid w:val="007825A1"/>
    <w:rsid w:val="00790334"/>
    <w:rsid w:val="007949B0"/>
    <w:rsid w:val="007963F4"/>
    <w:rsid w:val="007A20C0"/>
    <w:rsid w:val="007A62BA"/>
    <w:rsid w:val="007A67FB"/>
    <w:rsid w:val="007A6FDA"/>
    <w:rsid w:val="007B2ED4"/>
    <w:rsid w:val="007B6F86"/>
    <w:rsid w:val="007B78A9"/>
    <w:rsid w:val="007C0842"/>
    <w:rsid w:val="007C0D30"/>
    <w:rsid w:val="007C3BAC"/>
    <w:rsid w:val="007C786B"/>
    <w:rsid w:val="007D0A05"/>
    <w:rsid w:val="007D0ACE"/>
    <w:rsid w:val="007D1F00"/>
    <w:rsid w:val="007D2FA0"/>
    <w:rsid w:val="007D3617"/>
    <w:rsid w:val="007D6BCD"/>
    <w:rsid w:val="007D70A1"/>
    <w:rsid w:val="007D7324"/>
    <w:rsid w:val="007E6F2A"/>
    <w:rsid w:val="007F1118"/>
    <w:rsid w:val="007F27B7"/>
    <w:rsid w:val="007F3477"/>
    <w:rsid w:val="007F4028"/>
    <w:rsid w:val="007F430F"/>
    <w:rsid w:val="00803034"/>
    <w:rsid w:val="00803D53"/>
    <w:rsid w:val="00811960"/>
    <w:rsid w:val="008132E8"/>
    <w:rsid w:val="008150A6"/>
    <w:rsid w:val="00815D66"/>
    <w:rsid w:val="00815D9F"/>
    <w:rsid w:val="00823407"/>
    <w:rsid w:val="00825A8F"/>
    <w:rsid w:val="00825FCD"/>
    <w:rsid w:val="00835183"/>
    <w:rsid w:val="00840892"/>
    <w:rsid w:val="0085533D"/>
    <w:rsid w:val="00855C45"/>
    <w:rsid w:val="008600D3"/>
    <w:rsid w:val="00861FD1"/>
    <w:rsid w:val="008626DF"/>
    <w:rsid w:val="0086743C"/>
    <w:rsid w:val="008701FF"/>
    <w:rsid w:val="0087311D"/>
    <w:rsid w:val="00874FDD"/>
    <w:rsid w:val="00886F5A"/>
    <w:rsid w:val="00887648"/>
    <w:rsid w:val="00897D8E"/>
    <w:rsid w:val="008A07E6"/>
    <w:rsid w:val="008A5432"/>
    <w:rsid w:val="008B0184"/>
    <w:rsid w:val="008B0FB2"/>
    <w:rsid w:val="008B2620"/>
    <w:rsid w:val="008B50A5"/>
    <w:rsid w:val="008B5FF7"/>
    <w:rsid w:val="008C418A"/>
    <w:rsid w:val="008C5D02"/>
    <w:rsid w:val="008C6F71"/>
    <w:rsid w:val="008C71D5"/>
    <w:rsid w:val="008D2649"/>
    <w:rsid w:val="008D419D"/>
    <w:rsid w:val="008D73A6"/>
    <w:rsid w:val="008E60E1"/>
    <w:rsid w:val="008F13EA"/>
    <w:rsid w:val="008F21DB"/>
    <w:rsid w:val="008F4C8D"/>
    <w:rsid w:val="008F7FAD"/>
    <w:rsid w:val="009011E9"/>
    <w:rsid w:val="0090280A"/>
    <w:rsid w:val="0090568D"/>
    <w:rsid w:val="00910BF2"/>
    <w:rsid w:val="009125C9"/>
    <w:rsid w:val="00913879"/>
    <w:rsid w:val="00914B9A"/>
    <w:rsid w:val="009158B0"/>
    <w:rsid w:val="00917661"/>
    <w:rsid w:val="00920138"/>
    <w:rsid w:val="00920B24"/>
    <w:rsid w:val="0092186B"/>
    <w:rsid w:val="0092486F"/>
    <w:rsid w:val="009260D0"/>
    <w:rsid w:val="0092668E"/>
    <w:rsid w:val="009308AD"/>
    <w:rsid w:val="00932AC6"/>
    <w:rsid w:val="00932DED"/>
    <w:rsid w:val="0093757C"/>
    <w:rsid w:val="009411FB"/>
    <w:rsid w:val="00945E65"/>
    <w:rsid w:val="00950104"/>
    <w:rsid w:val="00952F09"/>
    <w:rsid w:val="009537EC"/>
    <w:rsid w:val="00970E5D"/>
    <w:rsid w:val="009729E9"/>
    <w:rsid w:val="00975DF6"/>
    <w:rsid w:val="0097659E"/>
    <w:rsid w:val="0097701C"/>
    <w:rsid w:val="00980A65"/>
    <w:rsid w:val="00981860"/>
    <w:rsid w:val="00981DEF"/>
    <w:rsid w:val="0098204A"/>
    <w:rsid w:val="0098246D"/>
    <w:rsid w:val="00986157"/>
    <w:rsid w:val="00995F3F"/>
    <w:rsid w:val="009965C6"/>
    <w:rsid w:val="009A2245"/>
    <w:rsid w:val="009B6E96"/>
    <w:rsid w:val="009C0494"/>
    <w:rsid w:val="009C2F92"/>
    <w:rsid w:val="009D1279"/>
    <w:rsid w:val="009D4770"/>
    <w:rsid w:val="009D614F"/>
    <w:rsid w:val="009D7FBB"/>
    <w:rsid w:val="009E1714"/>
    <w:rsid w:val="009E2128"/>
    <w:rsid w:val="009E7C53"/>
    <w:rsid w:val="009F4918"/>
    <w:rsid w:val="009F5512"/>
    <w:rsid w:val="00A05539"/>
    <w:rsid w:val="00A06ED9"/>
    <w:rsid w:val="00A15A17"/>
    <w:rsid w:val="00A25E70"/>
    <w:rsid w:val="00A30F5B"/>
    <w:rsid w:val="00A33765"/>
    <w:rsid w:val="00A36D51"/>
    <w:rsid w:val="00A424AD"/>
    <w:rsid w:val="00A42848"/>
    <w:rsid w:val="00A4582D"/>
    <w:rsid w:val="00A45C79"/>
    <w:rsid w:val="00A47007"/>
    <w:rsid w:val="00A55AB7"/>
    <w:rsid w:val="00A5757A"/>
    <w:rsid w:val="00A57E86"/>
    <w:rsid w:val="00A607C2"/>
    <w:rsid w:val="00A63269"/>
    <w:rsid w:val="00A66B91"/>
    <w:rsid w:val="00A80C92"/>
    <w:rsid w:val="00A92377"/>
    <w:rsid w:val="00A93332"/>
    <w:rsid w:val="00AA033E"/>
    <w:rsid w:val="00AA1220"/>
    <w:rsid w:val="00AA374E"/>
    <w:rsid w:val="00AA7E5A"/>
    <w:rsid w:val="00AB29ED"/>
    <w:rsid w:val="00AB2CE9"/>
    <w:rsid w:val="00AB5193"/>
    <w:rsid w:val="00AB5DDC"/>
    <w:rsid w:val="00AC0EFF"/>
    <w:rsid w:val="00AC11C3"/>
    <w:rsid w:val="00AD253B"/>
    <w:rsid w:val="00AD327D"/>
    <w:rsid w:val="00AD72A5"/>
    <w:rsid w:val="00AE16DE"/>
    <w:rsid w:val="00AE1C5D"/>
    <w:rsid w:val="00AE3ED8"/>
    <w:rsid w:val="00AE4798"/>
    <w:rsid w:val="00AE4BD8"/>
    <w:rsid w:val="00AF2780"/>
    <w:rsid w:val="00AF2A95"/>
    <w:rsid w:val="00AF44A4"/>
    <w:rsid w:val="00AF508C"/>
    <w:rsid w:val="00B039DE"/>
    <w:rsid w:val="00B0751D"/>
    <w:rsid w:val="00B137E0"/>
    <w:rsid w:val="00B15406"/>
    <w:rsid w:val="00B23479"/>
    <w:rsid w:val="00B25801"/>
    <w:rsid w:val="00B26BF5"/>
    <w:rsid w:val="00B3510A"/>
    <w:rsid w:val="00B368EB"/>
    <w:rsid w:val="00B43609"/>
    <w:rsid w:val="00B4388F"/>
    <w:rsid w:val="00B43E34"/>
    <w:rsid w:val="00B45F2C"/>
    <w:rsid w:val="00B54DED"/>
    <w:rsid w:val="00B5700C"/>
    <w:rsid w:val="00B63237"/>
    <w:rsid w:val="00B645C3"/>
    <w:rsid w:val="00B65C84"/>
    <w:rsid w:val="00B71773"/>
    <w:rsid w:val="00B718F8"/>
    <w:rsid w:val="00B81E43"/>
    <w:rsid w:val="00B84A29"/>
    <w:rsid w:val="00B92967"/>
    <w:rsid w:val="00B936F3"/>
    <w:rsid w:val="00BA31BE"/>
    <w:rsid w:val="00BA6715"/>
    <w:rsid w:val="00BB04FF"/>
    <w:rsid w:val="00BB2D36"/>
    <w:rsid w:val="00BB4E63"/>
    <w:rsid w:val="00BC649F"/>
    <w:rsid w:val="00BD7177"/>
    <w:rsid w:val="00BE0428"/>
    <w:rsid w:val="00BE162A"/>
    <w:rsid w:val="00BE3371"/>
    <w:rsid w:val="00BE4FDB"/>
    <w:rsid w:val="00BF3F7D"/>
    <w:rsid w:val="00BF56F7"/>
    <w:rsid w:val="00BF6A8A"/>
    <w:rsid w:val="00C00146"/>
    <w:rsid w:val="00C049B4"/>
    <w:rsid w:val="00C1598A"/>
    <w:rsid w:val="00C16968"/>
    <w:rsid w:val="00C17510"/>
    <w:rsid w:val="00C22C32"/>
    <w:rsid w:val="00C24731"/>
    <w:rsid w:val="00C27A7D"/>
    <w:rsid w:val="00C3522E"/>
    <w:rsid w:val="00C40A87"/>
    <w:rsid w:val="00C475FF"/>
    <w:rsid w:val="00C519D6"/>
    <w:rsid w:val="00C51C59"/>
    <w:rsid w:val="00C52302"/>
    <w:rsid w:val="00C52303"/>
    <w:rsid w:val="00C5332D"/>
    <w:rsid w:val="00C54BF2"/>
    <w:rsid w:val="00C54E5E"/>
    <w:rsid w:val="00C5730E"/>
    <w:rsid w:val="00C574CA"/>
    <w:rsid w:val="00C57FC0"/>
    <w:rsid w:val="00C61158"/>
    <w:rsid w:val="00C707DB"/>
    <w:rsid w:val="00C744D8"/>
    <w:rsid w:val="00C7506E"/>
    <w:rsid w:val="00C75210"/>
    <w:rsid w:val="00C817D4"/>
    <w:rsid w:val="00C90630"/>
    <w:rsid w:val="00C94326"/>
    <w:rsid w:val="00C960DC"/>
    <w:rsid w:val="00C96948"/>
    <w:rsid w:val="00C96FB3"/>
    <w:rsid w:val="00C97CA7"/>
    <w:rsid w:val="00CA4957"/>
    <w:rsid w:val="00CA5A4E"/>
    <w:rsid w:val="00CA617A"/>
    <w:rsid w:val="00CB4055"/>
    <w:rsid w:val="00CC298C"/>
    <w:rsid w:val="00CC316A"/>
    <w:rsid w:val="00CC3B3A"/>
    <w:rsid w:val="00CC4E58"/>
    <w:rsid w:val="00CC6A0D"/>
    <w:rsid w:val="00CD4AF8"/>
    <w:rsid w:val="00CD6565"/>
    <w:rsid w:val="00CD7614"/>
    <w:rsid w:val="00CE19AD"/>
    <w:rsid w:val="00CE7DB8"/>
    <w:rsid w:val="00CE7F4F"/>
    <w:rsid w:val="00D01A70"/>
    <w:rsid w:val="00D02C75"/>
    <w:rsid w:val="00D100CF"/>
    <w:rsid w:val="00D1025A"/>
    <w:rsid w:val="00D10E22"/>
    <w:rsid w:val="00D13D2C"/>
    <w:rsid w:val="00D15DD7"/>
    <w:rsid w:val="00D3011E"/>
    <w:rsid w:val="00D30FE9"/>
    <w:rsid w:val="00D34976"/>
    <w:rsid w:val="00D3521E"/>
    <w:rsid w:val="00D3562F"/>
    <w:rsid w:val="00D46231"/>
    <w:rsid w:val="00D507AA"/>
    <w:rsid w:val="00D50FE3"/>
    <w:rsid w:val="00D6143E"/>
    <w:rsid w:val="00D86184"/>
    <w:rsid w:val="00D95E1C"/>
    <w:rsid w:val="00DA13E1"/>
    <w:rsid w:val="00DA1D62"/>
    <w:rsid w:val="00DA281D"/>
    <w:rsid w:val="00DA2FD1"/>
    <w:rsid w:val="00DA403F"/>
    <w:rsid w:val="00DA44F9"/>
    <w:rsid w:val="00DA4654"/>
    <w:rsid w:val="00DB1239"/>
    <w:rsid w:val="00DB315C"/>
    <w:rsid w:val="00DC02C6"/>
    <w:rsid w:val="00DC23F1"/>
    <w:rsid w:val="00DC2F94"/>
    <w:rsid w:val="00DC43C1"/>
    <w:rsid w:val="00DC7494"/>
    <w:rsid w:val="00DD34B1"/>
    <w:rsid w:val="00DD3D9E"/>
    <w:rsid w:val="00DD4CFB"/>
    <w:rsid w:val="00DD7908"/>
    <w:rsid w:val="00DD7FE8"/>
    <w:rsid w:val="00DE36E0"/>
    <w:rsid w:val="00DE4347"/>
    <w:rsid w:val="00DE6705"/>
    <w:rsid w:val="00DE7FA7"/>
    <w:rsid w:val="00DF2489"/>
    <w:rsid w:val="00DF45BA"/>
    <w:rsid w:val="00E01843"/>
    <w:rsid w:val="00E0460E"/>
    <w:rsid w:val="00E04E6C"/>
    <w:rsid w:val="00E059F8"/>
    <w:rsid w:val="00E112D4"/>
    <w:rsid w:val="00E15DCB"/>
    <w:rsid w:val="00E21328"/>
    <w:rsid w:val="00E24D38"/>
    <w:rsid w:val="00E2504D"/>
    <w:rsid w:val="00E2754C"/>
    <w:rsid w:val="00E27F0E"/>
    <w:rsid w:val="00E335AE"/>
    <w:rsid w:val="00E358A2"/>
    <w:rsid w:val="00E4063B"/>
    <w:rsid w:val="00E419ED"/>
    <w:rsid w:val="00E46B0D"/>
    <w:rsid w:val="00E4708E"/>
    <w:rsid w:val="00E60B0B"/>
    <w:rsid w:val="00E60EA2"/>
    <w:rsid w:val="00E624D9"/>
    <w:rsid w:val="00E642B6"/>
    <w:rsid w:val="00E70E6D"/>
    <w:rsid w:val="00E72376"/>
    <w:rsid w:val="00E770DE"/>
    <w:rsid w:val="00E81994"/>
    <w:rsid w:val="00E82297"/>
    <w:rsid w:val="00E86C77"/>
    <w:rsid w:val="00E90171"/>
    <w:rsid w:val="00E92D28"/>
    <w:rsid w:val="00EB058B"/>
    <w:rsid w:val="00EB1ECF"/>
    <w:rsid w:val="00EB2046"/>
    <w:rsid w:val="00EB4C9A"/>
    <w:rsid w:val="00EB71A2"/>
    <w:rsid w:val="00EC54AD"/>
    <w:rsid w:val="00ED5371"/>
    <w:rsid w:val="00ED5AB9"/>
    <w:rsid w:val="00ED6CAF"/>
    <w:rsid w:val="00EE1B09"/>
    <w:rsid w:val="00EE32CE"/>
    <w:rsid w:val="00EE5853"/>
    <w:rsid w:val="00EF39FD"/>
    <w:rsid w:val="00EF68D1"/>
    <w:rsid w:val="00F005C0"/>
    <w:rsid w:val="00F03CB7"/>
    <w:rsid w:val="00F05A62"/>
    <w:rsid w:val="00F06842"/>
    <w:rsid w:val="00F107FD"/>
    <w:rsid w:val="00F15843"/>
    <w:rsid w:val="00F17245"/>
    <w:rsid w:val="00F21B62"/>
    <w:rsid w:val="00F350AA"/>
    <w:rsid w:val="00F42C58"/>
    <w:rsid w:val="00F50F68"/>
    <w:rsid w:val="00F54C2A"/>
    <w:rsid w:val="00F60590"/>
    <w:rsid w:val="00F629AD"/>
    <w:rsid w:val="00F72844"/>
    <w:rsid w:val="00F75EAC"/>
    <w:rsid w:val="00F76CD4"/>
    <w:rsid w:val="00F77B49"/>
    <w:rsid w:val="00F84341"/>
    <w:rsid w:val="00F84966"/>
    <w:rsid w:val="00F91D0B"/>
    <w:rsid w:val="00FA1503"/>
    <w:rsid w:val="00FA33A4"/>
    <w:rsid w:val="00FA570D"/>
    <w:rsid w:val="00FA71E5"/>
    <w:rsid w:val="00FB1B42"/>
    <w:rsid w:val="00FB4905"/>
    <w:rsid w:val="00FB5F87"/>
    <w:rsid w:val="00FB64A8"/>
    <w:rsid w:val="00FC042F"/>
    <w:rsid w:val="00FC0834"/>
    <w:rsid w:val="00FC6471"/>
    <w:rsid w:val="00FE53BA"/>
    <w:rsid w:val="00FF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44DE67F"/>
  <w15:docId w15:val="{01EC0019-F15F-4D23-B04E-4C7047D3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66EC2"/>
    <w:pPr>
      <w:jc w:val="both"/>
    </w:pPr>
    <w:rPr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5730E"/>
    <w:pPr>
      <w:keepNext/>
      <w:keepLines/>
      <w:spacing w:before="240" w:after="160" w:line="360" w:lineRule="auto"/>
      <w:outlineLvl w:val="0"/>
    </w:pPr>
    <w:rPr>
      <w:rFonts w:eastAsiaTheme="majorEastAsia" w:cstheme="majorBidi"/>
      <w:b/>
      <w:sz w:val="36"/>
      <w:szCs w:val="32"/>
      <w:lang w:val="fr-FR"/>
    </w:rPr>
  </w:style>
  <w:style w:type="paragraph" w:styleId="Titre2">
    <w:name w:val="heading 2"/>
    <w:aliases w:val="Titre Publi"/>
    <w:basedOn w:val="Normal"/>
    <w:next w:val="Normal"/>
    <w:link w:val="Titre2Car"/>
    <w:uiPriority w:val="9"/>
    <w:unhideWhenUsed/>
    <w:qFormat/>
    <w:rsid w:val="00C5730E"/>
    <w:pPr>
      <w:keepNext/>
      <w:keepLines/>
      <w:spacing w:before="280" w:after="240"/>
      <w:outlineLvl w:val="1"/>
    </w:pPr>
    <w:rPr>
      <w:rFonts w:eastAsiaTheme="majorEastAsia" w:cstheme="majorBidi"/>
      <w:b/>
      <w:sz w:val="28"/>
      <w:szCs w:val="26"/>
      <w:lang w:val="fr-FR"/>
    </w:rPr>
  </w:style>
  <w:style w:type="paragraph" w:styleId="Titre3">
    <w:name w:val="heading 3"/>
    <w:basedOn w:val="Normal"/>
    <w:next w:val="Normal"/>
    <w:uiPriority w:val="9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573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Titre1"/>
    <w:next w:val="Normal"/>
    <w:link w:val="Titre5Car"/>
    <w:uiPriority w:val="9"/>
    <w:unhideWhenUsed/>
    <w:qFormat/>
    <w:rsid w:val="00C5730E"/>
    <w:pPr>
      <w:spacing w:before="40"/>
      <w:outlineLvl w:val="4"/>
    </w:p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730E"/>
    <w:pPr>
      <w:keepNext/>
      <w:keepLines/>
      <w:spacing w:before="40" w:after="160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730E"/>
    <w:pPr>
      <w:keepNext/>
      <w:keepLines/>
      <w:spacing w:before="40" w:after="1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730E"/>
    <w:pPr>
      <w:keepNext/>
      <w:keepLines/>
      <w:spacing w:before="40" w:after="1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730E"/>
    <w:pPr>
      <w:keepNext/>
      <w:keepLines/>
      <w:spacing w:before="40" w:after="1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Els-caption"/>
    <w:next w:val="Els-caption"/>
    <w:uiPriority w:val="35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Appeldenotedefin">
    <w:name w:val="endnote reference"/>
    <w:basedOn w:val="Policepardfaut"/>
    <w:semiHidden/>
    <w:rsid w:val="008B0184"/>
    <w:rPr>
      <w:vertAlign w:val="superscript"/>
    </w:rPr>
  </w:style>
  <w:style w:type="paragraph" w:styleId="En-tt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Pieddepage">
    <w:name w:val="footer"/>
    <w:basedOn w:val="En-tte"/>
    <w:rsid w:val="008B0184"/>
  </w:style>
  <w:style w:type="character" w:styleId="Appelnotedebasdep">
    <w:name w:val="footnote reference"/>
    <w:semiHidden/>
    <w:rsid w:val="008B0184"/>
    <w:rPr>
      <w:vertAlign w:val="superscript"/>
    </w:rPr>
  </w:style>
  <w:style w:type="paragraph" w:styleId="Notedebasdepage">
    <w:name w:val="footnote text"/>
    <w:basedOn w:val="Normal"/>
    <w:semiHidden/>
    <w:rsid w:val="008B0184"/>
    <w:rPr>
      <w:rFonts w:ascii="Univers" w:hAnsi="Univers"/>
    </w:rPr>
  </w:style>
  <w:style w:type="character" w:styleId="Lienhypertexte">
    <w:name w:val="Hyperlink"/>
    <w:basedOn w:val="Policepardfaut"/>
    <w:rsid w:val="008B0184"/>
    <w:rPr>
      <w:color w:val="0000FF"/>
      <w:u w:val="single"/>
    </w:rPr>
  </w:style>
  <w:style w:type="character" w:customStyle="1" w:styleId="MTEquationSection">
    <w:name w:val="MTEquationSection"/>
    <w:basedOn w:val="Policepardfaut"/>
    <w:rsid w:val="008B0184"/>
    <w:rPr>
      <w:vanish/>
      <w:color w:val="FF0000"/>
    </w:rPr>
  </w:style>
  <w:style w:type="character" w:styleId="Numrodepage">
    <w:name w:val="page number"/>
    <w:basedOn w:val="Policepardfaut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Policepardfaut"/>
    <w:rsid w:val="008B0184"/>
    <w:rPr>
      <w:sz w:val="18"/>
      <w:lang w:val="en-US" w:eastAsia="en-US" w:bidi="ar-SA"/>
    </w:rPr>
  </w:style>
  <w:style w:type="character" w:styleId="Marquedecommentaire">
    <w:name w:val="annotation reference"/>
    <w:basedOn w:val="Policepardfaut"/>
    <w:semiHidden/>
    <w:rsid w:val="008B0184"/>
    <w:rPr>
      <w:sz w:val="16"/>
      <w:szCs w:val="16"/>
    </w:rPr>
  </w:style>
  <w:style w:type="paragraph" w:styleId="Commentaire">
    <w:name w:val="annotation text"/>
    <w:basedOn w:val="Normal"/>
    <w:semiHidden/>
    <w:rsid w:val="008B0184"/>
  </w:style>
  <w:style w:type="paragraph" w:styleId="Objetducommentaire">
    <w:name w:val="annotation subject"/>
    <w:basedOn w:val="Commentaire"/>
    <w:next w:val="Commentaire"/>
    <w:semiHidden/>
    <w:rsid w:val="008B018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</w:style>
  <w:style w:type="character" w:customStyle="1" w:styleId="underline1">
    <w:name w:val="underline1"/>
    <w:basedOn w:val="Policepardfaut"/>
    <w:rsid w:val="00F06842"/>
    <w:rPr>
      <w:u w:val="single"/>
    </w:rPr>
  </w:style>
  <w:style w:type="paragraph" w:customStyle="1" w:styleId="ElsevierBodyTextCentredNospace">
    <w:name w:val="Elsevier Body Text Centred No space"/>
    <w:basedOn w:val="Normal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0225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467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6758F"/>
    <w:rPr>
      <w:color w:val="808080"/>
    </w:rPr>
  </w:style>
  <w:style w:type="character" w:styleId="CodeHTML">
    <w:name w:val="HTML Code"/>
    <w:basedOn w:val="Policepardfaut"/>
    <w:uiPriority w:val="99"/>
    <w:semiHidden/>
    <w:unhideWhenUsed/>
    <w:rsid w:val="003C0C02"/>
    <w:rPr>
      <w:rFonts w:ascii="Courier New" w:eastAsia="Times New Roman" w:hAnsi="Courier New" w:cs="Courier New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278EE"/>
    <w:pPr>
      <w:spacing w:before="120" w:after="160"/>
      <w:ind w:left="680"/>
      <w:contextualSpacing/>
    </w:pPr>
    <w:rPr>
      <w:rFonts w:eastAsiaTheme="minorHAnsi" w:cstheme="minorBidi"/>
      <w:sz w:val="22"/>
      <w:szCs w:val="22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C5730E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C5730E"/>
    <w:rPr>
      <w:rFonts w:eastAsiaTheme="majorEastAsia" w:cstheme="majorBidi"/>
      <w:b/>
      <w:sz w:val="36"/>
      <w:szCs w:val="32"/>
      <w:lang w:val="fr-FR" w:eastAsia="en-US"/>
    </w:rPr>
  </w:style>
  <w:style w:type="character" w:customStyle="1" w:styleId="Titre2Car">
    <w:name w:val="Titre 2 Car"/>
    <w:aliases w:val="Titre Publi Car"/>
    <w:basedOn w:val="Policepardfaut"/>
    <w:link w:val="Titre2"/>
    <w:uiPriority w:val="9"/>
    <w:rsid w:val="00C5730E"/>
    <w:rPr>
      <w:rFonts w:eastAsiaTheme="majorEastAsia" w:cstheme="majorBidi"/>
      <w:b/>
      <w:sz w:val="28"/>
      <w:szCs w:val="26"/>
      <w:lang w:val="fr-FR" w:eastAsia="en-US"/>
    </w:rPr>
  </w:style>
  <w:style w:type="character" w:customStyle="1" w:styleId="Titre5Car">
    <w:name w:val="Titre 5 Car"/>
    <w:basedOn w:val="Policepardfaut"/>
    <w:link w:val="Titre5"/>
    <w:uiPriority w:val="9"/>
    <w:rsid w:val="00C5730E"/>
    <w:rPr>
      <w:rFonts w:eastAsiaTheme="majorEastAsia" w:cstheme="majorBidi"/>
      <w:b/>
      <w:sz w:val="36"/>
      <w:szCs w:val="32"/>
      <w:lang w:val="fr-FR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C5730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fr-FR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C573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fr-FR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C573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C573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 w:eastAsia="en-US"/>
    </w:rPr>
  </w:style>
  <w:style w:type="paragraph" w:styleId="Bibliographie">
    <w:name w:val="Bibliography"/>
    <w:basedOn w:val="Normal"/>
    <w:next w:val="Normal"/>
    <w:uiPriority w:val="37"/>
    <w:unhideWhenUsed/>
    <w:rsid w:val="004321A0"/>
    <w:pPr>
      <w:spacing w:line="48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8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AB264-D66B-46DB-B5D4-120438373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165</TotalTime>
  <Pages>6</Pages>
  <Words>2727</Words>
  <Characters>15002</Characters>
  <Application>Microsoft Office Word</Application>
  <DocSecurity>0</DocSecurity>
  <Lines>125</Lines>
  <Paragraphs>35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Chapter</vt:lpstr>
      <vt:lpstr>Chapter</vt:lpstr>
      <vt:lpstr>Chapter</vt:lpstr>
    </vt:vector>
  </TitlesOfParts>
  <Company>Elsevier Science</Company>
  <LinksUpToDate>false</LinksUpToDate>
  <CharactersWithSpaces>17694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subject/>
  <dc:creator>Kostas</dc:creator>
  <cp:keywords/>
  <dc:description/>
  <cp:lastModifiedBy>Andres David Pina Martinez</cp:lastModifiedBy>
  <cp:revision>100</cp:revision>
  <cp:lastPrinted>2023-11-30T16:51:00Z</cp:lastPrinted>
  <dcterms:created xsi:type="dcterms:W3CDTF">2023-11-30T17:04:00Z</dcterms:created>
  <dcterms:modified xsi:type="dcterms:W3CDTF">2023-12-22T15:43:00Z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  <property fmtid="{D5CDD505-2E9C-101B-9397-08002B2CF9AE}" pid="10" name="ZOTERO_PREF_1">
    <vt:lpwstr>&lt;data data-version="3" zotero-version="5.0.82"&gt;&lt;session id="5eYYaJrx"/&gt;&lt;style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11" name="ZOTERO_PREF_2">
    <vt:lpwstr>alAbbreviations" value="true"/&gt;&lt;/prefs&gt;&lt;/data&gt;</vt:lpwstr>
  </property>
</Properties>
</file>