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15749" w14:textId="638C9EBC" w:rsidR="00AC199D" w:rsidRPr="00F962EA" w:rsidRDefault="00F962EA" w:rsidP="00F962EA">
      <w:pPr>
        <w:jc w:val="both"/>
        <w:rPr>
          <w:b/>
          <w:sz w:val="32"/>
          <w:szCs w:val="32"/>
        </w:rPr>
      </w:pPr>
      <w:bookmarkStart w:id="0" w:name="_Hlk152677848"/>
      <w:r w:rsidRPr="00F962EA">
        <w:rPr>
          <w:b/>
          <w:sz w:val="32"/>
          <w:szCs w:val="32"/>
        </w:rPr>
        <w:t>Investigating Fluid Flow Dynamics in Triply Periodic Minimal Surfaces (TPMS) Structures Using CFD Simulation</w:t>
      </w:r>
    </w:p>
    <w:bookmarkEnd w:id="0"/>
    <w:p w14:paraId="289F2D00" w14:textId="77777777" w:rsidR="00AC199D" w:rsidRDefault="00596F1D">
      <w:pPr>
        <w:jc w:val="both"/>
        <w:rPr>
          <w:sz w:val="22"/>
          <w:szCs w:val="22"/>
          <w:vertAlign w:val="superscript"/>
        </w:rPr>
      </w:pPr>
      <w:r>
        <w:rPr>
          <w:sz w:val="22"/>
          <w:szCs w:val="22"/>
        </w:rPr>
        <w:t xml:space="preserve">Kasimhussen </w:t>
      </w:r>
      <w:proofErr w:type="spellStart"/>
      <w:proofErr w:type="gramStart"/>
      <w:r>
        <w:rPr>
          <w:sz w:val="22"/>
          <w:szCs w:val="22"/>
        </w:rPr>
        <w:t>Vhora,</w:t>
      </w:r>
      <w:r>
        <w:rPr>
          <w:sz w:val="22"/>
          <w:szCs w:val="22"/>
          <w:vertAlign w:val="superscript"/>
        </w:rPr>
        <w:t>a</w:t>
      </w:r>
      <w:proofErr w:type="gramEnd"/>
      <w:r>
        <w:rPr>
          <w:sz w:val="22"/>
          <w:szCs w:val="22"/>
          <w:vertAlign w:val="superscript"/>
        </w:rPr>
        <w:t>,b</w:t>
      </w:r>
      <w:proofErr w:type="spellEnd"/>
      <w:r>
        <w:rPr>
          <w:sz w:val="22"/>
          <w:szCs w:val="22"/>
          <w:vertAlign w:val="superscript"/>
        </w:rPr>
        <w:t xml:space="preserve"> </w:t>
      </w:r>
      <w:r>
        <w:rPr>
          <w:sz w:val="22"/>
          <w:szCs w:val="22"/>
        </w:rPr>
        <w:t xml:space="preserve">Tanya </w:t>
      </w:r>
      <w:proofErr w:type="spellStart"/>
      <w:r>
        <w:rPr>
          <w:sz w:val="22"/>
          <w:szCs w:val="22"/>
        </w:rPr>
        <w:t>Neeraj,</w:t>
      </w:r>
      <w:r>
        <w:rPr>
          <w:sz w:val="22"/>
          <w:szCs w:val="22"/>
          <w:vertAlign w:val="superscript"/>
        </w:rPr>
        <w:t>b</w:t>
      </w:r>
      <w:proofErr w:type="spellEnd"/>
      <w:r>
        <w:rPr>
          <w:sz w:val="22"/>
          <w:szCs w:val="22"/>
        </w:rPr>
        <w:t xml:space="preserve"> Dominique </w:t>
      </w:r>
      <w:proofErr w:type="spellStart"/>
      <w:r>
        <w:rPr>
          <w:sz w:val="22"/>
          <w:szCs w:val="22"/>
        </w:rPr>
        <w:t>Thévenin</w:t>
      </w:r>
      <w:proofErr w:type="spellEnd"/>
      <w:r>
        <w:rPr>
          <w:sz w:val="22"/>
          <w:szCs w:val="22"/>
        </w:rPr>
        <w:t>,</w:t>
      </w:r>
      <w:r>
        <w:rPr>
          <w:sz w:val="22"/>
          <w:szCs w:val="22"/>
          <w:vertAlign w:val="superscript"/>
        </w:rPr>
        <w:t xml:space="preserve"> b</w:t>
      </w:r>
      <w:r>
        <w:rPr>
          <w:sz w:val="22"/>
          <w:szCs w:val="22"/>
        </w:rPr>
        <w:t xml:space="preserve"> </w:t>
      </w:r>
      <w:proofErr w:type="spellStart"/>
      <w:r>
        <w:rPr>
          <w:sz w:val="22"/>
          <w:szCs w:val="22"/>
        </w:rPr>
        <w:t>Gábor</w:t>
      </w:r>
      <w:proofErr w:type="spellEnd"/>
      <w:r>
        <w:rPr>
          <w:sz w:val="22"/>
          <w:szCs w:val="22"/>
        </w:rPr>
        <w:t xml:space="preserve"> </w:t>
      </w:r>
      <w:proofErr w:type="spellStart"/>
      <w:r>
        <w:rPr>
          <w:sz w:val="22"/>
          <w:szCs w:val="22"/>
        </w:rPr>
        <w:t>Janiga,</w:t>
      </w:r>
      <w:r>
        <w:rPr>
          <w:sz w:val="22"/>
          <w:szCs w:val="22"/>
          <w:vertAlign w:val="superscript"/>
        </w:rPr>
        <w:t>b</w:t>
      </w:r>
      <w:proofErr w:type="spellEnd"/>
      <w:r>
        <w:rPr>
          <w:sz w:val="22"/>
          <w:szCs w:val="22"/>
        </w:rPr>
        <w:t xml:space="preserve"> Kai </w:t>
      </w:r>
      <w:proofErr w:type="spellStart"/>
      <w:r>
        <w:rPr>
          <w:sz w:val="22"/>
          <w:szCs w:val="22"/>
        </w:rPr>
        <w:t>Sundmacher</w:t>
      </w:r>
      <w:proofErr w:type="spellEnd"/>
      <w:r>
        <w:rPr>
          <w:sz w:val="22"/>
          <w:szCs w:val="22"/>
          <w:vertAlign w:val="superscript"/>
        </w:rPr>
        <w:t xml:space="preserve"> </w:t>
      </w:r>
      <w:proofErr w:type="spellStart"/>
      <w:r>
        <w:rPr>
          <w:sz w:val="22"/>
          <w:szCs w:val="22"/>
          <w:vertAlign w:val="superscript"/>
        </w:rPr>
        <w:t>a,b</w:t>
      </w:r>
      <w:proofErr w:type="spellEnd"/>
      <w:r>
        <w:rPr>
          <w:sz w:val="22"/>
          <w:szCs w:val="22"/>
          <w:vertAlign w:val="superscript"/>
        </w:rPr>
        <w:t>,*</w:t>
      </w:r>
    </w:p>
    <w:p w14:paraId="7D8E28DF" w14:textId="77777777" w:rsidR="00AC199D" w:rsidRPr="00F609EB" w:rsidRDefault="00596F1D">
      <w:pPr>
        <w:jc w:val="both"/>
        <w:rPr>
          <w:i/>
          <w:lang w:val="de-DE"/>
        </w:rPr>
      </w:pPr>
      <w:proofErr w:type="spellStart"/>
      <w:r>
        <w:rPr>
          <w:i/>
          <w:vertAlign w:val="superscript"/>
        </w:rPr>
        <w:t>a</w:t>
      </w:r>
      <w:r>
        <w:rPr>
          <w:i/>
        </w:rPr>
        <w:t>Max</w:t>
      </w:r>
      <w:proofErr w:type="spellEnd"/>
      <w:r>
        <w:rPr>
          <w:i/>
        </w:rPr>
        <w:t xml:space="preserve"> Planck Institute for Dynamics of Complex Technical Systems, </w:t>
      </w:r>
      <w:proofErr w:type="spellStart"/>
      <w:r>
        <w:rPr>
          <w:i/>
        </w:rPr>
        <w:t>Sandtorstr</w:t>
      </w:r>
      <w:proofErr w:type="spellEnd"/>
      <w:r>
        <w:rPr>
          <w:i/>
        </w:rPr>
        <w:t xml:space="preserve">. </w:t>
      </w:r>
      <w:r w:rsidRPr="00F609EB">
        <w:rPr>
          <w:i/>
          <w:lang w:val="de-DE"/>
        </w:rPr>
        <w:t>1, 39106 Magdeburg, Germany</w:t>
      </w:r>
    </w:p>
    <w:p w14:paraId="51C2E4FA" w14:textId="77777777" w:rsidR="00AC199D" w:rsidRPr="00F609EB" w:rsidRDefault="00596F1D">
      <w:pPr>
        <w:spacing w:line="276" w:lineRule="auto"/>
        <w:jc w:val="both"/>
        <w:rPr>
          <w:i/>
          <w:lang w:val="de-DE"/>
        </w:rPr>
      </w:pPr>
      <w:proofErr w:type="spellStart"/>
      <w:r w:rsidRPr="00F609EB">
        <w:rPr>
          <w:i/>
          <w:vertAlign w:val="superscript"/>
          <w:lang w:val="de-DE"/>
        </w:rPr>
        <w:t>b</w:t>
      </w:r>
      <w:r w:rsidRPr="00F609EB">
        <w:rPr>
          <w:i/>
          <w:lang w:val="de-DE"/>
        </w:rPr>
        <w:t>Otto</w:t>
      </w:r>
      <w:proofErr w:type="spellEnd"/>
      <w:r w:rsidRPr="00F609EB">
        <w:rPr>
          <w:i/>
          <w:lang w:val="de-DE"/>
        </w:rPr>
        <w:t xml:space="preserve"> von Guericke University Magdeburg, Universitätsplatz 2, 39106 Magdeburg, Germany</w:t>
      </w:r>
    </w:p>
    <w:p w14:paraId="3CD72F4D" w14:textId="77777777" w:rsidR="00AC199D" w:rsidRPr="00F609EB" w:rsidRDefault="00596F1D">
      <w:pPr>
        <w:spacing w:line="276" w:lineRule="auto"/>
        <w:jc w:val="both"/>
        <w:rPr>
          <w:i/>
          <w:lang w:val="de-DE"/>
        </w:rPr>
      </w:pPr>
      <w:r w:rsidRPr="00F609EB">
        <w:rPr>
          <w:lang w:val="de-DE"/>
        </w:rPr>
        <w:t>kai.sundmacher@ovgu.de</w:t>
      </w:r>
    </w:p>
    <w:p w14:paraId="263E66B4" w14:textId="77777777" w:rsidR="00AC199D" w:rsidRDefault="00596F1D">
      <w:pPr>
        <w:keepNext/>
        <w:spacing w:before="240" w:after="60"/>
        <w:jc w:val="both"/>
      </w:pPr>
      <w:r>
        <w:rPr>
          <w:b/>
          <w:sz w:val="22"/>
          <w:szCs w:val="22"/>
        </w:rPr>
        <w:t>Abstract</w:t>
      </w:r>
    </w:p>
    <w:p w14:paraId="1F67C46E" w14:textId="5A57ADA0" w:rsidR="004D6F1B" w:rsidRDefault="00DA0ECF">
      <w:pPr>
        <w:spacing w:after="120"/>
        <w:jc w:val="both"/>
      </w:pPr>
      <w:r w:rsidRPr="00F609EB">
        <w:t xml:space="preserve">Efficient absorption processes </w:t>
      </w:r>
      <w:r>
        <w:t>require optimized</w:t>
      </w:r>
      <w:r w:rsidRPr="00F609EB">
        <w:t xml:space="preserve"> packed bed column structures, which affect gas-liquid contact, flow distribution, and pressure drop.</w:t>
      </w:r>
      <w:r>
        <w:t xml:space="preserve"> </w:t>
      </w:r>
      <w:r>
        <w:rPr>
          <w:color w:val="000000"/>
        </w:rPr>
        <w:t xml:space="preserve">An optimal </w:t>
      </w:r>
      <w:r>
        <w:t>setup</w:t>
      </w:r>
      <w:r>
        <w:rPr>
          <w:color w:val="000000"/>
        </w:rPr>
        <w:t xml:space="preserve"> ensures efficient mass transfer with high surface area while keeping down the pressure drop, which leads to energy savings and better absorption. </w:t>
      </w:r>
      <w:r w:rsidRPr="00F609EB">
        <w:t xml:space="preserve">TPMS structures such as the Gyroid, Schwarz-P, and Schwarz-D </w:t>
      </w:r>
      <w:r>
        <w:t>were</w:t>
      </w:r>
      <w:r w:rsidRPr="00F609EB">
        <w:t xml:space="preserve"> investigated in this study, with a focus on balancing </w:t>
      </w:r>
      <w:r>
        <w:t>porosity</w:t>
      </w:r>
      <w:r w:rsidRPr="00F609EB">
        <w:t xml:space="preserve"> and surface area to achieve reduced pressure drops and optimal phase contact.</w:t>
      </w:r>
      <w:r>
        <w:t xml:space="preserve"> </w:t>
      </w:r>
      <w:r w:rsidRPr="00F609EB">
        <w:t xml:space="preserve">Single-phase </w:t>
      </w:r>
      <w:r>
        <w:t>flow</w:t>
      </w:r>
      <w:r w:rsidRPr="00F609EB">
        <w:t xml:space="preserve"> simulations were conducted using </w:t>
      </w:r>
      <w:r>
        <w:t xml:space="preserve">the commercial software </w:t>
      </w:r>
      <w:r w:rsidRPr="00F609EB">
        <w:t xml:space="preserve">STAR-CCM+, </w:t>
      </w:r>
      <w:r>
        <w:t>compared to</w:t>
      </w:r>
      <w:r w:rsidRPr="00F609EB">
        <w:t xml:space="preserve"> the </w:t>
      </w:r>
      <w:r>
        <w:t>l</w:t>
      </w:r>
      <w:r w:rsidRPr="00F609EB">
        <w:t xml:space="preserve">attice Boltzmann </w:t>
      </w:r>
      <w:r w:rsidR="00896DAD">
        <w:t>m</w:t>
      </w:r>
      <w:r w:rsidRPr="00F609EB">
        <w:t>ethod (LBM) to provide an alternative perspective on fluid dynamics.</w:t>
      </w:r>
      <w:r>
        <w:t xml:space="preserve"> Validation, analysis of the results and identification of possible improvements were achieved through these comparisons. </w:t>
      </w:r>
      <w:r w:rsidRPr="004D6F1B">
        <w:t xml:space="preserve">According to the results, </w:t>
      </w:r>
      <w:bookmarkStart w:id="1" w:name="_Hlk151561939"/>
      <w:r>
        <w:t>the</w:t>
      </w:r>
      <w:r w:rsidRPr="004D6F1B">
        <w:t xml:space="preserve"> Schwarz-D structure with 70% porosity and 2 mm unit cell </w:t>
      </w:r>
      <w:r>
        <w:t>leads to</w:t>
      </w:r>
      <w:r w:rsidRPr="004D6F1B">
        <w:t xml:space="preserve"> the best performance, exhibiting a pressure drop of 655 </w:t>
      </w:r>
      <w:r>
        <w:t>Pa m</w:t>
      </w:r>
      <w:r>
        <w:rPr>
          <w:vertAlign w:val="superscript"/>
        </w:rPr>
        <w:t>-1</w:t>
      </w:r>
      <w:r w:rsidRPr="004D6F1B">
        <w:t xml:space="preserve"> and a specific surface area of 1776 </w:t>
      </w:r>
      <w:r>
        <w:t>m</w:t>
      </w:r>
      <w:r>
        <w:rPr>
          <w:vertAlign w:val="superscript"/>
        </w:rPr>
        <w:t>2</w:t>
      </w:r>
      <w:r>
        <w:t xml:space="preserve"> m</w:t>
      </w:r>
      <w:r>
        <w:rPr>
          <w:vertAlign w:val="superscript"/>
        </w:rPr>
        <w:t>-3</w:t>
      </w:r>
      <w:r>
        <w:t xml:space="preserve"> </w:t>
      </w:r>
      <w:bookmarkEnd w:id="1"/>
      <w:r w:rsidRPr="004D6F1B">
        <w:t xml:space="preserve">when analysed with STAR-CCM+. </w:t>
      </w:r>
      <w:bookmarkStart w:id="2" w:name="_Hlk151562024"/>
      <w:r>
        <w:t>T</w:t>
      </w:r>
      <w:r w:rsidRPr="004D6F1B">
        <w:t xml:space="preserve">he </w:t>
      </w:r>
      <w:r>
        <w:t xml:space="preserve">predicted </w:t>
      </w:r>
      <w:r w:rsidRPr="004D6F1B">
        <w:t xml:space="preserve">pressure drop </w:t>
      </w:r>
      <w:r>
        <w:t>was</w:t>
      </w:r>
      <w:r w:rsidRPr="004D6F1B">
        <w:t xml:space="preserve"> successfully </w:t>
      </w:r>
      <w:r>
        <w:t>confirmed</w:t>
      </w:r>
      <w:r w:rsidRPr="004D6F1B">
        <w:t xml:space="preserve"> using LBM simulations</w:t>
      </w:r>
      <w:bookmarkEnd w:id="2"/>
      <w:r w:rsidRPr="004D6F1B">
        <w:t>, adding robustness to the findings</w:t>
      </w:r>
      <w:r w:rsidR="004D6F1B" w:rsidRPr="004D6F1B">
        <w:t>.</w:t>
      </w:r>
    </w:p>
    <w:p w14:paraId="62210485" w14:textId="27B74EE4" w:rsidR="00882522" w:rsidRDefault="00882522">
      <w:pPr>
        <w:spacing w:after="120"/>
        <w:jc w:val="both"/>
      </w:pPr>
      <w:r>
        <w:rPr>
          <w:b/>
          <w:color w:val="000000"/>
        </w:rPr>
        <w:t>Keywords</w:t>
      </w:r>
      <w:r>
        <w:rPr>
          <w:color w:val="000000"/>
        </w:rPr>
        <w:t xml:space="preserve">: </w:t>
      </w:r>
      <w:r w:rsidRPr="00EB17DD">
        <w:rPr>
          <w:iCs/>
          <w:color w:val="000000"/>
        </w:rPr>
        <w:t xml:space="preserve">Computational Fluid Dynamic, TPMS Structure, Pressure </w:t>
      </w:r>
      <w:r w:rsidRPr="00EB17DD">
        <w:rPr>
          <w:iCs/>
        </w:rPr>
        <w:t>Drop</w:t>
      </w:r>
      <w:r w:rsidRPr="00EB17DD">
        <w:rPr>
          <w:iCs/>
          <w:color w:val="000000"/>
        </w:rPr>
        <w:t>, LBM.</w:t>
      </w:r>
    </w:p>
    <w:p w14:paraId="12A477B2" w14:textId="4EF7EBA9" w:rsidR="00AC199D" w:rsidRPr="00A8488A" w:rsidRDefault="00A8488A" w:rsidP="00A8488A">
      <w:pPr>
        <w:pStyle w:val="Els-1storder-head"/>
      </w:pPr>
      <w:r w:rsidRPr="00A8488A">
        <w:rPr>
          <w:szCs w:val="22"/>
        </w:rPr>
        <w:t>I</w:t>
      </w:r>
      <w:r w:rsidR="00596F1D" w:rsidRPr="00A8488A">
        <w:rPr>
          <w:szCs w:val="22"/>
        </w:rPr>
        <w:t>ntroduction</w:t>
      </w:r>
    </w:p>
    <w:p w14:paraId="4A90B211" w14:textId="2E93F0EE" w:rsidR="00AC199D" w:rsidRDefault="00596F1D">
      <w:pPr>
        <w:spacing w:after="120"/>
        <w:jc w:val="both"/>
      </w:pPr>
      <w:r>
        <w:t xml:space="preserve">Optimizing packed bed column structures is vital for various chemical engineering and industrial separation processes. Structured packings play a key role in enhancing mass transfer, with success dependent on factors like separation efficiency, minimal pressure drop, and maximal capacity </w:t>
      </w:r>
      <w:r w:rsidR="00D67266">
        <w:fldChar w:fldCharType="begin"/>
      </w:r>
      <w:r w:rsidR="00BC1D62">
        <w:instrText xml:space="preserve"> ADDIN ZOTERO_ITEM CSL_CITATION {"citationID":"0hAuSRaG","properties":{"formattedCitation":"(Lange and Fieg, 2022)","plainCitation":"(Lange and Fieg, 2022)","noteIndex":0},"citationItems":[{"id":246,"uris":["http://zotero.org/users/10474570/items/PVA3UUZ4"],"itemData":{"id":246,"type":"chapter","abstract":"Additive manufacturing (AM) reveals a completely new freedom in design and development of structured packings for thermal separation columns. This potential might lead to the next generation of high-performance packings, but it can only be fully used if novel design methods are developed. One of these innovative design methods is presented in this contribution. A topology optimization approach based on the coupling of a stochastic optimization algorithm and computational fluid dynamics (CFD) simulations is applied to generatively design structured packings. By its application, novel structured packing shapes may be found. Binary elements, which are either defined as packing material or as empty elements, are considered as design variables in a defined design space. A multi-objective genetic algorithm with tailored process- and manufacturing- related constraints is used to identify the best packing material distribution within the column shell, revealing minimized pressure drop and maximized surface area. In this paper, the optimization tool and CFD model are presented before selected results of an exemplary topology optimization study are given. The objective of this study is the development of a packing element for a lab scale distillation column. The promising results prove the viability of the design method, showing that it is possible to generatively design structured packings algorithm-based and without any well-defined initial packing geometries as starting point.","collection-title":"Computer Aided Chemical Engineering","container-title":"14th International Symposium on Process Systems Engineering","page":"1291-1296","publisher":"Elsevier","title":"Designing Novel Structured Packings by Topology Optimization and Additive Manufacturing","volume":"49","editor":[{"family":"Yamashita","given":"Yoshiyuki"},{"family":"Kano","given":"Manabu"}],"author":[{"family":"Lange","given":"Andreas"},{"family":"Fieg","given":"Georg"}],"issued":{"date-parts":[["2022"]]}}}],"schema":"https://github.com/citation-style-language/schema/raw/master/csl-citation.json"} </w:instrText>
      </w:r>
      <w:r w:rsidR="00D67266">
        <w:fldChar w:fldCharType="separate"/>
      </w:r>
      <w:r w:rsidR="00D67266" w:rsidRPr="00D67266">
        <w:t>(</w:t>
      </w:r>
      <w:r w:rsidR="00D67266" w:rsidRPr="00D67266">
        <w:rPr>
          <w:color w:val="0070C0"/>
        </w:rPr>
        <w:t>Lange and Fieg, 2022</w:t>
      </w:r>
      <w:r w:rsidR="00D67266" w:rsidRPr="00D67266">
        <w:t>)</w:t>
      </w:r>
      <w:r w:rsidR="00D67266">
        <w:fldChar w:fldCharType="end"/>
      </w:r>
      <w:r>
        <w:t xml:space="preserve">. </w:t>
      </w:r>
      <w:r w:rsidR="00CC4DED">
        <w:rPr>
          <w:color w:val="000000"/>
        </w:rPr>
        <w:t xml:space="preserve">Innovations in packing design, such as </w:t>
      </w:r>
      <w:r w:rsidR="00CC4DED">
        <w:t>3D-printed</w:t>
      </w:r>
      <w:r w:rsidR="00CC4DED">
        <w:rPr>
          <w:color w:val="000000"/>
        </w:rPr>
        <w:t xml:space="preserve"> structured packings made from materials like clear resin and polyamide allow for fine-tuning of geometric parameters to improve performance </w:t>
      </w:r>
      <w:r w:rsidR="00D67266">
        <w:rPr>
          <w:color w:val="000000"/>
        </w:rPr>
        <w:fldChar w:fldCharType="begin"/>
      </w:r>
      <w:r w:rsidR="00BC1D62">
        <w:rPr>
          <w:color w:val="000000"/>
        </w:rPr>
        <w:instrText xml:space="preserve"> ADDIN ZOTERO_ITEM CSL_CITATION {"citationID":"ELS1QBlg","properties":{"formattedCitation":"(Kawas et al., 2021)","plainCitation":"(Kawas et al., 2021)","noteIndex":0},"citationItems":[{"id":247,"uris":["http://zotero.org/users/10474570/items/BXX8L36P"],"itemData":{"id":247,"type":"article-journal","abstract":"An innovative-structured packing (for distillation and absorption columns) based on cylindrical wires is 3D printed in polyamide and stainless steel. Several configurations are designed by modifying some geometrical parameters, such as the wire diameter and length. Hydrodynamic and mass transfer studies are executed on the printed structures and on a reference internal (Mellapak 250Y) to characterize their performances. These new packings show some promising results. Most of the designed configurations are characterized by a high packing capacity and a good mass transfer efficiency. Hence, these structures can be successfully implemented in a distillation or absorption column.","container-title":"Chemical Engineering Research and Design","ISSN":"0263-8762","journalAbbreviation":"Chemical Engineering Research and Design","page":"189-203","source":"ScienceDirect","title":"Design and conception of an innovative packing for separation column – Part II: Design and characterization of a wire based packing","title-short":"Design and conception of an innovative packing for separation column – Part II","URL":"https://www.sciencedirect.com/science/article/pii/S0263876221001374","volume":"169","author":[{"family":"Kawas","given":"Beatrice"},{"family":"Mizzi","given":"Benoit"},{"family":"Dejean","given":"Baptiste"},{"family":"Rouzineau","given":"David"},{"family":"Meyer","given":"Michel"}],"accessed":{"date-parts":[["2023",11,14]]},"issued":{"date-parts":[["2021",5,1]]}}}],"schema":"https://github.com/citation-style-language/schema/raw/master/csl-citation.json"} </w:instrText>
      </w:r>
      <w:r w:rsidR="00D67266">
        <w:rPr>
          <w:color w:val="000000"/>
        </w:rPr>
        <w:fldChar w:fldCharType="separate"/>
      </w:r>
      <w:r w:rsidR="00D67266" w:rsidRPr="00D67266">
        <w:rPr>
          <w:color w:val="0070C0"/>
        </w:rPr>
        <w:t>(Kawas et al., 2021</w:t>
      </w:r>
      <w:r w:rsidR="00D67266" w:rsidRPr="00D67266">
        <w:t>)</w:t>
      </w:r>
      <w:r w:rsidR="00D67266">
        <w:rPr>
          <w:color w:val="000000"/>
        </w:rPr>
        <w:fldChar w:fldCharType="end"/>
      </w:r>
      <w:r>
        <w:t>.</w:t>
      </w:r>
    </w:p>
    <w:p w14:paraId="27978C75" w14:textId="00DB0BD2" w:rsidR="00D67266" w:rsidRDefault="00206016">
      <w:pPr>
        <w:spacing w:after="120"/>
        <w:jc w:val="both"/>
      </w:pPr>
      <w:r>
        <w:t xml:space="preserve">TPMS (Triply Periodic Minimal Surface) structures offer low-pressure drops, contributing to energy savings, and possess considerable structural strength for durability. The modern manufacturing method, 3D printing, provides the ability to easily adjust designs, enabling the creation of specialized solutions that meet the particular requirements of industrial separation processes. This makes TPMS a forward-thinking and efficient option for such applications. </w:t>
      </w:r>
      <w:r>
        <w:rPr>
          <w:color w:val="000000"/>
        </w:rPr>
        <w:t>In the context of packed columns, the optimization variables of high specific surface area and low-pressure drop are intrinsically linked to the performance efficiency of the columns</w:t>
      </w:r>
      <w:r w:rsidR="00596F1D">
        <w:t xml:space="preserve"> </w:t>
      </w:r>
      <w:r w:rsidR="00D67266">
        <w:fldChar w:fldCharType="begin"/>
      </w:r>
      <w:r w:rsidR="00BC1D62">
        <w:instrText xml:space="preserve"> ADDIN ZOTERO_ITEM CSL_CITATION {"citationID":"fKF4WVQl","properties":{"formattedCitation":"(Rix and Olujic, 2008)","plainCitation":"(Rix and Olujic, 2008)","noteIndex":0},"citationItems":[{"id":249,"uris":["http://zotero.org/users/10474570/items/R8ZP2WWP"],"itemData":{"id":249,"type":"article-journal","abstract":"Because of their low pressure drop per equilibrium stage, random and particularly structured packings are frequently used in vacuum distillation. For applications requiring operation at absolute pressures below 100mbar usually the total allowable pressure drop is specified. Demanding separations require frequent collection and redistribution of liquid. This means dealing with an additional source of pressure drop which is usually ignored, taking into account the pressure drop of the irrigated packed bed only. Unfortunately only scarce data on the pressure drop of liquid and vapour redistribution sections can be found in open literature. In this paper, the available pressure drop data for liquid collectors and distributors are evaluated. A simple first principles pressure drop model for liquid collectors and distributors is derived and validated by comparison with experimental data. Open area is the key variable in the design of low pressure drop internals, however all internals investigated exhibited certain liquid loading effect, which is accounted for by corresponding pressure drop enhancement factor. The pressure drop model presented offers a practical guideline for the evaluation of internals for packed columns.","container-title":"Chemical Engineering and Processing: Process Intensification","ISSN":"0255-2701","issue":"9","journalAbbreviation":"Chemical Engineering and Processing: Process Intensification","page":"1520-1529","source":"ScienceDirect","title":"Pressure drop of internals for packed columns","volume":"47","author":[{"family":"Rix","given":"A."},{"family":"Olujic","given":"Z."}],"accessed":{"date-parts":[["2023",11,14]]},"issued":{"date-parts":[["2008",9,1]]}}}],"schema":"https://github.com/citation-style-language/schema/raw/master/csl-citation.json"} </w:instrText>
      </w:r>
      <w:r w:rsidR="00D67266">
        <w:fldChar w:fldCharType="separate"/>
      </w:r>
      <w:r w:rsidR="00D67266" w:rsidRPr="00D67266">
        <w:rPr>
          <w:color w:val="0070C0"/>
        </w:rPr>
        <w:t>(Rix and Olujic, 2008</w:t>
      </w:r>
      <w:r w:rsidR="00D67266" w:rsidRPr="00D67266">
        <w:t>)</w:t>
      </w:r>
      <w:r w:rsidR="00D67266">
        <w:fldChar w:fldCharType="end"/>
      </w:r>
      <w:r w:rsidR="00596F1D">
        <w:t xml:space="preserve">. Efficiency in packed columns involves a trade-off between high-surface-area packing for </w:t>
      </w:r>
      <w:r w:rsidR="00596F1D">
        <w:lastRenderedPageBreak/>
        <w:t xml:space="preserve">efficiency but </w:t>
      </w:r>
      <w:r w:rsidR="00DA0ECF">
        <w:t>limited</w:t>
      </w:r>
      <w:r w:rsidR="00596F1D">
        <w:t xml:space="preserve"> capacity</w:t>
      </w:r>
      <w:r w:rsidR="00DA0ECF">
        <w:t>, or</w:t>
      </w:r>
      <w:r w:rsidR="00596F1D">
        <w:t xml:space="preserve"> low surface area for high capacity but lower efficiency </w:t>
      </w:r>
      <w:r w:rsidR="00D67266">
        <w:fldChar w:fldCharType="begin"/>
      </w:r>
      <w:r w:rsidR="00C82160">
        <w:instrText xml:space="preserve"> ADDIN ZOTERO_ITEM CSL_CITATION {"citationID":"DKbvonPf","properties":{"formattedCitation":"(Jaya and Kolmetz, 2020)","plainCitation":"(Jaya and Kolmetz, 2020)","noteIndex":0},"citationItems":[{"id":254,"uris":["http://zotero.org/users/10474570/items/4LZKB5C7"],"itemData":{"id":254,"type":"article-journal","abstract":"This design guideline covers the basic element of packed hydraulics in sufficient detail\nto allow an engineer to design a packed column with the suitable size, material and\nhydraulic characteristic of packed. The selection of type, material, and hydraulic\ncharacteristic of packing should be considered on surface area because it is essentially\nfor heat and mass transfer.\n\nThe choice of packing and distributor design is crucial to maintain the reliability of a\nfouling service column. The performance of a packed column is dependent on the\nmaintenance of good liquid and vapor distribution throughout the packed bed and it is\nimportant consideration in packed column design. The internal fittings in a packed\ncolumn are simpler than those in a plate column but must be carefully designed to\nensure good performance.","container-title":"KLM Technology Group","source":"ResearchGate","title":"Distillation Column Packing Hydraulics Selection, Sizing And Troubleshooting, Kolmetz Handbook Of Process Equipment Design","author":[{"family":"Jaya","given":"Aprilia"},{"family":"Kolmetz","given":"Karl"}],"issued":{"date-parts":[["2020",3,27]]}}}],"schema":"https://github.com/citation-style-language/schema/raw/master/csl-citation.json"} </w:instrText>
      </w:r>
      <w:r w:rsidR="00D67266">
        <w:fldChar w:fldCharType="separate"/>
      </w:r>
      <w:r w:rsidR="00D67266" w:rsidRPr="00D67266">
        <w:t>(</w:t>
      </w:r>
      <w:r w:rsidR="00D67266" w:rsidRPr="00D67266">
        <w:rPr>
          <w:color w:val="0070C0"/>
        </w:rPr>
        <w:t>Jaya and Kolmetz, 2020</w:t>
      </w:r>
      <w:r w:rsidR="00D67266" w:rsidRPr="00D67266">
        <w:t>)</w:t>
      </w:r>
      <w:r w:rsidR="00D67266">
        <w:fldChar w:fldCharType="end"/>
      </w:r>
      <w:r w:rsidR="00596F1D">
        <w:t xml:space="preserve">. </w:t>
      </w:r>
    </w:p>
    <w:p w14:paraId="67EE82AE" w14:textId="2DCCD9AB" w:rsidR="00AC199D" w:rsidRDefault="00596F1D">
      <w:pPr>
        <w:spacing w:after="120"/>
        <w:jc w:val="both"/>
      </w:pPr>
      <w:r>
        <w:t>Hawken et al. conducted experimental studies on 3D-printed Schwarz-D TPMS structure, focusing on their impact on pressure drop in chemical engineering applications. Their research measured pressure drop per unit length over two different lengths (46 mm and 89 mm) of Schwarz-D packing with a unit cell size of 3.14 mm and various velocities within the Reynolds number range of 1-1000</w:t>
      </w:r>
      <w:r w:rsidR="00D67266">
        <w:t xml:space="preserve"> </w:t>
      </w:r>
      <w:r w:rsidR="00D67266">
        <w:fldChar w:fldCharType="begin"/>
      </w:r>
      <w:r w:rsidR="00BC1D62">
        <w:instrText xml:space="preserve"> ADDIN ZOTERO_ITEM CSL_CITATION {"citationID":"ERVkz9HH","properties":{"formattedCitation":"(Hawken et al., 2023)","plainCitation":"(Hawken et al., 2023)","noteIndex":0},"citationItems":[{"id":262,"uris":["http://zotero.org/users/10474570/items/7STNBRMW"],"itemData":{"id":262,"type":"article-journal","abstract":"Additive manufacturing (3D printing) is enabling novel porous structures such as triply periodic minimal surfaces (TPMS) that may help improve the efficiency of various applications in chemical engineering. In this work, a range of Schwarz-Diamond TPMS structures were examined experimentally in terms of printability and pressure drop. X-ray computed tomography scans were used to show that the shape of the structures was accurately printed, however a systematic reduction in porosity was observed compared with each designed structure. The pressure drop through the printed structures was measured for Reynolds numbers between 1 and 1000. Pressure drop reduced with increasing porosity and hydraulic diameter but there was no effect of printer type or column diameter on the measured pressure drop. These measurements were used to propose a new pressure drop correlation that can be used to predict the pressure drop for Schwarz-Diamond TPMS structures over a range of porosities and hydraulic diameters.","container-title":"Chemical Engineering Science","ISSN":"0009-2509","page":"119039","title":"Characterization of pressure drop through Schwarz-Diamond triply periodic minimal surface porous media","URL":"https://www.sciencedirect.com/science/article/pii/S000925092300595X","volume":"280","author":[{"family":"Hawken","given":"M. B."},{"family":"Reid","given":"S."},{"family":"Clarke","given":"D. A."},{"family":"Watson","given":"M."},{"family":"Fee","given":"C. J."},{"family":"Holland","given":"D. J."}],"issued":{"date-parts":[["2023"]]}}}],"schema":"https://github.com/citation-style-language/schema/raw/master/csl-citation.json"} </w:instrText>
      </w:r>
      <w:r w:rsidR="00D67266">
        <w:fldChar w:fldCharType="separate"/>
      </w:r>
      <w:r w:rsidR="00D67266" w:rsidRPr="00D67266">
        <w:t>(</w:t>
      </w:r>
      <w:r w:rsidR="00D67266" w:rsidRPr="00D67266">
        <w:rPr>
          <w:color w:val="0070C0"/>
        </w:rPr>
        <w:t>Hawken et al., 2023</w:t>
      </w:r>
      <w:r w:rsidR="00D67266" w:rsidRPr="00D67266">
        <w:t>)</w:t>
      </w:r>
      <w:r w:rsidR="00D67266">
        <w:fldChar w:fldCharType="end"/>
      </w:r>
      <w:r>
        <w:t>.</w:t>
      </w:r>
      <w:r w:rsidR="00D67266">
        <w:t xml:space="preserve"> </w:t>
      </w:r>
      <w:r w:rsidR="00DA0ECF">
        <w:t>Building on this foundation, our study introduces a single-phase Computational Fluid Dynamics (CFD) model for accurately predicting pressure drops in TPMS structures. Successful validation against experimental values enables its later applicability to predict pressure drops and surface areas for Gyroid, Schwarz-D, and Schwarz-P TPMS structures</w:t>
      </w:r>
      <w:r>
        <w:t xml:space="preserve"> </w:t>
      </w:r>
      <w:r w:rsidR="00D67266">
        <w:fldChar w:fldCharType="begin"/>
      </w:r>
      <w:r w:rsidR="00BC1D62">
        <w:instrText xml:space="preserve"> ADDIN ZOTERO_ITEM CSL_CITATION {"citationID":"r1vBCFjx","properties":{"formattedCitation":"(Hawken et al., 2023)","plainCitation":"(Hawken et al., 2023)","noteIndex":0},"citationItems":[{"id":262,"uris":["http://zotero.org/users/10474570/items/7STNBRMW"],"itemData":{"id":262,"type":"article-journal","abstract":"Additive manufacturing (3D printing) is enabling novel porous structures such as triply periodic minimal surfaces (TPMS) that may help improve the efficiency of various applications in chemical engineering. In this work, a range of Schwarz-Diamond TPMS structures were examined experimentally in terms of printability and pressure drop. X-ray computed tomography scans were used to show that the shape of the structures was accurately printed, however a systematic reduction in porosity was observed compared with each designed structure. The pressure drop through the printed structures was measured for Reynolds numbers between 1 and 1000. Pressure drop reduced with increasing porosity and hydraulic diameter but there was no effect of printer type or column diameter on the measured pressure drop. These measurements were used to propose a new pressure drop correlation that can be used to predict the pressure drop for Schwarz-Diamond TPMS structures over a range of porosities and hydraulic diameters.","container-title":"Chemical Engineering Science","ISSN":"0009-2509","page":"119039","title":"Characterization of pressure drop through Schwarz-Diamond triply periodic minimal surface porous media","URL":"https://www.sciencedirect.com/science/article/pii/S000925092300595X","volume":"280","author":[{"family":"Hawken","given":"M. B."},{"family":"Reid","given":"S."},{"family":"Clarke","given":"D. A."},{"family":"Watson","given":"M."},{"family":"Fee","given":"C. J."},{"family":"Holland","given":"D. J."}],"issued":{"date-parts":[["2023"]]}}}],"schema":"https://github.com/citation-style-language/schema/raw/master/csl-citation.json"} </w:instrText>
      </w:r>
      <w:r w:rsidR="00D67266">
        <w:fldChar w:fldCharType="separate"/>
      </w:r>
      <w:r w:rsidR="00D67266" w:rsidRPr="00D67266">
        <w:t>(</w:t>
      </w:r>
      <w:r w:rsidR="00D67266" w:rsidRPr="00D67266">
        <w:rPr>
          <w:color w:val="0070C0"/>
        </w:rPr>
        <w:t>Hawken et al., 2023</w:t>
      </w:r>
      <w:r w:rsidR="00D67266" w:rsidRPr="00D67266">
        <w:t>)</w:t>
      </w:r>
      <w:r w:rsidR="00D67266">
        <w:fldChar w:fldCharType="end"/>
      </w:r>
      <w:r>
        <w:t xml:space="preserve">. </w:t>
      </w:r>
      <w:r w:rsidR="00DA0ECF">
        <w:t>The investigation explores porosity variations within these structures, aiming to identify an optimized structure balancing low-pressure drop and high specific surface area.</w:t>
      </w:r>
    </w:p>
    <w:p w14:paraId="4418415A" w14:textId="5B600E17" w:rsidR="00AC199D" w:rsidRDefault="00DA0ECF">
      <w:pPr>
        <w:spacing w:after="120"/>
        <w:jc w:val="both"/>
      </w:pPr>
      <w:r w:rsidRPr="00D67266">
        <w:t xml:space="preserve">The </w:t>
      </w:r>
      <w:r>
        <w:t>l</w:t>
      </w:r>
      <w:r w:rsidRPr="00D67266">
        <w:t xml:space="preserve">attice Boltzmann </w:t>
      </w:r>
      <w:r w:rsidR="009A2DB2">
        <w:t>m</w:t>
      </w:r>
      <w:r w:rsidRPr="00D67266">
        <w:t xml:space="preserve">ethod (LBM) was </w:t>
      </w:r>
      <w:r>
        <w:t xml:space="preserve">additionally </w:t>
      </w:r>
      <w:r w:rsidRPr="00D67266">
        <w:t xml:space="preserve">used in our </w:t>
      </w:r>
      <w:r>
        <w:t>study</w:t>
      </w:r>
      <w:r w:rsidRPr="00D67266">
        <w:t xml:space="preserve"> to validate the </w:t>
      </w:r>
      <w:r>
        <w:t xml:space="preserve">pressure drop of the </w:t>
      </w:r>
      <w:r w:rsidRPr="00D67266">
        <w:t>optimized structure.</w:t>
      </w:r>
      <w:r>
        <w:t xml:space="preserve"> The documented ability of LBM to handle complex fluid flows in porous media adds robustness to our analysis, ensuring consistent and reliable comparisons</w:t>
      </w:r>
      <w:r w:rsidR="00596F1D">
        <w:t>.</w:t>
      </w:r>
    </w:p>
    <w:p w14:paraId="718FE200" w14:textId="15E993E7" w:rsidR="00AC199D" w:rsidRPr="00A8488A" w:rsidRDefault="00596F1D" w:rsidP="00A8488A">
      <w:pPr>
        <w:pStyle w:val="Els-1storder-head"/>
      </w:pPr>
      <w:r w:rsidRPr="00A8488A">
        <w:rPr>
          <w:szCs w:val="22"/>
        </w:rPr>
        <w:t>CFD Digital Twin Setup</w:t>
      </w:r>
    </w:p>
    <w:p w14:paraId="37DDFEB4" w14:textId="0A1FF856" w:rsidR="00AC199D" w:rsidRDefault="00596F1D">
      <w:pPr>
        <w:keepNext/>
        <w:spacing w:after="60"/>
        <w:jc w:val="both"/>
      </w:pPr>
      <w:r w:rsidRPr="00D27F1F">
        <w:rPr>
          <w:color w:val="0070C0"/>
        </w:rPr>
        <w:t>Figure 1</w:t>
      </w:r>
      <w:r>
        <w:t xml:space="preserve"> depicts two </w:t>
      </w:r>
      <w:r w:rsidR="00DA0ECF">
        <w:t>selected</w:t>
      </w:r>
      <w:r>
        <w:t xml:space="preserve"> CFD configurations, each showcasing a column with an 18 mm diameter and the Schwarz-D structural pattern. In CFD Setup 1, the structure spans 89 mm, with designated points (P1 to P4) strategically placed for monitoring pressure gradients. Inlet and outlet boundary conditions are illustrated to aid in simulating airflow through the Schwarz-D structure. CFD Setup 2 presents a more compact structure, measuring 46 mm in length, and incorporates points P5 and P6 for analogous pressure drop measurements.</w:t>
      </w:r>
    </w:p>
    <w:p w14:paraId="5A811E06" w14:textId="662C37C1" w:rsidR="00AC199D" w:rsidRDefault="00407375">
      <w:pPr>
        <w:keepNext/>
        <w:spacing w:after="60"/>
        <w:jc w:val="center"/>
      </w:pPr>
      <w:r>
        <w:rPr>
          <w:noProof/>
        </w:rPr>
        <w:drawing>
          <wp:inline distT="0" distB="0" distL="0" distR="0" wp14:anchorId="50FED836" wp14:editId="20ACD6D6">
            <wp:extent cx="2830664" cy="1666343"/>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4583" cy="1680424"/>
                    </a:xfrm>
                    <a:prstGeom prst="rect">
                      <a:avLst/>
                    </a:prstGeom>
                    <a:noFill/>
                  </pic:spPr>
                </pic:pic>
              </a:graphicData>
            </a:graphic>
          </wp:inline>
        </w:drawing>
      </w:r>
    </w:p>
    <w:p w14:paraId="2669B5D5" w14:textId="77777777" w:rsidR="00AC199D" w:rsidRDefault="00596F1D">
      <w:pPr>
        <w:jc w:val="center"/>
        <w:rPr>
          <w:i/>
        </w:rPr>
      </w:pPr>
      <w:r>
        <w:rPr>
          <w:sz w:val="16"/>
          <w:szCs w:val="16"/>
        </w:rPr>
        <w:t xml:space="preserve">Figure 1: CFD Digital twin setup1 &amp; setup2. </w:t>
      </w:r>
    </w:p>
    <w:p w14:paraId="40716433" w14:textId="4E10790F" w:rsidR="00AC199D" w:rsidRPr="00A8488A" w:rsidRDefault="00596F1D" w:rsidP="00D27F1F">
      <w:pPr>
        <w:pStyle w:val="Els-2ndorder-head"/>
        <w:spacing w:before="0"/>
      </w:pPr>
      <w:r w:rsidRPr="00A8488A">
        <w:t xml:space="preserve">CFD Simulation </w:t>
      </w:r>
      <w:r w:rsidR="005E38E8">
        <w:t>setup</w:t>
      </w:r>
    </w:p>
    <w:p w14:paraId="6D8142D2" w14:textId="0EE54714" w:rsidR="005E38E8" w:rsidRDefault="00DA0ECF" w:rsidP="00325BDF">
      <w:pPr>
        <w:pBdr>
          <w:top w:val="nil"/>
          <w:left w:val="nil"/>
          <w:bottom w:val="nil"/>
          <w:right w:val="nil"/>
          <w:between w:val="nil"/>
        </w:pBdr>
        <w:jc w:val="both"/>
        <w:rPr>
          <w:rFonts w:ascii="Times" w:eastAsia="Times" w:hAnsi="Times" w:cs="Times"/>
        </w:rPr>
      </w:pPr>
      <w:r>
        <w:rPr>
          <w:rFonts w:ascii="Times" w:eastAsia="Times" w:hAnsi="Times" w:cs="Times"/>
        </w:rPr>
        <w:t>The present study first utilized the commercial CFD package STAR-CCM+ for solving the governing equations. The geometry was created using Autodesk Fusion360, a computer-aided design (CAD) software. The generated mesh consists of unstructured polyhedral grids, with a total of 4.58 million cells (for CFD setup2). For the gas phase, air was selected with a constant density (</w:t>
      </w:r>
      <w:r w:rsidRPr="00025E06">
        <w:rPr>
          <w:rFonts w:ascii="Times" w:eastAsia="Times" w:hAnsi="Times" w:cs="Times"/>
          <w:i/>
          <w:iCs/>
        </w:rPr>
        <w:t>ρ</w:t>
      </w:r>
      <w:r>
        <w:rPr>
          <w:rFonts w:ascii="Times" w:eastAsia="Times" w:hAnsi="Times" w:cs="Times"/>
        </w:rPr>
        <w:t>) of 1.18 kg m</w:t>
      </w:r>
      <w:r>
        <w:rPr>
          <w:rFonts w:ascii="Times" w:eastAsia="Times" w:hAnsi="Times" w:cs="Times"/>
          <w:vertAlign w:val="superscript"/>
        </w:rPr>
        <w:t>-</w:t>
      </w:r>
      <w:r>
        <w:rPr>
          <w:rFonts w:ascii="Times" w:eastAsia="Times" w:hAnsi="Times" w:cs="Times"/>
        </w:rPr>
        <w:t>³.</w:t>
      </w:r>
      <w:r w:rsidRPr="007E7084">
        <w:rPr>
          <w:rFonts w:ascii="Times" w:eastAsia="Times" w:hAnsi="Times" w:cs="Times"/>
        </w:rPr>
        <w:t xml:space="preserve"> </w:t>
      </w:r>
      <w:r>
        <w:rPr>
          <w:rFonts w:ascii="Times" w:eastAsia="Times" w:hAnsi="Times" w:cs="Times"/>
        </w:rPr>
        <w:t xml:space="preserve">Typical computational run time for the simulations were around 45 minutes on </w:t>
      </w:r>
      <w:r w:rsidRPr="00443AC8">
        <w:rPr>
          <w:rFonts w:ascii="Times" w:eastAsia="Times" w:hAnsi="Times" w:cs="Times"/>
        </w:rPr>
        <w:t xml:space="preserve">a system equipped with an 11th Gen Intel(R) </w:t>
      </w:r>
      <w:proofErr w:type="gramStart"/>
      <w:r w:rsidRPr="00443AC8">
        <w:rPr>
          <w:rFonts w:ascii="Times" w:eastAsia="Times" w:hAnsi="Times" w:cs="Times"/>
        </w:rPr>
        <w:t>Core(</w:t>
      </w:r>
      <w:proofErr w:type="gramEnd"/>
      <w:r w:rsidRPr="00443AC8">
        <w:rPr>
          <w:rFonts w:ascii="Times" w:eastAsia="Times" w:hAnsi="Times" w:cs="Times"/>
        </w:rPr>
        <w:t>TM) i7-11700 processor at 2.50 GHz, 64.0 GB RAM, and running on a 64-bit operating system.</w:t>
      </w:r>
      <w:r>
        <w:rPr>
          <w:rFonts w:ascii="Times" w:eastAsia="Times" w:hAnsi="Times" w:cs="Times"/>
        </w:rPr>
        <w:t xml:space="preserve"> For the column inlet and outlet, the boundary conditions were set to </w:t>
      </w:r>
      <w:r>
        <w:rPr>
          <w:rFonts w:ascii="Times" w:eastAsia="Times" w:hAnsi="Times" w:cs="Times"/>
        </w:rPr>
        <w:lastRenderedPageBreak/>
        <w:t>velocity inlet and pressure outlet, respectively. The temporal resolution was managed through an implicit unsteady model with an initial time step of 0.001 s, for a total physical simulation time of 1 s. In the post-processing of the simulation, the working pressure is measured by the surface mean average on the 2D plane. This measurement occurs at different points, ranging from P1 to P6, in both CFD setups as shown in</w:t>
      </w:r>
      <w:r w:rsidR="00325BDF">
        <w:rPr>
          <w:rFonts w:ascii="Times" w:eastAsia="Times" w:hAnsi="Times" w:cs="Times"/>
        </w:rPr>
        <w:t xml:space="preserve"> </w:t>
      </w:r>
      <w:r w:rsidR="00325BDF" w:rsidRPr="00AD1BFA">
        <w:rPr>
          <w:rFonts w:ascii="Times" w:eastAsia="Times" w:hAnsi="Times" w:cs="Times"/>
          <w:color w:val="0070C0"/>
        </w:rPr>
        <w:t>Figure 1</w:t>
      </w:r>
      <w:r w:rsidR="00325BDF">
        <w:rPr>
          <w:rFonts w:ascii="Times" w:eastAsia="Times" w:hAnsi="Times" w:cs="Times"/>
        </w:rPr>
        <w:t>.</w:t>
      </w:r>
    </w:p>
    <w:p w14:paraId="591DDEBA" w14:textId="08DAED3A" w:rsidR="00AC199D" w:rsidRPr="00325BDF" w:rsidRDefault="00596F1D" w:rsidP="00D27F1F">
      <w:pPr>
        <w:pStyle w:val="Els-2ndorder-head"/>
        <w:spacing w:before="0"/>
      </w:pPr>
      <w:r w:rsidRPr="00325BDF">
        <w:t>Lattice Boltzmann Method</w:t>
      </w:r>
    </w:p>
    <w:p w14:paraId="69F67C7B" w14:textId="7B949BBC" w:rsidR="00AC199D" w:rsidRDefault="00596F1D" w:rsidP="00325BDF">
      <w:pPr>
        <w:pStyle w:val="Els-3rdorder-head"/>
      </w:pPr>
      <w:r>
        <w:t>Enhanced Central Hermite Multiple Relaxation Time Lattice Boltzmann Solver</w:t>
      </w:r>
    </w:p>
    <w:p w14:paraId="30125EA4" w14:textId="2DF851D6" w:rsidR="00AC199D" w:rsidRDefault="00596F1D" w:rsidP="00773F38">
      <w:pPr>
        <w:jc w:val="both"/>
      </w:pPr>
      <w:r>
        <w:t xml:space="preserve">The lattice Boltzmann method, introduced </w:t>
      </w:r>
      <w:r w:rsidR="00DA0ECF">
        <w:t xml:space="preserve">for instance </w:t>
      </w:r>
      <w:r>
        <w:t>by</w:t>
      </w:r>
      <w:r w:rsidR="00DA0ECF">
        <w:t xml:space="preserve"> </w:t>
      </w:r>
      <w:r w:rsidR="00DA0ECF" w:rsidRPr="00DA0ECF">
        <w:rPr>
          <w:color w:val="0070C0"/>
        </w:rPr>
        <w:fldChar w:fldCharType="begin"/>
      </w:r>
      <w:r w:rsidR="00C82160">
        <w:rPr>
          <w:color w:val="0070C0"/>
        </w:rPr>
        <w:instrText xml:space="preserve"> ADDIN ZOTERO_ITEM CSL_CITATION {"citationID":"kNoRFBe7","properties":{"formattedCitation":"(Kr\\uc0\\u252{}ger et al., 2017)","plainCitation":"(Krüger et al., 2017)","dontUpdate":true,"noteIndex":0},"citationItems":[{"id":263,"uris":["http://zotero.org/users/10474570/items/MDA3KDPT"],"itemData":{"id":263,"type":"article-journal","container-title":"Springer International Publishing","issue":"978-3","note":"publisher: Springer","page":"4–15","title":"The lattice Boltzmann method","volume":"10","author":[{"family":"Krüger","given":"Timm"},{"family":"Kusumaatmaja","given":"Halim"},{"family":"Kuzmin","given":"Alexandr"},{"family":"Shardt","given":"Orest"},{"family":"Silva","given":"Goncalo"},{"family":"Viggen","given":"Erlend Magnus"}],"issued":{"date-parts":[["2017"]]}}}],"schema":"https://github.com/citation-style-language/schema/raw/master/csl-citation.json"} </w:instrText>
      </w:r>
      <w:r w:rsidR="00DA0ECF" w:rsidRPr="00DA0ECF">
        <w:rPr>
          <w:color w:val="0070C0"/>
        </w:rPr>
        <w:fldChar w:fldCharType="separate"/>
      </w:r>
      <w:r w:rsidR="00DA0ECF" w:rsidRPr="00DA0ECF">
        <w:rPr>
          <w:color w:val="0070C0"/>
          <w:szCs w:val="24"/>
        </w:rPr>
        <w:t>Krüger et al., 2017</w:t>
      </w:r>
      <w:r w:rsidR="00DA0ECF" w:rsidRPr="00DA0ECF">
        <w:rPr>
          <w:color w:val="0070C0"/>
        </w:rPr>
        <w:fldChar w:fldCharType="end"/>
      </w:r>
      <w:r>
        <w:t>, stands as a robust solver for the Boltzmann equation, particularly in the hydrodynamic regime. Specifically designed to reconstruct the Navier–Stokes equations, this method initiates with the discretization of the Boltzmann equation in phase space, representing particle degrees of freedom. Utilizing the projection onto Hermite polynomials and Gauss-Hermite quadrature, this discretization results in a system of interconnected hyperbolic equations. Integration along characteristics yields the widely-recognized "stream-collide" equation:</w:t>
      </w:r>
    </w:p>
    <w:p w14:paraId="6DA11E9F" w14:textId="7A319632" w:rsidR="00773F38" w:rsidRDefault="00C35432" w:rsidP="00773F38">
      <w:pPr>
        <w:jc w:val="center"/>
      </w:pP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(r+</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 xml:space="preserve">δt, t+δt) - </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 xml:space="preserve">(r,t) = </m:t>
        </m:r>
        <m:sSub>
          <m:sSubPr>
            <m:ctrlPr>
              <w:rPr>
                <w:rFonts w:ascii="Cambria Math" w:hAnsi="Cambria Math"/>
              </w:rPr>
            </m:ctrlPr>
          </m:sSubPr>
          <m:e>
            <m:r>
              <w:rPr>
                <w:rFonts w:ascii="Cambria Math" w:hAnsi="Cambria Math"/>
              </w:rPr>
              <m:t>Ω</m:t>
            </m:r>
          </m:e>
          <m:sub>
            <m:r>
              <w:rPr>
                <w:rFonts w:ascii="Cambria Math" w:hAnsi="Cambria Math"/>
              </w:rPr>
              <m:t>i</m:t>
            </m:r>
          </m:sub>
        </m:sSub>
      </m:oMath>
      <w:r w:rsidR="00882522">
        <w:t xml:space="preserve"> </w:t>
      </w:r>
      <w:r w:rsidR="00D70127">
        <w:tab/>
        <w:t>(</w:t>
      </w:r>
      <w:proofErr w:type="spellStart"/>
      <w:r w:rsidR="00D70127">
        <w:t>i</w:t>
      </w:r>
      <w:proofErr w:type="spellEnd"/>
      <w:r w:rsidR="00D70127">
        <w:t>)</w:t>
      </w:r>
    </w:p>
    <w:p w14:paraId="71BBAF52" w14:textId="71553A0E" w:rsidR="00AC199D" w:rsidRDefault="00596F1D" w:rsidP="00773F38">
      <w:r>
        <w:t xml:space="preserve">Here,  </w:t>
      </w:r>
      <m:oMath>
        <m:sSub>
          <m:sSubPr>
            <m:ctrlPr>
              <w:rPr>
                <w:rFonts w:ascii="Cambria Math" w:hAnsi="Cambria Math"/>
              </w:rPr>
            </m:ctrlPr>
          </m:sSubPr>
          <m:e>
            <m:r>
              <w:rPr>
                <w:rFonts w:ascii="Cambria Math" w:hAnsi="Cambria Math"/>
              </w:rPr>
              <m:t>f</m:t>
            </m:r>
          </m:e>
          <m:sub>
            <m:r>
              <w:rPr>
                <w:rFonts w:ascii="Cambria Math" w:hAnsi="Cambria Math"/>
              </w:rPr>
              <m:t>i</m:t>
            </m:r>
          </m:sub>
        </m:sSub>
      </m:oMath>
      <w:r>
        <w:t xml:space="preserve"> represents discrete distribution functions, </w:t>
      </w:r>
      <m:oMath>
        <m:sSub>
          <m:sSubPr>
            <m:ctrlPr>
              <w:rPr>
                <w:rFonts w:ascii="Cambria Math" w:hAnsi="Cambria Math"/>
              </w:rPr>
            </m:ctrlPr>
          </m:sSubPr>
          <m:e>
            <m:r>
              <w:rPr>
                <w:rFonts w:ascii="Cambria Math" w:hAnsi="Cambria Math"/>
              </w:rPr>
              <m:t>c</m:t>
            </m:r>
          </m:e>
          <m:sub>
            <m:r>
              <w:rPr>
                <w:rFonts w:ascii="Cambria Math" w:hAnsi="Cambria Math"/>
              </w:rPr>
              <m:t>i</m:t>
            </m:r>
          </m:sub>
        </m:sSub>
      </m:oMath>
      <w:r>
        <w:t xml:space="preserve"> denotes discrete particle velocities, </w:t>
      </w:r>
      <m:oMath>
        <m:sSub>
          <m:sSubPr>
            <m:ctrlPr>
              <w:rPr>
                <w:rFonts w:ascii="Cambria Math" w:hAnsi="Cambria Math"/>
              </w:rPr>
            </m:ctrlPr>
          </m:sSubPr>
          <m:e>
            <m:r>
              <w:rPr>
                <w:rFonts w:ascii="Cambria Math" w:hAnsi="Cambria Math"/>
              </w:rPr>
              <m:t>Ω</m:t>
            </m:r>
          </m:e>
          <m:sub>
            <m:r>
              <w:rPr>
                <w:rFonts w:ascii="Cambria Math" w:hAnsi="Cambria Math"/>
              </w:rPr>
              <m:t>i</m:t>
            </m:r>
          </m:sub>
        </m:sSub>
        <m:r>
          <w:rPr>
            <w:rFonts w:ascii="Cambria Math" w:hAnsi="Cambria Math"/>
          </w:rPr>
          <m:t xml:space="preserve"> </m:t>
        </m:r>
      </m:oMath>
      <w:r>
        <w:t xml:space="preserve"> is the collision operator, and </w:t>
      </w:r>
      <m:oMath>
        <m:r>
          <w:rPr>
            <w:rFonts w:ascii="Cambria Math" w:hAnsi="Cambria Math"/>
          </w:rPr>
          <m:t>δt</m:t>
        </m:r>
      </m:oMath>
      <w:r>
        <w:t xml:space="preserve"> signifies the time-step.</w:t>
      </w:r>
    </w:p>
    <w:p w14:paraId="4841DD97" w14:textId="1BCF258D" w:rsidR="00AC199D" w:rsidRDefault="00596F1D" w:rsidP="00325BDF">
      <w:pPr>
        <w:pStyle w:val="Els-3rdorder-head"/>
        <w:spacing w:before="0"/>
      </w:pPr>
      <w:r>
        <w:t>Advanced Boundary Conditions</w:t>
      </w:r>
    </w:p>
    <w:p w14:paraId="21DECCFD" w14:textId="20F7B497" w:rsidR="00AC199D" w:rsidRDefault="00596F1D" w:rsidP="00E535F4">
      <w:pPr>
        <w:keepNext/>
        <w:jc w:val="both"/>
      </w:pPr>
      <w:r>
        <w:t xml:space="preserve">Solid boundaries in our study are effectively </w:t>
      </w:r>
      <w:proofErr w:type="spellStart"/>
      <w:r>
        <w:t>modeled</w:t>
      </w:r>
      <w:proofErr w:type="spellEnd"/>
      <w:r>
        <w:t xml:space="preserve"> using the half-way bounce-back scheme </w:t>
      </w:r>
      <w:r w:rsidR="00DA0ECF">
        <w:t>as described in</w:t>
      </w:r>
      <w:r w:rsidR="00E535F4">
        <w:t xml:space="preserve"> </w:t>
      </w:r>
      <w:r w:rsidR="00E535F4">
        <w:fldChar w:fldCharType="begin"/>
      </w:r>
      <w:r w:rsidR="00C82160">
        <w:instrText xml:space="preserve"> ADDIN ZOTERO_ITEM CSL_CITATION {"citationID":"CEqVJRiJ","properties":{"formattedCitation":"(Hosseini, 2020)","plainCitation":"(Hosseini, 2020)","dontUpdate":true,"noteIndex":0},"citationItems":[{"id":216,"uris":["http://zotero.org/users/10474570/items/FFWIDXE7"],"itemData":{"id":216,"type":"thesis","genre":"PhD Thesis","note":"http://dx.doi.org/10.25673/33478","publisher":"University of Magdeburg","title":"Development of a lattice Boltzmann-based numerical method for the simulation of reacting flows","URL":"http://dx.doi.org/10.25673/33478","author":[{"family":"Hosseini","given":"Seyed Ali"}],"issued":{"date-parts":[["2020",4]]}}}],"schema":"https://github.com/citation-style-language/schema/raw/master/csl-citation.json"} </w:instrText>
      </w:r>
      <w:r w:rsidR="00E535F4">
        <w:fldChar w:fldCharType="separate"/>
      </w:r>
      <w:r w:rsidR="00E535F4" w:rsidRPr="00E535F4">
        <w:rPr>
          <w:color w:val="0070C0"/>
        </w:rPr>
        <w:t>Hosseini, 2020</w:t>
      </w:r>
      <w:r w:rsidR="00E535F4">
        <w:fldChar w:fldCharType="end"/>
      </w:r>
      <w:r>
        <w:t>.</w:t>
      </w:r>
      <w:r w:rsidR="00E535F4">
        <w:t xml:space="preserve"> </w:t>
      </w:r>
      <w:r>
        <w:t>The determination of missing distribution functions after collision-streaming steps is succinctly expressed as:</w:t>
      </w:r>
    </w:p>
    <w:p w14:paraId="7B6AC54C" w14:textId="52FA06BD" w:rsidR="00AC199D" w:rsidRDefault="00C35432">
      <w:pPr>
        <w:keepNext/>
        <w:spacing w:before="80"/>
        <w:jc w:val="center"/>
      </w:pPr>
      <m:oMath>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(x,t+Δt)=</m:t>
        </m:r>
        <m:sSubSup>
          <m:sSubSupPr>
            <m:ctrlPr>
              <w:rPr>
                <w:rFonts w:ascii="Cambria Math" w:hAnsi="Cambria Math"/>
              </w:rPr>
            </m:ctrlPr>
          </m:sSubSupPr>
          <m:e>
            <m:r>
              <w:rPr>
                <w:rFonts w:ascii="Cambria Math" w:hAnsi="Cambria Math"/>
              </w:rPr>
              <m:t>f</m:t>
            </m:r>
          </m:e>
          <m:sub>
            <m:bar>
              <m:barPr>
                <m:ctrlPr>
                  <w:rPr>
                    <w:rFonts w:ascii="Cambria Math" w:hAnsi="Cambria Math"/>
                  </w:rPr>
                </m:ctrlPr>
              </m:barPr>
              <m:e>
                <m:r>
                  <w:rPr>
                    <w:rFonts w:ascii="Cambria Math" w:hAnsi="Cambria Math"/>
                  </w:rPr>
                  <m:t>i</m:t>
                </m:r>
              </m:e>
            </m:bar>
          </m:sub>
          <m:sup>
            <m:r>
              <w:rPr>
                <w:rFonts w:ascii="Cambria Math" w:hAnsi="Cambria Math"/>
              </w:rPr>
              <m:t>*</m:t>
            </m:r>
          </m:sup>
        </m:sSubSup>
        <m:r>
          <w:rPr>
            <w:rFonts w:ascii="Cambria Math" w:hAnsi="Cambria Math"/>
          </w:rPr>
          <m:t>(x,t)</m:t>
        </m:r>
      </m:oMath>
      <w:r w:rsidR="00D70127">
        <w:tab/>
        <w:t>(ii)</w:t>
      </w:r>
    </w:p>
    <w:p w14:paraId="4A1FE813" w14:textId="77862D81" w:rsidR="00AC199D" w:rsidRDefault="00596F1D" w:rsidP="00773F38">
      <w:pPr>
        <w:keepNext/>
        <w:jc w:val="both"/>
      </w:pPr>
      <w:r>
        <w:t xml:space="preserve">where </w:t>
      </w:r>
      <m:oMath>
        <m:sSup>
          <m:sSupPr>
            <m:ctrlPr>
              <w:rPr>
                <w:rFonts w:ascii="Cambria Math" w:hAnsi="Cambria Math"/>
              </w:rPr>
            </m:ctrlPr>
          </m:sSupPr>
          <m:e>
            <m:r>
              <w:rPr>
                <w:rFonts w:ascii="Cambria Math" w:hAnsi="Cambria Math"/>
              </w:rPr>
              <m:t>f</m:t>
            </m:r>
          </m:e>
          <m:sup>
            <m:r>
              <w:rPr>
                <w:rFonts w:ascii="Cambria Math" w:hAnsi="Cambria Math"/>
              </w:rPr>
              <m:t>*</m:t>
            </m:r>
          </m:sup>
        </m:sSup>
        <m:r>
          <w:rPr>
            <w:rFonts w:ascii="Cambria Math" w:hAnsi="Cambria Math"/>
          </w:rPr>
          <m:t xml:space="preserve"> </m:t>
        </m:r>
      </m:oMath>
      <w:r>
        <w:t xml:space="preserve">represents the post-collision population, and </w:t>
      </w:r>
      <m:oMath>
        <m:bar>
          <m:barPr>
            <m:ctrlPr>
              <w:rPr>
                <w:rFonts w:ascii="Cambria Math" w:hAnsi="Cambria Math"/>
              </w:rPr>
            </m:ctrlPr>
          </m:barPr>
          <m:e>
            <m:r>
              <w:rPr>
                <w:rFonts w:ascii="Cambria Math" w:hAnsi="Cambria Math"/>
              </w:rPr>
              <m:t>i</m:t>
            </m:r>
          </m:e>
        </m:bar>
      </m:oMath>
      <w:r>
        <w:t xml:space="preserve"> is the index of the particle velocity opposite i. At inlets and outlets</w:t>
      </w:r>
      <w:r w:rsidR="00EB17DD">
        <w:t xml:space="preserve"> </w:t>
      </w:r>
      <w:r>
        <w:t xml:space="preserve">, we implement constant velocity and/or constant pressure conditions using the non-equilibrium extrapolation approach </w:t>
      </w:r>
      <w:r w:rsidR="00E535F4">
        <w:fldChar w:fldCharType="begin"/>
      </w:r>
      <w:r w:rsidR="00E535F4">
        <w:instrText xml:space="preserve"> ADDIN ZOTERO_ITEM CSL_CITATION {"citationID":"B9iQn4u3","properties":{"formattedCitation":"(Hosseini, 2020)","plainCitation":"(Hosseini, 2020)","noteIndex":0},"citationItems":[{"id":216,"uris":["http://zotero.org/users/10474570/items/FFWIDXE7"],"itemData":{"id":216,"type":"thesis","genre":"PhD Thesis","note":"http://dx.doi.org/10.25673/33478","publisher":"University of Magdeburg","title":"Development of a lattice Boltzmann-based numerical method for the simulation of reacting flows","URL":"http://dx.doi.org/10.25673/33478","author":[{"family":"Hosseini","given":"Seyed Ali"}],"issued":{"date-parts":[["2020",4]]}}}],"schema":"https://github.com/citation-style-language/schema/raw/master/csl-citation.json"} </w:instrText>
      </w:r>
      <w:r w:rsidR="00E535F4">
        <w:fldChar w:fldCharType="separate"/>
      </w:r>
      <w:r w:rsidR="00E535F4" w:rsidRPr="00E535F4">
        <w:t>(</w:t>
      </w:r>
      <w:r w:rsidR="00E535F4" w:rsidRPr="00E535F4">
        <w:rPr>
          <w:color w:val="0070C0"/>
        </w:rPr>
        <w:t>Hosseini, 2020</w:t>
      </w:r>
      <w:r w:rsidR="00E535F4" w:rsidRPr="00E535F4">
        <w:t>)</w:t>
      </w:r>
      <w:r w:rsidR="00E535F4">
        <w:fldChar w:fldCharType="end"/>
      </w:r>
      <w:r>
        <w:t xml:space="preserve">. A notable advantage of the lattice Boltzmann method is its capability to handle solid boundaries </w:t>
      </w:r>
      <w:r w:rsidR="00F60ED5">
        <w:t>with a complex geometry without the need for complex grid adaptation in packed bed structures. Simple, regular, equidistant grids suffice for all simulations</w:t>
      </w:r>
      <w:r>
        <w:t>.</w:t>
      </w:r>
    </w:p>
    <w:p w14:paraId="4516F74B" w14:textId="61B5167A" w:rsidR="00AC199D" w:rsidRPr="005E38E8" w:rsidRDefault="00596F1D" w:rsidP="005E38E8">
      <w:pPr>
        <w:pStyle w:val="Els-1storder-head"/>
        <w:spacing w:line="240" w:lineRule="auto"/>
      </w:pPr>
      <w:r w:rsidRPr="005E38E8">
        <w:rPr>
          <w:szCs w:val="22"/>
        </w:rPr>
        <w:t xml:space="preserve">Validation of </w:t>
      </w:r>
      <w:r w:rsidR="005E38E8">
        <w:rPr>
          <w:szCs w:val="22"/>
        </w:rPr>
        <w:t xml:space="preserve">the </w:t>
      </w:r>
      <w:r w:rsidRPr="005E38E8">
        <w:rPr>
          <w:szCs w:val="22"/>
        </w:rPr>
        <w:t>CFD Simulations</w:t>
      </w:r>
    </w:p>
    <w:p w14:paraId="1D19E2A6" w14:textId="054AAA5B" w:rsidR="00AC199D" w:rsidRDefault="00596F1D" w:rsidP="005E38E8">
      <w:pPr>
        <w:keepNext/>
        <w:spacing w:after="60"/>
        <w:jc w:val="both"/>
        <w:rPr>
          <w:rFonts w:ascii="Times" w:eastAsia="Times" w:hAnsi="Times" w:cs="Times"/>
        </w:rPr>
      </w:pPr>
      <w:r>
        <w:rPr>
          <w:rFonts w:ascii="Times" w:eastAsia="Times" w:hAnsi="Times" w:cs="Times"/>
        </w:rPr>
        <w:t xml:space="preserve">The pressure drop profiles for </w:t>
      </w:r>
      <w:r w:rsidR="00A8387A">
        <w:rPr>
          <w:rFonts w:ascii="Times" w:eastAsia="Times" w:hAnsi="Times" w:cs="Times"/>
        </w:rPr>
        <w:t xml:space="preserve">the </w:t>
      </w:r>
      <w:r>
        <w:rPr>
          <w:rFonts w:ascii="Times" w:eastAsia="Times" w:hAnsi="Times" w:cs="Times"/>
        </w:rPr>
        <w:t xml:space="preserve">CFD setups 1 and 2 are depicted in </w:t>
      </w:r>
      <w:r w:rsidRPr="00A8387A">
        <w:rPr>
          <w:rFonts w:ascii="Times" w:eastAsia="Times" w:hAnsi="Times" w:cs="Times"/>
          <w:color w:val="0070C0"/>
        </w:rPr>
        <w:t>Figure 2a</w:t>
      </w:r>
      <w:r>
        <w:rPr>
          <w:rFonts w:ascii="Times" w:eastAsia="Times" w:hAnsi="Times" w:cs="Times"/>
        </w:rPr>
        <w:t xml:space="preserve">. </w:t>
      </w:r>
      <w:r w:rsidR="009A2DB2">
        <w:rPr>
          <w:rFonts w:ascii="Times" w:eastAsia="Times" w:hAnsi="Times" w:cs="Times"/>
        </w:rPr>
        <w:t xml:space="preserve">In CFD setup 1, the pressure </w:t>
      </w:r>
      <w:proofErr w:type="gramStart"/>
      <w:r w:rsidR="009A2DB2">
        <w:rPr>
          <w:rFonts w:ascii="Times" w:eastAsia="Times" w:hAnsi="Times" w:cs="Times"/>
        </w:rPr>
        <w:t>drop</w:t>
      </w:r>
      <w:proofErr w:type="gramEnd"/>
      <w:r w:rsidR="009A2DB2">
        <w:rPr>
          <w:rFonts w:ascii="Times" w:eastAsia="Times" w:hAnsi="Times" w:cs="Times"/>
        </w:rPr>
        <w:t xml:space="preserve"> measurements over lengths of 89 mm (P1-P4) and 46 mm (P2-P3) in the Schwarz-D structure yielded similar values of pressure drop per unit length (1571 -1578 Pa m</w:t>
      </w:r>
      <w:r w:rsidR="009A2DB2" w:rsidRPr="00A8387A">
        <w:rPr>
          <w:rFonts w:ascii="Times" w:eastAsia="Times" w:hAnsi="Times" w:cs="Times"/>
          <w:vertAlign w:val="superscript"/>
        </w:rPr>
        <w:t>-1</w:t>
      </w:r>
      <w:r w:rsidR="009A2DB2">
        <w:rPr>
          <w:rFonts w:ascii="Times" w:eastAsia="Times" w:hAnsi="Times" w:cs="Times"/>
        </w:rPr>
        <w:t>). This indicates that a longer structure length is unnecessary for CFD simulations to measure pressure drop, given the periodic nature of the Schwarz-D structure; the impact of inlet and outlet boundary conditions is already negligible for the shorter configuration. This is confirmed by CFD Setup 2, in which the measured pressure drop (P5-P6) is 1588 Pa m</w:t>
      </w:r>
      <w:r w:rsidR="009A2DB2" w:rsidRPr="00A8387A">
        <w:rPr>
          <w:rFonts w:ascii="Times" w:eastAsia="Times" w:hAnsi="Times" w:cs="Times"/>
          <w:vertAlign w:val="superscript"/>
        </w:rPr>
        <w:t>-1</w:t>
      </w:r>
      <w:r w:rsidR="009A2DB2">
        <w:rPr>
          <w:rFonts w:ascii="Times" w:eastAsia="Times" w:hAnsi="Times" w:cs="Times"/>
        </w:rPr>
        <w:t>, nearly identical to that of CFD setup 1 (less than 1% relative difference). Consequently, CFD setup 2 has been chosen for all subsequent simulations and various case studies exploring different levels of porosity and unit cell sizes</w:t>
      </w:r>
      <w:r>
        <w:rPr>
          <w:rFonts w:ascii="Times" w:eastAsia="Times" w:hAnsi="Times" w:cs="Times"/>
        </w:rPr>
        <w:t>.</w:t>
      </w:r>
    </w:p>
    <w:p w14:paraId="6A6B35E4" w14:textId="764A4D54" w:rsidR="00AD1BFA" w:rsidRDefault="00AD1BFA" w:rsidP="00AD1BFA">
      <w:pPr>
        <w:jc w:val="both"/>
        <w:rPr>
          <w:rFonts w:ascii="Times" w:eastAsia="Times" w:hAnsi="Times" w:cs="Times"/>
        </w:rPr>
      </w:pPr>
      <w:r>
        <w:rPr>
          <w:rFonts w:ascii="Times" w:eastAsia="Times" w:hAnsi="Times" w:cs="Times"/>
        </w:rPr>
        <w:t xml:space="preserve">The subsequent CFD simulation maintained the configuration of CFD setup 2, varying only the inlet velocity to measure the resulting pressure drop. </w:t>
      </w:r>
      <w:r w:rsidRPr="00A8387A">
        <w:rPr>
          <w:rFonts w:ascii="Times" w:eastAsia="Times" w:hAnsi="Times" w:cs="Times"/>
          <w:color w:val="0070C0"/>
        </w:rPr>
        <w:t xml:space="preserve">Figure 2b </w:t>
      </w:r>
      <w:r w:rsidR="009A2DB2">
        <w:rPr>
          <w:rFonts w:ascii="Times" w:eastAsia="Times" w:hAnsi="Times" w:cs="Times"/>
        </w:rPr>
        <w:t>presents a graph comparing the pressure drop against inlet velocity for the CFD simulations, alongside experimental data from</w:t>
      </w:r>
      <w:r>
        <w:rPr>
          <w:rFonts w:ascii="Times" w:eastAsia="Times" w:hAnsi="Times" w:cs="Times"/>
        </w:rPr>
        <w:t xml:space="preserve"> </w:t>
      </w:r>
      <w:r w:rsidR="00A8387A">
        <w:rPr>
          <w:rFonts w:ascii="Times" w:eastAsia="Times" w:hAnsi="Times" w:cs="Times"/>
        </w:rPr>
        <w:fldChar w:fldCharType="begin"/>
      </w:r>
      <w:r w:rsidR="00BC1D62">
        <w:rPr>
          <w:rFonts w:ascii="Times" w:eastAsia="Times" w:hAnsi="Times" w:cs="Times"/>
        </w:rPr>
        <w:instrText xml:space="preserve"> ADDIN ZOTERO_ITEM CSL_CITATION {"citationID":"qW0biu8g","properties":{"formattedCitation":"(Hawken et al., 2023)","plainCitation":"(Hawken et al., 2023)","noteIndex":0},"citationItems":[{"id":262,"uris":["http://zotero.org/users/10474570/items/7STNBRMW"],"itemData":{"id":262,"type":"article-journal","abstract":"Additive manufacturing (3D printing) is enabling novel porous structures such as triply periodic minimal surfaces (TPMS) that may help improve the efficiency of various applications in chemical engineering. In this work, a range of Schwarz-Diamond TPMS structures were examined experimentally in terms of printability and pressure drop. X-ray computed tomography scans were used to show that the shape of the structures was accurately printed, however a systematic reduction in porosity was observed compared with each designed structure. The pressure drop through the printed structures was measured for Reynolds numbers between 1 and 1000. Pressure drop reduced with increasing porosity and hydraulic diameter but there was no effect of printer type or column diameter on the measured pressure drop. These measurements were used to propose a new pressure drop correlation that can be used to predict the pressure drop for Schwarz-Diamond TPMS structures over a range of porosities and hydraulic diameters.","container-title":"Chemical Engineering Science","ISSN":"0009-2509","page":"119039","title":"Characterization of pressure drop through Schwarz-Diamond triply periodic minimal surface porous media","URL":"https://www.sciencedirect.com/science/article/pii/S000925092300595X","volume":"280","author":[{"family":"Hawken","given":"M. B."},{"family":"Reid","given":"S."},{"family":"Clarke","given":"D. A."},{"family":"Watson","given":"M."},{"family":"Fee","given":"C. J."},{"family":"Holland","given":"D. J."}],"issued":{"date-parts":[["2023"]]}}}],"schema":"https://github.com/citation-style-language/schema/raw/master/csl-citation.json"} </w:instrText>
      </w:r>
      <w:r w:rsidR="00A8387A">
        <w:rPr>
          <w:rFonts w:ascii="Times" w:eastAsia="Times" w:hAnsi="Times" w:cs="Times"/>
        </w:rPr>
        <w:fldChar w:fldCharType="separate"/>
      </w:r>
      <w:r w:rsidR="00A8387A" w:rsidRPr="00A8387A">
        <w:rPr>
          <w:rFonts w:ascii="Times" w:eastAsia="Times" w:hAnsi="Times" w:cs="Times"/>
        </w:rPr>
        <w:t>(</w:t>
      </w:r>
      <w:r w:rsidR="00A8387A" w:rsidRPr="00A8387A">
        <w:rPr>
          <w:rFonts w:ascii="Times" w:eastAsia="Times" w:hAnsi="Times" w:cs="Times"/>
          <w:color w:val="0070C0"/>
        </w:rPr>
        <w:t>Hawken et al., 2023</w:t>
      </w:r>
      <w:r w:rsidR="00A8387A" w:rsidRPr="00A8387A">
        <w:rPr>
          <w:rFonts w:ascii="Times" w:eastAsia="Times" w:hAnsi="Times" w:cs="Times"/>
        </w:rPr>
        <w:t>)</w:t>
      </w:r>
      <w:r w:rsidR="00A8387A">
        <w:rPr>
          <w:rFonts w:ascii="Times" w:eastAsia="Times" w:hAnsi="Times" w:cs="Times"/>
        </w:rPr>
        <w:fldChar w:fldCharType="end"/>
      </w:r>
      <w:r>
        <w:rPr>
          <w:rFonts w:ascii="Times" w:eastAsia="Times" w:hAnsi="Times" w:cs="Times"/>
        </w:rPr>
        <w:t xml:space="preserve">. </w:t>
      </w:r>
      <w:r w:rsidR="009A2DB2">
        <w:rPr>
          <w:rFonts w:ascii="Times" w:eastAsia="Times" w:hAnsi="Times" w:cs="Times"/>
        </w:rPr>
        <w:t>This comparison underscores a robust correlation between computational predictions and experimental findings. Notably, the CFD pressure drop aligns with the experimentally measured pressure drop from the literature for the same configurations at different velocities. Utilizing</w:t>
      </w:r>
      <w:r w:rsidR="009A2DB2" w:rsidRPr="00A8387A">
        <w:rPr>
          <w:rFonts w:ascii="Times" w:eastAsia="Times" w:hAnsi="Times" w:cs="Times"/>
        </w:rPr>
        <w:t xml:space="preserve"> this validated CFD </w:t>
      </w:r>
      <w:r w:rsidR="009A2DB2" w:rsidRPr="00A8387A">
        <w:rPr>
          <w:rFonts w:ascii="Times" w:eastAsia="Times" w:hAnsi="Times" w:cs="Times"/>
        </w:rPr>
        <w:lastRenderedPageBreak/>
        <w:t>model,</w:t>
      </w:r>
      <w:r w:rsidR="009A2DB2">
        <w:rPr>
          <w:rFonts w:ascii="Times" w:eastAsia="Times" w:hAnsi="Times" w:cs="Times"/>
        </w:rPr>
        <w:t xml:space="preserve"> f</w:t>
      </w:r>
      <w:r w:rsidR="009A2DB2" w:rsidRPr="00A8387A">
        <w:rPr>
          <w:rFonts w:ascii="Times" w:eastAsia="Times" w:hAnsi="Times" w:cs="Times"/>
        </w:rPr>
        <w:t>urther simulations were conducted to measure the pressure drop of the Gyroid, Schwarz-P, and Schwarz-D structures</w:t>
      </w:r>
      <w:r w:rsidR="00A8387A" w:rsidRPr="00A8387A">
        <w:rPr>
          <w:rFonts w:ascii="Times" w:eastAsia="Times" w:hAnsi="Times" w:cs="Times"/>
        </w:rPr>
        <w:t>.</w:t>
      </w:r>
    </w:p>
    <w:p w14:paraId="0518AB16" w14:textId="0E16D3A5" w:rsidR="00AC199D" w:rsidRDefault="00390C89">
      <w:pPr>
        <w:keepNext/>
        <w:spacing w:before="240" w:after="60"/>
      </w:pPr>
      <w:r w:rsidRPr="00390C89">
        <w:drawing>
          <wp:inline distT="0" distB="0" distL="0" distR="0" wp14:anchorId="1CC20FED" wp14:editId="3217ED94">
            <wp:extent cx="4499610" cy="1726565"/>
            <wp:effectExtent l="0" t="0" r="0" b="6985"/>
            <wp:docPr id="78" name="Grafik 77">
              <a:extLst xmlns:a="http://schemas.openxmlformats.org/drawingml/2006/main">
                <a:ext uri="{FF2B5EF4-FFF2-40B4-BE49-F238E27FC236}">
                  <a16:creationId xmlns:a16="http://schemas.microsoft.com/office/drawing/2014/main" id="{B63427E7-49F7-4563-860A-C1385CCD9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7">
                      <a:extLst>
                        <a:ext uri="{FF2B5EF4-FFF2-40B4-BE49-F238E27FC236}">
                          <a16:creationId xmlns:a16="http://schemas.microsoft.com/office/drawing/2014/main" id="{B63427E7-49F7-4563-860A-C1385CCD9AAE}"/>
                        </a:ext>
                      </a:extLst>
                    </pic:cNvPr>
                    <pic:cNvPicPr>
                      <a:picLocks noChangeAspect="1"/>
                    </pic:cNvPicPr>
                  </pic:nvPicPr>
                  <pic:blipFill>
                    <a:blip r:embed="rId8"/>
                    <a:stretch>
                      <a:fillRect/>
                    </a:stretch>
                  </pic:blipFill>
                  <pic:spPr>
                    <a:xfrm>
                      <a:off x="0" y="0"/>
                      <a:ext cx="4499610" cy="1726565"/>
                    </a:xfrm>
                    <a:prstGeom prst="rect">
                      <a:avLst/>
                    </a:prstGeom>
                  </pic:spPr>
                </pic:pic>
              </a:graphicData>
            </a:graphic>
          </wp:inline>
        </w:drawing>
      </w:r>
    </w:p>
    <w:p w14:paraId="1E6827FC" w14:textId="77777777" w:rsidR="00AC199D" w:rsidRPr="00A8387A" w:rsidRDefault="00596F1D" w:rsidP="002243E2">
      <w:pPr>
        <w:spacing w:after="200"/>
        <w:jc w:val="center"/>
        <w:rPr>
          <w:rFonts w:ascii="Times" w:eastAsia="Times" w:hAnsi="Times" w:cs="Times"/>
          <w:sz w:val="16"/>
          <w:szCs w:val="16"/>
        </w:rPr>
      </w:pPr>
      <w:r w:rsidRPr="00A8387A">
        <w:rPr>
          <w:rFonts w:ascii="Times" w:eastAsia="Times" w:hAnsi="Times" w:cs="Times"/>
          <w:sz w:val="16"/>
          <w:szCs w:val="16"/>
        </w:rPr>
        <w:t>Figure 2: (a) Pressure drop calculation of CFD setup 1 &amp; 2. (b) Pressure drop comparison with experimental literature data at different velocities.</w:t>
      </w:r>
    </w:p>
    <w:p w14:paraId="5C899935" w14:textId="0BB53C27" w:rsidR="00AC199D" w:rsidRPr="002243E2" w:rsidRDefault="00596F1D" w:rsidP="002243E2">
      <w:pPr>
        <w:pStyle w:val="Els-1storder-head"/>
        <w:spacing w:line="240" w:lineRule="auto"/>
      </w:pPr>
      <w:r w:rsidRPr="002243E2">
        <w:rPr>
          <w:szCs w:val="22"/>
        </w:rPr>
        <w:t>Results and Discussion</w:t>
      </w:r>
    </w:p>
    <w:p w14:paraId="25C75DB2" w14:textId="3A974814" w:rsidR="00AC199D" w:rsidRDefault="00596F1D" w:rsidP="002B4F79">
      <w:pPr>
        <w:jc w:val="both"/>
      </w:pPr>
      <w:r w:rsidRPr="001113ED">
        <w:rPr>
          <w:color w:val="0070C0"/>
        </w:rPr>
        <w:t>Figure 3</w:t>
      </w:r>
      <w:r w:rsidR="00121F06">
        <w:rPr>
          <w:color w:val="0070C0"/>
        </w:rPr>
        <w:t>a</w:t>
      </w:r>
      <w:r>
        <w:t xml:space="preserve"> </w:t>
      </w:r>
      <w:r w:rsidR="00EB333E">
        <w:t>illustrates the specific surface area and pressure drop characteristics of various porous structures, Gyroid, Schwarz Primitive and Diamond within a column with an internal diameter (ID) of 18 mm and a structure unit cell size of 3.14 mm. The plot reveals that as porosity increases, the specific surface area for each structure initially rises and then decreases, while the pressure drop consistently decreases. The Gyroid and Schwarz-D structures exhibits the highest specific surface area and also a low pressure drop at 80% porosity. For a</w:t>
      </w:r>
      <w:r w:rsidR="00EB333E" w:rsidRPr="002B4F79">
        <w:t xml:space="preserve"> porosity </w:t>
      </w:r>
      <w:r w:rsidR="00EB333E">
        <w:t>between 30 and 6</w:t>
      </w:r>
      <w:r w:rsidR="00EB333E" w:rsidRPr="002B4F79">
        <w:t xml:space="preserve">0%, we observed that the specific surface area remains relatively unchanged </w:t>
      </w:r>
      <w:r w:rsidR="00EB333E">
        <w:t>for</w:t>
      </w:r>
      <w:r w:rsidR="00EB333E" w:rsidRPr="002B4F79">
        <w:t xml:space="preserve"> each structure. </w:t>
      </w:r>
      <w:r w:rsidR="00EB333E">
        <w:t>As expected</w:t>
      </w:r>
      <w:r w:rsidR="00EB333E" w:rsidRPr="002B4F79">
        <w:t xml:space="preserve">, </w:t>
      </w:r>
      <w:r w:rsidR="00EB333E">
        <w:t>low-porosity</w:t>
      </w:r>
      <w:r w:rsidR="00EB333E" w:rsidRPr="002B4F79">
        <w:t xml:space="preserve"> structures exhibit a higher pressure drop when compared to those with higher porosity.</w:t>
      </w:r>
      <w:r w:rsidR="00EB333E">
        <w:t xml:space="preserve"> Consequently, f</w:t>
      </w:r>
      <w:r w:rsidR="00EB333E" w:rsidRPr="002B4F79">
        <w:t>or further investigation</w:t>
      </w:r>
      <w:r w:rsidR="00EB333E">
        <w:t>s</w:t>
      </w:r>
      <w:r w:rsidR="00EB333E" w:rsidRPr="002B4F79">
        <w:t xml:space="preserve"> </w:t>
      </w:r>
      <w:r w:rsidR="00EB333E">
        <w:t>concentrating on low</w:t>
      </w:r>
      <w:r w:rsidR="00EB333E" w:rsidRPr="002B4F79">
        <w:t xml:space="preserve"> pressure drop</w:t>
      </w:r>
      <w:r w:rsidR="00EB333E">
        <w:t>s</w:t>
      </w:r>
      <w:r w:rsidR="00EB333E" w:rsidRPr="002B4F79">
        <w:t>, structures with porosities of 50%, 60%, and 70% were selected. Additionally, the unit cell size within these structures was varied, with sizes of 2.5 mm and 2 mm being examined</w:t>
      </w:r>
      <w:r w:rsidR="002B4F79">
        <w:t>.</w:t>
      </w:r>
    </w:p>
    <w:p w14:paraId="4413E459" w14:textId="2AA72498" w:rsidR="00B02AD3" w:rsidRDefault="00121F06">
      <w:pPr>
        <w:jc w:val="center"/>
        <w:rPr>
          <w:sz w:val="16"/>
          <w:szCs w:val="16"/>
        </w:rPr>
      </w:pPr>
      <w:r w:rsidRPr="00121F06">
        <w:rPr>
          <w:noProof/>
          <w:sz w:val="16"/>
          <w:szCs w:val="16"/>
        </w:rPr>
        <w:drawing>
          <wp:inline distT="0" distB="0" distL="0" distR="0" wp14:anchorId="6933B3C8" wp14:editId="48581E46">
            <wp:extent cx="4468633" cy="1622607"/>
            <wp:effectExtent l="0" t="0" r="8255" b="0"/>
            <wp:docPr id="1" name="Grafik 9">
              <a:extLst xmlns:a="http://schemas.openxmlformats.org/drawingml/2006/main">
                <a:ext uri="{FF2B5EF4-FFF2-40B4-BE49-F238E27FC236}">
                  <a16:creationId xmlns:a16="http://schemas.microsoft.com/office/drawing/2014/main" id="{9C4905C9-845E-468F-97C9-5C6F617E9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9C4905C9-845E-468F-97C9-5C6F617E9D23}"/>
                        </a:ext>
                      </a:extLst>
                    </pic:cNvPr>
                    <pic:cNvPicPr>
                      <a:picLocks noChangeAspect="1"/>
                    </pic:cNvPicPr>
                  </pic:nvPicPr>
                  <pic:blipFill>
                    <a:blip r:embed="rId9"/>
                    <a:stretch>
                      <a:fillRect/>
                    </a:stretch>
                  </pic:blipFill>
                  <pic:spPr>
                    <a:xfrm>
                      <a:off x="0" y="0"/>
                      <a:ext cx="4496534" cy="1632738"/>
                    </a:xfrm>
                    <a:prstGeom prst="rect">
                      <a:avLst/>
                    </a:prstGeom>
                  </pic:spPr>
                </pic:pic>
              </a:graphicData>
            </a:graphic>
          </wp:inline>
        </w:drawing>
      </w:r>
    </w:p>
    <w:p w14:paraId="6C624E87" w14:textId="7F971587" w:rsidR="00AC199D" w:rsidRDefault="00596F1D">
      <w:pPr>
        <w:jc w:val="center"/>
        <w:rPr>
          <w:sz w:val="16"/>
          <w:szCs w:val="16"/>
        </w:rPr>
      </w:pPr>
      <w:r>
        <w:rPr>
          <w:sz w:val="16"/>
          <w:szCs w:val="16"/>
        </w:rPr>
        <w:t>Figure 3</w:t>
      </w:r>
      <w:r w:rsidR="00E64786" w:rsidRPr="00E64786">
        <w:rPr>
          <w:sz w:val="16"/>
          <w:szCs w:val="16"/>
        </w:rPr>
        <w:t xml:space="preserve">: Specific surface area and CFD pressure drop comparison across Gyroid, Schwarz-P, and Schwarz-D structures, with porosity: (a) 30-80%, </w:t>
      </w:r>
      <w:r w:rsidR="00E64786">
        <w:rPr>
          <w:sz w:val="16"/>
          <w:szCs w:val="16"/>
        </w:rPr>
        <w:t xml:space="preserve">unit </w:t>
      </w:r>
      <w:r w:rsidR="00E64786" w:rsidRPr="00E64786">
        <w:rPr>
          <w:sz w:val="16"/>
          <w:szCs w:val="16"/>
        </w:rPr>
        <w:t xml:space="preserve">cell size 2 mm; (b) 50-70%, </w:t>
      </w:r>
      <w:r w:rsidR="00E64786">
        <w:rPr>
          <w:sz w:val="16"/>
          <w:szCs w:val="16"/>
        </w:rPr>
        <w:t xml:space="preserve">unit </w:t>
      </w:r>
      <w:r w:rsidR="00E64786" w:rsidRPr="00E64786">
        <w:rPr>
          <w:sz w:val="16"/>
          <w:szCs w:val="16"/>
        </w:rPr>
        <w:t>cell size 2.5 mm</w:t>
      </w:r>
      <w:r w:rsidR="00E64786">
        <w:rPr>
          <w:sz w:val="16"/>
          <w:szCs w:val="16"/>
        </w:rPr>
        <w:t>.</w:t>
      </w:r>
    </w:p>
    <w:p w14:paraId="0D8E0EAC" w14:textId="1FDB6BBC" w:rsidR="002C6944" w:rsidRDefault="002C6944" w:rsidP="002C6944">
      <w:pPr>
        <w:spacing w:after="200"/>
        <w:jc w:val="both"/>
      </w:pPr>
      <w:r w:rsidRPr="00EB333E">
        <w:rPr>
          <w:color w:val="0070C0"/>
        </w:rPr>
        <w:t xml:space="preserve">Figures </w:t>
      </w:r>
      <w:r w:rsidR="00121F06">
        <w:rPr>
          <w:color w:val="0070C0"/>
        </w:rPr>
        <w:t>3b</w:t>
      </w:r>
      <w:r w:rsidRPr="00EB333E">
        <w:rPr>
          <w:color w:val="0070C0"/>
        </w:rPr>
        <w:t xml:space="preserve"> </w:t>
      </w:r>
      <w:r>
        <w:t xml:space="preserve">and </w:t>
      </w:r>
      <w:r w:rsidRPr="00EB333E">
        <w:rPr>
          <w:color w:val="0070C0"/>
        </w:rPr>
        <w:t>4</w:t>
      </w:r>
      <w:r w:rsidR="00121F06">
        <w:rPr>
          <w:color w:val="0070C0"/>
        </w:rPr>
        <w:t>a</w:t>
      </w:r>
      <w:r>
        <w:t xml:space="preserve"> present a clear picture of how structural porosity impacts the properties of different structures. As the porosity increases from 50% to 70%, there is a notable trend: the specific surface area for all structure types tends to decrease slightly. In contrast, the pressure drop demonstrates an inverse relationship with porosity. This indicates that higher porosity correlates with less resistance to fluid flow within the structure. A particularly interesting observation is that both the Gyroid and Schwarz-D </w:t>
      </w:r>
      <w:r>
        <w:lastRenderedPageBreak/>
        <w:t>structures exhibit nearly identical pressure drops. However, the specific surface area is significantly higher in the Schwarz-D structure compared to the Gyroid.</w:t>
      </w:r>
    </w:p>
    <w:p w14:paraId="2AAB5E5B" w14:textId="1D5B6760" w:rsidR="00AC199D" w:rsidRDefault="00EB333E" w:rsidP="002C6944">
      <w:pPr>
        <w:spacing w:after="200"/>
        <w:jc w:val="both"/>
      </w:pPr>
      <w:r>
        <w:t xml:space="preserve">Therefore, when optimizing for both pressure drop and surface area, the Schwarz-D structure emerges as the superior choice. With 70% porosity and a unit cell size of 2 mm, it achieves an optimal balance, characterized by a pressure drop of 655 Pa m⁻¹ and a specific surface area of 1776 m² m⁻³. These findings are crucial in the optimization of porous media designs across various engineering applications. They highlight the necessity of striking a delicate balance between maximizing surface area and minimizing fluid resistance, which is essential for efficient design and operation. </w:t>
      </w:r>
      <w:r w:rsidRPr="004A4DC7">
        <w:t xml:space="preserve">Furthermore, the feasibility of 3D printing the Schwarz-D structure, featuring a 2 mm unit cell size, was assessed through its practical implementation via </w:t>
      </w:r>
      <w:r>
        <w:t xml:space="preserve">in-house </w:t>
      </w:r>
      <w:r w:rsidRPr="004A4DC7">
        <w:t>3D printing</w:t>
      </w:r>
      <w:r>
        <w:t xml:space="preserve"> using clear resin</w:t>
      </w:r>
      <w:r w:rsidR="00121F06">
        <w:t xml:space="preserve"> as shown in </w:t>
      </w:r>
      <w:r w:rsidR="00121F06" w:rsidRPr="00121F06">
        <w:rPr>
          <w:color w:val="0070C0"/>
        </w:rPr>
        <w:t>Figure 4b</w:t>
      </w:r>
      <w:r w:rsidR="004A4DC7" w:rsidRPr="004A4DC7">
        <w:t>.</w:t>
      </w:r>
    </w:p>
    <w:p w14:paraId="0B4F981D" w14:textId="4F375040" w:rsidR="00AC199D" w:rsidRDefault="00121F06" w:rsidP="00121F06">
      <w:pPr>
        <w:jc w:val="center"/>
      </w:pPr>
      <w:r w:rsidRPr="00121F06">
        <w:rPr>
          <w:noProof/>
        </w:rPr>
        <w:drawing>
          <wp:inline distT="0" distB="0" distL="0" distR="0" wp14:anchorId="180E8523" wp14:editId="30D2BD1A">
            <wp:extent cx="3617844" cy="1683325"/>
            <wp:effectExtent l="0" t="0" r="1905" b="0"/>
            <wp:docPr id="18" name="Grafik 17">
              <a:extLst xmlns:a="http://schemas.openxmlformats.org/drawingml/2006/main">
                <a:ext uri="{FF2B5EF4-FFF2-40B4-BE49-F238E27FC236}">
                  <a16:creationId xmlns:a16="http://schemas.microsoft.com/office/drawing/2014/main" id="{340FF460-9E5D-4E21-AAE5-21E35B790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340FF460-9E5D-4E21-AAE5-21E35B790337}"/>
                        </a:ext>
                      </a:extLst>
                    </pic:cNvPr>
                    <pic:cNvPicPr>
                      <a:picLocks noChangeAspect="1"/>
                    </pic:cNvPicPr>
                  </pic:nvPicPr>
                  <pic:blipFill>
                    <a:blip r:embed="rId10"/>
                    <a:stretch>
                      <a:fillRect/>
                    </a:stretch>
                  </pic:blipFill>
                  <pic:spPr>
                    <a:xfrm>
                      <a:off x="0" y="0"/>
                      <a:ext cx="3642599" cy="1694843"/>
                    </a:xfrm>
                    <a:prstGeom prst="rect">
                      <a:avLst/>
                    </a:prstGeom>
                  </pic:spPr>
                </pic:pic>
              </a:graphicData>
            </a:graphic>
          </wp:inline>
        </w:drawing>
      </w:r>
    </w:p>
    <w:p w14:paraId="078B35DA" w14:textId="15F1FD82" w:rsidR="00AC199D" w:rsidRDefault="00596F1D">
      <w:pPr>
        <w:spacing w:after="200"/>
        <w:jc w:val="center"/>
        <w:rPr>
          <w:sz w:val="16"/>
          <w:szCs w:val="16"/>
        </w:rPr>
      </w:pPr>
      <w:r>
        <w:rPr>
          <w:sz w:val="16"/>
          <w:szCs w:val="16"/>
        </w:rPr>
        <w:t xml:space="preserve">Figure 4: </w:t>
      </w:r>
      <w:r w:rsidR="00E64786" w:rsidRPr="00E64786">
        <w:rPr>
          <w:sz w:val="16"/>
          <w:szCs w:val="16"/>
        </w:rPr>
        <w:t xml:space="preserve">(a) Comparison of surface area and pressure drop in Gyroid, Schwarz-P, and Schwarz-D (50-70% porosity, 2 mm </w:t>
      </w:r>
      <w:r w:rsidR="00E64786">
        <w:rPr>
          <w:sz w:val="16"/>
          <w:szCs w:val="16"/>
        </w:rPr>
        <w:t xml:space="preserve">unit </w:t>
      </w:r>
      <w:r w:rsidR="00E64786" w:rsidRPr="00E64786">
        <w:rPr>
          <w:sz w:val="16"/>
          <w:szCs w:val="16"/>
        </w:rPr>
        <w:t>cell</w:t>
      </w:r>
      <w:r w:rsidR="00E64786">
        <w:rPr>
          <w:sz w:val="16"/>
          <w:szCs w:val="16"/>
        </w:rPr>
        <w:t xml:space="preserve"> size</w:t>
      </w:r>
      <w:r w:rsidR="00E64786" w:rsidRPr="00E64786">
        <w:rPr>
          <w:sz w:val="16"/>
          <w:szCs w:val="16"/>
        </w:rPr>
        <w:t xml:space="preserve">). (b) 3D printed Schwarz-D, 70% porosity, 2 mm </w:t>
      </w:r>
      <w:r w:rsidR="00E64786">
        <w:rPr>
          <w:sz w:val="16"/>
          <w:szCs w:val="16"/>
        </w:rPr>
        <w:t xml:space="preserve">unit </w:t>
      </w:r>
      <w:r w:rsidR="00E64786" w:rsidRPr="00E64786">
        <w:rPr>
          <w:sz w:val="16"/>
          <w:szCs w:val="16"/>
        </w:rPr>
        <w:t>cell</w:t>
      </w:r>
      <w:r w:rsidR="00E64786">
        <w:rPr>
          <w:sz w:val="16"/>
          <w:szCs w:val="16"/>
        </w:rPr>
        <w:t xml:space="preserve"> size</w:t>
      </w:r>
      <w:r w:rsidR="00E64786" w:rsidRPr="00E64786">
        <w:rPr>
          <w:sz w:val="16"/>
          <w:szCs w:val="16"/>
        </w:rPr>
        <w:t>.</w:t>
      </w:r>
    </w:p>
    <w:p w14:paraId="63C3C23F" w14:textId="3F4918DE" w:rsidR="00B02AD3" w:rsidRPr="00B02AD3" w:rsidRDefault="00596F1D" w:rsidP="00B02AD3">
      <w:pPr>
        <w:keepNext/>
        <w:numPr>
          <w:ilvl w:val="1"/>
          <w:numId w:val="3"/>
        </w:numPr>
        <w:spacing w:before="80" w:line="276" w:lineRule="auto"/>
        <w:jc w:val="both"/>
        <w:rPr>
          <w:i/>
        </w:rPr>
      </w:pPr>
      <w:r>
        <w:rPr>
          <w:i/>
        </w:rPr>
        <w:t>Comparison between LBM and STAR-CCM+ simulation</w:t>
      </w:r>
    </w:p>
    <w:p w14:paraId="76A3FCE4" w14:textId="7D2288F1" w:rsidR="00AC199D" w:rsidRDefault="00AF5CDE">
      <w:pPr>
        <w:jc w:val="center"/>
      </w:pPr>
      <w:r w:rsidRPr="00AF5CDE">
        <w:drawing>
          <wp:inline distT="0" distB="0" distL="0" distR="0" wp14:anchorId="30EC9244" wp14:editId="0CF17E4A">
            <wp:extent cx="4230093" cy="1604642"/>
            <wp:effectExtent l="0" t="0" r="0" b="0"/>
            <wp:docPr id="23" name="Grafik 22">
              <a:extLst xmlns:a="http://schemas.openxmlformats.org/drawingml/2006/main">
                <a:ext uri="{FF2B5EF4-FFF2-40B4-BE49-F238E27FC236}">
                  <a16:creationId xmlns:a16="http://schemas.microsoft.com/office/drawing/2014/main" id="{81FCE4A2-5234-4CC6-8CBF-A519B22CB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81FCE4A2-5234-4CC6-8CBF-A519B22CB6BE}"/>
                        </a:ext>
                      </a:extLst>
                    </pic:cNvPr>
                    <pic:cNvPicPr>
                      <a:picLocks noChangeAspect="1"/>
                    </pic:cNvPicPr>
                  </pic:nvPicPr>
                  <pic:blipFill>
                    <a:blip r:embed="rId11"/>
                    <a:stretch>
                      <a:fillRect/>
                    </a:stretch>
                  </pic:blipFill>
                  <pic:spPr>
                    <a:xfrm>
                      <a:off x="0" y="0"/>
                      <a:ext cx="4294902" cy="1629227"/>
                    </a:xfrm>
                    <a:prstGeom prst="rect">
                      <a:avLst/>
                    </a:prstGeom>
                  </pic:spPr>
                </pic:pic>
              </a:graphicData>
            </a:graphic>
          </wp:inline>
        </w:drawing>
      </w:r>
    </w:p>
    <w:p w14:paraId="0C29B157" w14:textId="77777777" w:rsidR="00AC199D" w:rsidRDefault="00596F1D">
      <w:pPr>
        <w:jc w:val="center"/>
        <w:rPr>
          <w:sz w:val="16"/>
          <w:szCs w:val="16"/>
        </w:rPr>
      </w:pPr>
      <w:r>
        <w:rPr>
          <w:sz w:val="16"/>
          <w:szCs w:val="16"/>
        </w:rPr>
        <w:t>Figure 5: Comparison between LBM and STAR-CCM+ simulation results.</w:t>
      </w:r>
    </w:p>
    <w:p w14:paraId="086BB890" w14:textId="77777777" w:rsidR="00E02520" w:rsidRDefault="00EB333E" w:rsidP="00E02520">
      <w:pPr>
        <w:spacing w:after="240"/>
        <w:jc w:val="both"/>
      </w:pPr>
      <w:r>
        <w:t>Finally</w:t>
      </w:r>
      <w:r w:rsidRPr="004A4DC7">
        <w:t>,</w:t>
      </w:r>
      <w:r w:rsidR="00EB17DD">
        <w:t xml:space="preserve"> an</w:t>
      </w:r>
      <w:r w:rsidR="00121F06">
        <w:t xml:space="preserve"> </w:t>
      </w:r>
      <w:r>
        <w:t xml:space="preserve">LBM simulation was carried out. </w:t>
      </w:r>
      <w:r w:rsidRPr="004A4DC7">
        <w:rPr>
          <w:color w:val="0070C0"/>
        </w:rPr>
        <w:t>Figure 5</w:t>
      </w:r>
      <w:r>
        <w:t xml:space="preserve"> on the left illustrates the comparison between LBM and STAR-CCM+ pressure drop profiles in the Schwarz-D structure. It reveals minimal discrepancies in the pressure drop, with values of 31.4 Pa for LBM and 30.2 Pa for STAR-CCM+ (less than 4% difference). This good agreement in the pressure drop values underscores the consistency and accuracy of both computational approaches in capturing the macroscopic </w:t>
      </w:r>
      <w:r w:rsidR="00EB17DD">
        <w:t>behaviour</w:t>
      </w:r>
      <w:r>
        <w:t xml:space="preserve"> of fluid flow through the porous medium of this structure.</w:t>
      </w:r>
      <w:r w:rsidR="00E02520">
        <w:t xml:space="preserve"> </w:t>
      </w:r>
      <w:r>
        <w:t xml:space="preserve">Further analysis involved studying the velocity profiles along the streamwise direction, as shown in the </w:t>
      </w:r>
      <w:r w:rsidRPr="00AB2DFF">
        <w:rPr>
          <w:color w:val="0070C0"/>
        </w:rPr>
        <w:t>Figure 5</w:t>
      </w:r>
      <w:r>
        <w:t xml:space="preserve"> on the right side. </w:t>
      </w:r>
      <w:r w:rsidRPr="00015480">
        <w:t xml:space="preserve">The velocity profile in STAR-CCM+ </w:t>
      </w:r>
      <w:r>
        <w:t xml:space="preserve">appears </w:t>
      </w:r>
      <w:r w:rsidRPr="00015480">
        <w:t>averaged over the domain due to its reliance on the Reynolds-Averaged Navier-</w:t>
      </w:r>
      <w:r w:rsidRPr="00015480">
        <w:lastRenderedPageBreak/>
        <w:t>Stokes (RANS) model</w:t>
      </w:r>
      <w:r>
        <w:t xml:space="preserve"> and to a coarser grid</w:t>
      </w:r>
      <w:r w:rsidRPr="00015480">
        <w:t>. In contrast</w:t>
      </w:r>
      <w:r>
        <w:t>, LBM</w:t>
      </w:r>
      <w:r w:rsidRPr="00015480">
        <w:t xml:space="preserve"> utilizes the Direct Numerical Simulation (DNS) approach</w:t>
      </w:r>
      <w:r>
        <w:t xml:space="preserve"> on a considerably finer, regular grid, revealing large velocity changes</w:t>
      </w:r>
      <w:r w:rsidRPr="00015480">
        <w:t xml:space="preserve">. </w:t>
      </w:r>
    </w:p>
    <w:p w14:paraId="295D3BC8" w14:textId="4728EF28" w:rsidR="00AC199D" w:rsidRDefault="00EB333E" w:rsidP="00E02520">
      <w:pPr>
        <w:spacing w:after="240"/>
        <w:jc w:val="both"/>
      </w:pPr>
      <w:r w:rsidRPr="00015480">
        <w:t xml:space="preserve">This fundamental difference in </w:t>
      </w:r>
      <w:proofErr w:type="spellStart"/>
      <w:r w:rsidRPr="00015480">
        <w:t>modeling</w:t>
      </w:r>
      <w:proofErr w:type="spellEnd"/>
      <w:r w:rsidRPr="00015480">
        <w:t xml:space="preserve"> techniques results in distinctive characteristics in the velocity profiles generated by each method.</w:t>
      </w:r>
      <w:r>
        <w:t xml:space="preserve"> However, LBM comes with a noticeably larger numerical cost. Overall, the close agreement in pressure drop (the target quantity of this study) attests to the robustness of both LBM and STAR-CCM+ as effective tools for simulating fluid flow through porous structures, providing researchers and engineers with reliable insights into the complex dynamics of such systems.</w:t>
      </w:r>
    </w:p>
    <w:p w14:paraId="78CB326E" w14:textId="59ED1DCE" w:rsidR="00AC199D" w:rsidRPr="00E37260" w:rsidRDefault="00596F1D" w:rsidP="00E37260">
      <w:pPr>
        <w:pStyle w:val="Els-1storder-head"/>
        <w:spacing w:line="240" w:lineRule="auto"/>
      </w:pPr>
      <w:r w:rsidRPr="00E37260">
        <w:rPr>
          <w:szCs w:val="22"/>
        </w:rPr>
        <w:t>Conclusions</w:t>
      </w:r>
    </w:p>
    <w:p w14:paraId="265AB0CE" w14:textId="69580861" w:rsidR="00AC199D" w:rsidRDefault="00EB333E" w:rsidP="00927805">
      <w:pPr>
        <w:jc w:val="both"/>
      </w:pPr>
      <w:r>
        <w:t xml:space="preserve">The study concludes that the use of TPMS in the design of packed bed columns presents a significant advancement in the optimization of the absorption process. </w:t>
      </w:r>
      <w:r w:rsidRPr="00927805">
        <w:t xml:space="preserve">This is established by examining the fluid dynamic </w:t>
      </w:r>
      <w:r w:rsidR="005838B5" w:rsidRPr="00927805">
        <w:t>behaviours</w:t>
      </w:r>
      <w:r w:rsidRPr="00927805">
        <w:t xml:space="preserve"> of TPMS structures, including Gyroid, Schwarz-P, and Schwarz-D, through single-phase </w:t>
      </w:r>
      <w:r>
        <w:t>flow</w:t>
      </w:r>
      <w:r w:rsidRPr="00927805">
        <w:t xml:space="preserve"> simulations. Notably, the Schwarz-D structure, </w:t>
      </w:r>
      <w:r>
        <w:t xml:space="preserve">with </w:t>
      </w:r>
      <w:r w:rsidRPr="00927805">
        <w:t>70</w:t>
      </w:r>
      <w:r>
        <w:t>%</w:t>
      </w:r>
      <w:r w:rsidRPr="00927805">
        <w:t xml:space="preserve"> porosity and a 2 mm unit cell, demonstrates </w:t>
      </w:r>
      <w:r>
        <w:t>promising</w:t>
      </w:r>
      <w:r w:rsidRPr="00927805">
        <w:t xml:space="preserve"> performance, characterized by </w:t>
      </w:r>
      <w:r>
        <w:t>a</w:t>
      </w:r>
      <w:r w:rsidRPr="00927805">
        <w:t xml:space="preserve"> pressure drop of 655 Pa m</w:t>
      </w:r>
      <w:r w:rsidRPr="00927805">
        <w:rPr>
          <w:vertAlign w:val="superscript"/>
        </w:rPr>
        <w:t>-1</w:t>
      </w:r>
      <w:r w:rsidRPr="00927805">
        <w:t xml:space="preserve"> and </w:t>
      </w:r>
      <w:r>
        <w:t>a</w:t>
      </w:r>
      <w:r w:rsidRPr="00927805">
        <w:t xml:space="preserve"> specific surface area of 1776 m</w:t>
      </w:r>
      <w:r w:rsidRPr="00927805">
        <w:rPr>
          <w:vertAlign w:val="superscript"/>
        </w:rPr>
        <w:t>2</w:t>
      </w:r>
      <w:r w:rsidRPr="00927805">
        <w:t xml:space="preserve"> m</w:t>
      </w:r>
      <w:r>
        <w:rPr>
          <w:vertAlign w:val="superscript"/>
        </w:rPr>
        <w:t>-</w:t>
      </w:r>
      <w:r w:rsidRPr="00927805">
        <w:rPr>
          <w:vertAlign w:val="superscript"/>
        </w:rPr>
        <w:t>3</w:t>
      </w:r>
      <w:r w:rsidRPr="00927805">
        <w:t>.</w:t>
      </w:r>
      <w:r>
        <w:t xml:space="preserve"> The</w:t>
      </w:r>
      <w:r w:rsidRPr="004D6F1B">
        <w:t xml:space="preserve"> pressure drop </w:t>
      </w:r>
      <w:r>
        <w:t>comparison of STAR-CCM+ with the LBM simulation provides a</w:t>
      </w:r>
      <w:r w:rsidRPr="004D6F1B">
        <w:t xml:space="preserve"> </w:t>
      </w:r>
      <w:r>
        <w:t>good agreement regarding pressure</w:t>
      </w:r>
      <w:r w:rsidRPr="00927805">
        <w:t>. These findings indicate that TPMS-based structures could significantly enhance the design and efficiency of packed bed columns</w:t>
      </w:r>
      <w:r w:rsidR="005838B5">
        <w:t>.</w:t>
      </w:r>
      <w:r w:rsidR="005838B5" w:rsidRPr="005838B5">
        <w:t xml:space="preserve"> </w:t>
      </w:r>
      <w:r w:rsidR="005838B5" w:rsidRPr="005838B5">
        <w:t>The study highlights a research gap in the long-term stability and scalability of TPMS-based structures for industrial use, suggesting future research should focus on their performance, scalability, and economic viability.</w:t>
      </w:r>
    </w:p>
    <w:p w14:paraId="2AE01A1D" w14:textId="11A0847C" w:rsidR="00C565CB" w:rsidRDefault="00C565CB" w:rsidP="00C565CB">
      <w:pPr>
        <w:keepNext/>
        <w:spacing w:before="240" w:after="60"/>
        <w:jc w:val="both"/>
      </w:pPr>
      <w:r>
        <w:rPr>
          <w:b/>
          <w:sz w:val="22"/>
          <w:szCs w:val="22"/>
        </w:rPr>
        <w:t>Acknowledgment</w:t>
      </w:r>
    </w:p>
    <w:p w14:paraId="1B753F98" w14:textId="169F9734" w:rsidR="00C565CB" w:rsidRDefault="00C565CB" w:rsidP="00927805">
      <w:pPr>
        <w:jc w:val="both"/>
      </w:pPr>
      <w:r>
        <w:t xml:space="preserve">This research was supported by the International Max Planck Research School for Advanced Methods in Process and Systems Engineering (IMPRS </w:t>
      </w:r>
      <w:proofErr w:type="spellStart"/>
      <w:r>
        <w:t>ProEng</w:t>
      </w:r>
      <w:proofErr w:type="spellEnd"/>
      <w:r>
        <w:t>), Magdeburg, Germany.</w:t>
      </w:r>
    </w:p>
    <w:p w14:paraId="5615A232" w14:textId="77777777" w:rsidR="00AC199D" w:rsidRDefault="00596F1D">
      <w:pPr>
        <w:keepNext/>
        <w:spacing w:before="240" w:after="60"/>
        <w:jc w:val="both"/>
        <w:rPr>
          <w:b/>
          <w:sz w:val="22"/>
          <w:szCs w:val="22"/>
        </w:rPr>
      </w:pPr>
      <w:r>
        <w:rPr>
          <w:b/>
          <w:sz w:val="22"/>
          <w:szCs w:val="22"/>
        </w:rPr>
        <w:t>References</w:t>
      </w:r>
    </w:p>
    <w:p w14:paraId="113A6FC3" w14:textId="77777777" w:rsidR="00BC1D62" w:rsidRPr="00BC1D62" w:rsidRDefault="002243E2" w:rsidP="00BC1D62">
      <w:pPr>
        <w:pStyle w:val="Literaturverzeichnis"/>
        <w:rPr>
          <w:sz w:val="18"/>
        </w:rPr>
      </w:pPr>
      <w:r>
        <w:rPr>
          <w:sz w:val="18"/>
          <w:szCs w:val="18"/>
        </w:rPr>
        <w:fldChar w:fldCharType="begin"/>
      </w:r>
      <w:r w:rsidR="00BC1D62">
        <w:rPr>
          <w:sz w:val="18"/>
          <w:szCs w:val="18"/>
        </w:rPr>
        <w:instrText xml:space="preserve"> ADDIN ZOTERO_BIBL {"uncited":[],"omitted":[],"custom":[]} CSL_BIBLIOGRAPHY </w:instrText>
      </w:r>
      <w:r>
        <w:rPr>
          <w:sz w:val="18"/>
          <w:szCs w:val="18"/>
        </w:rPr>
        <w:fldChar w:fldCharType="separate"/>
      </w:r>
      <w:r w:rsidR="00BC1D62" w:rsidRPr="00BC1D62">
        <w:rPr>
          <w:sz w:val="18"/>
        </w:rPr>
        <w:t>Hawken, M.B., Reid, S., Clarke, D.A., Watson, M., Fee, C.J., Holland, D.J., 2023. Characterization of pressure drop through Schwarz-Diamond triply periodic minimal surface porous media. Chemical Engineering Science 280, 119039.</w:t>
      </w:r>
    </w:p>
    <w:p w14:paraId="09DE3760" w14:textId="77777777" w:rsidR="00BC1D62" w:rsidRPr="00BC1D62" w:rsidRDefault="00BC1D62" w:rsidP="00BC1D62">
      <w:pPr>
        <w:pStyle w:val="Literaturverzeichnis"/>
        <w:rPr>
          <w:sz w:val="18"/>
        </w:rPr>
      </w:pPr>
      <w:r w:rsidRPr="00BC1D62">
        <w:rPr>
          <w:sz w:val="18"/>
        </w:rPr>
        <w:t>Hosseini, S.A., 2020. Development of a lattice Boltzmann-based numerical method for the simulation of reacting flows (PhD Thesis). University of Magdeburg.</w:t>
      </w:r>
    </w:p>
    <w:p w14:paraId="2CFF25CF" w14:textId="77777777" w:rsidR="00BC1D62" w:rsidRPr="00BC1D62" w:rsidRDefault="00BC1D62" w:rsidP="00BC1D62">
      <w:pPr>
        <w:pStyle w:val="Literaturverzeichnis"/>
        <w:rPr>
          <w:sz w:val="18"/>
        </w:rPr>
      </w:pPr>
      <w:r w:rsidRPr="00BC1D62">
        <w:rPr>
          <w:sz w:val="18"/>
        </w:rPr>
        <w:t>Jaya, A., Kolmetz, K., 2020. Distillation Column Packing Hydraulics Selection, Sizing And Troubleshooting, Kolmetz Handbook Of Process Equipment Design. KLM Technology Group.</w:t>
      </w:r>
    </w:p>
    <w:p w14:paraId="535A380F" w14:textId="77777777" w:rsidR="00BC1D62" w:rsidRPr="00BC1D62" w:rsidRDefault="00BC1D62" w:rsidP="00BC1D62">
      <w:pPr>
        <w:pStyle w:val="Literaturverzeichnis"/>
        <w:rPr>
          <w:sz w:val="18"/>
        </w:rPr>
      </w:pPr>
      <w:r w:rsidRPr="00BC1D62">
        <w:rPr>
          <w:sz w:val="18"/>
        </w:rPr>
        <w:t>Kawas, B., Mizzi, B., Dejean, B., Rouzineau, D., Meyer, M., 2021. Design and conception of an innovative packing for separation column – Part II: Design and characterization of a wire based packing. Chemical Engineering Research and Design 169, 189–203.</w:t>
      </w:r>
    </w:p>
    <w:p w14:paraId="47258AB0" w14:textId="77777777" w:rsidR="00BC1D62" w:rsidRPr="00BC1D62" w:rsidRDefault="00BC1D62" w:rsidP="00BC1D62">
      <w:pPr>
        <w:pStyle w:val="Literaturverzeichnis"/>
        <w:rPr>
          <w:sz w:val="18"/>
        </w:rPr>
      </w:pPr>
      <w:r w:rsidRPr="00BC1D62">
        <w:rPr>
          <w:sz w:val="18"/>
        </w:rPr>
        <w:t>Krüger, T., Kusumaatmaja, H., Kuzmin, A., Shardt, O., Silva, G., Viggen, E.M., 2017. The lattice Boltzmann method. Springer International Publishing 10, 4–15.</w:t>
      </w:r>
    </w:p>
    <w:p w14:paraId="064669B8" w14:textId="77777777" w:rsidR="00BC1D62" w:rsidRPr="00BC1D62" w:rsidRDefault="00BC1D62" w:rsidP="00BC1D62">
      <w:pPr>
        <w:pStyle w:val="Literaturverzeichnis"/>
        <w:rPr>
          <w:sz w:val="18"/>
        </w:rPr>
      </w:pPr>
      <w:r w:rsidRPr="00BC1D62">
        <w:rPr>
          <w:sz w:val="18"/>
        </w:rPr>
        <w:t>Lange, A., Fieg, G., 2022. Designing Novel Structured Packings by Topology Optimization and Additive Manufacturing, in: Yamashita, Y., Kano, M. (Eds.), 14th International Symposium on Process Systems Engineering, Computer Aided Chemical Engineering. Elsevier, pp. 1291–1296.</w:t>
      </w:r>
    </w:p>
    <w:p w14:paraId="56525AE9" w14:textId="77777777" w:rsidR="00BC1D62" w:rsidRPr="00BC1D62" w:rsidRDefault="00BC1D62" w:rsidP="00BC1D62">
      <w:pPr>
        <w:pStyle w:val="Literaturverzeichnis"/>
        <w:rPr>
          <w:sz w:val="18"/>
        </w:rPr>
      </w:pPr>
      <w:r w:rsidRPr="00BC1D62">
        <w:rPr>
          <w:sz w:val="18"/>
        </w:rPr>
        <w:t>Rix, A., Olujic, Z., 2008. Pressure drop of internals for packed columns. Chemical Engineering and Processing: Process Intensification 47, 1520–1529.</w:t>
      </w:r>
    </w:p>
    <w:p w14:paraId="5596FAB7" w14:textId="4BB7C433" w:rsidR="00AC199D" w:rsidRDefault="002243E2" w:rsidP="00C82160">
      <w:pPr>
        <w:pStyle w:val="Literaturverzeichnis"/>
        <w:rPr>
          <w:sz w:val="18"/>
          <w:szCs w:val="18"/>
        </w:rPr>
      </w:pPr>
      <w:r>
        <w:rPr>
          <w:sz w:val="18"/>
          <w:szCs w:val="18"/>
        </w:rPr>
        <w:fldChar w:fldCharType="end"/>
      </w:r>
    </w:p>
    <w:sectPr w:rsidR="00AC199D">
      <w:headerReference w:type="even" r:id="rId12"/>
      <w:headerReference w:type="default" r:id="rId13"/>
      <w:headerReference w:type="first" r:id="rId14"/>
      <w:pgSz w:w="11906" w:h="16838"/>
      <w:pgMar w:top="2377" w:right="2410" w:bottom="2892" w:left="2410" w:header="1701" w:footer="28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E9CFF" w14:textId="77777777" w:rsidR="00C35432" w:rsidRDefault="00C35432">
      <w:r>
        <w:separator/>
      </w:r>
    </w:p>
  </w:endnote>
  <w:endnote w:type="continuationSeparator" w:id="0">
    <w:p w14:paraId="67E85350" w14:textId="77777777" w:rsidR="00C35432" w:rsidRDefault="00C3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E6FAA" w14:textId="77777777" w:rsidR="00C35432" w:rsidRDefault="00C35432">
      <w:r>
        <w:separator/>
      </w:r>
    </w:p>
  </w:footnote>
  <w:footnote w:type="continuationSeparator" w:id="0">
    <w:p w14:paraId="6AE2FDBC" w14:textId="77777777" w:rsidR="00C35432" w:rsidRDefault="00C35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1620" w14:textId="77777777" w:rsidR="00AC199D" w:rsidRDefault="00596F1D">
    <w:pPr>
      <w:pBdr>
        <w:top w:val="nil"/>
        <w:left w:val="nil"/>
        <w:bottom w:val="nil"/>
        <w:right w:val="nil"/>
        <w:between w:val="nil"/>
      </w:pBdr>
      <w:tabs>
        <w:tab w:val="center" w:pos="3600"/>
        <w:tab w:val="right" w:pos="7200"/>
        <w:tab w:val="right" w:pos="7088"/>
      </w:tabs>
      <w:rPr>
        <w:color w:val="000000"/>
      </w:rPr>
    </w:pPr>
    <w:r>
      <w:rPr>
        <w:color w:val="000000"/>
      </w:rPr>
      <w:tab/>
    </w:r>
    <w:r>
      <w:rPr>
        <w:i/>
        <w:color w:val="000000"/>
      </w:rPr>
      <w:tab/>
      <w:t>K. Vhora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E1FC" w14:textId="77777777" w:rsidR="00AC199D" w:rsidRDefault="00596F1D">
    <w:pPr>
      <w:pBdr>
        <w:top w:val="nil"/>
        <w:left w:val="nil"/>
        <w:bottom w:val="nil"/>
        <w:right w:val="nil"/>
        <w:between w:val="nil"/>
      </w:pBdr>
      <w:tabs>
        <w:tab w:val="center" w:pos="3600"/>
        <w:tab w:val="right" w:pos="7200"/>
        <w:tab w:val="right" w:pos="7088"/>
      </w:tabs>
      <w:rPr>
        <w:color w:val="000000"/>
        <w:sz w:val="24"/>
        <w:szCs w:val="24"/>
      </w:rPr>
    </w:pPr>
    <w:r>
      <w:rPr>
        <w:i/>
        <w:color w:val="000000"/>
      </w:rPr>
      <w:t xml:space="preserve">Investigating fluid flow </w:t>
    </w:r>
    <w:r>
      <w:rPr>
        <w:i/>
      </w:rPr>
      <w:t>dynamics</w:t>
    </w:r>
    <w:r>
      <w:rPr>
        <w:i/>
        <w:color w:val="000000"/>
      </w:rPr>
      <w:t xml:space="preserve"> in Triply Periodic Minimal Surfaces (TPMS) </w:t>
    </w:r>
    <w:r>
      <w:rPr>
        <w:i/>
      </w:rPr>
      <w:t>Structure</w:t>
    </w:r>
    <w:r>
      <w:rPr>
        <w:i/>
        <w:color w:val="000000"/>
      </w:rPr>
      <w:t xml:space="preserve"> Using CFD Simulations</w:t>
    </w:r>
    <w:r>
      <w:rPr>
        <w:i/>
        <w:color w:val="000000"/>
        <w:sz w:val="24"/>
        <w:szCs w:val="24"/>
      </w:rPr>
      <w:tab/>
    </w:r>
    <w:r>
      <w:rPr>
        <w:color w:val="000000"/>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FC5B" w14:textId="77777777" w:rsidR="00AC199D" w:rsidRDefault="00596F1D">
    <w:pPr>
      <w:pBdr>
        <w:top w:val="nil"/>
        <w:left w:val="nil"/>
        <w:bottom w:val="nil"/>
        <w:right w:val="nil"/>
        <w:between w:val="nil"/>
      </w:pBdr>
      <w:rPr>
        <w:color w:val="000000"/>
        <w:sz w:val="18"/>
        <w:szCs w:val="18"/>
      </w:rPr>
    </w:pPr>
    <w:r>
      <w:rPr>
        <w:color w:val="000000"/>
        <w:sz w:val="18"/>
        <w:szCs w:val="18"/>
      </w:rPr>
      <w:t xml:space="preserve">Flavio </w:t>
    </w:r>
    <w:proofErr w:type="spellStart"/>
    <w:r>
      <w:rPr>
        <w:color w:val="000000"/>
        <w:sz w:val="18"/>
        <w:szCs w:val="18"/>
      </w:rPr>
      <w:t>Manenti</w:t>
    </w:r>
    <w:proofErr w:type="spellEnd"/>
    <w:r>
      <w:rPr>
        <w:color w:val="000000"/>
        <w:sz w:val="18"/>
        <w:szCs w:val="18"/>
      </w:rPr>
      <w:t xml:space="preserve">, </w:t>
    </w:r>
    <w:proofErr w:type="spellStart"/>
    <w:r>
      <w:rPr>
        <w:color w:val="000000"/>
        <w:sz w:val="18"/>
        <w:szCs w:val="18"/>
      </w:rPr>
      <w:t>Gintaras</w:t>
    </w:r>
    <w:proofErr w:type="spellEnd"/>
    <w:r>
      <w:rPr>
        <w:color w:val="000000"/>
        <w:sz w:val="18"/>
        <w:szCs w:val="18"/>
      </w:rPr>
      <w:t xml:space="preserve"> V. </w:t>
    </w:r>
    <w:proofErr w:type="spellStart"/>
    <w:r>
      <w:rPr>
        <w:color w:val="000000"/>
        <w:sz w:val="18"/>
        <w:szCs w:val="18"/>
      </w:rPr>
      <w:t>Reklaitis</w:t>
    </w:r>
    <w:proofErr w:type="spellEnd"/>
    <w:r>
      <w:rPr>
        <w:color w:val="000000"/>
        <w:sz w:val="18"/>
        <w:szCs w:val="18"/>
      </w:rPr>
      <w:t xml:space="preserve"> (Eds.),</w:t>
    </w:r>
    <w:r>
      <w:rPr>
        <w:color w:val="000000"/>
        <w:sz w:val="22"/>
        <w:szCs w:val="22"/>
      </w:rPr>
      <w:t xml:space="preserve"> </w:t>
    </w:r>
    <w:r>
      <w:rPr>
        <w:color w:val="000000"/>
        <w:sz w:val="18"/>
        <w:szCs w:val="18"/>
      </w:rPr>
      <w:t>Proceedings of the 34</w:t>
    </w:r>
    <w:r>
      <w:rPr>
        <w:color w:val="000000"/>
        <w:sz w:val="18"/>
        <w:szCs w:val="18"/>
        <w:vertAlign w:val="superscript"/>
      </w:rPr>
      <w:t>th</w:t>
    </w:r>
    <w:r>
      <w:rPr>
        <w:color w:val="000000"/>
        <w:sz w:val="18"/>
        <w:szCs w:val="18"/>
      </w:rPr>
      <w:t xml:space="preserve"> European Symposium on Computer Aided Process Engineering / 15</w:t>
    </w:r>
    <w:r>
      <w:rPr>
        <w:color w:val="000000"/>
        <w:sz w:val="18"/>
        <w:szCs w:val="18"/>
        <w:vertAlign w:val="superscript"/>
      </w:rPr>
      <w:t>th</w:t>
    </w:r>
    <w:r>
      <w:rPr>
        <w:color w:val="000000"/>
        <w:sz w:val="18"/>
        <w:szCs w:val="18"/>
      </w:rPr>
      <w:t xml:space="preserve"> International Symposium on Process Systems Engineerin</w:t>
    </w:r>
    <w:r>
      <w:rPr>
        <w:color w:val="000000"/>
        <w:sz w:val="18"/>
        <w:szCs w:val="18"/>
        <w:u w:val="single"/>
      </w:rPr>
      <w:t>g</w:t>
    </w:r>
    <w:r>
      <w:rPr>
        <w:color w:val="000000"/>
        <w:sz w:val="18"/>
        <w:szCs w:val="18"/>
      </w:rPr>
      <w:t xml:space="preserve"> (ESCAPE34/PSE24), June 2-6, 2024, Florence, Italy</w:t>
    </w:r>
  </w:p>
  <w:p w14:paraId="7A6CEBE6" w14:textId="77777777" w:rsidR="00AC199D" w:rsidRDefault="00596F1D">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4A584711"/>
    <w:multiLevelType w:val="multilevel"/>
    <w:tmpl w:val="437AFEBA"/>
    <w:lvl w:ilvl="0">
      <w:start w:val="1"/>
      <w:numFmt w:val="decimal"/>
      <w:lvlText w:val="Chapter %1"/>
      <w:lvlJc w:val="left"/>
      <w:pPr>
        <w:ind w:left="0" w:firstLine="0"/>
      </w:pPr>
    </w:lvl>
    <w:lvl w:ilvl="1">
      <w:start w:val="1"/>
      <w:numFmt w:val="decimal"/>
      <w:lvlText w:val="%2."/>
      <w:lvlJc w:val="left"/>
      <w:pPr>
        <w:ind w:left="0" w:firstLine="0"/>
      </w:pPr>
      <w:rPr>
        <w:b/>
        <w:sz w:val="22"/>
        <w:szCs w:val="22"/>
      </w:r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2" w15:restartNumberingAfterBreak="0">
    <w:nsid w:val="4C040865"/>
    <w:multiLevelType w:val="multilevel"/>
    <w:tmpl w:val="748CAD0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55404356"/>
    <w:multiLevelType w:val="multilevel"/>
    <w:tmpl w:val="D38A0810"/>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99D"/>
    <w:rsid w:val="0009605E"/>
    <w:rsid w:val="000C634D"/>
    <w:rsid w:val="001113ED"/>
    <w:rsid w:val="00121F06"/>
    <w:rsid w:val="00206016"/>
    <w:rsid w:val="002243E2"/>
    <w:rsid w:val="00243884"/>
    <w:rsid w:val="002B0EEA"/>
    <w:rsid w:val="002B4F79"/>
    <w:rsid w:val="002C6944"/>
    <w:rsid w:val="00325BDF"/>
    <w:rsid w:val="00390C89"/>
    <w:rsid w:val="003A4673"/>
    <w:rsid w:val="00407375"/>
    <w:rsid w:val="004A4DC7"/>
    <w:rsid w:val="004D5CA1"/>
    <w:rsid w:val="004D6F1B"/>
    <w:rsid w:val="00581D1F"/>
    <w:rsid w:val="005838B5"/>
    <w:rsid w:val="00596F1D"/>
    <w:rsid w:val="005B69B6"/>
    <w:rsid w:val="005E38E8"/>
    <w:rsid w:val="006A7DFA"/>
    <w:rsid w:val="0077127C"/>
    <w:rsid w:val="00773F38"/>
    <w:rsid w:val="007957B1"/>
    <w:rsid w:val="00882522"/>
    <w:rsid w:val="0088723B"/>
    <w:rsid w:val="00896DAD"/>
    <w:rsid w:val="00927805"/>
    <w:rsid w:val="00946B56"/>
    <w:rsid w:val="00995E30"/>
    <w:rsid w:val="009A2DB2"/>
    <w:rsid w:val="009C5AB0"/>
    <w:rsid w:val="00A036F6"/>
    <w:rsid w:val="00A8387A"/>
    <w:rsid w:val="00A8488A"/>
    <w:rsid w:val="00AB2DFF"/>
    <w:rsid w:val="00AC199D"/>
    <w:rsid w:val="00AD1BFA"/>
    <w:rsid w:val="00AF5CDE"/>
    <w:rsid w:val="00B02AD3"/>
    <w:rsid w:val="00B06919"/>
    <w:rsid w:val="00BC1D62"/>
    <w:rsid w:val="00C35432"/>
    <w:rsid w:val="00C565CB"/>
    <w:rsid w:val="00C82160"/>
    <w:rsid w:val="00CC4DED"/>
    <w:rsid w:val="00D27F1F"/>
    <w:rsid w:val="00D67266"/>
    <w:rsid w:val="00D70127"/>
    <w:rsid w:val="00D76B1B"/>
    <w:rsid w:val="00DA0ECF"/>
    <w:rsid w:val="00E02520"/>
    <w:rsid w:val="00E13F24"/>
    <w:rsid w:val="00E37260"/>
    <w:rsid w:val="00E535F4"/>
    <w:rsid w:val="00E64786"/>
    <w:rsid w:val="00E92506"/>
    <w:rsid w:val="00EB17DD"/>
    <w:rsid w:val="00EB333E"/>
    <w:rsid w:val="00F609EB"/>
    <w:rsid w:val="00F60ED5"/>
    <w:rsid w:val="00F962EA"/>
    <w:rsid w:val="00FC77EF"/>
    <w:rsid w:val="00FE58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224E"/>
  <w15:docId w15:val="{A13D4E3C-4C26-4242-9B36-EC14F4D8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spacing w:before="240" w:after="60"/>
      <w:outlineLvl w:val="2"/>
    </w:pPr>
    <w:rPr>
      <w:rFonts w:ascii="Arial" w:eastAsia="Arial" w:hAnsi="Arial" w:cs="Arial"/>
      <w:b/>
      <w:sz w:val="26"/>
      <w:szCs w:val="26"/>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Fuzeile">
    <w:name w:val="footer"/>
    <w:basedOn w:val="Standard"/>
    <w:link w:val="FuzeileZchn"/>
    <w:uiPriority w:val="99"/>
    <w:unhideWhenUsed/>
    <w:rsid w:val="00D67266"/>
    <w:pPr>
      <w:tabs>
        <w:tab w:val="center" w:pos="4536"/>
        <w:tab w:val="right" w:pos="9072"/>
      </w:tabs>
    </w:pPr>
  </w:style>
  <w:style w:type="character" w:customStyle="1" w:styleId="FuzeileZchn">
    <w:name w:val="Fußzeile Zchn"/>
    <w:basedOn w:val="Absatz-Standardschriftart"/>
    <w:link w:val="Fuzeile"/>
    <w:uiPriority w:val="99"/>
    <w:rsid w:val="00D67266"/>
  </w:style>
  <w:style w:type="paragraph" w:customStyle="1" w:styleId="Els-1storder-head">
    <w:name w:val="Els-1storder-head"/>
    <w:basedOn w:val="Standard"/>
    <w:next w:val="Standard"/>
    <w:rsid w:val="00A8488A"/>
    <w:pPr>
      <w:keepNext/>
      <w:numPr>
        <w:ilvl w:val="1"/>
        <w:numId w:val="4"/>
      </w:numPr>
      <w:suppressAutoHyphens/>
      <w:spacing w:before="240" w:after="60" w:line="240" w:lineRule="exact"/>
      <w:jc w:val="both"/>
    </w:pPr>
    <w:rPr>
      <w:b/>
      <w:sz w:val="22"/>
      <w:lang w:val="en-US" w:eastAsia="en-US"/>
    </w:rPr>
  </w:style>
  <w:style w:type="paragraph" w:customStyle="1" w:styleId="Els-2ndorder-head">
    <w:name w:val="Els-2ndorder-head"/>
    <w:basedOn w:val="Standard"/>
    <w:next w:val="Standard"/>
    <w:rsid w:val="00A8488A"/>
    <w:pPr>
      <w:keepNext/>
      <w:numPr>
        <w:ilvl w:val="2"/>
        <w:numId w:val="4"/>
      </w:numPr>
      <w:suppressAutoHyphens/>
      <w:spacing w:before="80"/>
      <w:jc w:val="both"/>
    </w:pPr>
    <w:rPr>
      <w:i/>
      <w:lang w:val="en-US" w:eastAsia="en-US"/>
    </w:rPr>
  </w:style>
  <w:style w:type="paragraph" w:customStyle="1" w:styleId="Els-3rdorder-head">
    <w:name w:val="Els-3rdorder-head"/>
    <w:basedOn w:val="Standard"/>
    <w:next w:val="Standard"/>
    <w:rsid w:val="00A8488A"/>
    <w:pPr>
      <w:keepNext/>
      <w:numPr>
        <w:ilvl w:val="3"/>
        <w:numId w:val="4"/>
      </w:numPr>
      <w:suppressAutoHyphens/>
      <w:spacing w:before="60"/>
      <w:jc w:val="both"/>
    </w:pPr>
    <w:rPr>
      <w:i/>
      <w:lang w:val="en-US" w:eastAsia="en-US"/>
    </w:rPr>
  </w:style>
  <w:style w:type="paragraph" w:customStyle="1" w:styleId="Els-Chapterno">
    <w:name w:val="Els-Chapter no"/>
    <w:rsid w:val="00A8488A"/>
    <w:pPr>
      <w:numPr>
        <w:numId w:val="4"/>
      </w:numPr>
      <w:spacing w:before="907" w:line="260" w:lineRule="exact"/>
    </w:pPr>
    <w:rPr>
      <w:sz w:val="24"/>
      <w:szCs w:val="24"/>
      <w:lang w:val="en-US" w:eastAsia="en-US"/>
    </w:rPr>
  </w:style>
  <w:style w:type="paragraph" w:styleId="Literaturverzeichnis">
    <w:name w:val="Bibliography"/>
    <w:basedOn w:val="Standard"/>
    <w:next w:val="Standard"/>
    <w:uiPriority w:val="37"/>
    <w:unhideWhenUsed/>
    <w:rsid w:val="002243E2"/>
    <w:pPr>
      <w:ind w:left="720" w:hanging="720"/>
    </w:pPr>
  </w:style>
  <w:style w:type="character" w:styleId="Kommentarzeichen">
    <w:name w:val="annotation reference"/>
    <w:basedOn w:val="Absatz-Standardschriftart"/>
    <w:uiPriority w:val="99"/>
    <w:semiHidden/>
    <w:unhideWhenUsed/>
    <w:rsid w:val="00DA0ECF"/>
    <w:rPr>
      <w:sz w:val="16"/>
      <w:szCs w:val="16"/>
    </w:rPr>
  </w:style>
  <w:style w:type="paragraph" w:styleId="Kommentartext">
    <w:name w:val="annotation text"/>
    <w:basedOn w:val="Standard"/>
    <w:link w:val="KommentartextZchn"/>
    <w:uiPriority w:val="99"/>
    <w:semiHidden/>
    <w:unhideWhenUsed/>
    <w:rsid w:val="00DA0ECF"/>
  </w:style>
  <w:style w:type="character" w:customStyle="1" w:styleId="KommentartextZchn">
    <w:name w:val="Kommentartext Zchn"/>
    <w:basedOn w:val="Absatz-Standardschriftart"/>
    <w:link w:val="Kommentartext"/>
    <w:uiPriority w:val="99"/>
    <w:semiHidden/>
    <w:rsid w:val="00DA0ECF"/>
  </w:style>
  <w:style w:type="paragraph" w:styleId="Kommentarthema">
    <w:name w:val="annotation subject"/>
    <w:basedOn w:val="Kommentartext"/>
    <w:next w:val="Kommentartext"/>
    <w:link w:val="KommentarthemaZchn"/>
    <w:uiPriority w:val="99"/>
    <w:semiHidden/>
    <w:unhideWhenUsed/>
    <w:rsid w:val="00DA0ECF"/>
    <w:rPr>
      <w:b/>
      <w:bCs/>
    </w:rPr>
  </w:style>
  <w:style w:type="character" w:customStyle="1" w:styleId="KommentarthemaZchn">
    <w:name w:val="Kommentarthema Zchn"/>
    <w:basedOn w:val="KommentartextZchn"/>
    <w:link w:val="Kommentarthema"/>
    <w:uiPriority w:val="99"/>
    <w:semiHidden/>
    <w:rsid w:val="00DA0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067396">
      <w:bodyDiv w:val="1"/>
      <w:marLeft w:val="0"/>
      <w:marRight w:val="0"/>
      <w:marTop w:val="0"/>
      <w:marBottom w:val="0"/>
      <w:divBdr>
        <w:top w:val="none" w:sz="0" w:space="0" w:color="auto"/>
        <w:left w:val="none" w:sz="0" w:space="0" w:color="auto"/>
        <w:bottom w:val="none" w:sz="0" w:space="0" w:color="auto"/>
        <w:right w:val="none" w:sz="0" w:space="0" w:color="auto"/>
      </w:divBdr>
    </w:div>
    <w:div w:id="963803203">
      <w:bodyDiv w:val="1"/>
      <w:marLeft w:val="0"/>
      <w:marRight w:val="0"/>
      <w:marTop w:val="0"/>
      <w:marBottom w:val="0"/>
      <w:divBdr>
        <w:top w:val="none" w:sz="0" w:space="0" w:color="auto"/>
        <w:left w:val="none" w:sz="0" w:space="0" w:color="auto"/>
        <w:bottom w:val="none" w:sz="0" w:space="0" w:color="auto"/>
        <w:right w:val="none" w:sz="0" w:space="0" w:color="auto"/>
      </w:divBdr>
      <w:divsChild>
        <w:div w:id="2050959405">
          <w:marLeft w:val="0"/>
          <w:marRight w:val="0"/>
          <w:marTop w:val="0"/>
          <w:marBottom w:val="0"/>
          <w:divBdr>
            <w:top w:val="single" w:sz="2" w:space="0" w:color="D9D9E3"/>
            <w:left w:val="single" w:sz="2" w:space="0" w:color="D9D9E3"/>
            <w:bottom w:val="single" w:sz="2" w:space="0" w:color="D9D9E3"/>
            <w:right w:val="single" w:sz="2" w:space="0" w:color="D9D9E3"/>
          </w:divBdr>
          <w:divsChild>
            <w:div w:id="160246183">
              <w:marLeft w:val="0"/>
              <w:marRight w:val="0"/>
              <w:marTop w:val="0"/>
              <w:marBottom w:val="0"/>
              <w:divBdr>
                <w:top w:val="single" w:sz="2" w:space="0" w:color="D9D9E3"/>
                <w:left w:val="single" w:sz="2" w:space="0" w:color="D9D9E3"/>
                <w:bottom w:val="single" w:sz="2" w:space="0" w:color="D9D9E3"/>
                <w:right w:val="single" w:sz="2" w:space="0" w:color="D9D9E3"/>
              </w:divBdr>
              <w:divsChild>
                <w:div w:id="1927037256">
                  <w:marLeft w:val="0"/>
                  <w:marRight w:val="0"/>
                  <w:marTop w:val="0"/>
                  <w:marBottom w:val="0"/>
                  <w:divBdr>
                    <w:top w:val="single" w:sz="2" w:space="0" w:color="D9D9E3"/>
                    <w:left w:val="single" w:sz="2" w:space="0" w:color="D9D9E3"/>
                    <w:bottom w:val="single" w:sz="2" w:space="0" w:color="D9D9E3"/>
                    <w:right w:val="single" w:sz="2" w:space="0" w:color="D9D9E3"/>
                  </w:divBdr>
                  <w:divsChild>
                    <w:div w:id="298806810">
                      <w:marLeft w:val="0"/>
                      <w:marRight w:val="0"/>
                      <w:marTop w:val="0"/>
                      <w:marBottom w:val="0"/>
                      <w:divBdr>
                        <w:top w:val="single" w:sz="2" w:space="0" w:color="D9D9E3"/>
                        <w:left w:val="single" w:sz="2" w:space="0" w:color="D9D9E3"/>
                        <w:bottom w:val="single" w:sz="2" w:space="0" w:color="D9D9E3"/>
                        <w:right w:val="single" w:sz="2" w:space="0" w:color="D9D9E3"/>
                      </w:divBdr>
                      <w:divsChild>
                        <w:div w:id="2034525718">
                          <w:marLeft w:val="0"/>
                          <w:marRight w:val="0"/>
                          <w:marTop w:val="0"/>
                          <w:marBottom w:val="0"/>
                          <w:divBdr>
                            <w:top w:val="single" w:sz="2" w:space="0" w:color="D9D9E3"/>
                            <w:left w:val="single" w:sz="2" w:space="0" w:color="D9D9E3"/>
                            <w:bottom w:val="single" w:sz="2" w:space="0" w:color="D9D9E3"/>
                            <w:right w:val="single" w:sz="2" w:space="0" w:color="D9D9E3"/>
                          </w:divBdr>
                          <w:divsChild>
                            <w:div w:id="1505439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8406368">
          <w:marLeft w:val="0"/>
          <w:marRight w:val="0"/>
          <w:marTop w:val="0"/>
          <w:marBottom w:val="0"/>
          <w:divBdr>
            <w:top w:val="single" w:sz="2" w:space="0" w:color="D9D9E3"/>
            <w:left w:val="single" w:sz="2" w:space="0" w:color="D9D9E3"/>
            <w:bottom w:val="single" w:sz="2" w:space="0" w:color="D9D9E3"/>
            <w:right w:val="single" w:sz="2" w:space="0" w:color="D9D9E3"/>
          </w:divBdr>
          <w:divsChild>
            <w:div w:id="1554121743">
              <w:marLeft w:val="0"/>
              <w:marRight w:val="0"/>
              <w:marTop w:val="0"/>
              <w:marBottom w:val="0"/>
              <w:divBdr>
                <w:top w:val="single" w:sz="2" w:space="0" w:color="D9D9E3"/>
                <w:left w:val="single" w:sz="2" w:space="0" w:color="D9D9E3"/>
                <w:bottom w:val="single" w:sz="2" w:space="0" w:color="D9D9E3"/>
                <w:right w:val="single" w:sz="2" w:space="0" w:color="D9D9E3"/>
              </w:divBdr>
            </w:div>
            <w:div w:id="759377019">
              <w:marLeft w:val="0"/>
              <w:marRight w:val="0"/>
              <w:marTop w:val="0"/>
              <w:marBottom w:val="0"/>
              <w:divBdr>
                <w:top w:val="single" w:sz="2" w:space="0" w:color="D9D9E3"/>
                <w:left w:val="single" w:sz="2" w:space="0" w:color="D9D9E3"/>
                <w:bottom w:val="single" w:sz="2" w:space="0" w:color="D9D9E3"/>
                <w:right w:val="single" w:sz="2" w:space="0" w:color="D9D9E3"/>
              </w:divBdr>
              <w:divsChild>
                <w:div w:id="1584950951">
                  <w:marLeft w:val="0"/>
                  <w:marRight w:val="0"/>
                  <w:marTop w:val="0"/>
                  <w:marBottom w:val="0"/>
                  <w:divBdr>
                    <w:top w:val="single" w:sz="2" w:space="0" w:color="D9D9E3"/>
                    <w:left w:val="single" w:sz="2" w:space="0" w:color="D9D9E3"/>
                    <w:bottom w:val="single" w:sz="2" w:space="0" w:color="D9D9E3"/>
                    <w:right w:val="single" w:sz="2" w:space="0" w:color="D9D9E3"/>
                  </w:divBdr>
                  <w:divsChild>
                    <w:div w:id="738556505">
                      <w:marLeft w:val="0"/>
                      <w:marRight w:val="0"/>
                      <w:marTop w:val="0"/>
                      <w:marBottom w:val="0"/>
                      <w:divBdr>
                        <w:top w:val="single" w:sz="2" w:space="0" w:color="D9D9E3"/>
                        <w:left w:val="single" w:sz="2" w:space="0" w:color="D9D9E3"/>
                        <w:bottom w:val="single" w:sz="2" w:space="0" w:color="D9D9E3"/>
                        <w:right w:val="single" w:sz="2" w:space="0" w:color="D9D9E3"/>
                      </w:divBdr>
                      <w:divsChild>
                        <w:div w:id="1246574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75978821">
      <w:bodyDiv w:val="1"/>
      <w:marLeft w:val="0"/>
      <w:marRight w:val="0"/>
      <w:marTop w:val="0"/>
      <w:marBottom w:val="0"/>
      <w:divBdr>
        <w:top w:val="none" w:sz="0" w:space="0" w:color="auto"/>
        <w:left w:val="none" w:sz="0" w:space="0" w:color="auto"/>
        <w:bottom w:val="none" w:sz="0" w:space="0" w:color="auto"/>
        <w:right w:val="none" w:sz="0" w:space="0" w:color="auto"/>
      </w:divBdr>
      <w:divsChild>
        <w:div w:id="1813979140">
          <w:marLeft w:val="0"/>
          <w:marRight w:val="0"/>
          <w:marTop w:val="0"/>
          <w:marBottom w:val="0"/>
          <w:divBdr>
            <w:top w:val="single" w:sz="2" w:space="0" w:color="D9D9E3"/>
            <w:left w:val="single" w:sz="2" w:space="0" w:color="D9D9E3"/>
            <w:bottom w:val="single" w:sz="2" w:space="0" w:color="D9D9E3"/>
            <w:right w:val="single" w:sz="2" w:space="0" w:color="D9D9E3"/>
          </w:divBdr>
          <w:divsChild>
            <w:div w:id="101533260">
              <w:marLeft w:val="0"/>
              <w:marRight w:val="0"/>
              <w:marTop w:val="0"/>
              <w:marBottom w:val="0"/>
              <w:divBdr>
                <w:top w:val="single" w:sz="2" w:space="0" w:color="D9D9E3"/>
                <w:left w:val="single" w:sz="2" w:space="0" w:color="D9D9E3"/>
                <w:bottom w:val="single" w:sz="2" w:space="0" w:color="D9D9E3"/>
                <w:right w:val="single" w:sz="2" w:space="0" w:color="D9D9E3"/>
              </w:divBdr>
              <w:divsChild>
                <w:div w:id="492768907">
                  <w:marLeft w:val="0"/>
                  <w:marRight w:val="0"/>
                  <w:marTop w:val="0"/>
                  <w:marBottom w:val="0"/>
                  <w:divBdr>
                    <w:top w:val="single" w:sz="2" w:space="0" w:color="D9D9E3"/>
                    <w:left w:val="single" w:sz="2" w:space="0" w:color="D9D9E3"/>
                    <w:bottom w:val="single" w:sz="2" w:space="0" w:color="D9D9E3"/>
                    <w:right w:val="single" w:sz="2" w:space="0" w:color="D9D9E3"/>
                  </w:divBdr>
                  <w:divsChild>
                    <w:div w:id="1086532291">
                      <w:marLeft w:val="0"/>
                      <w:marRight w:val="0"/>
                      <w:marTop w:val="0"/>
                      <w:marBottom w:val="0"/>
                      <w:divBdr>
                        <w:top w:val="single" w:sz="2" w:space="0" w:color="D9D9E3"/>
                        <w:left w:val="single" w:sz="2" w:space="0" w:color="D9D9E3"/>
                        <w:bottom w:val="single" w:sz="2" w:space="0" w:color="D9D9E3"/>
                        <w:right w:val="single" w:sz="2" w:space="0" w:color="D9D9E3"/>
                      </w:divBdr>
                      <w:divsChild>
                        <w:div w:id="1824543021">
                          <w:marLeft w:val="0"/>
                          <w:marRight w:val="0"/>
                          <w:marTop w:val="0"/>
                          <w:marBottom w:val="0"/>
                          <w:divBdr>
                            <w:top w:val="single" w:sz="2" w:space="0" w:color="D9D9E3"/>
                            <w:left w:val="single" w:sz="2" w:space="0" w:color="D9D9E3"/>
                            <w:bottom w:val="single" w:sz="2" w:space="0" w:color="D9D9E3"/>
                            <w:right w:val="single" w:sz="2" w:space="0" w:color="D9D9E3"/>
                          </w:divBdr>
                          <w:divsChild>
                            <w:div w:id="1451893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5198588">
          <w:marLeft w:val="0"/>
          <w:marRight w:val="0"/>
          <w:marTop w:val="0"/>
          <w:marBottom w:val="0"/>
          <w:divBdr>
            <w:top w:val="single" w:sz="2" w:space="0" w:color="D9D9E3"/>
            <w:left w:val="single" w:sz="2" w:space="0" w:color="D9D9E3"/>
            <w:bottom w:val="single" w:sz="2" w:space="0" w:color="D9D9E3"/>
            <w:right w:val="single" w:sz="2" w:space="0" w:color="D9D9E3"/>
          </w:divBdr>
          <w:divsChild>
            <w:div w:id="1059862184">
              <w:marLeft w:val="0"/>
              <w:marRight w:val="0"/>
              <w:marTop w:val="0"/>
              <w:marBottom w:val="0"/>
              <w:divBdr>
                <w:top w:val="single" w:sz="2" w:space="0" w:color="D9D9E3"/>
                <w:left w:val="single" w:sz="2" w:space="0" w:color="D9D9E3"/>
                <w:bottom w:val="single" w:sz="2" w:space="0" w:color="D9D9E3"/>
                <w:right w:val="single" w:sz="2" w:space="0" w:color="D9D9E3"/>
              </w:divBdr>
            </w:div>
            <w:div w:id="18043963">
              <w:marLeft w:val="0"/>
              <w:marRight w:val="0"/>
              <w:marTop w:val="0"/>
              <w:marBottom w:val="0"/>
              <w:divBdr>
                <w:top w:val="single" w:sz="2" w:space="0" w:color="D9D9E3"/>
                <w:left w:val="single" w:sz="2" w:space="0" w:color="D9D9E3"/>
                <w:bottom w:val="single" w:sz="2" w:space="0" w:color="D9D9E3"/>
                <w:right w:val="single" w:sz="2" w:space="0" w:color="D9D9E3"/>
              </w:divBdr>
              <w:divsChild>
                <w:div w:id="1948080855">
                  <w:marLeft w:val="0"/>
                  <w:marRight w:val="0"/>
                  <w:marTop w:val="0"/>
                  <w:marBottom w:val="0"/>
                  <w:divBdr>
                    <w:top w:val="single" w:sz="2" w:space="0" w:color="D9D9E3"/>
                    <w:left w:val="single" w:sz="2" w:space="0" w:color="D9D9E3"/>
                    <w:bottom w:val="single" w:sz="2" w:space="0" w:color="D9D9E3"/>
                    <w:right w:val="single" w:sz="2" w:space="0" w:color="D9D9E3"/>
                  </w:divBdr>
                  <w:divsChild>
                    <w:div w:id="492599014">
                      <w:marLeft w:val="0"/>
                      <w:marRight w:val="0"/>
                      <w:marTop w:val="0"/>
                      <w:marBottom w:val="0"/>
                      <w:divBdr>
                        <w:top w:val="single" w:sz="2" w:space="0" w:color="D9D9E3"/>
                        <w:left w:val="single" w:sz="2" w:space="0" w:color="D9D9E3"/>
                        <w:bottom w:val="single" w:sz="2" w:space="0" w:color="D9D9E3"/>
                        <w:right w:val="single" w:sz="2" w:space="0" w:color="D9D9E3"/>
                      </w:divBdr>
                      <w:divsChild>
                        <w:div w:id="1587566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4527</Words>
  <Characters>28525</Characters>
  <Application>Microsoft Office Word</Application>
  <DocSecurity>0</DocSecurity>
  <Lines>237</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Kasimhussen Vhora</cp:lastModifiedBy>
  <cp:revision>42</cp:revision>
  <dcterms:created xsi:type="dcterms:W3CDTF">2023-11-22T11:00:00Z</dcterms:created>
  <dcterms:modified xsi:type="dcterms:W3CDTF">2023-12-05T15:10:00Z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id="v4Pm7en8"/&gt;&lt;style id="http://www.zotero.org/styles/elsevier-harvard" hasBibliography="1" bibliographyStyleHasBeenSet="1"/&gt;&lt;prefs&gt;&lt;pref name="fieldType" value="Field"/&gt;&lt;/prefs&gt;&lt;/data&gt;</vt:lpwstr>
  </property>
</Properties>
</file>