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392EFD02" w:rsidR="00DD3D9E" w:rsidRPr="00B4388F" w:rsidRDefault="00F1650C">
      <w:pPr>
        <w:pStyle w:val="Els-Title"/>
        <w:rPr>
          <w:color w:val="000000" w:themeColor="text1"/>
        </w:rPr>
      </w:pPr>
      <w:bookmarkStart w:id="0" w:name="_Hlk152104972"/>
      <w:bookmarkEnd w:id="0"/>
      <w:r w:rsidRPr="00F1650C">
        <w:rPr>
          <w:color w:val="000000" w:themeColor="text1"/>
        </w:rPr>
        <w:t>Model-</w:t>
      </w:r>
      <w:r>
        <w:rPr>
          <w:color w:val="000000" w:themeColor="text1"/>
        </w:rPr>
        <w:t>B</w:t>
      </w:r>
      <w:r w:rsidRPr="00F1650C">
        <w:rPr>
          <w:color w:val="000000" w:themeColor="text1"/>
        </w:rPr>
        <w:t xml:space="preserve">ased </w:t>
      </w:r>
      <w:r>
        <w:rPr>
          <w:color w:val="000000" w:themeColor="text1"/>
        </w:rPr>
        <w:t>A</w:t>
      </w:r>
      <w:r w:rsidRPr="00F1650C">
        <w:rPr>
          <w:color w:val="000000" w:themeColor="text1"/>
        </w:rPr>
        <w:t>ssessment</w:t>
      </w:r>
      <w:r w:rsidR="007A3517" w:rsidRPr="007A3517">
        <w:rPr>
          <w:color w:val="000000" w:themeColor="text1"/>
        </w:rPr>
        <w:t xml:space="preserve"> of Electrochemical Cells and Systems for </w:t>
      </w:r>
      <w:r>
        <w:rPr>
          <w:color w:val="000000" w:themeColor="text1"/>
        </w:rPr>
        <w:t>A</w:t>
      </w:r>
      <w:r w:rsidRPr="00F1650C">
        <w:rPr>
          <w:color w:val="000000" w:themeColor="text1"/>
        </w:rPr>
        <w:t>tmospheric CO</w:t>
      </w:r>
      <w:r w:rsidRPr="006B377B">
        <w:rPr>
          <w:color w:val="000000" w:themeColor="text1"/>
          <w:vertAlign w:val="subscript"/>
        </w:rPr>
        <w:t>2</w:t>
      </w:r>
      <w:r w:rsidRPr="00F1650C">
        <w:rPr>
          <w:color w:val="000000" w:themeColor="text1"/>
        </w:rPr>
        <w:t xml:space="preserve"> </w:t>
      </w:r>
      <w:r w:rsidR="00BC034B">
        <w:rPr>
          <w:color w:val="000000" w:themeColor="text1"/>
        </w:rPr>
        <w:t>R</w:t>
      </w:r>
      <w:r w:rsidRPr="00F1650C">
        <w:rPr>
          <w:color w:val="000000" w:themeColor="text1"/>
        </w:rPr>
        <w:t>emoval</w:t>
      </w:r>
    </w:p>
    <w:p w14:paraId="774844CA" w14:textId="77777777" w:rsidR="004F7CC1" w:rsidRPr="004F7CC1" w:rsidRDefault="004F7CC1" w:rsidP="004F7CC1">
      <w:pPr>
        <w:keepNext/>
        <w:suppressAutoHyphens/>
        <w:spacing w:after="60" w:line="310" w:lineRule="exact"/>
        <w:rPr>
          <w:rFonts w:eastAsia="宋体"/>
          <w:noProof/>
          <w:sz w:val="22"/>
        </w:rPr>
      </w:pPr>
      <w:r w:rsidRPr="004F7CC1">
        <w:rPr>
          <w:rFonts w:eastAsia="宋体"/>
          <w:noProof/>
          <w:sz w:val="22"/>
        </w:rPr>
        <w:t>Guokun Liu, Aidong Yang</w:t>
      </w:r>
      <w:r w:rsidRPr="004F7CC1">
        <w:rPr>
          <w:rFonts w:asciiTheme="minorEastAsia" w:eastAsiaTheme="minorEastAsia" w:hAnsiTheme="minorEastAsia" w:hint="eastAsia"/>
          <w:noProof/>
          <w:sz w:val="22"/>
          <w:vertAlign w:val="superscript"/>
          <w:lang w:eastAsia="zh-CN"/>
        </w:rPr>
        <w:t>*</w:t>
      </w:r>
    </w:p>
    <w:p w14:paraId="2A83F8C3" w14:textId="77777777" w:rsidR="004F7CC1" w:rsidRPr="004F7CC1" w:rsidRDefault="004F7CC1" w:rsidP="004F7CC1">
      <w:pPr>
        <w:suppressAutoHyphens/>
        <w:spacing w:line="240" w:lineRule="exact"/>
        <w:rPr>
          <w:rFonts w:eastAsia="宋体"/>
          <w:i/>
          <w:noProof/>
        </w:rPr>
      </w:pPr>
      <w:r w:rsidRPr="004F7CC1">
        <w:rPr>
          <w:rFonts w:eastAsia="宋体"/>
          <w:i/>
          <w:noProof/>
        </w:rPr>
        <w:t>Department of Engineering Science, University of Oxford, Oxford, OX13PJ, UK</w:t>
      </w:r>
    </w:p>
    <w:p w14:paraId="23EB2297" w14:textId="77777777" w:rsidR="004F7CC1" w:rsidRPr="004F7CC1" w:rsidRDefault="004F7CC1" w:rsidP="004F7CC1">
      <w:pPr>
        <w:suppressAutoHyphens/>
        <w:spacing w:after="120" w:line="240" w:lineRule="exact"/>
        <w:rPr>
          <w:rFonts w:eastAsia="宋体"/>
          <w:i/>
          <w:noProof/>
        </w:rPr>
      </w:pPr>
      <w:r w:rsidRPr="004F7CC1">
        <w:rPr>
          <w:rFonts w:eastAsia="宋体"/>
          <w:i/>
          <w:noProof/>
        </w:rPr>
        <w:t>aidong.yang@eng.ox.ac.uk</w:t>
      </w:r>
    </w:p>
    <w:p w14:paraId="144DE684" w14:textId="77777777" w:rsidR="008D2649" w:rsidRDefault="008D2649" w:rsidP="008D2649">
      <w:pPr>
        <w:pStyle w:val="Els-Abstract"/>
      </w:pPr>
      <w:r>
        <w:t>Abstract</w:t>
      </w:r>
    </w:p>
    <w:p w14:paraId="424BC2ED" w14:textId="404AAB87" w:rsidR="0057460D" w:rsidRPr="0057460D" w:rsidRDefault="004545C9" w:rsidP="004545C9">
      <w:pPr>
        <w:spacing w:after="120"/>
        <w:jc w:val="both"/>
        <w:rPr>
          <w:rFonts w:eastAsia="宋体"/>
        </w:rPr>
      </w:pPr>
      <w:r w:rsidRPr="004545C9">
        <w:rPr>
          <w:rFonts w:eastAsia="宋体"/>
        </w:rPr>
        <w:t>Electrochemical systems utilizing alkali solutions and the pH-swing method demonstrate promising potential for large-scale direct air capture (DAC) applications, addressing the imperative need to remove CO</w:t>
      </w:r>
      <w:r w:rsidRPr="004545C9">
        <w:rPr>
          <w:rFonts w:eastAsia="宋体"/>
          <w:vertAlign w:val="subscript"/>
        </w:rPr>
        <w:t>2</w:t>
      </w:r>
      <w:r w:rsidRPr="004545C9">
        <w:rPr>
          <w:rFonts w:eastAsia="宋体"/>
        </w:rPr>
        <w:t xml:space="preserve"> from the atmosphere alongside emissions reduction to meet climate goals. However, a consistent and systematic comparison between different electrochemical schemes is still lacking. This research focuses on numerically modelling and simulating electrolysis and electrodialysis cells and systems, with the aim of providing guidance for further </w:t>
      </w:r>
      <w:r>
        <w:rPr>
          <w:rFonts w:eastAsia="宋体"/>
        </w:rPr>
        <w:t xml:space="preserve">system </w:t>
      </w:r>
      <w:r w:rsidRPr="004545C9">
        <w:rPr>
          <w:rFonts w:eastAsia="宋体"/>
        </w:rPr>
        <w:t>optimiz</w:t>
      </w:r>
      <w:r>
        <w:rPr>
          <w:rFonts w:eastAsia="宋体"/>
        </w:rPr>
        <w:t>ation</w:t>
      </w:r>
      <w:r w:rsidRPr="004545C9">
        <w:rPr>
          <w:rFonts w:eastAsia="宋体"/>
        </w:rPr>
        <w:t>. Considering hydrogen production</w:t>
      </w:r>
      <w:r>
        <w:rPr>
          <w:rFonts w:eastAsia="宋体"/>
        </w:rPr>
        <w:t xml:space="preserve"> with a referred efficiency of 80%</w:t>
      </w:r>
      <w:r w:rsidRPr="004545C9">
        <w:rPr>
          <w:rFonts w:eastAsia="宋体"/>
        </w:rPr>
        <w:t xml:space="preserve">, the minimum DAC energy </w:t>
      </w:r>
      <w:r>
        <w:rPr>
          <w:rFonts w:eastAsia="宋体"/>
        </w:rPr>
        <w:t xml:space="preserve">of </w:t>
      </w:r>
      <w:r w:rsidRPr="004545C9">
        <w:rPr>
          <w:rFonts w:eastAsia="宋体"/>
        </w:rPr>
        <w:t xml:space="preserve">the electrolysis system is </w:t>
      </w:r>
      <w:r w:rsidR="00DB64A9">
        <w:rPr>
          <w:rFonts w:eastAsia="宋体"/>
        </w:rPr>
        <w:t xml:space="preserve">obtained as </w:t>
      </w:r>
      <w:r w:rsidRPr="004545C9">
        <w:rPr>
          <w:rFonts w:eastAsia="宋体"/>
        </w:rPr>
        <w:t>587 kJ mol</w:t>
      </w:r>
      <w:r w:rsidRPr="004545C9">
        <w:rPr>
          <w:rFonts w:eastAsia="宋体"/>
          <w:vertAlign w:val="superscript"/>
        </w:rPr>
        <w:t>-1</w:t>
      </w:r>
      <w:r w:rsidRPr="004545C9">
        <w:rPr>
          <w:rFonts w:eastAsia="宋体"/>
        </w:rPr>
        <w:t>, while the electrodialysis system consumes a minimum energy of 273 kJ mol</w:t>
      </w:r>
      <w:r w:rsidRPr="004545C9">
        <w:rPr>
          <w:rFonts w:eastAsia="宋体"/>
          <w:vertAlign w:val="superscript"/>
        </w:rPr>
        <w:t>-1</w:t>
      </w:r>
      <w:r w:rsidRPr="004545C9">
        <w:rPr>
          <w:rFonts w:eastAsia="宋体"/>
        </w:rPr>
        <w:t>. The DAC energy of the two systems can be further reduced to 290 kJ mol</w:t>
      </w:r>
      <w:r w:rsidRPr="004545C9">
        <w:rPr>
          <w:rFonts w:eastAsia="宋体"/>
          <w:vertAlign w:val="superscript"/>
        </w:rPr>
        <w:t>-1</w:t>
      </w:r>
      <w:r w:rsidRPr="004545C9">
        <w:rPr>
          <w:rFonts w:eastAsia="宋体"/>
        </w:rPr>
        <w:t xml:space="preserve"> and 170 kJ mol</w:t>
      </w:r>
      <w:r w:rsidRPr="004545C9">
        <w:rPr>
          <w:rFonts w:eastAsia="宋体"/>
          <w:vertAlign w:val="superscript"/>
        </w:rPr>
        <w:t>-1</w:t>
      </w:r>
      <w:r w:rsidRPr="004545C9">
        <w:rPr>
          <w:rFonts w:eastAsia="宋体"/>
        </w:rPr>
        <w:t xml:space="preserve"> as the </w:t>
      </w:r>
      <w:r w:rsidR="00DB64A9">
        <w:rPr>
          <w:rFonts w:eastAsia="宋体"/>
        </w:rPr>
        <w:t xml:space="preserve">defined </w:t>
      </w:r>
      <w:r w:rsidRPr="004545C9">
        <w:rPr>
          <w:rFonts w:eastAsia="宋体"/>
        </w:rPr>
        <w:t>CO</w:t>
      </w:r>
      <w:r w:rsidRPr="00C65606">
        <w:rPr>
          <w:rFonts w:eastAsia="宋体"/>
          <w:vertAlign w:val="subscript"/>
        </w:rPr>
        <w:t>2</w:t>
      </w:r>
      <w:r w:rsidRPr="004545C9">
        <w:rPr>
          <w:rFonts w:eastAsia="宋体"/>
        </w:rPr>
        <w:t xml:space="preserve"> absorption reaches 1. The results </w:t>
      </w:r>
      <w:r w:rsidR="00C65606">
        <w:rPr>
          <w:rFonts w:eastAsia="宋体"/>
        </w:rPr>
        <w:t>highlight</w:t>
      </w:r>
      <w:r w:rsidRPr="004545C9">
        <w:rPr>
          <w:rFonts w:eastAsia="宋体"/>
        </w:rPr>
        <w:t xml:space="preserve"> the importance of further optimization in CO</w:t>
      </w:r>
      <w:r w:rsidRPr="00C65606">
        <w:rPr>
          <w:rFonts w:eastAsia="宋体"/>
          <w:vertAlign w:val="subscript"/>
        </w:rPr>
        <w:t>2</w:t>
      </w:r>
      <w:r w:rsidRPr="004545C9">
        <w:rPr>
          <w:rFonts w:eastAsia="宋体"/>
        </w:rPr>
        <w:t xml:space="preserve"> absorber design and system operating parameters</w:t>
      </w:r>
      <w:r>
        <w:rPr>
          <w:rFonts w:eastAsia="宋体"/>
        </w:rPr>
        <w:t xml:space="preserve">. </w:t>
      </w:r>
    </w:p>
    <w:p w14:paraId="6F81D66F" w14:textId="77777777" w:rsidR="0057460D" w:rsidRPr="0057460D" w:rsidRDefault="0057460D" w:rsidP="0057460D">
      <w:pPr>
        <w:spacing w:after="120"/>
        <w:jc w:val="both"/>
        <w:rPr>
          <w:rFonts w:eastAsia="宋体"/>
        </w:rPr>
      </w:pPr>
      <w:r w:rsidRPr="0057460D">
        <w:rPr>
          <w:rFonts w:eastAsia="宋体"/>
          <w:b/>
          <w:bCs/>
        </w:rPr>
        <w:t>Keywords</w:t>
      </w:r>
      <w:r w:rsidRPr="0057460D">
        <w:rPr>
          <w:rFonts w:eastAsia="宋体"/>
        </w:rPr>
        <w:t>: CO</w:t>
      </w:r>
      <w:r w:rsidRPr="0057460D">
        <w:rPr>
          <w:rFonts w:eastAsia="宋体"/>
          <w:vertAlign w:val="subscript"/>
        </w:rPr>
        <w:t>2</w:t>
      </w:r>
      <w:r w:rsidRPr="0057460D">
        <w:rPr>
          <w:rFonts w:eastAsia="宋体"/>
        </w:rPr>
        <w:t xml:space="preserve"> capture; Electrochemical systems; Hydrogen production; Ion exchange membrane, Numerical modelling.</w:t>
      </w:r>
    </w:p>
    <w:p w14:paraId="5DC0AB13" w14:textId="77777777" w:rsidR="00A71750" w:rsidRPr="00A71750" w:rsidRDefault="00A71750" w:rsidP="00A71750">
      <w:pPr>
        <w:keepNext/>
        <w:numPr>
          <w:ilvl w:val="1"/>
          <w:numId w:val="17"/>
        </w:numPr>
        <w:suppressAutoHyphens/>
        <w:spacing w:before="240" w:after="60" w:line="240" w:lineRule="exact"/>
        <w:jc w:val="both"/>
        <w:rPr>
          <w:rFonts w:eastAsia="宋体"/>
          <w:b/>
          <w:sz w:val="22"/>
          <w:lang w:val="en-US"/>
        </w:rPr>
      </w:pPr>
      <w:r w:rsidRPr="00A71750">
        <w:rPr>
          <w:rFonts w:eastAsia="宋体"/>
          <w:b/>
          <w:sz w:val="22"/>
          <w:lang w:val="en-US"/>
        </w:rPr>
        <w:t>Introduction</w:t>
      </w:r>
    </w:p>
    <w:p w14:paraId="436FCE25" w14:textId="30763CF7" w:rsidR="00A71750" w:rsidRPr="00A71750" w:rsidRDefault="00A71750" w:rsidP="00A71750">
      <w:pPr>
        <w:jc w:val="both"/>
        <w:rPr>
          <w:rFonts w:eastAsia="宋体"/>
          <w:lang w:val="en-US"/>
        </w:rPr>
      </w:pPr>
      <w:bookmarkStart w:id="1" w:name="OLE_LINK1"/>
      <w:r w:rsidRPr="00A71750">
        <w:rPr>
          <w:rFonts w:eastAsia="宋体"/>
          <w:lang w:val="en-US"/>
        </w:rPr>
        <w:t xml:space="preserve">Disturbing reports indicate that the world is poised to deplete the remaining carbon budget allocated to limit global temperature rise to 1.5 °C by 2030 (Liu et al., 2023). Responding to this pressing scenario, </w:t>
      </w:r>
      <w:r w:rsidR="00556C80">
        <w:rPr>
          <w:rFonts w:eastAsia="宋体"/>
          <w:lang w:val="en-US"/>
        </w:rPr>
        <w:t xml:space="preserve">increasing </w:t>
      </w:r>
      <w:r w:rsidRPr="00A71750">
        <w:rPr>
          <w:rFonts w:eastAsia="宋体"/>
          <w:lang w:val="en-US"/>
        </w:rPr>
        <w:t xml:space="preserve">attention </w:t>
      </w:r>
      <w:r w:rsidR="00556C80">
        <w:rPr>
          <w:rFonts w:eastAsia="宋体"/>
          <w:lang w:val="en-US"/>
        </w:rPr>
        <w:t>is given to</w:t>
      </w:r>
      <w:r w:rsidRPr="00A71750">
        <w:rPr>
          <w:rFonts w:eastAsia="宋体"/>
          <w:lang w:val="en-US"/>
        </w:rPr>
        <w:t xml:space="preserve"> artificial CO</w:t>
      </w:r>
      <w:r w:rsidRPr="00A71750">
        <w:rPr>
          <w:rFonts w:eastAsia="宋体"/>
          <w:vertAlign w:val="subscript"/>
          <w:lang w:val="en-US"/>
        </w:rPr>
        <w:t>2</w:t>
      </w:r>
      <w:r w:rsidRPr="00A71750">
        <w:rPr>
          <w:rFonts w:eastAsia="宋体"/>
          <w:lang w:val="en-US"/>
        </w:rPr>
        <w:t xml:space="preserve"> removal methods as a direct intervention to mitigate atmospheric CO</w:t>
      </w:r>
      <w:r w:rsidRPr="00A71750">
        <w:rPr>
          <w:rFonts w:eastAsia="宋体"/>
          <w:vertAlign w:val="subscript"/>
          <w:lang w:val="en-US"/>
        </w:rPr>
        <w:t>2</w:t>
      </w:r>
      <w:r w:rsidRPr="00A71750">
        <w:rPr>
          <w:rFonts w:eastAsia="宋体"/>
          <w:lang w:val="en-US"/>
        </w:rPr>
        <w:t xml:space="preserve"> levels. Among these methods, direct air capture (DAC) stands out due to its merits of requiring less land, fewer location constraints, and simpler quantification of </w:t>
      </w:r>
      <w:r w:rsidR="00E17CA3">
        <w:rPr>
          <w:rFonts w:eastAsia="宋体"/>
          <w:lang w:val="en-US"/>
        </w:rPr>
        <w:t>removal</w:t>
      </w:r>
      <w:r w:rsidR="00E17CA3" w:rsidRPr="00A71750">
        <w:rPr>
          <w:rFonts w:eastAsia="宋体"/>
          <w:lang w:val="en-US"/>
        </w:rPr>
        <w:t xml:space="preserve"> </w:t>
      </w:r>
      <w:r w:rsidRPr="00A71750">
        <w:rPr>
          <w:rFonts w:eastAsia="宋体"/>
          <w:lang w:val="en-US"/>
        </w:rPr>
        <w:t xml:space="preserve">(Hanna et al., 2021), positioning it as a focal point in </w:t>
      </w:r>
      <w:proofErr w:type="gramStart"/>
      <w:r w:rsidRPr="00A71750">
        <w:rPr>
          <w:rFonts w:eastAsia="宋体"/>
          <w:lang w:val="en-US"/>
        </w:rPr>
        <w:t>recent  research</w:t>
      </w:r>
      <w:proofErr w:type="gramEnd"/>
      <w:r w:rsidRPr="00A71750">
        <w:rPr>
          <w:rFonts w:eastAsia="宋体"/>
          <w:lang w:val="en-US"/>
        </w:rPr>
        <w:t xml:space="preserve"> and development.</w:t>
      </w:r>
    </w:p>
    <w:p w14:paraId="33443DE7" w14:textId="77777777" w:rsidR="00A71750" w:rsidRPr="00A71750" w:rsidRDefault="00A71750" w:rsidP="00A71750">
      <w:pPr>
        <w:jc w:val="both"/>
        <w:rPr>
          <w:rFonts w:eastAsia="宋体"/>
          <w:lang w:val="en-US"/>
        </w:rPr>
      </w:pPr>
    </w:p>
    <w:p w14:paraId="5C07A64D" w14:textId="430D9351" w:rsidR="00A71750" w:rsidRPr="00A71750" w:rsidRDefault="00A71750" w:rsidP="00A71750">
      <w:pPr>
        <w:jc w:val="both"/>
        <w:rPr>
          <w:rFonts w:eastAsia="宋体"/>
          <w:lang w:val="en-US"/>
        </w:rPr>
      </w:pPr>
      <w:r w:rsidRPr="00A71750">
        <w:rPr>
          <w:rFonts w:eastAsia="宋体"/>
          <w:lang w:val="en-US"/>
        </w:rPr>
        <w:t>Currently, DAC technologies fall into two primary categories: solid adsorption and liquid absorption (Sanz-Perez et al., 2016). The prevalent solid adsorption technique employs amine sorbents through a chemical-thermal process, demanding substantial thermal energy for CO</w:t>
      </w:r>
      <w:r w:rsidRPr="00A71750">
        <w:rPr>
          <w:rFonts w:eastAsia="宋体"/>
          <w:vertAlign w:val="subscript"/>
          <w:lang w:val="en-US"/>
        </w:rPr>
        <w:t>2</w:t>
      </w:r>
      <w:r w:rsidRPr="00A71750">
        <w:rPr>
          <w:rFonts w:eastAsia="宋体"/>
          <w:lang w:val="en-US"/>
        </w:rPr>
        <w:t xml:space="preserve"> liberation and sorbent regeneration (Zhu et al., 2022). Alternatively, wet scrubbing with aqueous alkali hydroxide has emerged as a more energy-efficient alternative with higher productivity (</w:t>
      </w:r>
      <w:proofErr w:type="spellStart"/>
      <w:r w:rsidRPr="00A71750">
        <w:rPr>
          <w:rFonts w:eastAsia="宋体"/>
          <w:lang w:val="en-US"/>
        </w:rPr>
        <w:t>Sabatino</w:t>
      </w:r>
      <w:proofErr w:type="spellEnd"/>
      <w:r w:rsidRPr="00A71750">
        <w:rPr>
          <w:rFonts w:eastAsia="宋体"/>
          <w:lang w:val="en-US"/>
        </w:rPr>
        <w:t xml:space="preserve"> et al., 2021). The wet-scrubbing-based DAC plant by Carbon Engineering Ltd, </w:t>
      </w:r>
      <w:r w:rsidR="0032029E">
        <w:rPr>
          <w:rFonts w:eastAsia="宋体"/>
          <w:lang w:val="en-US"/>
        </w:rPr>
        <w:t>achieving</w:t>
      </w:r>
      <w:r w:rsidR="0032029E" w:rsidRPr="00A71750">
        <w:rPr>
          <w:rFonts w:eastAsia="宋体"/>
          <w:lang w:val="en-US"/>
        </w:rPr>
        <w:t xml:space="preserve"> </w:t>
      </w:r>
      <w:r w:rsidRPr="00A71750">
        <w:rPr>
          <w:rFonts w:eastAsia="宋体"/>
          <w:lang w:val="en-US"/>
        </w:rPr>
        <w:t>an annual productivity of 1 Mt CO</w:t>
      </w:r>
      <w:r w:rsidRPr="00A71750">
        <w:rPr>
          <w:rFonts w:eastAsia="宋体"/>
          <w:vertAlign w:val="subscript"/>
          <w:lang w:val="en-US"/>
        </w:rPr>
        <w:t>2</w:t>
      </w:r>
      <w:r w:rsidRPr="00A71750">
        <w:rPr>
          <w:rFonts w:eastAsia="宋体"/>
          <w:lang w:val="en-US"/>
        </w:rPr>
        <w:t xml:space="preserve"> (Keith et al., 2018), serves as a testament to the feasibility of the liquid absorption pathway. However, challenges persist, particularly in the high-temperature heating process required for CO</w:t>
      </w:r>
      <w:r w:rsidRPr="00A71750">
        <w:rPr>
          <w:rFonts w:eastAsia="宋体"/>
          <w:vertAlign w:val="subscript"/>
          <w:lang w:val="en-US"/>
        </w:rPr>
        <w:t>2</w:t>
      </w:r>
      <w:r w:rsidRPr="00A71750">
        <w:rPr>
          <w:rFonts w:eastAsia="宋体"/>
          <w:lang w:val="en-US"/>
        </w:rPr>
        <w:t xml:space="preserve"> recovery, introducing complexity and energy demands. In response, an alternative pH-swing concept has been suggested, employing an electrochemical system powered by electricity and conducive to integration with renewable energy sources.</w:t>
      </w:r>
    </w:p>
    <w:p w14:paraId="2C83BA94" w14:textId="77777777" w:rsidR="00A71750" w:rsidRPr="00A71750" w:rsidRDefault="00A71750" w:rsidP="00A71750">
      <w:pPr>
        <w:jc w:val="both"/>
        <w:rPr>
          <w:rFonts w:eastAsia="宋体"/>
          <w:lang w:val="en-US"/>
        </w:rPr>
      </w:pPr>
    </w:p>
    <w:p w14:paraId="54999B1A" w14:textId="7FFCA0FA" w:rsidR="00A71750" w:rsidRPr="00A71750" w:rsidRDefault="00A71750" w:rsidP="00A71750">
      <w:pPr>
        <w:jc w:val="both"/>
        <w:rPr>
          <w:rFonts w:eastAsia="宋体"/>
          <w:lang w:val="en-US"/>
        </w:rPr>
      </w:pPr>
      <w:r w:rsidRPr="00A71750">
        <w:rPr>
          <w:rFonts w:eastAsia="宋体"/>
          <w:lang w:val="en-US"/>
        </w:rPr>
        <w:t>In the realm of electrochemical systems, various methods, including electrolysis, bipolar membrane (BPM) electrodialysis, capacitive deionization, and proton-coupled electron transfer agents, have been explored for DAC purposes (</w:t>
      </w:r>
      <w:bookmarkStart w:id="2" w:name="_Hlk152106089"/>
      <w:r w:rsidRPr="00A71750">
        <w:rPr>
          <w:rFonts w:eastAsia="宋体"/>
          <w:lang w:val="en-US"/>
        </w:rPr>
        <w:t>Sharifian et al., 2021</w:t>
      </w:r>
      <w:bookmarkEnd w:id="2"/>
      <w:r w:rsidRPr="00A71750">
        <w:rPr>
          <w:rFonts w:eastAsia="宋体"/>
          <w:lang w:val="en-US"/>
        </w:rPr>
        <w:t>). BPM electrodialysis has garnered significant attention due to its capacity to directly dissociate water into H</w:t>
      </w:r>
      <w:r w:rsidRPr="00A71750">
        <w:rPr>
          <w:rFonts w:eastAsia="宋体"/>
          <w:vertAlign w:val="superscript"/>
          <w:lang w:val="en-US"/>
        </w:rPr>
        <w:t>+</w:t>
      </w:r>
      <w:r w:rsidRPr="00A71750">
        <w:rPr>
          <w:rFonts w:eastAsia="宋体"/>
          <w:lang w:val="en-US"/>
        </w:rPr>
        <w:t xml:space="preserve"> and OH</w:t>
      </w:r>
      <w:r w:rsidRPr="00A71750">
        <w:rPr>
          <w:rFonts w:eastAsia="宋体"/>
          <w:vertAlign w:val="superscript"/>
          <w:lang w:val="en-US"/>
        </w:rPr>
        <w:t>-</w:t>
      </w:r>
      <w:r w:rsidRPr="00A71750">
        <w:rPr>
          <w:rFonts w:eastAsia="宋体"/>
          <w:lang w:val="en-US"/>
        </w:rPr>
        <w:t xml:space="preserve"> ions, resulting in lower energy consumption for generating pH differences (</w:t>
      </w:r>
      <w:proofErr w:type="spellStart"/>
      <w:r w:rsidRPr="00A71750">
        <w:rPr>
          <w:rFonts w:eastAsia="宋体"/>
          <w:lang w:val="en-US"/>
        </w:rPr>
        <w:t>Eisaman</w:t>
      </w:r>
      <w:proofErr w:type="spellEnd"/>
      <w:r w:rsidRPr="00A71750">
        <w:rPr>
          <w:rFonts w:eastAsia="宋体"/>
          <w:lang w:val="en-US"/>
        </w:rPr>
        <w:t xml:space="preserve"> et al., 2011). In contrast, electrolysis systems, generally deemed more energy-intensive, have demonstrated promise with innovative designs and approaches such as hydrogen recycling (Zhu et al., 2023).</w:t>
      </w:r>
    </w:p>
    <w:p w14:paraId="23E01E65" w14:textId="77777777" w:rsidR="00A71750" w:rsidRPr="00A71750" w:rsidRDefault="00A71750" w:rsidP="00A71750">
      <w:pPr>
        <w:jc w:val="both"/>
        <w:rPr>
          <w:rFonts w:eastAsia="宋体"/>
          <w:lang w:val="en-US"/>
        </w:rPr>
      </w:pPr>
    </w:p>
    <w:p w14:paraId="67FADC62" w14:textId="19B88F3C" w:rsidR="00A71750" w:rsidRPr="00A71750" w:rsidRDefault="00A71750" w:rsidP="00A71750">
      <w:pPr>
        <w:jc w:val="both"/>
        <w:rPr>
          <w:rFonts w:eastAsia="宋体"/>
          <w:lang w:val="en-US"/>
        </w:rPr>
      </w:pPr>
      <w:r w:rsidRPr="00A71750">
        <w:rPr>
          <w:rFonts w:eastAsia="宋体"/>
          <w:lang w:val="en-US"/>
        </w:rPr>
        <w:t>Despite the potential demonstrated by both electrolysis and electrodialysis systems for energy-efficient DAC, a comparable evaluation under standardized conditions is lacking. This study aims to bridge this gap through numerical modeling and simulation, considering actual cation exchange membrane (CEM) ion selectivity. By scrutinizing and comparing the impacts of applied current, CO</w:t>
      </w:r>
      <w:r w:rsidRPr="00A71750">
        <w:rPr>
          <w:rFonts w:eastAsia="宋体"/>
          <w:vertAlign w:val="subscript"/>
          <w:lang w:val="en-US"/>
        </w:rPr>
        <w:t>2</w:t>
      </w:r>
      <w:r w:rsidRPr="00A71750">
        <w:rPr>
          <w:rFonts w:eastAsia="宋体"/>
          <w:lang w:val="en-US"/>
        </w:rPr>
        <w:t xml:space="preserve"> absorption ratio, and CO</w:t>
      </w:r>
      <w:r w:rsidRPr="00A71750">
        <w:rPr>
          <w:rFonts w:eastAsia="宋体"/>
          <w:vertAlign w:val="subscript"/>
          <w:lang w:val="en-US"/>
        </w:rPr>
        <w:t>2</w:t>
      </w:r>
      <w:r w:rsidRPr="00A71750">
        <w:rPr>
          <w:rFonts w:eastAsia="宋体"/>
          <w:lang w:val="en-US"/>
        </w:rPr>
        <w:t xml:space="preserve"> recovery ratio, the study endeavors to offer valuable insights into the performance of both systems. The results hold the potential to steer further technological advancements in the pursuit of effective and sustainable DAC solutions.</w:t>
      </w:r>
    </w:p>
    <w:bookmarkEnd w:id="1"/>
    <w:p w14:paraId="1DE597AF" w14:textId="77777777" w:rsidR="00A71750" w:rsidRPr="00A71750" w:rsidRDefault="00A71750" w:rsidP="00A71750">
      <w:pPr>
        <w:keepNext/>
        <w:numPr>
          <w:ilvl w:val="1"/>
          <w:numId w:val="17"/>
        </w:numPr>
        <w:suppressAutoHyphens/>
        <w:spacing w:before="240" w:after="60" w:line="240" w:lineRule="exact"/>
        <w:jc w:val="both"/>
        <w:rPr>
          <w:rFonts w:eastAsia="宋体"/>
          <w:b/>
          <w:sz w:val="22"/>
          <w:lang w:val="en-US"/>
        </w:rPr>
      </w:pPr>
      <w:r w:rsidRPr="00A71750">
        <w:rPr>
          <w:rFonts w:eastAsia="宋体"/>
          <w:b/>
          <w:sz w:val="22"/>
          <w:lang w:val="en-US"/>
        </w:rPr>
        <w:t>Systems and Models</w:t>
      </w:r>
    </w:p>
    <w:p w14:paraId="47C263B6" w14:textId="245E0C57" w:rsidR="00D93732" w:rsidRDefault="00A71750" w:rsidP="00195A83">
      <w:pPr>
        <w:jc w:val="both"/>
        <w:rPr>
          <w:rFonts w:eastAsia="宋体"/>
          <w:lang w:val="en-US"/>
        </w:rPr>
      </w:pPr>
      <w:r w:rsidRPr="00A71750">
        <w:rPr>
          <w:rFonts w:eastAsia="宋体"/>
          <w:lang w:val="en-US"/>
        </w:rPr>
        <w:t xml:space="preserve">Figure 1 presents the electrolysis and electrodialysis DAC systems modelled and simulated in this study. </w:t>
      </w:r>
      <w:r w:rsidRPr="00A71750">
        <w:rPr>
          <w:rFonts w:eastAsia="宋体" w:hint="eastAsia"/>
          <w:lang w:val="en-US"/>
        </w:rPr>
        <w:t>The base solute utilized is K</w:t>
      </w:r>
      <w:r w:rsidRPr="00A71750">
        <w:rPr>
          <w:rFonts w:eastAsia="宋体" w:hint="eastAsia"/>
          <w:vertAlign w:val="subscript"/>
          <w:lang w:val="en-US"/>
        </w:rPr>
        <w:t>2</w:t>
      </w:r>
      <w:r w:rsidRPr="00A71750">
        <w:rPr>
          <w:rFonts w:eastAsia="宋体" w:hint="eastAsia"/>
          <w:lang w:val="en-US"/>
        </w:rPr>
        <w:t>CO</w:t>
      </w:r>
      <w:r w:rsidRPr="00A71750">
        <w:rPr>
          <w:rFonts w:eastAsia="宋体" w:hint="eastAsia"/>
          <w:vertAlign w:val="subscript"/>
          <w:lang w:val="en-US"/>
        </w:rPr>
        <w:t>3</w:t>
      </w:r>
      <w:r w:rsidRPr="00A71750">
        <w:rPr>
          <w:rFonts w:eastAsia="宋体" w:hint="eastAsia"/>
          <w:lang w:val="en-US"/>
        </w:rPr>
        <w:t xml:space="preserve">, and both systems follow a four-step cycle to achieve solution pH-swing and </w:t>
      </w:r>
      <w:r w:rsidRPr="00A71750">
        <w:rPr>
          <w:rFonts w:eastAsia="宋体"/>
          <w:lang w:val="en-US"/>
        </w:rPr>
        <w:t>DAC</w:t>
      </w:r>
      <w:r w:rsidRPr="00A71750">
        <w:rPr>
          <w:rFonts w:eastAsia="宋体" w:hint="eastAsia"/>
          <w:lang w:val="en-US"/>
        </w:rPr>
        <w:t>. Firstly, in the alkali generation process (4</w:t>
      </w:r>
      <w:r w:rsidRPr="00A71750">
        <w:rPr>
          <w:rFonts w:eastAsia="宋体" w:hint="eastAsia"/>
          <w:lang w:val="en-US"/>
        </w:rPr>
        <w:t>→</w:t>
      </w:r>
      <w:r w:rsidRPr="00A71750">
        <w:rPr>
          <w:rFonts w:eastAsia="宋体" w:hint="eastAsia"/>
          <w:lang w:val="en-US"/>
        </w:rPr>
        <w:t>1), OH</w:t>
      </w:r>
      <w:r w:rsidRPr="00A71750">
        <w:rPr>
          <w:rFonts w:eastAsia="宋体" w:hint="eastAsia"/>
          <w:vertAlign w:val="superscript"/>
          <w:lang w:val="en-US"/>
        </w:rPr>
        <w:t>-</w:t>
      </w:r>
      <w:r w:rsidRPr="00A71750">
        <w:rPr>
          <w:rFonts w:eastAsia="宋体" w:hint="eastAsia"/>
          <w:lang w:val="en-US"/>
        </w:rPr>
        <w:t xml:space="preserve"> ions are continuously generated in the alkaline compartment through the cathodic semi-reaction, leading to the alkalization of the solution and the attainment of a high CO</w:t>
      </w:r>
      <w:r w:rsidRPr="00A71750">
        <w:rPr>
          <w:rFonts w:eastAsia="宋体" w:hint="eastAsia"/>
          <w:vertAlign w:val="subscript"/>
          <w:lang w:val="en-US"/>
        </w:rPr>
        <w:t>2</w:t>
      </w:r>
      <w:r w:rsidRPr="00A71750">
        <w:rPr>
          <w:rFonts w:eastAsia="宋体" w:hint="eastAsia"/>
          <w:lang w:val="en-US"/>
        </w:rPr>
        <w:t xml:space="preserve"> absorption capacity. Subsequently, in the CO</w:t>
      </w:r>
      <w:r w:rsidRPr="00A71750">
        <w:rPr>
          <w:rFonts w:eastAsia="宋体" w:hint="eastAsia"/>
          <w:vertAlign w:val="subscript"/>
          <w:lang w:val="en-US"/>
        </w:rPr>
        <w:t>2</w:t>
      </w:r>
      <w:r w:rsidRPr="00A71750">
        <w:rPr>
          <w:rFonts w:eastAsia="宋体" w:hint="eastAsia"/>
          <w:lang w:val="en-US"/>
        </w:rPr>
        <w:t xml:space="preserve"> absorption process (1</w:t>
      </w:r>
      <w:r w:rsidRPr="00A71750">
        <w:rPr>
          <w:rFonts w:eastAsia="宋体" w:hint="eastAsia"/>
          <w:lang w:val="en-US"/>
        </w:rPr>
        <w:t>→</w:t>
      </w:r>
      <w:r w:rsidRPr="00A71750">
        <w:rPr>
          <w:rFonts w:eastAsia="宋体" w:hint="eastAsia"/>
          <w:lang w:val="en-US"/>
        </w:rPr>
        <w:t xml:space="preserve">2), the strongly basic solution is directed through the </w:t>
      </w:r>
      <w:r w:rsidRPr="00A71750">
        <w:rPr>
          <w:rFonts w:eastAsia="宋体"/>
          <w:lang w:val="en-US"/>
        </w:rPr>
        <w:t>membrane</w:t>
      </w:r>
      <w:r w:rsidRPr="00A71750">
        <w:rPr>
          <w:rFonts w:eastAsia="宋体" w:hint="eastAsia"/>
          <w:lang w:val="en-US"/>
        </w:rPr>
        <w:t xml:space="preserve"> contactor to absorb CO</w:t>
      </w:r>
      <w:r w:rsidRPr="00A71750">
        <w:rPr>
          <w:rFonts w:eastAsia="宋体" w:hint="eastAsia"/>
          <w:vertAlign w:val="subscript"/>
          <w:lang w:val="en-US"/>
        </w:rPr>
        <w:t>2</w:t>
      </w:r>
      <w:r w:rsidRPr="00A71750">
        <w:rPr>
          <w:rFonts w:eastAsia="宋体" w:hint="eastAsia"/>
          <w:lang w:val="en-US"/>
        </w:rPr>
        <w:t xml:space="preserve"> from the air, transforming into a CO</w:t>
      </w:r>
      <w:r w:rsidRPr="00A71750">
        <w:rPr>
          <w:rFonts w:eastAsia="宋体" w:hint="eastAsia"/>
          <w:vertAlign w:val="subscript"/>
          <w:lang w:val="en-US"/>
        </w:rPr>
        <w:t>2</w:t>
      </w:r>
      <w:r w:rsidRPr="00A71750">
        <w:rPr>
          <w:rFonts w:eastAsia="宋体" w:hint="eastAsia"/>
          <w:lang w:val="en-US"/>
        </w:rPr>
        <w:t>-rich solution. Following this, in the acidification process (2</w:t>
      </w:r>
      <w:r w:rsidRPr="00A71750">
        <w:rPr>
          <w:rFonts w:eastAsia="宋体" w:hint="eastAsia"/>
          <w:lang w:val="en-US"/>
        </w:rPr>
        <w:t>→</w:t>
      </w:r>
      <w:r w:rsidRPr="00A71750">
        <w:rPr>
          <w:rFonts w:eastAsia="宋体" w:hint="eastAsia"/>
          <w:lang w:val="en-US"/>
        </w:rPr>
        <w:t>3), the CO</w:t>
      </w:r>
      <w:r w:rsidRPr="00A71750">
        <w:rPr>
          <w:rFonts w:eastAsia="宋体" w:hint="eastAsia"/>
          <w:vertAlign w:val="subscript"/>
          <w:lang w:val="en-US"/>
        </w:rPr>
        <w:t>2</w:t>
      </w:r>
      <w:r w:rsidRPr="00A71750">
        <w:rPr>
          <w:rFonts w:eastAsia="宋体" w:hint="eastAsia"/>
          <w:lang w:val="en-US"/>
        </w:rPr>
        <w:t>-rich solution undergoes acidification in the acidic compartment, where K</w:t>
      </w:r>
      <w:r w:rsidRPr="00A71750">
        <w:rPr>
          <w:rFonts w:eastAsia="宋体" w:hint="eastAsia"/>
          <w:vertAlign w:val="superscript"/>
          <w:lang w:val="en-US"/>
        </w:rPr>
        <w:t>+</w:t>
      </w:r>
      <w:r w:rsidRPr="00A71750">
        <w:rPr>
          <w:rFonts w:eastAsia="宋体" w:hint="eastAsia"/>
          <w:lang w:val="en-US"/>
        </w:rPr>
        <w:t xml:space="preserve"> ions migrate from the acidic to the alkaline compartment through the CEM, replacing K</w:t>
      </w:r>
      <w:r w:rsidRPr="00A71750">
        <w:rPr>
          <w:rFonts w:eastAsia="宋体" w:hint="eastAsia"/>
          <w:vertAlign w:val="superscript"/>
          <w:lang w:val="en-US"/>
        </w:rPr>
        <w:t>+</w:t>
      </w:r>
      <w:r w:rsidRPr="00A71750">
        <w:rPr>
          <w:rFonts w:eastAsia="宋体" w:hint="eastAsia"/>
          <w:lang w:val="en-US"/>
        </w:rPr>
        <w:t xml:space="preserve"> ions with H</w:t>
      </w:r>
      <w:r w:rsidRPr="00A71750">
        <w:rPr>
          <w:rFonts w:eastAsia="宋体" w:hint="eastAsia"/>
          <w:vertAlign w:val="superscript"/>
          <w:lang w:val="en-US"/>
        </w:rPr>
        <w:t>+</w:t>
      </w:r>
      <w:r w:rsidRPr="00A71750">
        <w:rPr>
          <w:rFonts w:eastAsia="宋体" w:hint="eastAsia"/>
          <w:lang w:val="en-US"/>
        </w:rPr>
        <w:t xml:space="preserve"> ions. Finally, in the CO</w:t>
      </w:r>
      <w:r w:rsidRPr="00A71750">
        <w:rPr>
          <w:rFonts w:eastAsia="宋体" w:hint="eastAsia"/>
          <w:vertAlign w:val="subscript"/>
          <w:lang w:val="en-US"/>
        </w:rPr>
        <w:t>2</w:t>
      </w:r>
      <w:r w:rsidRPr="00A71750">
        <w:rPr>
          <w:rFonts w:eastAsia="宋体" w:hint="eastAsia"/>
          <w:lang w:val="en-US"/>
        </w:rPr>
        <w:t xml:space="preserve"> release process (3</w:t>
      </w:r>
      <w:r w:rsidRPr="00A71750">
        <w:rPr>
          <w:rFonts w:eastAsia="宋体" w:hint="eastAsia"/>
          <w:lang w:val="en-US"/>
        </w:rPr>
        <w:t>→</w:t>
      </w:r>
      <w:r w:rsidRPr="00A71750">
        <w:rPr>
          <w:rFonts w:eastAsia="宋体" w:hint="eastAsia"/>
          <w:lang w:val="en-US"/>
        </w:rPr>
        <w:t>4), the acidification leads to a reduction in CO</w:t>
      </w:r>
      <w:r w:rsidRPr="00A71750">
        <w:rPr>
          <w:rFonts w:eastAsia="宋体" w:hint="eastAsia"/>
          <w:vertAlign w:val="subscript"/>
          <w:lang w:val="en-US"/>
        </w:rPr>
        <w:t>2</w:t>
      </w:r>
      <w:r w:rsidRPr="00A71750">
        <w:rPr>
          <w:rFonts w:eastAsia="宋体" w:hint="eastAsia"/>
          <w:lang w:val="en-US"/>
        </w:rPr>
        <w:t xml:space="preserve"> solubility, prompting the release of CO</w:t>
      </w:r>
      <w:r w:rsidRPr="00A71750">
        <w:rPr>
          <w:rFonts w:eastAsia="宋体" w:hint="eastAsia"/>
          <w:vertAlign w:val="subscript"/>
          <w:lang w:val="en-US"/>
        </w:rPr>
        <w:t>2</w:t>
      </w:r>
      <w:r w:rsidRPr="00A71750">
        <w:rPr>
          <w:rFonts w:eastAsia="宋体" w:hint="eastAsia"/>
          <w:lang w:val="en-US"/>
        </w:rPr>
        <w:t>. The purified CO</w:t>
      </w:r>
      <w:r w:rsidRPr="00A71750">
        <w:rPr>
          <w:rFonts w:eastAsia="宋体" w:hint="eastAsia"/>
          <w:vertAlign w:val="subscript"/>
          <w:lang w:val="en-US"/>
        </w:rPr>
        <w:t>2</w:t>
      </w:r>
      <w:r w:rsidRPr="00A71750">
        <w:rPr>
          <w:rFonts w:eastAsia="宋体" w:hint="eastAsia"/>
          <w:lang w:val="en-US"/>
        </w:rPr>
        <w:t xml:space="preserve"> gas is separated and collected in the separator, while the solution r</w:t>
      </w:r>
      <w:r w:rsidRPr="00A71750">
        <w:rPr>
          <w:rFonts w:eastAsia="宋体"/>
          <w:lang w:val="en-US"/>
        </w:rPr>
        <w:t>everts to its initial state.</w:t>
      </w:r>
    </w:p>
    <w:p w14:paraId="7035C6AD" w14:textId="77777777" w:rsidR="00D93732" w:rsidRDefault="00D93732" w:rsidP="00A71750">
      <w:pPr>
        <w:jc w:val="both"/>
        <w:rPr>
          <w:rFonts w:eastAsia="宋体"/>
          <w:lang w:val="en-US"/>
        </w:rPr>
      </w:pPr>
    </w:p>
    <w:p w14:paraId="1AED69AA" w14:textId="1ECB76DD" w:rsidR="004545C9" w:rsidRPr="00A71750" w:rsidRDefault="00A71750" w:rsidP="00A71750">
      <w:pPr>
        <w:jc w:val="both"/>
        <w:rPr>
          <w:rFonts w:eastAsia="宋体"/>
          <w:lang w:val="en-US"/>
        </w:rPr>
      </w:pPr>
      <w:r w:rsidRPr="00A71750">
        <w:rPr>
          <w:rFonts w:eastAsia="宋体"/>
          <w:lang w:val="en-US"/>
        </w:rPr>
        <w:t>While both the electrolysis and electrodialysis systems share similar CO</w:t>
      </w:r>
      <w:r w:rsidRPr="00A71750">
        <w:rPr>
          <w:rFonts w:eastAsia="宋体"/>
          <w:vertAlign w:val="subscript"/>
          <w:lang w:val="en-US"/>
        </w:rPr>
        <w:t>2</w:t>
      </w:r>
      <w:r w:rsidRPr="00A71750">
        <w:rPr>
          <w:rFonts w:eastAsia="宋体"/>
          <w:lang w:val="en-US"/>
        </w:rPr>
        <w:t xml:space="preserve"> absorption processes, the electrochemical reactions responsible for solution alkalization and acidification differ between the two. In electrolysis, the reactions involve hydrogen generation, serving the dual purpose of hydrogen production and partially mitigating the energy consumption of DAC. On the other hand, the electrodialysis system incorporates a crucial component known as the BPM, which includes an anion exchange layer and a cation exchange layer. The BPM facilitates the direct dissociation of water into OH</w:t>
      </w:r>
      <w:r w:rsidRPr="00A71750">
        <w:rPr>
          <w:rFonts w:eastAsia="宋体"/>
          <w:vertAlign w:val="superscript"/>
          <w:lang w:val="en-US"/>
        </w:rPr>
        <w:t>-</w:t>
      </w:r>
      <w:r w:rsidRPr="00A71750">
        <w:rPr>
          <w:rFonts w:eastAsia="宋体"/>
          <w:lang w:val="en-US"/>
        </w:rPr>
        <w:t xml:space="preserve"> and H</w:t>
      </w:r>
      <w:r w:rsidRPr="00A71750">
        <w:rPr>
          <w:rFonts w:eastAsia="宋体"/>
          <w:vertAlign w:val="superscript"/>
          <w:lang w:val="en-US"/>
        </w:rPr>
        <w:t>+</w:t>
      </w:r>
      <w:r w:rsidRPr="00A71750">
        <w:rPr>
          <w:rFonts w:eastAsia="宋体"/>
          <w:lang w:val="en-US"/>
        </w:rPr>
        <w:t xml:space="preserve"> ions, creating a pH difference between the two compartments. Unlike water electrolysis, the water splitting reaction in electrodialysis does not necessitate energy for hydrogen and oxygen generation, resulting in a reduced overall energy demand.</w:t>
      </w:r>
    </w:p>
    <w:p w14:paraId="32A594CB" w14:textId="0649B1C2" w:rsidR="00A71750" w:rsidRDefault="00195A83" w:rsidP="00A71750">
      <w:pPr>
        <w:jc w:val="both"/>
        <w:rPr>
          <w:rFonts w:eastAsia="宋体"/>
          <w:lang w:val="en-US"/>
        </w:rPr>
      </w:pPr>
      <w:r w:rsidRPr="00A71750">
        <w:rPr>
          <w:rFonts w:eastAsia="宋体"/>
          <w:noProof/>
          <w:lang w:val="en-US"/>
        </w:rPr>
        <w:lastRenderedPageBreak/>
        <w:drawing>
          <wp:inline distT="0" distB="0" distL="0" distR="0" wp14:anchorId="54351A5F" wp14:editId="14417F83">
            <wp:extent cx="4320000" cy="3558692"/>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srcRect l="4997" t="8889" r="2371" b="4516"/>
                    <a:stretch/>
                  </pic:blipFill>
                  <pic:spPr bwMode="auto">
                    <a:xfrm>
                      <a:off x="0" y="0"/>
                      <a:ext cx="4320000" cy="3558692"/>
                    </a:xfrm>
                    <a:prstGeom prst="rect">
                      <a:avLst/>
                    </a:prstGeom>
                    <a:ln>
                      <a:noFill/>
                    </a:ln>
                    <a:extLst>
                      <a:ext uri="{53640926-AAD7-44D8-BBD7-CCE9431645EC}">
                        <a14:shadowObscured xmlns:a14="http://schemas.microsoft.com/office/drawing/2010/main"/>
                      </a:ext>
                    </a:extLst>
                  </pic:spPr>
                </pic:pic>
              </a:graphicData>
            </a:graphic>
          </wp:inline>
        </w:drawing>
      </w:r>
    </w:p>
    <w:p w14:paraId="6E649968" w14:textId="7C8495ED" w:rsidR="00195A83" w:rsidRDefault="00195A83" w:rsidP="00195A83">
      <w:pPr>
        <w:jc w:val="center"/>
        <w:rPr>
          <w:rFonts w:eastAsia="宋体"/>
          <w:lang w:val="en-US"/>
        </w:rPr>
      </w:pPr>
      <w:r w:rsidRPr="00A71750">
        <w:rPr>
          <w:rFonts w:eastAsia="宋体"/>
          <w:lang w:val="en-US"/>
        </w:rPr>
        <w:t xml:space="preserve">Figure </w:t>
      </w:r>
      <w:r w:rsidRPr="00A71750">
        <w:rPr>
          <w:rFonts w:eastAsia="宋体"/>
          <w:lang w:val="en-US"/>
        </w:rPr>
        <w:fldChar w:fldCharType="begin"/>
      </w:r>
      <w:r w:rsidRPr="00A71750">
        <w:rPr>
          <w:rFonts w:eastAsia="宋体"/>
          <w:lang w:val="en-US"/>
        </w:rPr>
        <w:instrText xml:space="preserve"> SEQ Figure \* ARABIC </w:instrText>
      </w:r>
      <w:r w:rsidRPr="00A71750">
        <w:rPr>
          <w:rFonts w:eastAsia="宋体"/>
          <w:lang w:val="en-US"/>
        </w:rPr>
        <w:fldChar w:fldCharType="separate"/>
      </w:r>
      <w:r w:rsidRPr="00A71750">
        <w:rPr>
          <w:rFonts w:eastAsia="宋体"/>
          <w:noProof/>
          <w:lang w:val="en-US"/>
        </w:rPr>
        <w:t>1</w:t>
      </w:r>
      <w:r w:rsidRPr="00A71750">
        <w:rPr>
          <w:rFonts w:eastAsia="宋体"/>
          <w:lang w:val="en-US"/>
        </w:rPr>
        <w:fldChar w:fldCharType="end"/>
      </w:r>
      <w:r w:rsidRPr="00A71750">
        <w:rPr>
          <w:rFonts w:eastAsia="宋体" w:hint="eastAsia"/>
          <w:lang w:val="en-US" w:eastAsia="zh-CN"/>
        </w:rPr>
        <w:t>:</w:t>
      </w:r>
      <w:r w:rsidRPr="00A71750">
        <w:rPr>
          <w:rFonts w:eastAsia="宋体"/>
          <w:lang w:val="en-US" w:eastAsia="zh-CN"/>
        </w:rPr>
        <w:t xml:space="preserve"> System layouts</w:t>
      </w:r>
      <w:r w:rsidR="008657BB">
        <w:rPr>
          <w:rFonts w:eastAsia="宋体"/>
          <w:lang w:val="en-US" w:eastAsia="zh-CN"/>
        </w:rPr>
        <w:t>:</w:t>
      </w:r>
      <w:r w:rsidRPr="00A71750">
        <w:rPr>
          <w:rFonts w:eastAsia="宋体"/>
          <w:lang w:val="en-US" w:eastAsia="zh-CN"/>
        </w:rPr>
        <w:t xml:space="preserve"> (a) Electrolysis systems; (b) Electrodialysis system</w:t>
      </w:r>
    </w:p>
    <w:p w14:paraId="21CD90A3" w14:textId="77777777" w:rsidR="00195A83" w:rsidRPr="00A71750" w:rsidRDefault="00195A83" w:rsidP="00A71750">
      <w:pPr>
        <w:jc w:val="both"/>
        <w:rPr>
          <w:rFonts w:eastAsia="宋体"/>
          <w:lang w:val="en-US"/>
        </w:rPr>
      </w:pPr>
    </w:p>
    <w:p w14:paraId="154A0BE9" w14:textId="0551D6AA" w:rsidR="00A71750" w:rsidRPr="00A71750" w:rsidRDefault="00A71750" w:rsidP="00A71750">
      <w:pPr>
        <w:jc w:val="both"/>
        <w:rPr>
          <w:rFonts w:eastAsia="宋体"/>
          <w:lang w:val="en-US"/>
        </w:rPr>
      </w:pPr>
      <w:r w:rsidRPr="00A71750">
        <w:rPr>
          <w:rFonts w:eastAsia="宋体"/>
          <w:lang w:val="en-US"/>
        </w:rPr>
        <w:t xml:space="preserve">The solution's dissolved inorganic carbon (DIC) and total alkalinity (TA) are defined </w:t>
      </w:r>
      <w:r w:rsidR="005845E8">
        <w:rPr>
          <w:rFonts w:eastAsia="宋体"/>
          <w:lang w:val="en-US"/>
        </w:rPr>
        <w:t xml:space="preserve">as follows </w:t>
      </w:r>
      <w:r w:rsidRPr="00A71750">
        <w:rPr>
          <w:rFonts w:eastAsia="宋体"/>
          <w:lang w:val="en-US"/>
        </w:rPr>
        <w:t>to facilitate numerical analysis:</w:t>
      </w:r>
    </w:p>
    <w:tbl>
      <w:tblPr>
        <w:tblW w:w="7087" w:type="dxa"/>
        <w:tblLook w:val="04A0" w:firstRow="1" w:lastRow="0" w:firstColumn="1" w:lastColumn="0" w:noHBand="0" w:noVBand="1"/>
      </w:tblPr>
      <w:tblGrid>
        <w:gridCol w:w="6129"/>
        <w:gridCol w:w="958"/>
      </w:tblGrid>
      <w:tr w:rsidR="00A71750" w:rsidRPr="00A71750" w14:paraId="6CFC51D0" w14:textId="77777777" w:rsidTr="00642962">
        <w:tc>
          <w:tcPr>
            <w:tcW w:w="6129" w:type="dxa"/>
            <w:shd w:val="clear" w:color="auto" w:fill="auto"/>
            <w:vAlign w:val="center"/>
          </w:tcPr>
          <w:bookmarkStart w:id="3" w:name="_Hlk152105819"/>
          <w:p w14:paraId="54B7AD27" w14:textId="77777777" w:rsidR="00A71750" w:rsidRPr="00A71750" w:rsidRDefault="00A71750" w:rsidP="00A71750">
            <w:pPr>
              <w:spacing w:before="120" w:after="120" w:line="264" w:lineRule="auto"/>
              <w:jc w:val="both"/>
              <w:rPr>
                <w:rFonts w:eastAsia="宋体"/>
              </w:rPr>
            </w:pPr>
            <w:r w:rsidRPr="00A71750">
              <w:rPr>
                <w:rFonts w:eastAsia="宋体"/>
                <w:position w:val="-18"/>
              </w:rPr>
              <w:object w:dxaOrig="2439" w:dyaOrig="420" w14:anchorId="18E5B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45pt;height:17.2pt" o:ole="">
                  <v:imagedata r:id="rId9" o:title=""/>
                </v:shape>
                <o:OLEObject Type="Embed" ProgID="Equation.DSMT4" ShapeID="_x0000_i1025" DrawAspect="Content" ObjectID="_1765353117" r:id="rId10"/>
              </w:object>
            </w:r>
          </w:p>
        </w:tc>
        <w:tc>
          <w:tcPr>
            <w:tcW w:w="958" w:type="dxa"/>
            <w:shd w:val="clear" w:color="auto" w:fill="auto"/>
            <w:vAlign w:val="center"/>
          </w:tcPr>
          <w:p w14:paraId="257AA443" w14:textId="35029C1C" w:rsidR="00A71750" w:rsidRPr="00A71750" w:rsidRDefault="00A71750" w:rsidP="00A71750">
            <w:pPr>
              <w:spacing w:before="120" w:after="120" w:line="264" w:lineRule="auto"/>
              <w:jc w:val="right"/>
              <w:rPr>
                <w:rFonts w:eastAsia="宋体"/>
              </w:rPr>
            </w:pPr>
            <w:r w:rsidRPr="00A71750">
              <w:rPr>
                <w:rFonts w:eastAsia="宋体"/>
              </w:rPr>
              <w:t>(</w:t>
            </w:r>
            <w:r w:rsidR="00AF0DF4">
              <w:rPr>
                <w:rFonts w:eastAsia="宋体"/>
              </w:rPr>
              <w:t>1</w:t>
            </w:r>
            <w:r w:rsidRPr="00A71750">
              <w:rPr>
                <w:rFonts w:eastAsia="宋体"/>
              </w:rPr>
              <w:t>)</w:t>
            </w:r>
          </w:p>
        </w:tc>
      </w:tr>
      <w:tr w:rsidR="00A71750" w:rsidRPr="00A71750" w14:paraId="524EDC6C" w14:textId="77777777" w:rsidTr="00642962">
        <w:tc>
          <w:tcPr>
            <w:tcW w:w="6129" w:type="dxa"/>
            <w:shd w:val="clear" w:color="auto" w:fill="auto"/>
            <w:vAlign w:val="center"/>
          </w:tcPr>
          <w:p w14:paraId="26DB9099" w14:textId="77777777" w:rsidR="00A71750" w:rsidRPr="00A71750" w:rsidRDefault="00A71750" w:rsidP="00A71750">
            <w:pPr>
              <w:spacing w:before="120" w:after="120" w:line="264" w:lineRule="auto"/>
              <w:jc w:val="both"/>
              <w:rPr>
                <w:rFonts w:eastAsia="宋体"/>
              </w:rPr>
            </w:pPr>
            <w:r w:rsidRPr="00A71750">
              <w:rPr>
                <w:rFonts w:eastAsia="宋体"/>
                <w:position w:val="-18"/>
                <w:lang w:val="en-US"/>
              </w:rPr>
              <w:object w:dxaOrig="3260" w:dyaOrig="420" w14:anchorId="3F107AC9">
                <v:shape id="_x0000_i1026" type="#_x0000_t75" style="width:135.8pt;height:18pt" o:ole="">
                  <v:imagedata r:id="rId11" o:title=""/>
                </v:shape>
                <o:OLEObject Type="Embed" ProgID="Equation.DSMT4" ShapeID="_x0000_i1026" DrawAspect="Content" ObjectID="_1765353118" r:id="rId12"/>
              </w:object>
            </w:r>
          </w:p>
        </w:tc>
        <w:tc>
          <w:tcPr>
            <w:tcW w:w="958" w:type="dxa"/>
            <w:shd w:val="clear" w:color="auto" w:fill="auto"/>
            <w:vAlign w:val="center"/>
          </w:tcPr>
          <w:p w14:paraId="5047171F" w14:textId="6667B1F8" w:rsidR="00A71750" w:rsidRPr="00A71750" w:rsidRDefault="00A71750" w:rsidP="00A71750">
            <w:pPr>
              <w:spacing w:before="120" w:after="120" w:line="264" w:lineRule="auto"/>
              <w:jc w:val="right"/>
              <w:rPr>
                <w:rFonts w:eastAsia="宋体"/>
              </w:rPr>
            </w:pPr>
            <w:r w:rsidRPr="00A71750">
              <w:rPr>
                <w:rFonts w:eastAsia="宋体"/>
                <w:lang w:val="en-US"/>
              </w:rPr>
              <w:t>(</w:t>
            </w:r>
            <w:r w:rsidR="00AF0DF4">
              <w:rPr>
                <w:rFonts w:eastAsia="宋体"/>
                <w:lang w:val="en-US"/>
              </w:rPr>
              <w:t>2</w:t>
            </w:r>
            <w:r w:rsidRPr="00A71750">
              <w:rPr>
                <w:rFonts w:eastAsia="宋体"/>
                <w:lang w:val="en-US"/>
              </w:rPr>
              <w:t>)</w:t>
            </w:r>
          </w:p>
        </w:tc>
      </w:tr>
    </w:tbl>
    <w:bookmarkEnd w:id="3"/>
    <w:p w14:paraId="4617120E" w14:textId="2FA4DAAD" w:rsidR="00130FF1" w:rsidRDefault="00130FF1" w:rsidP="00130FF1">
      <w:pPr>
        <w:jc w:val="both"/>
        <w:rPr>
          <w:rFonts w:eastAsia="宋体"/>
          <w:lang w:val="en-US"/>
        </w:rPr>
      </w:pPr>
      <w:r w:rsidRPr="00130FF1">
        <w:rPr>
          <w:rFonts w:eastAsia="宋体"/>
          <w:lang w:val="en-US"/>
        </w:rPr>
        <w:t>Achieving full absorption or recovery of CO</w:t>
      </w:r>
      <w:r w:rsidRPr="00130FF1">
        <w:rPr>
          <w:rFonts w:eastAsia="宋体"/>
          <w:vertAlign w:val="subscript"/>
          <w:lang w:val="en-US"/>
        </w:rPr>
        <w:t>2</w:t>
      </w:r>
      <w:r w:rsidRPr="00130FF1">
        <w:rPr>
          <w:rFonts w:eastAsia="宋体"/>
          <w:lang w:val="en-US"/>
        </w:rPr>
        <w:t xml:space="preserve"> in the </w:t>
      </w:r>
      <w:r>
        <w:rPr>
          <w:rFonts w:eastAsia="宋体"/>
          <w:lang w:val="en-US"/>
        </w:rPr>
        <w:t>membrane</w:t>
      </w:r>
      <w:r w:rsidRPr="00130FF1">
        <w:rPr>
          <w:rFonts w:eastAsia="宋体"/>
          <w:lang w:val="en-US"/>
        </w:rPr>
        <w:t xml:space="preserve"> contactor and </w:t>
      </w:r>
      <w:r>
        <w:rPr>
          <w:rFonts w:eastAsia="宋体"/>
          <w:lang w:val="en-US"/>
        </w:rPr>
        <w:t xml:space="preserve">anode gas </w:t>
      </w:r>
      <w:r w:rsidRPr="00130FF1">
        <w:rPr>
          <w:rFonts w:eastAsia="宋体"/>
          <w:lang w:val="en-US"/>
        </w:rPr>
        <w:t xml:space="preserve">separator, reaching their respective equilibrium limits, can pose challenges under </w:t>
      </w:r>
      <w:r>
        <w:rPr>
          <w:rFonts w:eastAsia="宋体"/>
          <w:lang w:val="en-US"/>
        </w:rPr>
        <w:t>actual</w:t>
      </w:r>
      <w:r w:rsidRPr="00130FF1">
        <w:rPr>
          <w:rFonts w:eastAsia="宋体"/>
          <w:lang w:val="en-US"/>
        </w:rPr>
        <w:t xml:space="preserve"> conditions. To quantify the scope of these limitations, the CO</w:t>
      </w:r>
      <w:r w:rsidRPr="00130FF1">
        <w:rPr>
          <w:rFonts w:eastAsia="宋体"/>
          <w:vertAlign w:val="subscript"/>
          <w:lang w:val="en-US"/>
        </w:rPr>
        <w:t>2</w:t>
      </w:r>
      <w:r w:rsidRPr="00130FF1">
        <w:rPr>
          <w:rFonts w:eastAsia="宋体"/>
          <w:lang w:val="en-US"/>
        </w:rPr>
        <w:t xml:space="preserve"> absorption and recovery ratios are delineated as follows:</w:t>
      </w:r>
    </w:p>
    <w:tbl>
      <w:tblPr>
        <w:tblW w:w="7087" w:type="dxa"/>
        <w:tblLook w:val="04A0" w:firstRow="1" w:lastRow="0" w:firstColumn="1" w:lastColumn="0" w:noHBand="0" w:noVBand="1"/>
      </w:tblPr>
      <w:tblGrid>
        <w:gridCol w:w="6129"/>
        <w:gridCol w:w="958"/>
      </w:tblGrid>
      <w:tr w:rsidR="0037057F" w:rsidRPr="00A71750" w14:paraId="2E15CADA" w14:textId="77777777" w:rsidTr="00642962">
        <w:tc>
          <w:tcPr>
            <w:tcW w:w="6129" w:type="dxa"/>
            <w:shd w:val="clear" w:color="auto" w:fill="auto"/>
            <w:vAlign w:val="center"/>
          </w:tcPr>
          <w:p w14:paraId="736B652F" w14:textId="47688A34" w:rsidR="0037057F" w:rsidRPr="00A71750" w:rsidRDefault="00AF0DF4" w:rsidP="00642962">
            <w:pPr>
              <w:spacing w:before="120" w:after="120" w:line="264" w:lineRule="auto"/>
              <w:jc w:val="both"/>
              <w:rPr>
                <w:rFonts w:eastAsia="宋体"/>
              </w:rPr>
            </w:pPr>
            <w:r w:rsidRPr="00497C97">
              <w:rPr>
                <w:rFonts w:eastAsia="宋体"/>
                <w:position w:val="-32"/>
              </w:rPr>
              <w:object w:dxaOrig="1280" w:dyaOrig="700" w14:anchorId="1C1CDB26">
                <v:shape id="_x0000_i1027" type="#_x0000_t75" style="width:47.35pt;height:27pt" o:ole="">
                  <v:imagedata r:id="rId13" o:title=""/>
                </v:shape>
                <o:OLEObject Type="Embed" ProgID="Equation.DSMT4" ShapeID="_x0000_i1027" DrawAspect="Content" ObjectID="_1765353119" r:id="rId14"/>
              </w:object>
            </w:r>
          </w:p>
        </w:tc>
        <w:tc>
          <w:tcPr>
            <w:tcW w:w="958" w:type="dxa"/>
            <w:shd w:val="clear" w:color="auto" w:fill="auto"/>
            <w:vAlign w:val="center"/>
          </w:tcPr>
          <w:p w14:paraId="7A15B6E1" w14:textId="705FCA67" w:rsidR="0037057F" w:rsidRPr="00A71750" w:rsidRDefault="0037057F" w:rsidP="00642962">
            <w:pPr>
              <w:spacing w:before="120" w:after="120" w:line="264" w:lineRule="auto"/>
              <w:jc w:val="right"/>
              <w:rPr>
                <w:rFonts w:eastAsia="宋体"/>
              </w:rPr>
            </w:pPr>
            <w:r w:rsidRPr="00A71750">
              <w:rPr>
                <w:rFonts w:eastAsia="宋体"/>
              </w:rPr>
              <w:t>(</w:t>
            </w:r>
            <w:r w:rsidR="00AF0DF4">
              <w:rPr>
                <w:rFonts w:eastAsia="宋体"/>
              </w:rPr>
              <w:t>3</w:t>
            </w:r>
            <w:r w:rsidRPr="00A71750">
              <w:rPr>
                <w:rFonts w:eastAsia="宋体"/>
              </w:rPr>
              <w:t>)</w:t>
            </w:r>
          </w:p>
        </w:tc>
      </w:tr>
      <w:tr w:rsidR="0037057F" w:rsidRPr="00A71750" w14:paraId="7389BD30" w14:textId="77777777" w:rsidTr="00642962">
        <w:tc>
          <w:tcPr>
            <w:tcW w:w="6129" w:type="dxa"/>
            <w:shd w:val="clear" w:color="auto" w:fill="auto"/>
            <w:vAlign w:val="center"/>
          </w:tcPr>
          <w:p w14:paraId="1513E371" w14:textId="53A0ACED" w:rsidR="0037057F" w:rsidRPr="00A71750" w:rsidRDefault="00AF0DF4" w:rsidP="00642962">
            <w:pPr>
              <w:spacing w:before="120" w:after="120" w:line="264" w:lineRule="auto"/>
              <w:jc w:val="both"/>
              <w:rPr>
                <w:rFonts w:eastAsia="宋体"/>
              </w:rPr>
            </w:pPr>
            <w:r w:rsidRPr="00253B5E">
              <w:rPr>
                <w:rFonts w:eastAsia="宋体"/>
                <w:position w:val="-32"/>
                <w:lang w:val="en-US"/>
              </w:rPr>
              <w:object w:dxaOrig="1980" w:dyaOrig="700" w14:anchorId="1A1003B8">
                <v:shape id="_x0000_i1028" type="#_x0000_t75" style="width:76.3pt;height:27.8pt" o:ole="">
                  <v:imagedata r:id="rId15" o:title=""/>
                </v:shape>
                <o:OLEObject Type="Embed" ProgID="Equation.DSMT4" ShapeID="_x0000_i1028" DrawAspect="Content" ObjectID="_1765353120" r:id="rId16"/>
              </w:object>
            </w:r>
          </w:p>
        </w:tc>
        <w:tc>
          <w:tcPr>
            <w:tcW w:w="958" w:type="dxa"/>
            <w:shd w:val="clear" w:color="auto" w:fill="auto"/>
            <w:vAlign w:val="center"/>
          </w:tcPr>
          <w:p w14:paraId="37091C26" w14:textId="547EA733" w:rsidR="0037057F" w:rsidRPr="00A71750" w:rsidRDefault="0037057F" w:rsidP="00642962">
            <w:pPr>
              <w:spacing w:before="120" w:after="120" w:line="264" w:lineRule="auto"/>
              <w:jc w:val="right"/>
              <w:rPr>
                <w:rFonts w:eastAsia="宋体"/>
              </w:rPr>
            </w:pPr>
            <w:r w:rsidRPr="00A71750">
              <w:rPr>
                <w:rFonts w:eastAsia="宋体"/>
                <w:lang w:val="en-US"/>
              </w:rPr>
              <w:t>(</w:t>
            </w:r>
            <w:r w:rsidR="00AF0DF4">
              <w:rPr>
                <w:rFonts w:eastAsia="宋体"/>
                <w:lang w:val="en-US"/>
              </w:rPr>
              <w:t>4</w:t>
            </w:r>
            <w:r w:rsidRPr="00A71750">
              <w:rPr>
                <w:rFonts w:eastAsia="宋体"/>
                <w:lang w:val="en-US"/>
              </w:rPr>
              <w:t>)</w:t>
            </w:r>
          </w:p>
        </w:tc>
      </w:tr>
    </w:tbl>
    <w:p w14:paraId="5EC6922E" w14:textId="6F1393BB" w:rsidR="00D236F9" w:rsidRDefault="000405AE" w:rsidP="00A71750">
      <w:pPr>
        <w:jc w:val="both"/>
        <w:rPr>
          <w:rFonts w:eastAsia="宋体"/>
          <w:lang w:val="en-US"/>
        </w:rPr>
      </w:pPr>
      <w:r>
        <w:rPr>
          <w:rFonts w:eastAsia="宋体"/>
          <w:lang w:val="en-US"/>
        </w:rPr>
        <w:t>w</w:t>
      </w:r>
      <w:r w:rsidR="00D236F9">
        <w:rPr>
          <w:rFonts w:eastAsia="宋体"/>
          <w:lang w:val="en-US"/>
        </w:rPr>
        <w:t>here the subscript numbers correspond to the node number</w:t>
      </w:r>
      <w:r>
        <w:rPr>
          <w:rFonts w:eastAsia="宋体"/>
          <w:lang w:val="en-US"/>
        </w:rPr>
        <w:t>s</w:t>
      </w:r>
      <w:r w:rsidR="00D236F9">
        <w:rPr>
          <w:rFonts w:eastAsia="宋体"/>
          <w:lang w:val="en-US"/>
        </w:rPr>
        <w:t xml:space="preserve"> in Figure 1.</w:t>
      </w:r>
    </w:p>
    <w:p w14:paraId="238DCAC2" w14:textId="77777777" w:rsidR="00D236F9" w:rsidRDefault="00D236F9" w:rsidP="00A71750">
      <w:pPr>
        <w:jc w:val="both"/>
        <w:rPr>
          <w:rFonts w:eastAsia="宋体"/>
          <w:lang w:val="en-US"/>
        </w:rPr>
      </w:pPr>
    </w:p>
    <w:p w14:paraId="366B051C" w14:textId="6265EB0C" w:rsidR="00A71750" w:rsidRPr="00A71750" w:rsidRDefault="00A71750" w:rsidP="00A71750">
      <w:pPr>
        <w:jc w:val="both"/>
        <w:rPr>
          <w:rFonts w:eastAsia="宋体"/>
          <w:lang w:val="en-US"/>
        </w:rPr>
      </w:pPr>
      <w:r w:rsidRPr="00A71750">
        <w:rPr>
          <w:rFonts w:eastAsia="宋体"/>
          <w:lang w:val="en-US"/>
        </w:rPr>
        <w:t>The ideal selectivity of the CEM for K</w:t>
      </w:r>
      <w:r w:rsidRPr="00A71750">
        <w:rPr>
          <w:rFonts w:eastAsia="宋体"/>
          <w:vertAlign w:val="superscript"/>
          <w:lang w:val="en-US"/>
        </w:rPr>
        <w:t>+</w:t>
      </w:r>
      <w:r w:rsidRPr="00A71750">
        <w:rPr>
          <w:rFonts w:eastAsia="宋体"/>
          <w:lang w:val="en-US"/>
        </w:rPr>
        <w:t xml:space="preserve"> ions is typically not achieved, </w:t>
      </w:r>
      <w:r w:rsidR="00396FDD">
        <w:rPr>
          <w:rFonts w:eastAsia="宋体"/>
          <w:lang w:val="en-US"/>
        </w:rPr>
        <w:t>as</w:t>
      </w:r>
      <w:r w:rsidR="00396FDD" w:rsidRPr="00A71750">
        <w:rPr>
          <w:rFonts w:eastAsia="宋体"/>
          <w:lang w:val="en-US"/>
        </w:rPr>
        <w:t xml:space="preserve"> </w:t>
      </w:r>
      <w:r w:rsidRPr="00A71750">
        <w:rPr>
          <w:rFonts w:eastAsia="宋体"/>
          <w:lang w:val="en-US"/>
        </w:rPr>
        <w:t>there could be the crossovers of H</w:t>
      </w:r>
      <w:r w:rsidRPr="00A71750">
        <w:rPr>
          <w:rFonts w:eastAsia="宋体"/>
          <w:vertAlign w:val="superscript"/>
          <w:lang w:val="en-US"/>
        </w:rPr>
        <w:t>+</w:t>
      </w:r>
      <w:r w:rsidRPr="00A71750">
        <w:rPr>
          <w:rFonts w:eastAsia="宋体"/>
          <w:lang w:val="en-US"/>
        </w:rPr>
        <w:t xml:space="preserve"> and OH</w:t>
      </w:r>
      <w:r w:rsidRPr="00A71750">
        <w:rPr>
          <w:rFonts w:eastAsia="宋体"/>
          <w:vertAlign w:val="superscript"/>
          <w:lang w:val="en-US"/>
        </w:rPr>
        <w:t>-</w:t>
      </w:r>
      <w:r w:rsidRPr="00A71750">
        <w:rPr>
          <w:rFonts w:eastAsia="宋体"/>
          <w:lang w:val="en-US"/>
        </w:rPr>
        <w:t xml:space="preserve"> ions. However, the crossovers of CO</w:t>
      </w:r>
      <w:r w:rsidRPr="00A71750">
        <w:rPr>
          <w:rFonts w:eastAsia="宋体"/>
          <w:vertAlign w:val="subscript"/>
          <w:lang w:val="en-US"/>
        </w:rPr>
        <w:t>3</w:t>
      </w:r>
      <w:r w:rsidRPr="00A71750">
        <w:rPr>
          <w:rFonts w:eastAsia="宋体"/>
          <w:vertAlign w:val="superscript"/>
          <w:lang w:val="en-US"/>
        </w:rPr>
        <w:t>2-</w:t>
      </w:r>
      <w:r w:rsidRPr="00A71750">
        <w:rPr>
          <w:rFonts w:eastAsia="宋体"/>
          <w:lang w:val="en-US"/>
        </w:rPr>
        <w:t xml:space="preserve"> and HCO</w:t>
      </w:r>
      <w:r w:rsidRPr="00A71750">
        <w:rPr>
          <w:rFonts w:eastAsia="宋体"/>
          <w:vertAlign w:val="subscript"/>
          <w:lang w:val="en-US"/>
        </w:rPr>
        <w:t>3</w:t>
      </w:r>
      <w:r w:rsidRPr="00A71750">
        <w:rPr>
          <w:rFonts w:eastAsia="宋体"/>
          <w:vertAlign w:val="superscript"/>
          <w:lang w:val="en-US"/>
        </w:rPr>
        <w:t>-</w:t>
      </w:r>
      <w:r w:rsidRPr="00A71750">
        <w:rPr>
          <w:rFonts w:eastAsia="宋体"/>
          <w:lang w:val="en-US"/>
        </w:rPr>
        <w:t xml:space="preserve"> ions are disregarded due to their significantly lower concentrations compared to OH</w:t>
      </w:r>
      <w:r w:rsidRPr="00A71750">
        <w:rPr>
          <w:rFonts w:eastAsia="宋体"/>
          <w:vertAlign w:val="superscript"/>
          <w:lang w:val="en-US"/>
        </w:rPr>
        <w:t>-</w:t>
      </w:r>
      <w:r w:rsidRPr="00A71750">
        <w:rPr>
          <w:rFonts w:eastAsia="宋体"/>
          <w:lang w:val="en-US"/>
        </w:rPr>
        <w:t xml:space="preserve"> ions. </w:t>
      </w:r>
      <w:r w:rsidRPr="00A71750">
        <w:rPr>
          <w:rFonts w:eastAsia="宋体"/>
          <w:lang w:val="en-US"/>
        </w:rPr>
        <w:lastRenderedPageBreak/>
        <w:t>Essentially, competitive transport is acknowledged to exist among K</w:t>
      </w:r>
      <w:r w:rsidRPr="00A71750">
        <w:rPr>
          <w:rFonts w:eastAsia="宋体"/>
          <w:vertAlign w:val="superscript"/>
          <w:lang w:val="en-US"/>
        </w:rPr>
        <w:t>+</w:t>
      </w:r>
      <w:r w:rsidRPr="00A71750">
        <w:rPr>
          <w:rFonts w:eastAsia="宋体"/>
          <w:lang w:val="en-US"/>
        </w:rPr>
        <w:t>, H</w:t>
      </w:r>
      <w:r w:rsidRPr="00A71750">
        <w:rPr>
          <w:rFonts w:eastAsia="宋体"/>
          <w:vertAlign w:val="superscript"/>
          <w:lang w:val="en-US"/>
        </w:rPr>
        <w:t>+</w:t>
      </w:r>
      <w:r w:rsidRPr="00A71750">
        <w:rPr>
          <w:rFonts w:eastAsia="宋体"/>
          <w:lang w:val="en-US"/>
        </w:rPr>
        <w:t>, and OH</w:t>
      </w:r>
      <w:r w:rsidRPr="00A71750">
        <w:rPr>
          <w:rFonts w:eastAsia="宋体"/>
          <w:vertAlign w:val="superscript"/>
          <w:lang w:val="en-US"/>
        </w:rPr>
        <w:t>-</w:t>
      </w:r>
      <w:r w:rsidRPr="00A71750">
        <w:rPr>
          <w:rFonts w:eastAsia="宋体"/>
          <w:lang w:val="en-US"/>
        </w:rPr>
        <w:t xml:space="preserve"> ions in the CEM. To characterize and assess this phenomenon's impact, the K</w:t>
      </w:r>
      <w:r w:rsidRPr="00A71750">
        <w:rPr>
          <w:rFonts w:eastAsia="宋体"/>
          <w:vertAlign w:val="superscript"/>
          <w:lang w:val="en-US"/>
        </w:rPr>
        <w:t>+</w:t>
      </w:r>
      <w:r w:rsidRPr="00A71750">
        <w:rPr>
          <w:rFonts w:eastAsia="宋体"/>
          <w:lang w:val="en-US"/>
        </w:rPr>
        <w:t xml:space="preserve"> transport efficiency is defined as:</w:t>
      </w:r>
    </w:p>
    <w:tbl>
      <w:tblPr>
        <w:tblW w:w="7087" w:type="dxa"/>
        <w:tblLook w:val="04A0" w:firstRow="1" w:lastRow="0" w:firstColumn="1" w:lastColumn="0" w:noHBand="0" w:noVBand="1"/>
      </w:tblPr>
      <w:tblGrid>
        <w:gridCol w:w="6129"/>
        <w:gridCol w:w="958"/>
      </w:tblGrid>
      <w:tr w:rsidR="00A71750" w:rsidRPr="00A71750" w14:paraId="1A2EE85E" w14:textId="77777777" w:rsidTr="00642962">
        <w:tc>
          <w:tcPr>
            <w:tcW w:w="6129" w:type="dxa"/>
            <w:shd w:val="clear" w:color="auto" w:fill="auto"/>
            <w:vAlign w:val="center"/>
          </w:tcPr>
          <w:bookmarkStart w:id="4" w:name="_Hlk152104307"/>
          <w:p w14:paraId="42AFCFE6" w14:textId="77777777" w:rsidR="00A71750" w:rsidRPr="00A71750" w:rsidRDefault="00A71750" w:rsidP="00A71750">
            <w:pPr>
              <w:spacing w:before="120" w:after="120" w:line="264" w:lineRule="auto"/>
              <w:jc w:val="both"/>
              <w:rPr>
                <w:rFonts w:eastAsia="宋体"/>
              </w:rPr>
            </w:pPr>
            <w:r w:rsidRPr="00A71750">
              <w:rPr>
                <w:rFonts w:eastAsia="宋体"/>
                <w:position w:val="-30"/>
              </w:rPr>
              <w:object w:dxaOrig="1620" w:dyaOrig="720" w14:anchorId="764359EB">
                <v:shape id="_x0000_i1029" type="#_x0000_t75" style="width:64.55pt;height:30.15pt" o:ole="">
                  <v:imagedata r:id="rId17" o:title=""/>
                </v:shape>
                <o:OLEObject Type="Embed" ProgID="Equation.DSMT4" ShapeID="_x0000_i1029" DrawAspect="Content" ObjectID="_1765353121" r:id="rId18"/>
              </w:object>
            </w:r>
          </w:p>
        </w:tc>
        <w:tc>
          <w:tcPr>
            <w:tcW w:w="958" w:type="dxa"/>
            <w:shd w:val="clear" w:color="auto" w:fill="auto"/>
            <w:vAlign w:val="center"/>
          </w:tcPr>
          <w:p w14:paraId="6DC78464" w14:textId="700AD527" w:rsidR="00A71750" w:rsidRPr="00A71750" w:rsidRDefault="00A71750" w:rsidP="00A71750">
            <w:pPr>
              <w:spacing w:before="120" w:after="120" w:line="264" w:lineRule="auto"/>
              <w:jc w:val="right"/>
              <w:rPr>
                <w:rFonts w:eastAsia="宋体"/>
              </w:rPr>
            </w:pPr>
            <w:r w:rsidRPr="00A71750">
              <w:rPr>
                <w:rFonts w:eastAsia="宋体"/>
              </w:rPr>
              <w:t>(</w:t>
            </w:r>
            <w:r w:rsidR="00AF0DF4">
              <w:rPr>
                <w:rFonts w:eastAsia="宋体"/>
              </w:rPr>
              <w:t>5</w:t>
            </w:r>
            <w:r w:rsidRPr="00A71750">
              <w:rPr>
                <w:rFonts w:eastAsia="宋体"/>
              </w:rPr>
              <w:t>)</w:t>
            </w:r>
          </w:p>
        </w:tc>
      </w:tr>
    </w:tbl>
    <w:bookmarkEnd w:id="4"/>
    <w:p w14:paraId="14951154" w14:textId="6E8E3C41" w:rsidR="00A71750" w:rsidRDefault="00A71750" w:rsidP="00A71750">
      <w:pPr>
        <w:snapToGrid w:val="0"/>
        <w:jc w:val="both"/>
        <w:rPr>
          <w:rFonts w:eastAsia="宋体"/>
          <w:lang w:val="en-US"/>
        </w:rPr>
      </w:pPr>
      <w:r w:rsidRPr="00A71750">
        <w:rPr>
          <w:rFonts w:eastAsia="宋体"/>
          <w:lang w:val="en-US"/>
        </w:rPr>
        <w:t xml:space="preserve">where </w:t>
      </w:r>
      <w:r w:rsidR="009500B2" w:rsidRPr="00A71750">
        <w:rPr>
          <w:rFonts w:eastAsia="宋体"/>
          <w:position w:val="-14"/>
          <w:lang w:val="en-US"/>
        </w:rPr>
        <w:object w:dxaOrig="380" w:dyaOrig="380" w14:anchorId="10DD719A">
          <v:shape id="_x0000_i1030" type="#_x0000_t75" style="width:15.25pt;height:15.25pt" o:ole="">
            <v:imagedata r:id="rId19" o:title=""/>
          </v:shape>
          <o:OLEObject Type="Embed" ProgID="Equation.DSMT4" ShapeID="_x0000_i1030" DrawAspect="Content" ObjectID="_1765353122" r:id="rId20"/>
        </w:object>
      </w:r>
      <w:r w:rsidRPr="00A71750">
        <w:rPr>
          <w:rFonts w:eastAsia="宋体"/>
          <w:lang w:val="en-US"/>
        </w:rPr>
        <w:t xml:space="preserve"> is the flux of K</w:t>
      </w:r>
      <w:r w:rsidRPr="00A71750">
        <w:rPr>
          <w:rFonts w:eastAsia="宋体"/>
          <w:vertAlign w:val="superscript"/>
          <w:lang w:val="en-US"/>
        </w:rPr>
        <w:t>+</w:t>
      </w:r>
      <w:r w:rsidRPr="00A71750">
        <w:rPr>
          <w:rFonts w:eastAsia="宋体"/>
          <w:lang w:val="en-US"/>
        </w:rPr>
        <w:t xml:space="preserve"> ions crossing through CEM, </w:t>
      </w:r>
      <w:r w:rsidR="009500B2" w:rsidRPr="00A71750">
        <w:rPr>
          <w:rFonts w:eastAsia="宋体"/>
          <w:position w:val="-12"/>
          <w:lang w:val="en-US"/>
        </w:rPr>
        <w:object w:dxaOrig="340" w:dyaOrig="360" w14:anchorId="1A5BE3B6">
          <v:shape id="_x0000_i1031" type="#_x0000_t75" style="width:16.05pt;height:16.45pt" o:ole="">
            <v:imagedata r:id="rId21" o:title=""/>
          </v:shape>
          <o:OLEObject Type="Embed" ProgID="Equation.DSMT4" ShapeID="_x0000_i1031" DrawAspect="Content" ObjectID="_1765353123" r:id="rId22"/>
        </w:object>
      </w:r>
      <w:r w:rsidRPr="00A71750">
        <w:rPr>
          <w:rFonts w:eastAsia="宋体"/>
          <w:lang w:val="en-US"/>
        </w:rPr>
        <w:t xml:space="preserve"> is the overall flux of transported ions,  </w:t>
      </w:r>
      <w:r w:rsidR="009500B2" w:rsidRPr="00A71750">
        <w:rPr>
          <w:rFonts w:eastAsia="宋体"/>
          <w:position w:val="-4"/>
          <w:lang w:val="en-US"/>
        </w:rPr>
        <w:object w:dxaOrig="260" w:dyaOrig="260" w14:anchorId="523B6A86">
          <v:shape id="_x0000_i1032" type="#_x0000_t75" style="width:11.35pt;height:11.35pt" o:ole="">
            <v:imagedata r:id="rId23" o:title=""/>
          </v:shape>
          <o:OLEObject Type="Embed" ProgID="Equation.DSMT4" ShapeID="_x0000_i1032" DrawAspect="Content" ObjectID="_1765353124" r:id="rId24"/>
        </w:object>
      </w:r>
      <w:r w:rsidRPr="00A71750">
        <w:rPr>
          <w:rFonts w:eastAsia="宋体"/>
          <w:lang w:val="en-US"/>
        </w:rPr>
        <w:t xml:space="preserve"> is Faraday’s constant, </w:t>
      </w:r>
      <w:r w:rsidR="009500B2" w:rsidRPr="00A71750">
        <w:rPr>
          <w:rFonts w:eastAsia="宋体"/>
          <w:position w:val="-4"/>
          <w:lang w:val="en-US"/>
        </w:rPr>
        <w:object w:dxaOrig="200" w:dyaOrig="260" w14:anchorId="4C72735E">
          <v:shape id="_x0000_i1033" type="#_x0000_t75" style="width:8.2pt;height:11.35pt" o:ole="">
            <v:imagedata r:id="rId25" o:title=""/>
          </v:shape>
          <o:OLEObject Type="Embed" ProgID="Equation.DSMT4" ShapeID="_x0000_i1033" DrawAspect="Content" ObjectID="_1765353125" r:id="rId26"/>
        </w:object>
      </w:r>
      <w:r w:rsidRPr="00A71750">
        <w:rPr>
          <w:rFonts w:eastAsia="宋体"/>
          <w:lang w:val="en-US"/>
        </w:rPr>
        <w:t xml:space="preserve"> is the applied </w:t>
      </w:r>
      <w:proofErr w:type="gramStart"/>
      <w:r w:rsidRPr="00A71750">
        <w:rPr>
          <w:rFonts w:eastAsia="宋体"/>
          <w:lang w:val="en-US"/>
        </w:rPr>
        <w:t>current.</w:t>
      </w:r>
      <w:proofErr w:type="gramEnd"/>
      <w:r w:rsidR="00756C64">
        <w:rPr>
          <w:rFonts w:eastAsia="宋体"/>
          <w:lang w:val="en-US"/>
        </w:rPr>
        <w:t xml:space="preserve"> </w:t>
      </w:r>
      <w:r w:rsidR="00771796">
        <w:rPr>
          <w:rFonts w:eastAsia="宋体"/>
          <w:lang w:val="en-US"/>
        </w:rPr>
        <w:t xml:space="preserve">According to Gao et al.’s </w:t>
      </w:r>
      <w:r w:rsidR="00723171">
        <w:rPr>
          <w:rFonts w:eastAsia="宋体"/>
          <w:lang w:val="en-US"/>
        </w:rPr>
        <w:t xml:space="preserve">(2022) </w:t>
      </w:r>
      <w:r w:rsidR="00771796">
        <w:rPr>
          <w:rFonts w:eastAsia="宋体"/>
          <w:lang w:val="en-US"/>
        </w:rPr>
        <w:t xml:space="preserve">experimental </w:t>
      </w:r>
      <w:r w:rsidR="00FF39BA">
        <w:rPr>
          <w:rFonts w:eastAsia="宋体"/>
          <w:lang w:val="en-US"/>
        </w:rPr>
        <w:t xml:space="preserve">study on </w:t>
      </w:r>
      <w:r w:rsidR="002F1668">
        <w:rPr>
          <w:rFonts w:eastAsia="宋体"/>
          <w:lang w:val="en-US"/>
        </w:rPr>
        <w:t>an</w:t>
      </w:r>
      <w:r w:rsidR="009500B2">
        <w:rPr>
          <w:rFonts w:eastAsia="宋体"/>
          <w:lang w:val="en-US"/>
        </w:rPr>
        <w:t xml:space="preserve"> </w:t>
      </w:r>
      <w:r w:rsidR="00FF39BA">
        <w:rPr>
          <w:rFonts w:eastAsia="宋体"/>
          <w:lang w:val="en-US"/>
        </w:rPr>
        <w:t>electrolysis system, a</w:t>
      </w:r>
      <w:r w:rsidR="009500B2">
        <w:rPr>
          <w:rFonts w:eastAsia="宋体"/>
          <w:lang w:val="en-US"/>
        </w:rPr>
        <w:t xml:space="preserve"> </w:t>
      </w:r>
      <w:r w:rsidR="009500B2" w:rsidRPr="009500B2">
        <w:rPr>
          <w:rFonts w:eastAsia="宋体"/>
          <w:lang w:val="en-US"/>
        </w:rPr>
        <w:t>linear fitting equation</w:t>
      </w:r>
      <w:r w:rsidR="009500B2">
        <w:rPr>
          <w:rFonts w:eastAsia="宋体"/>
          <w:lang w:val="en-US"/>
        </w:rPr>
        <w:t xml:space="preserve"> </w:t>
      </w:r>
      <w:r w:rsidR="009836CE">
        <w:rPr>
          <w:rFonts w:eastAsia="宋体"/>
          <w:lang w:val="en-US"/>
        </w:rPr>
        <w:t>was</w:t>
      </w:r>
      <w:r w:rsidR="009500B2">
        <w:rPr>
          <w:rFonts w:eastAsia="宋体"/>
          <w:lang w:val="en-US"/>
        </w:rPr>
        <w:t xml:space="preserve"> obtained to predict the </w:t>
      </w:r>
      <w:bookmarkStart w:id="5" w:name="_Hlk152104655"/>
      <w:r w:rsidR="009500B2">
        <w:rPr>
          <w:rFonts w:eastAsia="宋体"/>
          <w:lang w:val="en-US"/>
        </w:rPr>
        <w:t>K</w:t>
      </w:r>
      <w:r w:rsidR="009500B2" w:rsidRPr="009500B2">
        <w:rPr>
          <w:rFonts w:eastAsia="宋体"/>
          <w:vertAlign w:val="superscript"/>
          <w:lang w:val="en-US"/>
        </w:rPr>
        <w:t>+</w:t>
      </w:r>
      <w:r w:rsidR="009500B2">
        <w:rPr>
          <w:rFonts w:eastAsia="宋体"/>
          <w:lang w:val="en-US"/>
        </w:rPr>
        <w:t xml:space="preserve"> transport efficiency</w:t>
      </w:r>
      <w:bookmarkEnd w:id="5"/>
      <w:r w:rsidR="009500B2">
        <w:rPr>
          <w:rFonts w:eastAsia="宋体"/>
          <w:lang w:val="en-US"/>
        </w:rPr>
        <w:t>:</w:t>
      </w:r>
    </w:p>
    <w:tbl>
      <w:tblPr>
        <w:tblW w:w="7087" w:type="dxa"/>
        <w:tblLook w:val="04A0" w:firstRow="1" w:lastRow="0" w:firstColumn="1" w:lastColumn="0" w:noHBand="0" w:noVBand="1"/>
      </w:tblPr>
      <w:tblGrid>
        <w:gridCol w:w="6129"/>
        <w:gridCol w:w="958"/>
      </w:tblGrid>
      <w:tr w:rsidR="00835A2F" w:rsidRPr="00A71750" w14:paraId="4EAFAF44" w14:textId="77777777" w:rsidTr="00642962">
        <w:tc>
          <w:tcPr>
            <w:tcW w:w="6129" w:type="dxa"/>
            <w:shd w:val="clear" w:color="auto" w:fill="auto"/>
            <w:vAlign w:val="center"/>
          </w:tcPr>
          <w:p w14:paraId="20E1125C" w14:textId="6EDFA3DF" w:rsidR="00835A2F" w:rsidRPr="00A71750" w:rsidRDefault="002B10B3" w:rsidP="00642962">
            <w:pPr>
              <w:spacing w:before="120" w:after="120" w:line="264" w:lineRule="auto"/>
              <w:jc w:val="both"/>
              <w:rPr>
                <w:rFonts w:eastAsia="宋体"/>
              </w:rPr>
            </w:pPr>
            <w:r w:rsidRPr="002B10B3">
              <w:rPr>
                <w:rFonts w:eastAsia="宋体"/>
                <w:position w:val="-14"/>
              </w:rPr>
              <w:object w:dxaOrig="6420" w:dyaOrig="400" w14:anchorId="2B637089">
                <v:shape id="_x0000_i1034" type="#_x0000_t75" style="width:256.3pt;height:16.45pt" o:ole="">
                  <v:imagedata r:id="rId27" o:title=""/>
                </v:shape>
                <o:OLEObject Type="Embed" ProgID="Equation.DSMT4" ShapeID="_x0000_i1034" DrawAspect="Content" ObjectID="_1765353126" r:id="rId28"/>
              </w:object>
            </w:r>
          </w:p>
        </w:tc>
        <w:tc>
          <w:tcPr>
            <w:tcW w:w="958" w:type="dxa"/>
            <w:shd w:val="clear" w:color="auto" w:fill="auto"/>
            <w:vAlign w:val="center"/>
          </w:tcPr>
          <w:p w14:paraId="758A1E0C" w14:textId="1BEBCF8B" w:rsidR="00835A2F" w:rsidRPr="00A71750" w:rsidRDefault="00835A2F" w:rsidP="00642962">
            <w:pPr>
              <w:spacing w:before="120" w:after="120" w:line="264" w:lineRule="auto"/>
              <w:jc w:val="right"/>
              <w:rPr>
                <w:rFonts w:eastAsia="宋体"/>
              </w:rPr>
            </w:pPr>
            <w:r w:rsidRPr="00A71750">
              <w:rPr>
                <w:rFonts w:eastAsia="宋体"/>
              </w:rPr>
              <w:t>(</w:t>
            </w:r>
            <w:r w:rsidR="00AF0DF4">
              <w:rPr>
                <w:rFonts w:eastAsia="宋体"/>
              </w:rPr>
              <w:t>6</w:t>
            </w:r>
            <w:r w:rsidRPr="00A71750">
              <w:rPr>
                <w:rFonts w:eastAsia="宋体"/>
              </w:rPr>
              <w:t>)</w:t>
            </w:r>
          </w:p>
        </w:tc>
      </w:tr>
      <w:tr w:rsidR="002B10B3" w:rsidRPr="00A71750" w14:paraId="2C73742C" w14:textId="77777777" w:rsidTr="00642962">
        <w:tc>
          <w:tcPr>
            <w:tcW w:w="6129" w:type="dxa"/>
            <w:shd w:val="clear" w:color="auto" w:fill="auto"/>
            <w:vAlign w:val="center"/>
          </w:tcPr>
          <w:p w14:paraId="057134D2" w14:textId="066DD802" w:rsidR="002B10B3" w:rsidRPr="00A71750" w:rsidRDefault="003070D3" w:rsidP="00642962">
            <w:pPr>
              <w:spacing w:before="120" w:after="120" w:line="264" w:lineRule="auto"/>
              <w:jc w:val="both"/>
              <w:rPr>
                <w:rFonts w:eastAsia="宋体"/>
              </w:rPr>
            </w:pPr>
            <w:r w:rsidRPr="003070D3">
              <w:rPr>
                <w:rFonts w:eastAsia="等线"/>
                <w:kern w:val="2"/>
                <w:position w:val="-36"/>
                <w:sz w:val="24"/>
                <w:szCs w:val="24"/>
                <w:lang w:val="en-US" w:eastAsia="zh-CN"/>
              </w:rPr>
              <w:object w:dxaOrig="1380" w:dyaOrig="740" w14:anchorId="56285A52">
                <v:shape id="_x0000_i1035" type="#_x0000_t75" style="width:52.45pt;height:30.15pt" o:ole="">
                  <v:imagedata r:id="rId29" o:title=""/>
                </v:shape>
                <o:OLEObject Type="Embed" ProgID="Equation.DSMT4" ShapeID="_x0000_i1035" DrawAspect="Content" ObjectID="_1765353127" r:id="rId30"/>
              </w:object>
            </w:r>
          </w:p>
        </w:tc>
        <w:tc>
          <w:tcPr>
            <w:tcW w:w="958" w:type="dxa"/>
            <w:shd w:val="clear" w:color="auto" w:fill="auto"/>
            <w:vAlign w:val="center"/>
          </w:tcPr>
          <w:p w14:paraId="63040652" w14:textId="6A2E1CE8" w:rsidR="002B10B3" w:rsidRPr="00A71750" w:rsidRDefault="003070D3" w:rsidP="00642962">
            <w:pPr>
              <w:spacing w:before="120" w:after="120" w:line="264" w:lineRule="auto"/>
              <w:jc w:val="right"/>
              <w:rPr>
                <w:rFonts w:eastAsia="宋体"/>
              </w:rPr>
            </w:pPr>
            <w:r>
              <w:rPr>
                <w:rFonts w:eastAsia="宋体"/>
              </w:rPr>
              <w:t>(</w:t>
            </w:r>
            <w:r w:rsidR="00AF0DF4">
              <w:rPr>
                <w:rFonts w:eastAsia="宋体"/>
              </w:rPr>
              <w:t>7</w:t>
            </w:r>
            <w:r>
              <w:rPr>
                <w:rFonts w:eastAsia="宋体"/>
              </w:rPr>
              <w:t>)</w:t>
            </w:r>
          </w:p>
        </w:tc>
      </w:tr>
    </w:tbl>
    <w:p w14:paraId="63838E82" w14:textId="7AF72125" w:rsidR="00835A2F" w:rsidRDefault="00041FA9" w:rsidP="00A71750">
      <w:pPr>
        <w:snapToGrid w:val="0"/>
        <w:jc w:val="both"/>
        <w:rPr>
          <w:rFonts w:eastAsia="宋体"/>
          <w:lang w:val="en-US"/>
        </w:rPr>
      </w:pPr>
      <w:r>
        <w:rPr>
          <w:rFonts w:eastAsia="宋体"/>
          <w:lang w:val="en-US"/>
        </w:rPr>
        <w:t xml:space="preserve">where </w:t>
      </w:r>
      <w:r w:rsidR="003A5D28" w:rsidRPr="00CB21E7">
        <w:rPr>
          <w:position w:val="-16"/>
        </w:rPr>
        <w:object w:dxaOrig="480" w:dyaOrig="400" w14:anchorId="52FDB054">
          <v:shape id="_x0000_i1036" type="#_x0000_t75" style="width:19.55pt;height:16.45pt" o:ole="">
            <v:imagedata r:id="rId31" o:title=""/>
          </v:shape>
          <o:OLEObject Type="Embed" ProgID="Equation.DSMT4" ShapeID="_x0000_i1036" DrawAspect="Content" ObjectID="_1765353128" r:id="rId32"/>
        </w:object>
      </w:r>
      <w:r w:rsidR="004405B7">
        <w:t xml:space="preserve"> is </w:t>
      </w:r>
      <w:r w:rsidR="003957BD">
        <w:t>K</w:t>
      </w:r>
      <w:r w:rsidR="003957BD" w:rsidRPr="003A5D28">
        <w:rPr>
          <w:vertAlign w:val="superscript"/>
        </w:rPr>
        <w:t>+</w:t>
      </w:r>
      <w:r w:rsidR="003957BD">
        <w:t xml:space="preserve"> ion concentration at the inlet of acidic compartment, and</w:t>
      </w:r>
      <w:r w:rsidR="003A5D28">
        <w:t xml:space="preserve"> </w:t>
      </w:r>
      <w:r w:rsidR="003A5D28" w:rsidRPr="00CB21E7">
        <w:rPr>
          <w:position w:val="-10"/>
        </w:rPr>
        <w:object w:dxaOrig="240" w:dyaOrig="320" w14:anchorId="649EEB02">
          <v:shape id="_x0000_i1037" type="#_x0000_t75" style="width:10.15pt;height:13.3pt" o:ole="">
            <v:imagedata r:id="rId33" o:title=""/>
          </v:shape>
          <o:OLEObject Type="Embed" ProgID="Equation.DSMT4" ShapeID="_x0000_i1037" DrawAspect="Content" ObjectID="_1765353129" r:id="rId34"/>
        </w:object>
      </w:r>
      <w:r w:rsidR="003A5D28">
        <w:t xml:space="preserve"> is the solution flowrate.</w:t>
      </w:r>
      <w:r w:rsidR="00906744">
        <w:t xml:space="preserve"> When </w:t>
      </w:r>
      <w:r w:rsidR="000C4F12" w:rsidRPr="00CB21E7">
        <w:rPr>
          <w:position w:val="-14"/>
        </w:rPr>
        <w:object w:dxaOrig="499" w:dyaOrig="380" w14:anchorId="28D7E4F7">
          <v:shape id="_x0000_i1038" type="#_x0000_t75" style="width:22.3pt;height:16.45pt" o:ole="">
            <v:imagedata r:id="rId35" o:title=""/>
          </v:shape>
          <o:OLEObject Type="Embed" ProgID="Equation.DSMT4" ShapeID="_x0000_i1038" DrawAspect="Content" ObjectID="_1765353130" r:id="rId36"/>
        </w:object>
      </w:r>
      <w:r w:rsidR="006C2198">
        <w:t xml:space="preserve"> is equal to or below </w:t>
      </w:r>
      <w:r w:rsidR="009D617F">
        <w:t>671 A min mol</w:t>
      </w:r>
      <w:r w:rsidR="009D617F" w:rsidRPr="009D617F">
        <w:rPr>
          <w:vertAlign w:val="superscript"/>
        </w:rPr>
        <w:t>-1</w:t>
      </w:r>
      <w:r w:rsidR="009D617F">
        <w:t xml:space="preserve">, the </w:t>
      </w:r>
      <w:r w:rsidR="009D617F">
        <w:rPr>
          <w:rFonts w:eastAsia="宋体"/>
          <w:lang w:val="en-US"/>
        </w:rPr>
        <w:t>K</w:t>
      </w:r>
      <w:r w:rsidR="009D617F" w:rsidRPr="009500B2">
        <w:rPr>
          <w:rFonts w:eastAsia="宋体"/>
          <w:vertAlign w:val="superscript"/>
          <w:lang w:val="en-US"/>
        </w:rPr>
        <w:t>+</w:t>
      </w:r>
      <w:r w:rsidR="009D617F">
        <w:rPr>
          <w:rFonts w:eastAsia="宋体"/>
          <w:lang w:val="en-US"/>
        </w:rPr>
        <w:t xml:space="preserve"> transport efficiency is </w:t>
      </w:r>
      <w:r w:rsidR="000C4F12">
        <w:rPr>
          <w:rFonts w:eastAsia="宋体"/>
          <w:lang w:val="en-US"/>
        </w:rPr>
        <w:t xml:space="preserve">predicted </w:t>
      </w:r>
      <w:r w:rsidR="00996907">
        <w:rPr>
          <w:rFonts w:eastAsia="宋体"/>
          <w:lang w:val="en-US"/>
        </w:rPr>
        <w:t>to be</w:t>
      </w:r>
      <w:r w:rsidR="000C4F12">
        <w:rPr>
          <w:rFonts w:eastAsia="宋体"/>
          <w:lang w:val="en-US"/>
        </w:rPr>
        <w:t xml:space="preserve"> </w:t>
      </w:r>
      <w:r w:rsidR="009D617F">
        <w:rPr>
          <w:rFonts w:eastAsia="宋体"/>
          <w:lang w:val="en-US"/>
        </w:rPr>
        <w:t>1.</w:t>
      </w:r>
    </w:p>
    <w:p w14:paraId="77CBCE7D" w14:textId="77777777" w:rsidR="00835A2F" w:rsidRDefault="00835A2F" w:rsidP="00A71750">
      <w:pPr>
        <w:snapToGrid w:val="0"/>
        <w:jc w:val="both"/>
        <w:rPr>
          <w:rFonts w:eastAsia="宋体"/>
          <w:lang w:val="en-US"/>
        </w:rPr>
      </w:pPr>
    </w:p>
    <w:p w14:paraId="6084F4B5" w14:textId="373A5FD9" w:rsidR="001B1201" w:rsidRDefault="001B1201" w:rsidP="00A71750">
      <w:pPr>
        <w:snapToGrid w:val="0"/>
        <w:jc w:val="both"/>
        <w:rPr>
          <w:rFonts w:eastAsia="宋体"/>
          <w:lang w:val="en-US"/>
        </w:rPr>
      </w:pPr>
      <w:r>
        <w:rPr>
          <w:rFonts w:eastAsia="宋体"/>
          <w:lang w:val="en-US"/>
        </w:rPr>
        <w:t xml:space="preserve">To </w:t>
      </w:r>
      <w:r w:rsidR="009F20E0">
        <w:rPr>
          <w:rFonts w:eastAsia="宋体"/>
          <w:lang w:val="en-US"/>
        </w:rPr>
        <w:t>calculate</w:t>
      </w:r>
      <w:r w:rsidR="004360FA">
        <w:rPr>
          <w:rFonts w:eastAsia="宋体"/>
          <w:lang w:val="en-US"/>
        </w:rPr>
        <w:t xml:space="preserve"> the </w:t>
      </w:r>
      <w:r w:rsidR="009F20E0">
        <w:rPr>
          <w:rFonts w:eastAsia="宋体"/>
          <w:lang w:val="en-US"/>
        </w:rPr>
        <w:t xml:space="preserve">electrical energy consumed by the cells, </w:t>
      </w:r>
      <w:r w:rsidR="00D57EC2">
        <w:rPr>
          <w:rFonts w:eastAsia="宋体"/>
          <w:lang w:val="en-US"/>
        </w:rPr>
        <w:t>t</w:t>
      </w:r>
      <w:r w:rsidR="00D57EC2" w:rsidRPr="00D57EC2">
        <w:rPr>
          <w:rFonts w:eastAsia="宋体"/>
          <w:lang w:val="en-US"/>
        </w:rPr>
        <w:t>he electric potential</w:t>
      </w:r>
      <w:r w:rsidR="00D57EC2">
        <w:rPr>
          <w:rFonts w:eastAsia="宋体"/>
          <w:lang w:val="en-US"/>
        </w:rPr>
        <w:t>s</w:t>
      </w:r>
      <w:r w:rsidR="00D57EC2" w:rsidRPr="00D57EC2">
        <w:rPr>
          <w:rFonts w:eastAsia="宋体"/>
          <w:lang w:val="en-US"/>
        </w:rPr>
        <w:t xml:space="preserve"> of an electrolysis cell </w:t>
      </w:r>
      <w:r w:rsidR="00D57EC2">
        <w:rPr>
          <w:rFonts w:eastAsia="宋体"/>
          <w:lang w:val="en-US"/>
        </w:rPr>
        <w:t>and an electrodialysis cell</w:t>
      </w:r>
      <w:r w:rsidR="00D57EC2" w:rsidRPr="00D57EC2">
        <w:rPr>
          <w:rFonts w:eastAsia="宋体"/>
          <w:lang w:val="en-US"/>
        </w:rPr>
        <w:t xml:space="preserve"> </w:t>
      </w:r>
      <w:r w:rsidR="00D57EC2">
        <w:rPr>
          <w:rFonts w:eastAsia="宋体"/>
          <w:lang w:val="en-US"/>
        </w:rPr>
        <w:t>are</w:t>
      </w:r>
      <w:r w:rsidR="00D57EC2" w:rsidRPr="00D57EC2">
        <w:rPr>
          <w:rFonts w:eastAsia="宋体"/>
          <w:lang w:val="en-US"/>
        </w:rPr>
        <w:t xml:space="preserve"> expressed as follows</w:t>
      </w:r>
      <w:r w:rsidR="00CA57CD">
        <w:rPr>
          <w:rFonts w:eastAsia="宋体"/>
          <w:lang w:val="en-US"/>
        </w:rPr>
        <w:t xml:space="preserve"> (</w:t>
      </w:r>
      <w:r w:rsidR="00CA57CD" w:rsidRPr="00CA57CD">
        <w:rPr>
          <w:rFonts w:eastAsia="宋体"/>
          <w:lang w:val="en-US"/>
        </w:rPr>
        <w:t>Sharifian et al., 2021</w:t>
      </w:r>
      <w:r w:rsidR="00CA57CD">
        <w:rPr>
          <w:rFonts w:eastAsia="宋体"/>
          <w:lang w:val="en-US"/>
        </w:rPr>
        <w:t>)</w:t>
      </w:r>
      <w:r w:rsidR="00D57EC2">
        <w:rPr>
          <w:rFonts w:eastAsia="宋体"/>
          <w:lang w:val="en-US"/>
        </w:rPr>
        <w:t>:</w:t>
      </w:r>
    </w:p>
    <w:tbl>
      <w:tblPr>
        <w:tblW w:w="7087" w:type="dxa"/>
        <w:tblLook w:val="04A0" w:firstRow="1" w:lastRow="0" w:firstColumn="1" w:lastColumn="0" w:noHBand="0" w:noVBand="1"/>
      </w:tblPr>
      <w:tblGrid>
        <w:gridCol w:w="6129"/>
        <w:gridCol w:w="958"/>
      </w:tblGrid>
      <w:tr w:rsidR="00D57EC2" w:rsidRPr="00A71750" w14:paraId="717271CF" w14:textId="77777777" w:rsidTr="00642962">
        <w:tc>
          <w:tcPr>
            <w:tcW w:w="6129" w:type="dxa"/>
            <w:shd w:val="clear" w:color="auto" w:fill="auto"/>
            <w:vAlign w:val="center"/>
          </w:tcPr>
          <w:p w14:paraId="43AA6CCC" w14:textId="31931B23" w:rsidR="00D57EC2" w:rsidRPr="00A71750" w:rsidRDefault="00EF51CA" w:rsidP="00642962">
            <w:pPr>
              <w:spacing w:before="120" w:after="120" w:line="264" w:lineRule="auto"/>
              <w:jc w:val="both"/>
              <w:rPr>
                <w:rFonts w:eastAsia="宋体"/>
              </w:rPr>
            </w:pPr>
            <w:r w:rsidRPr="005B6685">
              <w:rPr>
                <w:rFonts w:eastAsia="宋体"/>
                <w:position w:val="-14"/>
              </w:rPr>
              <w:object w:dxaOrig="3000" w:dyaOrig="380" w14:anchorId="0A18A257">
                <v:shape id="_x0000_i1039" type="#_x0000_t75" style="width:119.75pt;height:16.05pt" o:ole="">
                  <v:imagedata r:id="rId37" o:title=""/>
                </v:shape>
                <o:OLEObject Type="Embed" ProgID="Equation.DSMT4" ShapeID="_x0000_i1039" DrawAspect="Content" ObjectID="_1765353131" r:id="rId38"/>
              </w:object>
            </w:r>
          </w:p>
        </w:tc>
        <w:tc>
          <w:tcPr>
            <w:tcW w:w="958" w:type="dxa"/>
            <w:shd w:val="clear" w:color="auto" w:fill="auto"/>
            <w:vAlign w:val="center"/>
          </w:tcPr>
          <w:p w14:paraId="7C1CA1A7" w14:textId="5A61310B" w:rsidR="00D57EC2" w:rsidRPr="00A71750" w:rsidRDefault="00D57EC2" w:rsidP="00642962">
            <w:pPr>
              <w:spacing w:before="120" w:after="120" w:line="264" w:lineRule="auto"/>
              <w:jc w:val="right"/>
              <w:rPr>
                <w:rFonts w:eastAsia="宋体"/>
              </w:rPr>
            </w:pPr>
            <w:r w:rsidRPr="00A71750">
              <w:rPr>
                <w:rFonts w:eastAsia="宋体"/>
              </w:rPr>
              <w:t>(</w:t>
            </w:r>
            <w:r w:rsidR="00AF0DF4">
              <w:rPr>
                <w:rFonts w:eastAsia="宋体"/>
              </w:rPr>
              <w:t>8</w:t>
            </w:r>
            <w:r w:rsidRPr="00A71750">
              <w:rPr>
                <w:rFonts w:eastAsia="宋体"/>
              </w:rPr>
              <w:t>)</w:t>
            </w:r>
          </w:p>
        </w:tc>
      </w:tr>
      <w:tr w:rsidR="00D57EC2" w:rsidRPr="00A71750" w14:paraId="6AF539BD" w14:textId="77777777" w:rsidTr="00642962">
        <w:tc>
          <w:tcPr>
            <w:tcW w:w="6129" w:type="dxa"/>
            <w:shd w:val="clear" w:color="auto" w:fill="auto"/>
            <w:vAlign w:val="center"/>
          </w:tcPr>
          <w:p w14:paraId="4E851300" w14:textId="7C2B7145" w:rsidR="00D57EC2" w:rsidRPr="00A71750" w:rsidRDefault="003229E0" w:rsidP="00642962">
            <w:pPr>
              <w:spacing w:before="120" w:after="120" w:line="264" w:lineRule="auto"/>
              <w:jc w:val="both"/>
              <w:rPr>
                <w:rFonts w:eastAsia="宋体"/>
              </w:rPr>
            </w:pPr>
            <w:r w:rsidRPr="007068AD">
              <w:rPr>
                <w:rFonts w:eastAsia="宋体"/>
                <w:position w:val="-30"/>
                <w:lang w:val="en-US"/>
              </w:rPr>
              <w:object w:dxaOrig="3760" w:dyaOrig="680" w14:anchorId="6E18ACCF">
                <v:shape id="_x0000_i1040" type="#_x0000_t75" style="width:156.9pt;height:28.55pt" o:ole="">
                  <v:imagedata r:id="rId39" o:title=""/>
                </v:shape>
                <o:OLEObject Type="Embed" ProgID="Equation.DSMT4" ShapeID="_x0000_i1040" DrawAspect="Content" ObjectID="_1765353132" r:id="rId40"/>
              </w:object>
            </w:r>
          </w:p>
        </w:tc>
        <w:tc>
          <w:tcPr>
            <w:tcW w:w="958" w:type="dxa"/>
            <w:shd w:val="clear" w:color="auto" w:fill="auto"/>
            <w:vAlign w:val="center"/>
          </w:tcPr>
          <w:p w14:paraId="6236CA21" w14:textId="5F488293" w:rsidR="00D57EC2" w:rsidRPr="00A71750" w:rsidRDefault="00D57EC2" w:rsidP="00642962">
            <w:pPr>
              <w:spacing w:before="120" w:after="120" w:line="264" w:lineRule="auto"/>
              <w:jc w:val="right"/>
              <w:rPr>
                <w:rFonts w:eastAsia="宋体"/>
              </w:rPr>
            </w:pPr>
            <w:r w:rsidRPr="00A71750">
              <w:rPr>
                <w:rFonts w:eastAsia="宋体"/>
                <w:lang w:val="en-US"/>
              </w:rPr>
              <w:t>(</w:t>
            </w:r>
            <w:r w:rsidR="00AF0DF4">
              <w:rPr>
                <w:rFonts w:eastAsia="宋体"/>
                <w:lang w:val="en-US"/>
              </w:rPr>
              <w:t>9</w:t>
            </w:r>
            <w:r w:rsidRPr="00A71750">
              <w:rPr>
                <w:rFonts w:eastAsia="宋体"/>
                <w:lang w:val="en-US"/>
              </w:rPr>
              <w:t>)</w:t>
            </w:r>
          </w:p>
        </w:tc>
      </w:tr>
    </w:tbl>
    <w:p w14:paraId="01653468" w14:textId="1EC11593" w:rsidR="00744375" w:rsidRDefault="00A57A08" w:rsidP="00A71750">
      <w:pPr>
        <w:snapToGrid w:val="0"/>
        <w:jc w:val="both"/>
      </w:pPr>
      <w:r w:rsidRPr="00A57A08">
        <w:rPr>
          <w:rFonts w:eastAsia="宋体"/>
          <w:lang w:val="en-US"/>
        </w:rPr>
        <w:t xml:space="preserve">where </w:t>
      </w:r>
      <w:r w:rsidR="00AA4F10" w:rsidRPr="003229E0">
        <w:rPr>
          <w:position w:val="-12"/>
        </w:rPr>
        <w:object w:dxaOrig="420" w:dyaOrig="360" w14:anchorId="47397446">
          <v:shape id="_x0000_i1041" type="#_x0000_t75" style="width:18pt;height:16.05pt" o:ole="">
            <v:imagedata r:id="rId41" o:title=""/>
          </v:shape>
          <o:OLEObject Type="Embed" ProgID="Equation.DSMT4" ShapeID="_x0000_i1041" DrawAspect="Content" ObjectID="_1765353133" r:id="rId42"/>
        </w:object>
      </w:r>
      <w:r w:rsidRPr="00A57A08">
        <w:rPr>
          <w:rFonts w:eastAsia="宋体"/>
          <w:lang w:val="en-US"/>
        </w:rPr>
        <w:t xml:space="preserve">, </w:t>
      </w:r>
      <w:r w:rsidR="00AA4F10" w:rsidRPr="00CB21E7">
        <w:rPr>
          <w:position w:val="-12"/>
        </w:rPr>
        <w:object w:dxaOrig="300" w:dyaOrig="360" w14:anchorId="5122C365">
          <v:shape id="_x0000_i1042" type="#_x0000_t75" style="width:13.3pt;height:16.05pt" o:ole="">
            <v:imagedata r:id="rId43" o:title=""/>
          </v:shape>
          <o:OLEObject Type="Embed" ProgID="Equation.DSMT4" ShapeID="_x0000_i1042" DrawAspect="Content" ObjectID="_1765353134" r:id="rId44"/>
        </w:object>
      </w:r>
      <w:r w:rsidRPr="00A57A08">
        <w:rPr>
          <w:rFonts w:eastAsia="宋体"/>
          <w:lang w:val="en-US"/>
        </w:rPr>
        <w:t xml:space="preserve"> ,  </w:t>
      </w:r>
      <w:r w:rsidR="00AA4F10" w:rsidRPr="00CB21E7">
        <w:rPr>
          <w:position w:val="-12"/>
        </w:rPr>
        <w:object w:dxaOrig="300" w:dyaOrig="360" w14:anchorId="7BE6A565">
          <v:shape id="_x0000_i1043" type="#_x0000_t75" style="width:13.3pt;height:16.45pt" o:ole="">
            <v:imagedata r:id="rId45" o:title=""/>
          </v:shape>
          <o:OLEObject Type="Embed" ProgID="Equation.DSMT4" ShapeID="_x0000_i1043" DrawAspect="Content" ObjectID="_1765353135" r:id="rId46"/>
        </w:object>
      </w:r>
      <w:r w:rsidRPr="00A57A08">
        <w:rPr>
          <w:rFonts w:eastAsia="宋体"/>
          <w:lang w:val="en-US"/>
        </w:rPr>
        <w:t xml:space="preserve"> and </w:t>
      </w:r>
      <w:r w:rsidR="00AA4F10" w:rsidRPr="00CB21E7">
        <w:rPr>
          <w:position w:val="-12"/>
        </w:rPr>
        <w:object w:dxaOrig="480" w:dyaOrig="360" w14:anchorId="6C978F25">
          <v:shape id="_x0000_i1044" type="#_x0000_t75" style="width:21.15pt;height:16.05pt" o:ole="">
            <v:imagedata r:id="rId47" o:title=""/>
          </v:shape>
          <o:OLEObject Type="Embed" ProgID="Equation.DSMT4" ShapeID="_x0000_i1044" DrawAspect="Content" ObjectID="_1765353136" r:id="rId48"/>
        </w:object>
      </w:r>
      <w:r w:rsidRPr="00A57A08">
        <w:rPr>
          <w:rFonts w:eastAsia="宋体"/>
          <w:lang w:val="en-US"/>
        </w:rPr>
        <w:t xml:space="preserve"> are the reversible, anode activation, cathode activation and ohmic potentials</w:t>
      </w:r>
      <w:r w:rsidR="006741F0">
        <w:rPr>
          <w:rFonts w:eastAsia="宋体"/>
          <w:lang w:val="en-US"/>
        </w:rPr>
        <w:t xml:space="preserve">, and </w:t>
      </w:r>
      <w:r w:rsidR="007D11B2" w:rsidRPr="00CB21E7">
        <w:rPr>
          <w:position w:val="-10"/>
        </w:rPr>
        <w:object w:dxaOrig="540" w:dyaOrig="320" w14:anchorId="6E5884C5">
          <v:shape id="_x0000_i1045" type="#_x0000_t75" style="width:23.5pt;height:13.3pt" o:ole="">
            <v:imagedata r:id="rId49" o:title=""/>
          </v:shape>
          <o:OLEObject Type="Embed" ProgID="Equation.DSMT4" ShapeID="_x0000_i1045" DrawAspect="Content" ObjectID="_1765353137" r:id="rId50"/>
        </w:object>
      </w:r>
      <w:r w:rsidR="006741F0">
        <w:t xml:space="preserve"> is the </w:t>
      </w:r>
      <w:r w:rsidR="007D11B2">
        <w:t xml:space="preserve">solution </w:t>
      </w:r>
      <w:r w:rsidR="006741F0">
        <w:t>pH difference be</w:t>
      </w:r>
      <w:r w:rsidR="007D11B2">
        <w:t>tween the two compartments.</w:t>
      </w:r>
    </w:p>
    <w:p w14:paraId="70656817" w14:textId="77777777" w:rsidR="004C00D9" w:rsidRDefault="004C00D9" w:rsidP="00A71750">
      <w:pPr>
        <w:snapToGrid w:val="0"/>
        <w:jc w:val="both"/>
      </w:pPr>
    </w:p>
    <w:p w14:paraId="1FF896E2" w14:textId="77777777" w:rsidR="004C00D9" w:rsidRDefault="004C00D9" w:rsidP="004C00D9">
      <w:pPr>
        <w:jc w:val="both"/>
        <w:rPr>
          <w:rFonts w:eastAsia="宋体"/>
        </w:rPr>
      </w:pPr>
      <w:r w:rsidRPr="00A9699E">
        <w:rPr>
          <w:rFonts w:eastAsia="宋体"/>
        </w:rPr>
        <w:t xml:space="preserve">The foundational operational parameters </w:t>
      </w:r>
      <w:r>
        <w:rPr>
          <w:rFonts w:eastAsia="宋体"/>
        </w:rPr>
        <w:t xml:space="preserve">are </w:t>
      </w:r>
      <w:r w:rsidRPr="00A9699E">
        <w:rPr>
          <w:rFonts w:eastAsia="宋体"/>
        </w:rPr>
        <w:t xml:space="preserve">provided in Table </w:t>
      </w:r>
      <w:r>
        <w:rPr>
          <w:rFonts w:eastAsia="宋体"/>
        </w:rPr>
        <w:t>1</w:t>
      </w:r>
      <w:r w:rsidRPr="00A9699E">
        <w:rPr>
          <w:rFonts w:eastAsia="宋体"/>
        </w:rPr>
        <w:t>.</w:t>
      </w:r>
      <w:r>
        <w:rPr>
          <w:rFonts w:eastAsia="宋体"/>
        </w:rPr>
        <w:t xml:space="preserve"> </w:t>
      </w:r>
      <w:r w:rsidRPr="004C00D9">
        <w:rPr>
          <w:rFonts w:eastAsia="宋体"/>
        </w:rPr>
        <w:t>The systems are simulated and iterated, and the results are obtained when the systems reach a steady state</w:t>
      </w:r>
      <w:r>
        <w:rPr>
          <w:rFonts w:eastAsia="宋体"/>
        </w:rPr>
        <w:t>.</w:t>
      </w:r>
    </w:p>
    <w:p w14:paraId="0FB8D061" w14:textId="77777777" w:rsidR="00966AE7" w:rsidRDefault="00966AE7" w:rsidP="00A71750">
      <w:pPr>
        <w:snapToGrid w:val="0"/>
        <w:jc w:val="both"/>
      </w:pPr>
    </w:p>
    <w:p w14:paraId="60106CA8" w14:textId="77777777" w:rsidR="00966AE7" w:rsidRPr="00276326" w:rsidRDefault="00966AE7" w:rsidP="00966AE7">
      <w:pPr>
        <w:jc w:val="center"/>
        <w:rPr>
          <w:rFonts w:eastAsia="宋体"/>
          <w:lang w:val="en-US"/>
        </w:rPr>
      </w:pPr>
      <w:r w:rsidRPr="00276326">
        <w:rPr>
          <w:rFonts w:eastAsia="宋体"/>
          <w:lang w:val="en-US"/>
        </w:rPr>
        <w:t xml:space="preserve">Table </w:t>
      </w:r>
      <w:r w:rsidRPr="00276326">
        <w:rPr>
          <w:rFonts w:eastAsia="宋体"/>
          <w:lang w:val="en-US"/>
        </w:rPr>
        <w:fldChar w:fldCharType="begin"/>
      </w:r>
      <w:r w:rsidRPr="00276326">
        <w:rPr>
          <w:rFonts w:eastAsia="宋体"/>
          <w:lang w:val="en-US"/>
        </w:rPr>
        <w:instrText xml:space="preserve"> SEQ Table \* ARABIC </w:instrText>
      </w:r>
      <w:r w:rsidRPr="00276326">
        <w:rPr>
          <w:rFonts w:eastAsia="宋体"/>
          <w:lang w:val="en-US"/>
        </w:rPr>
        <w:fldChar w:fldCharType="separate"/>
      </w:r>
      <w:r w:rsidRPr="00276326">
        <w:rPr>
          <w:rFonts w:eastAsia="宋体"/>
          <w:lang w:val="en-US"/>
        </w:rPr>
        <w:t>1</w:t>
      </w:r>
      <w:r w:rsidRPr="00276326">
        <w:rPr>
          <w:rFonts w:eastAsia="宋体"/>
          <w:lang w:val="en-US"/>
        </w:rPr>
        <w:fldChar w:fldCharType="end"/>
      </w:r>
      <w:r w:rsidRPr="00276326">
        <w:rPr>
          <w:rFonts w:eastAsia="宋体"/>
          <w:lang w:val="en-US"/>
        </w:rPr>
        <w:t>: Parameters of electrolysis and electrodialysis systems</w:t>
      </w:r>
    </w:p>
    <w:tbl>
      <w:tblPr>
        <w:tblW w:w="6663" w:type="dxa"/>
        <w:jc w:val="center"/>
        <w:tblLook w:val="04A0" w:firstRow="1" w:lastRow="0" w:firstColumn="1" w:lastColumn="0" w:noHBand="0" w:noVBand="1"/>
      </w:tblPr>
      <w:tblGrid>
        <w:gridCol w:w="2694"/>
        <w:gridCol w:w="1842"/>
        <w:gridCol w:w="2127"/>
      </w:tblGrid>
      <w:tr w:rsidR="00966AE7" w:rsidRPr="00376EBC" w14:paraId="16C366C0" w14:textId="77777777" w:rsidTr="00642962">
        <w:trPr>
          <w:jc w:val="center"/>
        </w:trPr>
        <w:tc>
          <w:tcPr>
            <w:tcW w:w="2694" w:type="dxa"/>
            <w:tcBorders>
              <w:top w:val="single" w:sz="12" w:space="0" w:color="auto"/>
              <w:bottom w:val="single" w:sz="4" w:space="0" w:color="auto"/>
            </w:tcBorders>
          </w:tcPr>
          <w:p w14:paraId="7125566D" w14:textId="77777777" w:rsidR="00966AE7" w:rsidRPr="00376EBC" w:rsidRDefault="00966AE7" w:rsidP="00642962">
            <w:pPr>
              <w:jc w:val="both"/>
              <w:rPr>
                <w:rFonts w:eastAsia="宋体"/>
                <w:lang w:val="en-US"/>
              </w:rPr>
            </w:pPr>
            <w:bookmarkStart w:id="6" w:name="_Hlk141978028"/>
            <w:r w:rsidRPr="00376EBC">
              <w:rPr>
                <w:rFonts w:eastAsia="宋体"/>
                <w:lang w:val="en-US"/>
              </w:rPr>
              <w:t>Parameter</w:t>
            </w:r>
          </w:p>
        </w:tc>
        <w:tc>
          <w:tcPr>
            <w:tcW w:w="1842" w:type="dxa"/>
            <w:tcBorders>
              <w:top w:val="single" w:sz="12" w:space="0" w:color="auto"/>
              <w:bottom w:val="single" w:sz="4" w:space="0" w:color="auto"/>
            </w:tcBorders>
          </w:tcPr>
          <w:p w14:paraId="407174EE" w14:textId="77777777" w:rsidR="00966AE7" w:rsidRPr="00376EBC" w:rsidRDefault="00966AE7" w:rsidP="00642962">
            <w:pPr>
              <w:jc w:val="both"/>
              <w:rPr>
                <w:rFonts w:eastAsia="宋体"/>
                <w:lang w:val="en-US"/>
              </w:rPr>
            </w:pPr>
            <w:r w:rsidRPr="00376EBC">
              <w:rPr>
                <w:rFonts w:eastAsia="宋体"/>
                <w:lang w:val="en-US"/>
              </w:rPr>
              <w:t xml:space="preserve">Electrolysis system </w:t>
            </w:r>
            <w:r>
              <w:rPr>
                <w:rFonts w:eastAsia="宋体"/>
                <w:lang w:val="en-US"/>
              </w:rPr>
              <w:t>(Gao et al., 2022)</w:t>
            </w:r>
          </w:p>
        </w:tc>
        <w:tc>
          <w:tcPr>
            <w:tcW w:w="2127" w:type="dxa"/>
            <w:tcBorders>
              <w:top w:val="single" w:sz="12" w:space="0" w:color="auto"/>
              <w:bottom w:val="single" w:sz="4" w:space="0" w:color="auto"/>
            </w:tcBorders>
          </w:tcPr>
          <w:p w14:paraId="5B9FA680" w14:textId="77777777" w:rsidR="00966AE7" w:rsidRPr="00376EBC" w:rsidRDefault="00966AE7" w:rsidP="00642962">
            <w:pPr>
              <w:jc w:val="both"/>
              <w:rPr>
                <w:rFonts w:eastAsia="宋体"/>
                <w:lang w:val="en-US"/>
              </w:rPr>
            </w:pPr>
            <w:r w:rsidRPr="00376EBC">
              <w:rPr>
                <w:rFonts w:eastAsia="宋体"/>
                <w:lang w:val="en-US"/>
              </w:rPr>
              <w:t xml:space="preserve">Electrodialysis system </w:t>
            </w:r>
            <w:r>
              <w:rPr>
                <w:rFonts w:eastAsia="宋体"/>
                <w:lang w:val="en-US"/>
              </w:rPr>
              <w:t>(</w:t>
            </w:r>
            <w:r w:rsidRPr="00C85268">
              <w:rPr>
                <w:rFonts w:eastAsia="宋体"/>
                <w:lang w:val="en-US"/>
              </w:rPr>
              <w:t>Iizuka</w:t>
            </w:r>
            <w:r>
              <w:rPr>
                <w:rFonts w:eastAsia="宋体"/>
                <w:lang w:val="en-US"/>
              </w:rPr>
              <w:t xml:space="preserve"> et al., 2012)</w:t>
            </w:r>
          </w:p>
        </w:tc>
      </w:tr>
      <w:tr w:rsidR="00966AE7" w:rsidRPr="00376EBC" w14:paraId="17830A8A" w14:textId="77777777" w:rsidTr="00642962">
        <w:trPr>
          <w:jc w:val="center"/>
        </w:trPr>
        <w:tc>
          <w:tcPr>
            <w:tcW w:w="2694" w:type="dxa"/>
          </w:tcPr>
          <w:p w14:paraId="61499CF4" w14:textId="77777777" w:rsidR="00966AE7" w:rsidRPr="00376EBC" w:rsidRDefault="00966AE7" w:rsidP="00642962">
            <w:pPr>
              <w:jc w:val="both"/>
              <w:rPr>
                <w:rFonts w:eastAsia="宋体"/>
                <w:lang w:val="en-US"/>
              </w:rPr>
            </w:pPr>
            <w:r w:rsidRPr="00376EBC">
              <w:rPr>
                <w:rFonts w:eastAsia="宋体"/>
                <w:lang w:val="en-US"/>
              </w:rPr>
              <w:t>K</w:t>
            </w:r>
            <w:r w:rsidRPr="00376EBC">
              <w:rPr>
                <w:rFonts w:eastAsia="宋体"/>
                <w:vertAlign w:val="superscript"/>
                <w:lang w:val="en-US"/>
              </w:rPr>
              <w:t>+</w:t>
            </w:r>
            <w:r w:rsidRPr="00376EBC">
              <w:rPr>
                <w:rFonts w:eastAsia="宋体"/>
                <w:lang w:val="en-US"/>
              </w:rPr>
              <w:t xml:space="preserve"> concentration</w:t>
            </w:r>
          </w:p>
        </w:tc>
        <w:tc>
          <w:tcPr>
            <w:tcW w:w="1842" w:type="dxa"/>
          </w:tcPr>
          <w:p w14:paraId="6017283C" w14:textId="77777777" w:rsidR="00966AE7" w:rsidRPr="00376EBC" w:rsidRDefault="00966AE7" w:rsidP="00642962">
            <w:pPr>
              <w:jc w:val="both"/>
              <w:rPr>
                <w:rFonts w:eastAsia="宋体"/>
                <w:lang w:val="en-US"/>
              </w:rPr>
            </w:pPr>
            <w:r w:rsidRPr="00376EBC">
              <w:rPr>
                <w:rFonts w:eastAsia="宋体"/>
                <w:lang w:val="en-US"/>
              </w:rPr>
              <w:t>1.54 M</w:t>
            </w:r>
          </w:p>
        </w:tc>
        <w:tc>
          <w:tcPr>
            <w:tcW w:w="2127" w:type="dxa"/>
          </w:tcPr>
          <w:p w14:paraId="736F7FB4" w14:textId="77777777" w:rsidR="00966AE7" w:rsidRPr="00376EBC" w:rsidRDefault="00966AE7" w:rsidP="00642962">
            <w:pPr>
              <w:jc w:val="both"/>
              <w:rPr>
                <w:rFonts w:eastAsia="宋体"/>
                <w:lang w:val="en-US"/>
              </w:rPr>
            </w:pPr>
            <w:r w:rsidRPr="00376EBC">
              <w:rPr>
                <w:rFonts w:eastAsia="宋体"/>
                <w:lang w:val="en-US"/>
              </w:rPr>
              <w:t>1.54 M</w:t>
            </w:r>
          </w:p>
        </w:tc>
      </w:tr>
      <w:tr w:rsidR="00966AE7" w:rsidRPr="00376EBC" w14:paraId="7B0DAF44" w14:textId="77777777" w:rsidTr="00642962">
        <w:trPr>
          <w:jc w:val="center"/>
        </w:trPr>
        <w:tc>
          <w:tcPr>
            <w:tcW w:w="2694" w:type="dxa"/>
          </w:tcPr>
          <w:p w14:paraId="19380436" w14:textId="77777777" w:rsidR="00966AE7" w:rsidRPr="00376EBC" w:rsidRDefault="00966AE7" w:rsidP="00642962">
            <w:pPr>
              <w:jc w:val="both"/>
              <w:rPr>
                <w:rFonts w:eastAsia="宋体"/>
                <w:lang w:val="en-US"/>
              </w:rPr>
            </w:pPr>
            <w:r w:rsidRPr="00376EBC">
              <w:rPr>
                <w:rFonts w:eastAsia="宋体"/>
                <w:lang w:val="en-US"/>
              </w:rPr>
              <w:t>Solution flow rate (single cell)</w:t>
            </w:r>
          </w:p>
        </w:tc>
        <w:tc>
          <w:tcPr>
            <w:tcW w:w="1842" w:type="dxa"/>
          </w:tcPr>
          <w:p w14:paraId="15064850" w14:textId="77777777" w:rsidR="00966AE7" w:rsidRPr="00376EBC" w:rsidRDefault="00966AE7" w:rsidP="00642962">
            <w:pPr>
              <w:jc w:val="both"/>
              <w:rPr>
                <w:rFonts w:eastAsia="宋体"/>
                <w:lang w:val="en-US"/>
              </w:rPr>
            </w:pPr>
            <w:r w:rsidRPr="00376EBC">
              <w:rPr>
                <w:rFonts w:eastAsia="宋体"/>
                <w:lang w:val="en-US"/>
              </w:rPr>
              <w:t>1 ml min</w:t>
            </w:r>
            <w:r w:rsidRPr="00376EBC">
              <w:rPr>
                <w:rFonts w:eastAsia="宋体"/>
                <w:vertAlign w:val="superscript"/>
                <w:lang w:val="en-US"/>
              </w:rPr>
              <w:t>-1</w:t>
            </w:r>
          </w:p>
        </w:tc>
        <w:tc>
          <w:tcPr>
            <w:tcW w:w="2127" w:type="dxa"/>
          </w:tcPr>
          <w:p w14:paraId="2D10DD7C" w14:textId="77777777" w:rsidR="00966AE7" w:rsidRPr="00376EBC" w:rsidRDefault="00966AE7" w:rsidP="00642962">
            <w:pPr>
              <w:jc w:val="both"/>
              <w:rPr>
                <w:rFonts w:eastAsia="宋体"/>
                <w:lang w:val="en-US"/>
              </w:rPr>
            </w:pPr>
            <w:r w:rsidRPr="00376EBC">
              <w:rPr>
                <w:rFonts w:eastAsia="宋体"/>
                <w:lang w:val="en-US"/>
              </w:rPr>
              <w:t>1ml min</w:t>
            </w:r>
            <w:r w:rsidRPr="00376EBC">
              <w:rPr>
                <w:rFonts w:eastAsia="宋体"/>
                <w:vertAlign w:val="superscript"/>
                <w:lang w:val="en-US"/>
              </w:rPr>
              <w:t>-1</w:t>
            </w:r>
          </w:p>
        </w:tc>
      </w:tr>
      <w:tr w:rsidR="00966AE7" w:rsidRPr="00376EBC" w14:paraId="45696E7A" w14:textId="77777777" w:rsidTr="00642962">
        <w:trPr>
          <w:trHeight w:val="182"/>
          <w:jc w:val="center"/>
        </w:trPr>
        <w:tc>
          <w:tcPr>
            <w:tcW w:w="2694" w:type="dxa"/>
          </w:tcPr>
          <w:p w14:paraId="5709C002" w14:textId="77777777" w:rsidR="00966AE7" w:rsidRPr="00376EBC" w:rsidRDefault="00966AE7" w:rsidP="00642962">
            <w:pPr>
              <w:jc w:val="both"/>
              <w:rPr>
                <w:rFonts w:eastAsia="宋体"/>
                <w:lang w:val="en-US"/>
              </w:rPr>
            </w:pPr>
            <w:r w:rsidRPr="00376EBC">
              <w:rPr>
                <w:rFonts w:eastAsia="宋体"/>
                <w:lang w:val="en-US"/>
              </w:rPr>
              <w:t>Single cell effective area</w:t>
            </w:r>
          </w:p>
        </w:tc>
        <w:tc>
          <w:tcPr>
            <w:tcW w:w="1842" w:type="dxa"/>
          </w:tcPr>
          <w:p w14:paraId="2C17F3C1" w14:textId="77777777" w:rsidR="00966AE7" w:rsidRPr="00376EBC" w:rsidRDefault="00966AE7" w:rsidP="00642962">
            <w:pPr>
              <w:jc w:val="both"/>
              <w:rPr>
                <w:rFonts w:eastAsia="宋体"/>
                <w:lang w:val="en-US"/>
              </w:rPr>
            </w:pPr>
            <w:r w:rsidRPr="00376EBC">
              <w:rPr>
                <w:rFonts w:eastAsia="宋体"/>
                <w:lang w:val="en-US"/>
              </w:rPr>
              <w:t>16 cm</w:t>
            </w:r>
            <w:r w:rsidRPr="00376EBC">
              <w:rPr>
                <w:rFonts w:eastAsia="宋体"/>
                <w:vertAlign w:val="superscript"/>
                <w:lang w:val="en-US"/>
              </w:rPr>
              <w:t>2</w:t>
            </w:r>
          </w:p>
        </w:tc>
        <w:tc>
          <w:tcPr>
            <w:tcW w:w="2127" w:type="dxa"/>
          </w:tcPr>
          <w:p w14:paraId="2DEF0396" w14:textId="77777777" w:rsidR="00966AE7" w:rsidRPr="00376EBC" w:rsidRDefault="00966AE7" w:rsidP="00642962">
            <w:pPr>
              <w:jc w:val="both"/>
              <w:rPr>
                <w:rFonts w:eastAsia="宋体"/>
                <w:lang w:val="en-US"/>
              </w:rPr>
            </w:pPr>
            <w:r w:rsidRPr="00376EBC">
              <w:rPr>
                <w:rFonts w:eastAsia="宋体"/>
                <w:lang w:val="en-US"/>
              </w:rPr>
              <w:t>210 cm</w:t>
            </w:r>
            <w:r w:rsidRPr="00376EBC">
              <w:rPr>
                <w:rFonts w:eastAsia="宋体"/>
                <w:vertAlign w:val="superscript"/>
                <w:lang w:val="en-US"/>
              </w:rPr>
              <w:t>2</w:t>
            </w:r>
          </w:p>
        </w:tc>
      </w:tr>
      <w:tr w:rsidR="00966AE7" w:rsidRPr="00376EBC" w14:paraId="591A5789" w14:textId="77777777" w:rsidTr="00642962">
        <w:trPr>
          <w:jc w:val="center"/>
        </w:trPr>
        <w:tc>
          <w:tcPr>
            <w:tcW w:w="2694" w:type="dxa"/>
          </w:tcPr>
          <w:p w14:paraId="78C0281E" w14:textId="77777777" w:rsidR="00966AE7" w:rsidRPr="00376EBC" w:rsidRDefault="00966AE7" w:rsidP="00642962">
            <w:pPr>
              <w:jc w:val="both"/>
              <w:rPr>
                <w:rFonts w:eastAsia="宋体"/>
                <w:lang w:val="en-US"/>
              </w:rPr>
            </w:pPr>
            <w:r w:rsidRPr="00376EBC">
              <w:rPr>
                <w:rFonts w:eastAsia="宋体"/>
                <w:lang w:val="en-US"/>
              </w:rPr>
              <w:t>Cell compartment thickness</w:t>
            </w:r>
          </w:p>
        </w:tc>
        <w:tc>
          <w:tcPr>
            <w:tcW w:w="1842" w:type="dxa"/>
          </w:tcPr>
          <w:p w14:paraId="7ECFF304" w14:textId="77777777" w:rsidR="00966AE7" w:rsidRPr="00376EBC" w:rsidRDefault="00966AE7" w:rsidP="00642962">
            <w:pPr>
              <w:jc w:val="both"/>
              <w:rPr>
                <w:rFonts w:eastAsia="宋体"/>
                <w:lang w:val="en-US"/>
              </w:rPr>
            </w:pPr>
            <w:r w:rsidRPr="00376EBC">
              <w:rPr>
                <w:rFonts w:eastAsia="宋体"/>
                <w:lang w:val="en-US"/>
              </w:rPr>
              <w:t>0.1 cm</w:t>
            </w:r>
          </w:p>
        </w:tc>
        <w:tc>
          <w:tcPr>
            <w:tcW w:w="2127" w:type="dxa"/>
          </w:tcPr>
          <w:p w14:paraId="0AAAE4DB" w14:textId="77777777" w:rsidR="00966AE7" w:rsidRPr="00376EBC" w:rsidRDefault="00966AE7" w:rsidP="00642962">
            <w:pPr>
              <w:jc w:val="both"/>
              <w:rPr>
                <w:rFonts w:eastAsia="宋体"/>
                <w:lang w:val="en-US"/>
              </w:rPr>
            </w:pPr>
            <w:r w:rsidRPr="00376EBC">
              <w:rPr>
                <w:rFonts w:eastAsia="宋体"/>
                <w:lang w:val="en-US"/>
              </w:rPr>
              <w:t>0.075 cm</w:t>
            </w:r>
          </w:p>
        </w:tc>
      </w:tr>
      <w:tr w:rsidR="00966AE7" w:rsidRPr="00376EBC" w14:paraId="71B8CAAA" w14:textId="77777777" w:rsidTr="00642962">
        <w:trPr>
          <w:jc w:val="center"/>
        </w:trPr>
        <w:tc>
          <w:tcPr>
            <w:tcW w:w="2694" w:type="dxa"/>
          </w:tcPr>
          <w:p w14:paraId="629D0287" w14:textId="77777777" w:rsidR="00966AE7" w:rsidRPr="00376EBC" w:rsidRDefault="00966AE7" w:rsidP="00642962">
            <w:pPr>
              <w:jc w:val="both"/>
              <w:rPr>
                <w:rFonts w:eastAsia="宋体"/>
                <w:lang w:val="en-US"/>
              </w:rPr>
            </w:pPr>
            <w:bookmarkStart w:id="7" w:name="_Hlk141977809"/>
            <w:r>
              <w:rPr>
                <w:rFonts w:eastAsia="宋体"/>
                <w:lang w:val="en-US"/>
              </w:rPr>
              <w:t>CO</w:t>
            </w:r>
            <w:r w:rsidRPr="000D6D94">
              <w:rPr>
                <w:rFonts w:eastAsia="宋体"/>
                <w:vertAlign w:val="subscript"/>
                <w:lang w:val="en-US"/>
              </w:rPr>
              <w:t>2</w:t>
            </w:r>
            <w:r>
              <w:rPr>
                <w:rFonts w:eastAsia="宋体"/>
                <w:lang w:val="en-US"/>
              </w:rPr>
              <w:t xml:space="preserve"> absorption ratio </w:t>
            </w:r>
          </w:p>
        </w:tc>
        <w:tc>
          <w:tcPr>
            <w:tcW w:w="1842" w:type="dxa"/>
          </w:tcPr>
          <w:p w14:paraId="3C76D421" w14:textId="77777777" w:rsidR="00966AE7" w:rsidRPr="00376EBC" w:rsidRDefault="00966AE7" w:rsidP="00642962">
            <w:pPr>
              <w:jc w:val="both"/>
              <w:rPr>
                <w:rFonts w:eastAsia="宋体"/>
                <w:lang w:val="en-US"/>
              </w:rPr>
            </w:pPr>
            <w:r>
              <w:rPr>
                <w:rFonts w:eastAsia="宋体"/>
                <w:lang w:val="en-US"/>
              </w:rPr>
              <w:t>0.9</w:t>
            </w:r>
          </w:p>
        </w:tc>
        <w:tc>
          <w:tcPr>
            <w:tcW w:w="2127" w:type="dxa"/>
          </w:tcPr>
          <w:p w14:paraId="35B4BCB9" w14:textId="77777777" w:rsidR="00966AE7" w:rsidRPr="00376EBC" w:rsidRDefault="00966AE7" w:rsidP="00642962">
            <w:pPr>
              <w:jc w:val="both"/>
              <w:rPr>
                <w:rFonts w:eastAsia="宋体"/>
                <w:lang w:val="en-US"/>
              </w:rPr>
            </w:pPr>
            <w:r>
              <w:rPr>
                <w:rFonts w:eastAsia="宋体"/>
                <w:lang w:val="en-US"/>
              </w:rPr>
              <w:t>0.9</w:t>
            </w:r>
          </w:p>
        </w:tc>
      </w:tr>
      <w:tr w:rsidR="00966AE7" w:rsidRPr="00376EBC" w14:paraId="33283AE9" w14:textId="77777777" w:rsidTr="006C6D80">
        <w:trPr>
          <w:jc w:val="center"/>
        </w:trPr>
        <w:tc>
          <w:tcPr>
            <w:tcW w:w="2694" w:type="dxa"/>
            <w:tcBorders>
              <w:bottom w:val="single" w:sz="12" w:space="0" w:color="auto"/>
            </w:tcBorders>
          </w:tcPr>
          <w:p w14:paraId="5943C435" w14:textId="77777777" w:rsidR="00966AE7" w:rsidRDefault="00966AE7" w:rsidP="00642962">
            <w:pPr>
              <w:jc w:val="both"/>
              <w:rPr>
                <w:rFonts w:eastAsia="宋体"/>
                <w:lang w:val="en-US"/>
              </w:rPr>
            </w:pPr>
            <w:r>
              <w:rPr>
                <w:rFonts w:eastAsia="宋体"/>
                <w:lang w:val="en-US"/>
              </w:rPr>
              <w:t>CO</w:t>
            </w:r>
            <w:r w:rsidRPr="000D6D94">
              <w:rPr>
                <w:rFonts w:eastAsia="宋体"/>
                <w:vertAlign w:val="subscript"/>
                <w:lang w:val="en-US"/>
              </w:rPr>
              <w:t>2</w:t>
            </w:r>
            <w:r>
              <w:rPr>
                <w:rFonts w:eastAsia="宋体"/>
                <w:lang w:val="en-US"/>
              </w:rPr>
              <w:t xml:space="preserve"> recovery ratio </w:t>
            </w:r>
          </w:p>
        </w:tc>
        <w:tc>
          <w:tcPr>
            <w:tcW w:w="1842" w:type="dxa"/>
            <w:tcBorders>
              <w:bottom w:val="single" w:sz="12" w:space="0" w:color="auto"/>
            </w:tcBorders>
          </w:tcPr>
          <w:p w14:paraId="17CB0730" w14:textId="77777777" w:rsidR="00966AE7" w:rsidRDefault="00966AE7" w:rsidP="00642962">
            <w:pPr>
              <w:jc w:val="both"/>
              <w:rPr>
                <w:rFonts w:eastAsia="宋体"/>
                <w:lang w:val="en-US"/>
              </w:rPr>
            </w:pPr>
            <w:r>
              <w:rPr>
                <w:rFonts w:eastAsia="宋体"/>
                <w:lang w:val="en-US"/>
              </w:rPr>
              <w:t>0.9</w:t>
            </w:r>
          </w:p>
        </w:tc>
        <w:tc>
          <w:tcPr>
            <w:tcW w:w="2127" w:type="dxa"/>
            <w:tcBorders>
              <w:bottom w:val="single" w:sz="12" w:space="0" w:color="auto"/>
            </w:tcBorders>
          </w:tcPr>
          <w:p w14:paraId="62DF7F6C" w14:textId="77777777" w:rsidR="00966AE7" w:rsidRDefault="00966AE7" w:rsidP="00642962">
            <w:pPr>
              <w:jc w:val="both"/>
              <w:rPr>
                <w:rFonts w:eastAsia="宋体"/>
                <w:lang w:val="en-US"/>
              </w:rPr>
            </w:pPr>
            <w:r>
              <w:rPr>
                <w:rFonts w:eastAsia="宋体"/>
                <w:lang w:val="en-US"/>
              </w:rPr>
              <w:t>0.9</w:t>
            </w:r>
          </w:p>
        </w:tc>
      </w:tr>
      <w:bookmarkEnd w:id="6"/>
      <w:bookmarkEnd w:id="7"/>
    </w:tbl>
    <w:p w14:paraId="2968CCF8" w14:textId="77777777" w:rsidR="00966AE7" w:rsidRDefault="00966AE7" w:rsidP="00966AE7">
      <w:pPr>
        <w:jc w:val="both"/>
        <w:rPr>
          <w:rFonts w:eastAsia="宋体"/>
        </w:rPr>
      </w:pPr>
    </w:p>
    <w:p w14:paraId="1A28DBF0" w14:textId="77777777" w:rsidR="00A71750" w:rsidRPr="00A71750" w:rsidRDefault="00A71750" w:rsidP="00A71750">
      <w:pPr>
        <w:keepNext/>
        <w:numPr>
          <w:ilvl w:val="1"/>
          <w:numId w:val="17"/>
        </w:numPr>
        <w:suppressAutoHyphens/>
        <w:spacing w:before="240" w:after="120" w:line="240" w:lineRule="exact"/>
        <w:jc w:val="both"/>
        <w:rPr>
          <w:rFonts w:eastAsia="宋体"/>
          <w:b/>
          <w:sz w:val="22"/>
        </w:rPr>
      </w:pPr>
      <w:r w:rsidRPr="00A71750">
        <w:rPr>
          <w:rFonts w:eastAsia="宋体"/>
          <w:b/>
          <w:sz w:val="22"/>
        </w:rPr>
        <w:lastRenderedPageBreak/>
        <w:t>Results</w:t>
      </w:r>
    </w:p>
    <w:p w14:paraId="13993239" w14:textId="059A28BC" w:rsidR="001C1A2F" w:rsidRDefault="001C1A2F" w:rsidP="001C1A2F">
      <w:pPr>
        <w:keepNext/>
        <w:jc w:val="both"/>
        <w:rPr>
          <w:rFonts w:eastAsia="宋体"/>
        </w:rPr>
      </w:pPr>
      <w:r w:rsidRPr="001C1A2F">
        <w:rPr>
          <w:rFonts w:eastAsia="宋体"/>
        </w:rPr>
        <w:t>Conducting simulations across a range of applied current densities facilitates the determination of optimal conditions and enables the comparison of overall performance between electrolysis and electrodialysis systems. Figure 2 provides a</w:t>
      </w:r>
      <w:r>
        <w:rPr>
          <w:rFonts w:eastAsia="宋体"/>
        </w:rPr>
        <w:t>n</w:t>
      </w:r>
      <w:r w:rsidRPr="001C1A2F">
        <w:rPr>
          <w:rFonts w:eastAsia="宋体"/>
        </w:rPr>
        <w:t xml:space="preserve"> overview of energy consumption trends (per mol of CO</w:t>
      </w:r>
      <w:r w:rsidRPr="001C1A2F">
        <w:rPr>
          <w:rFonts w:eastAsia="宋体"/>
          <w:vertAlign w:val="subscript"/>
        </w:rPr>
        <w:t>2</w:t>
      </w:r>
      <w:r w:rsidRPr="001C1A2F">
        <w:rPr>
          <w:rFonts w:eastAsia="宋体"/>
        </w:rPr>
        <w:t xml:space="preserve"> capture) for both systems. In the case of the electrolysis system, the energy consumption of hydrogen production is deducted by considering a </w:t>
      </w:r>
      <w:r w:rsidR="00A50CDB">
        <w:rPr>
          <w:rFonts w:eastAsia="宋体"/>
        </w:rPr>
        <w:t>reference</w:t>
      </w:r>
      <w:r w:rsidR="00A50CDB" w:rsidRPr="001C1A2F">
        <w:rPr>
          <w:rFonts w:eastAsia="宋体"/>
        </w:rPr>
        <w:t xml:space="preserve"> </w:t>
      </w:r>
      <w:r w:rsidRPr="001C1A2F">
        <w:rPr>
          <w:rFonts w:eastAsia="宋体"/>
        </w:rPr>
        <w:t xml:space="preserve">hydrogen production efficiency (HPE). The results </w:t>
      </w:r>
      <w:r>
        <w:rPr>
          <w:rFonts w:eastAsia="宋体"/>
        </w:rPr>
        <w:t>show</w:t>
      </w:r>
      <w:r w:rsidRPr="001C1A2F">
        <w:rPr>
          <w:rFonts w:eastAsia="宋体"/>
        </w:rPr>
        <w:t xml:space="preserve"> that the </w:t>
      </w:r>
      <w:r w:rsidR="00880C5A" w:rsidRPr="001C1A2F">
        <w:rPr>
          <w:rFonts w:eastAsia="宋体"/>
        </w:rPr>
        <w:t>refer</w:t>
      </w:r>
      <w:r w:rsidR="00880C5A">
        <w:rPr>
          <w:rFonts w:eastAsia="宋体"/>
        </w:rPr>
        <w:t>ence</w:t>
      </w:r>
      <w:r w:rsidR="00880C5A" w:rsidRPr="001C1A2F">
        <w:rPr>
          <w:rFonts w:eastAsia="宋体"/>
        </w:rPr>
        <w:t xml:space="preserve"> </w:t>
      </w:r>
      <w:r w:rsidR="00880C5A">
        <w:rPr>
          <w:rFonts w:eastAsia="宋体"/>
        </w:rPr>
        <w:t>HPE</w:t>
      </w:r>
      <w:r w:rsidRPr="001C1A2F">
        <w:rPr>
          <w:rFonts w:eastAsia="宋体"/>
        </w:rPr>
        <w:t xml:space="preserve"> significantly impacts DAC energy consumption evaluation in the electrolysis system. At low applied currents and with a lower HPE (70%), the DAC energy consumption of the electrolysis system can be as low as 121 kJ mol</w:t>
      </w:r>
      <w:r w:rsidRPr="001C1A2F">
        <w:rPr>
          <w:rFonts w:eastAsia="宋体"/>
          <w:vertAlign w:val="superscript"/>
        </w:rPr>
        <w:t>-1</w:t>
      </w:r>
      <w:r w:rsidRPr="001C1A2F">
        <w:rPr>
          <w:rFonts w:eastAsia="宋体"/>
        </w:rPr>
        <w:t>. However, assuming an HPE of 80%, the minimum DAC energy consumption of the electrolysis system significantly increases to 587 kJ mol</w:t>
      </w:r>
      <w:r w:rsidRPr="000E0F2F">
        <w:rPr>
          <w:rFonts w:eastAsia="宋体"/>
          <w:vertAlign w:val="superscript"/>
        </w:rPr>
        <w:t>-1</w:t>
      </w:r>
      <w:r w:rsidRPr="001C1A2F">
        <w:rPr>
          <w:rFonts w:eastAsia="宋体"/>
        </w:rPr>
        <w:t xml:space="preserve"> at a current of 2.2 A. On the other hand, the electrodialysis system achieves a minimum DAC energy consumption of </w:t>
      </w:r>
      <w:bookmarkStart w:id="8" w:name="_Hlk152112722"/>
      <w:r w:rsidRPr="001C1A2F">
        <w:rPr>
          <w:rFonts w:eastAsia="宋体"/>
        </w:rPr>
        <w:t>273 kJ mol</w:t>
      </w:r>
      <w:r w:rsidRPr="000E0F2F">
        <w:rPr>
          <w:rFonts w:eastAsia="宋体"/>
          <w:vertAlign w:val="superscript"/>
        </w:rPr>
        <w:t>-1</w:t>
      </w:r>
      <w:bookmarkEnd w:id="8"/>
      <w:r w:rsidRPr="001C1A2F">
        <w:rPr>
          <w:rFonts w:eastAsia="宋体"/>
        </w:rPr>
        <w:t>. These findings suggest that the water electrolysis system could be competitive in terms of DAC energy demand when considering the impact of hydrogen production, particularly at a low HPE. Nevertheless, a notable drawback of electrolysis is the mixing of recovered CO</w:t>
      </w:r>
      <w:r w:rsidRPr="000E0F2F">
        <w:rPr>
          <w:rFonts w:eastAsia="宋体"/>
          <w:vertAlign w:val="subscript"/>
        </w:rPr>
        <w:t>2</w:t>
      </w:r>
      <w:r w:rsidRPr="001C1A2F">
        <w:rPr>
          <w:rFonts w:eastAsia="宋体"/>
        </w:rPr>
        <w:t xml:space="preserve"> gas with O</w:t>
      </w:r>
      <w:r w:rsidRPr="000E0F2F">
        <w:rPr>
          <w:rFonts w:eastAsia="宋体"/>
          <w:vertAlign w:val="subscript"/>
        </w:rPr>
        <w:t>2</w:t>
      </w:r>
      <w:r w:rsidRPr="001C1A2F">
        <w:rPr>
          <w:rFonts w:eastAsia="宋体"/>
        </w:rPr>
        <w:t>, rather than producing a pure product.</w:t>
      </w:r>
    </w:p>
    <w:p w14:paraId="519BB4D9" w14:textId="78093091" w:rsidR="00A71750" w:rsidRPr="00A71750" w:rsidRDefault="00A71750" w:rsidP="001C1A2F">
      <w:pPr>
        <w:keepNext/>
        <w:jc w:val="center"/>
        <w:rPr>
          <w:rFonts w:eastAsia="宋体"/>
          <w:lang w:val="en-US"/>
        </w:rPr>
      </w:pPr>
      <w:r w:rsidRPr="00A71750">
        <w:rPr>
          <w:rFonts w:eastAsia="宋体"/>
          <w:noProof/>
        </w:rPr>
        <w:drawing>
          <wp:inline distT="0" distB="0" distL="0" distR="0" wp14:anchorId="7C5548C1" wp14:editId="7978843A">
            <wp:extent cx="2685326" cy="208612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1"/>
                    <a:srcRect l="3519" t="5625" r="3519"/>
                    <a:stretch/>
                  </pic:blipFill>
                  <pic:spPr bwMode="auto">
                    <a:xfrm>
                      <a:off x="0" y="0"/>
                      <a:ext cx="2695598" cy="2094108"/>
                    </a:xfrm>
                    <a:prstGeom prst="rect">
                      <a:avLst/>
                    </a:prstGeom>
                    <a:ln>
                      <a:noFill/>
                    </a:ln>
                    <a:extLst>
                      <a:ext uri="{53640926-AAD7-44D8-BBD7-CCE9431645EC}">
                        <a14:shadowObscured xmlns:a14="http://schemas.microsoft.com/office/drawing/2010/main"/>
                      </a:ext>
                    </a:extLst>
                  </pic:spPr>
                </pic:pic>
              </a:graphicData>
            </a:graphic>
          </wp:inline>
        </w:drawing>
      </w:r>
    </w:p>
    <w:p w14:paraId="5D75BA81" w14:textId="77777777" w:rsidR="00A71750" w:rsidRPr="00A71750" w:rsidRDefault="00A71750" w:rsidP="00A71750">
      <w:pPr>
        <w:keepLines/>
        <w:spacing w:before="100" w:after="120"/>
        <w:jc w:val="center"/>
        <w:rPr>
          <w:rFonts w:eastAsia="宋体"/>
        </w:rPr>
      </w:pPr>
      <w:r w:rsidRPr="00A71750">
        <w:rPr>
          <w:rFonts w:eastAsia="宋体"/>
          <w:lang w:val="en-US"/>
        </w:rPr>
        <w:t xml:space="preserve">Figure </w:t>
      </w:r>
      <w:r w:rsidRPr="00A71750">
        <w:rPr>
          <w:rFonts w:eastAsia="宋体"/>
          <w:lang w:val="en-US"/>
        </w:rPr>
        <w:fldChar w:fldCharType="begin"/>
      </w:r>
      <w:r w:rsidRPr="00A71750">
        <w:rPr>
          <w:rFonts w:eastAsia="宋体"/>
          <w:lang w:val="en-US"/>
        </w:rPr>
        <w:instrText xml:space="preserve"> SEQ Figure \* ARABIC </w:instrText>
      </w:r>
      <w:r w:rsidRPr="00A71750">
        <w:rPr>
          <w:rFonts w:eastAsia="宋体"/>
          <w:lang w:val="en-US"/>
        </w:rPr>
        <w:fldChar w:fldCharType="separate"/>
      </w:r>
      <w:r w:rsidRPr="00A71750">
        <w:rPr>
          <w:rFonts w:eastAsia="宋体"/>
          <w:noProof/>
          <w:lang w:val="en-US"/>
        </w:rPr>
        <w:t>2</w:t>
      </w:r>
      <w:r w:rsidRPr="00A71750">
        <w:rPr>
          <w:rFonts w:eastAsia="宋体"/>
          <w:lang w:val="en-US"/>
        </w:rPr>
        <w:fldChar w:fldCharType="end"/>
      </w:r>
      <w:r w:rsidRPr="00A71750">
        <w:rPr>
          <w:rFonts w:eastAsia="宋体"/>
          <w:lang w:val="en-US"/>
        </w:rPr>
        <w:t xml:space="preserve">: </w:t>
      </w:r>
      <w:bookmarkStart w:id="9" w:name="OLE_LINK3"/>
      <w:r w:rsidRPr="00A71750">
        <w:rPr>
          <w:rFonts w:eastAsia="宋体"/>
          <w:lang w:val="en-US"/>
        </w:rPr>
        <w:t>System energy consumption under various single-cell applied current</w:t>
      </w:r>
      <w:bookmarkEnd w:id="9"/>
    </w:p>
    <w:p w14:paraId="41D04059" w14:textId="15018532" w:rsidR="003E1FA3" w:rsidRDefault="003E1FA3" w:rsidP="00811007">
      <w:pPr>
        <w:jc w:val="both"/>
        <w:rPr>
          <w:rFonts w:eastAsia="宋体"/>
        </w:rPr>
      </w:pPr>
      <w:r w:rsidRPr="003E1FA3">
        <w:rPr>
          <w:rFonts w:eastAsia="宋体"/>
        </w:rPr>
        <w:t>Figure 3 compares the DAC energy consumption of the two systems under different CO</w:t>
      </w:r>
      <w:r w:rsidRPr="003E1FA3">
        <w:rPr>
          <w:rFonts w:eastAsia="宋体"/>
          <w:vertAlign w:val="subscript"/>
        </w:rPr>
        <w:t>2</w:t>
      </w:r>
      <w:r w:rsidRPr="003E1FA3">
        <w:rPr>
          <w:rFonts w:eastAsia="宋体"/>
        </w:rPr>
        <w:t xml:space="preserve"> absorption and recovery ratios. In Figure 3(a), the DAC energy for both systems can be significantly reduced to 290 kJ mol</w:t>
      </w:r>
      <w:r w:rsidRPr="003E1FA3">
        <w:rPr>
          <w:rFonts w:eastAsia="宋体"/>
          <w:vertAlign w:val="superscript"/>
        </w:rPr>
        <w:t>-1</w:t>
      </w:r>
      <w:r w:rsidRPr="003E1FA3">
        <w:rPr>
          <w:rFonts w:eastAsia="宋体"/>
        </w:rPr>
        <w:t xml:space="preserve"> </w:t>
      </w:r>
      <w:r>
        <w:rPr>
          <w:rFonts w:eastAsia="宋体"/>
        </w:rPr>
        <w:t xml:space="preserve">(electrolysis, 80% HPE) </w:t>
      </w:r>
      <w:r w:rsidRPr="003E1FA3">
        <w:rPr>
          <w:rFonts w:eastAsia="宋体"/>
        </w:rPr>
        <w:t>and 170 kJ mol</w:t>
      </w:r>
      <w:r w:rsidRPr="003E1FA3">
        <w:rPr>
          <w:rFonts w:eastAsia="宋体"/>
          <w:vertAlign w:val="superscript"/>
        </w:rPr>
        <w:t>-1</w:t>
      </w:r>
      <w:r w:rsidRPr="003E1FA3">
        <w:rPr>
          <w:rFonts w:eastAsia="宋体"/>
        </w:rPr>
        <w:t xml:space="preserve"> (</w:t>
      </w:r>
      <w:r>
        <w:rPr>
          <w:rFonts w:eastAsia="宋体"/>
        </w:rPr>
        <w:t>electrodialysis</w:t>
      </w:r>
      <w:r w:rsidRPr="003E1FA3">
        <w:rPr>
          <w:rFonts w:eastAsia="宋体"/>
        </w:rPr>
        <w:t>) as the CO</w:t>
      </w:r>
      <w:r w:rsidRPr="003E1FA3">
        <w:rPr>
          <w:rFonts w:eastAsia="宋体"/>
          <w:vertAlign w:val="subscript"/>
        </w:rPr>
        <w:t>2</w:t>
      </w:r>
      <w:r w:rsidRPr="003E1FA3">
        <w:rPr>
          <w:rFonts w:eastAsia="宋体"/>
        </w:rPr>
        <w:t xml:space="preserve"> absorption ratio increases to 1. This </w:t>
      </w:r>
      <w:r>
        <w:rPr>
          <w:rFonts w:eastAsia="宋体"/>
        </w:rPr>
        <w:t>highlights</w:t>
      </w:r>
      <w:r w:rsidRPr="003E1FA3">
        <w:rPr>
          <w:rFonts w:eastAsia="宋体"/>
        </w:rPr>
        <w:t xml:space="preserve"> the importance of improving </w:t>
      </w:r>
      <w:r>
        <w:rPr>
          <w:rFonts w:eastAsia="宋体"/>
        </w:rPr>
        <w:t>CO</w:t>
      </w:r>
      <w:r w:rsidRPr="003E1FA3">
        <w:rPr>
          <w:rFonts w:eastAsia="宋体"/>
          <w:vertAlign w:val="subscript"/>
        </w:rPr>
        <w:t>2</w:t>
      </w:r>
      <w:r>
        <w:rPr>
          <w:rFonts w:eastAsia="宋体"/>
        </w:rPr>
        <w:t xml:space="preserve"> </w:t>
      </w:r>
      <w:r w:rsidRPr="003E1FA3">
        <w:rPr>
          <w:rFonts w:eastAsia="宋体"/>
        </w:rPr>
        <w:t>absorber design and enhancing CO</w:t>
      </w:r>
      <w:r w:rsidRPr="003E1FA3">
        <w:rPr>
          <w:rFonts w:eastAsia="宋体"/>
          <w:vertAlign w:val="subscript"/>
        </w:rPr>
        <w:t>2</w:t>
      </w:r>
      <w:r w:rsidRPr="003E1FA3">
        <w:rPr>
          <w:rFonts w:eastAsia="宋体"/>
        </w:rPr>
        <w:t xml:space="preserve"> absorption performance. Given the low CO</w:t>
      </w:r>
      <w:r w:rsidRPr="003E1FA3">
        <w:rPr>
          <w:rFonts w:eastAsia="宋体"/>
          <w:vertAlign w:val="subscript"/>
        </w:rPr>
        <w:t>2</w:t>
      </w:r>
      <w:r w:rsidRPr="003E1FA3">
        <w:rPr>
          <w:rFonts w:eastAsia="宋体"/>
        </w:rPr>
        <w:t xml:space="preserve"> concentration in the ambient air, achieving this improvement could be challenging and warrants in-depth exploration. In Figure 3(b), an increasing CO</w:t>
      </w:r>
      <w:r w:rsidRPr="003E1FA3">
        <w:rPr>
          <w:rFonts w:eastAsia="宋体"/>
          <w:vertAlign w:val="subscript"/>
        </w:rPr>
        <w:t>2</w:t>
      </w:r>
      <w:r w:rsidRPr="003E1FA3">
        <w:rPr>
          <w:rFonts w:eastAsia="宋体"/>
        </w:rPr>
        <w:t xml:space="preserve"> recovery ratio has a positive effect on saving the DAC energy of the electrolysis system. However, an opposite effect is observed for the electrodialysis system. As the CO</w:t>
      </w:r>
      <w:r w:rsidRPr="003E1FA3">
        <w:rPr>
          <w:rFonts w:eastAsia="宋体"/>
          <w:vertAlign w:val="subscript"/>
        </w:rPr>
        <w:t>2</w:t>
      </w:r>
      <w:r w:rsidRPr="003E1FA3">
        <w:rPr>
          <w:rFonts w:eastAsia="宋体"/>
        </w:rPr>
        <w:t xml:space="preserve"> recovery ratio increases, the pH difference between the compartments rises, elevating the BPM cell potential. Compared with the electrolysis cell, the overall electrical potential of the electrodialysis cells is much lower, and the negative effect of the increasing potential is more significant than the positive effect brought about by the increasing CO</w:t>
      </w:r>
      <w:r w:rsidRPr="003E1FA3">
        <w:rPr>
          <w:rFonts w:eastAsia="宋体"/>
          <w:vertAlign w:val="subscript"/>
        </w:rPr>
        <w:t>2</w:t>
      </w:r>
      <w:r w:rsidRPr="003E1FA3">
        <w:rPr>
          <w:rFonts w:eastAsia="宋体"/>
        </w:rPr>
        <w:t xml:space="preserve"> recovery amount. These results </w:t>
      </w:r>
      <w:r>
        <w:rPr>
          <w:rFonts w:eastAsia="宋体"/>
        </w:rPr>
        <w:t>show</w:t>
      </w:r>
      <w:r w:rsidRPr="003E1FA3">
        <w:rPr>
          <w:rFonts w:eastAsia="宋体"/>
        </w:rPr>
        <w:t xml:space="preserve"> the significance </w:t>
      </w:r>
      <w:r>
        <w:rPr>
          <w:rFonts w:eastAsia="宋体"/>
        </w:rPr>
        <w:t xml:space="preserve">and necessity </w:t>
      </w:r>
      <w:r w:rsidRPr="003E1FA3">
        <w:rPr>
          <w:rFonts w:eastAsia="宋体"/>
        </w:rPr>
        <w:t>of further comprehensive optimization of operating parameters.</w:t>
      </w:r>
    </w:p>
    <w:p w14:paraId="45D642DC" w14:textId="77777777" w:rsidR="00A71750" w:rsidRPr="00A71750" w:rsidRDefault="00A71750" w:rsidP="00A71750">
      <w:pPr>
        <w:keepNext/>
        <w:jc w:val="center"/>
        <w:rPr>
          <w:rFonts w:eastAsia="宋体"/>
          <w:lang w:val="en-US"/>
        </w:rPr>
      </w:pPr>
      <w:r w:rsidRPr="00A71750">
        <w:rPr>
          <w:rFonts w:eastAsia="宋体"/>
          <w:noProof/>
        </w:rPr>
        <w:lastRenderedPageBreak/>
        <w:drawing>
          <wp:inline distT="0" distB="0" distL="0" distR="0" wp14:anchorId="7E26086E" wp14:editId="672F5BD9">
            <wp:extent cx="4166749" cy="17145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52"/>
                    <a:srcRect l="1991" t="2275" r="5408" b="1129"/>
                    <a:stretch/>
                  </pic:blipFill>
                  <pic:spPr bwMode="auto">
                    <a:xfrm>
                      <a:off x="0" y="0"/>
                      <a:ext cx="4174698" cy="1717771"/>
                    </a:xfrm>
                    <a:prstGeom prst="rect">
                      <a:avLst/>
                    </a:prstGeom>
                    <a:ln>
                      <a:noFill/>
                    </a:ln>
                    <a:extLst>
                      <a:ext uri="{53640926-AAD7-44D8-BBD7-CCE9431645EC}">
                        <a14:shadowObscured xmlns:a14="http://schemas.microsoft.com/office/drawing/2010/main"/>
                      </a:ext>
                    </a:extLst>
                  </pic:spPr>
                </pic:pic>
              </a:graphicData>
            </a:graphic>
          </wp:inline>
        </w:drawing>
      </w:r>
    </w:p>
    <w:p w14:paraId="47CFBDE6" w14:textId="40A8A472" w:rsidR="00A71750" w:rsidRPr="00A71750" w:rsidRDefault="00A71750" w:rsidP="00A71750">
      <w:pPr>
        <w:keepLines/>
        <w:spacing w:before="100" w:after="120"/>
        <w:jc w:val="center"/>
        <w:rPr>
          <w:rFonts w:eastAsia="宋体"/>
          <w:color w:val="000000" w:themeColor="text1"/>
          <w:sz w:val="18"/>
        </w:rPr>
      </w:pPr>
      <w:r w:rsidRPr="00A71750">
        <w:rPr>
          <w:rFonts w:eastAsia="宋体"/>
          <w:color w:val="000000" w:themeColor="text1"/>
          <w:sz w:val="18"/>
          <w:lang w:val="en-US"/>
        </w:rPr>
        <w:t xml:space="preserve">Figure </w:t>
      </w:r>
      <w:r w:rsidRPr="00A71750">
        <w:rPr>
          <w:rFonts w:eastAsia="宋体"/>
          <w:color w:val="000000" w:themeColor="text1"/>
          <w:sz w:val="18"/>
          <w:lang w:val="en-US"/>
        </w:rPr>
        <w:fldChar w:fldCharType="begin"/>
      </w:r>
      <w:r w:rsidRPr="00A71750">
        <w:rPr>
          <w:rFonts w:eastAsia="宋体"/>
          <w:color w:val="000000" w:themeColor="text1"/>
          <w:sz w:val="18"/>
          <w:lang w:val="en-US"/>
        </w:rPr>
        <w:instrText xml:space="preserve"> SEQ Figure \* ARABIC </w:instrText>
      </w:r>
      <w:r w:rsidRPr="00A71750">
        <w:rPr>
          <w:rFonts w:eastAsia="宋体"/>
          <w:color w:val="000000" w:themeColor="text1"/>
          <w:sz w:val="18"/>
          <w:lang w:val="en-US"/>
        </w:rPr>
        <w:fldChar w:fldCharType="separate"/>
      </w:r>
      <w:r w:rsidRPr="00A71750">
        <w:rPr>
          <w:rFonts w:eastAsia="宋体"/>
          <w:noProof/>
          <w:color w:val="000000" w:themeColor="text1"/>
          <w:sz w:val="18"/>
          <w:lang w:val="en-US"/>
        </w:rPr>
        <w:t>3</w:t>
      </w:r>
      <w:r w:rsidRPr="00A71750">
        <w:rPr>
          <w:rFonts w:eastAsia="宋体"/>
          <w:color w:val="000000" w:themeColor="text1"/>
          <w:sz w:val="18"/>
          <w:lang w:val="en-US"/>
        </w:rPr>
        <w:fldChar w:fldCharType="end"/>
      </w:r>
      <w:r w:rsidRPr="00A71750">
        <w:rPr>
          <w:rFonts w:eastAsia="宋体"/>
          <w:color w:val="000000" w:themeColor="text1"/>
          <w:sz w:val="18"/>
          <w:lang w:val="en-US"/>
        </w:rPr>
        <w:t xml:space="preserve">: System </w:t>
      </w:r>
      <w:r w:rsidR="00B961F5">
        <w:rPr>
          <w:rFonts w:eastAsia="宋体"/>
          <w:color w:val="000000" w:themeColor="text1"/>
          <w:sz w:val="18"/>
          <w:lang w:val="en-US"/>
        </w:rPr>
        <w:t xml:space="preserve">DAC </w:t>
      </w:r>
      <w:r w:rsidRPr="00A71750">
        <w:rPr>
          <w:rFonts w:eastAsia="宋体"/>
          <w:color w:val="000000" w:themeColor="text1"/>
          <w:sz w:val="18"/>
          <w:lang w:val="en-US"/>
        </w:rPr>
        <w:t>energy under various (a) CO</w:t>
      </w:r>
      <w:r w:rsidRPr="00A71750">
        <w:rPr>
          <w:rFonts w:eastAsia="宋体"/>
          <w:color w:val="000000" w:themeColor="text1"/>
          <w:sz w:val="18"/>
          <w:vertAlign w:val="subscript"/>
          <w:lang w:val="en-US"/>
        </w:rPr>
        <w:t>2</w:t>
      </w:r>
      <w:r w:rsidRPr="00A71750">
        <w:rPr>
          <w:rFonts w:eastAsia="宋体"/>
          <w:color w:val="000000" w:themeColor="text1"/>
          <w:sz w:val="18"/>
          <w:lang w:val="en-US"/>
        </w:rPr>
        <w:t xml:space="preserve"> absorption and (b) CO</w:t>
      </w:r>
      <w:r w:rsidRPr="00A71750">
        <w:rPr>
          <w:rFonts w:eastAsia="宋体"/>
          <w:color w:val="000000" w:themeColor="text1"/>
          <w:sz w:val="18"/>
          <w:vertAlign w:val="subscript"/>
          <w:lang w:val="en-US"/>
        </w:rPr>
        <w:t>2</w:t>
      </w:r>
      <w:r w:rsidRPr="00A71750">
        <w:rPr>
          <w:rFonts w:eastAsia="宋体"/>
          <w:color w:val="000000" w:themeColor="text1"/>
          <w:sz w:val="18"/>
          <w:lang w:val="en-US"/>
        </w:rPr>
        <w:t xml:space="preserve"> recovery ratio</w:t>
      </w:r>
      <w:r w:rsidR="00B961F5">
        <w:rPr>
          <w:rFonts w:eastAsia="宋体"/>
          <w:color w:val="000000" w:themeColor="text1"/>
          <w:sz w:val="18"/>
          <w:lang w:val="en-US"/>
        </w:rPr>
        <w:t>s</w:t>
      </w:r>
    </w:p>
    <w:p w14:paraId="41807197" w14:textId="450CAE76" w:rsidR="00BE38EC" w:rsidRPr="00BE38EC" w:rsidRDefault="00A71750" w:rsidP="00BE38EC">
      <w:pPr>
        <w:keepNext/>
        <w:numPr>
          <w:ilvl w:val="1"/>
          <w:numId w:val="17"/>
        </w:numPr>
        <w:suppressAutoHyphens/>
        <w:spacing w:before="240" w:after="120" w:line="240" w:lineRule="exact"/>
        <w:jc w:val="both"/>
        <w:rPr>
          <w:rFonts w:eastAsia="宋体"/>
          <w:b/>
          <w:sz w:val="22"/>
        </w:rPr>
      </w:pPr>
      <w:r w:rsidRPr="00A71750">
        <w:rPr>
          <w:rFonts w:eastAsia="宋体"/>
          <w:b/>
          <w:sz w:val="22"/>
        </w:rPr>
        <w:t>Conclusions</w:t>
      </w:r>
    </w:p>
    <w:p w14:paraId="47FF98E6" w14:textId="5A8AB929" w:rsidR="00A71750" w:rsidRPr="00B961F5" w:rsidRDefault="002C3ACB" w:rsidP="002C3ACB">
      <w:pPr>
        <w:jc w:val="both"/>
        <w:rPr>
          <w:rFonts w:eastAsia="宋体"/>
          <w:lang w:val="en-US"/>
        </w:rPr>
      </w:pPr>
      <w:r w:rsidRPr="002C3ACB">
        <w:rPr>
          <w:rFonts w:eastAsia="宋体"/>
          <w:lang w:val="en-US"/>
        </w:rPr>
        <w:t>This study conducts a modeling and parametric analysis of electrolysis and electrodialysis DAC systems employing the pH-swing method. The comparison of DAC energy demand for both systems was undertaken, exploring the impacts of applied current, and CO</w:t>
      </w:r>
      <w:r w:rsidRPr="002C3ACB">
        <w:rPr>
          <w:rFonts w:eastAsia="宋体"/>
          <w:vertAlign w:val="subscript"/>
          <w:lang w:val="en-US"/>
        </w:rPr>
        <w:t>2</w:t>
      </w:r>
      <w:r w:rsidRPr="002C3ACB">
        <w:rPr>
          <w:rFonts w:eastAsia="宋体"/>
          <w:lang w:val="en-US"/>
        </w:rPr>
        <w:t xml:space="preserve"> absorption and recovery ratios. The results show a minimum DAC energy of 587 kJ mol</w:t>
      </w:r>
      <w:r w:rsidRPr="002C3ACB">
        <w:rPr>
          <w:rFonts w:eastAsia="宋体"/>
          <w:vertAlign w:val="superscript"/>
          <w:lang w:val="en-US"/>
        </w:rPr>
        <w:t>-1</w:t>
      </w:r>
      <w:r w:rsidRPr="002C3ACB">
        <w:rPr>
          <w:rFonts w:eastAsia="宋体"/>
          <w:lang w:val="en-US"/>
        </w:rPr>
        <w:t xml:space="preserve"> and 273 kJ mol</w:t>
      </w:r>
      <w:r w:rsidRPr="002C3ACB">
        <w:rPr>
          <w:rFonts w:eastAsia="宋体"/>
          <w:vertAlign w:val="superscript"/>
          <w:lang w:val="en-US"/>
        </w:rPr>
        <w:t>-1</w:t>
      </w:r>
      <w:r w:rsidRPr="002C3ACB">
        <w:rPr>
          <w:rFonts w:eastAsia="宋体"/>
          <w:lang w:val="en-US"/>
        </w:rPr>
        <w:t xml:space="preserve"> for the electrolysis and electrodialysis system under the given conditions. These values can be further reduced to 290 kJ mol</w:t>
      </w:r>
      <w:r w:rsidRPr="002C3ACB">
        <w:rPr>
          <w:rFonts w:eastAsia="宋体"/>
          <w:vertAlign w:val="superscript"/>
          <w:lang w:val="en-US"/>
        </w:rPr>
        <w:t>-1</w:t>
      </w:r>
      <w:r w:rsidRPr="002C3ACB">
        <w:rPr>
          <w:rFonts w:eastAsia="宋体"/>
          <w:lang w:val="en-US"/>
        </w:rPr>
        <w:t xml:space="preserve"> and 170 kJ mol</w:t>
      </w:r>
      <w:r w:rsidRPr="002C3ACB">
        <w:rPr>
          <w:rFonts w:eastAsia="宋体"/>
          <w:vertAlign w:val="superscript"/>
          <w:lang w:val="en-US"/>
        </w:rPr>
        <w:t>-1</w:t>
      </w:r>
      <w:r w:rsidRPr="002C3ACB">
        <w:rPr>
          <w:rFonts w:eastAsia="宋体"/>
          <w:lang w:val="en-US"/>
        </w:rPr>
        <w:t xml:space="preserve"> as the CO</w:t>
      </w:r>
      <w:r w:rsidRPr="009850AA">
        <w:rPr>
          <w:rFonts w:eastAsia="宋体"/>
          <w:vertAlign w:val="subscript"/>
          <w:lang w:val="en-US"/>
        </w:rPr>
        <w:t>2</w:t>
      </w:r>
      <w:r w:rsidRPr="002C3ACB">
        <w:rPr>
          <w:rFonts w:eastAsia="宋体"/>
          <w:lang w:val="en-US"/>
        </w:rPr>
        <w:t xml:space="preserve"> absorption reaches </w:t>
      </w:r>
      <w:r>
        <w:rPr>
          <w:rFonts w:eastAsia="宋体"/>
          <w:lang w:val="en-US"/>
        </w:rPr>
        <w:t>1</w:t>
      </w:r>
      <w:r w:rsidR="006F638A">
        <w:rPr>
          <w:rFonts w:eastAsia="宋体"/>
        </w:rPr>
        <w:t xml:space="preserve">, indicating </w:t>
      </w:r>
      <w:r w:rsidR="00642962">
        <w:rPr>
          <w:rFonts w:eastAsia="宋体"/>
        </w:rPr>
        <w:t>scope</w:t>
      </w:r>
      <w:r w:rsidR="00AE556F">
        <w:rPr>
          <w:rFonts w:eastAsia="宋体"/>
        </w:rPr>
        <w:t xml:space="preserve"> for </w:t>
      </w:r>
      <w:r w:rsidR="00A46A16">
        <w:rPr>
          <w:rFonts w:eastAsia="宋体"/>
        </w:rPr>
        <w:t xml:space="preserve">future </w:t>
      </w:r>
      <w:r w:rsidR="00642962">
        <w:rPr>
          <w:rFonts w:eastAsia="宋体"/>
        </w:rPr>
        <w:t>technical improvement.</w:t>
      </w:r>
    </w:p>
    <w:p w14:paraId="220272D8" w14:textId="69FE8DAE" w:rsidR="00A71750" w:rsidRPr="00A71750" w:rsidRDefault="00A71750" w:rsidP="00A71750">
      <w:pPr>
        <w:keepNext/>
        <w:spacing w:before="240" w:after="60"/>
        <w:jc w:val="both"/>
        <w:rPr>
          <w:rFonts w:eastAsia="宋体"/>
          <w:b/>
          <w:sz w:val="22"/>
          <w:szCs w:val="22"/>
          <w:lang w:val="en-US"/>
        </w:rPr>
      </w:pPr>
      <w:r w:rsidRPr="00A71750">
        <w:rPr>
          <w:rFonts w:eastAsia="宋体"/>
          <w:b/>
          <w:sz w:val="22"/>
          <w:szCs w:val="22"/>
          <w:lang w:val="en-US"/>
        </w:rPr>
        <w:t>References</w:t>
      </w:r>
    </w:p>
    <w:p w14:paraId="52FC81B7" w14:textId="77777777" w:rsidR="00A71750" w:rsidRDefault="00A71750" w:rsidP="00A71750">
      <w:pPr>
        <w:ind w:left="240" w:hanging="240"/>
        <w:rPr>
          <w:rFonts w:eastAsia="宋体"/>
          <w:noProof/>
          <w:sz w:val="18"/>
          <w:lang w:val="en-US"/>
        </w:rPr>
      </w:pPr>
      <w:r w:rsidRPr="00A71750">
        <w:rPr>
          <w:rFonts w:eastAsia="宋体"/>
          <w:noProof/>
          <w:sz w:val="18"/>
          <w:lang w:val="en-US"/>
        </w:rPr>
        <w:t>M. D. Eisaman, L. Alvarado, D. Larner, P. Wang, B. Garg, K. A. Littau, 2011, CO2 separation using bipolar membrane electrodialysis, Energy &amp; Environmental Science, 4(4), 1319-1328.</w:t>
      </w:r>
    </w:p>
    <w:p w14:paraId="2EB89E7D" w14:textId="126E04D4" w:rsidR="005D2621" w:rsidRPr="00A71750" w:rsidRDefault="005D2621" w:rsidP="00A71750">
      <w:pPr>
        <w:ind w:left="240" w:hanging="240"/>
        <w:rPr>
          <w:rFonts w:eastAsia="宋体"/>
          <w:noProof/>
          <w:sz w:val="18"/>
          <w:lang w:val="en-US"/>
        </w:rPr>
      </w:pPr>
      <w:r>
        <w:rPr>
          <w:rFonts w:eastAsia="宋体"/>
          <w:noProof/>
          <w:sz w:val="18"/>
          <w:lang w:val="en-US"/>
        </w:rPr>
        <w:t xml:space="preserve">X. </w:t>
      </w:r>
      <w:r w:rsidRPr="005D2621">
        <w:rPr>
          <w:rFonts w:eastAsia="宋体"/>
          <w:noProof/>
          <w:sz w:val="18"/>
          <w:lang w:val="en-US"/>
        </w:rPr>
        <w:t xml:space="preserve">Gao, </w:t>
      </w:r>
      <w:r>
        <w:rPr>
          <w:rFonts w:eastAsia="宋体"/>
          <w:noProof/>
          <w:sz w:val="18"/>
          <w:lang w:val="en-US"/>
        </w:rPr>
        <w:t xml:space="preserve">A. </w:t>
      </w:r>
      <w:r w:rsidRPr="005D2621">
        <w:rPr>
          <w:rFonts w:eastAsia="宋体"/>
          <w:noProof/>
          <w:sz w:val="18"/>
          <w:lang w:val="en-US"/>
        </w:rPr>
        <w:t xml:space="preserve">Omosebi, </w:t>
      </w:r>
      <w:r>
        <w:rPr>
          <w:rFonts w:eastAsia="宋体"/>
          <w:noProof/>
          <w:sz w:val="18"/>
          <w:lang w:val="en-US"/>
        </w:rPr>
        <w:t xml:space="preserve">R. </w:t>
      </w:r>
      <w:r w:rsidRPr="005D2621">
        <w:rPr>
          <w:rFonts w:eastAsia="宋体"/>
          <w:noProof/>
          <w:sz w:val="18"/>
          <w:lang w:val="en-US"/>
        </w:rPr>
        <w:t xml:space="preserve">Perrone, </w:t>
      </w:r>
      <w:r>
        <w:rPr>
          <w:rFonts w:eastAsia="宋体"/>
          <w:noProof/>
          <w:sz w:val="18"/>
          <w:lang w:val="en-US"/>
        </w:rPr>
        <w:t>K.</w:t>
      </w:r>
      <w:r w:rsidRPr="005D2621">
        <w:rPr>
          <w:rFonts w:eastAsia="宋体"/>
          <w:noProof/>
          <w:sz w:val="18"/>
          <w:lang w:val="en-US"/>
        </w:rPr>
        <w:t xml:space="preserve"> Liu, 2022</w:t>
      </w:r>
      <w:r>
        <w:rPr>
          <w:rFonts w:eastAsia="宋体"/>
          <w:noProof/>
          <w:sz w:val="18"/>
          <w:lang w:val="en-US"/>
        </w:rPr>
        <w:t>,</w:t>
      </w:r>
      <w:r w:rsidRPr="005D2621">
        <w:rPr>
          <w:rFonts w:eastAsia="宋体"/>
          <w:noProof/>
          <w:sz w:val="18"/>
          <w:lang w:val="en-US"/>
        </w:rPr>
        <w:t xml:space="preserve"> Promoting CO2 Release from CO3 2−-Containing Solvents during Water Electrolysis for Direct Air Capture</w:t>
      </w:r>
      <w:r>
        <w:rPr>
          <w:rFonts w:eastAsia="宋体"/>
          <w:noProof/>
          <w:sz w:val="18"/>
          <w:lang w:val="en-US"/>
        </w:rPr>
        <w:t>,</w:t>
      </w:r>
      <w:r w:rsidRPr="005D2621">
        <w:rPr>
          <w:rFonts w:eastAsia="宋体"/>
          <w:noProof/>
          <w:sz w:val="18"/>
          <w:lang w:val="en-US"/>
        </w:rPr>
        <w:t xml:space="preserve"> Journal of the Electrochemical Society, 169(4), 044527.</w:t>
      </w:r>
    </w:p>
    <w:p w14:paraId="3C091AA1" w14:textId="77777777" w:rsidR="00A71750" w:rsidRDefault="00A71750" w:rsidP="00A71750">
      <w:pPr>
        <w:ind w:left="240" w:hanging="240"/>
        <w:rPr>
          <w:rFonts w:eastAsia="宋体"/>
          <w:noProof/>
          <w:sz w:val="18"/>
          <w:lang w:val="en-US"/>
        </w:rPr>
      </w:pPr>
      <w:r w:rsidRPr="00A71750">
        <w:rPr>
          <w:rFonts w:eastAsia="宋体"/>
          <w:noProof/>
          <w:sz w:val="18"/>
          <w:lang w:val="en-US"/>
        </w:rPr>
        <w:t xml:space="preserve">R. </w:t>
      </w:r>
      <w:bookmarkStart w:id="10" w:name="OLE_LINK2"/>
      <w:r w:rsidRPr="00A71750">
        <w:rPr>
          <w:rFonts w:eastAsia="宋体"/>
          <w:noProof/>
          <w:sz w:val="18"/>
          <w:lang w:val="en-US"/>
        </w:rPr>
        <w:t>Hanna</w:t>
      </w:r>
      <w:bookmarkEnd w:id="10"/>
      <w:r w:rsidRPr="00A71750">
        <w:rPr>
          <w:rFonts w:eastAsia="宋体"/>
          <w:noProof/>
          <w:sz w:val="18"/>
          <w:lang w:val="en-US"/>
        </w:rPr>
        <w:t>, A. Abdull, Y. Xu, D. G. Victor, 2021, Emergency deployment of direct air capture as a response to the climate crisis, Nature communications, 12(1), 368.</w:t>
      </w:r>
    </w:p>
    <w:p w14:paraId="48533391" w14:textId="3BF1475F" w:rsidR="00182339" w:rsidRPr="00A71750" w:rsidRDefault="00182339" w:rsidP="00A71750">
      <w:pPr>
        <w:ind w:left="240" w:hanging="240"/>
        <w:rPr>
          <w:rFonts w:eastAsia="宋体"/>
          <w:noProof/>
          <w:sz w:val="18"/>
          <w:lang w:val="en-US"/>
        </w:rPr>
      </w:pPr>
      <w:r>
        <w:rPr>
          <w:rFonts w:eastAsia="宋体"/>
          <w:noProof/>
          <w:sz w:val="18"/>
          <w:lang w:val="en-US"/>
        </w:rPr>
        <w:t xml:space="preserve">A. </w:t>
      </w:r>
      <w:r w:rsidRPr="00182339">
        <w:rPr>
          <w:rFonts w:eastAsia="宋体"/>
          <w:noProof/>
          <w:sz w:val="18"/>
          <w:lang w:val="en-US"/>
        </w:rPr>
        <w:t xml:space="preserve">Iizuka, </w:t>
      </w:r>
      <w:r>
        <w:rPr>
          <w:rFonts w:eastAsia="宋体"/>
          <w:noProof/>
          <w:sz w:val="18"/>
          <w:lang w:val="en-US"/>
        </w:rPr>
        <w:t xml:space="preserve">K. </w:t>
      </w:r>
      <w:r w:rsidRPr="00182339">
        <w:rPr>
          <w:rFonts w:eastAsia="宋体"/>
          <w:noProof/>
          <w:sz w:val="18"/>
          <w:lang w:val="en-US"/>
        </w:rPr>
        <w:t xml:space="preserve">Hashimoto, </w:t>
      </w:r>
      <w:r>
        <w:rPr>
          <w:rFonts w:eastAsia="宋体"/>
          <w:noProof/>
          <w:sz w:val="18"/>
          <w:lang w:val="en-US"/>
        </w:rPr>
        <w:t xml:space="preserve">H. </w:t>
      </w:r>
      <w:r w:rsidRPr="00182339">
        <w:rPr>
          <w:rFonts w:eastAsia="宋体"/>
          <w:noProof/>
          <w:sz w:val="18"/>
          <w:lang w:val="en-US"/>
        </w:rPr>
        <w:t xml:space="preserve">Nagasawa, </w:t>
      </w:r>
      <w:r>
        <w:rPr>
          <w:rFonts w:eastAsia="宋体"/>
          <w:noProof/>
          <w:sz w:val="18"/>
          <w:lang w:val="en-US"/>
        </w:rPr>
        <w:t xml:space="preserve">K. </w:t>
      </w:r>
      <w:r w:rsidRPr="00182339">
        <w:rPr>
          <w:rFonts w:eastAsia="宋体"/>
          <w:noProof/>
          <w:sz w:val="18"/>
          <w:lang w:val="en-US"/>
        </w:rPr>
        <w:t xml:space="preserve">Kumagai, </w:t>
      </w:r>
      <w:r>
        <w:rPr>
          <w:rFonts w:eastAsia="宋体"/>
          <w:noProof/>
          <w:sz w:val="18"/>
          <w:lang w:val="en-US"/>
        </w:rPr>
        <w:t xml:space="preserve">Y. </w:t>
      </w:r>
      <w:r w:rsidRPr="00182339">
        <w:rPr>
          <w:rFonts w:eastAsia="宋体"/>
          <w:noProof/>
          <w:sz w:val="18"/>
          <w:lang w:val="en-US"/>
        </w:rPr>
        <w:t xml:space="preserve">Yanagisawa, </w:t>
      </w:r>
      <w:r>
        <w:rPr>
          <w:rFonts w:eastAsia="宋体"/>
          <w:noProof/>
          <w:sz w:val="18"/>
          <w:lang w:val="en-US"/>
        </w:rPr>
        <w:t>A.</w:t>
      </w:r>
      <w:r w:rsidRPr="00182339">
        <w:rPr>
          <w:rFonts w:eastAsia="宋体"/>
          <w:noProof/>
          <w:sz w:val="18"/>
          <w:lang w:val="en-US"/>
        </w:rPr>
        <w:t xml:space="preserve"> Yamasaki, 2012</w:t>
      </w:r>
      <w:r>
        <w:rPr>
          <w:rFonts w:eastAsia="宋体"/>
          <w:noProof/>
          <w:sz w:val="18"/>
          <w:lang w:val="en-US"/>
        </w:rPr>
        <w:t>,</w:t>
      </w:r>
      <w:r w:rsidRPr="00182339">
        <w:rPr>
          <w:rFonts w:eastAsia="宋体"/>
          <w:noProof/>
          <w:sz w:val="18"/>
          <w:lang w:val="en-US"/>
        </w:rPr>
        <w:t xml:space="preserve"> Carbon dioxide recovery from carbonate solutions using bipolar membrane electrodialysis</w:t>
      </w:r>
      <w:r>
        <w:rPr>
          <w:rFonts w:eastAsia="宋体"/>
          <w:noProof/>
          <w:sz w:val="18"/>
          <w:lang w:val="en-US"/>
        </w:rPr>
        <w:t>,</w:t>
      </w:r>
      <w:r w:rsidRPr="00182339">
        <w:rPr>
          <w:rFonts w:eastAsia="宋体"/>
          <w:noProof/>
          <w:sz w:val="18"/>
          <w:lang w:val="en-US"/>
        </w:rPr>
        <w:t xml:space="preserve"> Separation and purification technology, 101, 49-59.</w:t>
      </w:r>
    </w:p>
    <w:p w14:paraId="444F6176" w14:textId="77777777" w:rsidR="00A71750" w:rsidRPr="00A71750" w:rsidRDefault="00A71750" w:rsidP="00A71750">
      <w:pPr>
        <w:ind w:left="240" w:hanging="240"/>
        <w:rPr>
          <w:rFonts w:eastAsia="宋体"/>
          <w:noProof/>
          <w:sz w:val="18"/>
          <w:lang w:val="en-US"/>
        </w:rPr>
      </w:pPr>
      <w:r w:rsidRPr="00A71750">
        <w:rPr>
          <w:rFonts w:eastAsia="宋体"/>
          <w:noProof/>
          <w:sz w:val="18"/>
          <w:lang w:val="en-US"/>
        </w:rPr>
        <w:t>D. W. Keith, G. Holmes, D. S. Angelo, K. Heidel, 2018, A process for capturing CO2 from the atmosphere, Joule, 2(8), 1573-1594.</w:t>
      </w:r>
    </w:p>
    <w:p w14:paraId="345AD6F1" w14:textId="77777777" w:rsidR="00A71750" w:rsidRPr="00A71750" w:rsidRDefault="00A71750" w:rsidP="00A71750">
      <w:pPr>
        <w:ind w:left="240" w:hanging="240"/>
        <w:rPr>
          <w:rFonts w:eastAsia="宋体"/>
          <w:noProof/>
          <w:sz w:val="18"/>
          <w:lang w:val="en-US"/>
        </w:rPr>
      </w:pPr>
      <w:r w:rsidRPr="00A71750">
        <w:rPr>
          <w:rFonts w:eastAsia="宋体"/>
          <w:noProof/>
          <w:sz w:val="18"/>
          <w:lang w:val="en-US"/>
        </w:rPr>
        <w:t>Z. Liu, Z. Deng, S. Davis,  P. Ciais, 2023, Monitoring global carbon emissions in 2022, Nature Reviews Earth &amp; Environment, 4(4), 205-206.</w:t>
      </w:r>
    </w:p>
    <w:p w14:paraId="1BF4A4AF" w14:textId="77777777" w:rsidR="00A71750" w:rsidRPr="00A71750" w:rsidRDefault="00A71750" w:rsidP="00A71750">
      <w:pPr>
        <w:ind w:left="240" w:hanging="240"/>
        <w:rPr>
          <w:rFonts w:eastAsia="宋体"/>
          <w:noProof/>
          <w:sz w:val="18"/>
          <w:lang w:val="en-US"/>
        </w:rPr>
      </w:pPr>
      <w:r w:rsidRPr="00A71750">
        <w:rPr>
          <w:rFonts w:eastAsia="宋体"/>
          <w:noProof/>
          <w:sz w:val="18"/>
          <w:lang w:val="en-US"/>
        </w:rPr>
        <w:t>F. Sabatino, A. Grimm, F. Gallucci, M. van Sint Annaland, G, J. Kramer, M. Gazzani, 2021, A comparative energy and costs assessment and optimization for direct air capture technologies, Joule, 5(8), 2047-2076.</w:t>
      </w:r>
    </w:p>
    <w:p w14:paraId="135E8BD8" w14:textId="77777777" w:rsidR="00A71750" w:rsidRPr="00A71750" w:rsidRDefault="00A71750" w:rsidP="00A71750">
      <w:pPr>
        <w:ind w:left="240" w:hanging="240"/>
        <w:rPr>
          <w:rFonts w:eastAsia="宋体"/>
          <w:noProof/>
          <w:sz w:val="18"/>
          <w:lang w:val="en-US"/>
        </w:rPr>
      </w:pPr>
      <w:r w:rsidRPr="00A71750">
        <w:rPr>
          <w:rFonts w:eastAsia="宋体"/>
          <w:noProof/>
          <w:sz w:val="18"/>
          <w:lang w:val="en-US"/>
        </w:rPr>
        <w:t>E. S. Sanz-Pérez, C. R. Murdock, S. A. Didas, C. W. Jones, 2016, Direct capture of CO2 from ambient air, Chemical reviews, 116(19), 11840-11876.</w:t>
      </w:r>
    </w:p>
    <w:p w14:paraId="2D278EC6" w14:textId="77777777" w:rsidR="00A71750" w:rsidRPr="00A71750" w:rsidRDefault="00A71750" w:rsidP="00A71750">
      <w:pPr>
        <w:ind w:left="240" w:hanging="240"/>
        <w:rPr>
          <w:rFonts w:eastAsia="宋体"/>
          <w:noProof/>
          <w:sz w:val="18"/>
          <w:lang w:val="en-US"/>
        </w:rPr>
      </w:pPr>
      <w:r w:rsidRPr="00A71750">
        <w:rPr>
          <w:rFonts w:eastAsia="宋体"/>
          <w:noProof/>
          <w:sz w:val="18"/>
          <w:lang w:val="en-US"/>
        </w:rPr>
        <w:t>R. Sharifian, R. M. Wagterveld, I. A. Digdaya, C. Xiang, D. A. Vermaas, 2021, Electrochemical carbon dioxide capture to close the carbon cycle, Energy &amp; Environmental Science, 14(2), 781-814.</w:t>
      </w:r>
    </w:p>
    <w:p w14:paraId="619D0956" w14:textId="77777777" w:rsidR="00A71750" w:rsidRPr="00A71750" w:rsidRDefault="00A71750" w:rsidP="00A71750">
      <w:pPr>
        <w:ind w:left="240" w:hanging="240"/>
        <w:rPr>
          <w:rFonts w:eastAsia="宋体"/>
          <w:noProof/>
          <w:sz w:val="18"/>
          <w:lang w:val="en-US"/>
        </w:rPr>
      </w:pPr>
      <w:r w:rsidRPr="00A71750">
        <w:rPr>
          <w:rFonts w:eastAsia="宋体"/>
          <w:noProof/>
          <w:sz w:val="18"/>
          <w:lang w:val="en-US"/>
        </w:rPr>
        <w:t>P. Zhu, Z. Y. Wu, A. Elgazzar, C. Dong, T. U. Wi, F. Y. Chen, Y. Xia, Y. Feng, M. Shakouri, J. Y. Kim, Z. Fang, T. A. Hatton, H. Wang, 2023, Continuous carbon capture in an electrochemical solid-electrolyte reactor, Nature, 618(7967), 959-966.</w:t>
      </w:r>
    </w:p>
    <w:p w14:paraId="144DE6C3" w14:textId="7BE4B07E" w:rsidR="008D2649" w:rsidRPr="00A71750" w:rsidRDefault="00A71750" w:rsidP="00A71750">
      <w:pPr>
        <w:ind w:left="240" w:hanging="240"/>
        <w:rPr>
          <w:rFonts w:eastAsia="宋体"/>
          <w:noProof/>
          <w:sz w:val="18"/>
          <w:lang w:val="en-US"/>
        </w:rPr>
      </w:pPr>
      <w:r w:rsidRPr="00A71750">
        <w:rPr>
          <w:rFonts w:eastAsia="宋体"/>
          <w:noProof/>
          <w:sz w:val="18"/>
          <w:lang w:val="en-US"/>
        </w:rPr>
        <w:t>X. Zhu, W. Xie, J. Wu, Y. Miao, C. Xiang, C. Chen, B. Ge, Z. Gan, F. Yang, M. Zhang, D. O’Hare, J. Li, T. Ge, R. Wang, 2022, Recent advances in direct air capture by adsorption, Chemical Society Reviews.</w:t>
      </w:r>
    </w:p>
    <w:sectPr w:rsidR="008D2649" w:rsidRPr="00A71750" w:rsidSect="008B0184">
      <w:headerReference w:type="even" r:id="rId53"/>
      <w:headerReference w:type="default" r:id="rId54"/>
      <w:headerReference w:type="first" r:id="rId55"/>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EB401" w14:textId="77777777" w:rsidR="00590473" w:rsidRDefault="00590473">
      <w:r>
        <w:separator/>
      </w:r>
    </w:p>
  </w:endnote>
  <w:endnote w:type="continuationSeparator" w:id="0">
    <w:p w14:paraId="4D84571A" w14:textId="77777777" w:rsidR="00590473" w:rsidRDefault="00590473">
      <w:r>
        <w:continuationSeparator/>
      </w:r>
    </w:p>
  </w:endnote>
  <w:endnote w:type="continuationNotice" w:id="1">
    <w:p w14:paraId="334F73B0" w14:textId="77777777" w:rsidR="0003690B" w:rsidRDefault="000369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BD682" w14:textId="77777777" w:rsidR="00590473" w:rsidRDefault="00590473">
      <w:r>
        <w:separator/>
      </w:r>
    </w:p>
  </w:footnote>
  <w:footnote w:type="continuationSeparator" w:id="0">
    <w:p w14:paraId="41ECE58D" w14:textId="77777777" w:rsidR="00590473" w:rsidRDefault="00590473">
      <w:r>
        <w:continuationSeparator/>
      </w:r>
    </w:p>
  </w:footnote>
  <w:footnote w:type="continuationNotice" w:id="1">
    <w:p w14:paraId="488CBC0A" w14:textId="77777777" w:rsidR="0003690B" w:rsidRDefault="000369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0B1733F1" w:rsidR="00DD3D9E" w:rsidRDefault="00DD3D9E">
    <w:pPr>
      <w:pStyle w:val="Header"/>
      <w:tabs>
        <w:tab w:val="clear" w:pos="7200"/>
        <w:tab w:val="right" w:pos="7088"/>
      </w:tabs>
    </w:pPr>
    <w:r>
      <w:rPr>
        <w:rStyle w:val="PageNumber"/>
      </w:rPr>
      <w:tab/>
    </w:r>
    <w:r>
      <w:rPr>
        <w:rStyle w:val="PageNumber"/>
        <w:i/>
      </w:rPr>
      <w:tab/>
    </w:r>
    <w:r w:rsidR="00C55E82">
      <w:rPr>
        <w:i/>
      </w:rPr>
      <w:t>G. Liu and A. Yang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066AE8D7" w:rsidR="00DD3D9E" w:rsidRDefault="00171DF9" w:rsidP="00320401">
    <w:pPr>
      <w:pStyle w:val="Header"/>
      <w:tabs>
        <w:tab w:val="clear" w:pos="7200"/>
        <w:tab w:val="right" w:pos="7088"/>
      </w:tabs>
      <w:ind w:right="800"/>
      <w:rPr>
        <w:sz w:val="24"/>
      </w:rPr>
    </w:pPr>
    <w:r w:rsidRPr="00171DF9">
      <w:rPr>
        <w:i/>
      </w:rPr>
      <w:t>Model-Based Assessment of Electrochemical Cells and Systems for Atmospheric CO</w:t>
    </w:r>
    <w:r w:rsidRPr="00171DF9">
      <w:rPr>
        <w:i/>
        <w:vertAlign w:val="subscript"/>
      </w:rPr>
      <w:t>2</w:t>
    </w:r>
    <w:r w:rsidRPr="00171DF9">
      <w:rPr>
        <w:i/>
      </w:rPr>
      <w:t xml:space="preserve"> </w:t>
    </w:r>
    <w:r w:rsidR="00BC034B">
      <w:rPr>
        <w:i/>
      </w:rPr>
      <w:t>R</w:t>
    </w:r>
    <w:r w:rsidRPr="00171DF9">
      <w:rPr>
        <w:i/>
      </w:rPr>
      <w:t>emoval</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7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36727"/>
    <w:rsid w:val="0003690B"/>
    <w:rsid w:val="000405AE"/>
    <w:rsid w:val="00041FA9"/>
    <w:rsid w:val="000633A2"/>
    <w:rsid w:val="00064D53"/>
    <w:rsid w:val="00085D89"/>
    <w:rsid w:val="00092CE3"/>
    <w:rsid w:val="00097546"/>
    <w:rsid w:val="000B4DB0"/>
    <w:rsid w:val="000C4F12"/>
    <w:rsid w:val="000C72A6"/>
    <w:rsid w:val="000D3D9B"/>
    <w:rsid w:val="000D4C45"/>
    <w:rsid w:val="000D6D94"/>
    <w:rsid w:val="000E0F2F"/>
    <w:rsid w:val="000E687E"/>
    <w:rsid w:val="0011133C"/>
    <w:rsid w:val="0011520A"/>
    <w:rsid w:val="00126879"/>
    <w:rsid w:val="001277E6"/>
    <w:rsid w:val="00130FF1"/>
    <w:rsid w:val="0016032F"/>
    <w:rsid w:val="00171DF9"/>
    <w:rsid w:val="0017486C"/>
    <w:rsid w:val="00182339"/>
    <w:rsid w:val="001879F6"/>
    <w:rsid w:val="00195A83"/>
    <w:rsid w:val="001B110C"/>
    <w:rsid w:val="001B1201"/>
    <w:rsid w:val="001B1718"/>
    <w:rsid w:val="001C0148"/>
    <w:rsid w:val="001C1A2F"/>
    <w:rsid w:val="001C757E"/>
    <w:rsid w:val="001E6953"/>
    <w:rsid w:val="0020390F"/>
    <w:rsid w:val="00217249"/>
    <w:rsid w:val="0022300A"/>
    <w:rsid w:val="002459E7"/>
    <w:rsid w:val="00246EC8"/>
    <w:rsid w:val="002471B4"/>
    <w:rsid w:val="00253B5E"/>
    <w:rsid w:val="00264926"/>
    <w:rsid w:val="00274387"/>
    <w:rsid w:val="00276326"/>
    <w:rsid w:val="002A027A"/>
    <w:rsid w:val="002B10B3"/>
    <w:rsid w:val="002C0D7E"/>
    <w:rsid w:val="002C3ACB"/>
    <w:rsid w:val="002F1668"/>
    <w:rsid w:val="003070D3"/>
    <w:rsid w:val="0032029E"/>
    <w:rsid w:val="00320401"/>
    <w:rsid w:val="003229E0"/>
    <w:rsid w:val="00333998"/>
    <w:rsid w:val="00347B93"/>
    <w:rsid w:val="0037057F"/>
    <w:rsid w:val="00373B48"/>
    <w:rsid w:val="00376EBC"/>
    <w:rsid w:val="003957BD"/>
    <w:rsid w:val="00396FDD"/>
    <w:rsid w:val="003A5D28"/>
    <w:rsid w:val="003B000A"/>
    <w:rsid w:val="003B0C71"/>
    <w:rsid w:val="003B30A3"/>
    <w:rsid w:val="003D0E9E"/>
    <w:rsid w:val="003D1582"/>
    <w:rsid w:val="003D7E4C"/>
    <w:rsid w:val="003E1FA3"/>
    <w:rsid w:val="003E27A8"/>
    <w:rsid w:val="003E41C2"/>
    <w:rsid w:val="003F32A5"/>
    <w:rsid w:val="00426C12"/>
    <w:rsid w:val="004360FA"/>
    <w:rsid w:val="004405B7"/>
    <w:rsid w:val="004545C9"/>
    <w:rsid w:val="00473ACC"/>
    <w:rsid w:val="00476D82"/>
    <w:rsid w:val="00477067"/>
    <w:rsid w:val="0049772C"/>
    <w:rsid w:val="00497C97"/>
    <w:rsid w:val="004C00D9"/>
    <w:rsid w:val="004F3DDA"/>
    <w:rsid w:val="004F4F7C"/>
    <w:rsid w:val="004F7CC1"/>
    <w:rsid w:val="00527074"/>
    <w:rsid w:val="00552338"/>
    <w:rsid w:val="00552EEB"/>
    <w:rsid w:val="00556C80"/>
    <w:rsid w:val="0057460D"/>
    <w:rsid w:val="0058407C"/>
    <w:rsid w:val="005845E8"/>
    <w:rsid w:val="00590473"/>
    <w:rsid w:val="00595C7D"/>
    <w:rsid w:val="005A0AE8"/>
    <w:rsid w:val="005B6685"/>
    <w:rsid w:val="005D2621"/>
    <w:rsid w:val="00610EF1"/>
    <w:rsid w:val="00633300"/>
    <w:rsid w:val="00642962"/>
    <w:rsid w:val="00643384"/>
    <w:rsid w:val="006566F2"/>
    <w:rsid w:val="006741F0"/>
    <w:rsid w:val="006A5A2D"/>
    <w:rsid w:val="006A69BF"/>
    <w:rsid w:val="006B1A82"/>
    <w:rsid w:val="006B226F"/>
    <w:rsid w:val="006B2D85"/>
    <w:rsid w:val="006B377B"/>
    <w:rsid w:val="006C2198"/>
    <w:rsid w:val="006C6D80"/>
    <w:rsid w:val="006D030B"/>
    <w:rsid w:val="006F0D95"/>
    <w:rsid w:val="006F638A"/>
    <w:rsid w:val="0070104D"/>
    <w:rsid w:val="007068AD"/>
    <w:rsid w:val="00711DF4"/>
    <w:rsid w:val="00723171"/>
    <w:rsid w:val="00723E91"/>
    <w:rsid w:val="00744375"/>
    <w:rsid w:val="00746C6B"/>
    <w:rsid w:val="00756C64"/>
    <w:rsid w:val="00764B34"/>
    <w:rsid w:val="00771796"/>
    <w:rsid w:val="007A3517"/>
    <w:rsid w:val="007B2CBF"/>
    <w:rsid w:val="007D11B2"/>
    <w:rsid w:val="007D70A1"/>
    <w:rsid w:val="00807396"/>
    <w:rsid w:val="00811007"/>
    <w:rsid w:val="008132E8"/>
    <w:rsid w:val="00823407"/>
    <w:rsid w:val="00835A2F"/>
    <w:rsid w:val="00864068"/>
    <w:rsid w:val="008657BB"/>
    <w:rsid w:val="0088014B"/>
    <w:rsid w:val="00880C5A"/>
    <w:rsid w:val="008B0184"/>
    <w:rsid w:val="008C5D02"/>
    <w:rsid w:val="008D2649"/>
    <w:rsid w:val="008F177B"/>
    <w:rsid w:val="0090568D"/>
    <w:rsid w:val="00906744"/>
    <w:rsid w:val="009125C9"/>
    <w:rsid w:val="00912DFB"/>
    <w:rsid w:val="00913879"/>
    <w:rsid w:val="0091493D"/>
    <w:rsid w:val="009149B1"/>
    <w:rsid w:val="00917661"/>
    <w:rsid w:val="00946E3C"/>
    <w:rsid w:val="009500B2"/>
    <w:rsid w:val="00953AB8"/>
    <w:rsid w:val="00966AE7"/>
    <w:rsid w:val="00970E5D"/>
    <w:rsid w:val="0097701C"/>
    <w:rsid w:val="00980A65"/>
    <w:rsid w:val="009836CE"/>
    <w:rsid w:val="009850AA"/>
    <w:rsid w:val="009872AE"/>
    <w:rsid w:val="00996907"/>
    <w:rsid w:val="009B5425"/>
    <w:rsid w:val="009D0A9B"/>
    <w:rsid w:val="009D617F"/>
    <w:rsid w:val="009E3E0A"/>
    <w:rsid w:val="009F20E0"/>
    <w:rsid w:val="009F4A60"/>
    <w:rsid w:val="00A12379"/>
    <w:rsid w:val="00A21A42"/>
    <w:rsid w:val="00A25E70"/>
    <w:rsid w:val="00A33765"/>
    <w:rsid w:val="00A45896"/>
    <w:rsid w:val="00A46A16"/>
    <w:rsid w:val="00A50CDB"/>
    <w:rsid w:val="00A5663E"/>
    <w:rsid w:val="00A57A08"/>
    <w:rsid w:val="00A60D25"/>
    <w:rsid w:val="00A63269"/>
    <w:rsid w:val="00A71750"/>
    <w:rsid w:val="00A7472B"/>
    <w:rsid w:val="00A80B75"/>
    <w:rsid w:val="00A92377"/>
    <w:rsid w:val="00A9699E"/>
    <w:rsid w:val="00AA4F10"/>
    <w:rsid w:val="00AB29ED"/>
    <w:rsid w:val="00AC1085"/>
    <w:rsid w:val="00AE4BD8"/>
    <w:rsid w:val="00AE4E40"/>
    <w:rsid w:val="00AE556F"/>
    <w:rsid w:val="00AF0DF4"/>
    <w:rsid w:val="00AF7A87"/>
    <w:rsid w:val="00B040CD"/>
    <w:rsid w:val="00B301AD"/>
    <w:rsid w:val="00B4388F"/>
    <w:rsid w:val="00B63237"/>
    <w:rsid w:val="00B64273"/>
    <w:rsid w:val="00B65939"/>
    <w:rsid w:val="00B87346"/>
    <w:rsid w:val="00B961F5"/>
    <w:rsid w:val="00BB3A1A"/>
    <w:rsid w:val="00BB6BC2"/>
    <w:rsid w:val="00BC034B"/>
    <w:rsid w:val="00BD7244"/>
    <w:rsid w:val="00BE38EC"/>
    <w:rsid w:val="00C247CF"/>
    <w:rsid w:val="00C55E82"/>
    <w:rsid w:val="00C65606"/>
    <w:rsid w:val="00C8183F"/>
    <w:rsid w:val="00C85268"/>
    <w:rsid w:val="00C95D0C"/>
    <w:rsid w:val="00C960DC"/>
    <w:rsid w:val="00CA57CD"/>
    <w:rsid w:val="00CC1EA6"/>
    <w:rsid w:val="00CC2A2D"/>
    <w:rsid w:val="00CE5A34"/>
    <w:rsid w:val="00CF169C"/>
    <w:rsid w:val="00D02C75"/>
    <w:rsid w:val="00D0323C"/>
    <w:rsid w:val="00D03FC1"/>
    <w:rsid w:val="00D10E22"/>
    <w:rsid w:val="00D12490"/>
    <w:rsid w:val="00D13D2C"/>
    <w:rsid w:val="00D2033D"/>
    <w:rsid w:val="00D236F9"/>
    <w:rsid w:val="00D27E6D"/>
    <w:rsid w:val="00D57EC2"/>
    <w:rsid w:val="00D8128C"/>
    <w:rsid w:val="00D93732"/>
    <w:rsid w:val="00D93B64"/>
    <w:rsid w:val="00DA7A07"/>
    <w:rsid w:val="00DB64A9"/>
    <w:rsid w:val="00DC2F94"/>
    <w:rsid w:val="00DD3D9E"/>
    <w:rsid w:val="00DD7908"/>
    <w:rsid w:val="00DE0FA2"/>
    <w:rsid w:val="00E13E67"/>
    <w:rsid w:val="00E142B8"/>
    <w:rsid w:val="00E17CA3"/>
    <w:rsid w:val="00E5782C"/>
    <w:rsid w:val="00E82297"/>
    <w:rsid w:val="00E97C20"/>
    <w:rsid w:val="00EA114D"/>
    <w:rsid w:val="00EF39FD"/>
    <w:rsid w:val="00EF51CA"/>
    <w:rsid w:val="00F06842"/>
    <w:rsid w:val="00F107FD"/>
    <w:rsid w:val="00F1650C"/>
    <w:rsid w:val="00F230B4"/>
    <w:rsid w:val="00F8782B"/>
    <w:rsid w:val="00FA485B"/>
    <w:rsid w:val="00FB64A8"/>
    <w:rsid w:val="00FF3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shapelayout>
  </w:shapeDefaults>
  <w:decimalSymbol w:val="."/>
  <w:listSeparator w:val=","/>
  <w14:docId w14:val="144DE67F"/>
  <w15:docId w15:val="{A4B8012C-C650-49F7-8778-D6A21D2D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styleId="Revision">
    <w:name w:val="Revision"/>
    <w:hidden/>
    <w:uiPriority w:val="99"/>
    <w:semiHidden/>
    <w:rsid w:val="00556C8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209</TotalTime>
  <Pages>6</Pages>
  <Words>2129</Words>
  <Characters>12748</Characters>
  <Application>Microsoft Office Word</Application>
  <DocSecurity>0</DocSecurity>
  <Lines>106</Lines>
  <Paragraphs>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cp:lastModifiedBy>Guokun Liu</cp:lastModifiedBy>
  <cp:revision>215</cp:revision>
  <cp:lastPrinted>2004-12-17T17:20:00Z</cp:lastPrinted>
  <dcterms:created xsi:type="dcterms:W3CDTF">2023-10-02T15:50:00Z</dcterms:created>
  <dcterms:modified xsi:type="dcterms:W3CDTF">2023-12-29T03:05:00Z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