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DE67F" w14:textId="7068922B" w:rsidR="00DD3D9E" w:rsidRPr="00E25FE9" w:rsidRDefault="00E25FE9" w:rsidP="00E25FE9">
      <w:pPr>
        <w:pStyle w:val="Els-Title"/>
      </w:pPr>
      <w:r w:rsidRPr="004F5E6B">
        <w:t>Assessment of Technical and Economic Viability in the Transformation of Refinery Vacuum Residue Waste into Cleaner Fuels</w:t>
      </w:r>
      <w:r w:rsidRPr="00667739">
        <w:t xml:space="preserve"> </w:t>
      </w:r>
    </w:p>
    <w:p w14:paraId="144DE680" w14:textId="7C50C701" w:rsidR="00DD3D9E" w:rsidRPr="00E25FE9" w:rsidRDefault="00186D40">
      <w:pPr>
        <w:pStyle w:val="Els-Author"/>
        <w:rPr>
          <w:szCs w:val="22"/>
          <w:lang w:val="en-US"/>
        </w:rPr>
      </w:pPr>
      <w:r w:rsidRPr="00186D40">
        <w:rPr>
          <w:szCs w:val="22"/>
        </w:rPr>
        <w:t xml:space="preserve">Ammr M. Khurmy </w:t>
      </w:r>
      <w:r w:rsidRPr="00186D40">
        <w:rPr>
          <w:szCs w:val="22"/>
          <w:vertAlign w:val="superscript"/>
        </w:rPr>
        <w:t>a,b</w:t>
      </w:r>
      <w:r w:rsidRPr="00186D40">
        <w:rPr>
          <w:szCs w:val="22"/>
        </w:rPr>
        <w:t xml:space="preserve"> , </w:t>
      </w:r>
      <w:r w:rsidR="00406F03" w:rsidRPr="00186D40">
        <w:rPr>
          <w:szCs w:val="22"/>
        </w:rPr>
        <w:t xml:space="preserve">Usama Ahmed </w:t>
      </w:r>
      <w:r w:rsidR="00406F03" w:rsidRPr="00186D40">
        <w:rPr>
          <w:szCs w:val="22"/>
          <w:vertAlign w:val="superscript"/>
        </w:rPr>
        <w:t>a,</w:t>
      </w:r>
      <w:r w:rsidR="00406F03">
        <w:rPr>
          <w:szCs w:val="22"/>
          <w:vertAlign w:val="superscript"/>
        </w:rPr>
        <w:t xml:space="preserve">c </w:t>
      </w:r>
      <w:r w:rsidR="00406F03">
        <w:rPr>
          <w:szCs w:val="22"/>
        </w:rPr>
        <w:t xml:space="preserve">, </w:t>
      </w:r>
      <w:r w:rsidRPr="00186D40">
        <w:rPr>
          <w:szCs w:val="22"/>
        </w:rPr>
        <w:t xml:space="preserve">Ahmad Al Harbi </w:t>
      </w:r>
      <w:r w:rsidR="00406F03">
        <w:rPr>
          <w:szCs w:val="22"/>
          <w:vertAlign w:val="superscript"/>
        </w:rPr>
        <w:t>d</w:t>
      </w:r>
      <w:r w:rsidRPr="00186D40">
        <w:rPr>
          <w:szCs w:val="22"/>
        </w:rPr>
        <w:t xml:space="preserve">, </w:t>
      </w:r>
      <w:r w:rsidR="00E25FE9">
        <w:t>Taha Aziz *</w:t>
      </w:r>
      <w:r w:rsidR="00406F03">
        <w:rPr>
          <w:vertAlign w:val="superscript"/>
        </w:rPr>
        <w:t>e</w:t>
      </w:r>
    </w:p>
    <w:p w14:paraId="2164161B" w14:textId="73DE79BB" w:rsidR="008E5EB9" w:rsidRPr="00E2400C" w:rsidRDefault="008E5EB9" w:rsidP="008E5EB9">
      <w:pPr>
        <w:pStyle w:val="Els-Affiliation"/>
        <w:jc w:val="both"/>
      </w:pPr>
      <w:r w:rsidRPr="00E2400C">
        <w:rPr>
          <w:vertAlign w:val="superscript"/>
        </w:rPr>
        <w:t>a</w:t>
      </w:r>
      <w:r w:rsidRPr="00E2400C">
        <w:t>Chemical Engineering Department, King Fahd University of Petroleum and Minerals, Dhahran 31261, Saudi Arabia</w:t>
      </w:r>
    </w:p>
    <w:p w14:paraId="0556F25C" w14:textId="52A89147" w:rsidR="008E5EB9" w:rsidRPr="00E2400C" w:rsidRDefault="008E5EB9" w:rsidP="008E5EB9">
      <w:pPr>
        <w:pStyle w:val="Els-Affiliation"/>
        <w:jc w:val="both"/>
      </w:pPr>
      <w:r w:rsidRPr="00E2400C">
        <w:rPr>
          <w:vertAlign w:val="superscript"/>
        </w:rPr>
        <w:t>b</w:t>
      </w:r>
      <w:r w:rsidRPr="00E2400C">
        <w:t>Petrochemical and Conversion Industries Sector, Ministry of Investment of Saudi Arabia, Riyadh 12382, SaudiArabia</w:t>
      </w:r>
    </w:p>
    <w:p w14:paraId="54635AA9" w14:textId="681DC40A" w:rsidR="00406F03" w:rsidRDefault="00406F03" w:rsidP="00406F03">
      <w:pPr>
        <w:pStyle w:val="Els-Affiliation"/>
        <w:jc w:val="both"/>
      </w:pPr>
      <w:r>
        <w:rPr>
          <w:vertAlign w:val="superscript"/>
        </w:rPr>
        <w:t>c</w:t>
      </w:r>
      <w:r w:rsidRPr="00E2400C">
        <w:t>Interdisciplinary Research Center for Hydrogen and Energy Storage, King Fahd University of Petroleum and Minerals, Dhahran 31261, Saudi Arabia</w:t>
      </w:r>
    </w:p>
    <w:p w14:paraId="27DA2C6F" w14:textId="080E0792" w:rsidR="008E5EB9" w:rsidRPr="00E2400C" w:rsidRDefault="00406F03" w:rsidP="008E5EB9">
      <w:pPr>
        <w:pStyle w:val="Els-Affiliation"/>
        <w:jc w:val="both"/>
      </w:pPr>
      <w:r>
        <w:rPr>
          <w:vertAlign w:val="superscript"/>
        </w:rPr>
        <w:t>d</w:t>
      </w:r>
      <w:r w:rsidR="008E5EB9" w:rsidRPr="00E2400C">
        <w:t>Engineering Department, Sadara Chemical Company, Jubail 35412, Saudi Arabia</w:t>
      </w:r>
    </w:p>
    <w:p w14:paraId="7ABE9EEB" w14:textId="2120429D" w:rsidR="00E25FE9" w:rsidRPr="003D3BB1" w:rsidRDefault="00E25FE9" w:rsidP="00E25FE9">
      <w:pPr>
        <w:pStyle w:val="Els-Affiliation"/>
        <w:rPr>
          <w:lang w:val="en-US"/>
        </w:rPr>
      </w:pPr>
      <w:r>
        <w:rPr>
          <w:vertAlign w:val="superscript"/>
        </w:rPr>
        <w:t>e</w:t>
      </w:r>
      <w:r>
        <w:t xml:space="preserve"> </w:t>
      </w:r>
      <w:r w:rsidRPr="003D3BB1">
        <w:t>Department of Mathematics, Dammam Community College, King Fahd University of Petroleum and Minerals, KFUPM Box 5084, Dhahran, 31261, Saudi Arabia</w:t>
      </w:r>
    </w:p>
    <w:p w14:paraId="7DE3A669" w14:textId="77777777" w:rsidR="00E25FE9" w:rsidRPr="009F2106" w:rsidRDefault="00E25FE9" w:rsidP="00E25FE9">
      <w:pPr>
        <w:pStyle w:val="Els-Affiliation"/>
      </w:pPr>
      <w:r w:rsidRPr="009F2106">
        <w:t>*</w:t>
      </w:r>
      <w:r>
        <w:t xml:space="preserve"> </w:t>
      </w:r>
      <w:r w:rsidRPr="009F2106">
        <w:t xml:space="preserve">Corresponding Author’s E-mail: </w:t>
      </w:r>
      <w:hyperlink r:id="rId9" w:history="1">
        <w:r w:rsidRPr="001C369E">
          <w:rPr>
            <w:rStyle w:val="Hyperlink"/>
          </w:rPr>
          <w:t>taha.aziz@kfupm.edu.sa</w:t>
        </w:r>
      </w:hyperlink>
      <w:r>
        <w:t xml:space="preserve"> </w:t>
      </w:r>
    </w:p>
    <w:p w14:paraId="144DE684" w14:textId="30485282" w:rsidR="008D2649" w:rsidRDefault="008D2649" w:rsidP="008D2649">
      <w:pPr>
        <w:pStyle w:val="Els-Abstract"/>
      </w:pPr>
      <w:r>
        <w:t>Abstract</w:t>
      </w:r>
    </w:p>
    <w:p w14:paraId="0B848388" w14:textId="680AA22A" w:rsidR="00526E18" w:rsidRDefault="00DD1FE2" w:rsidP="00526E18">
      <w:pPr>
        <w:pStyle w:val="Els-body-text"/>
        <w:spacing w:after="120"/>
        <w:rPr>
          <w:lang w:val="en-GB"/>
        </w:rPr>
      </w:pPr>
      <w:r>
        <w:t>Methanol and hydrogen, as cleaner fuel options, hold significant potential for decarbonizing the petrochemical industry</w:t>
      </w:r>
      <w:sdt>
        <w:sdtPr>
          <w:tag w:val="MENDELEY_CITATION_v3_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"/>
          <w:id w:val="-1183737187"/>
          <w:placeholder>
            <w:docPart w:val="94AB336D35DF4200AF7FFE97312ED850"/>
          </w:placeholder>
        </w:sdtPr>
        <w:sdtContent>
          <w:r>
            <w:t xml:space="preserve"> (Hamid </w:t>
          </w:r>
          <w:r>
            <w:rPr>
              <w:i/>
              <w:iCs/>
            </w:rPr>
            <w:t>et al.</w:t>
          </w:r>
          <w:r>
            <w:t>, 2020)</w:t>
          </w:r>
        </w:sdtContent>
      </w:sdt>
      <w:r>
        <w:t>. This study aims to establish a process integration framework for the simultaneous production of methanol and hydrogen from vacuum residue while minimizing sulfur and carbon emissions</w:t>
      </w:r>
      <w:sdt>
        <w:sdtPr>
          <w:tag w:val="MENDELEY_CITATION_v3_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"/>
          <w:id w:val="2112851564"/>
          <w:placeholder>
            <w:docPart w:val="94AB336D35DF4200AF7FFE97312ED850"/>
          </w:placeholder>
        </w:sdtPr>
        <w:sdtContent>
          <w:r>
            <w:t xml:space="preserve"> (</w:t>
          </w:r>
          <w:proofErr w:type="spellStart"/>
          <w:r>
            <w:t>Gudiyella</w:t>
          </w:r>
          <w:proofErr w:type="spellEnd"/>
          <w:r>
            <w:t xml:space="preserve"> </w:t>
          </w:r>
          <w:r>
            <w:rPr>
              <w:i/>
              <w:iCs/>
            </w:rPr>
            <w:t>et al.</w:t>
          </w:r>
          <w:r>
            <w:t>, 2018)</w:t>
          </w:r>
        </w:sdtContent>
      </w:sdt>
      <w:r>
        <w:t>. This investigation involves the development of two distinct process models. In the first case, vacuum residue is subjected to gasification using oxygen and steam, with the resulting syngas being processed to yield both methanol and hydrogen. The second case follows a similar process model to the first but places a stronger emphasis on methanol production from vacuum residue. Both models are subjected to a comprehensive techno-economic comparison, considering various factors such as methanol and hydrogen production rates, specific energy requirements, carbon conversion, CO</w:t>
      </w:r>
      <w:r w:rsidRPr="00DD592D">
        <w:rPr>
          <w:vertAlign w:val="subscript"/>
        </w:rPr>
        <w:t>2</w:t>
      </w:r>
      <w:r>
        <w:t xml:space="preserve"> emissions, overall process efficiencies, and project feasibility. The comparative analysis reveals that the second case, focused on methanol production, offers several advantages. It reduces the specific energy requirements by 86.01% compared to the first case. Additionally, CO</w:t>
      </w:r>
      <w:r w:rsidRPr="00DD592D">
        <w:rPr>
          <w:vertAlign w:val="subscript"/>
        </w:rPr>
        <w:t>2</w:t>
      </w:r>
      <w:r>
        <w:t xml:space="preserve"> emissions are reduced by 69.76% in the second case compared to the first. Overall, the second case demonstrates superior project feasibility, showcasing enhanced process performance and reduced production costs in comparison to the first case.</w:t>
      </w:r>
    </w:p>
    <w:p w14:paraId="144DE687" w14:textId="392FA9F3" w:rsidR="008D2649" w:rsidRDefault="008D2649" w:rsidP="00526E18">
      <w:pPr>
        <w:pStyle w:val="Els-body-text"/>
        <w:spacing w:after="120"/>
        <w:rPr>
          <w:lang w:val="en-GB"/>
        </w:rPr>
      </w:pPr>
      <w:r>
        <w:rPr>
          <w:b/>
          <w:bCs/>
          <w:lang w:val="en-GB"/>
        </w:rPr>
        <w:t>Keywords</w:t>
      </w:r>
      <w:r>
        <w:rPr>
          <w:lang w:val="en-GB"/>
        </w:rPr>
        <w:t xml:space="preserve">: </w:t>
      </w:r>
      <w:r w:rsidR="00526E18">
        <w:t>gasification; vacuum residue; carbon capture and utilization; methanol synthesis; hydrogen; process integration</w:t>
      </w:r>
    </w:p>
    <w:p w14:paraId="144DE689" w14:textId="29C76F89" w:rsidR="008D2649" w:rsidRDefault="00CE0975" w:rsidP="008D2649">
      <w:pPr>
        <w:pStyle w:val="Els-1storder-head"/>
      </w:pPr>
      <w:r>
        <w:t>Introduction</w:t>
      </w:r>
    </w:p>
    <w:p w14:paraId="39EA01A8" w14:textId="7C7DC651" w:rsidR="00201586" w:rsidRPr="007149E7" w:rsidRDefault="00526E18" w:rsidP="007149E7">
      <w:pPr>
        <w:pStyle w:val="Els-1storder-head"/>
        <w:numPr>
          <w:ilvl w:val="0"/>
          <w:numId w:val="0"/>
        </w:numPr>
        <w:rPr>
          <w:b w:val="0"/>
          <w:sz w:val="20"/>
        </w:rPr>
      </w:pPr>
      <w:r w:rsidRPr="00526E18">
        <w:rPr>
          <w:b w:val="0"/>
          <w:sz w:val="20"/>
        </w:rPr>
        <w:t xml:space="preserve">The global refining industry is </w:t>
      </w:r>
      <w:r>
        <w:rPr>
          <w:b w:val="0"/>
          <w:sz w:val="20"/>
        </w:rPr>
        <w:t>loaded</w:t>
      </w:r>
      <w:r w:rsidRPr="00526E18">
        <w:rPr>
          <w:b w:val="0"/>
          <w:sz w:val="20"/>
        </w:rPr>
        <w:t xml:space="preserve"> with mounting challenges, including stringent environmental regulations, thin profit margins and evolving demand patterns. The focus on reducing sulfur content in residual fuel oil for domestic use such as heavy fuel oil (HFO) is intensifying due to environmental concerns. The shift toward lower sulfur levels</w:t>
      </w:r>
      <w:r>
        <w:rPr>
          <w:b w:val="0"/>
          <w:sz w:val="20"/>
        </w:rPr>
        <w:t xml:space="preserve"> that are</w:t>
      </w:r>
      <w:r w:rsidRPr="00526E18">
        <w:rPr>
          <w:b w:val="0"/>
          <w:sz w:val="20"/>
        </w:rPr>
        <w:t xml:space="preserve"> reaching 0.5 </w:t>
      </w:r>
      <w:proofErr w:type="spellStart"/>
      <w:r w:rsidRPr="00526E18">
        <w:rPr>
          <w:b w:val="0"/>
          <w:sz w:val="20"/>
        </w:rPr>
        <w:t>wt</w:t>
      </w:r>
      <w:proofErr w:type="spellEnd"/>
      <w:r w:rsidRPr="00526E18">
        <w:rPr>
          <w:b w:val="0"/>
          <w:sz w:val="20"/>
        </w:rPr>
        <w:t>%</w:t>
      </w:r>
      <w:r>
        <w:rPr>
          <w:b w:val="0"/>
          <w:sz w:val="20"/>
        </w:rPr>
        <w:t xml:space="preserve"> requires</w:t>
      </w:r>
      <w:r w:rsidRPr="00526E18">
        <w:rPr>
          <w:b w:val="0"/>
          <w:sz w:val="20"/>
        </w:rPr>
        <w:t xml:space="preserve"> expensive flue gas treatment for HFO combustion</w:t>
      </w:r>
      <w:r>
        <w:rPr>
          <w:b w:val="0"/>
          <w:sz w:val="20"/>
        </w:rPr>
        <w:t xml:space="preserve"> and</w:t>
      </w:r>
      <w:r w:rsidRPr="00526E18">
        <w:rPr>
          <w:b w:val="0"/>
          <w:sz w:val="20"/>
        </w:rPr>
        <w:t xml:space="preserve"> </w:t>
      </w:r>
      <w:r w:rsidRPr="00526E18">
        <w:rPr>
          <w:b w:val="0"/>
          <w:sz w:val="20"/>
        </w:rPr>
        <w:lastRenderedPageBreak/>
        <w:t xml:space="preserve">prompting refineries to seek alternative conversion methods for heavy </w:t>
      </w:r>
      <w:r w:rsidR="00412D82" w:rsidRPr="00526E18">
        <w:rPr>
          <w:b w:val="0"/>
          <w:sz w:val="20"/>
        </w:rPr>
        <w:t>residues</w:t>
      </w:r>
      <w:r w:rsidR="00683EF4">
        <w:rPr>
          <w:b w:val="0"/>
          <w:sz w:val="20"/>
        </w:rPr>
        <w:t>.</w:t>
      </w:r>
      <w:r w:rsidR="00412D82">
        <w:rPr>
          <w:b w:val="0"/>
          <w:sz w:val="20"/>
        </w:rPr>
        <w:t xml:space="preserve"> </w:t>
      </w:r>
      <w:r w:rsidRPr="00526E18">
        <w:rPr>
          <w:b w:val="0"/>
          <w:sz w:val="20"/>
        </w:rPr>
        <w:t>Upgrading these residues to lighter products emerges as a key strategy to enhance refinery margins while addressing environmental standards</w:t>
      </w:r>
      <w:r w:rsidR="00683EF4">
        <w:rPr>
          <w:b w:val="0"/>
          <w:sz w:val="20"/>
        </w:rPr>
        <w:t xml:space="preserve"> (</w:t>
      </w:r>
      <w:proofErr w:type="spellStart"/>
      <w:r w:rsidR="00683EF4" w:rsidRPr="00412D82">
        <w:rPr>
          <w:b w:val="0"/>
          <w:sz w:val="20"/>
        </w:rPr>
        <w:t>Zuideveld</w:t>
      </w:r>
      <w:proofErr w:type="spellEnd"/>
      <w:r w:rsidR="00683EF4">
        <w:rPr>
          <w:b w:val="0"/>
          <w:sz w:val="20"/>
        </w:rPr>
        <w:t xml:space="preserve"> et al., 2000)</w:t>
      </w:r>
      <w:r w:rsidRPr="00526E18">
        <w:rPr>
          <w:b w:val="0"/>
          <w:sz w:val="20"/>
        </w:rPr>
        <w:t>.</w:t>
      </w:r>
      <w:r>
        <w:rPr>
          <w:b w:val="0"/>
          <w:sz w:val="20"/>
        </w:rPr>
        <w:t xml:space="preserve"> </w:t>
      </w:r>
      <w:r w:rsidRPr="00526E18">
        <w:rPr>
          <w:b w:val="0"/>
          <w:sz w:val="20"/>
        </w:rPr>
        <w:t>Ships, as major consumers of HFO</w:t>
      </w:r>
      <w:r>
        <w:rPr>
          <w:b w:val="0"/>
          <w:sz w:val="20"/>
        </w:rPr>
        <w:t xml:space="preserve"> </w:t>
      </w:r>
      <w:r w:rsidR="002C77C5">
        <w:rPr>
          <w:b w:val="0"/>
          <w:sz w:val="20"/>
        </w:rPr>
        <w:t>can</w:t>
      </w:r>
      <w:r w:rsidR="002C77C5" w:rsidRPr="00526E18">
        <w:rPr>
          <w:b w:val="0"/>
          <w:sz w:val="20"/>
        </w:rPr>
        <w:t xml:space="preserve"> contribute</w:t>
      </w:r>
      <w:r w:rsidRPr="00526E18">
        <w:rPr>
          <w:b w:val="0"/>
          <w:sz w:val="20"/>
        </w:rPr>
        <w:t xml:space="preserve"> significantly to air pollution and greenhouse gas emissions. The shipping industry's share in global CO</w:t>
      </w:r>
      <w:r w:rsidRPr="00526E18">
        <w:rPr>
          <w:b w:val="0"/>
          <w:sz w:val="20"/>
          <w:vertAlign w:val="subscript"/>
        </w:rPr>
        <w:t>2</w:t>
      </w:r>
      <w:r w:rsidRPr="00526E18">
        <w:rPr>
          <w:b w:val="0"/>
          <w:sz w:val="20"/>
        </w:rPr>
        <w:t xml:space="preserve">, </w:t>
      </w:r>
      <w:proofErr w:type="spellStart"/>
      <w:r w:rsidRPr="00526E18">
        <w:rPr>
          <w:b w:val="0"/>
          <w:sz w:val="20"/>
        </w:rPr>
        <w:t>SO</w:t>
      </w:r>
      <w:r w:rsidRPr="00526E18">
        <w:rPr>
          <w:b w:val="0"/>
          <w:sz w:val="20"/>
          <w:vertAlign w:val="subscript"/>
        </w:rPr>
        <w:t>x</w:t>
      </w:r>
      <w:proofErr w:type="spellEnd"/>
      <w:r w:rsidRPr="00526E18">
        <w:rPr>
          <w:b w:val="0"/>
          <w:sz w:val="20"/>
        </w:rPr>
        <w:t>, and NO</w:t>
      </w:r>
      <w:r w:rsidRPr="00526E18">
        <w:rPr>
          <w:b w:val="0"/>
          <w:sz w:val="20"/>
          <w:vertAlign w:val="subscript"/>
        </w:rPr>
        <w:t>x</w:t>
      </w:r>
      <w:r w:rsidRPr="00526E18">
        <w:rPr>
          <w:b w:val="0"/>
          <w:sz w:val="20"/>
        </w:rPr>
        <w:t xml:space="preserve"> emissions is substantial</w:t>
      </w:r>
      <w:r w:rsidR="00701D23">
        <w:rPr>
          <w:b w:val="0"/>
          <w:sz w:val="20"/>
        </w:rPr>
        <w:t>.</w:t>
      </w:r>
      <w:r>
        <w:rPr>
          <w:b w:val="0"/>
          <w:sz w:val="20"/>
        </w:rPr>
        <w:t xml:space="preserve"> </w:t>
      </w:r>
      <w:r w:rsidR="00701D23" w:rsidRPr="00701D23">
        <w:rPr>
          <w:b w:val="0"/>
          <w:sz w:val="20"/>
        </w:rPr>
        <w:t>Reducing carbon emissions is now a global priority. The transition to a green and low-carbon economy</w:t>
      </w:r>
      <w:r w:rsidR="00701D23">
        <w:rPr>
          <w:b w:val="0"/>
          <w:sz w:val="20"/>
        </w:rPr>
        <w:t xml:space="preserve"> </w:t>
      </w:r>
      <w:r w:rsidR="00701D23" w:rsidRPr="00701D23">
        <w:rPr>
          <w:b w:val="0"/>
          <w:sz w:val="20"/>
        </w:rPr>
        <w:t xml:space="preserve">will require </w:t>
      </w:r>
      <w:r w:rsidR="00BC0CF7" w:rsidRPr="00526E18">
        <w:rPr>
          <w:b w:val="0"/>
          <w:sz w:val="20"/>
        </w:rPr>
        <w:t>prompting initiatives for decarbonization</w:t>
      </w:r>
      <w:r w:rsidR="00BC0CF7">
        <w:rPr>
          <w:b w:val="0"/>
          <w:sz w:val="20"/>
        </w:rPr>
        <w:t xml:space="preserve"> </w:t>
      </w:r>
      <w:r w:rsidR="00701D23" w:rsidRPr="00701D23">
        <w:rPr>
          <w:b w:val="0"/>
          <w:sz w:val="20"/>
        </w:rPr>
        <w:t>across all sectors</w:t>
      </w:r>
      <w:r w:rsidRPr="00526E18">
        <w:rPr>
          <w:b w:val="0"/>
          <w:sz w:val="20"/>
        </w:rPr>
        <w:t>. The International Maritime Organization (IMO) is actively engaged in reducing greenhouse gas emissions from international shipping, fostering exploration into low-carbon and zero-carbon fuels such as LNG, methanol, biodiesel, hydrogen, and ammonia</w:t>
      </w:r>
      <w:r w:rsidR="00701D23">
        <w:rPr>
          <w:b w:val="0"/>
          <w:sz w:val="20"/>
        </w:rPr>
        <w:t xml:space="preserve"> (</w:t>
      </w:r>
      <w:r w:rsidR="00701D23" w:rsidRPr="00701D23">
        <w:rPr>
          <w:b w:val="0"/>
          <w:sz w:val="20"/>
        </w:rPr>
        <w:t>Meng</w:t>
      </w:r>
      <w:r w:rsidR="00701D23">
        <w:rPr>
          <w:b w:val="0"/>
          <w:sz w:val="20"/>
        </w:rPr>
        <w:t xml:space="preserve"> et al., 2022)</w:t>
      </w:r>
      <w:r w:rsidRPr="00526E18">
        <w:rPr>
          <w:b w:val="0"/>
          <w:sz w:val="20"/>
        </w:rPr>
        <w:t>.</w:t>
      </w:r>
      <w:r>
        <w:rPr>
          <w:b w:val="0"/>
          <w:sz w:val="20"/>
        </w:rPr>
        <w:t xml:space="preserve"> </w:t>
      </w:r>
      <w:r w:rsidR="00201586" w:rsidRPr="00201586">
        <w:rPr>
          <w:b w:val="0"/>
          <w:sz w:val="20"/>
        </w:rPr>
        <w:t xml:space="preserve">Gasification is a promising technology to convert </w:t>
      </w:r>
      <w:r w:rsidR="00201586">
        <w:rPr>
          <w:b w:val="0"/>
          <w:sz w:val="20"/>
        </w:rPr>
        <w:t>heavy residues</w:t>
      </w:r>
      <w:r w:rsidR="00201586" w:rsidRPr="00201586">
        <w:rPr>
          <w:b w:val="0"/>
          <w:sz w:val="20"/>
        </w:rPr>
        <w:t xml:space="preserve"> to lighter products, and it could be integrated with various other technologies </w:t>
      </w:r>
      <w:r w:rsidR="00201586">
        <w:rPr>
          <w:b w:val="0"/>
          <w:sz w:val="20"/>
        </w:rPr>
        <w:t xml:space="preserve">including water-gas-shift, CCUS and </w:t>
      </w:r>
      <w:r w:rsidR="002C773C" w:rsidRPr="002C773C">
        <w:rPr>
          <w:b w:val="0"/>
          <w:sz w:val="20"/>
        </w:rPr>
        <w:t>combined heat and power (CHP)</w:t>
      </w:r>
      <w:r w:rsidR="002C773C">
        <w:rPr>
          <w:b w:val="0"/>
          <w:sz w:val="20"/>
        </w:rPr>
        <w:t xml:space="preserve"> </w:t>
      </w:r>
      <w:r w:rsidR="00201586" w:rsidRPr="00201586">
        <w:rPr>
          <w:b w:val="0"/>
          <w:sz w:val="20"/>
        </w:rPr>
        <w:t>to create a more efficient and sustainable process</w:t>
      </w:r>
      <w:r w:rsidR="00201586">
        <w:rPr>
          <w:b w:val="0"/>
          <w:sz w:val="20"/>
        </w:rPr>
        <w:t xml:space="preserve">. </w:t>
      </w:r>
      <w:r w:rsidR="00201586" w:rsidRPr="00201586">
        <w:rPr>
          <w:b w:val="0"/>
          <w:sz w:val="20"/>
        </w:rPr>
        <w:t xml:space="preserve">Syngas, the main product of gasification, can be further processed to produce high-purity hydrogen, </w:t>
      </w:r>
      <w:r w:rsidR="002C773C">
        <w:rPr>
          <w:b w:val="0"/>
          <w:sz w:val="20"/>
        </w:rPr>
        <w:t>methanol or</w:t>
      </w:r>
      <w:r w:rsidR="002C773C" w:rsidRPr="002C773C">
        <w:rPr>
          <w:b w:val="0"/>
          <w:sz w:val="20"/>
        </w:rPr>
        <w:t xml:space="preserve"> other Fischer </w:t>
      </w:r>
      <w:proofErr w:type="spellStart"/>
      <w:r w:rsidR="002C773C" w:rsidRPr="002C773C">
        <w:rPr>
          <w:b w:val="0"/>
          <w:sz w:val="20"/>
        </w:rPr>
        <w:t>Tropsch</w:t>
      </w:r>
      <w:proofErr w:type="spellEnd"/>
      <w:r w:rsidR="002C773C" w:rsidRPr="002C773C">
        <w:rPr>
          <w:b w:val="0"/>
          <w:sz w:val="20"/>
        </w:rPr>
        <w:t xml:space="preserve"> (FT) chemicals</w:t>
      </w:r>
      <w:r w:rsidR="002C773C">
        <w:rPr>
          <w:b w:val="0"/>
          <w:sz w:val="20"/>
        </w:rPr>
        <w:t xml:space="preserve"> (</w:t>
      </w:r>
      <w:proofErr w:type="spellStart"/>
      <w:r w:rsidR="002C773C" w:rsidRPr="002C773C">
        <w:rPr>
          <w:b w:val="0"/>
          <w:sz w:val="20"/>
        </w:rPr>
        <w:t>Alibrahim</w:t>
      </w:r>
      <w:proofErr w:type="spellEnd"/>
      <w:r w:rsidR="002C773C">
        <w:rPr>
          <w:b w:val="0"/>
          <w:sz w:val="20"/>
        </w:rPr>
        <w:t xml:space="preserve"> et al., 2021).</w:t>
      </w:r>
      <w:r w:rsidR="00BF0052">
        <w:rPr>
          <w:b w:val="0"/>
          <w:sz w:val="20"/>
        </w:rPr>
        <w:t xml:space="preserve"> </w:t>
      </w:r>
      <w:r w:rsidR="00370414">
        <w:rPr>
          <w:b w:val="0"/>
          <w:sz w:val="20"/>
        </w:rPr>
        <w:t xml:space="preserve">(Ahmed, </w:t>
      </w:r>
      <w:r w:rsidR="00F80937" w:rsidRPr="00F80937">
        <w:rPr>
          <w:b w:val="0"/>
          <w:sz w:val="20"/>
        </w:rPr>
        <w:t xml:space="preserve">2020) </w:t>
      </w:r>
      <w:r w:rsidR="00DD1FE2">
        <w:rPr>
          <w:b w:val="0"/>
          <w:sz w:val="20"/>
        </w:rPr>
        <w:t xml:space="preserve">developed a model for </w:t>
      </w:r>
      <w:r w:rsidR="00F80937" w:rsidRPr="00F80937">
        <w:rPr>
          <w:b w:val="0"/>
          <w:sz w:val="20"/>
        </w:rPr>
        <w:t xml:space="preserve">coal conversion to an alternative technology that integrates coal gasification and natural gas reforming. The alternative technology showed 4.28% </w:t>
      </w:r>
      <w:r w:rsidR="00DD1FE2">
        <w:rPr>
          <w:b w:val="0"/>
          <w:sz w:val="20"/>
        </w:rPr>
        <w:t>higher</w:t>
      </w:r>
      <w:r w:rsidR="00F80937" w:rsidRPr="00F80937">
        <w:rPr>
          <w:b w:val="0"/>
          <w:sz w:val="20"/>
        </w:rPr>
        <w:t xml:space="preserve"> efficiency, 18.3% reduction in greenhouse gases, 13% lower fuel production cost, and 34.3% lower CO</w:t>
      </w:r>
      <w:r w:rsidR="00F80937" w:rsidRPr="00DD1FE2">
        <w:rPr>
          <w:b w:val="0"/>
          <w:sz w:val="20"/>
          <w:vertAlign w:val="subscript"/>
        </w:rPr>
        <w:t>2</w:t>
      </w:r>
      <w:r w:rsidR="00F80937" w:rsidRPr="00F80937">
        <w:rPr>
          <w:b w:val="0"/>
          <w:sz w:val="20"/>
        </w:rPr>
        <w:t xml:space="preserve"> emissions</w:t>
      </w:r>
      <w:r w:rsidR="00BF0052" w:rsidRPr="00BF0052">
        <w:rPr>
          <w:b w:val="0"/>
          <w:sz w:val="20"/>
        </w:rPr>
        <w:t>.</w:t>
      </w:r>
      <w:r w:rsidR="00257F8B">
        <w:rPr>
          <w:b w:val="0"/>
          <w:sz w:val="20"/>
        </w:rPr>
        <w:t xml:space="preserve"> </w:t>
      </w:r>
      <w:r w:rsidR="00F80937" w:rsidRPr="00F80937">
        <w:rPr>
          <w:b w:val="0"/>
          <w:sz w:val="20"/>
        </w:rPr>
        <w:t xml:space="preserve">Fayez et al. (2021) developed a vacuum residue to methanol (VRTM) process </w:t>
      </w:r>
      <w:r w:rsidR="00DD1FE2">
        <w:rPr>
          <w:b w:val="0"/>
          <w:sz w:val="20"/>
        </w:rPr>
        <w:t>and</w:t>
      </w:r>
      <w:r w:rsidR="00F80937" w:rsidRPr="00F80937">
        <w:rPr>
          <w:b w:val="0"/>
          <w:sz w:val="20"/>
        </w:rPr>
        <w:t xml:space="preserve"> achiev</w:t>
      </w:r>
      <w:r w:rsidR="00DD1FE2">
        <w:rPr>
          <w:b w:val="0"/>
          <w:sz w:val="20"/>
        </w:rPr>
        <w:t>ed</w:t>
      </w:r>
      <w:r w:rsidR="00F80937" w:rsidRPr="00F80937">
        <w:rPr>
          <w:b w:val="0"/>
          <w:sz w:val="20"/>
        </w:rPr>
        <w:t xml:space="preserve"> 90 t/h methanol production with 99.9% purity. The VRTM cycle offers 49.5% energy </w:t>
      </w:r>
      <w:r w:rsidR="00F80937">
        <w:rPr>
          <w:b w:val="0"/>
          <w:sz w:val="20"/>
        </w:rPr>
        <w:t>efficiency</w:t>
      </w:r>
      <w:r w:rsidR="00F80937" w:rsidRPr="00F80937">
        <w:rPr>
          <w:b w:val="0"/>
          <w:sz w:val="20"/>
        </w:rPr>
        <w:t xml:space="preserve"> </w:t>
      </w:r>
      <w:r w:rsidR="00F80937">
        <w:rPr>
          <w:b w:val="0"/>
          <w:sz w:val="20"/>
        </w:rPr>
        <w:t>w</w:t>
      </w:r>
      <w:r w:rsidR="00F80937" w:rsidRPr="00F80937">
        <w:rPr>
          <w:b w:val="0"/>
          <w:sz w:val="20"/>
        </w:rPr>
        <w:t>hich is 1.6% higher than the SRTM</w:t>
      </w:r>
      <w:r w:rsidR="00DD1FE2">
        <w:rPr>
          <w:b w:val="0"/>
          <w:sz w:val="20"/>
        </w:rPr>
        <w:t xml:space="preserve"> (steam reforming to methanol)</w:t>
      </w:r>
      <w:r w:rsidR="00F80937" w:rsidRPr="00F80937">
        <w:rPr>
          <w:b w:val="0"/>
          <w:sz w:val="20"/>
        </w:rPr>
        <w:t xml:space="preserve"> process and a 14% lower unit cost compared to the conventional SRTM process</w:t>
      </w:r>
      <w:r w:rsidR="00257F8B">
        <w:rPr>
          <w:b w:val="0"/>
          <w:sz w:val="20"/>
        </w:rPr>
        <w:t xml:space="preserve">. </w:t>
      </w:r>
      <w:r w:rsidR="00257F8B" w:rsidRPr="00257F8B">
        <w:rPr>
          <w:b w:val="0"/>
          <w:sz w:val="20"/>
        </w:rPr>
        <w:t xml:space="preserve">The aim of this study is to develop a process model to produce methanol and hydrogen by the gasification of vacuum residue. The second goal is </w:t>
      </w:r>
      <w:r w:rsidR="00DD1FE2">
        <w:rPr>
          <w:b w:val="0"/>
          <w:sz w:val="20"/>
        </w:rPr>
        <w:t xml:space="preserve">to </w:t>
      </w:r>
      <w:r w:rsidR="00257F8B" w:rsidRPr="00257F8B">
        <w:rPr>
          <w:b w:val="0"/>
          <w:sz w:val="20"/>
        </w:rPr>
        <w:t>modify the process model to focus on</w:t>
      </w:r>
      <w:r w:rsidR="00DD1FE2">
        <w:rPr>
          <w:b w:val="0"/>
          <w:sz w:val="20"/>
        </w:rPr>
        <w:t>ly on</w:t>
      </w:r>
      <w:r w:rsidR="00257F8B" w:rsidRPr="00257F8B">
        <w:rPr>
          <w:b w:val="0"/>
          <w:sz w:val="20"/>
        </w:rPr>
        <w:t xml:space="preserve"> methanol followed by performing technical and economic analysis to evaluate the process feasibility of each case.</w:t>
      </w:r>
    </w:p>
    <w:p w14:paraId="4F2F9845" w14:textId="163A2758" w:rsidR="00CE0975" w:rsidRPr="002C77C5" w:rsidRDefault="00CE0975" w:rsidP="002C77C5">
      <w:pPr>
        <w:pStyle w:val="Els-1storder-head"/>
      </w:pPr>
      <w:r w:rsidRPr="002C77C5">
        <w:t>Modelling and Simulation:</w:t>
      </w:r>
    </w:p>
    <w:p w14:paraId="22F9D13B" w14:textId="18CD0A9D" w:rsidR="00035E5E" w:rsidRDefault="001572F2" w:rsidP="009A5117">
      <w:pPr>
        <w:pStyle w:val="Els-body-text"/>
      </w:pPr>
      <w:r>
        <w:t>In the design basis and simulation methodology, Aspen Plus V1</w:t>
      </w:r>
      <w:r w:rsidR="009D1017">
        <w:t>2</w:t>
      </w:r>
      <w:r>
        <w:t xml:space="preserve"> is employed to simulate the proposed process model for four different case studies. The Peng–Robinson with Boston–Mathias alpha function (PR-BM) property package is selected to determine the physical state of the chemical components in the process. The vacuum residue is treated as an unconventional component and is defined based on its elemental composition, including proximate and ultimate analyses</w:t>
      </w:r>
      <w:r w:rsidR="009A5117">
        <w:t xml:space="preserve">. </w:t>
      </w:r>
      <w:r w:rsidR="009A5117" w:rsidRPr="00851C82">
        <w:t xml:space="preserve">The </w:t>
      </w:r>
      <w:r w:rsidR="009A5117">
        <w:t>VR</w:t>
      </w:r>
      <w:r w:rsidR="009A5117" w:rsidRPr="00851C82">
        <w:t xml:space="preserve"> gasification results were validated</w:t>
      </w:r>
      <w:r w:rsidR="009A5117" w:rsidRPr="00851C82">
        <w:rPr>
          <w:rFonts w:hint="cs"/>
          <w:rtl/>
        </w:rPr>
        <w:t xml:space="preserve"> </w:t>
      </w:r>
      <w:r w:rsidR="009A5117" w:rsidRPr="00851C82">
        <w:t>with the literature</w:t>
      </w:r>
      <w:r w:rsidR="009A5117">
        <w:t xml:space="preserve"> </w:t>
      </w:r>
      <w:r w:rsidR="009A5117" w:rsidRPr="00B57DF3">
        <w:t>(Choi et al., 2007)</w:t>
      </w:r>
      <w:r w:rsidR="009A5117" w:rsidRPr="00B57DF3">
        <w:rPr>
          <w:rFonts w:asciiTheme="majorBidi" w:hAnsiTheme="majorBidi" w:cstheme="majorBidi"/>
          <w:color w:val="000000"/>
        </w:rPr>
        <w:t>.</w:t>
      </w:r>
      <w:r w:rsidR="009A5117">
        <w:rPr>
          <w:rFonts w:asciiTheme="majorBidi" w:hAnsiTheme="majorBidi" w:cstheme="majorBidi"/>
          <w:color w:val="000000"/>
          <w:sz w:val="24"/>
          <w:szCs w:val="24"/>
        </w:rPr>
        <w:t xml:space="preserve"> </w:t>
      </w:r>
      <w:r>
        <w:t>The dual production of methanol and hydrogen involves several reaction steps, including gasification, water–gas shift (WGS), and methanol synthesis</w:t>
      </w:r>
      <w:r w:rsidR="00035E5E">
        <w:t>.</w:t>
      </w:r>
      <w:r>
        <w:t xml:space="preserve"> </w:t>
      </w:r>
      <w:r w:rsidR="00035E5E">
        <w:t xml:space="preserve">The simulation involves different reactor models within Aspen Plus. The gasification unit is simulated using two reactor models, namely </w:t>
      </w:r>
      <w:proofErr w:type="spellStart"/>
      <w:r w:rsidR="00035E5E">
        <w:t>RYield</w:t>
      </w:r>
      <w:proofErr w:type="spellEnd"/>
      <w:r w:rsidR="00035E5E">
        <w:t xml:space="preserve"> and </w:t>
      </w:r>
      <w:proofErr w:type="spellStart"/>
      <w:r w:rsidR="00035E5E">
        <w:t>RGibbs</w:t>
      </w:r>
      <w:proofErr w:type="spellEnd"/>
      <w:r w:rsidR="00035E5E">
        <w:t xml:space="preserve">. The </w:t>
      </w:r>
      <w:proofErr w:type="spellStart"/>
      <w:r w:rsidR="00035E5E">
        <w:t>RYield</w:t>
      </w:r>
      <w:proofErr w:type="spellEnd"/>
      <w:r w:rsidR="00035E5E">
        <w:t xml:space="preserve"> reactor model decomposes the vacuum residue into its elemental components based on the ultimate and proximate analysis of the feed. Subsequently, the </w:t>
      </w:r>
      <w:proofErr w:type="spellStart"/>
      <w:r w:rsidR="00035E5E">
        <w:t>RGibbs</w:t>
      </w:r>
      <w:proofErr w:type="spellEnd"/>
      <w:r w:rsidR="00035E5E">
        <w:t xml:space="preserve"> reactor model determines the yield of the gas product by minimizing Gibbs free energy. Mass yield is linked to the ultimate and proximate analysis using the calculator tool and Fortran </w:t>
      </w:r>
      <w:r w:rsidR="009D1017">
        <w:t>code</w:t>
      </w:r>
      <w:r w:rsidR="00035E5E">
        <w:t xml:space="preserve">. For modeling the water–gas shift reaction (WGS), the </w:t>
      </w:r>
      <w:proofErr w:type="spellStart"/>
      <w:r w:rsidR="00035E5E">
        <w:t>REquil</w:t>
      </w:r>
      <w:proofErr w:type="spellEnd"/>
      <w:r w:rsidR="00035E5E">
        <w:t xml:space="preserve"> reactor model is employed, which performs phase and chemical equilibrium calculations. However, it is noted that </w:t>
      </w:r>
      <w:proofErr w:type="spellStart"/>
      <w:r w:rsidR="00035E5E">
        <w:t>REquil</w:t>
      </w:r>
      <w:proofErr w:type="spellEnd"/>
      <w:r w:rsidR="00035E5E">
        <w:t xml:space="preserve"> is suitable for equilibrium reactions of known stoichiometry. The methanol synthesis is simulated using the </w:t>
      </w:r>
      <w:proofErr w:type="spellStart"/>
      <w:r w:rsidR="00035E5E">
        <w:t>RPlug</w:t>
      </w:r>
      <w:proofErr w:type="spellEnd"/>
      <w:r w:rsidR="00035E5E">
        <w:t xml:space="preserve"> reactor model with Langmuir–</w:t>
      </w:r>
      <w:r w:rsidR="00035E5E">
        <w:lastRenderedPageBreak/>
        <w:t xml:space="preserve">Hinshelwood–Hougen–Watson reaction kinetics. </w:t>
      </w:r>
      <w:r w:rsidR="00035E5E" w:rsidRPr="009F5645">
        <w:t>The design specification and operational parameter of major equipment models are summarized in</w:t>
      </w:r>
      <w:r w:rsidR="00035E5E">
        <w:t xml:space="preserve"> Table </w:t>
      </w:r>
      <w:r w:rsidR="009A5117">
        <w:t>1</w:t>
      </w:r>
      <w:r w:rsidR="00035E5E">
        <w:t>.</w:t>
      </w:r>
    </w:p>
    <w:p w14:paraId="067AC8C2" w14:textId="77777777" w:rsidR="002C77C5" w:rsidRDefault="002C77C5" w:rsidP="002C77C5">
      <w:pPr>
        <w:pStyle w:val="Els-body-text"/>
      </w:pPr>
    </w:p>
    <w:p w14:paraId="105A7575" w14:textId="566D8A6C" w:rsidR="00035E5E" w:rsidRDefault="001572F2" w:rsidP="00250D89">
      <w:pPr>
        <w:pStyle w:val="Els-body-text"/>
        <w:jc w:val="center"/>
      </w:pPr>
      <w:r>
        <w:t xml:space="preserve">Table </w:t>
      </w:r>
      <w:r w:rsidR="009A5117">
        <w:t>1</w:t>
      </w:r>
      <w:r w:rsidR="00035E5E">
        <w:t xml:space="preserve">: </w:t>
      </w:r>
      <w:r w:rsidR="00035E5E" w:rsidRPr="00035E5E">
        <w:t>Design Specification and operational parameter of the proposed process models.</w:t>
      </w:r>
    </w:p>
    <w:tbl>
      <w:tblPr>
        <w:tblStyle w:val="TableGrid"/>
        <w:tblW w:w="7200" w:type="dxa"/>
        <w:tblLayout w:type="fixed"/>
        <w:tblLook w:val="04A0" w:firstRow="1" w:lastRow="0" w:firstColumn="1" w:lastColumn="0" w:noHBand="0" w:noVBand="1"/>
      </w:tblPr>
      <w:tblGrid>
        <w:gridCol w:w="2160"/>
        <w:gridCol w:w="3205"/>
        <w:gridCol w:w="1835"/>
      </w:tblGrid>
      <w:tr w:rsidR="00035E5E" w:rsidRPr="00550CD8" w14:paraId="3E883DDC" w14:textId="77777777" w:rsidTr="00BA2C6E">
        <w:trPr>
          <w:trHeight w:val="57"/>
        </w:trPr>
        <w:tc>
          <w:tcPr>
            <w:tcW w:w="2160" w:type="dxa"/>
            <w:vAlign w:val="center"/>
          </w:tcPr>
          <w:p w14:paraId="7F09DB4D" w14:textId="77777777" w:rsidR="00035E5E" w:rsidRPr="00550CD8" w:rsidRDefault="00035E5E" w:rsidP="00406F03">
            <w:pPr>
              <w:pStyle w:val="MDPI42tablebody"/>
              <w:spacing w:line="240" w:lineRule="auto"/>
              <w:rPr>
                <w:rFonts w:asciiTheme="majorBidi" w:hAnsiTheme="majorBidi" w:cstheme="majorBidi"/>
                <w:b/>
                <w:snapToGrid/>
                <w:sz w:val="18"/>
                <w:szCs w:val="18"/>
              </w:rPr>
            </w:pPr>
            <w:r w:rsidRPr="00550CD8">
              <w:rPr>
                <w:rFonts w:asciiTheme="majorBidi" w:hAnsiTheme="majorBidi" w:cstheme="majorBidi"/>
                <w:b/>
                <w:snapToGrid/>
                <w:sz w:val="18"/>
                <w:szCs w:val="18"/>
              </w:rPr>
              <w:t>Equipment</w:t>
            </w:r>
          </w:p>
        </w:tc>
        <w:tc>
          <w:tcPr>
            <w:tcW w:w="3205" w:type="dxa"/>
          </w:tcPr>
          <w:p w14:paraId="382F1953" w14:textId="77777777" w:rsidR="00035E5E" w:rsidRPr="00550CD8" w:rsidRDefault="00035E5E" w:rsidP="00406F03">
            <w:pPr>
              <w:pStyle w:val="MDPI42tablebody"/>
              <w:spacing w:line="240" w:lineRule="auto"/>
              <w:rPr>
                <w:rFonts w:asciiTheme="majorBidi" w:hAnsiTheme="majorBidi" w:cstheme="majorBidi"/>
                <w:b/>
                <w:snapToGrid/>
                <w:sz w:val="18"/>
                <w:szCs w:val="18"/>
              </w:rPr>
            </w:pPr>
            <w:r w:rsidRPr="00550CD8">
              <w:rPr>
                <w:rFonts w:asciiTheme="majorBidi" w:hAnsiTheme="majorBidi" w:cstheme="majorBidi"/>
                <w:b/>
                <w:snapToGrid/>
                <w:sz w:val="18"/>
                <w:szCs w:val="18"/>
              </w:rPr>
              <w:t>Description</w:t>
            </w:r>
          </w:p>
        </w:tc>
        <w:tc>
          <w:tcPr>
            <w:tcW w:w="1835" w:type="dxa"/>
            <w:vAlign w:val="center"/>
          </w:tcPr>
          <w:p w14:paraId="01EB64D7" w14:textId="77777777" w:rsidR="00035E5E" w:rsidRPr="00550CD8" w:rsidRDefault="00035E5E" w:rsidP="00406F03">
            <w:pPr>
              <w:pStyle w:val="MDPI42tablebody"/>
              <w:spacing w:line="240" w:lineRule="auto"/>
              <w:rPr>
                <w:rFonts w:asciiTheme="majorBidi" w:hAnsiTheme="majorBidi" w:cstheme="majorBidi"/>
                <w:b/>
                <w:snapToGrid/>
                <w:sz w:val="18"/>
                <w:szCs w:val="18"/>
              </w:rPr>
            </w:pPr>
            <w:r w:rsidRPr="00550CD8">
              <w:rPr>
                <w:rFonts w:asciiTheme="majorBidi" w:hAnsiTheme="majorBidi" w:cstheme="majorBidi"/>
                <w:b/>
                <w:snapToGrid/>
                <w:sz w:val="18"/>
                <w:szCs w:val="18"/>
              </w:rPr>
              <w:t>Aspen Model</w:t>
            </w:r>
          </w:p>
        </w:tc>
      </w:tr>
      <w:tr w:rsidR="00035E5E" w:rsidRPr="00550CD8" w14:paraId="296E1DD6" w14:textId="77777777" w:rsidTr="00BA2C6E">
        <w:trPr>
          <w:trHeight w:val="419"/>
        </w:trPr>
        <w:tc>
          <w:tcPr>
            <w:tcW w:w="2160" w:type="dxa"/>
            <w:vAlign w:val="center"/>
          </w:tcPr>
          <w:p w14:paraId="427612AD" w14:textId="77777777" w:rsidR="00035E5E" w:rsidRPr="00550CD8" w:rsidRDefault="00035E5E" w:rsidP="00406F03">
            <w:pPr>
              <w:pStyle w:val="MDPI42tablebody"/>
              <w:spacing w:line="240" w:lineRule="auto"/>
              <w:rPr>
                <w:rFonts w:asciiTheme="majorBidi" w:hAnsiTheme="majorBidi" w:cstheme="majorBidi"/>
                <w:sz w:val="18"/>
                <w:szCs w:val="18"/>
              </w:rPr>
            </w:pPr>
            <w:r w:rsidRPr="00550CD8">
              <w:rPr>
                <w:rFonts w:asciiTheme="majorBidi" w:hAnsiTheme="majorBidi" w:cstheme="majorBidi"/>
                <w:sz w:val="18"/>
                <w:szCs w:val="18"/>
              </w:rPr>
              <w:t>Gasification Unit</w:t>
            </w:r>
          </w:p>
        </w:tc>
        <w:tc>
          <w:tcPr>
            <w:tcW w:w="3205" w:type="dxa"/>
          </w:tcPr>
          <w:p w14:paraId="46B74333" w14:textId="77777777" w:rsidR="00035E5E" w:rsidRPr="00550CD8" w:rsidRDefault="00035E5E" w:rsidP="00406F03">
            <w:pPr>
              <w:pStyle w:val="MDPI42tablebody"/>
              <w:spacing w:line="240" w:lineRule="auto"/>
              <w:jc w:val="left"/>
              <w:rPr>
                <w:rFonts w:asciiTheme="majorBidi" w:hAnsiTheme="majorBidi" w:cstheme="majorBidi"/>
                <w:sz w:val="18"/>
                <w:szCs w:val="18"/>
              </w:rPr>
            </w:pPr>
            <w:r w:rsidRPr="00550CD8">
              <w:rPr>
                <w:rFonts w:asciiTheme="majorBidi" w:hAnsiTheme="majorBidi" w:cstheme="majorBidi"/>
                <w:sz w:val="18"/>
                <w:szCs w:val="18"/>
              </w:rPr>
              <w:t xml:space="preserve">Temp/Pressure = 1355 </w:t>
            </w:r>
            <w:proofErr w:type="spellStart"/>
            <w:r w:rsidRPr="00550CD8">
              <w:rPr>
                <w:rFonts w:asciiTheme="majorBidi" w:hAnsiTheme="majorBidi" w:cstheme="majorBidi"/>
                <w:sz w:val="18"/>
                <w:szCs w:val="18"/>
                <w:vertAlign w:val="superscript"/>
              </w:rPr>
              <w:t>o</w:t>
            </w:r>
            <w:r w:rsidRPr="00550CD8">
              <w:rPr>
                <w:rFonts w:asciiTheme="majorBidi" w:hAnsiTheme="majorBidi" w:cstheme="majorBidi"/>
                <w:sz w:val="18"/>
                <w:szCs w:val="18"/>
              </w:rPr>
              <w:t>C</w:t>
            </w:r>
            <w:proofErr w:type="spellEnd"/>
            <w:r w:rsidRPr="00550CD8">
              <w:rPr>
                <w:rFonts w:asciiTheme="majorBidi" w:hAnsiTheme="majorBidi" w:cstheme="majorBidi"/>
                <w:sz w:val="18"/>
                <w:szCs w:val="18"/>
              </w:rPr>
              <w:t xml:space="preserve">/ 4 MPa </w:t>
            </w:r>
          </w:p>
          <w:p w14:paraId="7F99D8E2" w14:textId="77777777" w:rsidR="00035E5E" w:rsidRPr="00550CD8" w:rsidRDefault="00035E5E" w:rsidP="00406F03">
            <w:pPr>
              <w:pStyle w:val="MDPI42tablebody"/>
              <w:spacing w:line="240" w:lineRule="auto"/>
              <w:jc w:val="left"/>
              <w:rPr>
                <w:rFonts w:asciiTheme="majorBidi" w:hAnsiTheme="majorBidi" w:cstheme="majorBidi"/>
                <w:sz w:val="18"/>
                <w:szCs w:val="18"/>
              </w:rPr>
            </w:pPr>
            <w:r w:rsidRPr="00550CD8">
              <w:rPr>
                <w:rFonts w:asciiTheme="majorBidi" w:hAnsiTheme="majorBidi" w:cstheme="majorBidi"/>
                <w:sz w:val="18"/>
                <w:szCs w:val="18"/>
              </w:rPr>
              <w:t>Steam/fuel ratio = 0.5</w:t>
            </w:r>
          </w:p>
          <w:p w14:paraId="4C2262BE" w14:textId="77777777" w:rsidR="00035E5E" w:rsidRPr="00550CD8" w:rsidRDefault="00035E5E" w:rsidP="00406F03">
            <w:pPr>
              <w:pStyle w:val="MDPI42tablebody"/>
              <w:spacing w:line="240" w:lineRule="auto"/>
              <w:jc w:val="left"/>
              <w:rPr>
                <w:rFonts w:asciiTheme="majorBidi" w:hAnsiTheme="majorBidi" w:cstheme="majorBidi"/>
                <w:sz w:val="18"/>
                <w:szCs w:val="18"/>
              </w:rPr>
            </w:pPr>
            <w:r w:rsidRPr="00550CD8">
              <w:rPr>
                <w:rFonts w:asciiTheme="majorBidi" w:hAnsiTheme="majorBidi" w:cstheme="majorBidi"/>
                <w:sz w:val="18"/>
                <w:szCs w:val="18"/>
              </w:rPr>
              <w:t>Oxygen to fuel ratio = 0.84</w:t>
            </w:r>
          </w:p>
          <w:p w14:paraId="5E32EA9D" w14:textId="49AC0923" w:rsidR="00035E5E" w:rsidRPr="00550CD8" w:rsidRDefault="00BA2C6E" w:rsidP="00406F03">
            <w:pPr>
              <w:pStyle w:val="MDPI42tablebody"/>
              <w:spacing w:line="240" w:lineRule="auto"/>
              <w:jc w:val="left"/>
              <w:rPr>
                <w:rFonts w:asciiTheme="majorBidi" w:hAnsiTheme="majorBidi" w:cstheme="majorBidi"/>
                <w:sz w:val="18"/>
                <w:szCs w:val="18"/>
              </w:rPr>
            </w:pPr>
            <w:r>
              <w:rPr>
                <w:rFonts w:asciiTheme="majorBidi" w:hAnsiTheme="majorBidi" w:cstheme="majorBidi"/>
                <w:sz w:val="18"/>
                <w:szCs w:val="18"/>
              </w:rPr>
              <w:t>VR Flow Rate</w:t>
            </w:r>
            <w:r w:rsidR="00035E5E" w:rsidRPr="00550CD8">
              <w:rPr>
                <w:rFonts w:asciiTheme="majorBidi" w:hAnsiTheme="majorBidi" w:cstheme="majorBidi"/>
                <w:sz w:val="18"/>
                <w:szCs w:val="18"/>
              </w:rPr>
              <w:t xml:space="preserve"> = 101 kg/sec</w:t>
            </w:r>
          </w:p>
          <w:p w14:paraId="625F6FD6" w14:textId="77777777" w:rsidR="00035E5E" w:rsidRPr="00550CD8" w:rsidRDefault="00035E5E" w:rsidP="00406F03">
            <w:pPr>
              <w:pStyle w:val="MDPI42tablebody"/>
              <w:spacing w:line="240" w:lineRule="auto"/>
              <w:jc w:val="left"/>
              <w:rPr>
                <w:rFonts w:asciiTheme="majorBidi" w:hAnsiTheme="majorBidi" w:cstheme="majorBidi"/>
                <w:sz w:val="18"/>
                <w:szCs w:val="18"/>
              </w:rPr>
            </w:pPr>
            <w:r w:rsidRPr="00550CD8">
              <w:rPr>
                <w:rFonts w:asciiTheme="majorBidi" w:hAnsiTheme="majorBidi" w:cstheme="majorBidi"/>
                <w:sz w:val="18"/>
                <w:szCs w:val="18"/>
              </w:rPr>
              <w:t>Carbon conversion = 99%</w:t>
            </w:r>
          </w:p>
        </w:tc>
        <w:tc>
          <w:tcPr>
            <w:tcW w:w="1835" w:type="dxa"/>
            <w:vAlign w:val="center"/>
          </w:tcPr>
          <w:p w14:paraId="025246AD" w14:textId="77777777" w:rsidR="00035E5E" w:rsidRPr="00550CD8" w:rsidRDefault="00035E5E" w:rsidP="00406F03">
            <w:pPr>
              <w:pStyle w:val="MDPI42tablebody"/>
              <w:spacing w:line="240" w:lineRule="auto"/>
              <w:rPr>
                <w:rFonts w:asciiTheme="majorBidi" w:hAnsiTheme="majorBidi" w:cstheme="majorBidi"/>
                <w:sz w:val="18"/>
                <w:szCs w:val="18"/>
              </w:rPr>
            </w:pPr>
            <w:proofErr w:type="spellStart"/>
            <w:r w:rsidRPr="00550CD8">
              <w:rPr>
                <w:rFonts w:asciiTheme="majorBidi" w:hAnsiTheme="majorBidi" w:cstheme="majorBidi"/>
                <w:sz w:val="18"/>
                <w:szCs w:val="18"/>
              </w:rPr>
              <w:t>RYield</w:t>
            </w:r>
            <w:proofErr w:type="spellEnd"/>
            <w:r w:rsidRPr="00550CD8">
              <w:rPr>
                <w:rFonts w:asciiTheme="majorBidi" w:hAnsiTheme="majorBidi" w:cstheme="majorBidi"/>
                <w:sz w:val="18"/>
                <w:szCs w:val="18"/>
              </w:rPr>
              <w:t xml:space="preserve">, </w:t>
            </w:r>
            <w:proofErr w:type="spellStart"/>
            <w:r w:rsidRPr="00550CD8">
              <w:rPr>
                <w:rFonts w:asciiTheme="majorBidi" w:hAnsiTheme="majorBidi" w:cstheme="majorBidi"/>
                <w:sz w:val="18"/>
                <w:szCs w:val="18"/>
              </w:rPr>
              <w:t>RGibbs</w:t>
            </w:r>
            <w:proofErr w:type="spellEnd"/>
          </w:p>
        </w:tc>
      </w:tr>
      <w:tr w:rsidR="00035E5E" w:rsidRPr="00550CD8" w14:paraId="6B2D59D8" w14:textId="77777777" w:rsidTr="00BA2C6E">
        <w:trPr>
          <w:trHeight w:val="351"/>
        </w:trPr>
        <w:tc>
          <w:tcPr>
            <w:tcW w:w="2160" w:type="dxa"/>
            <w:vAlign w:val="center"/>
          </w:tcPr>
          <w:p w14:paraId="007B5D0F" w14:textId="77777777" w:rsidR="00035E5E" w:rsidRPr="00550CD8" w:rsidRDefault="00035E5E" w:rsidP="00406F03">
            <w:pPr>
              <w:pStyle w:val="MDPI42tablebody"/>
              <w:spacing w:line="240" w:lineRule="auto"/>
              <w:rPr>
                <w:rFonts w:asciiTheme="majorBidi" w:hAnsiTheme="majorBidi" w:cstheme="majorBidi"/>
                <w:sz w:val="18"/>
                <w:szCs w:val="18"/>
              </w:rPr>
            </w:pPr>
            <w:r w:rsidRPr="00550CD8">
              <w:rPr>
                <w:rFonts w:asciiTheme="majorBidi" w:hAnsiTheme="majorBidi" w:cstheme="majorBidi"/>
                <w:sz w:val="18"/>
                <w:szCs w:val="18"/>
              </w:rPr>
              <w:t>Water Gas Shift (WGS)</w:t>
            </w:r>
          </w:p>
        </w:tc>
        <w:tc>
          <w:tcPr>
            <w:tcW w:w="3205" w:type="dxa"/>
          </w:tcPr>
          <w:p w14:paraId="17ADC96A" w14:textId="77777777" w:rsidR="00035E5E" w:rsidRPr="00550CD8" w:rsidRDefault="00035E5E" w:rsidP="00406F03">
            <w:pPr>
              <w:pStyle w:val="MDPI42tablebody"/>
              <w:spacing w:line="240" w:lineRule="auto"/>
              <w:jc w:val="left"/>
              <w:rPr>
                <w:rFonts w:asciiTheme="majorBidi" w:hAnsiTheme="majorBidi" w:cstheme="majorBidi"/>
                <w:sz w:val="18"/>
                <w:szCs w:val="18"/>
              </w:rPr>
            </w:pPr>
            <w:r w:rsidRPr="00550CD8">
              <w:rPr>
                <w:rFonts w:asciiTheme="majorBidi" w:hAnsiTheme="majorBidi" w:cstheme="majorBidi"/>
                <w:sz w:val="18"/>
                <w:szCs w:val="18"/>
              </w:rPr>
              <w:t>Sour Catalyst (Co-Mo)</w:t>
            </w:r>
          </w:p>
          <w:p w14:paraId="0114AD7F" w14:textId="77777777" w:rsidR="00035E5E" w:rsidRPr="00550CD8" w:rsidRDefault="00035E5E" w:rsidP="00406F03">
            <w:pPr>
              <w:pStyle w:val="MDPI42tablebody"/>
              <w:spacing w:line="240" w:lineRule="auto"/>
              <w:jc w:val="left"/>
              <w:rPr>
                <w:rFonts w:asciiTheme="majorBidi" w:hAnsiTheme="majorBidi" w:cstheme="majorBidi"/>
                <w:sz w:val="18"/>
                <w:szCs w:val="18"/>
              </w:rPr>
            </w:pPr>
            <w:r w:rsidRPr="00550CD8">
              <w:rPr>
                <w:rFonts w:asciiTheme="majorBidi" w:hAnsiTheme="majorBidi" w:cstheme="majorBidi"/>
                <w:sz w:val="18"/>
                <w:szCs w:val="18"/>
              </w:rPr>
              <w:t xml:space="preserve">2 Adiabatic reactors </w:t>
            </w:r>
          </w:p>
          <w:p w14:paraId="115092C8" w14:textId="77777777" w:rsidR="00035E5E" w:rsidRPr="00550CD8" w:rsidRDefault="00035E5E" w:rsidP="00406F03">
            <w:pPr>
              <w:pStyle w:val="MDPI42tablebody"/>
              <w:spacing w:line="240" w:lineRule="auto"/>
              <w:jc w:val="left"/>
              <w:rPr>
                <w:rFonts w:asciiTheme="majorBidi" w:hAnsiTheme="majorBidi" w:cstheme="majorBidi"/>
                <w:sz w:val="18"/>
                <w:szCs w:val="18"/>
              </w:rPr>
            </w:pPr>
            <w:r w:rsidRPr="00550CD8">
              <w:rPr>
                <w:rFonts w:asciiTheme="majorBidi" w:hAnsiTheme="majorBidi" w:cstheme="majorBidi"/>
                <w:sz w:val="18"/>
                <w:szCs w:val="18"/>
              </w:rPr>
              <w:t>Steam/ CO = 2</w:t>
            </w:r>
          </w:p>
          <w:p w14:paraId="5B1BAFE0" w14:textId="77777777" w:rsidR="00035E5E" w:rsidRPr="00550CD8" w:rsidRDefault="00035E5E" w:rsidP="00406F03">
            <w:pPr>
              <w:pStyle w:val="MDPI42tablebody"/>
              <w:spacing w:line="240" w:lineRule="auto"/>
              <w:jc w:val="left"/>
              <w:rPr>
                <w:rFonts w:asciiTheme="majorBidi" w:hAnsiTheme="majorBidi" w:cstheme="majorBidi"/>
                <w:sz w:val="18"/>
                <w:szCs w:val="18"/>
              </w:rPr>
            </w:pPr>
            <w:r w:rsidRPr="00550CD8">
              <w:rPr>
                <w:rFonts w:asciiTheme="majorBidi" w:hAnsiTheme="majorBidi" w:cstheme="majorBidi"/>
                <w:sz w:val="18"/>
                <w:szCs w:val="18"/>
              </w:rPr>
              <w:t>CO Conversion = 99.4%</w:t>
            </w:r>
          </w:p>
        </w:tc>
        <w:tc>
          <w:tcPr>
            <w:tcW w:w="1835" w:type="dxa"/>
            <w:vAlign w:val="center"/>
          </w:tcPr>
          <w:p w14:paraId="50370E53" w14:textId="77777777" w:rsidR="00035E5E" w:rsidRPr="00550CD8" w:rsidRDefault="00035E5E" w:rsidP="00406F03">
            <w:pPr>
              <w:pStyle w:val="MDPI42tablebody"/>
              <w:spacing w:line="240" w:lineRule="auto"/>
              <w:rPr>
                <w:rFonts w:asciiTheme="majorBidi" w:hAnsiTheme="majorBidi" w:cstheme="majorBidi"/>
                <w:sz w:val="18"/>
                <w:szCs w:val="18"/>
              </w:rPr>
            </w:pPr>
            <w:proofErr w:type="spellStart"/>
            <w:r w:rsidRPr="00550CD8">
              <w:rPr>
                <w:rFonts w:asciiTheme="majorBidi" w:hAnsiTheme="majorBidi" w:cstheme="majorBidi"/>
                <w:sz w:val="18"/>
                <w:szCs w:val="18"/>
              </w:rPr>
              <w:t>REquil</w:t>
            </w:r>
            <w:proofErr w:type="spellEnd"/>
          </w:p>
        </w:tc>
      </w:tr>
      <w:tr w:rsidR="00035E5E" w:rsidRPr="00550CD8" w14:paraId="47430B9F" w14:textId="77777777" w:rsidTr="00BA2C6E">
        <w:trPr>
          <w:trHeight w:val="327"/>
        </w:trPr>
        <w:tc>
          <w:tcPr>
            <w:tcW w:w="2160" w:type="dxa"/>
            <w:vAlign w:val="center"/>
          </w:tcPr>
          <w:p w14:paraId="45DCAF8D" w14:textId="77777777" w:rsidR="00035E5E" w:rsidRPr="00550CD8" w:rsidRDefault="00035E5E" w:rsidP="00406F03">
            <w:pPr>
              <w:pStyle w:val="MDPI42tablebody"/>
              <w:spacing w:line="240" w:lineRule="auto"/>
              <w:rPr>
                <w:rFonts w:asciiTheme="majorBidi" w:hAnsiTheme="majorBidi" w:cstheme="majorBidi"/>
                <w:sz w:val="18"/>
                <w:szCs w:val="18"/>
              </w:rPr>
            </w:pPr>
            <w:r w:rsidRPr="00550CD8">
              <w:rPr>
                <w:rFonts w:asciiTheme="majorBidi" w:hAnsiTheme="majorBidi" w:cstheme="majorBidi"/>
                <w:sz w:val="18"/>
                <w:szCs w:val="18"/>
              </w:rPr>
              <w:t>AGR Unit</w:t>
            </w:r>
          </w:p>
        </w:tc>
        <w:tc>
          <w:tcPr>
            <w:tcW w:w="3205" w:type="dxa"/>
          </w:tcPr>
          <w:p w14:paraId="3E478645" w14:textId="77777777" w:rsidR="00035E5E" w:rsidRPr="00550CD8" w:rsidRDefault="00035E5E" w:rsidP="00406F03">
            <w:pPr>
              <w:pStyle w:val="MDPI42tablebody"/>
              <w:spacing w:line="240" w:lineRule="auto"/>
              <w:jc w:val="left"/>
              <w:rPr>
                <w:rFonts w:asciiTheme="majorBidi" w:hAnsiTheme="majorBidi" w:cstheme="majorBidi"/>
                <w:sz w:val="18"/>
                <w:szCs w:val="18"/>
              </w:rPr>
            </w:pPr>
            <w:proofErr w:type="spellStart"/>
            <w:r w:rsidRPr="00550CD8">
              <w:rPr>
                <w:rFonts w:asciiTheme="majorBidi" w:hAnsiTheme="majorBidi" w:cstheme="majorBidi"/>
                <w:sz w:val="18"/>
                <w:szCs w:val="18"/>
              </w:rPr>
              <w:t>Rectisol</w:t>
            </w:r>
            <w:proofErr w:type="spellEnd"/>
            <w:r w:rsidRPr="00550CD8">
              <w:rPr>
                <w:rFonts w:asciiTheme="majorBidi" w:hAnsiTheme="majorBidi" w:cstheme="majorBidi"/>
                <w:sz w:val="18"/>
                <w:szCs w:val="18"/>
              </w:rPr>
              <w:t xml:space="preserve"> Process (Methanol Solvent)</w:t>
            </w:r>
          </w:p>
          <w:p w14:paraId="58F6DAEF" w14:textId="77777777" w:rsidR="00035E5E" w:rsidRPr="00550CD8" w:rsidRDefault="00035E5E" w:rsidP="00406F03">
            <w:pPr>
              <w:pStyle w:val="MDPI42tablebody"/>
              <w:spacing w:line="240" w:lineRule="auto"/>
              <w:jc w:val="left"/>
              <w:rPr>
                <w:rFonts w:asciiTheme="majorBidi" w:hAnsiTheme="majorBidi" w:cstheme="majorBidi"/>
                <w:sz w:val="18"/>
                <w:szCs w:val="18"/>
              </w:rPr>
            </w:pPr>
            <w:r w:rsidRPr="00550CD8">
              <w:rPr>
                <w:rFonts w:asciiTheme="majorBidi" w:hAnsiTheme="majorBidi" w:cstheme="majorBidi"/>
                <w:sz w:val="18"/>
                <w:szCs w:val="18"/>
              </w:rPr>
              <w:t xml:space="preserve">Temp/Pressure = -45 </w:t>
            </w:r>
            <w:proofErr w:type="spellStart"/>
            <w:r w:rsidRPr="00550CD8">
              <w:rPr>
                <w:rFonts w:asciiTheme="majorBidi" w:hAnsiTheme="majorBidi" w:cstheme="majorBidi"/>
                <w:sz w:val="18"/>
                <w:szCs w:val="18"/>
                <w:vertAlign w:val="superscript"/>
              </w:rPr>
              <w:t>o</w:t>
            </w:r>
            <w:r w:rsidRPr="00550CD8">
              <w:rPr>
                <w:rFonts w:asciiTheme="majorBidi" w:hAnsiTheme="majorBidi" w:cstheme="majorBidi"/>
                <w:sz w:val="18"/>
                <w:szCs w:val="18"/>
              </w:rPr>
              <w:t>C</w:t>
            </w:r>
            <w:proofErr w:type="spellEnd"/>
            <w:r w:rsidRPr="00550CD8">
              <w:rPr>
                <w:rFonts w:asciiTheme="majorBidi" w:hAnsiTheme="majorBidi" w:cstheme="majorBidi"/>
                <w:sz w:val="18"/>
                <w:szCs w:val="18"/>
              </w:rPr>
              <w:t>/3.2 MPa</w:t>
            </w:r>
          </w:p>
          <w:p w14:paraId="1139E2CF" w14:textId="77777777" w:rsidR="00035E5E" w:rsidRPr="00550CD8" w:rsidRDefault="00035E5E" w:rsidP="00406F03">
            <w:pPr>
              <w:pStyle w:val="MDPI42tablebody"/>
              <w:spacing w:line="240" w:lineRule="auto"/>
              <w:jc w:val="left"/>
              <w:rPr>
                <w:rFonts w:asciiTheme="majorBidi" w:hAnsiTheme="majorBidi" w:cstheme="majorBidi"/>
                <w:sz w:val="18"/>
                <w:szCs w:val="18"/>
              </w:rPr>
            </w:pPr>
            <w:r w:rsidRPr="00550CD8">
              <w:rPr>
                <w:rFonts w:asciiTheme="majorBidi" w:hAnsiTheme="majorBidi" w:cstheme="majorBidi"/>
                <w:sz w:val="18"/>
                <w:szCs w:val="18"/>
              </w:rPr>
              <w:t>H</w:t>
            </w:r>
            <w:r w:rsidRPr="00BA2C6E">
              <w:rPr>
                <w:rFonts w:asciiTheme="majorBidi" w:hAnsiTheme="majorBidi" w:cstheme="majorBidi"/>
                <w:sz w:val="18"/>
                <w:szCs w:val="18"/>
                <w:vertAlign w:val="subscript"/>
              </w:rPr>
              <w:t>2</w:t>
            </w:r>
            <w:r w:rsidRPr="00550CD8">
              <w:rPr>
                <w:rFonts w:asciiTheme="majorBidi" w:hAnsiTheme="majorBidi" w:cstheme="majorBidi"/>
                <w:sz w:val="18"/>
                <w:szCs w:val="18"/>
              </w:rPr>
              <w:t xml:space="preserve">S Removal = 100ppbv </w:t>
            </w:r>
          </w:p>
          <w:p w14:paraId="74BEECD2" w14:textId="77777777" w:rsidR="00035E5E" w:rsidRPr="00550CD8" w:rsidRDefault="00035E5E" w:rsidP="00406F03">
            <w:pPr>
              <w:pStyle w:val="MDPI42tablebody"/>
              <w:spacing w:line="240" w:lineRule="auto"/>
              <w:jc w:val="left"/>
              <w:rPr>
                <w:rFonts w:asciiTheme="majorBidi" w:hAnsiTheme="majorBidi" w:cstheme="majorBidi"/>
                <w:sz w:val="18"/>
                <w:szCs w:val="18"/>
              </w:rPr>
            </w:pPr>
            <w:r w:rsidRPr="00550CD8">
              <w:rPr>
                <w:rFonts w:asciiTheme="majorBidi" w:hAnsiTheme="majorBidi" w:cstheme="majorBidi"/>
                <w:sz w:val="18"/>
                <w:szCs w:val="18"/>
              </w:rPr>
              <w:t>CO</w:t>
            </w:r>
            <w:r w:rsidRPr="00BA2C6E">
              <w:rPr>
                <w:rFonts w:asciiTheme="majorBidi" w:hAnsiTheme="majorBidi" w:cstheme="majorBidi"/>
                <w:sz w:val="18"/>
                <w:szCs w:val="18"/>
                <w:vertAlign w:val="subscript"/>
              </w:rPr>
              <w:t>2</w:t>
            </w:r>
            <w:r w:rsidRPr="00550CD8">
              <w:rPr>
                <w:rFonts w:asciiTheme="majorBidi" w:hAnsiTheme="majorBidi" w:cstheme="majorBidi"/>
                <w:sz w:val="18"/>
                <w:szCs w:val="18"/>
              </w:rPr>
              <w:t xml:space="preserve"> Removal = 99%</w:t>
            </w:r>
          </w:p>
        </w:tc>
        <w:tc>
          <w:tcPr>
            <w:tcW w:w="1835" w:type="dxa"/>
            <w:vAlign w:val="center"/>
          </w:tcPr>
          <w:p w14:paraId="5B903B62" w14:textId="11E1D2C5" w:rsidR="00035E5E" w:rsidRPr="00550CD8" w:rsidRDefault="00035E5E" w:rsidP="00406F03">
            <w:pPr>
              <w:pStyle w:val="MDPI42tablebody"/>
              <w:spacing w:line="240" w:lineRule="auto"/>
              <w:rPr>
                <w:rFonts w:asciiTheme="majorBidi" w:hAnsiTheme="majorBidi" w:cstheme="majorBidi"/>
                <w:sz w:val="18"/>
                <w:szCs w:val="18"/>
              </w:rPr>
            </w:pPr>
            <w:proofErr w:type="spellStart"/>
            <w:r w:rsidRPr="00550CD8">
              <w:rPr>
                <w:rFonts w:asciiTheme="majorBidi" w:hAnsiTheme="majorBidi" w:cstheme="majorBidi"/>
                <w:sz w:val="18"/>
                <w:szCs w:val="18"/>
              </w:rPr>
              <w:t>RadFrac</w:t>
            </w:r>
            <w:proofErr w:type="spellEnd"/>
            <w:r w:rsidRPr="00550CD8">
              <w:rPr>
                <w:rFonts w:asciiTheme="majorBidi" w:hAnsiTheme="majorBidi" w:cstheme="majorBidi"/>
                <w:sz w:val="18"/>
                <w:szCs w:val="18"/>
              </w:rPr>
              <w:t xml:space="preserve">, </w:t>
            </w:r>
            <w:r w:rsidR="009D1017" w:rsidRPr="00550CD8">
              <w:rPr>
                <w:rFonts w:asciiTheme="majorBidi" w:hAnsiTheme="majorBidi" w:cstheme="majorBidi"/>
                <w:sz w:val="18"/>
                <w:szCs w:val="18"/>
              </w:rPr>
              <w:t>Flash</w:t>
            </w:r>
          </w:p>
        </w:tc>
      </w:tr>
      <w:tr w:rsidR="00035E5E" w:rsidRPr="00550CD8" w14:paraId="6726438E" w14:textId="77777777" w:rsidTr="00BA2C6E">
        <w:trPr>
          <w:trHeight w:val="57"/>
        </w:trPr>
        <w:tc>
          <w:tcPr>
            <w:tcW w:w="2160" w:type="dxa"/>
            <w:vAlign w:val="center"/>
          </w:tcPr>
          <w:p w14:paraId="7221B79D" w14:textId="77777777" w:rsidR="00035E5E" w:rsidRPr="00550CD8" w:rsidRDefault="00035E5E" w:rsidP="00406F03">
            <w:pPr>
              <w:pStyle w:val="MDPI42tablebody"/>
              <w:spacing w:line="240" w:lineRule="auto"/>
              <w:rPr>
                <w:rFonts w:asciiTheme="majorBidi" w:hAnsiTheme="majorBidi" w:cstheme="majorBidi"/>
                <w:sz w:val="18"/>
                <w:szCs w:val="18"/>
              </w:rPr>
            </w:pPr>
            <w:r w:rsidRPr="00550CD8">
              <w:rPr>
                <w:rFonts w:asciiTheme="majorBidi" w:hAnsiTheme="majorBidi" w:cstheme="majorBidi"/>
                <w:sz w:val="18"/>
                <w:szCs w:val="18"/>
              </w:rPr>
              <w:t>Methanol Synthesis</w:t>
            </w:r>
          </w:p>
        </w:tc>
        <w:tc>
          <w:tcPr>
            <w:tcW w:w="3205" w:type="dxa"/>
          </w:tcPr>
          <w:p w14:paraId="128DEE9C" w14:textId="77777777" w:rsidR="00035E5E" w:rsidRPr="00550CD8" w:rsidRDefault="00035E5E" w:rsidP="00406F03">
            <w:pPr>
              <w:pStyle w:val="MDPI42tablebody"/>
              <w:spacing w:line="240" w:lineRule="auto"/>
              <w:jc w:val="left"/>
              <w:rPr>
                <w:rFonts w:asciiTheme="majorBidi" w:hAnsiTheme="majorBidi" w:cstheme="majorBidi"/>
                <w:sz w:val="18"/>
                <w:szCs w:val="18"/>
              </w:rPr>
            </w:pPr>
            <w:r w:rsidRPr="00550CD8">
              <w:rPr>
                <w:rFonts w:asciiTheme="majorBidi" w:hAnsiTheme="majorBidi" w:cstheme="majorBidi"/>
                <w:sz w:val="18"/>
                <w:szCs w:val="18"/>
              </w:rPr>
              <w:t xml:space="preserve">Temp/Pressure = 180 </w:t>
            </w:r>
            <w:proofErr w:type="spellStart"/>
            <w:r w:rsidRPr="00550CD8">
              <w:rPr>
                <w:rFonts w:asciiTheme="majorBidi" w:hAnsiTheme="majorBidi" w:cstheme="majorBidi"/>
                <w:sz w:val="18"/>
                <w:szCs w:val="18"/>
                <w:vertAlign w:val="superscript"/>
              </w:rPr>
              <w:t>o</w:t>
            </w:r>
            <w:r w:rsidRPr="00550CD8">
              <w:rPr>
                <w:rFonts w:asciiTheme="majorBidi" w:hAnsiTheme="majorBidi" w:cstheme="majorBidi"/>
                <w:sz w:val="18"/>
                <w:szCs w:val="18"/>
              </w:rPr>
              <w:t>C</w:t>
            </w:r>
            <w:proofErr w:type="spellEnd"/>
            <w:r w:rsidRPr="00550CD8">
              <w:rPr>
                <w:rFonts w:asciiTheme="majorBidi" w:hAnsiTheme="majorBidi" w:cstheme="majorBidi"/>
                <w:sz w:val="18"/>
                <w:szCs w:val="18"/>
              </w:rPr>
              <w:t xml:space="preserve"> /8 MPa</w:t>
            </w:r>
          </w:p>
          <w:p w14:paraId="6A0791CA" w14:textId="77777777" w:rsidR="00035E5E" w:rsidRPr="00550CD8" w:rsidRDefault="00035E5E" w:rsidP="00406F03">
            <w:pPr>
              <w:pStyle w:val="MDPI42tablebody"/>
              <w:spacing w:line="240" w:lineRule="auto"/>
              <w:jc w:val="left"/>
              <w:rPr>
                <w:rFonts w:asciiTheme="majorBidi" w:hAnsiTheme="majorBidi" w:cstheme="majorBidi"/>
                <w:sz w:val="18"/>
                <w:szCs w:val="18"/>
              </w:rPr>
            </w:pPr>
            <w:proofErr w:type="spellStart"/>
            <w:r w:rsidRPr="00550CD8">
              <w:rPr>
                <w:rFonts w:asciiTheme="majorBidi" w:hAnsiTheme="majorBidi" w:cstheme="majorBidi"/>
                <w:sz w:val="18"/>
                <w:szCs w:val="18"/>
              </w:rPr>
              <w:t>CuO</w:t>
            </w:r>
            <w:proofErr w:type="spellEnd"/>
            <w:r w:rsidRPr="00550CD8">
              <w:rPr>
                <w:rFonts w:asciiTheme="majorBidi" w:hAnsiTheme="majorBidi" w:cstheme="majorBidi"/>
                <w:sz w:val="18"/>
                <w:szCs w:val="18"/>
              </w:rPr>
              <w:t>/Al</w:t>
            </w:r>
            <w:r w:rsidRPr="00550CD8">
              <w:rPr>
                <w:rFonts w:asciiTheme="majorBidi" w:hAnsiTheme="majorBidi" w:cstheme="majorBidi"/>
                <w:sz w:val="18"/>
                <w:szCs w:val="18"/>
                <w:vertAlign w:val="subscript"/>
              </w:rPr>
              <w:t>2</w:t>
            </w:r>
            <w:r w:rsidRPr="00550CD8">
              <w:rPr>
                <w:rFonts w:asciiTheme="majorBidi" w:hAnsiTheme="majorBidi" w:cstheme="majorBidi"/>
                <w:sz w:val="18"/>
                <w:szCs w:val="18"/>
              </w:rPr>
              <w:t>O</w:t>
            </w:r>
            <w:r w:rsidRPr="00550CD8">
              <w:rPr>
                <w:rFonts w:asciiTheme="majorBidi" w:hAnsiTheme="majorBidi" w:cstheme="majorBidi"/>
                <w:sz w:val="18"/>
                <w:szCs w:val="18"/>
                <w:vertAlign w:val="subscript"/>
              </w:rPr>
              <w:t>3</w:t>
            </w:r>
            <w:r w:rsidRPr="00550CD8">
              <w:rPr>
                <w:rFonts w:asciiTheme="majorBidi" w:hAnsiTheme="majorBidi" w:cstheme="majorBidi"/>
                <w:sz w:val="18"/>
                <w:szCs w:val="18"/>
              </w:rPr>
              <w:t>/</w:t>
            </w:r>
            <w:proofErr w:type="spellStart"/>
            <w:r w:rsidRPr="00550CD8">
              <w:rPr>
                <w:rFonts w:asciiTheme="majorBidi" w:hAnsiTheme="majorBidi" w:cstheme="majorBidi"/>
                <w:sz w:val="18"/>
                <w:szCs w:val="18"/>
              </w:rPr>
              <w:t>ZnO</w:t>
            </w:r>
            <w:proofErr w:type="spellEnd"/>
            <w:r w:rsidRPr="00550CD8">
              <w:rPr>
                <w:rFonts w:asciiTheme="majorBidi" w:hAnsiTheme="majorBidi" w:cstheme="majorBidi"/>
                <w:sz w:val="18"/>
                <w:szCs w:val="18"/>
              </w:rPr>
              <w:t xml:space="preserve"> catalyst</w:t>
            </w:r>
          </w:p>
        </w:tc>
        <w:tc>
          <w:tcPr>
            <w:tcW w:w="1835" w:type="dxa"/>
            <w:vAlign w:val="center"/>
          </w:tcPr>
          <w:p w14:paraId="3F70D849" w14:textId="274CFEE0" w:rsidR="00035E5E" w:rsidRPr="00550CD8" w:rsidRDefault="00035E5E" w:rsidP="00406F03">
            <w:pPr>
              <w:pStyle w:val="MDPI42tablebody"/>
              <w:spacing w:line="240" w:lineRule="auto"/>
              <w:rPr>
                <w:rFonts w:asciiTheme="majorBidi" w:hAnsiTheme="majorBidi" w:cstheme="majorBidi"/>
                <w:sz w:val="18"/>
                <w:szCs w:val="18"/>
              </w:rPr>
            </w:pPr>
            <w:proofErr w:type="spellStart"/>
            <w:r w:rsidRPr="00550CD8">
              <w:rPr>
                <w:rFonts w:asciiTheme="majorBidi" w:hAnsiTheme="majorBidi" w:cstheme="majorBidi"/>
                <w:sz w:val="18"/>
                <w:szCs w:val="18"/>
              </w:rPr>
              <w:t>R</w:t>
            </w:r>
            <w:r w:rsidR="009D1017">
              <w:rPr>
                <w:rFonts w:asciiTheme="majorBidi" w:hAnsiTheme="majorBidi" w:cstheme="majorBidi"/>
                <w:sz w:val="18"/>
                <w:szCs w:val="18"/>
              </w:rPr>
              <w:t>P</w:t>
            </w:r>
            <w:r w:rsidRPr="00550CD8">
              <w:rPr>
                <w:rFonts w:asciiTheme="majorBidi" w:hAnsiTheme="majorBidi" w:cstheme="majorBidi"/>
                <w:sz w:val="18"/>
                <w:szCs w:val="18"/>
              </w:rPr>
              <w:t>lug</w:t>
            </w:r>
            <w:proofErr w:type="spellEnd"/>
          </w:p>
        </w:tc>
      </w:tr>
    </w:tbl>
    <w:p w14:paraId="1502D0E7" w14:textId="1DA9E8E2" w:rsidR="00A75C40" w:rsidRPr="001572F2" w:rsidRDefault="00A75C40" w:rsidP="001572F2">
      <w:pPr>
        <w:pStyle w:val="Els-body-text"/>
      </w:pPr>
    </w:p>
    <w:p w14:paraId="144DE6C3" w14:textId="24FC7E7C" w:rsidR="008D2649" w:rsidRPr="002C77C5" w:rsidRDefault="006B0624" w:rsidP="002C77C5">
      <w:pPr>
        <w:pStyle w:val="Els-1storder-head"/>
      </w:pPr>
      <w:r w:rsidRPr="002C77C5">
        <w:t>Process Description:</w:t>
      </w:r>
    </w:p>
    <w:p w14:paraId="226D069E" w14:textId="77777777" w:rsidR="00BA2C6E" w:rsidRDefault="00F617CA" w:rsidP="00CE1751">
      <w:pPr>
        <w:pStyle w:val="Els-referenceno-number"/>
        <w:ind w:left="0" w:firstLine="0"/>
        <w:jc w:val="both"/>
        <w:rPr>
          <w:sz w:val="20"/>
          <w:szCs w:val="22"/>
          <w:lang w:val="en-US"/>
        </w:rPr>
      </w:pPr>
      <w:r w:rsidRPr="007D47D3">
        <w:rPr>
          <w:sz w:val="20"/>
          <w:szCs w:val="22"/>
          <w:lang w:val="en-US"/>
        </w:rPr>
        <w:t>Two case studies have been developed in this study dual production of H</w:t>
      </w:r>
      <w:r w:rsidRPr="009D1017">
        <w:rPr>
          <w:sz w:val="20"/>
          <w:szCs w:val="22"/>
          <w:vertAlign w:val="subscript"/>
          <w:lang w:val="en-US"/>
        </w:rPr>
        <w:t>2</w:t>
      </w:r>
      <w:r w:rsidRPr="007D47D3">
        <w:rPr>
          <w:sz w:val="20"/>
          <w:szCs w:val="22"/>
          <w:lang w:val="en-US"/>
        </w:rPr>
        <w:t xml:space="preserve"> and methanol</w:t>
      </w:r>
      <w:r w:rsidR="009D1017">
        <w:rPr>
          <w:sz w:val="20"/>
          <w:szCs w:val="22"/>
          <w:lang w:val="en-US"/>
        </w:rPr>
        <w:t xml:space="preserve"> as represented in Figure 1 and Figure 2</w:t>
      </w:r>
      <w:r w:rsidR="007D47D3" w:rsidRPr="007D47D3">
        <w:rPr>
          <w:sz w:val="20"/>
          <w:szCs w:val="22"/>
          <w:lang w:val="en-US"/>
        </w:rPr>
        <w:t>.</w:t>
      </w:r>
      <w:r w:rsidR="007D47D3">
        <w:t xml:space="preserve"> </w:t>
      </w:r>
      <w:r w:rsidR="009D1017" w:rsidRPr="00A31C7A">
        <w:rPr>
          <w:sz w:val="20"/>
        </w:rPr>
        <w:t xml:space="preserve">Case 1 focused on the dual production of methnaol and hydrogen, werheas, case 2 focuses </w:t>
      </w:r>
      <w:r w:rsidR="00A31C7A" w:rsidRPr="00A31C7A">
        <w:rPr>
          <w:sz w:val="20"/>
        </w:rPr>
        <w:t xml:space="preserve">mainly </w:t>
      </w:r>
      <w:r w:rsidR="009D1017" w:rsidRPr="00A31C7A">
        <w:rPr>
          <w:sz w:val="20"/>
        </w:rPr>
        <w:t xml:space="preserve">on the production of </w:t>
      </w:r>
      <w:r w:rsidR="00A31C7A" w:rsidRPr="00A31C7A">
        <w:rPr>
          <w:sz w:val="20"/>
        </w:rPr>
        <w:t xml:space="preserve">methanol. </w:t>
      </w:r>
      <w:r w:rsidR="001572F2" w:rsidRPr="00A31C7A">
        <w:rPr>
          <w:sz w:val="20"/>
          <w:lang w:val="en-US"/>
        </w:rPr>
        <w:t>The ASU employs high- and low-pressure columns to separate oxygen from air</w:t>
      </w:r>
      <w:r w:rsidR="008B4635" w:rsidRPr="00A31C7A">
        <w:rPr>
          <w:sz w:val="20"/>
          <w:lang w:val="en-US"/>
        </w:rPr>
        <w:t xml:space="preserve"> at cryogenic</w:t>
      </w:r>
      <w:r w:rsidR="008B4635" w:rsidRPr="006B0624">
        <w:rPr>
          <w:sz w:val="20"/>
          <w:szCs w:val="22"/>
          <w:lang w:val="en-US"/>
        </w:rPr>
        <w:t xml:space="preserve"> condition</w:t>
      </w:r>
      <w:r w:rsidR="00F5327A">
        <w:rPr>
          <w:sz w:val="20"/>
          <w:szCs w:val="22"/>
          <w:lang w:val="en-US"/>
        </w:rPr>
        <w:t xml:space="preserve"> to supply the gasification unit </w:t>
      </w:r>
      <w:r w:rsidR="001572F2" w:rsidRPr="006B0624">
        <w:rPr>
          <w:sz w:val="20"/>
          <w:szCs w:val="22"/>
          <w:lang w:val="en-US"/>
        </w:rPr>
        <w:t xml:space="preserve">. </w:t>
      </w:r>
    </w:p>
    <w:p w14:paraId="3F602F38" w14:textId="77777777" w:rsidR="00BA2C6E" w:rsidRPr="009D1017" w:rsidRDefault="00BA2C6E" w:rsidP="00BA2C6E">
      <w:pPr>
        <w:pStyle w:val="Els-referenceno-number"/>
        <w:ind w:left="0" w:firstLine="0"/>
        <w:jc w:val="both"/>
        <w:rPr>
          <w:color w:val="000000" w:themeColor="text1"/>
          <w:sz w:val="20"/>
          <w:szCs w:val="22"/>
        </w:rPr>
      </w:pPr>
    </w:p>
    <w:p w14:paraId="68004C4F" w14:textId="77777777" w:rsidR="00BA2C6E" w:rsidRPr="009D1017" w:rsidRDefault="00BA2C6E" w:rsidP="00BA2C6E">
      <w:r w:rsidRPr="009D1017">
        <w:drawing>
          <wp:inline distT="0" distB="0" distL="0" distR="0" wp14:anchorId="37341AE2" wp14:editId="0C47BCF1">
            <wp:extent cx="4467801" cy="1423987"/>
            <wp:effectExtent l="0" t="0" r="0" b="508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469279" cy="1424458"/>
                    </a:xfrm>
                    <a:prstGeom prst="rect">
                      <a:avLst/>
                    </a:prstGeom>
                    <a:ln>
                      <a:noFill/>
                    </a:ln>
                  </pic:spPr>
                </pic:pic>
              </a:graphicData>
            </a:graphic>
          </wp:inline>
        </w:drawing>
      </w:r>
    </w:p>
    <w:p w14:paraId="6E7C7226" w14:textId="606EECA7" w:rsidR="00BA2C6E" w:rsidRPr="009D1017" w:rsidRDefault="00BA2C6E" w:rsidP="00BA2C6E">
      <w:pPr>
        <w:jc w:val="center"/>
      </w:pPr>
      <w:r w:rsidRPr="009D1017">
        <w:t>Figure</w:t>
      </w:r>
      <w:r>
        <w:t xml:space="preserve"> 1</w:t>
      </w:r>
      <w:r w:rsidRPr="009D1017">
        <w:t>: Vacuum residue to methanol and H</w:t>
      </w:r>
      <w:r w:rsidRPr="00BA2C6E">
        <w:rPr>
          <w:vertAlign w:val="subscript"/>
        </w:rPr>
        <w:t>2</w:t>
      </w:r>
      <w:r w:rsidRPr="009D1017">
        <w:t xml:space="preserve"> production with CO</w:t>
      </w:r>
      <w:r w:rsidRPr="00BA2C6E">
        <w:rPr>
          <w:vertAlign w:val="subscript"/>
        </w:rPr>
        <w:t>2</w:t>
      </w:r>
      <w:r w:rsidRPr="009D1017">
        <w:t xml:space="preserve"> capture (case 1).</w:t>
      </w:r>
    </w:p>
    <w:p w14:paraId="1C40A49A" w14:textId="77777777" w:rsidR="00BA2C6E" w:rsidRDefault="00BA2C6E" w:rsidP="00CE1751">
      <w:pPr>
        <w:pStyle w:val="Els-referenceno-number"/>
        <w:ind w:left="0" w:firstLine="0"/>
        <w:jc w:val="both"/>
        <w:rPr>
          <w:sz w:val="20"/>
          <w:szCs w:val="22"/>
          <w:lang w:val="en-US"/>
        </w:rPr>
      </w:pPr>
    </w:p>
    <w:p w14:paraId="345976BD" w14:textId="21AEBD28" w:rsidR="002C77C5" w:rsidRPr="009D1017" w:rsidRDefault="00A31C7A" w:rsidP="00CE1751">
      <w:pPr>
        <w:pStyle w:val="Els-referenceno-number"/>
        <w:ind w:left="0" w:firstLine="0"/>
        <w:jc w:val="both"/>
        <w:rPr>
          <w:color w:val="000000" w:themeColor="text1"/>
          <w:sz w:val="20"/>
          <w:szCs w:val="22"/>
        </w:rPr>
      </w:pPr>
      <w:r>
        <w:rPr>
          <w:sz w:val="20"/>
          <w:szCs w:val="22"/>
          <w:lang w:val="en-US"/>
        </w:rPr>
        <w:t>Both the processes</w:t>
      </w:r>
      <w:r w:rsidR="001572F2" w:rsidRPr="006B0624">
        <w:rPr>
          <w:sz w:val="20"/>
          <w:szCs w:val="22"/>
          <w:lang w:val="en-US"/>
        </w:rPr>
        <w:t xml:space="preserve"> involve vacuum residue gasification using oxygen and steam, followed by </w:t>
      </w:r>
      <w:r w:rsidR="009D1017">
        <w:rPr>
          <w:sz w:val="20"/>
          <w:szCs w:val="22"/>
          <w:lang w:val="en-US"/>
        </w:rPr>
        <w:t xml:space="preserve">syngas </w:t>
      </w:r>
      <w:r w:rsidR="001572F2" w:rsidRPr="006B0624">
        <w:rPr>
          <w:sz w:val="20"/>
          <w:szCs w:val="22"/>
          <w:lang w:val="en-US"/>
        </w:rPr>
        <w:t>cooling using a gas quench</w:t>
      </w:r>
      <w:r w:rsidR="009D1017">
        <w:rPr>
          <w:sz w:val="20"/>
          <w:szCs w:val="22"/>
          <w:lang w:val="en-US"/>
        </w:rPr>
        <w:t>ing</w:t>
      </w:r>
      <w:r w:rsidR="001572F2" w:rsidRPr="006B0624">
        <w:rPr>
          <w:sz w:val="20"/>
          <w:szCs w:val="22"/>
          <w:lang w:val="en-US"/>
        </w:rPr>
        <w:t xml:space="preserve"> method. WGS unit </w:t>
      </w:r>
      <w:r w:rsidR="008F6F4D">
        <w:rPr>
          <w:sz w:val="20"/>
          <w:szCs w:val="22"/>
          <w:lang w:val="en-US"/>
        </w:rPr>
        <w:t xml:space="preserve">is used </w:t>
      </w:r>
      <w:r w:rsidR="001572F2" w:rsidRPr="006B0624">
        <w:rPr>
          <w:sz w:val="20"/>
          <w:szCs w:val="22"/>
          <w:lang w:val="en-US"/>
        </w:rPr>
        <w:t>to adjust the hydrogen-to-carbon ratio for methanol synthesis. The first gas cooling unit cools the shifted syngas for the Acid Gas Removal (AGR) unit</w:t>
      </w:r>
      <w:r w:rsidR="008F6F4D">
        <w:rPr>
          <w:sz w:val="20"/>
          <w:szCs w:val="22"/>
          <w:lang w:val="en-US"/>
        </w:rPr>
        <w:t xml:space="preserve"> utilizing methanol as a solvant to absorb H</w:t>
      </w:r>
      <w:r w:rsidR="008F6F4D" w:rsidRPr="009D1017">
        <w:rPr>
          <w:sz w:val="20"/>
          <w:szCs w:val="22"/>
          <w:vertAlign w:val="subscript"/>
          <w:lang w:val="en-US"/>
        </w:rPr>
        <w:t>2</w:t>
      </w:r>
      <w:r w:rsidR="008F6F4D">
        <w:rPr>
          <w:sz w:val="20"/>
          <w:szCs w:val="22"/>
          <w:lang w:val="en-US"/>
        </w:rPr>
        <w:t>S and CO</w:t>
      </w:r>
      <w:r w:rsidR="008F6F4D" w:rsidRPr="009D1017">
        <w:rPr>
          <w:sz w:val="20"/>
          <w:szCs w:val="22"/>
          <w:vertAlign w:val="subscript"/>
          <w:lang w:val="en-US"/>
        </w:rPr>
        <w:t>2</w:t>
      </w:r>
      <w:r w:rsidR="008F6F4D">
        <w:rPr>
          <w:sz w:val="20"/>
          <w:szCs w:val="22"/>
          <w:lang w:val="en-US"/>
        </w:rPr>
        <w:t xml:space="preserve"> </w:t>
      </w:r>
      <w:r w:rsidR="001572F2" w:rsidRPr="006B0624">
        <w:rPr>
          <w:sz w:val="20"/>
          <w:szCs w:val="22"/>
          <w:lang w:val="en-US"/>
        </w:rPr>
        <w:t>. The methanol synthesis unit employ</w:t>
      </w:r>
      <w:r w:rsidR="009D1017">
        <w:rPr>
          <w:sz w:val="20"/>
          <w:szCs w:val="22"/>
          <w:lang w:val="en-US"/>
        </w:rPr>
        <w:t>s</w:t>
      </w:r>
      <w:r w:rsidR="001572F2" w:rsidRPr="006B0624">
        <w:rPr>
          <w:sz w:val="20"/>
          <w:szCs w:val="22"/>
          <w:lang w:val="en-US"/>
        </w:rPr>
        <w:t xml:space="preserve"> a single reactor with multiple injections of cold recycled streams. This process enhances equilibrium conversion by decreasing the temperature of the exothermic reaction. Th</w:t>
      </w:r>
      <w:r w:rsidR="008F6F4D">
        <w:rPr>
          <w:sz w:val="20"/>
          <w:szCs w:val="22"/>
          <w:lang w:val="en-US"/>
        </w:rPr>
        <w:t>e</w:t>
      </w:r>
      <w:r w:rsidR="001572F2" w:rsidRPr="006B0624">
        <w:rPr>
          <w:sz w:val="20"/>
          <w:szCs w:val="22"/>
          <w:lang w:val="en-US"/>
        </w:rPr>
        <w:t xml:space="preserve"> </w:t>
      </w:r>
      <w:r w:rsidR="008F6F4D">
        <w:rPr>
          <w:sz w:val="20"/>
          <w:szCs w:val="22"/>
          <w:lang w:val="en-US"/>
        </w:rPr>
        <w:t>process design</w:t>
      </w:r>
      <w:r w:rsidR="001572F2" w:rsidRPr="006B0624">
        <w:rPr>
          <w:sz w:val="20"/>
          <w:szCs w:val="22"/>
          <w:lang w:val="en-US"/>
        </w:rPr>
        <w:t xml:space="preserve"> includes a second WGS unit and a gas cooling unit to maximize CO conversion and produce H</w:t>
      </w:r>
      <w:r w:rsidR="001572F2" w:rsidRPr="009D1017">
        <w:rPr>
          <w:sz w:val="20"/>
          <w:szCs w:val="22"/>
          <w:vertAlign w:val="subscript"/>
          <w:lang w:val="en-US"/>
        </w:rPr>
        <w:t>2</w:t>
      </w:r>
      <w:r w:rsidR="001572F2" w:rsidRPr="006B0624">
        <w:rPr>
          <w:sz w:val="20"/>
          <w:szCs w:val="22"/>
          <w:lang w:val="en-US"/>
        </w:rPr>
        <w:t xml:space="preserve"> and CO</w:t>
      </w:r>
      <w:r w:rsidR="001572F2" w:rsidRPr="009D1017">
        <w:rPr>
          <w:sz w:val="20"/>
          <w:szCs w:val="22"/>
          <w:vertAlign w:val="subscript"/>
          <w:lang w:val="en-US"/>
        </w:rPr>
        <w:t>2</w:t>
      </w:r>
      <w:r w:rsidR="001572F2" w:rsidRPr="006B0624">
        <w:rPr>
          <w:sz w:val="20"/>
          <w:szCs w:val="22"/>
          <w:lang w:val="en-US"/>
        </w:rPr>
        <w:t>.</w:t>
      </w:r>
      <w:r w:rsidR="00C348C1" w:rsidRPr="006B0624">
        <w:rPr>
          <w:sz w:val="20"/>
          <w:szCs w:val="22"/>
          <w:lang w:val="en-US"/>
        </w:rPr>
        <w:t xml:space="preserve"> </w:t>
      </w:r>
    </w:p>
    <w:p w14:paraId="4BEF1C4F" w14:textId="4E66D3B6" w:rsidR="009D1017" w:rsidRPr="009D1017" w:rsidRDefault="009D1017" w:rsidP="009D1017">
      <w:r w:rsidRPr="009D1017">
        <w:lastRenderedPageBreak/>
        <w:drawing>
          <wp:inline distT="0" distB="0" distL="0" distR="0" wp14:anchorId="2A824AB3" wp14:editId="1C06540A">
            <wp:extent cx="4270664" cy="1472599"/>
            <wp:effectExtent l="0" t="0" r="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280507" cy="1475993"/>
                    </a:xfrm>
                    <a:prstGeom prst="rect">
                      <a:avLst/>
                    </a:prstGeom>
                    <a:ln>
                      <a:noFill/>
                    </a:ln>
                  </pic:spPr>
                </pic:pic>
              </a:graphicData>
            </a:graphic>
          </wp:inline>
        </w:drawing>
      </w:r>
    </w:p>
    <w:p w14:paraId="2F1DEFB9" w14:textId="39D2C066" w:rsidR="009D1017" w:rsidRPr="009D1017" w:rsidRDefault="009D1017" w:rsidP="00BA2C6E">
      <w:pPr>
        <w:jc w:val="center"/>
      </w:pPr>
      <w:r w:rsidRPr="009D1017">
        <w:t xml:space="preserve">Figure 2. Vacuum residue to methanol production with </w:t>
      </w:r>
      <w:r w:rsidR="00406F03">
        <w:t>C</w:t>
      </w:r>
      <w:r w:rsidRPr="009D1017">
        <w:t>O</w:t>
      </w:r>
      <w:r w:rsidRPr="00406F03">
        <w:rPr>
          <w:vertAlign w:val="subscript"/>
        </w:rPr>
        <w:t>2</w:t>
      </w:r>
      <w:r w:rsidRPr="009D1017">
        <w:t xml:space="preserve"> capture (case 2).</w:t>
      </w:r>
    </w:p>
    <w:p w14:paraId="2F965C8C" w14:textId="3EA6379B" w:rsidR="007D47D3" w:rsidRPr="007D47D3" w:rsidRDefault="00C348C1" w:rsidP="007D47D3">
      <w:pPr>
        <w:pStyle w:val="Els-1storder-head"/>
      </w:pPr>
      <w:r w:rsidRPr="002C77C5">
        <w:t>Results and Discussion</w:t>
      </w:r>
    </w:p>
    <w:p w14:paraId="2DFD4A99" w14:textId="566134E2" w:rsidR="005A70F1" w:rsidRDefault="005A70F1" w:rsidP="007D47D3">
      <w:pPr>
        <w:pStyle w:val="Els-2ndorder-head"/>
      </w:pPr>
      <w:r>
        <w:t>Hydrogen and Methanol Production</w:t>
      </w:r>
      <w:r w:rsidR="00BA2C6E">
        <w:t>:</w:t>
      </w:r>
    </w:p>
    <w:p w14:paraId="2F9FFEEC" w14:textId="121CB23A" w:rsidR="005A70F1" w:rsidRPr="005A70F1" w:rsidRDefault="00077AC5" w:rsidP="005A70F1">
      <w:pPr>
        <w:pStyle w:val="Els-body-text"/>
      </w:pPr>
      <w:r w:rsidRPr="00077AC5">
        <w:t>Two case studies have been developed in this project to produce methanol and hydrogen from high sulfur content vacuum residue</w:t>
      </w:r>
      <w:r>
        <w:t xml:space="preserve">. </w:t>
      </w:r>
      <w:r w:rsidRPr="00B17A23">
        <w:rPr>
          <w:snapToGrid w:val="0"/>
          <w:szCs w:val="22"/>
          <w:lang w:eastAsia="de-DE" w:bidi="en-US"/>
        </w:rPr>
        <w:t>The methanol production in case 1 and 2 is calculated as 57.49 kg/s and 129.92 kg/s</w:t>
      </w:r>
      <w:r>
        <w:rPr>
          <w:snapToGrid w:val="0"/>
          <w:szCs w:val="22"/>
          <w:lang w:eastAsia="de-DE" w:bidi="en-US"/>
        </w:rPr>
        <w:t>,</w:t>
      </w:r>
      <w:r w:rsidRPr="00B17A23">
        <w:rPr>
          <w:snapToGrid w:val="0"/>
          <w:szCs w:val="22"/>
          <w:lang w:eastAsia="de-DE" w:bidi="en-US"/>
        </w:rPr>
        <w:t xml:space="preserve"> respectively. On the other hand, the hydrogen production in case 1 and 2 is calculated as 15.92 kg/s and 1.87 kg/s </w:t>
      </w:r>
      <w:r w:rsidR="007B7482" w:rsidRPr="0085103E">
        <w:rPr>
          <w:snapToGrid w:val="0"/>
          <w:szCs w:val="22"/>
          <w:lang w:eastAsia="de-DE" w:bidi="en-US"/>
        </w:rPr>
        <w:t>respectively</w:t>
      </w:r>
      <w:r w:rsidR="007B7482">
        <w:rPr>
          <w:snapToGrid w:val="0"/>
          <w:szCs w:val="22"/>
          <w:lang w:eastAsia="de-DE" w:bidi="en-US"/>
        </w:rPr>
        <w:t>.</w:t>
      </w:r>
      <w:r w:rsidR="007B7482" w:rsidRPr="0085103E">
        <w:rPr>
          <w:snapToGrid w:val="0"/>
          <w:szCs w:val="22"/>
          <w:lang w:eastAsia="de-DE" w:bidi="en-US"/>
        </w:rPr>
        <w:t xml:space="preserve"> Furthermore, the net fuel production in case 1 and 2 is calculated as 73.41 kg/s and 131.79 kg/s, respectively.</w:t>
      </w:r>
      <w:r w:rsidR="007B7482">
        <w:rPr>
          <w:snapToGrid w:val="0"/>
          <w:szCs w:val="22"/>
          <w:lang w:eastAsia="de-DE" w:bidi="en-US"/>
        </w:rPr>
        <w:t xml:space="preserve"> </w:t>
      </w:r>
      <w:r w:rsidR="007B7482" w:rsidRPr="0085103E">
        <w:t xml:space="preserve">In comparison </w:t>
      </w:r>
      <w:r w:rsidR="007B7482">
        <w:t xml:space="preserve">to </w:t>
      </w:r>
      <w:r w:rsidR="007B7482" w:rsidRPr="0085103E">
        <w:t xml:space="preserve">the net fuel specific production energy between case 1 and 2, there is a potential of producing </w:t>
      </w:r>
      <w:r w:rsidR="007B7482">
        <w:t>79.6</w:t>
      </w:r>
      <w:r w:rsidR="007B7482" w:rsidRPr="0085103E">
        <w:t>% more fuel when recycling 98.7% of the unreacted syngas to the methanol synthesis unit</w:t>
      </w:r>
      <w:r w:rsidR="007B7482">
        <w:t xml:space="preserve"> as in Case 2. </w:t>
      </w:r>
    </w:p>
    <w:p w14:paraId="488A4B43" w14:textId="0894FAAB" w:rsidR="00C348C1" w:rsidRPr="007D47D3" w:rsidRDefault="00BA2C6E" w:rsidP="007D47D3">
      <w:pPr>
        <w:pStyle w:val="Els-2ndorder-head"/>
      </w:pPr>
      <w:r>
        <w:t>Process</w:t>
      </w:r>
      <w:r w:rsidR="004C7A44" w:rsidRPr="007D47D3">
        <w:t xml:space="preserve"> Performance</w:t>
      </w:r>
      <w:r>
        <w:t xml:space="preserve"> Analysis:</w:t>
      </w:r>
    </w:p>
    <w:p w14:paraId="32FC4420" w14:textId="77777777" w:rsidR="00332E02" w:rsidRDefault="00332E02" w:rsidP="00332E02">
      <w:pPr>
        <w:pStyle w:val="Els-referenceno-number"/>
        <w:ind w:left="0" w:firstLine="0"/>
        <w:jc w:val="both"/>
        <w:rPr>
          <w:sz w:val="20"/>
          <w:szCs w:val="22"/>
          <w:lang w:val="en-US"/>
        </w:rPr>
      </w:pPr>
      <w:r w:rsidRPr="00332E02">
        <w:rPr>
          <w:sz w:val="20"/>
          <w:szCs w:val="22"/>
          <w:lang w:val="en-US"/>
        </w:rPr>
        <w:t xml:space="preserve">Another important technical parameter indicator is the process efficiency, which evaluates the utilization of the power requirement in methanol and hydrogen production. </w:t>
      </w:r>
    </w:p>
    <w:p w14:paraId="70A74879" w14:textId="77777777" w:rsidR="00332E02" w:rsidRDefault="00332E02" w:rsidP="00332E02">
      <w:pPr>
        <w:pStyle w:val="Els-referenceno-number"/>
        <w:ind w:left="0" w:firstLine="0"/>
        <w:jc w:val="both"/>
        <w:rPr>
          <w:sz w:val="20"/>
          <w:szCs w:val="22"/>
          <w:lang w:val="en-US"/>
        </w:rPr>
      </w:pPr>
      <w:r w:rsidRPr="00332E02">
        <w:rPr>
          <w:sz w:val="20"/>
          <w:szCs w:val="22"/>
          <w:lang w:val="en-US"/>
        </w:rPr>
        <w:t>The process efficiency is calculated using the thermal power of the feedstock and products in addition to the power requirement for methanol and hydrogen production</w:t>
      </w:r>
      <w:r>
        <w:rPr>
          <w:sz w:val="20"/>
          <w:szCs w:val="22"/>
          <w:lang w:val="en-US"/>
        </w:rPr>
        <w:t xml:space="preserve"> as represented in Equation 1</w:t>
      </w:r>
      <w:r w:rsidRPr="00332E02">
        <w:rPr>
          <w:sz w:val="20"/>
          <w:szCs w:val="22"/>
          <w:lang w:val="en-US"/>
        </w:rPr>
        <w:t>.</w:t>
      </w:r>
    </w:p>
    <w:p w14:paraId="33B85696" w14:textId="77777777" w:rsidR="00332E02" w:rsidRPr="00E14970" w:rsidRDefault="00332E02" w:rsidP="00332E02">
      <w:pPr>
        <w:pStyle w:val="Els-caption"/>
      </w:pPr>
      <m:oMathPara>
        <m:oMath>
          <m:r>
            <m:rPr>
              <m:sty m:val="p"/>
            </m:rPr>
            <w:rPr>
              <w:rFonts w:ascii="Cambria Math" w:hAnsi="Cambria Math"/>
              <w:sz w:val="16"/>
              <w:szCs w:val="18"/>
            </w:rPr>
            <m:t>Process Efficiency=</m:t>
          </m:r>
          <m:f>
            <m:fPr>
              <m:ctrlPr>
                <w:rPr>
                  <w:rFonts w:ascii="Cambria Math" w:hAnsi="Cambria Math"/>
                  <w:iCs/>
                  <w:sz w:val="16"/>
                  <w:szCs w:val="18"/>
                </w:rPr>
              </m:ctrlPr>
            </m:fPr>
            <m:num>
              <m:sSub>
                <m:sSubPr>
                  <m:ctrlPr>
                    <w:rPr>
                      <w:rFonts w:ascii="Cambria Math" w:hAnsi="Cambria Math"/>
                      <w:iCs/>
                      <w:sz w:val="16"/>
                      <w:szCs w:val="18"/>
                    </w:rPr>
                  </m:ctrlPr>
                </m:sSubPr>
                <m:e>
                  <m:r>
                    <m:rPr>
                      <m:sty m:val="p"/>
                    </m:rPr>
                    <w:rPr>
                      <w:rFonts w:ascii="Cambria Math" w:hAnsi="Cambria Math"/>
                      <w:sz w:val="16"/>
                      <w:szCs w:val="18"/>
                    </w:rPr>
                    <m:t>H</m:t>
                  </m:r>
                </m:e>
                <m:sub>
                  <m:r>
                    <m:rPr>
                      <m:sty m:val="p"/>
                    </m:rPr>
                    <w:rPr>
                      <w:rFonts w:ascii="Cambria Math" w:hAnsi="Cambria Math"/>
                      <w:sz w:val="16"/>
                      <w:szCs w:val="18"/>
                    </w:rPr>
                    <m:t>2</m:t>
                  </m:r>
                </m:sub>
              </m:sSub>
              <m:r>
                <m:rPr>
                  <m:sty m:val="p"/>
                </m:rPr>
                <w:rPr>
                  <w:rFonts w:ascii="Cambria Math" w:hAnsi="Cambria Math"/>
                  <w:sz w:val="16"/>
                  <w:szCs w:val="18"/>
                </w:rPr>
                <m:t xml:space="preserve"> thermal energy </m:t>
              </m:r>
              <m:d>
                <m:dPr>
                  <m:begChr m:val="["/>
                  <m:endChr m:val="]"/>
                  <m:ctrlPr>
                    <w:rPr>
                      <w:rFonts w:ascii="Cambria Math" w:hAnsi="Cambria Math"/>
                      <w:sz w:val="16"/>
                      <w:szCs w:val="18"/>
                    </w:rPr>
                  </m:ctrlPr>
                </m:dPr>
                <m:e>
                  <m:r>
                    <m:rPr>
                      <m:sty m:val="p"/>
                    </m:rPr>
                    <w:rPr>
                      <w:rFonts w:ascii="Cambria Math" w:hAnsi="Cambria Math"/>
                      <w:sz w:val="16"/>
                      <w:szCs w:val="18"/>
                    </w:rPr>
                    <m:t>MWth</m:t>
                  </m:r>
                </m:e>
              </m:d>
              <m:r>
                <m:rPr>
                  <m:sty m:val="p"/>
                </m:rPr>
                <w:rPr>
                  <w:rFonts w:ascii="Cambria Math" w:hAnsi="Cambria Math"/>
                  <w:sz w:val="16"/>
                  <w:szCs w:val="18"/>
                </w:rPr>
                <m:t>+</m:t>
              </m:r>
              <m:sSub>
                <m:sSubPr>
                  <m:ctrlPr>
                    <w:rPr>
                      <w:rFonts w:ascii="Cambria Math" w:hAnsi="Cambria Math"/>
                      <w:iCs/>
                      <w:sz w:val="16"/>
                      <w:szCs w:val="18"/>
                    </w:rPr>
                  </m:ctrlPr>
                </m:sSubPr>
                <m:e>
                  <m:r>
                    <m:rPr>
                      <m:sty m:val="p"/>
                    </m:rPr>
                    <w:rPr>
                      <w:rFonts w:ascii="Cambria Math" w:hAnsi="Cambria Math"/>
                      <w:sz w:val="16"/>
                      <w:szCs w:val="18"/>
                    </w:rPr>
                    <m:t>CH</m:t>
                  </m:r>
                </m:e>
                <m:sub>
                  <m:r>
                    <m:rPr>
                      <m:sty m:val="p"/>
                    </m:rPr>
                    <w:rPr>
                      <w:rFonts w:ascii="Cambria Math" w:hAnsi="Cambria Math"/>
                      <w:sz w:val="16"/>
                      <w:szCs w:val="18"/>
                    </w:rPr>
                    <m:t>3</m:t>
                  </m:r>
                </m:sub>
              </m:sSub>
              <m:r>
                <m:rPr>
                  <m:sty m:val="p"/>
                </m:rPr>
                <w:rPr>
                  <w:rFonts w:ascii="Cambria Math" w:hAnsi="Cambria Math"/>
                  <w:sz w:val="16"/>
                  <w:szCs w:val="18"/>
                </w:rPr>
                <m:t xml:space="preserve">OH thermal energy </m:t>
              </m:r>
              <m:d>
                <m:dPr>
                  <m:begChr m:val="["/>
                  <m:endChr m:val="]"/>
                  <m:ctrlPr>
                    <w:rPr>
                      <w:rFonts w:ascii="Cambria Math" w:hAnsi="Cambria Math"/>
                      <w:sz w:val="16"/>
                      <w:szCs w:val="18"/>
                    </w:rPr>
                  </m:ctrlPr>
                </m:dPr>
                <m:e>
                  <m:r>
                    <m:rPr>
                      <m:sty m:val="p"/>
                    </m:rPr>
                    <w:rPr>
                      <w:rFonts w:ascii="Cambria Math" w:hAnsi="Cambria Math"/>
                      <w:sz w:val="16"/>
                      <w:szCs w:val="18"/>
                    </w:rPr>
                    <m:t>MWth</m:t>
                  </m:r>
                </m:e>
              </m:d>
            </m:num>
            <m:den>
              <m:r>
                <m:rPr>
                  <m:sty m:val="p"/>
                </m:rPr>
                <w:rPr>
                  <w:rFonts w:ascii="Cambria Math" w:hAnsi="Cambria Math"/>
                  <w:sz w:val="16"/>
                  <w:szCs w:val="18"/>
                </w:rPr>
                <m:t xml:space="preserve">Feed stock thermal energy </m:t>
              </m:r>
              <m:d>
                <m:dPr>
                  <m:begChr m:val="["/>
                  <m:endChr m:val="]"/>
                  <m:ctrlPr>
                    <w:rPr>
                      <w:rFonts w:ascii="Cambria Math" w:hAnsi="Cambria Math"/>
                      <w:sz w:val="16"/>
                      <w:szCs w:val="18"/>
                    </w:rPr>
                  </m:ctrlPr>
                </m:dPr>
                <m:e>
                  <m:r>
                    <m:rPr>
                      <m:sty m:val="p"/>
                    </m:rPr>
                    <w:rPr>
                      <w:rFonts w:ascii="Cambria Math" w:hAnsi="Cambria Math"/>
                      <w:sz w:val="16"/>
                      <w:szCs w:val="18"/>
                    </w:rPr>
                    <m:t>MWth</m:t>
                  </m:r>
                </m:e>
              </m:d>
              <m:r>
                <m:rPr>
                  <m:sty m:val="p"/>
                </m:rPr>
                <w:rPr>
                  <w:rFonts w:ascii="Cambria Math" w:hAnsi="Cambria Math"/>
                  <w:sz w:val="16"/>
                  <w:szCs w:val="18"/>
                </w:rPr>
                <m:t xml:space="preserve">+ Energy consumed </m:t>
              </m:r>
              <m:d>
                <m:dPr>
                  <m:begChr m:val="["/>
                  <m:endChr m:val="]"/>
                  <m:ctrlPr>
                    <w:rPr>
                      <w:rFonts w:ascii="Cambria Math" w:hAnsi="Cambria Math"/>
                      <w:sz w:val="16"/>
                      <w:szCs w:val="18"/>
                    </w:rPr>
                  </m:ctrlPr>
                </m:dPr>
                <m:e>
                  <m:r>
                    <m:rPr>
                      <m:sty m:val="p"/>
                    </m:rPr>
                    <w:rPr>
                      <w:rFonts w:ascii="Cambria Math" w:hAnsi="Cambria Math"/>
                      <w:sz w:val="16"/>
                      <w:szCs w:val="18"/>
                    </w:rPr>
                    <m:t>MWth</m:t>
                  </m:r>
                </m:e>
              </m:d>
            </m:den>
          </m:f>
          <m:r>
            <m:rPr>
              <m:sty m:val="p"/>
            </m:rPr>
            <w:rPr>
              <w:rFonts w:ascii="Cambria Math" w:hAnsi="Cambria Math"/>
              <w:sz w:val="16"/>
              <w:szCs w:val="18"/>
            </w:rPr>
            <m:t xml:space="preserve">x 100%    </m:t>
          </m:r>
          <m:r>
            <w:rPr>
              <w:rFonts w:ascii="Cambria Math" w:hAnsi="Cambria Math"/>
              <w:sz w:val="16"/>
              <w:szCs w:val="18"/>
            </w:rPr>
            <m:t>(1)</m:t>
          </m:r>
        </m:oMath>
      </m:oMathPara>
    </w:p>
    <w:p w14:paraId="124E5D68" w14:textId="050E7F53" w:rsidR="00406F03" w:rsidRPr="0047340C" w:rsidRDefault="00332E02" w:rsidP="00332E02">
      <w:pPr>
        <w:pStyle w:val="Els-referenceno-number"/>
        <w:ind w:left="0" w:firstLine="0"/>
        <w:jc w:val="both"/>
        <w:rPr>
          <w:sz w:val="22"/>
          <w:szCs w:val="24"/>
          <w:lang w:val="en-US"/>
        </w:rPr>
      </w:pPr>
      <w:r w:rsidRPr="00332E02">
        <w:rPr>
          <w:sz w:val="20"/>
          <w:szCs w:val="22"/>
          <w:lang w:val="en-US"/>
        </w:rPr>
        <w:t>The thermal power is evaluated by multiplying the heating value by the flow rate. The thermal power of the feed is the same because vacuum residues are used as feedstock for both cases with a higher heating value of 41.88 kg/MJ and flow rate of 101 kg/s. On the other hand, the thermal power of H</w:t>
      </w:r>
      <w:r w:rsidRPr="00332E02">
        <w:rPr>
          <w:sz w:val="20"/>
          <w:szCs w:val="22"/>
          <w:vertAlign w:val="subscript"/>
          <w:lang w:val="en-US"/>
        </w:rPr>
        <w:t>2</w:t>
      </w:r>
      <w:r w:rsidRPr="00332E02">
        <w:rPr>
          <w:sz w:val="20"/>
          <w:szCs w:val="22"/>
          <w:lang w:val="en-US"/>
        </w:rPr>
        <w:t xml:space="preserve"> and methanol changes as the production varies. The net fuel (</w:t>
      </w:r>
      <w:r>
        <w:rPr>
          <w:sz w:val="20"/>
          <w:szCs w:val="22"/>
          <w:lang w:val="en-US"/>
        </w:rPr>
        <w:t>methanol</w:t>
      </w:r>
      <w:r w:rsidRPr="00332E02">
        <w:rPr>
          <w:sz w:val="20"/>
          <w:szCs w:val="22"/>
          <w:lang w:val="en-US"/>
        </w:rPr>
        <w:t xml:space="preserve"> + </w:t>
      </w:r>
      <w:r>
        <w:rPr>
          <w:sz w:val="20"/>
          <w:szCs w:val="22"/>
          <w:lang w:val="en-US"/>
        </w:rPr>
        <w:t>hydrogen</w:t>
      </w:r>
      <w:r w:rsidRPr="00332E02">
        <w:rPr>
          <w:sz w:val="20"/>
          <w:szCs w:val="22"/>
          <w:lang w:val="en-US"/>
        </w:rPr>
        <w:t>) thermal power in case 1 and 2 is calculated as 3578.52 MW and 3253.18 MW, respectively. Case 2 provides 325.34 MW less thermal power than case 1 because it has 88.25% lower hydrogen production and the heating value of hydrogen (141.7 MJ/kg) is six times the heating value of methanol (23 MJ/kg). The calculated process efficiency for case 1 and 2 is 46.5% and 42.9%, respectively. In a comparison between case 1 and 2, the process efficiency of case 2 is 7.74% lower compared to case 1. Case 2 has a lower process efficiency because it has a 9.1% lower net fuel thermal power and only a 3.48% lower power requirement compared to case 1.</w:t>
      </w:r>
      <w:r w:rsidR="004C7A44" w:rsidRPr="004C7A44">
        <w:rPr>
          <w:sz w:val="20"/>
          <w:szCs w:val="22"/>
          <w:lang w:val="en-US"/>
        </w:rPr>
        <w:t xml:space="preserve"> </w:t>
      </w:r>
      <w:r w:rsidR="00406F03">
        <w:rPr>
          <w:sz w:val="20"/>
          <w:szCs w:val="22"/>
          <w:lang w:val="en-US"/>
        </w:rPr>
        <w:t xml:space="preserve">Similarly, </w:t>
      </w:r>
      <w:bookmarkStart w:id="0" w:name="_Hlk152101932"/>
      <w:r w:rsidR="00406F03" w:rsidRPr="00406F03">
        <w:rPr>
          <w:sz w:val="20"/>
          <w:szCs w:val="22"/>
          <w:lang w:val="en-US"/>
        </w:rPr>
        <w:t>The specific energy requirement of the net fuel in case 1 and 2 is calculated as 21.23 kg/GJ and 39.49 kg/GJ, respectively</w:t>
      </w:r>
      <w:r w:rsidR="00370414">
        <w:rPr>
          <w:sz w:val="20"/>
          <w:szCs w:val="22"/>
          <w:lang w:val="en-US"/>
        </w:rPr>
        <w:t>, as represented in Figure 3</w:t>
      </w:r>
      <w:r w:rsidR="00406F03" w:rsidRPr="0085103E">
        <w:t>.</w:t>
      </w:r>
      <w:bookmarkEnd w:id="0"/>
      <w:r w:rsidR="0047340C">
        <w:t xml:space="preserve"> </w:t>
      </w:r>
      <w:r w:rsidR="0047340C" w:rsidRPr="0047340C">
        <w:rPr>
          <w:sz w:val="20"/>
          <w:szCs w:val="22"/>
        </w:rPr>
        <w:t>Moreover, The calculated CO</w:t>
      </w:r>
      <w:r w:rsidR="0047340C" w:rsidRPr="0047340C">
        <w:rPr>
          <w:sz w:val="20"/>
          <w:szCs w:val="22"/>
          <w:vertAlign w:val="subscript"/>
        </w:rPr>
        <w:t>2</w:t>
      </w:r>
      <w:r w:rsidR="0047340C" w:rsidRPr="0047340C">
        <w:rPr>
          <w:sz w:val="20"/>
          <w:szCs w:val="22"/>
        </w:rPr>
        <w:t xml:space="preserve"> specific emission in case 1 and 2 is 2.97 and 0.8974, respectively. The comparative analysis shows that the case 2 design offers a 69.79% lower CO</w:t>
      </w:r>
      <w:r w:rsidR="0047340C" w:rsidRPr="00DD0FEF">
        <w:rPr>
          <w:sz w:val="20"/>
          <w:szCs w:val="22"/>
          <w:vertAlign w:val="subscript"/>
        </w:rPr>
        <w:t>2</w:t>
      </w:r>
      <w:r w:rsidR="0047340C" w:rsidRPr="0047340C">
        <w:rPr>
          <w:sz w:val="20"/>
          <w:szCs w:val="22"/>
        </w:rPr>
        <w:t xml:space="preserve"> specific emission than case 1.</w:t>
      </w:r>
    </w:p>
    <w:p w14:paraId="4ADD7E50" w14:textId="545EF9DE" w:rsidR="00E14970" w:rsidRDefault="00A9471E" w:rsidP="00406F03">
      <w:pPr>
        <w:pStyle w:val="Els-referenceno-number"/>
        <w:ind w:left="0" w:firstLine="0"/>
        <w:jc w:val="center"/>
        <w:rPr>
          <w:lang w:val="en-US"/>
        </w:rPr>
      </w:pPr>
      <w:r>
        <w:lastRenderedPageBreak/>
        <w:drawing>
          <wp:inline distT="0" distB="0" distL="0" distR="0" wp14:anchorId="5AA4A731" wp14:editId="5BAA7C1B">
            <wp:extent cx="2755062" cy="1881809"/>
            <wp:effectExtent l="0" t="0" r="762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60965" cy="1885841"/>
                    </a:xfrm>
                    <a:prstGeom prst="rect">
                      <a:avLst/>
                    </a:prstGeom>
                  </pic:spPr>
                </pic:pic>
              </a:graphicData>
            </a:graphic>
          </wp:inline>
        </w:drawing>
      </w:r>
    </w:p>
    <w:p w14:paraId="39D3189F" w14:textId="3D1B3099" w:rsidR="00406F03" w:rsidRPr="00406F03" w:rsidRDefault="00406F03" w:rsidP="00406F03">
      <w:pPr>
        <w:pStyle w:val="Els-referenceno-number"/>
        <w:ind w:left="0" w:firstLine="0"/>
        <w:jc w:val="center"/>
        <w:rPr>
          <w:lang w:val="en-US"/>
        </w:rPr>
      </w:pPr>
      <w:r>
        <w:rPr>
          <w:lang w:val="en-US"/>
        </w:rPr>
        <w:t xml:space="preserve">Figure 3: </w:t>
      </w:r>
      <w:r w:rsidRPr="00345376">
        <w:t>Methanol and hydrogen production rates with specific energy requirement</w:t>
      </w:r>
      <w:r>
        <w:t>s</w:t>
      </w:r>
    </w:p>
    <w:p w14:paraId="42373691" w14:textId="35877050" w:rsidR="00E14970" w:rsidRPr="002B462D" w:rsidRDefault="00E14970" w:rsidP="002B462D">
      <w:pPr>
        <w:pStyle w:val="Els-1storder-head"/>
      </w:pPr>
      <w:r w:rsidRPr="002B462D">
        <w:t>Project feasibility:</w:t>
      </w:r>
    </w:p>
    <w:p w14:paraId="7F989A73" w14:textId="7E178C94" w:rsidR="000F4327" w:rsidRDefault="00E14970" w:rsidP="0090185D">
      <w:pPr>
        <w:pStyle w:val="Els-caption"/>
        <w:jc w:val="both"/>
        <w:rPr>
          <w:sz w:val="20"/>
          <w:szCs w:val="22"/>
        </w:rPr>
      </w:pPr>
      <w:r w:rsidRPr="00E14970">
        <w:rPr>
          <w:sz w:val="20"/>
          <w:szCs w:val="22"/>
        </w:rPr>
        <w:t xml:space="preserve">The economic feasibility analysis of methanol and hydrogen production </w:t>
      </w:r>
      <w:r w:rsidR="00536D18">
        <w:rPr>
          <w:sz w:val="20"/>
          <w:szCs w:val="22"/>
        </w:rPr>
        <w:t xml:space="preserve">from vacuum residue </w:t>
      </w:r>
      <w:r w:rsidRPr="00E14970">
        <w:rPr>
          <w:sz w:val="20"/>
          <w:szCs w:val="22"/>
        </w:rPr>
        <w:t xml:space="preserve">reveals promising results. </w:t>
      </w:r>
      <w:r w:rsidR="00644034">
        <w:rPr>
          <w:sz w:val="20"/>
          <w:szCs w:val="22"/>
        </w:rPr>
        <w:t>CAPEX and OPEX were calculated to perform</w:t>
      </w:r>
      <w:r w:rsidR="001B471A" w:rsidRPr="00E14970">
        <w:rPr>
          <w:sz w:val="20"/>
          <w:szCs w:val="22"/>
        </w:rPr>
        <w:t xml:space="preserve"> economic analysis </w:t>
      </w:r>
      <w:r w:rsidR="00644034">
        <w:rPr>
          <w:sz w:val="20"/>
          <w:szCs w:val="22"/>
        </w:rPr>
        <w:t>and finding the</w:t>
      </w:r>
      <w:r w:rsidR="00644034" w:rsidRPr="00E14970">
        <w:rPr>
          <w:sz w:val="20"/>
          <w:szCs w:val="22"/>
        </w:rPr>
        <w:t xml:space="preserve"> total production cost (TPC) and minimum selling price (MSP) </w:t>
      </w:r>
      <w:r w:rsidR="006C527C">
        <w:rPr>
          <w:sz w:val="20"/>
          <w:szCs w:val="22"/>
        </w:rPr>
        <w:t xml:space="preserve">which </w:t>
      </w:r>
      <w:r w:rsidR="00644034" w:rsidRPr="00E14970">
        <w:rPr>
          <w:sz w:val="20"/>
          <w:szCs w:val="22"/>
        </w:rPr>
        <w:t xml:space="preserve">are crucial </w:t>
      </w:r>
      <w:r w:rsidR="006C527C">
        <w:rPr>
          <w:sz w:val="20"/>
          <w:szCs w:val="22"/>
        </w:rPr>
        <w:t xml:space="preserve">project feasibility </w:t>
      </w:r>
      <w:r w:rsidR="00644034" w:rsidRPr="00E14970">
        <w:rPr>
          <w:sz w:val="20"/>
          <w:szCs w:val="22"/>
        </w:rPr>
        <w:t>indicators</w:t>
      </w:r>
      <w:r w:rsidR="001B471A" w:rsidRPr="00E14970">
        <w:rPr>
          <w:sz w:val="20"/>
          <w:szCs w:val="22"/>
        </w:rPr>
        <w:t xml:space="preserve">, with </w:t>
      </w:r>
      <w:r w:rsidR="006C527C">
        <w:rPr>
          <w:sz w:val="20"/>
          <w:szCs w:val="22"/>
        </w:rPr>
        <w:t xml:space="preserve">considering the fluctuation of </w:t>
      </w:r>
      <w:r w:rsidR="006C527C" w:rsidRPr="00E14970">
        <w:rPr>
          <w:sz w:val="20"/>
          <w:szCs w:val="22"/>
        </w:rPr>
        <w:t>vacuum residue price</w:t>
      </w:r>
      <w:r w:rsidR="001B471A" w:rsidRPr="00E14970">
        <w:rPr>
          <w:sz w:val="20"/>
          <w:szCs w:val="22"/>
        </w:rPr>
        <w:t xml:space="preserve"> between 0.022 $/kg and 0.11 $/kg</w:t>
      </w:r>
      <w:r w:rsidRPr="00E14970">
        <w:rPr>
          <w:sz w:val="20"/>
          <w:szCs w:val="22"/>
        </w:rPr>
        <w:t xml:space="preserve">. </w:t>
      </w:r>
      <w:r w:rsidR="000F4327">
        <w:rPr>
          <w:sz w:val="20"/>
          <w:szCs w:val="22"/>
        </w:rPr>
        <w:t xml:space="preserve">CAPEX includes </w:t>
      </w:r>
      <w:r w:rsidR="000F4327" w:rsidRPr="000F4327">
        <w:rPr>
          <w:sz w:val="20"/>
          <w:szCs w:val="22"/>
        </w:rPr>
        <w:t>the cost of land, equipment, machinery, construction, and engineering</w:t>
      </w:r>
      <w:r w:rsidR="000F4327">
        <w:rPr>
          <w:sz w:val="20"/>
          <w:szCs w:val="22"/>
        </w:rPr>
        <w:t xml:space="preserve"> while OPEX includes </w:t>
      </w:r>
      <w:r w:rsidR="00D806C4">
        <w:rPr>
          <w:sz w:val="20"/>
          <w:szCs w:val="22"/>
        </w:rPr>
        <w:t xml:space="preserve">the cost of raw material, </w:t>
      </w:r>
      <w:r w:rsidR="00DA76BC">
        <w:rPr>
          <w:sz w:val="20"/>
          <w:szCs w:val="22"/>
        </w:rPr>
        <w:t xml:space="preserve">utility as well as the cost </w:t>
      </w:r>
      <w:r w:rsidR="00DA76BC" w:rsidRPr="00DA76BC">
        <w:rPr>
          <w:sz w:val="20"/>
        </w:rPr>
        <w:t>of labor and maintenance</w:t>
      </w:r>
      <w:r w:rsidR="00D806C4">
        <w:rPr>
          <w:sz w:val="20"/>
          <w:szCs w:val="22"/>
        </w:rPr>
        <w:t xml:space="preserve"> </w:t>
      </w:r>
      <w:r w:rsidR="00DA76BC" w:rsidRPr="00DA76BC">
        <w:rPr>
          <w:sz w:val="20"/>
          <w:szCs w:val="22"/>
        </w:rPr>
        <w:t xml:space="preserve">CAPEX has been converted to the annualized capital charge (ACC) assuming a project life of 30 years and an interest rate of 10% using the relation shown in </w:t>
      </w:r>
      <w:r w:rsidR="00DA76BC">
        <w:rPr>
          <w:sz w:val="20"/>
          <w:szCs w:val="22"/>
        </w:rPr>
        <w:t>the following e</w:t>
      </w:r>
      <w:r w:rsidR="00DA76BC" w:rsidRPr="00DA76BC">
        <w:rPr>
          <w:sz w:val="20"/>
          <w:szCs w:val="22"/>
        </w:rPr>
        <w:t>quation (</w:t>
      </w:r>
      <w:r w:rsidR="00DA76BC">
        <w:rPr>
          <w:sz w:val="20"/>
          <w:szCs w:val="22"/>
        </w:rPr>
        <w:t>Eq 2</w:t>
      </w:r>
      <w:r w:rsidR="00DA76BC" w:rsidRPr="00DA76BC">
        <w:rPr>
          <w:sz w:val="20"/>
          <w:szCs w:val="22"/>
        </w:rPr>
        <w:t>)</w:t>
      </w:r>
      <w:r w:rsidR="00DA76BC">
        <w:rPr>
          <w:sz w:val="20"/>
          <w:szCs w:val="22"/>
        </w:rPr>
        <w:t xml:space="preserve">. </w:t>
      </w:r>
    </w:p>
    <w:p w14:paraId="2D22CE02" w14:textId="4B2428A8" w:rsidR="000F4327" w:rsidRPr="00150045" w:rsidRDefault="00150045" w:rsidP="00150045">
      <w:pPr>
        <w:pStyle w:val="Els-body-text"/>
        <w:spacing w:after="120"/>
        <w:jc w:val="center"/>
        <w:rPr>
          <w:iCs/>
          <w:sz w:val="18"/>
        </w:rPr>
      </w:pPr>
      <m:oMath>
        <m:r>
          <w:rPr>
            <w:rFonts w:ascii="Cambria Math" w:hAnsi="Cambria Math" w:cstheme="majorBidi"/>
          </w:rPr>
          <m:t>ACC=</m:t>
        </m:r>
        <m:f>
          <m:fPr>
            <m:ctrlPr>
              <w:rPr>
                <w:rFonts w:ascii="Cambria Math" w:hAnsi="Cambria Math" w:cstheme="majorBidi"/>
                <w:i/>
              </w:rPr>
            </m:ctrlPr>
          </m:fPr>
          <m:num>
            <m:d>
              <m:dPr>
                <m:begChr m:val="["/>
                <m:endChr m:val="]"/>
                <m:ctrlPr>
                  <w:rPr>
                    <w:rFonts w:ascii="Cambria Math" w:hAnsi="Cambria Math" w:cstheme="majorBidi"/>
                    <w:i/>
                  </w:rPr>
                </m:ctrlPr>
              </m:dPr>
              <m:e>
                <m:r>
                  <w:rPr>
                    <w:rFonts w:ascii="Cambria Math" w:hAnsi="Cambria Math" w:cstheme="majorBidi"/>
                  </w:rPr>
                  <m:t>i</m:t>
                </m:r>
                <m:sSup>
                  <m:sSupPr>
                    <m:ctrlPr>
                      <w:rPr>
                        <w:rFonts w:ascii="Cambria Math" w:hAnsi="Cambria Math" w:cstheme="majorBidi"/>
                        <w:i/>
                      </w:rPr>
                    </m:ctrlPr>
                  </m:sSupPr>
                  <m:e>
                    <m:r>
                      <w:rPr>
                        <w:rFonts w:ascii="Cambria Math" w:hAnsi="Cambria Math" w:cstheme="majorBidi"/>
                      </w:rPr>
                      <m:t>(1+i)</m:t>
                    </m:r>
                  </m:e>
                  <m:sup>
                    <m:r>
                      <w:rPr>
                        <w:rFonts w:ascii="Cambria Math" w:hAnsi="Cambria Math" w:cstheme="majorBidi"/>
                      </w:rPr>
                      <m:t>n</m:t>
                    </m:r>
                  </m:sup>
                </m:sSup>
              </m:e>
            </m:d>
          </m:num>
          <m:den>
            <m:d>
              <m:dPr>
                <m:begChr m:val="["/>
                <m:endChr m:val="]"/>
                <m:ctrlPr>
                  <w:rPr>
                    <w:rFonts w:ascii="Cambria Math" w:hAnsi="Cambria Math" w:cstheme="majorBidi"/>
                    <w:i/>
                  </w:rPr>
                </m:ctrlPr>
              </m:dPr>
              <m:e>
                <m:r>
                  <w:rPr>
                    <w:rFonts w:ascii="Cambria Math" w:hAnsi="Cambria Math" w:cstheme="majorBidi"/>
                  </w:rPr>
                  <m:t>i</m:t>
                </m:r>
                <m:sSup>
                  <m:sSupPr>
                    <m:ctrlPr>
                      <w:rPr>
                        <w:rFonts w:ascii="Cambria Math" w:hAnsi="Cambria Math" w:cstheme="majorBidi"/>
                        <w:i/>
                      </w:rPr>
                    </m:ctrlPr>
                  </m:sSupPr>
                  <m:e>
                    <m:r>
                      <w:rPr>
                        <w:rFonts w:ascii="Cambria Math" w:hAnsi="Cambria Math" w:cstheme="majorBidi"/>
                      </w:rPr>
                      <m:t>(1+i)</m:t>
                    </m:r>
                  </m:e>
                  <m:sup>
                    <m:r>
                      <w:rPr>
                        <w:rFonts w:ascii="Cambria Math" w:hAnsi="Cambria Math" w:cstheme="majorBidi"/>
                      </w:rPr>
                      <m:t>n</m:t>
                    </m:r>
                  </m:sup>
                </m:sSup>
                <m:r>
                  <w:rPr>
                    <w:rFonts w:ascii="Cambria Math" w:hAnsi="Cambria Math" w:cstheme="majorBidi"/>
                  </w:rPr>
                  <m:t>-1</m:t>
                </m:r>
              </m:e>
            </m:d>
          </m:den>
        </m:f>
        <m:r>
          <w:rPr>
            <w:rFonts w:ascii="Cambria Math" w:hAnsi="Cambria Math" w:cstheme="majorBidi"/>
          </w:rPr>
          <m:t xml:space="preserve"> ×CAPEX</m:t>
        </m:r>
      </m:oMath>
      <w:r w:rsidRPr="00A232FF">
        <w:rPr>
          <w:iCs/>
          <w:sz w:val="18"/>
        </w:rPr>
        <w:tab/>
      </w:r>
      <w:r w:rsidRPr="00A232FF">
        <w:rPr>
          <w:iCs/>
          <w:sz w:val="18"/>
        </w:rPr>
        <w:tab/>
        <w:t>(2)</w:t>
      </w:r>
    </w:p>
    <w:p w14:paraId="379D1E63" w14:textId="77777777" w:rsidR="00370414" w:rsidRDefault="00E14970" w:rsidP="0090185D">
      <w:pPr>
        <w:pStyle w:val="Els-caption"/>
        <w:jc w:val="both"/>
        <w:rPr>
          <w:sz w:val="20"/>
          <w:szCs w:val="22"/>
        </w:rPr>
      </w:pPr>
      <w:r w:rsidRPr="00E14970">
        <w:rPr>
          <w:sz w:val="20"/>
          <w:szCs w:val="22"/>
        </w:rPr>
        <w:t xml:space="preserve">Case 2, emphasizing methanol production exhibits a significantly lower TPC, positioning it as a more economically viable option than Case 1. The competitive edge is further evident in a higher product selling price and a shorter payback period. </w:t>
      </w:r>
    </w:p>
    <w:p w14:paraId="3CA79BF2" w14:textId="77777777" w:rsidR="00370414" w:rsidRDefault="00370414" w:rsidP="00370414">
      <w:pPr>
        <w:pStyle w:val="Els-caption"/>
        <w:keepNext/>
        <w:jc w:val="center"/>
      </w:pPr>
      <w:r w:rsidRPr="00BB4BE2">
        <w:rPr>
          <w:noProof/>
        </w:rPr>
        <w:drawing>
          <wp:inline distT="0" distB="0" distL="0" distR="0" wp14:anchorId="49BB69C0" wp14:editId="3FD4AE87">
            <wp:extent cx="3408218" cy="2132967"/>
            <wp:effectExtent l="19050" t="19050" r="20955" b="19685"/>
            <wp:docPr id="18409565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43033" cy="2279921"/>
                    </a:xfrm>
                    <a:prstGeom prst="rect">
                      <a:avLst/>
                    </a:prstGeom>
                    <a:noFill/>
                    <a:ln>
                      <a:solidFill>
                        <a:schemeClr val="tx1"/>
                      </a:solidFill>
                    </a:ln>
                  </pic:spPr>
                </pic:pic>
              </a:graphicData>
            </a:graphic>
          </wp:inline>
        </w:drawing>
      </w:r>
    </w:p>
    <w:p w14:paraId="0516760C" w14:textId="77777777" w:rsidR="00370414" w:rsidRDefault="00370414" w:rsidP="00370414">
      <w:pPr>
        <w:pStyle w:val="Caption"/>
        <w:jc w:val="center"/>
      </w:pPr>
      <w:r>
        <w:t>Figure 4: Project feasibility indicators of Case 1 and Case 2 at different VR feed price.</w:t>
      </w:r>
    </w:p>
    <w:p w14:paraId="3606345A" w14:textId="65A083B3" w:rsidR="00E14970" w:rsidRDefault="00E14970" w:rsidP="0090185D">
      <w:pPr>
        <w:pStyle w:val="Els-caption"/>
        <w:jc w:val="both"/>
        <w:rPr>
          <w:sz w:val="20"/>
          <w:szCs w:val="22"/>
        </w:rPr>
      </w:pPr>
      <w:r w:rsidRPr="00E14970">
        <w:rPr>
          <w:sz w:val="20"/>
          <w:szCs w:val="22"/>
        </w:rPr>
        <w:lastRenderedPageBreak/>
        <w:t>The net present value (NPV) reinforces the financial attractiveness of Case 2, showcasing a substantial 27.29% increase compared to Case 1</w:t>
      </w:r>
      <w:r w:rsidR="001B471A">
        <w:rPr>
          <w:sz w:val="20"/>
          <w:szCs w:val="22"/>
        </w:rPr>
        <w:t xml:space="preserve"> </w:t>
      </w:r>
      <w:r w:rsidR="001B471A" w:rsidRPr="001B471A">
        <w:rPr>
          <w:sz w:val="20"/>
          <w:szCs w:val="22"/>
        </w:rPr>
        <w:t>when considering the average vacuum residue price of 0.066 $/kg</w:t>
      </w:r>
      <w:r w:rsidRPr="00E14970">
        <w:rPr>
          <w:sz w:val="20"/>
          <w:szCs w:val="22"/>
        </w:rPr>
        <w:t xml:space="preserve">. </w:t>
      </w:r>
      <w:r w:rsidR="00DD0FEF" w:rsidRPr="00DD0FEF">
        <w:rPr>
          <w:sz w:val="20"/>
          <w:szCs w:val="22"/>
        </w:rPr>
        <w:t xml:space="preserve">Furthermore, the calculated TPC for case 1 and 2 </w:t>
      </w:r>
      <w:r w:rsidR="00DD0FEF">
        <w:rPr>
          <w:sz w:val="20"/>
          <w:szCs w:val="22"/>
        </w:rPr>
        <w:t>has been calculated as</w:t>
      </w:r>
      <w:r w:rsidR="00DD0FEF" w:rsidRPr="00DD0FEF">
        <w:rPr>
          <w:sz w:val="20"/>
          <w:szCs w:val="22"/>
        </w:rPr>
        <w:t xml:space="preserve"> 0.453 $/kg and 0.223 $/kg</w:t>
      </w:r>
      <w:r w:rsidR="00DD0FEF">
        <w:rPr>
          <w:sz w:val="20"/>
          <w:szCs w:val="22"/>
        </w:rPr>
        <w:t>, respectively</w:t>
      </w:r>
      <w:r w:rsidR="00DD0FEF" w:rsidRPr="00DD0FEF">
        <w:rPr>
          <w:sz w:val="20"/>
          <w:szCs w:val="22"/>
        </w:rPr>
        <w:t xml:space="preserve">. </w:t>
      </w:r>
      <w:r w:rsidRPr="00E14970">
        <w:rPr>
          <w:sz w:val="20"/>
          <w:szCs w:val="22"/>
        </w:rPr>
        <w:t>These findings suggest that the proposed process, with its emphasis on methanol production, holds economic feasibility, making it a compelling candidate for further development and implementation.</w:t>
      </w:r>
      <w:r>
        <w:rPr>
          <w:sz w:val="20"/>
          <w:szCs w:val="22"/>
        </w:rPr>
        <w:t xml:space="preserve"> </w:t>
      </w:r>
      <w:r w:rsidR="0090185D" w:rsidRPr="0090185D">
        <w:rPr>
          <w:sz w:val="20"/>
          <w:szCs w:val="22"/>
        </w:rPr>
        <w:t xml:space="preserve">Figure </w:t>
      </w:r>
      <w:r w:rsidR="00332E02">
        <w:rPr>
          <w:sz w:val="20"/>
          <w:szCs w:val="22"/>
        </w:rPr>
        <w:t>4</w:t>
      </w:r>
      <w:r w:rsidR="0090185D" w:rsidRPr="0090185D">
        <w:rPr>
          <w:sz w:val="20"/>
          <w:szCs w:val="22"/>
        </w:rPr>
        <w:t xml:space="preserve"> represent the effect of the feed price on the TPC, NPV, and PBP</w:t>
      </w:r>
      <w:r w:rsidR="00752A82">
        <w:rPr>
          <w:sz w:val="20"/>
          <w:szCs w:val="22"/>
        </w:rPr>
        <w:t xml:space="preserve"> for case 1 and 2</w:t>
      </w:r>
      <w:r w:rsidR="0090185D" w:rsidRPr="0090185D">
        <w:rPr>
          <w:sz w:val="20"/>
          <w:szCs w:val="22"/>
        </w:rPr>
        <w:t>.</w:t>
      </w:r>
    </w:p>
    <w:p w14:paraId="3FC5B4A8" w14:textId="1553B20B" w:rsidR="008F6CA5" w:rsidRDefault="00E14970" w:rsidP="008F6CA5">
      <w:pPr>
        <w:pStyle w:val="Els-caption"/>
        <w:rPr>
          <w:b/>
          <w:bCs/>
          <w:sz w:val="22"/>
          <w:szCs w:val="22"/>
        </w:rPr>
      </w:pPr>
      <w:r w:rsidRPr="009A5117">
        <w:rPr>
          <w:b/>
          <w:bCs/>
          <w:sz w:val="22"/>
          <w:szCs w:val="22"/>
        </w:rPr>
        <w:t>Conclusion:</w:t>
      </w:r>
    </w:p>
    <w:p w14:paraId="1BCEFCEC" w14:textId="7AFC15A6" w:rsidR="008F6CA5" w:rsidRDefault="008F6CA5" w:rsidP="00E25FE9">
      <w:pPr>
        <w:pStyle w:val="Els-caption"/>
        <w:jc w:val="both"/>
      </w:pPr>
      <w:r w:rsidRPr="00C323DC">
        <w:rPr>
          <w:sz w:val="20"/>
          <w:szCs w:val="22"/>
        </w:rPr>
        <w:t xml:space="preserve">This research presents two case studies for dual methanol and hydrogen production from vacuum residue. In Case 1, </w:t>
      </w:r>
      <w:r>
        <w:rPr>
          <w:sz w:val="20"/>
          <w:szCs w:val="22"/>
        </w:rPr>
        <w:t>methanol and hydrogen are co-produced from vacuum residue,</w:t>
      </w:r>
      <w:r w:rsidRPr="00C323DC">
        <w:rPr>
          <w:sz w:val="20"/>
          <w:szCs w:val="22"/>
        </w:rPr>
        <w:t xml:space="preserve"> yielding a process efficiency of 46.5%. Case 2 focuses on methanol production, achieving 42.9% efficiency</w:t>
      </w:r>
      <w:r>
        <w:rPr>
          <w:sz w:val="20"/>
          <w:szCs w:val="22"/>
        </w:rPr>
        <w:t xml:space="preserve">, with </w:t>
      </w:r>
      <w:r w:rsidRPr="00C323DC">
        <w:rPr>
          <w:sz w:val="20"/>
          <w:szCs w:val="22"/>
        </w:rPr>
        <w:t>a vacuum residue price of 0.066 $/kg, Case 2 exhibits a lower total production cost (TPC) of 0.223 $/kg, compared to 0.453 $/kg in Case 1.</w:t>
      </w:r>
      <w:r w:rsidR="00E25FE9">
        <w:rPr>
          <w:sz w:val="20"/>
          <w:szCs w:val="22"/>
        </w:rPr>
        <w:t xml:space="preserve"> </w:t>
      </w:r>
      <w:r w:rsidRPr="00C323DC">
        <w:rPr>
          <w:sz w:val="20"/>
          <w:szCs w:val="22"/>
        </w:rPr>
        <w:t xml:space="preserve">Furthermore, Case 2 demonstrates superior technical and environmental performance, boasting a 50.6% lower production cost, 27.29% higher net present value, and a shorter payback period, indicating enhanced project feasibility over Case </w:t>
      </w:r>
      <w:r w:rsidRPr="00C323DC">
        <w:t>1.</w:t>
      </w:r>
    </w:p>
    <w:p w14:paraId="1E8C078A" w14:textId="77777777" w:rsidR="00A9229F" w:rsidRPr="00364901" w:rsidRDefault="00A9229F" w:rsidP="00A9229F">
      <w:pPr>
        <w:pStyle w:val="Els-body-text"/>
        <w:spacing w:after="120"/>
        <w:rPr>
          <w:b/>
          <w:bCs/>
          <w:sz w:val="22"/>
          <w:szCs w:val="22"/>
        </w:rPr>
      </w:pPr>
      <w:r w:rsidRPr="00364901">
        <w:rPr>
          <w:b/>
          <w:bCs/>
          <w:sz w:val="22"/>
          <w:szCs w:val="22"/>
        </w:rPr>
        <w:t>Acknowledgements</w:t>
      </w:r>
    </w:p>
    <w:p w14:paraId="41CADCF9" w14:textId="1CA6CE09" w:rsidR="00A9229F" w:rsidRPr="00A9229F" w:rsidRDefault="00A9229F" w:rsidP="00A9229F">
      <w:pPr>
        <w:pStyle w:val="Els-body-text"/>
        <w:spacing w:after="120"/>
      </w:pPr>
      <w:r w:rsidRPr="00D015B7">
        <w:t xml:space="preserve">The authors would like to acknowledge support provided by the Deanship of Research Oversight and Coordination (DROC) at the King Fahd University of Petroleum &amp; Minerals (KFUPM) for funding this work through </w:t>
      </w:r>
      <w:r w:rsidR="00D2698C">
        <w:t>P</w:t>
      </w:r>
      <w:r w:rsidRPr="00D015B7">
        <w:t xml:space="preserve">roject no. </w:t>
      </w:r>
      <w:r w:rsidR="00D2698C" w:rsidRPr="00D2698C">
        <w:t>INHE2308</w:t>
      </w:r>
      <w:r w:rsidRPr="00D015B7">
        <w:t>.</w:t>
      </w:r>
    </w:p>
    <w:p w14:paraId="6B634BB2" w14:textId="1206C925" w:rsidR="00752A82" w:rsidRDefault="00752A82" w:rsidP="00752A82">
      <w:pPr>
        <w:pStyle w:val="Els-reference-head"/>
      </w:pPr>
      <w:r>
        <w:t>References</w:t>
      </w:r>
    </w:p>
    <w:sdt>
      <w:sdtPr>
        <w:rPr>
          <w:noProof/>
          <w:sz w:val="16"/>
          <w:szCs w:val="18"/>
          <w:lang w:val="en-US"/>
        </w:rPr>
        <w:tag w:val="MENDELEY_BIBLIOGRAPHY"/>
        <w:id w:val="947043073"/>
        <w:placeholder>
          <w:docPart w:val="7CA2023293BD4E44B73BC184811333CB"/>
        </w:placeholder>
      </w:sdtPr>
      <w:sdtEndPr>
        <w:rPr>
          <w:noProof w:val="0"/>
        </w:rPr>
      </w:sdtEndPr>
      <w:sdtContent>
        <w:p w14:paraId="159BCC5A" w14:textId="1A0A5FE8" w:rsidR="00E25FE9" w:rsidRDefault="00E25FE9" w:rsidP="00E25FE9">
          <w:pPr>
            <w:ind w:left="720" w:hanging="720"/>
            <w:rPr>
              <w:rFonts w:asciiTheme="majorBidi" w:hAnsiTheme="majorBidi" w:cstheme="majorBidi"/>
            </w:rPr>
          </w:pPr>
          <w:r w:rsidRPr="000619E6">
            <w:rPr>
              <w:rFonts w:asciiTheme="majorBidi" w:hAnsiTheme="majorBidi" w:cstheme="majorBidi"/>
            </w:rPr>
            <w:t xml:space="preserve">Ahmed, U. Techno-economic analysis of dual methanol and hydrogen production using energy mix systems with CO2 capture. Energy Convers. </w:t>
          </w:r>
          <w:proofErr w:type="spellStart"/>
          <w:r w:rsidRPr="000619E6">
            <w:rPr>
              <w:rFonts w:asciiTheme="majorBidi" w:hAnsiTheme="majorBidi" w:cstheme="majorBidi"/>
            </w:rPr>
            <w:t>Manag</w:t>
          </w:r>
          <w:proofErr w:type="spellEnd"/>
          <w:r w:rsidRPr="000619E6">
            <w:rPr>
              <w:rFonts w:asciiTheme="majorBidi" w:hAnsiTheme="majorBidi" w:cstheme="majorBidi"/>
            </w:rPr>
            <w:t>. 2020, 228, 113663.</w:t>
          </w:r>
        </w:p>
        <w:p w14:paraId="6D0DC719" w14:textId="5336EE59" w:rsidR="00E25FE9" w:rsidRPr="00B051B5" w:rsidRDefault="00E25FE9" w:rsidP="00E25FE9">
          <w:pPr>
            <w:adjustRightInd w:val="0"/>
            <w:snapToGrid w:val="0"/>
            <w:spacing w:line="228" w:lineRule="auto"/>
            <w:ind w:left="720" w:hanging="720"/>
            <w:jc w:val="both"/>
            <w:rPr>
              <w:rFonts w:asciiTheme="majorBidi" w:hAnsiTheme="majorBidi" w:cstheme="majorBidi"/>
            </w:rPr>
          </w:pPr>
          <w:proofErr w:type="spellStart"/>
          <w:r w:rsidRPr="00B051B5">
            <w:rPr>
              <w:rFonts w:asciiTheme="majorBidi" w:hAnsiTheme="majorBidi" w:cstheme="majorBidi"/>
            </w:rPr>
            <w:t>Alibrahim</w:t>
          </w:r>
          <w:proofErr w:type="spellEnd"/>
          <w:r w:rsidRPr="00B051B5">
            <w:rPr>
              <w:rFonts w:asciiTheme="majorBidi" w:hAnsiTheme="majorBidi" w:cstheme="majorBidi"/>
            </w:rPr>
            <w:t>,</w:t>
          </w:r>
          <w:r w:rsidRPr="00B051B5">
            <w:rPr>
              <w:rFonts w:asciiTheme="majorBidi" w:hAnsiTheme="majorBidi" w:cstheme="majorBidi"/>
              <w:i/>
            </w:rPr>
            <w:t xml:space="preserve"> </w:t>
          </w:r>
          <w:r w:rsidRPr="00B051B5">
            <w:rPr>
              <w:rFonts w:asciiTheme="majorBidi" w:hAnsiTheme="majorBidi" w:cstheme="majorBidi"/>
            </w:rPr>
            <w:t>H.A.;</w:t>
          </w:r>
          <w:r w:rsidRPr="00B051B5">
            <w:rPr>
              <w:rFonts w:asciiTheme="majorBidi" w:hAnsiTheme="majorBidi" w:cstheme="majorBidi"/>
              <w:i/>
            </w:rPr>
            <w:t xml:space="preserve"> </w:t>
          </w:r>
          <w:r w:rsidRPr="00B051B5">
            <w:rPr>
              <w:rFonts w:asciiTheme="majorBidi" w:hAnsiTheme="majorBidi" w:cstheme="majorBidi"/>
            </w:rPr>
            <w:t>Khalafalla,</w:t>
          </w:r>
          <w:r w:rsidRPr="00B051B5">
            <w:rPr>
              <w:rFonts w:asciiTheme="majorBidi" w:hAnsiTheme="majorBidi" w:cstheme="majorBidi"/>
              <w:i/>
            </w:rPr>
            <w:t xml:space="preserve"> </w:t>
          </w:r>
          <w:r w:rsidRPr="00B051B5">
            <w:rPr>
              <w:rFonts w:asciiTheme="majorBidi" w:hAnsiTheme="majorBidi" w:cstheme="majorBidi"/>
            </w:rPr>
            <w:t>S.S.;</w:t>
          </w:r>
          <w:r w:rsidRPr="00B051B5">
            <w:rPr>
              <w:rFonts w:asciiTheme="majorBidi" w:hAnsiTheme="majorBidi" w:cstheme="majorBidi"/>
              <w:i/>
            </w:rPr>
            <w:t xml:space="preserve"> </w:t>
          </w:r>
          <w:r w:rsidRPr="00B051B5">
            <w:rPr>
              <w:rFonts w:asciiTheme="majorBidi" w:hAnsiTheme="majorBidi" w:cstheme="majorBidi"/>
            </w:rPr>
            <w:t>Ahmed,</w:t>
          </w:r>
          <w:r w:rsidRPr="00B051B5">
            <w:rPr>
              <w:rFonts w:asciiTheme="majorBidi" w:hAnsiTheme="majorBidi" w:cstheme="majorBidi"/>
              <w:i/>
            </w:rPr>
            <w:t xml:space="preserve"> </w:t>
          </w:r>
          <w:r w:rsidRPr="00B051B5">
            <w:rPr>
              <w:rFonts w:asciiTheme="majorBidi" w:hAnsiTheme="majorBidi" w:cstheme="majorBidi"/>
            </w:rPr>
            <w:t>U.;</w:t>
          </w:r>
          <w:r w:rsidRPr="00B051B5">
            <w:rPr>
              <w:rFonts w:asciiTheme="majorBidi" w:hAnsiTheme="majorBidi" w:cstheme="majorBidi"/>
              <w:i/>
            </w:rPr>
            <w:t xml:space="preserve"> </w:t>
          </w:r>
          <w:r w:rsidRPr="00B051B5">
            <w:rPr>
              <w:rFonts w:asciiTheme="majorBidi" w:hAnsiTheme="majorBidi" w:cstheme="majorBidi"/>
            </w:rPr>
            <w:t>Park,</w:t>
          </w:r>
          <w:r w:rsidRPr="00B051B5">
            <w:rPr>
              <w:rFonts w:asciiTheme="majorBidi" w:hAnsiTheme="majorBidi" w:cstheme="majorBidi"/>
              <w:i/>
            </w:rPr>
            <w:t xml:space="preserve"> </w:t>
          </w:r>
          <w:r w:rsidRPr="00B051B5">
            <w:rPr>
              <w:rFonts w:asciiTheme="majorBidi" w:hAnsiTheme="majorBidi" w:cstheme="majorBidi"/>
            </w:rPr>
            <w:t>S.;</w:t>
          </w:r>
          <w:r w:rsidRPr="00B051B5">
            <w:rPr>
              <w:rFonts w:asciiTheme="majorBidi" w:hAnsiTheme="majorBidi" w:cstheme="majorBidi"/>
              <w:i/>
            </w:rPr>
            <w:t xml:space="preserve"> </w:t>
          </w:r>
          <w:r w:rsidRPr="00B051B5">
            <w:rPr>
              <w:rFonts w:asciiTheme="majorBidi" w:hAnsiTheme="majorBidi" w:cstheme="majorBidi"/>
            </w:rPr>
            <w:t>Lee,</w:t>
          </w:r>
          <w:r w:rsidRPr="00B051B5">
            <w:rPr>
              <w:rFonts w:asciiTheme="majorBidi" w:hAnsiTheme="majorBidi" w:cstheme="majorBidi"/>
              <w:i/>
            </w:rPr>
            <w:t xml:space="preserve"> </w:t>
          </w:r>
          <w:r w:rsidRPr="00B051B5">
            <w:rPr>
              <w:rFonts w:asciiTheme="majorBidi" w:hAnsiTheme="majorBidi" w:cstheme="majorBidi"/>
            </w:rPr>
            <w:t>C.-J.;</w:t>
          </w:r>
          <w:r w:rsidRPr="00B051B5">
            <w:rPr>
              <w:rFonts w:asciiTheme="majorBidi" w:hAnsiTheme="majorBidi" w:cstheme="majorBidi"/>
              <w:i/>
            </w:rPr>
            <w:t xml:space="preserve"> </w:t>
          </w:r>
          <w:r w:rsidRPr="00B051B5">
            <w:rPr>
              <w:rFonts w:asciiTheme="majorBidi" w:hAnsiTheme="majorBidi" w:cstheme="majorBidi"/>
            </w:rPr>
            <w:t>Zahid,</w:t>
          </w:r>
          <w:r w:rsidRPr="00B051B5">
            <w:rPr>
              <w:rFonts w:asciiTheme="majorBidi" w:hAnsiTheme="majorBidi" w:cstheme="majorBidi"/>
              <w:i/>
            </w:rPr>
            <w:t xml:space="preserve"> </w:t>
          </w:r>
          <w:r w:rsidRPr="00B051B5">
            <w:rPr>
              <w:rFonts w:asciiTheme="majorBidi" w:hAnsiTheme="majorBidi" w:cstheme="majorBidi"/>
            </w:rPr>
            <w:t>U.</w:t>
          </w:r>
          <w:r w:rsidRPr="00B051B5">
            <w:rPr>
              <w:rFonts w:asciiTheme="majorBidi" w:hAnsiTheme="majorBidi" w:cstheme="majorBidi"/>
              <w:i/>
            </w:rPr>
            <w:t xml:space="preserve"> </w:t>
          </w:r>
          <w:r w:rsidRPr="00B051B5">
            <w:rPr>
              <w:rFonts w:asciiTheme="majorBidi" w:hAnsiTheme="majorBidi" w:cstheme="majorBidi"/>
            </w:rPr>
            <w:t>Conceptual</w:t>
          </w:r>
          <w:r w:rsidRPr="00B051B5">
            <w:rPr>
              <w:rFonts w:asciiTheme="majorBidi" w:hAnsiTheme="majorBidi" w:cstheme="majorBidi"/>
              <w:i/>
            </w:rPr>
            <w:t xml:space="preserve"> </w:t>
          </w:r>
          <w:r w:rsidRPr="00B051B5">
            <w:rPr>
              <w:rFonts w:asciiTheme="majorBidi" w:hAnsiTheme="majorBidi" w:cstheme="majorBidi"/>
            </w:rPr>
            <w:t>design</w:t>
          </w:r>
          <w:r w:rsidRPr="00B051B5">
            <w:rPr>
              <w:rFonts w:asciiTheme="majorBidi" w:hAnsiTheme="majorBidi" w:cstheme="majorBidi"/>
              <w:i/>
            </w:rPr>
            <w:t xml:space="preserve"> </w:t>
          </w:r>
          <w:r w:rsidRPr="00B051B5">
            <w:rPr>
              <w:rFonts w:asciiTheme="majorBidi" w:hAnsiTheme="majorBidi" w:cstheme="majorBidi"/>
            </w:rPr>
            <w:t>of</w:t>
          </w:r>
          <w:r w:rsidRPr="00B051B5">
            <w:rPr>
              <w:rFonts w:asciiTheme="majorBidi" w:hAnsiTheme="majorBidi" w:cstheme="majorBidi"/>
              <w:i/>
            </w:rPr>
            <w:t xml:space="preserve"> </w:t>
          </w:r>
          <w:r w:rsidRPr="00B051B5">
            <w:rPr>
              <w:rFonts w:asciiTheme="majorBidi" w:hAnsiTheme="majorBidi" w:cstheme="majorBidi"/>
            </w:rPr>
            <w:t>syngas</w:t>
          </w:r>
          <w:r w:rsidRPr="00B051B5">
            <w:rPr>
              <w:rFonts w:asciiTheme="majorBidi" w:hAnsiTheme="majorBidi" w:cstheme="majorBidi"/>
              <w:i/>
            </w:rPr>
            <w:t xml:space="preserve"> </w:t>
          </w:r>
          <w:r w:rsidRPr="00B051B5">
            <w:rPr>
              <w:rFonts w:asciiTheme="majorBidi" w:hAnsiTheme="majorBidi" w:cstheme="majorBidi"/>
            </w:rPr>
            <w:t>production</w:t>
          </w:r>
          <w:r w:rsidRPr="00B051B5">
            <w:rPr>
              <w:rFonts w:asciiTheme="majorBidi" w:hAnsiTheme="majorBidi" w:cstheme="majorBidi"/>
              <w:i/>
            </w:rPr>
            <w:t xml:space="preserve"> </w:t>
          </w:r>
          <w:r w:rsidRPr="00B051B5">
            <w:rPr>
              <w:rFonts w:asciiTheme="majorBidi" w:hAnsiTheme="majorBidi" w:cstheme="majorBidi"/>
            </w:rPr>
            <w:t>by</w:t>
          </w:r>
          <w:r w:rsidRPr="00B051B5">
            <w:rPr>
              <w:rFonts w:asciiTheme="majorBidi" w:hAnsiTheme="majorBidi" w:cstheme="majorBidi"/>
              <w:i/>
            </w:rPr>
            <w:t xml:space="preserve"> </w:t>
          </w:r>
          <w:r w:rsidRPr="00B051B5">
            <w:rPr>
              <w:rFonts w:asciiTheme="majorBidi" w:hAnsiTheme="majorBidi" w:cstheme="majorBidi"/>
            </w:rPr>
            <w:t>the</w:t>
          </w:r>
          <w:r w:rsidRPr="00B051B5">
            <w:rPr>
              <w:rFonts w:asciiTheme="majorBidi" w:hAnsiTheme="majorBidi" w:cstheme="majorBidi"/>
              <w:i/>
            </w:rPr>
            <w:t xml:space="preserve"> </w:t>
          </w:r>
          <w:r w:rsidRPr="00B051B5">
            <w:rPr>
              <w:rFonts w:asciiTheme="majorBidi" w:hAnsiTheme="majorBidi" w:cstheme="majorBidi"/>
            </w:rPr>
            <w:t>integration</w:t>
          </w:r>
          <w:r w:rsidRPr="00B051B5">
            <w:rPr>
              <w:rFonts w:asciiTheme="majorBidi" w:hAnsiTheme="majorBidi" w:cstheme="majorBidi"/>
              <w:i/>
            </w:rPr>
            <w:t xml:space="preserve"> </w:t>
          </w:r>
          <w:r w:rsidRPr="00B051B5">
            <w:rPr>
              <w:rFonts w:asciiTheme="majorBidi" w:hAnsiTheme="majorBidi" w:cstheme="majorBidi"/>
            </w:rPr>
            <w:t>of</w:t>
          </w:r>
          <w:r w:rsidRPr="00B051B5">
            <w:rPr>
              <w:rFonts w:asciiTheme="majorBidi" w:hAnsiTheme="majorBidi" w:cstheme="majorBidi"/>
              <w:i/>
            </w:rPr>
            <w:t xml:space="preserve"> </w:t>
          </w:r>
          <w:r w:rsidRPr="00B051B5">
            <w:rPr>
              <w:rFonts w:asciiTheme="majorBidi" w:hAnsiTheme="majorBidi" w:cstheme="majorBidi"/>
            </w:rPr>
            <w:t>gasification</w:t>
          </w:r>
          <w:r w:rsidRPr="00B051B5">
            <w:rPr>
              <w:rFonts w:asciiTheme="majorBidi" w:hAnsiTheme="majorBidi" w:cstheme="majorBidi"/>
              <w:i/>
            </w:rPr>
            <w:t xml:space="preserve"> </w:t>
          </w:r>
          <w:r w:rsidRPr="00B051B5">
            <w:rPr>
              <w:rFonts w:asciiTheme="majorBidi" w:hAnsiTheme="majorBidi" w:cstheme="majorBidi"/>
            </w:rPr>
            <w:t>and</w:t>
          </w:r>
          <w:r w:rsidRPr="00B051B5">
            <w:rPr>
              <w:rFonts w:asciiTheme="majorBidi" w:hAnsiTheme="majorBidi" w:cstheme="majorBidi"/>
              <w:i/>
            </w:rPr>
            <w:t xml:space="preserve"> </w:t>
          </w:r>
          <w:r w:rsidRPr="00B051B5">
            <w:rPr>
              <w:rFonts w:asciiTheme="majorBidi" w:hAnsiTheme="majorBidi" w:cstheme="majorBidi"/>
            </w:rPr>
            <w:t>dry-reforming</w:t>
          </w:r>
          <w:r w:rsidRPr="00B051B5">
            <w:rPr>
              <w:rFonts w:asciiTheme="majorBidi" w:hAnsiTheme="majorBidi" w:cstheme="majorBidi"/>
              <w:i/>
            </w:rPr>
            <w:t xml:space="preserve"> </w:t>
          </w:r>
          <w:r w:rsidRPr="00B051B5">
            <w:rPr>
              <w:rFonts w:asciiTheme="majorBidi" w:hAnsiTheme="majorBidi" w:cstheme="majorBidi"/>
            </w:rPr>
            <w:t>technologies</w:t>
          </w:r>
          <w:r w:rsidRPr="00B051B5">
            <w:rPr>
              <w:rFonts w:asciiTheme="majorBidi" w:hAnsiTheme="majorBidi" w:cstheme="majorBidi"/>
              <w:i/>
            </w:rPr>
            <w:t xml:space="preserve"> </w:t>
          </w:r>
          <w:r w:rsidRPr="00B051B5">
            <w:rPr>
              <w:rFonts w:asciiTheme="majorBidi" w:hAnsiTheme="majorBidi" w:cstheme="majorBidi"/>
            </w:rPr>
            <w:t>with</w:t>
          </w:r>
          <w:r w:rsidRPr="00B051B5">
            <w:rPr>
              <w:rFonts w:asciiTheme="majorBidi" w:hAnsiTheme="majorBidi" w:cstheme="majorBidi"/>
              <w:i/>
            </w:rPr>
            <w:t xml:space="preserve"> </w:t>
          </w:r>
          <w:r w:rsidRPr="00B051B5">
            <w:rPr>
              <w:rFonts w:asciiTheme="majorBidi" w:hAnsiTheme="majorBidi" w:cstheme="majorBidi"/>
            </w:rPr>
            <w:t>CO</w:t>
          </w:r>
          <w:r w:rsidRPr="00B051B5">
            <w:rPr>
              <w:rFonts w:asciiTheme="majorBidi" w:hAnsiTheme="majorBidi" w:cstheme="majorBidi"/>
              <w:vertAlign w:val="subscript"/>
            </w:rPr>
            <w:t>2</w:t>
          </w:r>
          <w:r w:rsidRPr="00B051B5">
            <w:rPr>
              <w:rFonts w:asciiTheme="majorBidi" w:hAnsiTheme="majorBidi" w:cstheme="majorBidi"/>
              <w:i/>
            </w:rPr>
            <w:t xml:space="preserve"> </w:t>
          </w:r>
          <w:r w:rsidRPr="00B051B5">
            <w:rPr>
              <w:rFonts w:asciiTheme="majorBidi" w:hAnsiTheme="majorBidi" w:cstheme="majorBidi"/>
            </w:rPr>
            <w:t>capture</w:t>
          </w:r>
          <w:r w:rsidRPr="00B051B5">
            <w:rPr>
              <w:rFonts w:asciiTheme="majorBidi" w:hAnsiTheme="majorBidi" w:cstheme="majorBidi"/>
              <w:i/>
            </w:rPr>
            <w:t xml:space="preserve"> </w:t>
          </w:r>
          <w:r w:rsidRPr="00B051B5">
            <w:rPr>
              <w:rFonts w:asciiTheme="majorBidi" w:hAnsiTheme="majorBidi" w:cstheme="majorBidi"/>
            </w:rPr>
            <w:t>and</w:t>
          </w:r>
          <w:r w:rsidRPr="00B051B5">
            <w:rPr>
              <w:rFonts w:asciiTheme="majorBidi" w:hAnsiTheme="majorBidi" w:cstheme="majorBidi"/>
              <w:i/>
            </w:rPr>
            <w:t xml:space="preserve"> </w:t>
          </w:r>
          <w:r w:rsidRPr="00B051B5">
            <w:rPr>
              <w:rFonts w:asciiTheme="majorBidi" w:hAnsiTheme="majorBidi" w:cstheme="majorBidi"/>
            </w:rPr>
            <w:t>utilization.</w:t>
          </w:r>
          <w:r w:rsidRPr="00B051B5">
            <w:rPr>
              <w:rFonts w:asciiTheme="majorBidi" w:hAnsiTheme="majorBidi" w:cstheme="majorBidi"/>
              <w:i/>
            </w:rPr>
            <w:t xml:space="preserve"> </w:t>
          </w:r>
          <w:r w:rsidRPr="00B051B5">
            <w:rPr>
              <w:rFonts w:asciiTheme="majorBidi" w:hAnsiTheme="majorBidi" w:cstheme="majorBidi"/>
              <w:i/>
              <w:iCs/>
            </w:rPr>
            <w:t xml:space="preserve">Energy Convers. </w:t>
          </w:r>
          <w:proofErr w:type="spellStart"/>
          <w:r w:rsidRPr="00B051B5">
            <w:rPr>
              <w:rFonts w:asciiTheme="majorBidi" w:hAnsiTheme="majorBidi" w:cstheme="majorBidi"/>
              <w:i/>
              <w:iCs/>
            </w:rPr>
            <w:t>Manag</w:t>
          </w:r>
          <w:proofErr w:type="spellEnd"/>
          <w:r w:rsidRPr="00370414">
            <w:rPr>
              <w:rFonts w:asciiTheme="majorBidi" w:hAnsiTheme="majorBidi" w:cstheme="majorBidi"/>
              <w:i/>
              <w:iCs/>
            </w:rPr>
            <w:t>.</w:t>
          </w:r>
          <w:r w:rsidRPr="00370414">
            <w:rPr>
              <w:rFonts w:asciiTheme="majorBidi" w:hAnsiTheme="majorBidi" w:cstheme="majorBidi"/>
              <w:i/>
            </w:rPr>
            <w:t xml:space="preserve"> </w:t>
          </w:r>
          <w:r w:rsidRPr="00370414">
            <w:rPr>
              <w:rFonts w:asciiTheme="majorBidi" w:hAnsiTheme="majorBidi" w:cstheme="majorBidi"/>
            </w:rPr>
            <w:t>2021</w:t>
          </w:r>
          <w:r w:rsidRPr="00B051B5">
            <w:rPr>
              <w:rFonts w:asciiTheme="majorBidi" w:hAnsiTheme="majorBidi" w:cstheme="majorBidi"/>
            </w:rPr>
            <w:t>,</w:t>
          </w:r>
          <w:r w:rsidRPr="00B051B5">
            <w:rPr>
              <w:rFonts w:asciiTheme="majorBidi" w:hAnsiTheme="majorBidi" w:cstheme="majorBidi"/>
              <w:i/>
            </w:rPr>
            <w:t xml:space="preserve"> </w:t>
          </w:r>
          <w:r w:rsidRPr="00B051B5">
            <w:rPr>
              <w:rFonts w:asciiTheme="majorBidi" w:hAnsiTheme="majorBidi" w:cstheme="majorBidi"/>
              <w:i/>
              <w:iCs/>
            </w:rPr>
            <w:t>244</w:t>
          </w:r>
          <w:r w:rsidRPr="00B051B5">
            <w:rPr>
              <w:rFonts w:asciiTheme="majorBidi" w:hAnsiTheme="majorBidi" w:cstheme="majorBidi"/>
            </w:rPr>
            <w:t>,</w:t>
          </w:r>
          <w:r w:rsidRPr="00B051B5">
            <w:rPr>
              <w:rFonts w:asciiTheme="majorBidi" w:hAnsiTheme="majorBidi" w:cstheme="majorBidi"/>
              <w:i/>
            </w:rPr>
            <w:t xml:space="preserve"> </w:t>
          </w:r>
          <w:r w:rsidRPr="00B051B5">
            <w:rPr>
              <w:rFonts w:asciiTheme="majorBidi" w:hAnsiTheme="majorBidi" w:cstheme="majorBidi"/>
            </w:rPr>
            <w:t>114485.</w:t>
          </w:r>
        </w:p>
        <w:p w14:paraId="449C015E" w14:textId="3020D29D" w:rsidR="00E25FE9" w:rsidRDefault="00E25FE9" w:rsidP="00E25FE9">
          <w:pPr>
            <w:adjustRightInd w:val="0"/>
            <w:snapToGrid w:val="0"/>
            <w:spacing w:line="228" w:lineRule="auto"/>
            <w:ind w:left="720" w:hanging="720"/>
            <w:jc w:val="both"/>
            <w:rPr>
              <w:rFonts w:asciiTheme="majorBidi" w:hAnsiTheme="majorBidi" w:cstheme="majorBidi"/>
            </w:rPr>
          </w:pPr>
          <w:r w:rsidRPr="00B051B5">
            <w:rPr>
              <w:rFonts w:asciiTheme="majorBidi" w:hAnsiTheme="majorBidi" w:cstheme="majorBidi"/>
            </w:rPr>
            <w:t>Al-</w:t>
          </w:r>
          <w:proofErr w:type="spellStart"/>
          <w:r w:rsidRPr="00B051B5">
            <w:rPr>
              <w:rFonts w:asciiTheme="majorBidi" w:hAnsiTheme="majorBidi" w:cstheme="majorBidi"/>
            </w:rPr>
            <w:t>Rowaili</w:t>
          </w:r>
          <w:proofErr w:type="spellEnd"/>
          <w:r w:rsidRPr="00B051B5">
            <w:rPr>
              <w:rFonts w:asciiTheme="majorBidi" w:hAnsiTheme="majorBidi" w:cstheme="majorBidi"/>
            </w:rPr>
            <w:t xml:space="preserve">, F.N.; Khalafalla, S.S.; Al-Yami, D.S.; Jamal, A.; Ahmed, U.; Zahid, U.; Al-Mutairi, E.M. Techno-economic evaluation of methanol production via gasification of vacuum residue and conventional reforming routes. Chem. Eng. Res. Des. 2021, 177, 365–375. </w:t>
          </w:r>
        </w:p>
        <w:p w14:paraId="3EAC4C34" w14:textId="0BFEF865" w:rsidR="00E25FE9" w:rsidRDefault="00E25FE9" w:rsidP="00E25FE9">
          <w:pPr>
            <w:adjustRightInd w:val="0"/>
            <w:snapToGrid w:val="0"/>
            <w:spacing w:line="228" w:lineRule="auto"/>
            <w:ind w:left="720" w:hanging="720"/>
            <w:jc w:val="both"/>
            <w:rPr>
              <w:rFonts w:asciiTheme="majorBidi" w:hAnsiTheme="majorBidi" w:cstheme="majorBidi"/>
            </w:rPr>
          </w:pPr>
          <w:r w:rsidRPr="000619E6">
            <w:rPr>
              <w:rFonts w:asciiTheme="majorBidi" w:hAnsiTheme="majorBidi" w:cstheme="majorBidi"/>
            </w:rPr>
            <w:t xml:space="preserve">Choi, Y.-C.; Lee, J.-G.; Yoon, S.-J.; Park, M.-H. Experimental and theoretical study on the characteristics of vacuum residue gasification in an entrained-flow gasifier. Korean J. Chem. Eng. 2007, 24, 60–66. </w:t>
          </w:r>
        </w:p>
        <w:p w14:paraId="49CE1CBD" w14:textId="331A5E2E" w:rsidR="00E25FE9" w:rsidRDefault="00E25FE9" w:rsidP="00E25FE9">
          <w:pPr>
            <w:ind w:left="720" w:hanging="720"/>
            <w:rPr>
              <w:sz w:val="24"/>
              <w:szCs w:val="24"/>
            </w:rPr>
          </w:pPr>
          <w:proofErr w:type="spellStart"/>
          <w:r>
            <w:t>Gudiyella</w:t>
          </w:r>
          <w:proofErr w:type="spellEnd"/>
          <w:r>
            <w:t xml:space="preserve">, S. </w:t>
          </w:r>
          <w:r>
            <w:rPr>
              <w:i/>
              <w:iCs/>
            </w:rPr>
            <w:t>et al.</w:t>
          </w:r>
          <w:r>
            <w:t xml:space="preserve"> (2018) ‘An experimental and </w:t>
          </w:r>
          <w:proofErr w:type="spellStart"/>
          <w:r>
            <w:t>modeling</w:t>
          </w:r>
          <w:proofErr w:type="spellEnd"/>
          <w:r>
            <w:t xml:space="preserve"> study of vacuum residue upgrading in supercritical water’, </w:t>
          </w:r>
          <w:proofErr w:type="spellStart"/>
          <w:r>
            <w:rPr>
              <w:i/>
              <w:iCs/>
            </w:rPr>
            <w:t>AIChE</w:t>
          </w:r>
          <w:proofErr w:type="spellEnd"/>
          <w:r>
            <w:rPr>
              <w:i/>
              <w:iCs/>
            </w:rPr>
            <w:t xml:space="preserve"> Journal</w:t>
          </w:r>
          <w:r>
            <w:t>, 64(5), pp. 1732–1743.</w:t>
          </w:r>
        </w:p>
        <w:p w14:paraId="03314B8A" w14:textId="1CB7F663" w:rsidR="00E25FE9" w:rsidRDefault="00E25FE9" w:rsidP="00E25FE9">
          <w:pPr>
            <w:ind w:left="720" w:hanging="720"/>
          </w:pPr>
          <w:r>
            <w:t xml:space="preserve">Hamid, U. </w:t>
          </w:r>
          <w:r>
            <w:rPr>
              <w:i/>
              <w:iCs/>
            </w:rPr>
            <w:t>et al.</w:t>
          </w:r>
          <w:r>
            <w:t xml:space="preserve"> (2020) ‘Techno-economic assessment of process integration models for boosting hydrogen production potential from coal and natural gas feedstocks’, </w:t>
          </w:r>
          <w:r>
            <w:rPr>
              <w:i/>
              <w:iCs/>
            </w:rPr>
            <w:t>Fuel</w:t>
          </w:r>
          <w:r>
            <w:t>, 266, p. 117111.</w:t>
          </w:r>
        </w:p>
        <w:p w14:paraId="5873FCB8" w14:textId="7C5DD6B9" w:rsidR="00E25FE9" w:rsidRDefault="00E25FE9" w:rsidP="00E25FE9">
          <w:pPr>
            <w:ind w:left="720" w:hanging="720"/>
            <w:rPr>
              <w:rFonts w:asciiTheme="majorBidi" w:hAnsiTheme="majorBidi" w:cstheme="majorBidi"/>
            </w:rPr>
          </w:pPr>
          <w:r w:rsidRPr="00B051B5">
            <w:rPr>
              <w:rFonts w:asciiTheme="majorBidi" w:hAnsiTheme="majorBidi" w:cstheme="majorBidi"/>
            </w:rPr>
            <w:t>Meng,</w:t>
          </w:r>
          <w:r w:rsidRPr="00B051B5">
            <w:rPr>
              <w:rFonts w:asciiTheme="majorBidi" w:hAnsiTheme="majorBidi" w:cstheme="majorBidi"/>
              <w:i/>
            </w:rPr>
            <w:t xml:space="preserve"> </w:t>
          </w:r>
          <w:r w:rsidRPr="00B051B5">
            <w:rPr>
              <w:rFonts w:asciiTheme="majorBidi" w:hAnsiTheme="majorBidi" w:cstheme="majorBidi"/>
            </w:rPr>
            <w:t>L.;</w:t>
          </w:r>
          <w:r w:rsidRPr="00B051B5">
            <w:rPr>
              <w:rFonts w:asciiTheme="majorBidi" w:hAnsiTheme="majorBidi" w:cstheme="majorBidi"/>
              <w:i/>
            </w:rPr>
            <w:t xml:space="preserve"> </w:t>
          </w:r>
          <w:r w:rsidRPr="00B051B5">
            <w:rPr>
              <w:rFonts w:asciiTheme="majorBidi" w:hAnsiTheme="majorBidi" w:cstheme="majorBidi"/>
            </w:rPr>
            <w:t>Liu,</w:t>
          </w:r>
          <w:r w:rsidRPr="00B051B5">
            <w:rPr>
              <w:rFonts w:asciiTheme="majorBidi" w:hAnsiTheme="majorBidi" w:cstheme="majorBidi"/>
              <w:i/>
            </w:rPr>
            <w:t xml:space="preserve"> </w:t>
          </w:r>
          <w:r w:rsidRPr="00B051B5">
            <w:rPr>
              <w:rFonts w:asciiTheme="majorBidi" w:hAnsiTheme="majorBidi" w:cstheme="majorBidi"/>
            </w:rPr>
            <w:t>K.;</w:t>
          </w:r>
          <w:r w:rsidRPr="00B051B5">
            <w:rPr>
              <w:rFonts w:asciiTheme="majorBidi" w:hAnsiTheme="majorBidi" w:cstheme="majorBidi"/>
              <w:i/>
            </w:rPr>
            <w:t xml:space="preserve"> </w:t>
          </w:r>
          <w:r w:rsidRPr="00B051B5">
            <w:rPr>
              <w:rFonts w:asciiTheme="majorBidi" w:hAnsiTheme="majorBidi" w:cstheme="majorBidi"/>
            </w:rPr>
            <w:t>He,</w:t>
          </w:r>
          <w:r w:rsidRPr="00B051B5">
            <w:rPr>
              <w:rFonts w:asciiTheme="majorBidi" w:hAnsiTheme="majorBidi" w:cstheme="majorBidi"/>
              <w:i/>
            </w:rPr>
            <w:t xml:space="preserve"> </w:t>
          </w:r>
          <w:r w:rsidRPr="00B051B5">
            <w:rPr>
              <w:rFonts w:asciiTheme="majorBidi" w:hAnsiTheme="majorBidi" w:cstheme="majorBidi"/>
            </w:rPr>
            <w:t>J.;</w:t>
          </w:r>
          <w:r w:rsidRPr="00B051B5">
            <w:rPr>
              <w:rFonts w:asciiTheme="majorBidi" w:hAnsiTheme="majorBidi" w:cstheme="majorBidi"/>
              <w:i/>
            </w:rPr>
            <w:t xml:space="preserve"> </w:t>
          </w:r>
          <w:r w:rsidRPr="00B051B5">
            <w:rPr>
              <w:rFonts w:asciiTheme="majorBidi" w:hAnsiTheme="majorBidi" w:cstheme="majorBidi"/>
            </w:rPr>
            <w:t>Han,</w:t>
          </w:r>
          <w:r w:rsidRPr="00B051B5">
            <w:rPr>
              <w:rFonts w:asciiTheme="majorBidi" w:hAnsiTheme="majorBidi" w:cstheme="majorBidi"/>
              <w:i/>
            </w:rPr>
            <w:t xml:space="preserve"> </w:t>
          </w:r>
          <w:r w:rsidRPr="00B051B5">
            <w:rPr>
              <w:rFonts w:asciiTheme="majorBidi" w:hAnsiTheme="majorBidi" w:cstheme="majorBidi"/>
            </w:rPr>
            <w:t>C.;</w:t>
          </w:r>
          <w:r w:rsidRPr="00B051B5">
            <w:rPr>
              <w:rFonts w:asciiTheme="majorBidi" w:hAnsiTheme="majorBidi" w:cstheme="majorBidi"/>
              <w:i/>
            </w:rPr>
            <w:t xml:space="preserve"> </w:t>
          </w:r>
          <w:r w:rsidRPr="00B051B5">
            <w:rPr>
              <w:rFonts w:asciiTheme="majorBidi" w:hAnsiTheme="majorBidi" w:cstheme="majorBidi"/>
            </w:rPr>
            <w:t>Liu,</w:t>
          </w:r>
          <w:r w:rsidRPr="00B051B5">
            <w:rPr>
              <w:rFonts w:asciiTheme="majorBidi" w:hAnsiTheme="majorBidi" w:cstheme="majorBidi"/>
              <w:i/>
            </w:rPr>
            <w:t xml:space="preserve"> </w:t>
          </w:r>
          <w:r w:rsidRPr="00B051B5">
            <w:rPr>
              <w:rFonts w:asciiTheme="majorBidi" w:hAnsiTheme="majorBidi" w:cstheme="majorBidi"/>
            </w:rPr>
            <w:t>P.</w:t>
          </w:r>
          <w:r w:rsidRPr="00B051B5">
            <w:rPr>
              <w:rFonts w:asciiTheme="majorBidi" w:hAnsiTheme="majorBidi" w:cstheme="majorBidi"/>
              <w:i/>
            </w:rPr>
            <w:t xml:space="preserve"> </w:t>
          </w:r>
          <w:r w:rsidRPr="00B051B5">
            <w:rPr>
              <w:rFonts w:asciiTheme="majorBidi" w:hAnsiTheme="majorBidi" w:cstheme="majorBidi"/>
            </w:rPr>
            <w:t>Carbon</w:t>
          </w:r>
          <w:r w:rsidRPr="00B051B5">
            <w:rPr>
              <w:rFonts w:asciiTheme="majorBidi" w:hAnsiTheme="majorBidi" w:cstheme="majorBidi"/>
              <w:i/>
            </w:rPr>
            <w:t xml:space="preserve"> </w:t>
          </w:r>
          <w:r w:rsidRPr="00B051B5">
            <w:rPr>
              <w:rFonts w:asciiTheme="majorBidi" w:hAnsiTheme="majorBidi" w:cstheme="majorBidi"/>
            </w:rPr>
            <w:t>emission</w:t>
          </w:r>
          <w:r w:rsidRPr="00B051B5">
            <w:rPr>
              <w:rFonts w:asciiTheme="majorBidi" w:hAnsiTheme="majorBidi" w:cstheme="majorBidi"/>
              <w:i/>
            </w:rPr>
            <w:t xml:space="preserve"> </w:t>
          </w:r>
          <w:r w:rsidRPr="00B051B5">
            <w:rPr>
              <w:rFonts w:asciiTheme="majorBidi" w:hAnsiTheme="majorBidi" w:cstheme="majorBidi"/>
            </w:rPr>
            <w:t>reduction</w:t>
          </w:r>
          <w:r w:rsidRPr="00B051B5">
            <w:rPr>
              <w:rFonts w:asciiTheme="majorBidi" w:hAnsiTheme="majorBidi" w:cstheme="majorBidi"/>
              <w:i/>
            </w:rPr>
            <w:t xml:space="preserve"> </w:t>
          </w:r>
          <w:proofErr w:type="spellStart"/>
          <w:r w:rsidRPr="00B051B5">
            <w:rPr>
              <w:rFonts w:asciiTheme="majorBidi" w:hAnsiTheme="majorBidi" w:cstheme="majorBidi"/>
            </w:rPr>
            <w:t>behavior</w:t>
          </w:r>
          <w:proofErr w:type="spellEnd"/>
          <w:r w:rsidRPr="00B051B5">
            <w:rPr>
              <w:rFonts w:asciiTheme="majorBidi" w:hAnsiTheme="majorBidi" w:cstheme="majorBidi"/>
              <w:i/>
            </w:rPr>
            <w:t xml:space="preserve"> </w:t>
          </w:r>
          <w:r w:rsidRPr="00B051B5">
            <w:rPr>
              <w:rFonts w:asciiTheme="majorBidi" w:hAnsiTheme="majorBidi" w:cstheme="majorBidi"/>
            </w:rPr>
            <w:t>strategies</w:t>
          </w:r>
          <w:r w:rsidRPr="00B051B5">
            <w:rPr>
              <w:rFonts w:asciiTheme="majorBidi" w:hAnsiTheme="majorBidi" w:cstheme="majorBidi"/>
              <w:i/>
            </w:rPr>
            <w:t xml:space="preserve"> </w:t>
          </w:r>
          <w:r w:rsidRPr="00B051B5">
            <w:rPr>
              <w:rFonts w:asciiTheme="majorBidi" w:hAnsiTheme="majorBidi" w:cstheme="majorBidi"/>
            </w:rPr>
            <w:t>in</w:t>
          </w:r>
          <w:r w:rsidRPr="00B051B5">
            <w:rPr>
              <w:rFonts w:asciiTheme="majorBidi" w:hAnsiTheme="majorBidi" w:cstheme="majorBidi"/>
              <w:i/>
            </w:rPr>
            <w:t xml:space="preserve"> </w:t>
          </w:r>
          <w:r w:rsidRPr="00B051B5">
            <w:rPr>
              <w:rFonts w:asciiTheme="majorBidi" w:hAnsiTheme="majorBidi" w:cstheme="majorBidi"/>
            </w:rPr>
            <w:t>the</w:t>
          </w:r>
          <w:r w:rsidRPr="00B051B5">
            <w:rPr>
              <w:rFonts w:asciiTheme="majorBidi" w:hAnsiTheme="majorBidi" w:cstheme="majorBidi"/>
              <w:i/>
            </w:rPr>
            <w:t xml:space="preserve"> </w:t>
          </w:r>
          <w:r w:rsidRPr="00B051B5">
            <w:rPr>
              <w:rFonts w:asciiTheme="majorBidi" w:hAnsiTheme="majorBidi" w:cstheme="majorBidi"/>
            </w:rPr>
            <w:t>shipping</w:t>
          </w:r>
          <w:r w:rsidRPr="00B051B5">
            <w:rPr>
              <w:rFonts w:asciiTheme="majorBidi" w:hAnsiTheme="majorBidi" w:cstheme="majorBidi"/>
              <w:i/>
            </w:rPr>
            <w:t xml:space="preserve"> </w:t>
          </w:r>
          <w:r w:rsidRPr="00B051B5">
            <w:rPr>
              <w:rFonts w:asciiTheme="majorBidi" w:hAnsiTheme="majorBidi" w:cstheme="majorBidi"/>
            </w:rPr>
            <w:t>industry</w:t>
          </w:r>
          <w:r w:rsidRPr="00B051B5">
            <w:rPr>
              <w:rFonts w:asciiTheme="majorBidi" w:hAnsiTheme="majorBidi" w:cstheme="majorBidi"/>
              <w:i/>
            </w:rPr>
            <w:t xml:space="preserve"> </w:t>
          </w:r>
          <w:r w:rsidRPr="00B051B5">
            <w:rPr>
              <w:rFonts w:asciiTheme="majorBidi" w:hAnsiTheme="majorBidi" w:cstheme="majorBidi"/>
            </w:rPr>
            <w:t>under</w:t>
          </w:r>
          <w:r w:rsidRPr="00B051B5">
            <w:rPr>
              <w:rFonts w:asciiTheme="majorBidi" w:hAnsiTheme="majorBidi" w:cstheme="majorBidi"/>
              <w:i/>
            </w:rPr>
            <w:t xml:space="preserve"> </w:t>
          </w:r>
          <w:r w:rsidRPr="00B051B5">
            <w:rPr>
              <w:rFonts w:asciiTheme="majorBidi" w:hAnsiTheme="majorBidi" w:cstheme="majorBidi"/>
            </w:rPr>
            <w:t>government</w:t>
          </w:r>
          <w:r w:rsidRPr="00B051B5">
            <w:rPr>
              <w:rFonts w:asciiTheme="majorBidi" w:hAnsiTheme="majorBidi" w:cstheme="majorBidi"/>
              <w:i/>
            </w:rPr>
            <w:t xml:space="preserve"> </w:t>
          </w:r>
          <w:r w:rsidRPr="00B051B5">
            <w:rPr>
              <w:rFonts w:asciiTheme="majorBidi" w:hAnsiTheme="majorBidi" w:cstheme="majorBidi"/>
            </w:rPr>
            <w:t>regulation:</w:t>
          </w:r>
          <w:r w:rsidRPr="00B051B5">
            <w:rPr>
              <w:rFonts w:asciiTheme="majorBidi" w:hAnsiTheme="majorBidi" w:cstheme="majorBidi"/>
              <w:i/>
            </w:rPr>
            <w:t xml:space="preserve"> </w:t>
          </w:r>
          <w:r w:rsidRPr="00B051B5">
            <w:rPr>
              <w:rFonts w:asciiTheme="majorBidi" w:hAnsiTheme="majorBidi" w:cstheme="majorBidi"/>
            </w:rPr>
            <w:t>A</w:t>
          </w:r>
          <w:r w:rsidRPr="00B051B5">
            <w:rPr>
              <w:rFonts w:asciiTheme="majorBidi" w:hAnsiTheme="majorBidi" w:cstheme="majorBidi"/>
              <w:i/>
            </w:rPr>
            <w:t xml:space="preserve"> </w:t>
          </w:r>
          <w:r w:rsidRPr="00B051B5">
            <w:rPr>
              <w:rFonts w:asciiTheme="majorBidi" w:hAnsiTheme="majorBidi" w:cstheme="majorBidi"/>
            </w:rPr>
            <w:t>tripartite</w:t>
          </w:r>
          <w:r w:rsidRPr="00B051B5">
            <w:rPr>
              <w:rFonts w:asciiTheme="majorBidi" w:hAnsiTheme="majorBidi" w:cstheme="majorBidi"/>
              <w:i/>
            </w:rPr>
            <w:t xml:space="preserve"> </w:t>
          </w:r>
          <w:r w:rsidRPr="00B051B5">
            <w:rPr>
              <w:rFonts w:asciiTheme="majorBidi" w:hAnsiTheme="majorBidi" w:cstheme="majorBidi"/>
            </w:rPr>
            <w:t>evolutionary</w:t>
          </w:r>
          <w:r w:rsidRPr="00B051B5">
            <w:rPr>
              <w:rFonts w:asciiTheme="majorBidi" w:hAnsiTheme="majorBidi" w:cstheme="majorBidi"/>
              <w:i/>
            </w:rPr>
            <w:t xml:space="preserve"> </w:t>
          </w:r>
          <w:r w:rsidRPr="00B051B5">
            <w:rPr>
              <w:rFonts w:asciiTheme="majorBidi" w:hAnsiTheme="majorBidi" w:cstheme="majorBidi"/>
            </w:rPr>
            <w:t>game</w:t>
          </w:r>
          <w:r w:rsidRPr="00B051B5">
            <w:rPr>
              <w:rFonts w:asciiTheme="majorBidi" w:hAnsiTheme="majorBidi" w:cstheme="majorBidi"/>
              <w:i/>
            </w:rPr>
            <w:t xml:space="preserve"> </w:t>
          </w:r>
          <w:r w:rsidRPr="00B051B5">
            <w:rPr>
              <w:rFonts w:asciiTheme="majorBidi" w:hAnsiTheme="majorBidi" w:cstheme="majorBidi"/>
            </w:rPr>
            <w:t>analysis.</w:t>
          </w:r>
          <w:r w:rsidRPr="00B051B5">
            <w:rPr>
              <w:rFonts w:asciiTheme="majorBidi" w:hAnsiTheme="majorBidi" w:cstheme="majorBidi"/>
              <w:i/>
            </w:rPr>
            <w:t xml:space="preserve"> </w:t>
          </w:r>
          <w:r w:rsidRPr="00B051B5">
            <w:rPr>
              <w:rFonts w:asciiTheme="majorBidi" w:hAnsiTheme="majorBidi" w:cstheme="majorBidi"/>
              <w:i/>
              <w:iCs/>
            </w:rPr>
            <w:t>J. Clean. Prod.</w:t>
          </w:r>
          <w:r w:rsidRPr="00B051B5">
            <w:rPr>
              <w:rFonts w:asciiTheme="majorBidi" w:hAnsiTheme="majorBidi" w:cstheme="majorBidi"/>
              <w:i/>
            </w:rPr>
            <w:t xml:space="preserve"> </w:t>
          </w:r>
          <w:r w:rsidRPr="00370414">
            <w:rPr>
              <w:rFonts w:asciiTheme="majorBidi" w:hAnsiTheme="majorBidi" w:cstheme="majorBidi"/>
            </w:rPr>
            <w:t>2022</w:t>
          </w:r>
          <w:r w:rsidRPr="00B051B5">
            <w:rPr>
              <w:rFonts w:asciiTheme="majorBidi" w:hAnsiTheme="majorBidi" w:cstheme="majorBidi"/>
            </w:rPr>
            <w:t>,</w:t>
          </w:r>
          <w:r w:rsidRPr="00B051B5">
            <w:rPr>
              <w:rFonts w:asciiTheme="majorBidi" w:hAnsiTheme="majorBidi" w:cstheme="majorBidi"/>
              <w:i/>
            </w:rPr>
            <w:t xml:space="preserve"> </w:t>
          </w:r>
          <w:r w:rsidRPr="00B051B5">
            <w:rPr>
              <w:rFonts w:asciiTheme="majorBidi" w:hAnsiTheme="majorBidi" w:cstheme="majorBidi"/>
              <w:i/>
              <w:iCs/>
            </w:rPr>
            <w:t>378</w:t>
          </w:r>
          <w:r w:rsidRPr="00B051B5">
            <w:rPr>
              <w:rFonts w:asciiTheme="majorBidi" w:hAnsiTheme="majorBidi" w:cstheme="majorBidi"/>
            </w:rPr>
            <w:t>,</w:t>
          </w:r>
          <w:r w:rsidRPr="00B051B5">
            <w:rPr>
              <w:rFonts w:asciiTheme="majorBidi" w:hAnsiTheme="majorBidi" w:cstheme="majorBidi"/>
              <w:i/>
            </w:rPr>
            <w:t xml:space="preserve"> </w:t>
          </w:r>
          <w:r w:rsidRPr="00B051B5">
            <w:rPr>
              <w:rFonts w:asciiTheme="majorBidi" w:hAnsiTheme="majorBidi" w:cstheme="majorBidi"/>
            </w:rPr>
            <w:t>134556.</w:t>
          </w:r>
        </w:p>
        <w:p w14:paraId="295F5860" w14:textId="6FED20FD" w:rsidR="00E25FE9" w:rsidRPr="00E25FE9" w:rsidRDefault="00370414" w:rsidP="00370414">
          <w:pPr>
            <w:ind w:left="720" w:hanging="720"/>
            <w:rPr>
              <w:lang w:val="en-US"/>
            </w:rPr>
          </w:pPr>
          <w:proofErr w:type="spellStart"/>
          <w:r w:rsidRPr="00B051B5">
            <w:rPr>
              <w:rFonts w:asciiTheme="majorBidi" w:eastAsiaTheme="minorHAnsi" w:hAnsiTheme="majorBidi" w:cstheme="majorBidi"/>
            </w:rPr>
            <w:t>Zuideveld</w:t>
          </w:r>
          <w:proofErr w:type="spellEnd"/>
          <w:r w:rsidRPr="00B051B5">
            <w:rPr>
              <w:rFonts w:asciiTheme="majorBidi" w:eastAsiaTheme="minorHAnsi" w:hAnsiTheme="majorBidi" w:cstheme="majorBidi"/>
            </w:rPr>
            <w:t>,</w:t>
          </w:r>
          <w:r w:rsidRPr="00B051B5">
            <w:rPr>
              <w:rFonts w:asciiTheme="majorBidi" w:eastAsiaTheme="minorHAnsi" w:hAnsiTheme="majorBidi" w:cstheme="majorBidi"/>
              <w:i/>
            </w:rPr>
            <w:t xml:space="preserve"> </w:t>
          </w:r>
          <w:r w:rsidRPr="00B051B5">
            <w:rPr>
              <w:rFonts w:asciiTheme="majorBidi" w:eastAsiaTheme="minorHAnsi" w:hAnsiTheme="majorBidi" w:cstheme="majorBidi"/>
            </w:rPr>
            <w:t>P.L.;</w:t>
          </w:r>
          <w:r w:rsidRPr="00B051B5">
            <w:rPr>
              <w:rFonts w:asciiTheme="majorBidi" w:eastAsiaTheme="minorHAnsi" w:hAnsiTheme="majorBidi" w:cstheme="majorBidi"/>
              <w:i/>
            </w:rPr>
            <w:t xml:space="preserve"> </w:t>
          </w:r>
          <w:r w:rsidRPr="00B051B5">
            <w:rPr>
              <w:rFonts w:asciiTheme="majorBidi" w:eastAsiaTheme="minorHAnsi" w:hAnsiTheme="majorBidi" w:cstheme="majorBidi"/>
            </w:rPr>
            <w:t>Chen,</w:t>
          </w:r>
          <w:r w:rsidRPr="00B051B5">
            <w:rPr>
              <w:rFonts w:asciiTheme="majorBidi" w:eastAsiaTheme="minorHAnsi" w:hAnsiTheme="majorBidi" w:cstheme="majorBidi"/>
              <w:i/>
            </w:rPr>
            <w:t xml:space="preserve"> </w:t>
          </w:r>
          <w:r w:rsidRPr="00B051B5">
            <w:rPr>
              <w:rFonts w:asciiTheme="majorBidi" w:eastAsiaTheme="minorHAnsi" w:hAnsiTheme="majorBidi" w:cstheme="majorBidi"/>
            </w:rPr>
            <w:t>Q.;</w:t>
          </w:r>
          <w:r w:rsidRPr="00B051B5">
            <w:rPr>
              <w:rFonts w:asciiTheme="majorBidi" w:eastAsiaTheme="minorHAnsi" w:hAnsiTheme="majorBidi" w:cstheme="majorBidi"/>
              <w:i/>
            </w:rPr>
            <w:t xml:space="preserve"> </w:t>
          </w:r>
          <w:r w:rsidRPr="00B051B5">
            <w:rPr>
              <w:rFonts w:asciiTheme="majorBidi" w:eastAsiaTheme="minorHAnsi" w:hAnsiTheme="majorBidi" w:cstheme="majorBidi"/>
            </w:rPr>
            <w:t>van</w:t>
          </w:r>
          <w:r w:rsidRPr="00B051B5">
            <w:rPr>
              <w:rFonts w:asciiTheme="majorBidi" w:eastAsiaTheme="minorHAnsi" w:hAnsiTheme="majorBidi" w:cstheme="majorBidi"/>
              <w:i/>
            </w:rPr>
            <w:t xml:space="preserve"> </w:t>
          </w:r>
          <w:r w:rsidRPr="00B051B5">
            <w:rPr>
              <w:rFonts w:asciiTheme="majorBidi" w:eastAsiaTheme="minorHAnsi" w:hAnsiTheme="majorBidi" w:cstheme="majorBidi"/>
            </w:rPr>
            <w:t>den</w:t>
          </w:r>
          <w:r w:rsidRPr="00B051B5">
            <w:rPr>
              <w:rFonts w:asciiTheme="majorBidi" w:eastAsiaTheme="minorHAnsi" w:hAnsiTheme="majorBidi" w:cstheme="majorBidi"/>
              <w:i/>
            </w:rPr>
            <w:t xml:space="preserve"> </w:t>
          </w:r>
          <w:r w:rsidRPr="00B051B5">
            <w:rPr>
              <w:rFonts w:asciiTheme="majorBidi" w:eastAsiaTheme="minorHAnsi" w:hAnsiTheme="majorBidi" w:cstheme="majorBidi"/>
            </w:rPr>
            <w:t>Bosch,</w:t>
          </w:r>
          <w:r w:rsidRPr="00B051B5">
            <w:rPr>
              <w:rFonts w:asciiTheme="majorBidi" w:eastAsiaTheme="minorHAnsi" w:hAnsiTheme="majorBidi" w:cstheme="majorBidi"/>
              <w:i/>
            </w:rPr>
            <w:t xml:space="preserve"> </w:t>
          </w:r>
          <w:r w:rsidRPr="00B051B5">
            <w:rPr>
              <w:rFonts w:asciiTheme="majorBidi" w:eastAsiaTheme="minorHAnsi" w:hAnsiTheme="majorBidi" w:cstheme="majorBidi"/>
            </w:rPr>
            <w:t>P.J.W.M.</w:t>
          </w:r>
          <w:r w:rsidRPr="00B051B5">
            <w:rPr>
              <w:rFonts w:asciiTheme="majorBidi" w:eastAsiaTheme="minorHAnsi" w:hAnsiTheme="majorBidi" w:cstheme="majorBidi"/>
              <w:i/>
            </w:rPr>
            <w:t xml:space="preserve"> </w:t>
          </w:r>
          <w:r w:rsidRPr="00B051B5">
            <w:rPr>
              <w:rFonts w:asciiTheme="majorBidi" w:eastAsiaTheme="minorHAnsi" w:hAnsiTheme="majorBidi" w:cstheme="majorBidi"/>
            </w:rPr>
            <w:t>Integration</w:t>
          </w:r>
          <w:r w:rsidRPr="00B051B5">
            <w:rPr>
              <w:rFonts w:asciiTheme="majorBidi" w:eastAsiaTheme="minorHAnsi" w:hAnsiTheme="majorBidi" w:cstheme="majorBidi"/>
              <w:i/>
            </w:rPr>
            <w:t xml:space="preserve"> </w:t>
          </w:r>
          <w:r w:rsidRPr="00B051B5">
            <w:rPr>
              <w:rFonts w:asciiTheme="majorBidi" w:eastAsiaTheme="minorHAnsi" w:hAnsiTheme="majorBidi" w:cstheme="majorBidi"/>
            </w:rPr>
            <w:t>of</w:t>
          </w:r>
          <w:r w:rsidRPr="00B051B5">
            <w:rPr>
              <w:rFonts w:asciiTheme="majorBidi" w:eastAsiaTheme="minorHAnsi" w:hAnsiTheme="majorBidi" w:cstheme="majorBidi"/>
              <w:i/>
            </w:rPr>
            <w:t xml:space="preserve"> </w:t>
          </w:r>
          <w:r w:rsidRPr="00B051B5">
            <w:rPr>
              <w:rFonts w:asciiTheme="majorBidi" w:eastAsiaTheme="minorHAnsi" w:hAnsiTheme="majorBidi" w:cstheme="majorBidi"/>
            </w:rPr>
            <w:t>Gasification</w:t>
          </w:r>
          <w:r w:rsidRPr="00B051B5">
            <w:rPr>
              <w:rFonts w:asciiTheme="majorBidi" w:eastAsiaTheme="minorHAnsi" w:hAnsiTheme="majorBidi" w:cstheme="majorBidi"/>
              <w:i/>
            </w:rPr>
            <w:t xml:space="preserve"> </w:t>
          </w:r>
          <w:r w:rsidRPr="00B051B5">
            <w:rPr>
              <w:rFonts w:asciiTheme="majorBidi" w:eastAsiaTheme="minorHAnsi" w:hAnsiTheme="majorBidi" w:cstheme="majorBidi"/>
            </w:rPr>
            <w:t>with</w:t>
          </w:r>
          <w:r w:rsidRPr="00B051B5">
            <w:rPr>
              <w:rFonts w:asciiTheme="majorBidi" w:eastAsiaTheme="minorHAnsi" w:hAnsiTheme="majorBidi" w:cstheme="majorBidi"/>
              <w:i/>
            </w:rPr>
            <w:t xml:space="preserve"> </w:t>
          </w:r>
          <w:r w:rsidRPr="00B051B5">
            <w:rPr>
              <w:rFonts w:asciiTheme="majorBidi" w:eastAsiaTheme="minorHAnsi" w:hAnsiTheme="majorBidi" w:cstheme="majorBidi"/>
            </w:rPr>
            <w:t>Thermal</w:t>
          </w:r>
          <w:r w:rsidRPr="00B051B5">
            <w:rPr>
              <w:rFonts w:asciiTheme="majorBidi" w:eastAsiaTheme="minorHAnsi" w:hAnsiTheme="majorBidi" w:cstheme="majorBidi"/>
              <w:i/>
            </w:rPr>
            <w:t xml:space="preserve"> </w:t>
          </w:r>
          <w:r w:rsidRPr="00B051B5">
            <w:rPr>
              <w:rFonts w:asciiTheme="majorBidi" w:eastAsiaTheme="minorHAnsi" w:hAnsiTheme="majorBidi" w:cstheme="majorBidi"/>
            </w:rPr>
            <w:t>Residue</w:t>
          </w:r>
          <w:r w:rsidRPr="00B051B5">
            <w:rPr>
              <w:rFonts w:asciiTheme="majorBidi" w:eastAsiaTheme="minorHAnsi" w:hAnsiTheme="majorBidi" w:cstheme="majorBidi"/>
              <w:i/>
            </w:rPr>
            <w:t xml:space="preserve"> </w:t>
          </w:r>
          <w:r w:rsidRPr="00B051B5">
            <w:rPr>
              <w:rFonts w:asciiTheme="majorBidi" w:eastAsiaTheme="minorHAnsi" w:hAnsiTheme="majorBidi" w:cstheme="majorBidi"/>
            </w:rPr>
            <w:t>Conversion</w:t>
          </w:r>
          <w:r w:rsidRPr="00B051B5">
            <w:rPr>
              <w:rFonts w:asciiTheme="majorBidi" w:eastAsiaTheme="minorHAnsi" w:hAnsiTheme="majorBidi" w:cstheme="majorBidi"/>
              <w:i/>
            </w:rPr>
            <w:t xml:space="preserve"> </w:t>
          </w:r>
          <w:r w:rsidRPr="00B051B5">
            <w:rPr>
              <w:rFonts w:asciiTheme="majorBidi" w:eastAsiaTheme="minorHAnsi" w:hAnsiTheme="majorBidi" w:cstheme="majorBidi"/>
            </w:rPr>
            <w:t>in</w:t>
          </w:r>
          <w:r w:rsidRPr="00B051B5">
            <w:rPr>
              <w:rFonts w:asciiTheme="majorBidi" w:eastAsiaTheme="minorHAnsi" w:hAnsiTheme="majorBidi" w:cstheme="majorBidi"/>
              <w:i/>
            </w:rPr>
            <w:t xml:space="preserve"> </w:t>
          </w:r>
          <w:r w:rsidRPr="00B051B5">
            <w:rPr>
              <w:rFonts w:asciiTheme="majorBidi" w:eastAsiaTheme="minorHAnsi" w:hAnsiTheme="majorBidi" w:cstheme="majorBidi"/>
            </w:rPr>
            <w:t>Refineries.</w:t>
          </w:r>
          <w:r w:rsidRPr="00B051B5">
            <w:rPr>
              <w:rFonts w:asciiTheme="majorBidi" w:eastAsiaTheme="minorHAnsi" w:hAnsiTheme="majorBidi" w:cstheme="majorBidi"/>
              <w:i/>
            </w:rPr>
            <w:t xml:space="preserve"> </w:t>
          </w:r>
          <w:proofErr w:type="spellStart"/>
          <w:r w:rsidRPr="00B051B5">
            <w:rPr>
              <w:rFonts w:asciiTheme="majorBidi" w:eastAsiaTheme="minorHAnsi" w:hAnsiTheme="majorBidi" w:cstheme="majorBidi"/>
              <w:i/>
              <w:iCs/>
            </w:rPr>
            <w:t>Gasif</w:t>
          </w:r>
          <w:proofErr w:type="spellEnd"/>
          <w:r w:rsidRPr="00B051B5">
            <w:rPr>
              <w:rFonts w:asciiTheme="majorBidi" w:eastAsiaTheme="minorHAnsi" w:hAnsiTheme="majorBidi" w:cstheme="majorBidi"/>
              <w:i/>
              <w:iCs/>
            </w:rPr>
            <w:t>. Technol. Conf.</w:t>
          </w:r>
          <w:r w:rsidRPr="00B051B5">
            <w:rPr>
              <w:rFonts w:asciiTheme="majorBidi" w:eastAsiaTheme="minorHAnsi" w:hAnsiTheme="majorBidi" w:cstheme="majorBidi"/>
              <w:i/>
            </w:rPr>
            <w:t xml:space="preserve"> </w:t>
          </w:r>
          <w:bookmarkStart w:id="1" w:name="_GoBack"/>
          <w:r w:rsidRPr="00E77111">
            <w:rPr>
              <w:rFonts w:asciiTheme="majorBidi" w:eastAsiaTheme="minorHAnsi" w:hAnsiTheme="majorBidi" w:cstheme="majorBidi"/>
            </w:rPr>
            <w:t>2000,</w:t>
          </w:r>
          <w:bookmarkEnd w:id="1"/>
          <w:r w:rsidRPr="00B051B5">
            <w:rPr>
              <w:rFonts w:asciiTheme="majorBidi" w:eastAsiaTheme="minorHAnsi" w:hAnsiTheme="majorBidi" w:cstheme="majorBidi"/>
              <w:i/>
            </w:rPr>
            <w:t xml:space="preserve"> </w:t>
          </w:r>
          <w:r w:rsidRPr="00B051B5">
            <w:rPr>
              <w:rFonts w:asciiTheme="majorBidi" w:eastAsiaTheme="minorHAnsi" w:hAnsiTheme="majorBidi" w:cstheme="majorBidi"/>
            </w:rPr>
            <w:t>1–15</w:t>
          </w:r>
        </w:p>
      </w:sdtContent>
    </w:sdt>
    <w:sectPr w:rsidR="00E25FE9" w:rsidRPr="00E25FE9" w:rsidSect="008B0184">
      <w:headerReference w:type="even" r:id="rId16"/>
      <w:headerReference w:type="default" r:id="rId17"/>
      <w:headerReference w:type="first" r:id="rId18"/>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6C5231" w14:textId="77777777" w:rsidR="00A6529A" w:rsidRDefault="00A6529A">
      <w:r>
        <w:separator/>
      </w:r>
    </w:p>
  </w:endnote>
  <w:endnote w:type="continuationSeparator" w:id="0">
    <w:p w14:paraId="2DC5D466" w14:textId="77777777" w:rsidR="00A6529A" w:rsidRDefault="00A65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8F83A4" w14:textId="77777777" w:rsidR="00A6529A" w:rsidRDefault="00A6529A">
      <w:r>
        <w:separator/>
      </w:r>
    </w:p>
  </w:footnote>
  <w:footnote w:type="continuationSeparator" w:id="0">
    <w:p w14:paraId="0EDDF355" w14:textId="77777777" w:rsidR="00A6529A" w:rsidRDefault="00A652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9" w14:textId="07C2BACC" w:rsidR="00DD3D9E" w:rsidRPr="0090185D" w:rsidRDefault="00DD3D9E">
    <w:pPr>
      <w:pStyle w:val="Header"/>
      <w:tabs>
        <w:tab w:val="clear" w:pos="7200"/>
        <w:tab w:val="right" w:pos="7088"/>
      </w:tabs>
      <w:rPr>
        <w:lang w:val="en-US"/>
      </w:rPr>
    </w:pPr>
    <w:r>
      <w:rPr>
        <w:rStyle w:val="PageNumber"/>
      </w:rPr>
      <w:tab/>
    </w:r>
    <w:r>
      <w:rPr>
        <w:rStyle w:val="PageNumber"/>
        <w:i/>
      </w:rPr>
      <w:tab/>
    </w:r>
    <w:r w:rsidR="0090185D">
      <w:rPr>
        <w:i/>
      </w:rPr>
      <w:t>Khurmy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A" w14:textId="7C2D1FAD" w:rsidR="00DD3D9E" w:rsidRDefault="0047340C" w:rsidP="007D47D3">
    <w:pPr>
      <w:pStyle w:val="Header"/>
      <w:tabs>
        <w:tab w:val="clear" w:pos="7200"/>
        <w:tab w:val="right" w:pos="7088"/>
      </w:tabs>
      <w:rPr>
        <w:sz w:val="24"/>
      </w:rPr>
    </w:pPr>
    <w:r w:rsidRPr="0047340C">
      <w:rPr>
        <w:i/>
      </w:rPr>
      <w:t>Assessment of Technical and Economic Viability in the Transformation of Refinery Vacuum Residue Waste into Cleaner Fuels</w:t>
    </w:r>
    <w:r w:rsidR="00DD3D9E">
      <w:rPr>
        <w:rStyle w:val="PageNumber"/>
        <w:i/>
        <w:sz w:val="24"/>
      </w:rPr>
      <w:tab/>
    </w:r>
    <w:r w:rsidR="00DD3D9E">
      <w:rPr>
        <w:rStyle w:val="PageNumber"/>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 xml:space="preserve">Flavio Manenti, Gintaras V. </w:t>
    </w:r>
    <w:proofErr w:type="spellStart"/>
    <w:r w:rsidRPr="0068162C">
      <w:rPr>
        <w:color w:val="auto"/>
        <w:sz w:val="18"/>
        <w:szCs w:val="18"/>
      </w:rPr>
      <w:t>Reklaitis</w:t>
    </w:r>
    <w:proofErr w:type="spellEnd"/>
    <w:r w:rsidRPr="0068162C">
      <w:rPr>
        <w:color w:val="auto"/>
        <w:sz w:val="18"/>
        <w:szCs w:val="18"/>
      </w:rPr>
      <w:t xml:space="preserve">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78B68D0"/>
    <w:multiLevelType w:val="hybridMultilevel"/>
    <w:tmpl w:val="054A593C"/>
    <w:lvl w:ilvl="0" w:tplc="5216A9FE">
      <w:start w:val="1"/>
      <w:numFmt w:val="decimal"/>
      <w:lvlRestart w:val="0"/>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B468F5"/>
    <w:multiLevelType w:val="hybridMultilevel"/>
    <w:tmpl w:val="10422080"/>
    <w:lvl w:ilvl="0" w:tplc="42FE7576">
      <w:start w:val="1"/>
      <w:numFmt w:val="decimal"/>
      <w:lvlRestart w:val="0"/>
      <w:pStyle w:val="MDPI71References"/>
      <w:lvlText w:val="%1."/>
      <w:lvlJc w:val="left"/>
      <w:pPr>
        <w:ind w:left="425" w:hanging="425"/>
      </w:pPr>
      <w:rPr>
        <w:b w:val="0"/>
        <w:i w:val="0"/>
        <w:sz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4"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5"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6"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7"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8"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C4800B9"/>
    <w:multiLevelType w:val="hybridMultilevel"/>
    <w:tmpl w:val="E3361820"/>
    <w:lvl w:ilvl="0" w:tplc="3AAAE02E">
      <w:start w:val="1"/>
      <w:numFmt w:val="decimal"/>
      <w:lvlText w:val="%1."/>
      <w:lvlJc w:val="left"/>
      <w:pPr>
        <w:ind w:left="720" w:hanging="360"/>
      </w:pPr>
      <w:rPr>
        <w:rFonts w:hint="eastAsia"/>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4"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5"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6"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7"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4"/>
  </w:num>
  <w:num w:numId="2">
    <w:abstractNumId w:val="14"/>
  </w:num>
  <w:num w:numId="3">
    <w:abstractNumId w:val="14"/>
  </w:num>
  <w:num w:numId="4">
    <w:abstractNumId w:val="14"/>
  </w:num>
  <w:num w:numId="5">
    <w:abstractNumId w:val="0"/>
  </w:num>
  <w:num w:numId="6">
    <w:abstractNumId w:val="8"/>
  </w:num>
  <w:num w:numId="7">
    <w:abstractNumId w:val="15"/>
  </w:num>
  <w:num w:numId="8">
    <w:abstractNumId w:val="3"/>
  </w:num>
  <w:num w:numId="9">
    <w:abstractNumId w:val="13"/>
  </w:num>
  <w:num w:numId="10">
    <w:abstractNumId w:val="17"/>
  </w:num>
  <w:num w:numId="11">
    <w:abstractNumId w:val="16"/>
  </w:num>
  <w:num w:numId="12">
    <w:abstractNumId w:val="7"/>
  </w:num>
  <w:num w:numId="13">
    <w:abstractNumId w:val="11"/>
  </w:num>
  <w:num w:numId="14">
    <w:abstractNumId w:val="4"/>
  </w:num>
  <w:num w:numId="15">
    <w:abstractNumId w:val="9"/>
  </w:num>
  <w:num w:numId="16">
    <w:abstractNumId w:val="5"/>
  </w:num>
  <w:num w:numId="17">
    <w:abstractNumId w:val="6"/>
  </w:num>
  <w:num w:numId="18">
    <w:abstractNumId w:val="12"/>
  </w:num>
  <w:num w:numId="19">
    <w:abstractNumId w:val="6"/>
    <w:lvlOverride w:ilvl="0">
      <w:startOverride w:val="1"/>
    </w:lvlOverride>
    <w:lvlOverride w:ilvl="1">
      <w:startOverride w:val="3"/>
    </w:lvlOverride>
  </w:num>
  <w:num w:numId="20">
    <w:abstractNumId w:val="6"/>
  </w:num>
  <w:num w:numId="21">
    <w:abstractNumId w:val="6"/>
  </w:num>
  <w:num w:numId="22">
    <w:abstractNumId w:val="6"/>
  </w:num>
  <w:num w:numId="23">
    <w:abstractNumId w:val="6"/>
  </w:num>
  <w:num w:numId="24">
    <w:abstractNumId w:val="6"/>
  </w:num>
  <w:num w:numId="25">
    <w:abstractNumId w:val="2"/>
  </w:num>
  <w:num w:numId="26">
    <w:abstractNumId w:val="10"/>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35E5E"/>
    <w:rsid w:val="00037160"/>
    <w:rsid w:val="000619E6"/>
    <w:rsid w:val="00077AC5"/>
    <w:rsid w:val="000A23B5"/>
    <w:rsid w:val="000D3D9B"/>
    <w:rsid w:val="000F0BBA"/>
    <w:rsid w:val="000F4327"/>
    <w:rsid w:val="001059C8"/>
    <w:rsid w:val="00150045"/>
    <w:rsid w:val="001572F2"/>
    <w:rsid w:val="0016032F"/>
    <w:rsid w:val="0017018D"/>
    <w:rsid w:val="00177717"/>
    <w:rsid w:val="0018458B"/>
    <w:rsid w:val="00186D40"/>
    <w:rsid w:val="001879F6"/>
    <w:rsid w:val="001B471A"/>
    <w:rsid w:val="001C0148"/>
    <w:rsid w:val="001C42A5"/>
    <w:rsid w:val="001C757E"/>
    <w:rsid w:val="00201586"/>
    <w:rsid w:val="0020390F"/>
    <w:rsid w:val="00250D89"/>
    <w:rsid w:val="00257F8B"/>
    <w:rsid w:val="00264926"/>
    <w:rsid w:val="002B191F"/>
    <w:rsid w:val="002B462D"/>
    <w:rsid w:val="002C773C"/>
    <w:rsid w:val="002C77C5"/>
    <w:rsid w:val="00332E02"/>
    <w:rsid w:val="00370414"/>
    <w:rsid w:val="00372289"/>
    <w:rsid w:val="00372B37"/>
    <w:rsid w:val="003B7DEB"/>
    <w:rsid w:val="003C47E6"/>
    <w:rsid w:val="003D1582"/>
    <w:rsid w:val="003D7E4C"/>
    <w:rsid w:val="003E41C2"/>
    <w:rsid w:val="003E687B"/>
    <w:rsid w:val="004068D9"/>
    <w:rsid w:val="00406F03"/>
    <w:rsid w:val="00412D82"/>
    <w:rsid w:val="0047340C"/>
    <w:rsid w:val="0049772C"/>
    <w:rsid w:val="004A21FE"/>
    <w:rsid w:val="004C7A44"/>
    <w:rsid w:val="00507EC3"/>
    <w:rsid w:val="00526E18"/>
    <w:rsid w:val="00536D18"/>
    <w:rsid w:val="00543882"/>
    <w:rsid w:val="00550CD8"/>
    <w:rsid w:val="00552EEB"/>
    <w:rsid w:val="00556F84"/>
    <w:rsid w:val="00563F7D"/>
    <w:rsid w:val="005A70F1"/>
    <w:rsid w:val="005B123F"/>
    <w:rsid w:val="005E1231"/>
    <w:rsid w:val="00613E7B"/>
    <w:rsid w:val="0062125A"/>
    <w:rsid w:val="0063228B"/>
    <w:rsid w:val="00644034"/>
    <w:rsid w:val="00682752"/>
    <w:rsid w:val="00683EF4"/>
    <w:rsid w:val="006A69BF"/>
    <w:rsid w:val="006B0624"/>
    <w:rsid w:val="006C527C"/>
    <w:rsid w:val="006C73E7"/>
    <w:rsid w:val="006F6C0E"/>
    <w:rsid w:val="00701D23"/>
    <w:rsid w:val="007116B7"/>
    <w:rsid w:val="00711DF4"/>
    <w:rsid w:val="007149E7"/>
    <w:rsid w:val="00752A82"/>
    <w:rsid w:val="007568F9"/>
    <w:rsid w:val="007600A4"/>
    <w:rsid w:val="00784689"/>
    <w:rsid w:val="007B553F"/>
    <w:rsid w:val="007B7482"/>
    <w:rsid w:val="007D47D3"/>
    <w:rsid w:val="007D70A1"/>
    <w:rsid w:val="008132E8"/>
    <w:rsid w:val="00813FBE"/>
    <w:rsid w:val="00823407"/>
    <w:rsid w:val="00831C8D"/>
    <w:rsid w:val="00860472"/>
    <w:rsid w:val="00881420"/>
    <w:rsid w:val="00885EAB"/>
    <w:rsid w:val="008B0184"/>
    <w:rsid w:val="008B4635"/>
    <w:rsid w:val="008C5D02"/>
    <w:rsid w:val="008D2649"/>
    <w:rsid w:val="008E5EB9"/>
    <w:rsid w:val="008F3D44"/>
    <w:rsid w:val="008F6CA5"/>
    <w:rsid w:val="008F6F4D"/>
    <w:rsid w:val="0090185D"/>
    <w:rsid w:val="0090535F"/>
    <w:rsid w:val="0090568D"/>
    <w:rsid w:val="00907D6B"/>
    <w:rsid w:val="009125C9"/>
    <w:rsid w:val="00913879"/>
    <w:rsid w:val="00917661"/>
    <w:rsid w:val="00932572"/>
    <w:rsid w:val="00937BA9"/>
    <w:rsid w:val="00970E5D"/>
    <w:rsid w:val="0097701C"/>
    <w:rsid w:val="00980A65"/>
    <w:rsid w:val="00992B7C"/>
    <w:rsid w:val="009A5117"/>
    <w:rsid w:val="009A701B"/>
    <w:rsid w:val="009C3E52"/>
    <w:rsid w:val="009D1017"/>
    <w:rsid w:val="009D1CC2"/>
    <w:rsid w:val="009E12CE"/>
    <w:rsid w:val="00A2361D"/>
    <w:rsid w:val="00A25E70"/>
    <w:rsid w:val="00A31C7A"/>
    <w:rsid w:val="00A33765"/>
    <w:rsid w:val="00A63269"/>
    <w:rsid w:val="00A6529A"/>
    <w:rsid w:val="00A75C40"/>
    <w:rsid w:val="00A9229F"/>
    <w:rsid w:val="00A92377"/>
    <w:rsid w:val="00A9471E"/>
    <w:rsid w:val="00AB27C8"/>
    <w:rsid w:val="00AB29ED"/>
    <w:rsid w:val="00AE4BD8"/>
    <w:rsid w:val="00B051B5"/>
    <w:rsid w:val="00B37A0D"/>
    <w:rsid w:val="00B4388F"/>
    <w:rsid w:val="00B57DF3"/>
    <w:rsid w:val="00B62FF4"/>
    <w:rsid w:val="00B63237"/>
    <w:rsid w:val="00BA2C6E"/>
    <w:rsid w:val="00BB042C"/>
    <w:rsid w:val="00BC0CF7"/>
    <w:rsid w:val="00BC7BBB"/>
    <w:rsid w:val="00BF0052"/>
    <w:rsid w:val="00C142E4"/>
    <w:rsid w:val="00C26C90"/>
    <w:rsid w:val="00C323DC"/>
    <w:rsid w:val="00C348C1"/>
    <w:rsid w:val="00C83005"/>
    <w:rsid w:val="00C960DC"/>
    <w:rsid w:val="00CA6E7A"/>
    <w:rsid w:val="00CB256D"/>
    <w:rsid w:val="00CB3B64"/>
    <w:rsid w:val="00CE0975"/>
    <w:rsid w:val="00CE1751"/>
    <w:rsid w:val="00D02C75"/>
    <w:rsid w:val="00D10E22"/>
    <w:rsid w:val="00D13D2C"/>
    <w:rsid w:val="00D2698C"/>
    <w:rsid w:val="00D3157B"/>
    <w:rsid w:val="00D806C4"/>
    <w:rsid w:val="00D975A5"/>
    <w:rsid w:val="00DA76BC"/>
    <w:rsid w:val="00DC181C"/>
    <w:rsid w:val="00DC2F94"/>
    <w:rsid w:val="00DD0FEF"/>
    <w:rsid w:val="00DD1FE2"/>
    <w:rsid w:val="00DD3D9E"/>
    <w:rsid w:val="00DD7908"/>
    <w:rsid w:val="00DE47C8"/>
    <w:rsid w:val="00DF0F14"/>
    <w:rsid w:val="00E14970"/>
    <w:rsid w:val="00E2400C"/>
    <w:rsid w:val="00E25FE9"/>
    <w:rsid w:val="00E45915"/>
    <w:rsid w:val="00E77111"/>
    <w:rsid w:val="00E82297"/>
    <w:rsid w:val="00E90518"/>
    <w:rsid w:val="00EF39FD"/>
    <w:rsid w:val="00F03608"/>
    <w:rsid w:val="00F06842"/>
    <w:rsid w:val="00F107FD"/>
    <w:rsid w:val="00F503F5"/>
    <w:rsid w:val="00F5327A"/>
    <w:rsid w:val="00F617CA"/>
    <w:rsid w:val="00F80937"/>
    <w:rsid w:val="00F81454"/>
    <w:rsid w:val="00F8527A"/>
    <w:rsid w:val="00FB64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B0184"/>
    <w:rPr>
      <w:lang w:eastAsia="en-US"/>
    </w:rPr>
  </w:style>
  <w:style w:type="paragraph" w:styleId="Heading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Reference">
    <w:name w:val="endnote reference"/>
    <w:basedOn w:val="DefaultParagraphFont"/>
    <w:semiHidden/>
    <w:rsid w:val="008B0184"/>
    <w:rPr>
      <w:vertAlign w:val="superscript"/>
    </w:rPr>
  </w:style>
  <w:style w:type="paragraph" w:styleId="Header">
    <w:name w:val="header"/>
    <w:rsid w:val="008B0184"/>
    <w:pPr>
      <w:tabs>
        <w:tab w:val="center" w:pos="3600"/>
        <w:tab w:val="right" w:pos="7200"/>
      </w:tabs>
      <w:spacing w:line="200" w:lineRule="atLeast"/>
    </w:pPr>
    <w:rPr>
      <w:noProof/>
      <w:lang w:eastAsia="en-US"/>
    </w:rPr>
  </w:style>
  <w:style w:type="paragraph" w:styleId="Footer">
    <w:name w:val="footer"/>
    <w:basedOn w:val="Header"/>
    <w:rsid w:val="008B0184"/>
  </w:style>
  <w:style w:type="character" w:styleId="FootnoteReference">
    <w:name w:val="footnote reference"/>
    <w:semiHidden/>
    <w:rsid w:val="008B0184"/>
    <w:rPr>
      <w:vertAlign w:val="superscript"/>
    </w:rPr>
  </w:style>
  <w:style w:type="paragraph" w:styleId="FootnoteText">
    <w:name w:val="footnote text"/>
    <w:basedOn w:val="Normal"/>
    <w:semiHidden/>
    <w:rsid w:val="008B0184"/>
    <w:rPr>
      <w:rFonts w:ascii="Univers" w:hAnsi="Univers"/>
    </w:rPr>
  </w:style>
  <w:style w:type="character" w:styleId="Hyperlink">
    <w:name w:val="Hyperlink"/>
    <w:basedOn w:val="DefaultParagraphFont"/>
    <w:uiPriority w:val="99"/>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semiHidden/>
    <w:rsid w:val="008B0184"/>
    <w:rPr>
      <w:sz w:val="16"/>
      <w:szCs w:val="16"/>
    </w:rPr>
  </w:style>
  <w:style w:type="paragraph" w:styleId="CommentText">
    <w:name w:val="annotation text"/>
    <w:basedOn w:val="Normal"/>
    <w:semiHidden/>
    <w:rsid w:val="008B0184"/>
  </w:style>
  <w:style w:type="paragraph" w:styleId="CommentSubject">
    <w:name w:val="annotation subject"/>
    <w:basedOn w:val="CommentText"/>
    <w:next w:val="CommentText"/>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DefaultParagraphFont"/>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paragraph" w:customStyle="1" w:styleId="MDPI42tablebody">
    <w:name w:val="MDPI_4.2_table_body"/>
    <w:qFormat/>
    <w:rsid w:val="00A75C40"/>
    <w:pPr>
      <w:adjustRightInd w:val="0"/>
      <w:snapToGrid w:val="0"/>
      <w:spacing w:line="260" w:lineRule="atLeast"/>
      <w:jc w:val="center"/>
    </w:pPr>
    <w:rPr>
      <w:rFonts w:ascii="Palatino Linotype" w:hAnsi="Palatino Linotype"/>
      <w:snapToGrid w:val="0"/>
      <w:color w:val="000000"/>
      <w:lang w:val="en-US" w:eastAsia="de-DE" w:bidi="en-US"/>
    </w:rPr>
  </w:style>
  <w:style w:type="paragraph" w:customStyle="1" w:styleId="MDPI71References">
    <w:name w:val="MDPI_7.1_References"/>
    <w:qFormat/>
    <w:rsid w:val="00992B7C"/>
    <w:pPr>
      <w:numPr>
        <w:numId w:val="25"/>
      </w:numPr>
      <w:adjustRightInd w:val="0"/>
      <w:snapToGrid w:val="0"/>
      <w:spacing w:line="228" w:lineRule="auto"/>
      <w:jc w:val="both"/>
    </w:pPr>
    <w:rPr>
      <w:rFonts w:ascii="Palatino Linotype" w:hAnsi="Palatino Linotype"/>
      <w:color w:val="000000"/>
      <w:kern w:val="2"/>
      <w:sz w:val="18"/>
      <w:lang w:val="en-US" w:eastAsia="de-DE" w:bidi="en-US"/>
      <w14:ligatures w14:val="standardContextual"/>
    </w:rPr>
  </w:style>
  <w:style w:type="character" w:styleId="UnresolvedMention">
    <w:name w:val="Unresolved Mention"/>
    <w:basedOn w:val="DefaultParagraphFont"/>
    <w:uiPriority w:val="99"/>
    <w:semiHidden/>
    <w:unhideWhenUsed/>
    <w:rsid w:val="00372B37"/>
    <w:rPr>
      <w:color w:val="605E5C"/>
      <w:shd w:val="clear" w:color="auto" w:fill="E1DFDD"/>
    </w:rPr>
  </w:style>
  <w:style w:type="paragraph" w:styleId="ListParagraph">
    <w:name w:val="List Paragraph"/>
    <w:basedOn w:val="Normal"/>
    <w:uiPriority w:val="34"/>
    <w:qFormat/>
    <w:rsid w:val="00B051B5"/>
    <w:pPr>
      <w:spacing w:line="260" w:lineRule="atLeast"/>
      <w:ind w:left="720"/>
      <w:contextualSpacing/>
      <w:jc w:val="both"/>
    </w:pPr>
    <w:rPr>
      <w:rFonts w:ascii="Palatino Linotype" w:eastAsia="SimSun" w:hAnsi="Palatino Linotype"/>
      <w:noProof/>
      <w:color w:val="000000"/>
      <w:lang w:val="en-US" w:eastAsia="zh-CN"/>
    </w:rPr>
  </w:style>
  <w:style w:type="paragraph" w:customStyle="1" w:styleId="MDPI51figurecaption">
    <w:name w:val="MDPI_5.1_figure_caption"/>
    <w:qFormat/>
    <w:rsid w:val="009D1017"/>
    <w:pPr>
      <w:adjustRightInd w:val="0"/>
      <w:snapToGrid w:val="0"/>
      <w:spacing w:before="120" w:after="240" w:line="228" w:lineRule="auto"/>
      <w:ind w:left="2608"/>
    </w:pPr>
    <w:rPr>
      <w:rFonts w:ascii="Palatino Linotype" w:hAnsi="Palatino Linotype"/>
      <w:color w:val="000000"/>
      <w:kern w:val="2"/>
      <w:sz w:val="18"/>
      <w:lang w:val="en-US" w:eastAsia="de-DE" w:bidi="en-US"/>
      <w14:ligatures w14:val="standardContextual"/>
    </w:rPr>
  </w:style>
  <w:style w:type="paragraph" w:customStyle="1" w:styleId="MDPI52figure">
    <w:name w:val="MDPI_5.2_figure"/>
    <w:qFormat/>
    <w:rsid w:val="009D1017"/>
    <w:pPr>
      <w:adjustRightInd w:val="0"/>
      <w:snapToGrid w:val="0"/>
      <w:spacing w:before="240" w:after="120"/>
      <w:jc w:val="center"/>
    </w:pPr>
    <w:rPr>
      <w:rFonts w:ascii="Palatino Linotype" w:hAnsi="Palatino Linotype"/>
      <w:snapToGrid w:val="0"/>
      <w:color w:val="000000"/>
      <w:kern w:val="2"/>
      <w:lang w:val="en-US" w:eastAsia="de-DE" w:bidi="en-US"/>
      <w14:ligatures w14:val="standardContextual"/>
    </w:rPr>
  </w:style>
  <w:style w:type="table" w:styleId="TableGrid">
    <w:name w:val="Table Grid"/>
    <w:basedOn w:val="TableNormal"/>
    <w:rsid w:val="00BA2C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5100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taha.aziz@kfupm.edu.sa" TargetMode="Externa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4AB336D35DF4200AF7FFE97312ED850"/>
        <w:category>
          <w:name w:val="General"/>
          <w:gallery w:val="placeholder"/>
        </w:category>
        <w:types>
          <w:type w:val="bbPlcHdr"/>
        </w:types>
        <w:behaviors>
          <w:behavior w:val="content"/>
        </w:behaviors>
        <w:guid w:val="{863BEEBB-22BF-43F9-9908-A3A08F450958}"/>
      </w:docPartPr>
      <w:docPartBody>
        <w:p w:rsidR="00000000" w:rsidRDefault="00B46D55" w:rsidP="00B46D55">
          <w:pPr>
            <w:pStyle w:val="94AB336D35DF4200AF7FFE97312ED850"/>
          </w:pPr>
          <w:r w:rsidRPr="007F71A0">
            <w:rPr>
              <w:rStyle w:val="PlaceholderText"/>
            </w:rPr>
            <w:t>Click or tap here to enter text.</w:t>
          </w:r>
        </w:p>
      </w:docPartBody>
    </w:docPart>
    <w:docPart>
      <w:docPartPr>
        <w:name w:val="7CA2023293BD4E44B73BC184811333CB"/>
        <w:category>
          <w:name w:val="General"/>
          <w:gallery w:val="placeholder"/>
        </w:category>
        <w:types>
          <w:type w:val="bbPlcHdr"/>
        </w:types>
        <w:behaviors>
          <w:behavior w:val="content"/>
        </w:behaviors>
        <w:guid w:val="{53A376EC-72C6-4FCC-A90F-70482157711D}"/>
      </w:docPartPr>
      <w:docPartBody>
        <w:p w:rsidR="00000000" w:rsidRDefault="00B46D55" w:rsidP="00B46D55">
          <w:pPr>
            <w:pStyle w:val="7CA2023293BD4E44B73BC184811333CB"/>
          </w:pPr>
          <w:r w:rsidRPr="007F71A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D55"/>
    <w:rsid w:val="00714717"/>
    <w:rsid w:val="00B46D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6D55"/>
    <w:rPr>
      <w:color w:val="808080"/>
    </w:rPr>
  </w:style>
  <w:style w:type="paragraph" w:customStyle="1" w:styleId="4A090E88A21540948A98D21613CA6C26">
    <w:name w:val="4A090E88A21540948A98D21613CA6C26"/>
    <w:rsid w:val="00B46D55"/>
  </w:style>
  <w:style w:type="paragraph" w:customStyle="1" w:styleId="94AB336D35DF4200AF7FFE97312ED850">
    <w:name w:val="94AB336D35DF4200AF7FFE97312ED850"/>
    <w:rsid w:val="00B46D55"/>
  </w:style>
  <w:style w:type="paragraph" w:customStyle="1" w:styleId="7CA2023293BD4E44B73BC184811333CB">
    <w:name w:val="7CA2023293BD4E44B73BC184811333CB"/>
    <w:rsid w:val="00B46D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d="http://www.w3.org/2001/XMLSchema" xmlns:xsi="http://www.w3.org/2001/XMLSchema-instance" xmlns="http://www.boldonjames.com/2008/01/sie/internal/label" sislVersion="0" policy="d30742d7-d7e4-4547-a49c-0fcd92f2b524" origin="userSelected">
  <element uid="51d95a3f-b518-4d95-bc59-f4e36b349ca8"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3AF378-7BFE-4297-8481-35CDE442C0CF}">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11C44339-0175-4CB7-9CAD-4CA3274E1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Template>
  <TotalTime>455</TotalTime>
  <Pages>6</Pages>
  <Words>2364</Words>
  <Characters>13476</Characters>
  <Application>Microsoft Office Word</Application>
  <DocSecurity>0</DocSecurity>
  <Lines>112</Lines>
  <Paragraphs>31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Chapter</vt:lpstr>
      <vt:lpstr>Chapter</vt:lpstr>
    </vt:vector>
  </TitlesOfParts>
  <Company>Elsevier Science</Company>
  <LinksUpToDate>false</LinksUpToDate>
  <CharactersWithSpaces>15809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Usama Ahmed Mehmood Ahmed</cp:lastModifiedBy>
  <cp:revision>96</cp:revision>
  <cp:lastPrinted>2023-11-28T19:42:00Z</cp:lastPrinted>
  <dcterms:created xsi:type="dcterms:W3CDTF">2023-10-02T07:50:00Z</dcterms:created>
  <dcterms:modified xsi:type="dcterms:W3CDTF">2023-11-28T19:43:00Z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y fmtid="{D5CDD505-2E9C-101B-9397-08002B2CF9AE}" pid="10" name="docIndexRef">
    <vt:lpwstr>6cbf3a6c-df51-46b9-9380-aa17261453f6</vt:lpwstr>
  </property>
  <property fmtid="{D5CDD505-2E9C-101B-9397-08002B2CF9AE}" pid="11" name="bjSaver">
    <vt:lpwstr>PVB7jD7DqZ89+tBctPlvq+3b9pq6ofii</vt:lpwstr>
  </property>
  <property fmtid="{D5CDD505-2E9C-101B-9397-08002B2CF9AE}" pid="12" name="bjDocumentLabelXML">
    <vt:lpwstr>&lt;?xml version="1.0" encoding="us-ascii"?&gt;&lt;sisl xmlns:xsd="http://www.w3.org/2001/XMLSchema" xmlns:xsi="http://www.w3.org/2001/XMLSchema-instance" sislVersion="0" policy="d30742d7-d7e4-4547-a49c-0fcd92f2b524" origin="userSelected" xmlns="http://www.boldonj</vt:lpwstr>
  </property>
  <property fmtid="{D5CDD505-2E9C-101B-9397-08002B2CF9AE}" pid="13" name="bjDocumentLabelXML-0">
    <vt:lpwstr>ames.com/2008/01/sie/internal/label"&gt;&lt;element uid="51d95a3f-b518-4d95-bc59-f4e36b349ca8" value="" /&gt;&lt;/sisl&gt;</vt:lpwstr>
  </property>
  <property fmtid="{D5CDD505-2E9C-101B-9397-08002B2CF9AE}" pid="14" name="bjDocumentSecurityLabel">
    <vt:lpwstr>Public /  متاح</vt:lpwstr>
  </property>
  <property fmtid="{D5CDD505-2E9C-101B-9397-08002B2CF9AE}" pid="15" name="bjClsUserRVM">
    <vt:lpwstr>[]</vt:lpwstr>
  </property>
</Properties>
</file>