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4F5449F" w:rsidR="00DD3D9E" w:rsidRPr="005F1379" w:rsidRDefault="00D9191E">
      <w:pPr>
        <w:pStyle w:val="Els-Title"/>
      </w:pPr>
      <w:r w:rsidRPr="005F1379">
        <w:t>Accelerating Unsteady Fluid Dynamic Simulations for Taylor-Couette Crystallizer using Snapshot POD</w:t>
      </w:r>
      <w:r w:rsidR="00524D0A" w:rsidRPr="005F1379">
        <w:t xml:space="preserve"> and </w:t>
      </w:r>
      <w:r w:rsidR="00DC1368" w:rsidRPr="005F1379">
        <w:t>Recurrent</w:t>
      </w:r>
      <w:r w:rsidR="00524D0A" w:rsidRPr="005F1379">
        <w:t xml:space="preserve"> Neural Networks</w:t>
      </w:r>
    </w:p>
    <w:p w14:paraId="3838AC4E" w14:textId="46D4C7C3" w:rsidR="00D65747" w:rsidRPr="005F1379" w:rsidRDefault="00D65747" w:rsidP="00D65747">
      <w:pPr>
        <w:pStyle w:val="Els-Author"/>
      </w:pPr>
      <w:r w:rsidRPr="005F1379">
        <w:rPr>
          <w:rFonts w:ascii="TimesNewRomanPSMT" w:hAnsi="TimesNewRomanPSMT" w:cs="TimesNewRomanPSMT"/>
          <w:szCs w:val="22"/>
          <w:lang w:val="en-US" w:eastAsia="en-GB"/>
        </w:rPr>
        <w:t>Osamu Tonomura</w:t>
      </w:r>
      <w:r w:rsidR="00D9191E" w:rsidRPr="005F1379">
        <w:rPr>
          <w:rFonts w:ascii="TimesNewRomanPSMT" w:hAnsi="TimesNewRomanPSMT" w:cs="TimesNewRomanPSMT"/>
          <w:szCs w:val="22"/>
          <w:lang w:val="en-US" w:eastAsia="en-GB"/>
        </w:rPr>
        <w:t>, Tsuyoshi Maruyama, Atsuto Nishihata, Ken-ichiro Sotowa</w:t>
      </w:r>
    </w:p>
    <w:p w14:paraId="7137056C" w14:textId="75C90486" w:rsidR="00D65747" w:rsidRPr="005F1379" w:rsidRDefault="00D65747" w:rsidP="00D65747">
      <w:pPr>
        <w:pStyle w:val="Els-Affiliation"/>
      </w:pPr>
      <w:r w:rsidRPr="005F1379">
        <w:t>Dept. of Chem. Eng., Kyoto University, Nishikyo, Kyoto 615-8510, Japan</w:t>
      </w:r>
    </w:p>
    <w:p w14:paraId="076A7C4E" w14:textId="7E609F0A" w:rsidR="00D65747" w:rsidRPr="005F1379" w:rsidRDefault="00D65747" w:rsidP="00D65747">
      <w:pPr>
        <w:pStyle w:val="Els-Affiliation"/>
        <w:spacing w:after="120"/>
      </w:pPr>
      <w:r w:rsidRPr="005F1379">
        <w:t>tonomura@cheme.kyoto-u.ac.jp (O. Tonomura)</w:t>
      </w:r>
    </w:p>
    <w:p w14:paraId="144DE684" w14:textId="77777777" w:rsidR="008D2649" w:rsidRPr="005F1379" w:rsidRDefault="008D2649" w:rsidP="008D2649">
      <w:pPr>
        <w:pStyle w:val="Els-Abstract"/>
      </w:pPr>
      <w:r w:rsidRPr="005F1379">
        <w:t>Abstract</w:t>
      </w:r>
    </w:p>
    <w:p w14:paraId="16BC8C32" w14:textId="0010DEFA" w:rsidR="00D65747" w:rsidRPr="005F1379" w:rsidRDefault="00EE6C02" w:rsidP="008D2649">
      <w:pPr>
        <w:pStyle w:val="Els-body-text"/>
        <w:spacing w:after="120"/>
        <w:rPr>
          <w:lang w:val="en-GB"/>
        </w:rPr>
      </w:pPr>
      <w:r w:rsidRPr="005F1379">
        <w:rPr>
          <w:lang w:val="en-GB"/>
        </w:rPr>
        <w:t xml:space="preserve">Digital twins are expected to be applied in the chemical process industry as important technology for improving productivity and profits. </w:t>
      </w:r>
      <w:r w:rsidR="007E5B83" w:rsidRPr="005F1379">
        <w:rPr>
          <w:lang w:val="en-GB"/>
        </w:rPr>
        <w:t>While research and development is being conducted on elemental technologies related to digital twins such as sensing, communication, data management and utilization, and optimization, detailed flow models are necessary to reproduce flow inside equipment used in chemical processes. Computational fluid dynamics (CFD) is essential in equipment design because it can provide high-fidelity field data to better understand flow physics. CFD has been used to analy</w:t>
      </w:r>
      <w:r w:rsidR="007C6DE7" w:rsidRPr="005F1379">
        <w:rPr>
          <w:lang w:val="en-GB"/>
        </w:rPr>
        <w:t>s</w:t>
      </w:r>
      <w:r w:rsidR="007E5B83" w:rsidRPr="005F1379">
        <w:rPr>
          <w:lang w:val="en-GB"/>
        </w:rPr>
        <w:t>e flow and mass transfer in various equipment. However, CFD simulations, especially for unsteady flows, are computationally expensive because they must march the flow solution with a small step in time. Introducing CFD into digital twins, there is a need to reduce the above cost and make unsteady CFD more affordable. In this study, the reduced order modelling of CFD using snapshot proper orthogonal decomposition (snapshot POD) and deep neural networks was applied to a Taylor-Couette crystallizer, which has a double cylindrical structure with an inner cylinder and an outer cylinder and is characterized by periodic vortices (called Taylor</w:t>
      </w:r>
      <w:r w:rsidR="00E317C6">
        <w:rPr>
          <w:lang w:val="en-GB"/>
        </w:rPr>
        <w:t>-</w:t>
      </w:r>
      <w:r w:rsidR="007E5B83" w:rsidRPr="005F1379">
        <w:rPr>
          <w:lang w:val="en-GB"/>
        </w:rPr>
        <w:t>Couette flow) generated by shear when the inner cylinder is rotated. Previous research reported that Taylor-Couette flow is effective in promoting nucleation and crystal growth. This study showed that the reduced order model (ROM) developed in this study is 1000 times faster than CFD and can accurately predict the flow that changes depending on the rotation speed of the inner cylinder.</w:t>
      </w:r>
      <w:r w:rsidR="00D65747" w:rsidRPr="005F1379">
        <w:rPr>
          <w:lang w:val="en-GB"/>
        </w:rPr>
        <w:t xml:space="preserve"> </w:t>
      </w:r>
    </w:p>
    <w:p w14:paraId="144DE687" w14:textId="51ACCA80" w:rsidR="008D2649" w:rsidRPr="005F1379" w:rsidRDefault="008D2649" w:rsidP="00D9191E">
      <w:pPr>
        <w:pStyle w:val="Els-body-text"/>
        <w:spacing w:after="120"/>
        <w:rPr>
          <w:lang w:val="en-GB"/>
        </w:rPr>
      </w:pPr>
      <w:r w:rsidRPr="005F1379">
        <w:rPr>
          <w:b/>
          <w:bCs/>
          <w:lang w:val="en-GB"/>
        </w:rPr>
        <w:t>Keywords</w:t>
      </w:r>
      <w:r w:rsidRPr="005F1379">
        <w:rPr>
          <w:lang w:val="en-GB"/>
        </w:rPr>
        <w:t xml:space="preserve">: </w:t>
      </w:r>
      <w:r w:rsidR="007E5B83" w:rsidRPr="005F1379">
        <w:rPr>
          <w:lang w:val="en-GB"/>
        </w:rPr>
        <w:t>Digital twin, Modelling and simulation, Computational fluid dynamics (CFD), Reduced order model (ROM), Taylor-Couette crystallizer</w:t>
      </w:r>
      <w:r w:rsidR="00D9191E" w:rsidRPr="005F1379">
        <w:rPr>
          <w:lang w:val="en-GB"/>
        </w:rPr>
        <w:t>.</w:t>
      </w:r>
    </w:p>
    <w:p w14:paraId="144DE689" w14:textId="736C138D" w:rsidR="008D2649" w:rsidRPr="005F1379" w:rsidRDefault="00D65747" w:rsidP="008D2649">
      <w:pPr>
        <w:pStyle w:val="Els-1storder-head"/>
      </w:pPr>
      <w:r w:rsidRPr="005F1379">
        <w:t>Introduction</w:t>
      </w:r>
    </w:p>
    <w:p w14:paraId="2FC672AF" w14:textId="77777777" w:rsidR="00905803" w:rsidRPr="005F1379" w:rsidRDefault="00905803" w:rsidP="00905803">
      <w:pPr>
        <w:pStyle w:val="Els-body-text"/>
      </w:pPr>
      <w:r w:rsidRPr="005F1379">
        <w:t xml:space="preserve">Numerical analysis using computers based on the finite element method or finite volume method, namely computer aided engineering (CAE) simulation, has long been introduced in the fields of product design and research and development (R&amp;D). In recent years, new technologies such as the Internet of Things (IoT) and artificial intelligence (AI) are being introduced to product design and manufacturing sites. Against this background, attempts are being made to integrate conventional CAE technology with AI and IoT technology. In order to advance such attempts, this research aims to develop a virtual sensor for measuring the flow conditions that affect mass transfer and crystal growth inside the Taylor-Couette crystallizer, and the final goal is to apply the developed virtual sensor to a digital twin system. If the digital twin of the crystallization process is realized, it will be possible to numerically visualize what is happening in the operating equipment, monitor the internal state of the equipment that cannot be detected with sensors, predict </w:t>
      </w:r>
      <w:r w:rsidRPr="005F1379">
        <w:lastRenderedPageBreak/>
        <w:t xml:space="preserve">the occurrence of abnormalities, and enable timely control and adjustment to optimal conditions, which is expected to lead to cost reductions and quality improvements. </w:t>
      </w:r>
    </w:p>
    <w:p w14:paraId="6B2A7C70" w14:textId="77777777" w:rsidR="00905803" w:rsidRPr="005F1379" w:rsidRDefault="00905803" w:rsidP="00905803">
      <w:pPr>
        <w:pStyle w:val="Els-body-text"/>
      </w:pPr>
    </w:p>
    <w:p w14:paraId="57F4BEDC" w14:textId="33B3154C" w:rsidR="00905803" w:rsidRPr="005F1379" w:rsidRDefault="00905803" w:rsidP="00905803">
      <w:pPr>
        <w:pStyle w:val="Els-body-text"/>
      </w:pPr>
      <w:r w:rsidRPr="005F1379">
        <w:t xml:space="preserve">A Taylor-Couette crystallizer has a double cylindrical structure with an inner cylinder and an outer cylinder and is characterized by periodic vortices (called Taylor-Couette flow) generated by shear when the inner cylinder is rotated. Taylor-Couette flow is known to be effective in promoting nucleation and crystal growth. </w:t>
      </w:r>
      <w:r w:rsidR="00772466" w:rsidRPr="00772466">
        <w:t>Therefore, the Taylor-Couette crystallizer is said to be superior to the conventional stirred tank crystallizer in terms of shortening crystal precipitation time, improving yield, and narrowing the crystal size distribution.</w:t>
      </w:r>
      <w:r w:rsidR="00772466">
        <w:t xml:space="preserve"> </w:t>
      </w:r>
      <w:r w:rsidRPr="005F1379">
        <w:t>As research on detailed analysis and quantitative evaluation of the flow, Sha et al. (2016) used computational fluid dynamics (CFD) to study the relationship between the flow in the Taylor-Couette crystallizer and a dimensionless number called the Taylor number (Ta)</w:t>
      </w:r>
      <w:r w:rsidR="009F67D5">
        <w:t xml:space="preserve">, which is </w:t>
      </w:r>
      <w:r w:rsidR="009F67D5" w:rsidRPr="009F67D5">
        <w:t>defined as a function of the radius and angular velocity of the inner cylinder, the gap distance between the inner and outer cylinders, and the kinematic viscosity of the fluid.</w:t>
      </w:r>
      <w:r w:rsidRPr="005F1379">
        <w:t xml:space="preserve"> As a result, they suggested that Taylor-Couette flow was generated when Ta was greater than 700 and that CFD was a useful flow analysis tool. However, CFD, especially for unsteady flows, is computationally expensive because it must march the flow solution with a small step in time. Introducing CFD into digital twins, there is a need to reduce the above cost and make unsteady CFD more affordable. </w:t>
      </w:r>
    </w:p>
    <w:p w14:paraId="634AE698" w14:textId="77777777" w:rsidR="00905803" w:rsidRPr="005F1379" w:rsidRDefault="00905803" w:rsidP="00905803">
      <w:pPr>
        <w:pStyle w:val="Els-body-text"/>
      </w:pPr>
    </w:p>
    <w:p w14:paraId="4B7D4BE8" w14:textId="39CE5BF1" w:rsidR="00905803" w:rsidRPr="005F1379" w:rsidRDefault="001B2E7D" w:rsidP="00905803">
      <w:pPr>
        <w:pStyle w:val="Els-body-text"/>
      </w:pPr>
      <w:r w:rsidRPr="005F1379">
        <w:t>Achieving real-time CFD simulations is the focus of our study, and one of the keys is the reduced order modelling of CFD. The reduced order modelling methods have been developed for many fields like electronics or structural mechanics. This study focuses on transient fluid simulation applications. According to related past research, projection-based reduced order modelling is the most popular method and is divided into two: 1) posteriori methods such as the proper orthogonal decomposition (POD), which build a reduced order model (ROM) from a large set of simulations called “snapshots” and require a computationally intensive offline phase, and 2) priori methods such as the proper generalized decomposition, which reduce the model during the problem solving process itself (Calka et al., 2021). To our knowledge, none of these reduced order modelling methods have been applied to Taylor-Couette crystallization processes.</w:t>
      </w:r>
      <w:r w:rsidR="009A6100" w:rsidRPr="005F1379">
        <w:t xml:space="preserve"> A constraint on crystallizer modeling is the need to solve the governing equations of flow over time. For this reason, the posteriori methods described above are considered desirable.</w:t>
      </w:r>
    </w:p>
    <w:p w14:paraId="20D5D255" w14:textId="77777777" w:rsidR="00905803" w:rsidRPr="005F1379" w:rsidRDefault="00905803" w:rsidP="00905803">
      <w:pPr>
        <w:pStyle w:val="Els-body-text"/>
      </w:pPr>
    </w:p>
    <w:p w14:paraId="34C6A59C" w14:textId="4135B3FC" w:rsidR="00D65747" w:rsidRDefault="00905803" w:rsidP="00905803">
      <w:pPr>
        <w:pStyle w:val="Els-body-text"/>
      </w:pPr>
      <w:r w:rsidRPr="005F1379">
        <w:t xml:space="preserve">In this paper, first, a flow analysis of a three-dimensional Taylor-Couette crystallizer is performed using Ansys Fluent, a commercial software for the general-purpose finite volume method. After that, in order to speed up this calculation for building a virtual sensor, a snapshot POD </w:t>
      </w:r>
      <w:r w:rsidR="00D536F4">
        <w:t xml:space="preserve">and </w:t>
      </w:r>
      <w:r w:rsidR="00D536F4" w:rsidRPr="00D536F4">
        <w:t>deep neural networks</w:t>
      </w:r>
      <w:r w:rsidR="00D536F4">
        <w:t xml:space="preserve"> </w:t>
      </w:r>
      <w:r w:rsidRPr="005F1379">
        <w:t>based ROM is derived using flow field data obtained through A</w:t>
      </w:r>
      <w:r w:rsidR="00571157" w:rsidRPr="005F1379">
        <w:t>NSYS</w:t>
      </w:r>
      <w:r w:rsidRPr="005F1379">
        <w:t xml:space="preserve"> Fluent and Dynamic ROM Builder.</w:t>
      </w:r>
      <w:r w:rsidR="00187E43" w:rsidRPr="005F1379">
        <w:t xml:space="preserve"> </w:t>
      </w:r>
    </w:p>
    <w:p w14:paraId="363E7315" w14:textId="77777777" w:rsidR="00DC4FAF" w:rsidRPr="005F1379" w:rsidRDefault="00DC4FAF" w:rsidP="00905803">
      <w:pPr>
        <w:pStyle w:val="Els-body-text"/>
      </w:pPr>
    </w:p>
    <w:p w14:paraId="0F5E5DE6" w14:textId="667D30F4" w:rsidR="00DC522A" w:rsidRPr="005F1379" w:rsidRDefault="00826E69" w:rsidP="00DC522A">
      <w:pPr>
        <w:pStyle w:val="Els-1storder-head"/>
      </w:pPr>
      <w:r w:rsidRPr="005F1379">
        <w:t>CFD simulation for Taylor-Couette crystallizer</w:t>
      </w:r>
    </w:p>
    <w:p w14:paraId="7BD4F0C1" w14:textId="365980C5" w:rsidR="00DC4FAF" w:rsidRDefault="00EE2233" w:rsidP="00DC4FAF">
      <w:pPr>
        <w:pStyle w:val="Els-body-text"/>
        <w:jc w:val="distribute"/>
        <w:rPr>
          <w:lang w:eastAsia="ja-JP"/>
        </w:rPr>
      </w:pPr>
      <w:r w:rsidRPr="005F1379">
        <w:rPr>
          <w:lang w:eastAsia="ja-JP"/>
        </w:rPr>
        <w:t>In this study, CFD simulations were employed to analyze the fluid flow in a Taylor-Couette crystallizer, which has a double cylindrical structure with an inner cylinder and an outer cylinder, as shown in Fig. 1.</w:t>
      </w:r>
      <w:r w:rsidR="00511ACF" w:rsidRPr="005F1379">
        <w:rPr>
          <w:lang w:eastAsia="ja-JP"/>
        </w:rPr>
        <w:t xml:space="preserve"> Mathematical model of the crystallizer and simulation settings are as follows: the equations used to describe the system are the continuity and Navier</w:t>
      </w:r>
      <w:r w:rsidR="00DC4FAF">
        <w:rPr>
          <w:lang w:eastAsia="ja-JP"/>
        </w:rPr>
        <w:t>-</w:t>
      </w:r>
      <w:r w:rsidR="00511ACF" w:rsidRPr="005F1379">
        <w:rPr>
          <w:lang w:eastAsia="ja-JP"/>
        </w:rPr>
        <w:t xml:space="preserve">Stokes (pressure and velocity) equations. The liquid-gas interface is resolved using the volume-of-fluid (VOF) model. In all cases studied, the flow is </w:t>
      </w:r>
    </w:p>
    <w:p w14:paraId="31EFDED9" w14:textId="77777777" w:rsidR="00DC4FAF" w:rsidRDefault="00DC4FAF" w:rsidP="008D2649">
      <w:pPr>
        <w:pStyle w:val="Els-body-text"/>
        <w:rPr>
          <w:lang w:eastAsia="ja-JP"/>
        </w:rPr>
      </w:pPr>
    </w:p>
    <w:p w14:paraId="2763C3EA" w14:textId="77777777" w:rsidR="00DC4FAF" w:rsidRDefault="00DC4FAF" w:rsidP="008D2649">
      <w:pPr>
        <w:pStyle w:val="Els-body-text"/>
        <w:rPr>
          <w:rFonts w:hint="eastAsia"/>
          <w:lang w:eastAsia="ja-JP"/>
        </w:rPr>
      </w:pPr>
    </w:p>
    <w:p w14:paraId="036561D9" w14:textId="77777777" w:rsidR="00DC4FAF" w:rsidRPr="005F1379" w:rsidRDefault="00DC4FAF" w:rsidP="00DC4FAF">
      <w:pPr>
        <w:jc w:val="center"/>
      </w:pPr>
      <w:r w:rsidRPr="005F1379">
        <w:rPr>
          <w:noProof/>
        </w:rPr>
        <w:drawing>
          <wp:inline distT="0" distB="0" distL="0" distR="0" wp14:anchorId="4B198695" wp14:editId="2D4CD9A6">
            <wp:extent cx="3327400" cy="1880089"/>
            <wp:effectExtent l="0" t="0" r="6350" b="0"/>
            <wp:docPr id="1363972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366818" cy="1902362"/>
                    </a:xfrm>
                    <a:prstGeom prst="rect">
                      <a:avLst/>
                    </a:prstGeom>
                    <a:noFill/>
                    <a:ln>
                      <a:noFill/>
                    </a:ln>
                  </pic:spPr>
                </pic:pic>
              </a:graphicData>
            </a:graphic>
          </wp:inline>
        </w:drawing>
      </w:r>
    </w:p>
    <w:p w14:paraId="636767D2" w14:textId="77777777" w:rsidR="00DC4FAF" w:rsidRPr="005F1379" w:rsidRDefault="00DC4FAF" w:rsidP="00DC4FAF">
      <w:pPr>
        <w:pStyle w:val="Els-body-text"/>
        <w:rPr>
          <w:lang w:eastAsia="ja-JP"/>
        </w:rPr>
      </w:pPr>
      <w:r w:rsidRPr="005F1379">
        <w:rPr>
          <w:lang w:eastAsia="ja-JP"/>
        </w:rPr>
        <w:t xml:space="preserve">Fig. 1. A schematic diagram of crystallizer. Dark gray and light gray regions </w:t>
      </w:r>
      <w:r>
        <w:rPr>
          <w:lang w:eastAsia="ja-JP"/>
        </w:rPr>
        <w:t xml:space="preserve">in the equipment </w:t>
      </w:r>
      <w:r w:rsidRPr="005F1379">
        <w:rPr>
          <w:lang w:eastAsia="ja-JP"/>
        </w:rPr>
        <w:t>indicate liquid and gas phases, respectively.</w:t>
      </w:r>
    </w:p>
    <w:p w14:paraId="1106C0A7" w14:textId="77777777" w:rsidR="00DC4FAF" w:rsidRPr="005F1379" w:rsidRDefault="00DC4FAF" w:rsidP="00DC4FAF">
      <w:pPr>
        <w:pStyle w:val="Els-body-text"/>
      </w:pPr>
    </w:p>
    <w:p w14:paraId="206D1EBA" w14:textId="4FD2682F" w:rsidR="00DC4FAF" w:rsidRDefault="00DC4FAF" w:rsidP="00DC4FAF">
      <w:pPr>
        <w:pStyle w:val="Els-body-text"/>
        <w:jc w:val="center"/>
        <w:rPr>
          <w:lang w:eastAsia="ja-JP"/>
        </w:rPr>
      </w:pPr>
      <w:r w:rsidRPr="005F1379">
        <w:rPr>
          <w:noProof/>
        </w:rPr>
        <w:drawing>
          <wp:inline distT="0" distB="0" distL="0" distR="0" wp14:anchorId="55F3AE69" wp14:editId="49274A85">
            <wp:extent cx="2429933" cy="2111375"/>
            <wp:effectExtent l="0" t="0" r="0" b="3175"/>
            <wp:docPr id="9770151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13" r="41888"/>
                    <a:stretch/>
                  </pic:blipFill>
                  <pic:spPr bwMode="auto">
                    <a:xfrm>
                      <a:off x="0" y="0"/>
                      <a:ext cx="2444719" cy="2124223"/>
                    </a:xfrm>
                    <a:prstGeom prst="rect">
                      <a:avLst/>
                    </a:prstGeom>
                    <a:noFill/>
                    <a:ln>
                      <a:noFill/>
                    </a:ln>
                    <a:extLst>
                      <a:ext uri="{53640926-AAD7-44D8-BBD7-CCE9431645EC}">
                        <a14:shadowObscured xmlns:a14="http://schemas.microsoft.com/office/drawing/2010/main"/>
                      </a:ext>
                    </a:extLst>
                  </pic:spPr>
                </pic:pic>
              </a:graphicData>
            </a:graphic>
          </wp:inline>
        </w:drawing>
      </w:r>
    </w:p>
    <w:p w14:paraId="1E33B5F8" w14:textId="0CF077FE" w:rsidR="00DC4FAF" w:rsidRDefault="00DC4FAF" w:rsidP="00DC4FAF">
      <w:pPr>
        <w:pStyle w:val="Els-body-text"/>
        <w:jc w:val="center"/>
      </w:pPr>
      <w:r w:rsidRPr="005F1379">
        <w:t xml:space="preserve">Fig. 2. CFD </w:t>
      </w:r>
      <w:r>
        <w:t xml:space="preserve">simulation </w:t>
      </w:r>
      <w:r w:rsidRPr="005F1379">
        <w:t>result (</w:t>
      </w:r>
      <w:r w:rsidRPr="005F1379">
        <w:rPr>
          <w:i/>
          <w:iCs/>
        </w:rPr>
        <w:t>v</w:t>
      </w:r>
      <w:r w:rsidRPr="005F1379">
        <w:rPr>
          <w:vertAlign w:val="subscript"/>
        </w:rPr>
        <w:t>r</w:t>
      </w:r>
      <w:r w:rsidRPr="005F1379">
        <w:t xml:space="preserve"> = 400 rpm).</w:t>
      </w:r>
    </w:p>
    <w:p w14:paraId="7165D45B" w14:textId="77777777" w:rsidR="00DC4FAF" w:rsidRPr="00DC4FAF" w:rsidRDefault="00DC4FAF" w:rsidP="008D2649">
      <w:pPr>
        <w:pStyle w:val="Els-body-text"/>
        <w:rPr>
          <w:lang w:eastAsia="ja-JP"/>
        </w:rPr>
      </w:pPr>
    </w:p>
    <w:p w14:paraId="54F12E8D" w14:textId="72E9E309" w:rsidR="00DC4FAF" w:rsidRPr="00DC4FAF" w:rsidRDefault="00DC4FAF" w:rsidP="00DC4FAF">
      <w:pPr>
        <w:pStyle w:val="Els-body-text"/>
        <w:jc w:val="center"/>
        <w:rPr>
          <w:rFonts w:hint="eastAsia"/>
          <w:lang w:eastAsia="ja-JP"/>
        </w:rPr>
      </w:pPr>
      <w:r w:rsidRPr="005F1379">
        <w:rPr>
          <w:noProof/>
        </w:rPr>
        <w:drawing>
          <wp:inline distT="0" distB="0" distL="0" distR="0" wp14:anchorId="11B7D532" wp14:editId="524AA7E2">
            <wp:extent cx="2277534" cy="2110660"/>
            <wp:effectExtent l="0" t="0" r="0" b="4445"/>
            <wp:docPr id="9197646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574" r="-12826"/>
                    <a:stretch/>
                  </pic:blipFill>
                  <pic:spPr bwMode="auto">
                    <a:xfrm>
                      <a:off x="0" y="0"/>
                      <a:ext cx="2278885" cy="2111912"/>
                    </a:xfrm>
                    <a:prstGeom prst="rect">
                      <a:avLst/>
                    </a:prstGeom>
                    <a:noFill/>
                    <a:ln>
                      <a:noFill/>
                    </a:ln>
                    <a:extLst>
                      <a:ext uri="{53640926-AAD7-44D8-BBD7-CCE9431645EC}">
                        <a14:shadowObscured xmlns:a14="http://schemas.microsoft.com/office/drawing/2010/main"/>
                      </a:ext>
                    </a:extLst>
                  </pic:spPr>
                </pic:pic>
              </a:graphicData>
            </a:graphic>
          </wp:inline>
        </w:drawing>
      </w:r>
    </w:p>
    <w:p w14:paraId="656233AD" w14:textId="6BEFCBE1" w:rsidR="00DC4FAF" w:rsidRDefault="00DC4FAF" w:rsidP="00DC4FAF">
      <w:pPr>
        <w:pStyle w:val="Els-body-text"/>
        <w:jc w:val="center"/>
      </w:pPr>
      <w:r w:rsidRPr="005F1379">
        <w:t xml:space="preserve">Fig. 3. CFD </w:t>
      </w:r>
      <w:r>
        <w:t xml:space="preserve">simulation </w:t>
      </w:r>
      <w:r w:rsidRPr="005F1379">
        <w:t>result (</w:t>
      </w:r>
      <w:r w:rsidRPr="005F1379">
        <w:rPr>
          <w:i/>
          <w:iCs/>
        </w:rPr>
        <w:t>v</w:t>
      </w:r>
      <w:r w:rsidRPr="005F1379">
        <w:rPr>
          <w:vertAlign w:val="subscript"/>
        </w:rPr>
        <w:t>r</w:t>
      </w:r>
      <w:r w:rsidRPr="005F1379">
        <w:t xml:space="preserve"> = 250 rpm).</w:t>
      </w:r>
    </w:p>
    <w:p w14:paraId="25D5202E" w14:textId="77777777" w:rsidR="00DC4FAF" w:rsidRDefault="00DC4FAF" w:rsidP="00DC4FAF">
      <w:pPr>
        <w:pStyle w:val="Els-body-text"/>
        <w:rPr>
          <w:lang w:eastAsia="ja-JP"/>
        </w:rPr>
      </w:pPr>
    </w:p>
    <w:p w14:paraId="20E09DF9" w14:textId="287B3D07" w:rsidR="00D9191E" w:rsidRPr="005F1379" w:rsidRDefault="00DC4FAF" w:rsidP="008D2649">
      <w:pPr>
        <w:pStyle w:val="Els-body-text"/>
        <w:rPr>
          <w:lang w:eastAsia="ja-JP"/>
        </w:rPr>
      </w:pPr>
      <w:r w:rsidRPr="005F1379">
        <w:rPr>
          <w:lang w:eastAsia="ja-JP"/>
        </w:rPr>
        <w:lastRenderedPageBreak/>
        <w:t>turbulent and simulated by k-</w:t>
      </w:r>
      <w:r w:rsidRPr="005F1379">
        <w:rPr>
          <w:rFonts w:ascii="Symbol" w:hAnsi="Symbol"/>
          <w:lang w:eastAsia="ja-JP"/>
        </w:rPr>
        <w:t>e</w:t>
      </w:r>
      <w:r w:rsidRPr="005F1379">
        <w:rPr>
          <w:lang w:eastAsia="ja-JP"/>
        </w:rPr>
        <w:t xml:space="preserve"> model, while adiabatic conditions are applied at domain boundaries. Slip effects are negligible. The liquid phase and gas phase in the crystallizer</w:t>
      </w:r>
      <w:r>
        <w:rPr>
          <w:lang w:eastAsia="ja-JP"/>
        </w:rPr>
        <w:t xml:space="preserve"> </w:t>
      </w:r>
      <w:r w:rsidR="00511ACF" w:rsidRPr="005F1379">
        <w:rPr>
          <w:lang w:eastAsia="ja-JP"/>
        </w:rPr>
        <w:t xml:space="preserve">are assumed to have the physical properties of water (293K) and air (293K), respectively. Unless otherwise stated all simulations are performed in three dimensions. Simulations are performed using ANSYS Fluent. Unstructured grids are used and the total number of cells is approximately 700,000 in all cases. The SIMPLEC method is implemented for pressure-velocity coupling and the spatial discretization was performed using the second order upwind scheme. An unsteady simulation is performed under a time step of 0.01 seconds starting from a stationary state until 10 seconds have passed after the inner cylinder rotates. </w:t>
      </w:r>
    </w:p>
    <w:p w14:paraId="3CE861E7" w14:textId="77777777" w:rsidR="001B2E7D" w:rsidRPr="005F1379" w:rsidRDefault="001B2E7D" w:rsidP="001B2E7D">
      <w:pPr>
        <w:pStyle w:val="Els-body-text"/>
        <w:rPr>
          <w:lang w:eastAsia="ja-JP"/>
        </w:rPr>
      </w:pPr>
    </w:p>
    <w:p w14:paraId="3A6A2111" w14:textId="4AA87DA1" w:rsidR="001B2E7D" w:rsidRPr="005F1379" w:rsidRDefault="001B2E7D" w:rsidP="001B2E7D">
      <w:pPr>
        <w:pStyle w:val="Els-body-text"/>
      </w:pPr>
      <w:r w:rsidRPr="005F1379">
        <w:rPr>
          <w:lang w:eastAsia="ja-JP"/>
        </w:rPr>
        <w:t>When the rotation speed (</w:t>
      </w:r>
      <w:r w:rsidRPr="005F1379">
        <w:rPr>
          <w:i/>
          <w:iCs/>
          <w:lang w:eastAsia="ja-JP"/>
        </w:rPr>
        <w:t>v</w:t>
      </w:r>
      <w:r w:rsidRPr="005F1379">
        <w:rPr>
          <w:vertAlign w:val="subscript"/>
          <w:lang w:eastAsia="ja-JP"/>
        </w:rPr>
        <w:t>r</w:t>
      </w:r>
      <w:r w:rsidRPr="005F1379">
        <w:rPr>
          <w:lang w:eastAsia="ja-JP"/>
        </w:rPr>
        <w:t xml:space="preserve">) of the inner cylinder is 400 rpm, which corresponds to Ta = 2660, CFD result is shown in Fig. 2. The average flow velocity of the fluid flowing through the gap between the inner and outer cylinders was 0.07 m/s. Fig. 2(a) shows the velocity in the direction of gravity on the vertical cross section of the equipment, with black indicating upward direction and white indicating downward direction. Fig. 2(b) is an enlarged vector representation of the dotted line frame in Fig. 2(a). Periodic vortices were confirmed, indicating that Taylor-Couette flow occurs. </w:t>
      </w:r>
      <w:r w:rsidRPr="005F1379">
        <w:t xml:space="preserve">Fig. 3 shows the result when the rotation speed was changed to 250 rpm. The average flow velocity of the fluid flowing through the gap between the inner and outer cylinders was 0.045 m/s. Taylor-Couette flow was confirmed, but its behavior was different from that shown in Fig. 2. </w:t>
      </w:r>
    </w:p>
    <w:p w14:paraId="6E2240C0" w14:textId="77777777" w:rsidR="00EE2233" w:rsidRDefault="00EE2233" w:rsidP="008D2649">
      <w:pPr>
        <w:pStyle w:val="Els-body-text"/>
      </w:pPr>
    </w:p>
    <w:p w14:paraId="1394B535" w14:textId="64A2B8D1" w:rsidR="009E003E" w:rsidRPr="005F1379" w:rsidRDefault="009E003E" w:rsidP="009E003E">
      <w:pPr>
        <w:pStyle w:val="Els-1storder-head"/>
      </w:pPr>
      <w:r w:rsidRPr="005F1379">
        <w:t>Reduced order modeling</w:t>
      </w:r>
      <w:r w:rsidR="003D3541" w:rsidRPr="005F1379">
        <w:t xml:space="preserve"> and its results</w:t>
      </w:r>
    </w:p>
    <w:p w14:paraId="5AD7CA72" w14:textId="07A4E6C8" w:rsidR="00534B95" w:rsidRPr="005F1379" w:rsidRDefault="00534B95" w:rsidP="00534B95">
      <w:pPr>
        <w:pStyle w:val="Els-body-text"/>
        <w:rPr>
          <w:lang w:val="en-GB"/>
        </w:rPr>
      </w:pPr>
      <w:r w:rsidRPr="005F1379">
        <w:rPr>
          <w:lang w:val="en-GB"/>
        </w:rPr>
        <w:t>It took four hours of calculation time to perform a 10-second unsteady CFD simulation of the Taylor-Couette crystallizer mentioned above. Reduced order mode</w:t>
      </w:r>
      <w:r w:rsidR="00C55D42" w:rsidRPr="005F1379">
        <w:rPr>
          <w:lang w:val="en-GB"/>
        </w:rPr>
        <w:t>l</w:t>
      </w:r>
      <w:r w:rsidRPr="005F1379">
        <w:rPr>
          <w:lang w:val="en-GB"/>
        </w:rPr>
        <w:t xml:space="preserve">ling methods can be used for problems requiring real-time results or numerous simulations. In this study, ROM of the Taylor-Couette crystallizer was developed using flow field data obtained through ANSYS Fluent and Dynamic ROM Builder (DRB), which is accessible in the ANSYS Twin Builder. </w:t>
      </w:r>
    </w:p>
    <w:p w14:paraId="237E517B" w14:textId="77777777" w:rsidR="00534B95" w:rsidRPr="005F1379" w:rsidRDefault="00534B95" w:rsidP="00534B95">
      <w:pPr>
        <w:pStyle w:val="Els-body-text"/>
        <w:rPr>
          <w:lang w:val="en-GB"/>
        </w:rPr>
      </w:pPr>
    </w:p>
    <w:p w14:paraId="5337441E" w14:textId="7354649E" w:rsidR="00524D0A" w:rsidRPr="005F1379" w:rsidRDefault="00534B95" w:rsidP="00534B95">
      <w:pPr>
        <w:pStyle w:val="Els-body-text"/>
        <w:rPr>
          <w:lang w:val="en-GB"/>
        </w:rPr>
      </w:pPr>
      <w:r w:rsidRPr="005F1379">
        <w:rPr>
          <w:lang w:val="en-GB"/>
        </w:rPr>
        <w:t>The changes in Taylor-Couette flow behavio</w:t>
      </w:r>
      <w:r w:rsidR="00AD03C2" w:rsidRPr="005F1379">
        <w:rPr>
          <w:lang w:val="en-GB"/>
        </w:rPr>
        <w:t>u</w:t>
      </w:r>
      <w:r w:rsidRPr="005F1379">
        <w:rPr>
          <w:lang w:val="en-GB"/>
        </w:rPr>
        <w:t>r, which are described with time varying flow velocity at spatial coordinates of the crystallizer, called outputs, are induced by the time variations of the rotation speed of the inner cylinder, called inputs. After this input-output relationship was computed with a full-order transient solver in ANSYS Fluent, the learning and validation of a ROM is performed from a limited number of the computed data sets, called scenarios, in DRB. The DRB computes one or more outputs from one or more dynamic inputs, based on recurrent neural networks (RNN). Here, the dimensionality of the output vector is reduced using the snapshot POD. Namely, as shown in Fig. 4, the spatial distribution of velocity is expressed as a superposition of modes representing the characteristics of the original data. By learning the behavio</w:t>
      </w:r>
      <w:r w:rsidR="00C55D42" w:rsidRPr="005F1379">
        <w:rPr>
          <w:lang w:val="en-GB"/>
        </w:rPr>
        <w:t>u</w:t>
      </w:r>
      <w:r w:rsidRPr="005F1379">
        <w:rPr>
          <w:lang w:val="en-GB"/>
        </w:rPr>
        <w:t>r of the superposition coefficients, the spatial distribution of velocity can be approximately reconstructed. The learning process aims at finding the nonlinear function that minimizes the error. It is implemented as a three-layer recurrent neural network with the same number of variables in the hidden and the output layers. The activation function used in the hidden and output layers is a sigmoid. The gradient descent optimization methods are used in the optimization.</w:t>
      </w:r>
    </w:p>
    <w:p w14:paraId="31D39D3D" w14:textId="77777777" w:rsidR="009E003E" w:rsidRDefault="009E003E" w:rsidP="008D2649">
      <w:pPr>
        <w:pStyle w:val="Els-body-text"/>
        <w:rPr>
          <w:lang w:val="en-GB"/>
        </w:rPr>
      </w:pPr>
    </w:p>
    <w:p w14:paraId="04AB655E" w14:textId="77777777" w:rsidR="00DC4FAF" w:rsidRPr="005F1379" w:rsidRDefault="00DC4FAF" w:rsidP="00DC4FAF">
      <w:pPr>
        <w:pStyle w:val="Els-body-text"/>
        <w:rPr>
          <w:lang w:eastAsia="ja-JP"/>
        </w:rPr>
      </w:pPr>
      <w:r w:rsidRPr="005F1379">
        <w:rPr>
          <w:lang w:eastAsia="ja-JP"/>
        </w:rPr>
        <w:lastRenderedPageBreak/>
        <w:t>In this study, DRB was tested in its ability to explain the dynamical Taylor-Couette flow behavior of the crystallizer in response to the rotation speed of the inner cylinder. Firstly, the flow field data when the rotation speed of the inner cylinder was varied by a sine function, as shown in Fig. 5, was computed with a full-order transient solver in ANSYS Fluent. The details of the computation are as in the previous section. The input and output variables sampled every 0.01 seconds were used as snapshots necessary for developing a ROM by DRB. Fig. 6 shows the developed ROM, and its input and output are the rotation speed of the inner cylinder and the flow velocity in the equipment, respectively. As a result, it was shown that the Taylor-Couette flow was reproduced using the developed ROM with an average relative error of 4.5%. In addition, it took four hours of calculation time to perform a 10-second unsteady CFD simulation of the Taylor-Couette crystallizer, but using the developed ROM, the calculation time was reduced to 6 seconds.</w:t>
      </w:r>
    </w:p>
    <w:p w14:paraId="3E5C6B44" w14:textId="77777777" w:rsidR="00DC4FAF" w:rsidRDefault="00DC4FAF" w:rsidP="00DC4FAF">
      <w:pPr>
        <w:pStyle w:val="Els-body-text"/>
      </w:pPr>
    </w:p>
    <w:p w14:paraId="5639DBA0" w14:textId="77777777" w:rsidR="00DC4FAF" w:rsidRPr="005F1379" w:rsidRDefault="00DC4FAF" w:rsidP="008D2649">
      <w:pPr>
        <w:pStyle w:val="Els-body-text"/>
        <w:rPr>
          <w:lang w:val="en-GB"/>
        </w:rPr>
      </w:pPr>
    </w:p>
    <w:p w14:paraId="660F9E72" w14:textId="7903B777" w:rsidR="00524D0A" w:rsidRPr="005F1379" w:rsidRDefault="00524D0A" w:rsidP="00524D0A">
      <w:pPr>
        <w:pStyle w:val="Els-body-text"/>
        <w:jc w:val="center"/>
      </w:pPr>
      <w:r w:rsidRPr="005F1379">
        <w:rPr>
          <w:noProof/>
        </w:rPr>
        <w:drawing>
          <wp:inline distT="0" distB="0" distL="0" distR="0" wp14:anchorId="6CDB0FF7" wp14:editId="61CFB18D">
            <wp:extent cx="3614465" cy="1116000"/>
            <wp:effectExtent l="0" t="0" r="5080" b="0"/>
            <wp:docPr id="4078306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t="1" b="-10110"/>
                    <a:stretch/>
                  </pic:blipFill>
                  <pic:spPr bwMode="auto">
                    <a:xfrm>
                      <a:off x="0" y="0"/>
                      <a:ext cx="3614465"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7733386A" w14:textId="45D7D9BE" w:rsidR="00524D0A" w:rsidRPr="005F1379" w:rsidRDefault="00524D0A" w:rsidP="00534B95">
      <w:pPr>
        <w:pStyle w:val="Els-body-text"/>
        <w:jc w:val="center"/>
      </w:pPr>
      <w:r w:rsidRPr="005F1379">
        <w:rPr>
          <w:lang w:eastAsia="ja-JP"/>
        </w:rPr>
        <w:t xml:space="preserve">Fig. 4. </w:t>
      </w:r>
      <w:r w:rsidR="00534B95" w:rsidRPr="005F1379">
        <w:rPr>
          <w:lang w:eastAsia="ja-JP"/>
        </w:rPr>
        <w:t>Overview of POD for spatial distribution of velocity</w:t>
      </w:r>
    </w:p>
    <w:p w14:paraId="6B5A13EC" w14:textId="77777777" w:rsidR="00524D0A" w:rsidRDefault="00524D0A" w:rsidP="008D2649">
      <w:pPr>
        <w:pStyle w:val="Els-body-text"/>
      </w:pPr>
    </w:p>
    <w:p w14:paraId="42578869" w14:textId="77777777" w:rsidR="005F1379" w:rsidRDefault="005F1379" w:rsidP="008D2649">
      <w:pPr>
        <w:pStyle w:val="Els-body-text"/>
      </w:pPr>
    </w:p>
    <w:p w14:paraId="61EE318B" w14:textId="09EF8D06" w:rsidR="005F1379" w:rsidRDefault="005F1379" w:rsidP="005F1379">
      <w:pPr>
        <w:pStyle w:val="Els-body-text"/>
        <w:jc w:val="center"/>
      </w:pPr>
      <w:r w:rsidRPr="00A6402D">
        <w:rPr>
          <w:noProof/>
        </w:rPr>
        <w:drawing>
          <wp:inline distT="0" distB="0" distL="0" distR="0" wp14:anchorId="4601C565" wp14:editId="7AD4615D">
            <wp:extent cx="2154724" cy="1299067"/>
            <wp:effectExtent l="0" t="0" r="0" b="0"/>
            <wp:docPr id="3" name="図 2">
              <a:extLst xmlns:a="http://schemas.openxmlformats.org/drawingml/2006/main">
                <a:ext uri="{FF2B5EF4-FFF2-40B4-BE49-F238E27FC236}">
                  <a16:creationId xmlns:a16="http://schemas.microsoft.com/office/drawing/2014/main" id="{F4DB19E2-B79B-DF90-EC7B-82753F4B7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4DB19E2-B79B-DF90-EC7B-82753F4B78B4}"/>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121" cy="1307747"/>
                    </a:xfrm>
                    <a:prstGeom prst="rect">
                      <a:avLst/>
                    </a:prstGeom>
                    <a:noFill/>
                    <a:ln>
                      <a:noFill/>
                    </a:ln>
                  </pic:spPr>
                </pic:pic>
              </a:graphicData>
            </a:graphic>
          </wp:inline>
        </w:drawing>
      </w:r>
    </w:p>
    <w:p w14:paraId="155EB87A" w14:textId="464D3A3F" w:rsidR="005F1379" w:rsidRPr="005F1379" w:rsidRDefault="005F1379" w:rsidP="005F1379">
      <w:pPr>
        <w:pStyle w:val="Els-body-text"/>
        <w:jc w:val="center"/>
      </w:pPr>
      <w:r w:rsidRPr="005F1379">
        <w:rPr>
          <w:lang w:eastAsia="ja-JP"/>
        </w:rPr>
        <w:t xml:space="preserve">Fig. 5. </w:t>
      </w:r>
      <w:r w:rsidR="000D2889" w:rsidRPr="000D2889">
        <w:rPr>
          <w:lang w:eastAsia="ja-JP"/>
        </w:rPr>
        <w:t>Given rotational speed of inner cylinder in case study</w:t>
      </w:r>
      <w:r>
        <w:rPr>
          <w:lang w:eastAsia="ja-JP"/>
        </w:rPr>
        <w:t xml:space="preserve">. </w:t>
      </w:r>
    </w:p>
    <w:p w14:paraId="6BBF4C54" w14:textId="77777777" w:rsidR="005F1379" w:rsidRDefault="005F1379" w:rsidP="005F1379">
      <w:pPr>
        <w:pStyle w:val="Els-body-text"/>
        <w:jc w:val="center"/>
      </w:pPr>
    </w:p>
    <w:p w14:paraId="61F628E9" w14:textId="77777777" w:rsidR="00DC4FAF" w:rsidRDefault="00DC4FAF" w:rsidP="005F1379">
      <w:pPr>
        <w:pStyle w:val="Els-body-text"/>
        <w:jc w:val="center"/>
      </w:pPr>
    </w:p>
    <w:p w14:paraId="2CE6F57D" w14:textId="32A94F4A" w:rsidR="00DC4FAF" w:rsidRPr="005F1379" w:rsidRDefault="00DC4FAF" w:rsidP="005F1379">
      <w:pPr>
        <w:pStyle w:val="Els-body-text"/>
        <w:jc w:val="center"/>
      </w:pPr>
    </w:p>
    <w:p w14:paraId="16917085" w14:textId="2D4D74DA" w:rsidR="00511ACF" w:rsidRPr="005F1379" w:rsidRDefault="00534B95" w:rsidP="008D2649">
      <w:pPr>
        <w:pStyle w:val="Els-body-text"/>
      </w:pPr>
      <w:r w:rsidRPr="005F1379">
        <w:rPr>
          <w:rFonts w:hint="eastAsia"/>
          <w:noProof/>
        </w:rPr>
        <w:drawing>
          <wp:inline distT="0" distB="0" distL="0" distR="0" wp14:anchorId="0F888AD7" wp14:editId="2D212F38">
            <wp:extent cx="4499610" cy="1505338"/>
            <wp:effectExtent l="0" t="0" r="0" b="0"/>
            <wp:docPr id="1535689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9610" cy="1505338"/>
                    </a:xfrm>
                    <a:prstGeom prst="rect">
                      <a:avLst/>
                    </a:prstGeom>
                    <a:noFill/>
                    <a:ln>
                      <a:noFill/>
                    </a:ln>
                  </pic:spPr>
                </pic:pic>
              </a:graphicData>
            </a:graphic>
          </wp:inline>
        </w:drawing>
      </w:r>
    </w:p>
    <w:p w14:paraId="280AF9A8" w14:textId="3B7616FB" w:rsidR="00534B95" w:rsidRDefault="00534B95" w:rsidP="00534B95">
      <w:pPr>
        <w:pStyle w:val="Els-body-text"/>
        <w:jc w:val="center"/>
        <w:rPr>
          <w:lang w:eastAsia="ja-JP"/>
        </w:rPr>
      </w:pPr>
      <w:r w:rsidRPr="005F1379">
        <w:rPr>
          <w:lang w:eastAsia="ja-JP"/>
        </w:rPr>
        <w:t xml:space="preserve">Fig. </w:t>
      </w:r>
      <w:r w:rsidR="000D2889">
        <w:rPr>
          <w:lang w:eastAsia="ja-JP"/>
        </w:rPr>
        <w:t>6</w:t>
      </w:r>
      <w:r w:rsidRPr="005F1379">
        <w:rPr>
          <w:lang w:eastAsia="ja-JP"/>
        </w:rPr>
        <w:t xml:space="preserve">. </w:t>
      </w:r>
      <w:r w:rsidR="005F1379" w:rsidRPr="005F1379">
        <w:rPr>
          <w:lang w:eastAsia="ja-JP"/>
        </w:rPr>
        <w:t>ROM developed with ANSYS Twin builder</w:t>
      </w:r>
      <w:r w:rsidR="005F1379">
        <w:rPr>
          <w:lang w:eastAsia="ja-JP"/>
        </w:rPr>
        <w:t xml:space="preserve">. </w:t>
      </w:r>
    </w:p>
    <w:p w14:paraId="145E54AF" w14:textId="77777777" w:rsidR="00DC4FAF" w:rsidRDefault="00DC4FAF" w:rsidP="00DC4FAF">
      <w:pPr>
        <w:pStyle w:val="Els-body-text"/>
        <w:rPr>
          <w:lang w:eastAsia="ja-JP"/>
        </w:rPr>
      </w:pPr>
    </w:p>
    <w:p w14:paraId="0F739DD4" w14:textId="692CE3E7" w:rsidR="00DF4E13" w:rsidRPr="005F1379" w:rsidRDefault="00DF4E13" w:rsidP="008D2649">
      <w:pPr>
        <w:pStyle w:val="Els-1storder-head"/>
        <w:spacing w:after="120"/>
        <w:rPr>
          <w:lang w:val="en-GB"/>
        </w:rPr>
      </w:pPr>
      <w:r w:rsidRPr="005F1379">
        <w:rPr>
          <w:lang w:val="en-GB"/>
        </w:rPr>
        <w:lastRenderedPageBreak/>
        <w:t>Conclusions</w:t>
      </w:r>
    </w:p>
    <w:p w14:paraId="6A2480F9" w14:textId="4EBFF85C" w:rsidR="005F1379" w:rsidRPr="005F1379" w:rsidRDefault="00AD03C2" w:rsidP="00DF4E13">
      <w:pPr>
        <w:pStyle w:val="Els-body-text"/>
        <w:rPr>
          <w:lang w:val="en-GB" w:eastAsia="ja-JP"/>
        </w:rPr>
      </w:pPr>
      <w:r w:rsidRPr="005F1379">
        <w:rPr>
          <w:lang w:eastAsia="ja-JP"/>
        </w:rPr>
        <w:t>This study presented the results of proper orthogonal decomposition (POD) and recurrent neural network (RNN) based reduced-order modeling method applied to a complex 3D fluid dynamic model of a Taylor-Couette crystallizer</w:t>
      </w:r>
      <w:r w:rsidR="005271AD" w:rsidRPr="005F1379">
        <w:rPr>
          <w:lang w:eastAsia="ja-JP"/>
        </w:rPr>
        <w:t>.</w:t>
      </w:r>
      <w:r w:rsidRPr="005F1379">
        <w:rPr>
          <w:lang w:eastAsia="ja-JP"/>
        </w:rPr>
        <w:t xml:space="preserve"> </w:t>
      </w:r>
      <w:r w:rsidR="005271AD" w:rsidRPr="005F1379">
        <w:rPr>
          <w:lang w:eastAsia="ja-JP"/>
        </w:rPr>
        <w:t xml:space="preserve">It was demonstrated that if some training simulations were performed using CFD simulators, time-series flow field prediction in response to rotational speed of inner cylinder could be instantaneously performed using </w:t>
      </w:r>
      <w:r w:rsidR="005271AD" w:rsidRPr="005F1379">
        <w:rPr>
          <w:lang w:val="en-GB"/>
        </w:rPr>
        <w:t>Dynamic ROM Builder (DRB)</w:t>
      </w:r>
      <w:r w:rsidR="005271AD" w:rsidRPr="005F1379">
        <w:rPr>
          <w:lang w:eastAsia="ja-JP"/>
        </w:rPr>
        <w:t>, which is based on model estimation using deep learning.</w:t>
      </w:r>
      <w:r w:rsidR="005F1379" w:rsidRPr="005F1379">
        <w:rPr>
          <w:rFonts w:hint="eastAsia"/>
          <w:lang w:eastAsia="ja-JP"/>
        </w:rPr>
        <w:t xml:space="preserve"> </w:t>
      </w:r>
      <w:r w:rsidR="005F1379" w:rsidRPr="005F1379">
        <w:rPr>
          <w:lang w:eastAsia="ja-JP"/>
        </w:rPr>
        <w:t xml:space="preserve">The reduced order model (ROM) obtained by DRB was comparable in accuracy to 3D simulation, and the calculation time can be significantly reduced, making it suitable for use as a virtual sensor. </w:t>
      </w:r>
      <w:r w:rsidR="005F1379" w:rsidRPr="005F1379">
        <w:rPr>
          <w:lang w:val="en-GB" w:eastAsia="ja-JP"/>
        </w:rPr>
        <w:t xml:space="preserve">In the next study, the developed ROM is linked with experimental equipment and the usefulness of digital twin-based monitoring and control is verified. </w:t>
      </w:r>
    </w:p>
    <w:p w14:paraId="152A55A8" w14:textId="77777777" w:rsidR="00DF4E13" w:rsidRPr="005F1379" w:rsidRDefault="00DF4E13" w:rsidP="00DF4E13">
      <w:pPr>
        <w:pStyle w:val="Els-reference-head"/>
      </w:pPr>
      <w:r w:rsidRPr="005F1379">
        <w:t>Acknowledgement</w:t>
      </w:r>
    </w:p>
    <w:p w14:paraId="7729800C" w14:textId="3CFAEC99" w:rsidR="00DF4E13" w:rsidRPr="005F1379" w:rsidRDefault="00DF4E13" w:rsidP="00DF4E13">
      <w:pPr>
        <w:pStyle w:val="Els-body-text"/>
      </w:pPr>
      <w:r w:rsidRPr="005F1379">
        <w:t xml:space="preserve">This work was partially supported by </w:t>
      </w:r>
      <w:r w:rsidR="00187E43" w:rsidRPr="005F1379">
        <w:t xml:space="preserve">the Grant-in-Aid for Scientific Research (B) (No. 23H01754) and </w:t>
      </w:r>
      <w:r w:rsidRPr="005F1379">
        <w:t>a project, Development of Continuous Production and Process Technologies of Fine Chemicals, commissioned by the New Energy and Industrial Technology Development Organization (NEDO).</w:t>
      </w:r>
    </w:p>
    <w:p w14:paraId="144DE6BF" w14:textId="49E27371" w:rsidR="008D2649" w:rsidRPr="005F1379" w:rsidRDefault="008D2649" w:rsidP="008D2649">
      <w:pPr>
        <w:pStyle w:val="Els-reference-head"/>
      </w:pPr>
      <w:r w:rsidRPr="005F1379">
        <w:t>References</w:t>
      </w:r>
    </w:p>
    <w:p w14:paraId="339C1460" w14:textId="15C629C6" w:rsidR="005F1379" w:rsidRDefault="005F1379" w:rsidP="00D9191E">
      <w:pPr>
        <w:pStyle w:val="Els-referenceno-number"/>
        <w:jc w:val="both"/>
        <w:rPr>
          <w:lang w:val="en-US"/>
        </w:rPr>
      </w:pPr>
      <w:r>
        <w:rPr>
          <w:lang w:val="en-US"/>
        </w:rPr>
        <w:t>A</w:t>
      </w:r>
      <w:r w:rsidRPr="005F1379">
        <w:rPr>
          <w:lang w:val="en-US"/>
        </w:rPr>
        <w:t>NSYS</w:t>
      </w:r>
      <w:r>
        <w:rPr>
          <w:lang w:val="en-US"/>
        </w:rPr>
        <w:t xml:space="preserve"> </w:t>
      </w:r>
      <w:r w:rsidRPr="005F1379">
        <w:rPr>
          <w:lang w:val="en-US"/>
        </w:rPr>
        <w:t xml:space="preserve">Inc., </w:t>
      </w:r>
      <w:r>
        <w:rPr>
          <w:lang w:val="en-US"/>
        </w:rPr>
        <w:t xml:space="preserve">2022, </w:t>
      </w:r>
      <w:r w:rsidRPr="005F1379">
        <w:rPr>
          <w:lang w:val="en-US"/>
        </w:rPr>
        <w:t xml:space="preserve">Dynamic ROM </w:t>
      </w:r>
      <w:r>
        <w:rPr>
          <w:lang w:val="en-US"/>
        </w:rPr>
        <w:t>c</w:t>
      </w:r>
      <w:r w:rsidRPr="005F1379">
        <w:rPr>
          <w:lang w:val="en-US"/>
        </w:rPr>
        <w:t>omponents</w:t>
      </w:r>
      <w:r>
        <w:rPr>
          <w:lang w:val="en-US"/>
        </w:rPr>
        <w:t xml:space="preserve">, </w:t>
      </w:r>
      <w:r w:rsidRPr="005F1379">
        <w:rPr>
          <w:lang w:val="en-US"/>
        </w:rPr>
        <w:t>Twin Builder 202</w:t>
      </w:r>
      <w:r>
        <w:rPr>
          <w:lang w:val="en-US"/>
        </w:rPr>
        <w:t>2</w:t>
      </w:r>
      <w:r w:rsidRPr="005F1379">
        <w:rPr>
          <w:lang w:val="en-US"/>
        </w:rPr>
        <w:t xml:space="preserve"> Online Help.</w:t>
      </w:r>
    </w:p>
    <w:p w14:paraId="558E0DCB" w14:textId="05919335" w:rsidR="00905803" w:rsidRPr="005F1379" w:rsidRDefault="00905803" w:rsidP="00D9191E">
      <w:pPr>
        <w:pStyle w:val="Els-referenceno-number"/>
        <w:jc w:val="both"/>
        <w:rPr>
          <w:lang w:val="en-US"/>
        </w:rPr>
      </w:pPr>
      <w:r w:rsidRPr="005F1379">
        <w:rPr>
          <w:lang w:val="en-US"/>
        </w:rPr>
        <w:t xml:space="preserve">M. Calka </w:t>
      </w:r>
      <w:r w:rsidR="00772466" w:rsidRPr="00772466">
        <w:rPr>
          <w:lang w:val="en-US"/>
        </w:rPr>
        <w:t>P</w:t>
      </w:r>
      <w:r w:rsidR="00772466">
        <w:rPr>
          <w:lang w:val="en-US"/>
        </w:rPr>
        <w:t>.</w:t>
      </w:r>
      <w:r w:rsidR="00772466" w:rsidRPr="00772466">
        <w:rPr>
          <w:lang w:val="en-US"/>
        </w:rPr>
        <w:t xml:space="preserve"> Perrier, J</w:t>
      </w:r>
      <w:r w:rsidR="00772466">
        <w:rPr>
          <w:lang w:val="en-US"/>
        </w:rPr>
        <w:t>.</w:t>
      </w:r>
      <w:r w:rsidR="00772466" w:rsidRPr="00772466">
        <w:rPr>
          <w:lang w:val="en-US"/>
        </w:rPr>
        <w:t xml:space="preserve"> Ohayon, C</w:t>
      </w:r>
      <w:r w:rsidR="00772466">
        <w:rPr>
          <w:lang w:val="en-US"/>
        </w:rPr>
        <w:t>.</w:t>
      </w:r>
      <w:r w:rsidR="00772466" w:rsidRPr="00772466">
        <w:rPr>
          <w:lang w:val="en-US"/>
        </w:rPr>
        <w:t xml:space="preserve"> Grivot-Boichon, M</w:t>
      </w:r>
      <w:r w:rsidR="00772466">
        <w:rPr>
          <w:lang w:val="en-US"/>
        </w:rPr>
        <w:t>.</w:t>
      </w:r>
      <w:r w:rsidR="00772466" w:rsidRPr="00772466">
        <w:rPr>
          <w:lang w:val="en-US"/>
        </w:rPr>
        <w:t xml:space="preserve"> Rochette</w:t>
      </w:r>
      <w:r w:rsidR="00772466">
        <w:rPr>
          <w:lang w:val="en-US"/>
        </w:rPr>
        <w:t xml:space="preserve"> and</w:t>
      </w:r>
      <w:r w:rsidR="00772466" w:rsidRPr="00772466">
        <w:rPr>
          <w:lang w:val="en-US"/>
        </w:rPr>
        <w:t xml:space="preserve"> Y</w:t>
      </w:r>
      <w:r w:rsidR="00772466">
        <w:rPr>
          <w:lang w:val="en-US"/>
        </w:rPr>
        <w:t>.</w:t>
      </w:r>
      <w:r w:rsidR="00772466" w:rsidRPr="00772466">
        <w:rPr>
          <w:lang w:val="en-US"/>
        </w:rPr>
        <w:t xml:space="preserve"> Payan</w:t>
      </w:r>
      <w:r w:rsidRPr="005F1379">
        <w:rPr>
          <w:lang w:val="en-US"/>
        </w:rPr>
        <w:t>, 2021, Machine-Learning based model order reduction of a biomechanical model of the human tongue, Computer Methods and Programs in Biomedicine, 198, 105786</w:t>
      </w:r>
    </w:p>
    <w:p w14:paraId="7327E42B" w14:textId="225E74D2" w:rsidR="00D9191E" w:rsidRPr="005F1379" w:rsidRDefault="00905803" w:rsidP="00D9191E">
      <w:pPr>
        <w:pStyle w:val="Els-referenceno-number"/>
        <w:jc w:val="both"/>
        <w:rPr>
          <w:lang w:val="en-US"/>
        </w:rPr>
      </w:pPr>
      <w:r w:rsidRPr="005F1379">
        <w:rPr>
          <w:lang w:val="en-US"/>
        </w:rPr>
        <w:t xml:space="preserve">Y. Sha, </w:t>
      </w:r>
      <w:r w:rsidR="00772466" w:rsidRPr="00772466">
        <w:rPr>
          <w:lang w:val="en-US"/>
        </w:rPr>
        <w:t>J</w:t>
      </w:r>
      <w:r w:rsidR="00772466">
        <w:rPr>
          <w:lang w:val="en-US"/>
        </w:rPr>
        <w:t>.</w:t>
      </w:r>
      <w:r w:rsidR="00772466" w:rsidRPr="00772466">
        <w:rPr>
          <w:lang w:val="en-US"/>
        </w:rPr>
        <w:t xml:space="preserve"> Fritz, T</w:t>
      </w:r>
      <w:r w:rsidR="00772466">
        <w:rPr>
          <w:lang w:val="en-US"/>
        </w:rPr>
        <w:t>.</w:t>
      </w:r>
      <w:r w:rsidR="00772466" w:rsidRPr="00772466">
        <w:rPr>
          <w:lang w:val="en-US"/>
        </w:rPr>
        <w:t xml:space="preserve"> Klemm</w:t>
      </w:r>
      <w:r w:rsidR="00772466">
        <w:rPr>
          <w:lang w:val="en-US"/>
        </w:rPr>
        <w:t xml:space="preserve"> and</w:t>
      </w:r>
      <w:r w:rsidR="00772466" w:rsidRPr="00772466">
        <w:rPr>
          <w:lang w:val="en-US"/>
        </w:rPr>
        <w:t xml:space="preserve"> S</w:t>
      </w:r>
      <w:r w:rsidR="00772466">
        <w:rPr>
          <w:lang w:val="en-US"/>
        </w:rPr>
        <w:t>.</w:t>
      </w:r>
      <w:r w:rsidR="00772466" w:rsidRPr="00772466">
        <w:rPr>
          <w:lang w:val="en-US"/>
        </w:rPr>
        <w:t xml:space="preserve"> Ripperger</w:t>
      </w:r>
      <w:r w:rsidRPr="005F1379">
        <w:rPr>
          <w:lang w:val="en-US"/>
        </w:rPr>
        <w:t>, 2016, Untersuchung der Strömung im Tylor-Couette-System bei geringen Spaltbreiten”, Chemie Ingenieur Technik, 88(5), 640-647.</w:t>
      </w:r>
    </w:p>
    <w:p w14:paraId="144DE6C3" w14:textId="77777777" w:rsidR="008D2649" w:rsidRDefault="008D2649" w:rsidP="00ED7A36">
      <w:pPr>
        <w:pStyle w:val="Els-referenceno-number"/>
        <w:ind w:left="0" w:firstLine="0"/>
        <w:rPr>
          <w:lang w:val="en-US"/>
        </w:rPr>
      </w:pPr>
    </w:p>
    <w:p w14:paraId="07266A5E" w14:textId="18D194F8" w:rsidR="00772466" w:rsidRDefault="00772466" w:rsidP="00ED7A36">
      <w:pPr>
        <w:pStyle w:val="Els-referenceno-number"/>
        <w:ind w:left="0" w:firstLine="0"/>
        <w:rPr>
          <w:lang w:val="en-US"/>
        </w:rPr>
      </w:pPr>
    </w:p>
    <w:p w14:paraId="7DDBE263" w14:textId="77777777" w:rsidR="00772466" w:rsidRPr="005F1379" w:rsidRDefault="00772466" w:rsidP="00ED7A36">
      <w:pPr>
        <w:pStyle w:val="Els-referenceno-number"/>
        <w:ind w:left="0" w:firstLine="0"/>
        <w:rPr>
          <w:lang w:val="en-US"/>
        </w:rPr>
      </w:pPr>
    </w:p>
    <w:sectPr w:rsidR="00772466" w:rsidRPr="005F1379" w:rsidSect="0036476D">
      <w:headerReference w:type="even" r:id="rId13"/>
      <w:headerReference w:type="default" r:id="rId14"/>
      <w:headerReference w:type="first" r:id="rId1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D8F5C" w14:textId="77777777" w:rsidR="0036476D" w:rsidRDefault="0036476D">
      <w:r>
        <w:separator/>
      </w:r>
    </w:p>
  </w:endnote>
  <w:endnote w:type="continuationSeparator" w:id="0">
    <w:p w14:paraId="5949B422" w14:textId="77777777" w:rsidR="0036476D" w:rsidRDefault="0036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BEC1" w14:textId="77777777" w:rsidR="0036476D" w:rsidRDefault="0036476D">
      <w:r>
        <w:separator/>
      </w:r>
    </w:p>
  </w:footnote>
  <w:footnote w:type="continuationSeparator" w:id="0">
    <w:p w14:paraId="44ED83E7" w14:textId="77777777" w:rsidR="0036476D" w:rsidRDefault="0036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755A72C" w:rsidR="00DD3D9E" w:rsidRDefault="00DD3D9E">
    <w:pPr>
      <w:pStyle w:val="a5"/>
      <w:tabs>
        <w:tab w:val="clear" w:pos="7200"/>
        <w:tab w:val="right" w:pos="7088"/>
      </w:tabs>
    </w:pPr>
    <w:r>
      <w:rPr>
        <w:rStyle w:val="aa"/>
      </w:rPr>
      <w:tab/>
    </w:r>
    <w:r>
      <w:rPr>
        <w:rStyle w:val="aa"/>
        <w:i/>
      </w:rPr>
      <w:tab/>
    </w:r>
    <w:r w:rsidR="00DC1368">
      <w:rPr>
        <w:rStyle w:val="aa"/>
        <w:i/>
      </w:rPr>
      <w:t>O</w:t>
    </w:r>
    <w:r w:rsidR="00DF4E13">
      <w:rPr>
        <w:rStyle w:val="aa"/>
        <w:i/>
      </w:rPr>
      <w:t xml:space="preserve">. </w:t>
    </w:r>
    <w:r w:rsidR="00DC1368">
      <w:rPr>
        <w:rStyle w:val="aa"/>
        <w:i/>
      </w:rPr>
      <w:t>Tonomura</w:t>
    </w:r>
    <w:r w:rsidR="00DF4E13">
      <w:rPr>
        <w:rStyle w:val="aa"/>
        <w:i/>
      </w:rPr>
      <w:t xml:space="preserve"> at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0020431" w:rsidR="00DD3D9E" w:rsidRDefault="00236E5C" w:rsidP="00236E5C">
    <w:pPr>
      <w:pStyle w:val="a5"/>
      <w:tabs>
        <w:tab w:val="clear" w:pos="7200"/>
        <w:tab w:val="right" w:pos="7088"/>
      </w:tabs>
      <w:rPr>
        <w:sz w:val="24"/>
      </w:rPr>
    </w:pPr>
    <w:r w:rsidRPr="00236E5C">
      <w:rPr>
        <w:i/>
      </w:rPr>
      <w:t>Accelerating Unsteady Fluid Dynamic Simulations for Taylor-Couette Crystallizer using Snapshot POD</w:t>
    </w:r>
    <w:r w:rsidR="00DC1368">
      <w:rPr>
        <w:i/>
      </w:rPr>
      <w:t xml:space="preserve"> and </w:t>
    </w:r>
    <w:r w:rsidR="00DC1368" w:rsidRPr="00DC1368">
      <w:rPr>
        <w:i/>
      </w:rPr>
      <w:t>Recurrent Neural Networks</w:t>
    </w:r>
    <w:r w:rsidR="00DD3D9E">
      <w:rPr>
        <w:rStyle w:val="aa"/>
        <w:i/>
        <w:sz w:val="24"/>
      </w:rPr>
      <w:tab/>
    </w:r>
    <w:r w:rsidR="00DD3D9E">
      <w:rPr>
        <w:rStyle w:val="a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D2889"/>
    <w:rsid w:val="000D3D9B"/>
    <w:rsid w:val="000D7AAB"/>
    <w:rsid w:val="0012338D"/>
    <w:rsid w:val="001400AF"/>
    <w:rsid w:val="001548E5"/>
    <w:rsid w:val="0016032F"/>
    <w:rsid w:val="001879F6"/>
    <w:rsid w:val="00187E43"/>
    <w:rsid w:val="001B2E7D"/>
    <w:rsid w:val="001C0148"/>
    <w:rsid w:val="001C757E"/>
    <w:rsid w:val="00200967"/>
    <w:rsid w:val="0020390F"/>
    <w:rsid w:val="00236E5C"/>
    <w:rsid w:val="00264926"/>
    <w:rsid w:val="002E543F"/>
    <w:rsid w:val="0036476D"/>
    <w:rsid w:val="0038761E"/>
    <w:rsid w:val="003D1582"/>
    <w:rsid w:val="003D3541"/>
    <w:rsid w:val="003D7E4C"/>
    <w:rsid w:val="003E41C2"/>
    <w:rsid w:val="0049772C"/>
    <w:rsid w:val="00511ACF"/>
    <w:rsid w:val="00523F86"/>
    <w:rsid w:val="00524D0A"/>
    <w:rsid w:val="005271AD"/>
    <w:rsid w:val="00534B95"/>
    <w:rsid w:val="00552EEB"/>
    <w:rsid w:val="00571157"/>
    <w:rsid w:val="005F1379"/>
    <w:rsid w:val="00692427"/>
    <w:rsid w:val="006A69BF"/>
    <w:rsid w:val="00711DF4"/>
    <w:rsid w:val="00772466"/>
    <w:rsid w:val="007C6DE7"/>
    <w:rsid w:val="007D70A1"/>
    <w:rsid w:val="007E5B83"/>
    <w:rsid w:val="008132E8"/>
    <w:rsid w:val="00823407"/>
    <w:rsid w:val="00826E69"/>
    <w:rsid w:val="008B0184"/>
    <w:rsid w:val="008C5D02"/>
    <w:rsid w:val="008C7852"/>
    <w:rsid w:val="008D2649"/>
    <w:rsid w:val="0090568D"/>
    <w:rsid w:val="00905803"/>
    <w:rsid w:val="009125C9"/>
    <w:rsid w:val="00913879"/>
    <w:rsid w:val="00917661"/>
    <w:rsid w:val="00970E5D"/>
    <w:rsid w:val="0097701C"/>
    <w:rsid w:val="00980A65"/>
    <w:rsid w:val="009A6100"/>
    <w:rsid w:val="009E003E"/>
    <w:rsid w:val="009F67D5"/>
    <w:rsid w:val="00A25E70"/>
    <w:rsid w:val="00A33765"/>
    <w:rsid w:val="00A63269"/>
    <w:rsid w:val="00A76B1A"/>
    <w:rsid w:val="00A86DB5"/>
    <w:rsid w:val="00A92377"/>
    <w:rsid w:val="00AB29ED"/>
    <w:rsid w:val="00AD03C2"/>
    <w:rsid w:val="00AE4230"/>
    <w:rsid w:val="00AE4BD8"/>
    <w:rsid w:val="00AE562A"/>
    <w:rsid w:val="00B4388F"/>
    <w:rsid w:val="00B63237"/>
    <w:rsid w:val="00C55D42"/>
    <w:rsid w:val="00C960DC"/>
    <w:rsid w:val="00D02C75"/>
    <w:rsid w:val="00D10E22"/>
    <w:rsid w:val="00D13D2C"/>
    <w:rsid w:val="00D536F4"/>
    <w:rsid w:val="00D65747"/>
    <w:rsid w:val="00D9191E"/>
    <w:rsid w:val="00DC1368"/>
    <w:rsid w:val="00DC2F94"/>
    <w:rsid w:val="00DC4FAF"/>
    <w:rsid w:val="00DC522A"/>
    <w:rsid w:val="00DD3D9E"/>
    <w:rsid w:val="00DD7908"/>
    <w:rsid w:val="00DF4E13"/>
    <w:rsid w:val="00E317C6"/>
    <w:rsid w:val="00E82297"/>
    <w:rsid w:val="00ED7A36"/>
    <w:rsid w:val="00EE2233"/>
    <w:rsid w:val="00EE6C02"/>
    <w:rsid w:val="00EF39FD"/>
    <w:rsid w:val="00F06842"/>
    <w:rsid w:val="00F107FD"/>
    <w:rsid w:val="00FB6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212</TotalTime>
  <Pages>6</Pages>
  <Words>2012</Words>
  <Characters>11470</Characters>
  <Application>Microsoft Office Word</Application>
  <DocSecurity>0</DocSecurity>
  <Lines>95</Lines>
  <Paragraphs>26</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Psetono Kyototono</cp:lastModifiedBy>
  <cp:revision>38</cp:revision>
  <cp:lastPrinted>2024-01-10T01:35:00Z</cp:lastPrinted>
  <dcterms:created xsi:type="dcterms:W3CDTF">2023-10-02T07:50:00Z</dcterms:created>
  <dcterms:modified xsi:type="dcterms:W3CDTF">2024-01-11T04:40:00Z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