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38527ADD" w:rsidR="00DD3D9E" w:rsidRPr="00B4388F" w:rsidRDefault="00AA3D21">
      <w:pPr>
        <w:pStyle w:val="Els-Title"/>
        <w:rPr>
          <w:color w:val="000000" w:themeColor="text1"/>
        </w:rPr>
      </w:pPr>
      <w:r w:rsidRPr="00AA3D21">
        <w:rPr>
          <w:i/>
          <w:iCs/>
          <w:color w:val="000000" w:themeColor="text1"/>
        </w:rPr>
        <w:t>Ab Initio</w:t>
      </w:r>
      <w:r>
        <w:rPr>
          <w:color w:val="000000" w:themeColor="text1"/>
        </w:rPr>
        <w:t xml:space="preserve"> Prediction of Surface Tension from Fundamental Equations of State using Density Gradient Theory (DGT)</w:t>
      </w:r>
    </w:p>
    <w:p w14:paraId="144DE680" w14:textId="16A8FDBE" w:rsidR="00DD3D9E" w:rsidRPr="00BB661C" w:rsidRDefault="00AA3D21">
      <w:pPr>
        <w:pStyle w:val="Els-Author"/>
        <w:rPr>
          <w:lang w:val="en-US"/>
        </w:rPr>
      </w:pPr>
      <w:r>
        <w:t xml:space="preserve">Anna </w:t>
      </w:r>
      <w:r>
        <w:rPr>
          <w:lang w:val="cs-CZ"/>
        </w:rPr>
        <w:t>Šmídová, Lukáš Šatura, Alexandr Zubov</w:t>
      </w:r>
      <w:r w:rsidR="00BB661C" w:rsidRPr="00BB661C">
        <w:rPr>
          <w:vertAlign w:val="superscript"/>
          <w:lang w:val="en-US"/>
        </w:rPr>
        <w:t>*</w:t>
      </w:r>
    </w:p>
    <w:p w14:paraId="144DE681" w14:textId="0342FEA7" w:rsidR="00AA3D21" w:rsidRDefault="00AA3D21" w:rsidP="00AA3D21">
      <w:pPr>
        <w:pStyle w:val="Els-Affiliation"/>
      </w:pPr>
      <w:r>
        <w:t xml:space="preserve">Department of Chemical Engineering, University of Chemistry and Technology Prague, </w:t>
      </w:r>
      <w:r>
        <w:br/>
        <w:t>Technická 5, Praha 6 – Dejvice, 166 28, Czech Republic</w:t>
      </w:r>
    </w:p>
    <w:p w14:paraId="144DE683" w14:textId="418C0AB9" w:rsidR="008D2649" w:rsidRPr="00A94774" w:rsidRDefault="00BB661C" w:rsidP="008D2649">
      <w:pPr>
        <w:pStyle w:val="Els-Affiliation"/>
        <w:spacing w:after="120"/>
      </w:pPr>
      <w:r w:rsidRPr="00BB661C">
        <w:rPr>
          <w:vertAlign w:val="superscript"/>
        </w:rPr>
        <w:t>*</w:t>
      </w:r>
      <w:r>
        <w:t xml:space="preserve">Corresponding author: </w:t>
      </w:r>
      <w:r w:rsidR="00AA3D21">
        <w:t>alexandr.zubov</w:t>
      </w:r>
      <w:r w:rsidR="008D2649" w:rsidRPr="00D22E38">
        <w:t>@</w:t>
      </w:r>
      <w:r w:rsidR="00AA3D21">
        <w:t>vscht.cz</w:t>
      </w:r>
    </w:p>
    <w:p w14:paraId="144DE684" w14:textId="77777777" w:rsidR="008D2649" w:rsidRDefault="008D2649" w:rsidP="008D2649">
      <w:pPr>
        <w:pStyle w:val="Els-Abstract"/>
      </w:pPr>
      <w:r>
        <w:t>Abstract</w:t>
      </w:r>
    </w:p>
    <w:p w14:paraId="6AB57A40" w14:textId="5432D249" w:rsidR="00C55DB1" w:rsidRDefault="00DF1083" w:rsidP="00C55DB1">
      <w:pPr>
        <w:jc w:val="both"/>
        <w:rPr>
          <w:lang w:val="en-US"/>
        </w:rPr>
      </w:pPr>
      <w:r>
        <w:rPr>
          <w:lang w:val="en-US"/>
        </w:rPr>
        <w:t>T</w:t>
      </w:r>
      <w:r w:rsidR="00C55DB1" w:rsidRPr="00471426">
        <w:rPr>
          <w:lang w:val="en-US"/>
        </w:rPr>
        <w:t>he density gradient theory</w:t>
      </w:r>
      <w:r w:rsidR="00C55DB1">
        <w:rPr>
          <w:lang w:val="en-US"/>
        </w:rPr>
        <w:t xml:space="preserve"> (DGT), </w:t>
      </w:r>
      <w:r w:rsidR="00C55DB1" w:rsidRPr="00471426">
        <w:rPr>
          <w:lang w:val="en-US"/>
        </w:rPr>
        <w:t>is used to predict</w:t>
      </w:r>
      <w:r w:rsidR="00C55DB1">
        <w:rPr>
          <w:lang w:val="en-US"/>
        </w:rPr>
        <w:t xml:space="preserve"> </w:t>
      </w:r>
      <w:r w:rsidR="00C55DB1" w:rsidRPr="00471426">
        <w:rPr>
          <w:lang w:val="en-US"/>
        </w:rPr>
        <w:t xml:space="preserve">interfacial and surface tension, along with other thermodynamic parameters, for various chemical systems. </w:t>
      </w:r>
      <w:r w:rsidR="00C55DB1">
        <w:rPr>
          <w:lang w:val="en-US"/>
        </w:rPr>
        <w:t>DGT can be formulated based purely on the equations of state (EoS) describing thermodynamic equilibrium at the interface between studied phases without need of any parameter estimation</w:t>
      </w:r>
      <w:r>
        <w:rPr>
          <w:lang w:val="en-US"/>
        </w:rPr>
        <w:t>.</w:t>
      </w:r>
      <w:r w:rsidR="00C55DB1" w:rsidRPr="00471426">
        <w:rPr>
          <w:lang w:val="en-US"/>
        </w:rPr>
        <w:t xml:space="preserve"> To ensure better numerical stability, </w:t>
      </w:r>
      <w:r w:rsidR="007332DA">
        <w:rPr>
          <w:lang w:val="en-US"/>
        </w:rPr>
        <w:t xml:space="preserve">we </w:t>
      </w:r>
      <w:r w:rsidR="00E03E8B">
        <w:rPr>
          <w:lang w:val="en-US"/>
        </w:rPr>
        <w:t>introduce</w:t>
      </w:r>
      <w:r w:rsidR="007332DA">
        <w:rPr>
          <w:lang w:val="en-US"/>
        </w:rPr>
        <w:t xml:space="preserve"> </w:t>
      </w:r>
      <w:r w:rsidR="00C55DB1" w:rsidRPr="00471426">
        <w:rPr>
          <w:lang w:val="en-US"/>
        </w:rPr>
        <w:t xml:space="preserve">a time-dependent Cahn-Hilliard </w:t>
      </w:r>
      <w:r w:rsidR="00E03E8B">
        <w:rPr>
          <w:lang w:val="en-US"/>
        </w:rPr>
        <w:t>equation into DGT formulation</w:t>
      </w:r>
      <w:r w:rsidR="00C55DB1" w:rsidRPr="00471426">
        <w:rPr>
          <w:lang w:val="en-US"/>
        </w:rPr>
        <w:t xml:space="preserve"> for the calculation of the density equilibrium profil</w:t>
      </w:r>
      <w:r w:rsidR="00201643">
        <w:rPr>
          <w:lang w:val="en-US"/>
        </w:rPr>
        <w:t>e.</w:t>
      </w:r>
      <w:r w:rsidR="00C55DB1" w:rsidRPr="00471426">
        <w:rPr>
          <w:lang w:val="en-US"/>
        </w:rPr>
        <w:t xml:space="preserve"> </w:t>
      </w:r>
      <w:r w:rsidR="00C77F70">
        <w:rPr>
          <w:lang w:val="en-US"/>
        </w:rPr>
        <w:t xml:space="preserve">In this contribution we focus on </w:t>
      </w:r>
      <w:r w:rsidR="00B321C0">
        <w:rPr>
          <w:lang w:val="en-US"/>
        </w:rPr>
        <w:t>using t</w:t>
      </w:r>
      <w:r w:rsidR="00C55DB1" w:rsidRPr="00471426">
        <w:rPr>
          <w:lang w:val="en-US"/>
        </w:rPr>
        <w:t xml:space="preserve">he van der Waals </w:t>
      </w:r>
      <w:r w:rsidR="00B321C0">
        <w:rPr>
          <w:lang w:val="en-US"/>
        </w:rPr>
        <w:t>EoS</w:t>
      </w:r>
      <w:r w:rsidR="00C55DB1" w:rsidRPr="00471426">
        <w:rPr>
          <w:lang w:val="en-US"/>
        </w:rPr>
        <w:t xml:space="preserve"> and its modification, van der Waals-711</w:t>
      </w:r>
      <w:r w:rsidR="00B321C0">
        <w:rPr>
          <w:lang w:val="en-US"/>
        </w:rPr>
        <w:t>,</w:t>
      </w:r>
      <w:r w:rsidR="00C55DB1" w:rsidRPr="00471426">
        <w:rPr>
          <w:lang w:val="en-US"/>
        </w:rPr>
        <w:t xml:space="preserve"> for one-component vapor-liquid systems, </w:t>
      </w:r>
      <w:r w:rsidR="00B321C0">
        <w:rPr>
          <w:lang w:val="en-US"/>
        </w:rPr>
        <w:t>and</w:t>
      </w:r>
      <w:r w:rsidR="00C55DB1" w:rsidRPr="00471426">
        <w:rPr>
          <w:lang w:val="en-US"/>
        </w:rPr>
        <w:t xml:space="preserve"> the</w:t>
      </w:r>
      <w:r w:rsidR="00B321C0">
        <w:rPr>
          <w:lang w:val="en-US"/>
        </w:rPr>
        <w:t xml:space="preserve"> use of</w:t>
      </w:r>
      <w:r w:rsidR="00C55DB1" w:rsidRPr="00471426">
        <w:rPr>
          <w:lang w:val="en-US"/>
        </w:rPr>
        <w:t xml:space="preserve"> Flory-Huggins equation is </w:t>
      </w:r>
      <w:r w:rsidR="00B321C0">
        <w:rPr>
          <w:lang w:val="en-US"/>
        </w:rPr>
        <w:t xml:space="preserve">demonstrated </w:t>
      </w:r>
      <w:r w:rsidR="00C55DB1" w:rsidRPr="00471426">
        <w:rPr>
          <w:lang w:val="en-US"/>
        </w:rPr>
        <w:t xml:space="preserve">for </w:t>
      </w:r>
      <w:r w:rsidR="00E3280C">
        <w:rPr>
          <w:lang w:val="en-US"/>
        </w:rPr>
        <w:t xml:space="preserve">one </w:t>
      </w:r>
      <w:r w:rsidR="00C55DB1" w:rsidRPr="00471426">
        <w:rPr>
          <w:lang w:val="en-US"/>
        </w:rPr>
        <w:t>polymer-solvent system. The obtained results are compared with available experimental data</w:t>
      </w:r>
      <w:r w:rsidR="00C55DB1">
        <w:rPr>
          <w:lang w:val="en-US"/>
        </w:rPr>
        <w:t xml:space="preserve"> and indicate that this </w:t>
      </w:r>
      <w:r w:rsidR="00C55DB1">
        <w:rPr>
          <w:i/>
          <w:iCs/>
          <w:lang w:val="en-US"/>
        </w:rPr>
        <w:t xml:space="preserve">ab initio </w:t>
      </w:r>
      <w:r w:rsidR="00C55DB1">
        <w:rPr>
          <w:lang w:val="en-US"/>
        </w:rPr>
        <w:t xml:space="preserve">approach is capable of predicting the surface/interfacial tension in </w:t>
      </w:r>
      <w:r>
        <w:rPr>
          <w:lang w:val="en-US"/>
        </w:rPr>
        <w:t>reasonable</w:t>
      </w:r>
      <w:r w:rsidR="00C55DB1">
        <w:rPr>
          <w:lang w:val="en-US"/>
        </w:rPr>
        <w:t xml:space="preserve"> agreement with experiment</w:t>
      </w:r>
      <w:r>
        <w:rPr>
          <w:lang w:val="en-US"/>
        </w:rPr>
        <w:t>al data</w:t>
      </w:r>
      <w:r w:rsidR="00C55DB1" w:rsidRPr="00471426">
        <w:rPr>
          <w:lang w:val="en-US"/>
        </w:rPr>
        <w:t>.</w:t>
      </w:r>
    </w:p>
    <w:p w14:paraId="3E2598BC" w14:textId="77777777" w:rsidR="00D55114" w:rsidRDefault="00D55114" w:rsidP="00C55DB1">
      <w:pPr>
        <w:jc w:val="both"/>
        <w:rPr>
          <w:lang w:val="en-US"/>
        </w:rPr>
      </w:pPr>
    </w:p>
    <w:p w14:paraId="144DE687" w14:textId="288FFAE2" w:rsidR="008D2649" w:rsidRDefault="008D2649" w:rsidP="008D2649">
      <w:pPr>
        <w:pStyle w:val="Els-body-text"/>
        <w:spacing w:after="120"/>
        <w:rPr>
          <w:lang w:val="en-GB"/>
        </w:rPr>
      </w:pPr>
      <w:r>
        <w:rPr>
          <w:b/>
          <w:bCs/>
          <w:lang w:val="en-GB"/>
        </w:rPr>
        <w:t>Keywords</w:t>
      </w:r>
      <w:r>
        <w:rPr>
          <w:lang w:val="en-GB"/>
        </w:rPr>
        <w:t xml:space="preserve">: </w:t>
      </w:r>
      <w:r w:rsidR="00FD4258">
        <w:rPr>
          <w:lang w:val="en-GB"/>
        </w:rPr>
        <w:t>d</w:t>
      </w:r>
      <w:r w:rsidR="00D55114">
        <w:rPr>
          <w:lang w:val="en-GB"/>
        </w:rPr>
        <w:t xml:space="preserve">ensity </w:t>
      </w:r>
      <w:r w:rsidR="00FD4258">
        <w:rPr>
          <w:lang w:val="en-GB"/>
        </w:rPr>
        <w:t>g</w:t>
      </w:r>
      <w:r w:rsidR="00D55114">
        <w:rPr>
          <w:lang w:val="en-GB"/>
        </w:rPr>
        <w:t xml:space="preserve">radient </w:t>
      </w:r>
      <w:r w:rsidR="00FD4258">
        <w:rPr>
          <w:lang w:val="en-GB"/>
        </w:rPr>
        <w:t>t</w:t>
      </w:r>
      <w:r w:rsidR="00D55114">
        <w:rPr>
          <w:lang w:val="en-GB"/>
        </w:rPr>
        <w:t>heory, surface tension, vapor-liquid equilibria, Cahn-Hilliard model</w:t>
      </w:r>
      <w:r w:rsidR="00F83897">
        <w:rPr>
          <w:lang w:val="en-GB"/>
        </w:rPr>
        <w:t>, van der Waals equation of state</w:t>
      </w:r>
      <w:r>
        <w:rPr>
          <w:lang w:val="en-GB"/>
        </w:rPr>
        <w:t>.</w:t>
      </w:r>
    </w:p>
    <w:p w14:paraId="144DE689" w14:textId="793DD1F7" w:rsidR="008D2649" w:rsidRDefault="00D84E7D" w:rsidP="008D2649">
      <w:pPr>
        <w:pStyle w:val="Els-1storder-head"/>
      </w:pPr>
      <w:r>
        <w:t>Introduction</w:t>
      </w:r>
    </w:p>
    <w:p w14:paraId="71B7A015" w14:textId="69CE2712" w:rsidR="00491A0F" w:rsidRDefault="00FB2A95" w:rsidP="00DF1083">
      <w:pPr>
        <w:jc w:val="both"/>
        <w:rPr>
          <w:lang w:val="en-US"/>
        </w:rPr>
      </w:pPr>
      <w:r>
        <w:rPr>
          <w:lang w:val="en-US"/>
        </w:rPr>
        <w:t xml:space="preserve">Knowledge of surface/interfacial tension is crucial in many branches of science and engineering. </w:t>
      </w:r>
      <w:r w:rsidR="00491A0F">
        <w:rPr>
          <w:lang w:val="en-US"/>
        </w:rPr>
        <w:t xml:space="preserve">Motivation for this work stems from mathematical modelling of morphology evolution (typically done using Cahn-Hilliard approach) in complex polymer mixtures undergoing phase separation, such as during production of hollow fiber membranes, high-impact polymers or porous </w:t>
      </w:r>
      <w:r w:rsidR="00AD6EF2">
        <w:rPr>
          <w:lang w:val="en-US"/>
        </w:rPr>
        <w:t>polymeric materials</w:t>
      </w:r>
      <w:r w:rsidR="00491A0F">
        <w:rPr>
          <w:lang w:val="en-US"/>
        </w:rPr>
        <w:t xml:space="preserve"> with </w:t>
      </w:r>
      <w:r w:rsidR="00CA5E0B">
        <w:rPr>
          <w:lang w:val="en-US"/>
        </w:rPr>
        <w:t>well-</w:t>
      </w:r>
      <w:r w:rsidR="00491A0F">
        <w:rPr>
          <w:lang w:val="en-US"/>
        </w:rPr>
        <w:t xml:space="preserve">defined porous microstructure. Models describing these processes contain the so-called interfacial parameter usually denoted as </w:t>
      </w:r>
      <w:r w:rsidR="00491A0F" w:rsidRPr="00491A0F">
        <w:rPr>
          <w:rFonts w:ascii="Symbol" w:hAnsi="Symbol"/>
          <w:i/>
          <w:iCs/>
          <w:lang w:val="en-US"/>
        </w:rPr>
        <w:t>k</w:t>
      </w:r>
      <w:r w:rsidR="00491A0F" w:rsidRPr="00491A0F">
        <w:rPr>
          <w:rFonts w:ascii="Symbol" w:hAnsi="Symbol"/>
          <w:lang w:val="en-US"/>
        </w:rPr>
        <w:t>,</w:t>
      </w:r>
      <w:r w:rsidR="00491A0F">
        <w:rPr>
          <w:lang w:val="en-US"/>
        </w:rPr>
        <w:t xml:space="preserve"> which has significant impact on the resulting multi-phase morphology, is connected to interfacial tension between co-existing and evolving phases, and has usually highly uncertain value (Nistor </w:t>
      </w:r>
      <w:r w:rsidR="00491A0F" w:rsidRPr="00491A0F">
        <w:rPr>
          <w:i/>
          <w:iCs/>
          <w:lang w:val="en-US"/>
        </w:rPr>
        <w:t>et al</w:t>
      </w:r>
      <w:r w:rsidR="00491A0F">
        <w:rPr>
          <w:lang w:val="en-US"/>
        </w:rPr>
        <w:t>., 2017).</w:t>
      </w:r>
    </w:p>
    <w:p w14:paraId="62FC4035" w14:textId="3B9CDC74" w:rsidR="00491A0F" w:rsidRDefault="00491A0F" w:rsidP="00DF1083">
      <w:pPr>
        <w:jc w:val="both"/>
        <w:rPr>
          <w:lang w:val="en-US"/>
        </w:rPr>
      </w:pPr>
    </w:p>
    <w:p w14:paraId="391C1B95" w14:textId="01211C16" w:rsidR="003F4566" w:rsidRDefault="00DF1083" w:rsidP="00DF1083">
      <w:pPr>
        <w:jc w:val="both"/>
        <w:rPr>
          <w:lang w:val="en-US"/>
        </w:rPr>
      </w:pPr>
      <w:r>
        <w:rPr>
          <w:lang w:val="en-US"/>
        </w:rPr>
        <w:t>A</w:t>
      </w:r>
      <w:r w:rsidRPr="00471426">
        <w:rPr>
          <w:lang w:val="en-US"/>
        </w:rPr>
        <w:t xml:space="preserve"> thermodynamically consistent approach</w:t>
      </w:r>
      <w:r w:rsidR="007E5659">
        <w:rPr>
          <w:lang w:val="en-US"/>
        </w:rPr>
        <w:t>es</w:t>
      </w:r>
      <w:r w:rsidR="00FD4258">
        <w:rPr>
          <w:lang w:val="en-US"/>
        </w:rPr>
        <w:t>,</w:t>
      </w:r>
      <w:r w:rsidR="007E5659">
        <w:rPr>
          <w:lang w:val="en-US"/>
        </w:rPr>
        <w:t xml:space="preserve"> such as</w:t>
      </w:r>
      <w:r w:rsidRPr="00471426">
        <w:rPr>
          <w:lang w:val="en-US"/>
        </w:rPr>
        <w:t xml:space="preserve"> </w:t>
      </w:r>
      <w:r>
        <w:rPr>
          <w:lang w:val="en-US"/>
        </w:rPr>
        <w:t>t</w:t>
      </w:r>
      <w:r w:rsidRPr="00471426">
        <w:rPr>
          <w:lang w:val="en-US"/>
        </w:rPr>
        <w:t>he density gradient theory</w:t>
      </w:r>
      <w:r>
        <w:rPr>
          <w:lang w:val="en-US"/>
        </w:rPr>
        <w:t xml:space="preserve"> (DGT)</w:t>
      </w:r>
      <w:r w:rsidR="007E5659">
        <w:rPr>
          <w:lang w:val="en-US"/>
        </w:rPr>
        <w:t xml:space="preserve"> and related classical density functional theory (cDFT)</w:t>
      </w:r>
      <w:r>
        <w:rPr>
          <w:lang w:val="en-US"/>
        </w:rPr>
        <w:t xml:space="preserve">, </w:t>
      </w:r>
      <w:r w:rsidR="007E5659">
        <w:rPr>
          <w:lang w:val="en-US"/>
        </w:rPr>
        <w:t>are</w:t>
      </w:r>
      <w:r w:rsidRPr="00471426">
        <w:rPr>
          <w:lang w:val="en-US"/>
        </w:rPr>
        <w:t xml:space="preserve"> used to predict</w:t>
      </w:r>
      <w:r>
        <w:rPr>
          <w:lang w:val="en-US"/>
        </w:rPr>
        <w:t xml:space="preserve"> </w:t>
      </w:r>
      <w:r w:rsidRPr="00471426">
        <w:rPr>
          <w:lang w:val="en-US"/>
        </w:rPr>
        <w:t xml:space="preserve">interfacial and surface tension, along with other thermodynamic parameters, for various chemical systems. </w:t>
      </w:r>
      <w:r>
        <w:rPr>
          <w:lang w:val="en-US"/>
        </w:rPr>
        <w:t xml:space="preserve">DGT can be formulated based purely on the equations of state (EoS) describing thermodynamic equilibrium at the interface between studied phases without need of any parameter estimation. </w:t>
      </w:r>
      <w:r w:rsidR="00932632">
        <w:rPr>
          <w:lang w:val="en-US"/>
        </w:rPr>
        <w:t xml:space="preserve">In this formulation, the total free energy of the system </w:t>
      </w:r>
      <w:r w:rsidR="003F4566">
        <w:rPr>
          <w:lang w:val="en-US"/>
        </w:rPr>
        <w:t xml:space="preserve">as a function of the density </w:t>
      </w:r>
      <w:r w:rsidR="00932632">
        <w:rPr>
          <w:lang w:val="en-US"/>
        </w:rPr>
        <w:t xml:space="preserve">at the boundary between two phases consists of </w:t>
      </w:r>
      <w:r w:rsidR="003F4566">
        <w:rPr>
          <w:lang w:val="en-US"/>
        </w:rPr>
        <w:t xml:space="preserve">the bulk contribution and </w:t>
      </w:r>
      <w:r w:rsidR="003F4566">
        <w:rPr>
          <w:lang w:val="en-US"/>
        </w:rPr>
        <w:lastRenderedPageBreak/>
        <w:t>weakly non-local terms, which are dependent on the first gradients of density</w:t>
      </w:r>
      <w:r w:rsidR="00915312">
        <w:rPr>
          <w:lang w:val="en-US"/>
        </w:rPr>
        <w:t xml:space="preserve"> (Landau and Lifshitz, 1980)</w:t>
      </w:r>
      <w:r w:rsidR="003F4566">
        <w:rPr>
          <w:lang w:val="en-US"/>
        </w:rPr>
        <w:t xml:space="preserve">. </w:t>
      </w:r>
    </w:p>
    <w:p w14:paraId="6BB3073F" w14:textId="77777777" w:rsidR="003F4566" w:rsidRDefault="003F4566" w:rsidP="00DF1083">
      <w:pPr>
        <w:jc w:val="both"/>
        <w:rPr>
          <w:lang w:val="en-US"/>
        </w:rPr>
      </w:pPr>
    </w:p>
    <w:p w14:paraId="0ADEB725" w14:textId="7892816F" w:rsidR="002C23C6" w:rsidRDefault="003F4566" w:rsidP="00DF1083">
      <w:pPr>
        <w:jc w:val="both"/>
        <w:rPr>
          <w:lang w:val="en-US"/>
        </w:rPr>
      </w:pPr>
      <w:r>
        <w:rPr>
          <w:lang w:val="en-US"/>
        </w:rPr>
        <w:t>DGT</w:t>
      </w:r>
      <w:r w:rsidR="00DF1083" w:rsidRPr="00471426">
        <w:rPr>
          <w:lang w:val="en-US"/>
        </w:rPr>
        <w:t xml:space="preserve"> is usually formulated as a boundary value problem</w:t>
      </w:r>
      <w:r w:rsidR="00DF1083">
        <w:rPr>
          <w:lang w:val="en-US"/>
        </w:rPr>
        <w:t xml:space="preserve"> (BVP), in which the pre-calculated equilibrium bulk densities of both phases form boundaries of the computational domain, while the interface is treated as a continuous spatial profile of varying density, having typical sigmoidal shape. From the estimated spatial density profile, surface</w:t>
      </w:r>
      <w:r w:rsidR="0005314E">
        <w:rPr>
          <w:lang w:val="en-US"/>
        </w:rPr>
        <w:t xml:space="preserve"> (</w:t>
      </w:r>
      <w:r w:rsidR="00DF1083">
        <w:rPr>
          <w:lang w:val="en-US"/>
        </w:rPr>
        <w:t>interfacial</w:t>
      </w:r>
      <w:r w:rsidR="0005314E">
        <w:rPr>
          <w:lang w:val="en-US"/>
        </w:rPr>
        <w:t>)</w:t>
      </w:r>
      <w:r w:rsidR="00DF1083">
        <w:rPr>
          <w:lang w:val="en-US"/>
        </w:rPr>
        <w:t xml:space="preserve"> tension can be predicted. </w:t>
      </w:r>
      <w:r w:rsidR="00C41682">
        <w:rPr>
          <w:lang w:val="en-US"/>
        </w:rPr>
        <w:t xml:space="preserve">However, </w:t>
      </w:r>
      <w:r w:rsidR="00DF1083">
        <w:rPr>
          <w:lang w:val="en-US"/>
        </w:rPr>
        <w:t>BVP formulation of DGT often suffers from numerical issues, as large systems of nonlinear equations need to be solved to obtain equilibrium density profile at the interface</w:t>
      </w:r>
      <w:r w:rsidR="00564378">
        <w:rPr>
          <w:lang w:val="en-US"/>
        </w:rPr>
        <w:t xml:space="preserve"> (Liang and Michelsen, 2017)</w:t>
      </w:r>
      <w:r w:rsidR="00DF1083">
        <w:rPr>
          <w:lang w:val="en-US"/>
        </w:rPr>
        <w:t>.</w:t>
      </w:r>
    </w:p>
    <w:p w14:paraId="20936326" w14:textId="7DDE76DA" w:rsidR="00DF1083" w:rsidRDefault="00DF1083" w:rsidP="00C51A74">
      <w:pPr>
        <w:ind w:firstLine="720"/>
        <w:jc w:val="both"/>
        <w:rPr>
          <w:lang w:val="en-US"/>
        </w:rPr>
      </w:pPr>
      <w:r w:rsidRPr="00471426">
        <w:rPr>
          <w:lang w:val="en-US"/>
        </w:rPr>
        <w:t xml:space="preserve">To ensure better numerical stability, </w:t>
      </w:r>
      <w:r>
        <w:rPr>
          <w:lang w:val="en-US"/>
        </w:rPr>
        <w:t>we</w:t>
      </w:r>
      <w:r w:rsidR="002C23C6">
        <w:rPr>
          <w:lang w:val="en-US"/>
        </w:rPr>
        <w:t xml:space="preserve"> follow the work of </w:t>
      </w:r>
      <w:r w:rsidR="002C23C6">
        <w:rPr>
          <w:lang w:val="cs-CZ"/>
        </w:rPr>
        <w:t xml:space="preserve">Šatura </w:t>
      </w:r>
      <w:r w:rsidR="002C23C6" w:rsidRPr="008C2D6D">
        <w:rPr>
          <w:i/>
          <w:iCs/>
          <w:lang w:val="cs-CZ"/>
        </w:rPr>
        <w:t>et al</w:t>
      </w:r>
      <w:r w:rsidR="002C23C6">
        <w:rPr>
          <w:lang w:val="cs-CZ"/>
        </w:rPr>
        <w:t>. (2022) and</w:t>
      </w:r>
      <w:r>
        <w:rPr>
          <w:lang w:val="en-US"/>
        </w:rPr>
        <w:t xml:space="preserve"> introduce </w:t>
      </w:r>
      <w:r w:rsidRPr="00471426">
        <w:rPr>
          <w:lang w:val="en-US"/>
        </w:rPr>
        <w:t xml:space="preserve">a time-dependent Cahn-Hilliard </w:t>
      </w:r>
      <w:r>
        <w:rPr>
          <w:lang w:val="en-US"/>
        </w:rPr>
        <w:t>equation into DGT formulation</w:t>
      </w:r>
      <w:r w:rsidRPr="00471426">
        <w:rPr>
          <w:lang w:val="en-US"/>
        </w:rPr>
        <w:t xml:space="preserve"> for the calculation of the density equilibrium profil</w:t>
      </w:r>
      <w:r>
        <w:rPr>
          <w:lang w:val="en-US"/>
        </w:rPr>
        <w:t>e.</w:t>
      </w:r>
      <w:r w:rsidRPr="00471426">
        <w:rPr>
          <w:lang w:val="en-US"/>
        </w:rPr>
        <w:t xml:space="preserve"> </w:t>
      </w:r>
      <w:r>
        <w:rPr>
          <w:lang w:val="en-US"/>
        </w:rPr>
        <w:t>In this contribution we focus on using t</w:t>
      </w:r>
      <w:r w:rsidRPr="00471426">
        <w:rPr>
          <w:lang w:val="en-US"/>
        </w:rPr>
        <w:t xml:space="preserve">he van der Waals </w:t>
      </w:r>
      <w:r>
        <w:rPr>
          <w:lang w:val="en-US"/>
        </w:rPr>
        <w:t>EoS</w:t>
      </w:r>
      <w:r w:rsidRPr="00471426">
        <w:rPr>
          <w:lang w:val="en-US"/>
        </w:rPr>
        <w:t xml:space="preserve"> and its modification, van der Waals-711</w:t>
      </w:r>
      <w:r>
        <w:rPr>
          <w:lang w:val="en-US"/>
        </w:rPr>
        <w:t>,</w:t>
      </w:r>
      <w:r w:rsidRPr="00471426">
        <w:rPr>
          <w:lang w:val="en-US"/>
        </w:rPr>
        <w:t xml:space="preserve"> for one-component vapor-liquid systems</w:t>
      </w:r>
      <w:r w:rsidR="00C64E2E">
        <w:rPr>
          <w:lang w:val="en-US"/>
        </w:rPr>
        <w:t xml:space="preserve"> (series of </w:t>
      </w:r>
      <w:r w:rsidR="00C02769">
        <w:rPr>
          <w:lang w:val="en-US"/>
        </w:rPr>
        <w:t xml:space="preserve">saturated </w:t>
      </w:r>
      <w:r w:rsidR="00B77D4B">
        <w:rPr>
          <w:lang w:val="en-US"/>
        </w:rPr>
        <w:t xml:space="preserve">liquid </w:t>
      </w:r>
      <w:r w:rsidR="00C64E2E">
        <w:rPr>
          <w:lang w:val="en-US"/>
        </w:rPr>
        <w:t>hydrocarbons)</w:t>
      </w:r>
      <w:r w:rsidRPr="00471426">
        <w:rPr>
          <w:lang w:val="en-US"/>
        </w:rPr>
        <w:t xml:space="preserve">, </w:t>
      </w:r>
      <w:r>
        <w:rPr>
          <w:lang w:val="en-US"/>
        </w:rPr>
        <w:t>and</w:t>
      </w:r>
      <w:r w:rsidRPr="00471426">
        <w:rPr>
          <w:lang w:val="en-US"/>
        </w:rPr>
        <w:t xml:space="preserve"> the</w:t>
      </w:r>
      <w:r>
        <w:rPr>
          <w:lang w:val="en-US"/>
        </w:rPr>
        <w:t xml:space="preserve"> use of</w:t>
      </w:r>
      <w:r w:rsidRPr="00471426">
        <w:rPr>
          <w:lang w:val="en-US"/>
        </w:rPr>
        <w:t xml:space="preserve"> Flory-Huggins equation is </w:t>
      </w:r>
      <w:r>
        <w:rPr>
          <w:lang w:val="en-US"/>
        </w:rPr>
        <w:t xml:space="preserve">demonstrated </w:t>
      </w:r>
      <w:r w:rsidRPr="00471426">
        <w:rPr>
          <w:lang w:val="en-US"/>
        </w:rPr>
        <w:t xml:space="preserve">for </w:t>
      </w:r>
      <w:r>
        <w:rPr>
          <w:lang w:val="en-US"/>
        </w:rPr>
        <w:t xml:space="preserve">one </w:t>
      </w:r>
      <w:r w:rsidRPr="00471426">
        <w:rPr>
          <w:lang w:val="en-US"/>
        </w:rPr>
        <w:t>polymer-solvent system</w:t>
      </w:r>
      <w:r w:rsidR="0081097D">
        <w:rPr>
          <w:lang w:val="en-US"/>
        </w:rPr>
        <w:t xml:space="preserve"> (polystyrene-cyclohexane)</w:t>
      </w:r>
      <w:r w:rsidRPr="00471426">
        <w:rPr>
          <w:lang w:val="en-US"/>
        </w:rPr>
        <w:t xml:space="preserve">. </w:t>
      </w:r>
      <w:r w:rsidR="007F08F4">
        <w:rPr>
          <w:lang w:val="en-US"/>
        </w:rPr>
        <w:t xml:space="preserve">We compare performance of the extended vdW-711 EoS with the original vdW EoS in calculation of vapor-liquid equilibria (equilibrium densities and saturation pressures) and demonstrate ability of the presented approach to estimate surface and interfacial tension with decent accuracy without a need for model parameter estimation, i.e. </w:t>
      </w:r>
      <w:r w:rsidR="007F08F4">
        <w:rPr>
          <w:i/>
          <w:iCs/>
          <w:lang w:val="en-US"/>
        </w:rPr>
        <w:t>ab initio</w:t>
      </w:r>
      <w:r w:rsidR="007F08F4">
        <w:rPr>
          <w:lang w:val="en-US"/>
        </w:rPr>
        <w:t xml:space="preserve">. </w:t>
      </w:r>
    </w:p>
    <w:p w14:paraId="144DE699" w14:textId="02FB7B28" w:rsidR="008D2649" w:rsidRDefault="00024A5C" w:rsidP="008D2649">
      <w:pPr>
        <w:pStyle w:val="Els-1storder-head"/>
      </w:pPr>
      <w:r>
        <w:t>Mathematical Model</w:t>
      </w:r>
    </w:p>
    <w:p w14:paraId="144DE69A" w14:textId="637F5441" w:rsidR="008D2649" w:rsidRDefault="00C53092" w:rsidP="008D2649">
      <w:pPr>
        <w:pStyle w:val="Els-2ndorder-head"/>
      </w:pPr>
      <w:r>
        <w:t xml:space="preserve">Cahn-Hilliard </w:t>
      </w:r>
      <w:r w:rsidR="00F26195">
        <w:t>E</w:t>
      </w:r>
      <w:r>
        <w:t>quation</w:t>
      </w:r>
    </w:p>
    <w:p w14:paraId="0C0A2D53" w14:textId="1D9ED8A7" w:rsidR="00FE3F1B" w:rsidRDefault="00FE3F1B" w:rsidP="008D2649">
      <w:pPr>
        <w:pStyle w:val="Els-body-text"/>
      </w:pPr>
      <w:r>
        <w:t>Nonstationar</w:t>
      </w:r>
      <w:r w:rsidR="000D0C1A">
        <w:t>y, spatially one</w:t>
      </w:r>
      <w:r w:rsidR="00C9783D">
        <w:t>-</w:t>
      </w:r>
      <w:r w:rsidR="000D0C1A">
        <w:t>dimensional</w:t>
      </w:r>
      <w:r>
        <w:t xml:space="preserve"> molar balance of species in a one-component system with molar density </w:t>
      </w:r>
      <w:r w:rsidRPr="00FE3F1B">
        <w:rPr>
          <w:rFonts w:ascii="Symbol" w:hAnsi="Symbol"/>
          <w:i/>
          <w:iCs/>
        </w:rPr>
        <w:t>r</w:t>
      </w:r>
      <w:r>
        <w:t xml:space="preserve"> as a state variable, including non-local term describing surface energy of the interface between co-existing phases, is described by Cahn-Hilliard equation</w:t>
      </w:r>
    </w:p>
    <w:p w14:paraId="1CCEFB3C" w14:textId="4B88F793" w:rsidR="00115053" w:rsidRDefault="00115053" w:rsidP="008D2649">
      <w:pPr>
        <w:pStyle w:val="Els-body-text"/>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115053" w14:paraId="08E04F0D" w14:textId="77777777" w:rsidTr="00115053">
        <w:tc>
          <w:tcPr>
            <w:tcW w:w="6516" w:type="dxa"/>
            <w:vAlign w:val="center"/>
          </w:tcPr>
          <w:p w14:paraId="02A3BBA7" w14:textId="25EC1661" w:rsidR="00115053" w:rsidRDefault="000F5C0D" w:rsidP="00115053">
            <w:pPr>
              <w:pStyle w:val="Els-body-text"/>
              <w:jc w:val="left"/>
            </w:pPr>
            <m:oMathPara>
              <m:oMath>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RT</m:t>
                    </m:r>
                  </m:den>
                </m:f>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ρ</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∂ρ</m:t>
                            </m:r>
                          </m:den>
                        </m:f>
                        <m:r>
                          <w:rPr>
                            <w:rFonts w:ascii="Cambria Math" w:hAnsi="Cambria Math"/>
                          </w:rPr>
                          <m:t>-κ</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ρ</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e>
                    </m:d>
                  </m:e>
                </m:d>
              </m:oMath>
            </m:oMathPara>
          </w:p>
        </w:tc>
        <w:tc>
          <w:tcPr>
            <w:tcW w:w="560" w:type="dxa"/>
            <w:vAlign w:val="center"/>
          </w:tcPr>
          <w:p w14:paraId="5E62A1A6" w14:textId="4AFFE73D" w:rsidR="00115053" w:rsidRDefault="00115053" w:rsidP="00115053">
            <w:pPr>
              <w:pStyle w:val="Els-body-text"/>
              <w:jc w:val="left"/>
            </w:pPr>
            <w:r>
              <w:t>(1)</w:t>
            </w:r>
          </w:p>
        </w:tc>
      </w:tr>
    </w:tbl>
    <w:p w14:paraId="608EA6E1" w14:textId="3F431BAB" w:rsidR="00115053" w:rsidRDefault="00115053" w:rsidP="008D2649">
      <w:pPr>
        <w:pStyle w:val="Els-body-text"/>
      </w:pPr>
    </w:p>
    <w:p w14:paraId="0C893AA7" w14:textId="24EFFF27" w:rsidR="00115053" w:rsidRPr="009D6774" w:rsidRDefault="00115053" w:rsidP="008D2649">
      <w:pPr>
        <w:pStyle w:val="Els-body-text"/>
        <w:rPr>
          <w:lang w:val="cs-CZ"/>
        </w:rPr>
      </w:pPr>
      <w:r>
        <w:t xml:space="preserve">where </w:t>
      </w:r>
      <w:r w:rsidRPr="00713383">
        <w:rPr>
          <w:i/>
          <w:iCs/>
        </w:rPr>
        <w:t>R</w:t>
      </w:r>
      <w:r>
        <w:t xml:space="preserve"> denotes universal gas constant, </w:t>
      </w:r>
      <w:r w:rsidRPr="00713383">
        <w:rPr>
          <w:i/>
          <w:iCs/>
        </w:rPr>
        <w:t>T</w:t>
      </w:r>
      <w:r>
        <w:t xml:space="preserve"> is temperature, </w:t>
      </w:r>
      <w:r w:rsidRPr="00713383">
        <w:rPr>
          <w:i/>
          <w:iCs/>
        </w:rPr>
        <w:t>f</w:t>
      </w:r>
      <w:r>
        <w:t xml:space="preserve"> represents Helmholtz free energy density</w:t>
      </w:r>
      <w:r w:rsidR="00742EA6">
        <w:t>,</w:t>
      </w:r>
      <w:r>
        <w:t xml:space="preserve"> </w:t>
      </w:r>
      <w:r w:rsidRPr="00082054">
        <w:rPr>
          <w:rFonts w:ascii="Symbol" w:hAnsi="Symbol"/>
          <w:i/>
          <w:iCs/>
        </w:rPr>
        <w:t>k</w:t>
      </w:r>
      <w:r>
        <w:t xml:space="preserve"> is the interfacial (influence) parameter</w:t>
      </w:r>
      <w:r w:rsidR="00742EA6">
        <w:t xml:space="preserve">, and </w:t>
      </w:r>
      <w:r w:rsidR="00742EA6" w:rsidRPr="00742EA6">
        <w:rPr>
          <w:i/>
          <w:iCs/>
        </w:rPr>
        <w:t>t</w:t>
      </w:r>
      <w:r w:rsidR="00742EA6">
        <w:t xml:space="preserve">, </w:t>
      </w:r>
      <w:r w:rsidR="00742EA6" w:rsidRPr="00742EA6">
        <w:rPr>
          <w:i/>
          <w:iCs/>
        </w:rPr>
        <w:t>x</w:t>
      </w:r>
      <w:r w:rsidR="00742EA6">
        <w:t xml:space="preserve"> denote temporal and spatial coordinate, resp</w:t>
      </w:r>
      <w:r>
        <w:t>.</w:t>
      </w:r>
      <w:r w:rsidR="00713383">
        <w:t xml:space="preserve"> Mobility/diffusion coefficient </w:t>
      </w:r>
      <w:r w:rsidR="00713383" w:rsidRPr="00082054">
        <w:rPr>
          <w:i/>
          <w:iCs/>
        </w:rPr>
        <w:t>D</w:t>
      </w:r>
      <w:r w:rsidR="00713383">
        <w:t xml:space="preserve"> in our approach does not represent the actual diffusion coefficient of the species, but rather reflects rate at which the density profile at the interface evolves in time from the initial </w:t>
      </w:r>
      <w:r w:rsidR="00B43FD8">
        <w:t>condition</w:t>
      </w:r>
      <w:r w:rsidR="00713383">
        <w:t xml:space="preserve"> to the equilibrium shape between two co-existing phases.</w:t>
      </w:r>
      <w:r w:rsidR="009D6774">
        <w:t xml:space="preserve"> Term </w:t>
      </w:r>
      <w:r w:rsidR="009D6774">
        <w:rPr>
          <w:rFonts w:ascii="Symbol" w:hAnsi="Symbol"/>
        </w:rPr>
        <w:sym w:font="Symbol" w:char="F0B6"/>
      </w:r>
      <w:r w:rsidR="009D6774" w:rsidRPr="009D6774">
        <w:rPr>
          <w:i/>
          <w:iCs/>
        </w:rPr>
        <w:t>f</w:t>
      </w:r>
      <w:r w:rsidR="009D6774">
        <w:t>/</w:t>
      </w:r>
      <w:r w:rsidR="009D6774">
        <w:rPr>
          <w:rFonts w:ascii="Symbol" w:hAnsi="Symbol"/>
        </w:rPr>
        <w:sym w:font="Symbol" w:char="F0B6"/>
      </w:r>
      <w:r w:rsidR="009D6774" w:rsidRPr="008A1099">
        <w:rPr>
          <w:rFonts w:ascii="Symbol" w:hAnsi="Symbol"/>
          <w:i/>
          <w:iCs/>
        </w:rPr>
        <w:t>r</w:t>
      </w:r>
      <w:r w:rsidR="009D6774">
        <w:t xml:space="preserve"> represents chemical potential of</w:t>
      </w:r>
      <w:r w:rsidR="008A1099">
        <w:t xml:space="preserve"> diffusing species</w:t>
      </w:r>
      <w:r w:rsidR="001027CA">
        <w:t xml:space="preserve"> and takes specific form depending on the actual form of the Helmholtz free energy density </w:t>
      </w:r>
      <w:r w:rsidR="001027CA" w:rsidRPr="001027CA">
        <w:rPr>
          <w:i/>
          <w:iCs/>
        </w:rPr>
        <w:t>f</w:t>
      </w:r>
      <w:r w:rsidR="001027CA">
        <w:t xml:space="preserve">, which is derived from the equation of state describing the system (see Subsections 2.2 and 2.3 below). The interfacial parameter </w:t>
      </w:r>
      <w:r w:rsidR="001027CA" w:rsidRPr="001027CA">
        <w:rPr>
          <w:rFonts w:ascii="Symbol" w:hAnsi="Symbol"/>
          <w:i/>
          <w:iCs/>
        </w:rPr>
        <w:t>k</w:t>
      </w:r>
      <w:r w:rsidR="001027CA">
        <w:t xml:space="preserve"> can be estimated from properties of pure components as described </w:t>
      </w:r>
      <w:r w:rsidR="009035EA">
        <w:t>in Section 2.4</w:t>
      </w:r>
      <w:r w:rsidR="001027CA">
        <w:t>.</w:t>
      </w:r>
      <w:r w:rsidR="009D6774">
        <w:t xml:space="preserve"> </w:t>
      </w:r>
    </w:p>
    <w:p w14:paraId="26995021" w14:textId="643B56DD" w:rsidR="00FE3F1B" w:rsidRPr="00115053" w:rsidRDefault="009D6774" w:rsidP="00C51A74">
      <w:pPr>
        <w:pStyle w:val="Els-body-text"/>
        <w:ind w:firstLine="720"/>
      </w:pPr>
      <w:r>
        <w:t xml:space="preserve">Initial condition for molar density </w:t>
      </w:r>
      <w:r w:rsidR="00E31FB1">
        <w:t xml:space="preserve">is in our case represented by linear profile between two fixed boundary points (boundary conditions), which are found by solving </w:t>
      </w:r>
      <w:r w:rsidR="00190556">
        <w:t xml:space="preserve">conditions of </w:t>
      </w:r>
      <w:r w:rsidR="00E31FB1">
        <w:t>thermodynamic equilibrium</w:t>
      </w:r>
      <w:r w:rsidR="00190556">
        <w:t xml:space="preserve"> for given system. In the case of vapor-liquid systems, the conditions are represented </w:t>
      </w:r>
      <w:r w:rsidR="005E2621">
        <w:t>by</w:t>
      </w:r>
      <w:r w:rsidR="00190556">
        <w:t xml:space="preserve"> equality of chemical potential and pressure in both phases</w:t>
      </w:r>
      <w:r w:rsidR="000C2072">
        <w:t xml:space="preserve"> (</w:t>
      </w:r>
      <w:r w:rsidR="000C2072">
        <w:rPr>
          <w:lang w:val="cs-CZ"/>
        </w:rPr>
        <w:t xml:space="preserve">Šatura </w:t>
      </w:r>
      <w:r w:rsidR="000C2072" w:rsidRPr="000C2072">
        <w:rPr>
          <w:i/>
          <w:iCs/>
          <w:lang w:val="cs-CZ"/>
        </w:rPr>
        <w:t>et al</w:t>
      </w:r>
      <w:r w:rsidR="000C2072">
        <w:rPr>
          <w:lang w:val="cs-CZ"/>
        </w:rPr>
        <w:t>., 2022)</w:t>
      </w:r>
      <w:r w:rsidR="00190556">
        <w:t xml:space="preserve">, while for polymer-solvent system the equilibrium (boundary) points are found as the so-called binodal points in the </w:t>
      </w:r>
      <w:r w:rsidR="000C2072">
        <w:t xml:space="preserve">energy vs. composition phase diagram, i.e., by finding common tangent line to these points, where the slope of the line represents equal value of chemical potential of polymer species in polymer-rich </w:t>
      </w:r>
      <w:r w:rsidR="000C2072">
        <w:lastRenderedPageBreak/>
        <w:t xml:space="preserve">and polymer-lean phase (Nistor </w:t>
      </w:r>
      <w:r w:rsidR="000C2072" w:rsidRPr="000C2072">
        <w:rPr>
          <w:i/>
          <w:iCs/>
        </w:rPr>
        <w:t>et al</w:t>
      </w:r>
      <w:r w:rsidR="000C2072">
        <w:t xml:space="preserve">., 2017). Eq. (1) is integrated numerically, using explicit Euler method. </w:t>
      </w:r>
    </w:p>
    <w:p w14:paraId="057D9349" w14:textId="77777777" w:rsidR="00FE3F1B" w:rsidRDefault="00FE3F1B" w:rsidP="008D2649">
      <w:pPr>
        <w:pStyle w:val="Els-body-text"/>
      </w:pPr>
    </w:p>
    <w:p w14:paraId="3E5998AC" w14:textId="26D026EB" w:rsidR="00F26195" w:rsidRDefault="00F26195" w:rsidP="00F26195">
      <w:pPr>
        <w:pStyle w:val="Els-2ndorder-head"/>
      </w:pPr>
      <w:r>
        <w:t>Van der Waals Equation of State</w:t>
      </w:r>
    </w:p>
    <w:p w14:paraId="23D957D7" w14:textId="07629134" w:rsidR="002C1D65" w:rsidRDefault="00804E21" w:rsidP="00F26195">
      <w:pPr>
        <w:pStyle w:val="Els-body-text"/>
      </w:pPr>
      <w:r>
        <w:t xml:space="preserve">As the predictive power of the original vdW EoS is rather limited, more advanced cubic EoS have been developed and commonly used in chemical/process engineering practice, with Peng-Robinson (PR) and Soave-Redlich-Kwong (SRK) being probably the most popular of them. However, there exists also less known advanced version of vdW EoS called vdW-711, which </w:t>
      </w:r>
      <w:r w:rsidR="00F41FCB">
        <w:t xml:space="preserve">in some cases even outperforms PR and SRK EoS (Tassios, 1992). </w:t>
      </w:r>
      <w:r w:rsidR="0093019A">
        <w:t xml:space="preserve">In addition to already existing parameters </w:t>
      </w:r>
      <w:r w:rsidR="0093019A" w:rsidRPr="0093019A">
        <w:rPr>
          <w:i/>
          <w:iCs/>
        </w:rPr>
        <w:t>a</w:t>
      </w:r>
      <w:r w:rsidR="0093019A">
        <w:t xml:space="preserve"> and </w:t>
      </w:r>
      <w:r w:rsidR="0093019A" w:rsidRPr="0093019A">
        <w:rPr>
          <w:i/>
          <w:iCs/>
        </w:rPr>
        <w:t>b</w:t>
      </w:r>
      <w:r w:rsidR="0093019A">
        <w:t xml:space="preserve"> in the original formulation, n</w:t>
      </w:r>
      <w:r w:rsidR="00C206E0">
        <w:t xml:space="preserve">ew parameter, </w:t>
      </w:r>
      <w:r w:rsidR="00C206E0">
        <w:rPr>
          <w:i/>
          <w:iCs/>
        </w:rPr>
        <w:t xml:space="preserve">t </w:t>
      </w:r>
      <w:r w:rsidR="00C206E0">
        <w:t>(being function of temperature and acentric factor), is added to the equation</w:t>
      </w:r>
      <w:r w:rsidR="002C1D65">
        <w:t xml:space="preserve">, and parameter </w:t>
      </w:r>
      <w:r w:rsidR="002C1D65">
        <w:rPr>
          <w:i/>
          <w:iCs/>
        </w:rPr>
        <w:t>a</w:t>
      </w:r>
      <w:r w:rsidR="002C1D65">
        <w:t xml:space="preserve"> is newly made temperature-dependent. Final form of vdW-711 EoS and its </w:t>
      </w:r>
      <w:r w:rsidR="005A6A1E">
        <w:t xml:space="preserve">corresponding </w:t>
      </w:r>
      <w:r w:rsidR="002C1D65">
        <w:t>Helmholtz free energy density</w:t>
      </w:r>
      <w:r w:rsidR="0035458C">
        <w:t xml:space="preserve"> </w:t>
      </w:r>
      <w:r w:rsidR="0035458C">
        <w:rPr>
          <w:i/>
          <w:iCs/>
        </w:rPr>
        <w:t>f</w:t>
      </w:r>
      <w:r w:rsidR="00350345">
        <w:t xml:space="preserve">, which is needed for </w:t>
      </w:r>
      <w:r w:rsidR="008A5DDC">
        <w:t>evaluation</w:t>
      </w:r>
      <w:r w:rsidR="00350345">
        <w:t xml:space="preserve"> of chemical potential used in Eq. (1)</w:t>
      </w:r>
      <w:r w:rsidR="008A5DDC">
        <w:t xml:space="preserve"> and can be derived following the methodology of Mauri (2013)</w:t>
      </w:r>
      <w:r w:rsidR="00350345">
        <w:t>,</w:t>
      </w:r>
      <w:r w:rsidR="002C1D65">
        <w:t xml:space="preserve"> </w:t>
      </w:r>
      <w:r w:rsidR="0035458C">
        <w:t>is</w:t>
      </w:r>
      <w:r w:rsidR="002C1D65">
        <w:t xml:space="preserve"> then</w:t>
      </w:r>
    </w:p>
    <w:p w14:paraId="2EABD4F3" w14:textId="77777777" w:rsidR="002C1D65" w:rsidRPr="00460C5C" w:rsidRDefault="002C1D65" w:rsidP="00F26195">
      <w:pPr>
        <w:pStyle w:val="Els-body-text"/>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2C1D65" w14:paraId="65932967" w14:textId="77777777" w:rsidTr="002C1D65">
        <w:tc>
          <w:tcPr>
            <w:tcW w:w="6516" w:type="dxa"/>
            <w:vAlign w:val="center"/>
          </w:tcPr>
          <w:p w14:paraId="7344506C" w14:textId="7167355B" w:rsidR="002C1D65" w:rsidRDefault="002C1D65" w:rsidP="007C1DAF">
            <w:pPr>
              <w:pStyle w:val="Els-body-text"/>
              <w:jc w:val="left"/>
            </w:pPr>
            <m:oMathPara>
              <m:oMath>
                <m:r>
                  <w:rPr>
                    <w:rFonts w:ascii="Cambria Math" w:hAnsi="Cambria Math"/>
                  </w:rPr>
                  <m:t>p=</m:t>
                </m:r>
                <m:f>
                  <m:fPr>
                    <m:ctrlPr>
                      <w:rPr>
                        <w:rFonts w:ascii="Cambria Math" w:hAnsi="Cambria Math"/>
                        <w:i/>
                      </w:rPr>
                    </m:ctrlPr>
                  </m:fPr>
                  <m:num>
                    <m:r>
                      <w:rPr>
                        <w:rFonts w:ascii="Cambria Math" w:hAnsi="Cambria Math"/>
                      </w:rPr>
                      <m:t>RT</m:t>
                    </m:r>
                  </m:num>
                  <m:den>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+t-b</m:t>
                    </m:r>
                  </m:den>
                </m:f>
                <m:r>
                  <w:rPr>
                    <w:rFonts w:ascii="Cambria Math" w:hAnsi="Cambria Math"/>
                  </w:rPr>
                  <m:t>-</m:t>
                </m:r>
                <m:f>
                  <m:fPr>
                    <m:ctrlPr>
                      <w:rPr>
                        <w:rFonts w:ascii="Cambria Math" w:hAnsi="Cambria Math"/>
                        <w:i/>
                      </w:rPr>
                    </m:ctrlPr>
                  </m:fPr>
                  <m:num>
                    <m:r>
                      <w:rPr>
                        <w:rFonts w:ascii="Cambria Math" w:hAnsi="Cambria Math"/>
                      </w:rPr>
                      <m:t>a</m:t>
                    </m:r>
                  </m:num>
                  <m:den>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+t)</m:t>
                        </m:r>
                      </m:e>
                      <m:sup>
                        <m:r>
                          <w:rPr>
                            <w:rFonts w:ascii="Cambria Math" w:hAnsi="Cambria Math"/>
                          </w:rPr>
                          <m:t>2</m:t>
                        </m:r>
                      </m:sup>
                    </m:sSup>
                  </m:den>
                </m:f>
                <m:r>
                  <w:rPr>
                    <w:rFonts w:ascii="Cambria Math" w:hAnsi="Cambria Math"/>
                  </w:rPr>
                  <m:t xml:space="preserve"> </m:t>
                </m:r>
              </m:oMath>
            </m:oMathPara>
          </w:p>
        </w:tc>
        <w:tc>
          <w:tcPr>
            <w:tcW w:w="560" w:type="dxa"/>
            <w:vAlign w:val="center"/>
          </w:tcPr>
          <w:p w14:paraId="1ECE25F7" w14:textId="2161FFA7" w:rsidR="002C1D65" w:rsidRDefault="002C1D65" w:rsidP="007C1DAF">
            <w:pPr>
              <w:pStyle w:val="Els-body-text"/>
              <w:jc w:val="left"/>
            </w:pPr>
            <w:r>
              <w:t>(</w:t>
            </w:r>
            <w:r w:rsidR="00EA5834">
              <w:t>2</w:t>
            </w:r>
            <w:r>
              <w:t>)</w:t>
            </w:r>
          </w:p>
        </w:tc>
      </w:tr>
      <w:tr w:rsidR="002C1D65" w14:paraId="1EDC305B" w14:textId="77777777" w:rsidTr="002C1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6" w:type="dxa"/>
            <w:tcBorders>
              <w:top w:val="nil"/>
              <w:left w:val="nil"/>
              <w:bottom w:val="nil"/>
              <w:right w:val="nil"/>
            </w:tcBorders>
            <w:vAlign w:val="center"/>
          </w:tcPr>
          <w:p w14:paraId="77183447" w14:textId="5FF68DAA" w:rsidR="002C1D65" w:rsidRDefault="002C1D65" w:rsidP="002C1D65">
            <w:pPr>
              <w:pStyle w:val="Els-body-text"/>
              <w:jc w:val="left"/>
            </w:pPr>
            <m:oMathPara>
              <m:oMath>
                <m:r>
                  <w:rPr>
                    <w:rFonts w:ascii="Cambria Math" w:hAnsi="Cambria Math"/>
                  </w:rPr>
                  <m:t>f</m:t>
                </m:r>
                <m:d>
                  <m:dPr>
                    <m:ctrlPr>
                      <w:rPr>
                        <w:rFonts w:ascii="Cambria Math" w:hAnsi="Cambria Math"/>
                        <w:i/>
                      </w:rPr>
                    </m:ctrlPr>
                  </m:dPr>
                  <m:e>
                    <m:r>
                      <w:rPr>
                        <w:rFonts w:ascii="Cambria Math" w:hAnsi="Cambria Math"/>
                      </w:rPr>
                      <m:t>ρ</m:t>
                    </m:r>
                  </m:e>
                </m:d>
                <m:r>
                  <w:rPr>
                    <w:rFonts w:ascii="Cambria Math" w:hAnsi="Cambria Math"/>
                  </w:rPr>
                  <m:t>=</m:t>
                </m:r>
                <m:f>
                  <m:fPr>
                    <m:ctrlPr>
                      <w:rPr>
                        <w:rFonts w:ascii="Cambria Math" w:hAnsi="Cambria Math"/>
                        <w:i/>
                      </w:rPr>
                    </m:ctrlPr>
                  </m:fPr>
                  <m:num>
                    <m:r>
                      <w:rPr>
                        <w:rFonts w:ascii="Cambria Math" w:hAnsi="Cambria Math"/>
                      </w:rPr>
                      <m:t>aρ</m:t>
                    </m:r>
                  </m:num>
                  <m:den>
                    <m:r>
                      <w:rPr>
                        <w:rFonts w:ascii="Cambria Math" w:hAnsi="Cambria Math"/>
                      </w:rPr>
                      <m:t>t(ρt+1)</m:t>
                    </m:r>
                  </m:den>
                </m:f>
                <m:r>
                  <w:rPr>
                    <w:rFonts w:ascii="Cambria Math" w:hAnsi="Cambria Math"/>
                  </w:rPr>
                  <m:t>+ρRT</m:t>
                </m:r>
                <m:r>
                  <m:rPr>
                    <m:nor/>
                  </m:rPr>
                  <w:rPr>
                    <w:rFonts w:ascii="Cambria Math" w:hAnsi="Cambria Math"/>
                  </w:rPr>
                  <m:t>ln</m:t>
                </m:r>
                <m:d>
                  <m:dPr>
                    <m:begChr m:val="["/>
                    <m:endChr m:val="]"/>
                    <m:ctrlPr>
                      <w:rPr>
                        <w:rFonts w:ascii="Cambria Math" w:hAnsi="Cambria Math"/>
                        <w:i/>
                      </w:rPr>
                    </m:ctrlPr>
                  </m:dPr>
                  <m:e>
                    <m:f>
                      <m:fPr>
                        <m:ctrlPr>
                          <w:rPr>
                            <w:rFonts w:ascii="Cambria Math" w:hAnsi="Cambria Math"/>
                            <w:i/>
                          </w:rPr>
                        </m:ctrlPr>
                      </m:fPr>
                      <m:num>
                        <m:r>
                          <w:rPr>
                            <w:rFonts w:ascii="Cambria Math" w:hAnsi="Cambria Math"/>
                          </w:rPr>
                          <m:t>ρ(t-b)</m:t>
                        </m:r>
                      </m:num>
                      <m:den>
                        <m:r>
                          <w:rPr>
                            <w:rFonts w:ascii="Cambria Math" w:hAnsi="Cambria Math"/>
                          </w:rPr>
                          <m:t>ρ</m:t>
                        </m:r>
                        <m:d>
                          <m:dPr>
                            <m:ctrlPr>
                              <w:rPr>
                                <w:rFonts w:ascii="Cambria Math" w:hAnsi="Cambria Math"/>
                                <w:i/>
                              </w:rPr>
                            </m:ctrlPr>
                          </m:dPr>
                          <m:e>
                            <m:r>
                              <w:rPr>
                                <w:rFonts w:ascii="Cambria Math" w:hAnsi="Cambria Math"/>
                              </w:rPr>
                              <m:t>b-t</m:t>
                            </m:r>
                          </m:e>
                        </m:d>
                        <m:r>
                          <w:rPr>
                            <w:rFonts w:ascii="Cambria Math" w:hAnsi="Cambria Math"/>
                          </w:rPr>
                          <m:t>-1</m:t>
                        </m:r>
                      </m:den>
                    </m:f>
                  </m:e>
                </m:d>
                <m:r>
                  <w:rPr>
                    <w:rFonts w:ascii="Cambria Math" w:hAnsi="Cambria Math"/>
                  </w:rPr>
                  <m:t xml:space="preserve"> </m:t>
                </m:r>
              </m:oMath>
            </m:oMathPara>
          </w:p>
        </w:tc>
        <w:tc>
          <w:tcPr>
            <w:tcW w:w="560" w:type="dxa"/>
            <w:tcBorders>
              <w:top w:val="nil"/>
              <w:left w:val="nil"/>
              <w:bottom w:val="nil"/>
              <w:right w:val="nil"/>
            </w:tcBorders>
            <w:vAlign w:val="center"/>
          </w:tcPr>
          <w:p w14:paraId="769A7735" w14:textId="669EEC2C" w:rsidR="002C1D65" w:rsidRDefault="002C1D65" w:rsidP="002C1D65">
            <w:pPr>
              <w:pStyle w:val="Els-body-text"/>
              <w:jc w:val="left"/>
            </w:pPr>
            <w:r>
              <w:t>(</w:t>
            </w:r>
            <w:r w:rsidR="00EA5834">
              <w:t>3</w:t>
            </w:r>
            <w:r>
              <w:t>)</w:t>
            </w:r>
          </w:p>
        </w:tc>
      </w:tr>
    </w:tbl>
    <w:p w14:paraId="05735D69" w14:textId="77777777" w:rsidR="00CC598F" w:rsidRDefault="00CC598F" w:rsidP="00F26195">
      <w:pPr>
        <w:pStyle w:val="Els-body-text"/>
      </w:pPr>
    </w:p>
    <w:p w14:paraId="637A9D77" w14:textId="1B9E8ABE" w:rsidR="00CC598F" w:rsidRDefault="00CC598F" w:rsidP="00F26195">
      <w:pPr>
        <w:pStyle w:val="Els-body-text"/>
      </w:pPr>
      <w:r>
        <w:t xml:space="preserve">The interfacial parameter </w:t>
      </w:r>
      <w:r w:rsidRPr="00CC598F">
        <w:rPr>
          <w:rFonts w:ascii="Symbol" w:hAnsi="Symbol"/>
          <w:i/>
          <w:iCs/>
        </w:rPr>
        <w:t>k</w:t>
      </w:r>
      <w:r>
        <w:t xml:space="preserve"> appearing in Eq. (1) is estimated as</w:t>
      </w:r>
    </w:p>
    <w:p w14:paraId="2C3D5159" w14:textId="77777777" w:rsidR="0005314E" w:rsidRDefault="0005314E" w:rsidP="00F26195">
      <w:pPr>
        <w:pStyle w:val="Els-body-text"/>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CC598F" w14:paraId="1F030859" w14:textId="77777777" w:rsidTr="00F64B9B">
        <w:tc>
          <w:tcPr>
            <w:tcW w:w="6516" w:type="dxa"/>
            <w:vAlign w:val="center"/>
          </w:tcPr>
          <w:p w14:paraId="6BA69EAC" w14:textId="79770796" w:rsidR="00CC598F" w:rsidRDefault="00CC598F" w:rsidP="00F64B9B">
            <w:pPr>
              <w:pStyle w:val="Els-body-text"/>
              <w:jc w:val="left"/>
            </w:pPr>
            <m:oMathPara>
              <m:oMath>
                <m:r>
                  <w:rPr>
                    <w:rFonts w:ascii="Cambria Math" w:hAnsi="Cambria Math"/>
                  </w:rPr>
                  <m:t>κ=</m:t>
                </m:r>
                <m:f>
                  <m:fPr>
                    <m:ctrlPr>
                      <w:rPr>
                        <w:rFonts w:ascii="Cambria Math" w:hAnsi="Cambria Math"/>
                        <w:i/>
                      </w:rPr>
                    </m:ctrlPr>
                  </m:fPr>
                  <m:num>
                    <m:r>
                      <w:rPr>
                        <w:rFonts w:ascii="Cambria Math" w:hAnsi="Cambria Math"/>
                      </w:rPr>
                      <m:t>9π</m:t>
                    </m:r>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4T</m:t>
                    </m:r>
                  </m:den>
                </m:f>
                <m:sSub>
                  <m:sSubPr>
                    <m:ctrlPr>
                      <w:rPr>
                        <w:rFonts w:ascii="Cambria Math" w:hAnsi="Cambria Math"/>
                        <w:i/>
                      </w:rPr>
                    </m:ctrlPr>
                  </m:sSubPr>
                  <m:e>
                    <m:r>
                      <w:rPr>
                        <w:rFonts w:ascii="Cambria Math" w:hAnsi="Cambria Math"/>
                      </w:rPr>
                      <m:t>N</m:t>
                    </m:r>
                  </m:e>
                  <m:sub>
                    <m:r>
                      <w:rPr>
                        <w:rFonts w:ascii="Cambria Math" w:hAnsi="Cambria Math"/>
                      </w:rPr>
                      <m:t>a</m:t>
                    </m:r>
                  </m:sub>
                </m:sSub>
                <m:sSup>
                  <m:sSupPr>
                    <m:ctrlPr>
                      <w:rPr>
                        <w:rFonts w:ascii="Cambria Math" w:hAnsi="Cambria Math"/>
                        <w:i/>
                      </w:rPr>
                    </m:ctrlPr>
                  </m:sSupPr>
                  <m:e>
                    <m:r>
                      <w:rPr>
                        <w:rFonts w:ascii="Cambria Math" w:hAnsi="Cambria Math"/>
                      </w:rPr>
                      <m:t>d</m:t>
                    </m:r>
                  </m:e>
                  <m:sup>
                    <m:r>
                      <w:rPr>
                        <w:rFonts w:ascii="Cambria Math" w:hAnsi="Cambria Math"/>
                      </w:rPr>
                      <m:t>5</m:t>
                    </m:r>
                  </m:sup>
                </m:sSup>
              </m:oMath>
            </m:oMathPara>
          </w:p>
        </w:tc>
        <w:tc>
          <w:tcPr>
            <w:tcW w:w="560" w:type="dxa"/>
            <w:vAlign w:val="center"/>
          </w:tcPr>
          <w:p w14:paraId="72220ABE" w14:textId="53FC5029" w:rsidR="00CC598F" w:rsidRDefault="00CC598F" w:rsidP="00F64B9B">
            <w:pPr>
              <w:pStyle w:val="Els-body-text"/>
              <w:jc w:val="left"/>
            </w:pPr>
            <w:r>
              <w:t>(</w:t>
            </w:r>
            <w:r w:rsidR="00EA5834">
              <w:t>4</w:t>
            </w:r>
            <w:r>
              <w:t>)</w:t>
            </w:r>
          </w:p>
        </w:tc>
      </w:tr>
    </w:tbl>
    <w:p w14:paraId="30FD996A" w14:textId="77777777" w:rsidR="00CC598F" w:rsidRDefault="00CC598F" w:rsidP="00F26195">
      <w:pPr>
        <w:pStyle w:val="Els-body-text"/>
      </w:pPr>
    </w:p>
    <w:p w14:paraId="03D05DAE" w14:textId="33366A71" w:rsidR="00CC598F" w:rsidRDefault="00CC598F" w:rsidP="00F26195">
      <w:pPr>
        <w:pStyle w:val="Els-body-text"/>
      </w:pPr>
      <w:r>
        <w:t xml:space="preserve">where </w:t>
      </w:r>
      <w:r w:rsidRPr="00CC598F">
        <w:rPr>
          <w:i/>
          <w:iCs/>
        </w:rPr>
        <w:t>T</w:t>
      </w:r>
      <w:r w:rsidRPr="00CC598F">
        <w:rPr>
          <w:i/>
          <w:iCs/>
          <w:vertAlign w:val="subscript"/>
        </w:rPr>
        <w:t>c</w:t>
      </w:r>
      <w:r>
        <w:t xml:space="preserve"> is critical temperature, </w:t>
      </w:r>
      <w:r w:rsidRPr="00CC598F">
        <w:rPr>
          <w:i/>
          <w:iCs/>
        </w:rPr>
        <w:t>N</w:t>
      </w:r>
      <w:r w:rsidR="002E4FA3">
        <w:rPr>
          <w:i/>
          <w:iCs/>
          <w:vertAlign w:val="subscript"/>
        </w:rPr>
        <w:t>a</w:t>
      </w:r>
      <w:r>
        <w:t xml:space="preserve"> is Avogadro number and </w:t>
      </w:r>
      <w:r w:rsidRPr="00CC598F">
        <w:rPr>
          <w:i/>
          <w:iCs/>
        </w:rPr>
        <w:t>d</w:t>
      </w:r>
      <w:r>
        <w:t xml:space="preserve"> denotes the hard-sphere (hard-core) diameter of the molecule.</w:t>
      </w:r>
    </w:p>
    <w:p w14:paraId="185D310B" w14:textId="4A2F3BE7" w:rsidR="00A93FAE" w:rsidRDefault="00A93FAE" w:rsidP="00F26195">
      <w:pPr>
        <w:pStyle w:val="Els-body-text"/>
      </w:pPr>
    </w:p>
    <w:p w14:paraId="09399129" w14:textId="23444733" w:rsidR="00A93FAE" w:rsidRDefault="00A93FAE" w:rsidP="00A93FAE">
      <w:pPr>
        <w:pStyle w:val="Els-2ndorder-head"/>
      </w:pPr>
      <w:r>
        <w:t>Flory-Huggins Equation of State</w:t>
      </w:r>
    </w:p>
    <w:p w14:paraId="1119DCA5" w14:textId="43CBF4A3" w:rsidR="00A93FAE" w:rsidRDefault="002E4FA3" w:rsidP="00F26195">
      <w:pPr>
        <w:pStyle w:val="Els-body-text"/>
      </w:pPr>
      <w:r>
        <w:t>The Helmholtz free energy density of a polymer-solvent mixture is, according to the Flory-Huggins lattice theory,</w:t>
      </w:r>
    </w:p>
    <w:p w14:paraId="0BF81A17" w14:textId="480D96DB" w:rsidR="002E4FA3" w:rsidRDefault="002E4FA3" w:rsidP="00F26195">
      <w:pPr>
        <w:pStyle w:val="Els-body-text"/>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2E4FA3" w14:paraId="36B1A34D" w14:textId="77777777" w:rsidTr="00F64B9B">
        <w:tc>
          <w:tcPr>
            <w:tcW w:w="6516" w:type="dxa"/>
            <w:vAlign w:val="center"/>
          </w:tcPr>
          <w:p w14:paraId="2BE95B4D" w14:textId="6923649E" w:rsidR="002E4FA3" w:rsidRDefault="002E4FA3" w:rsidP="00F64B9B">
            <w:pPr>
              <w:pStyle w:val="Els-body-text"/>
              <w:jc w:val="left"/>
            </w:pPr>
            <m:oMathPara>
              <m:oMath>
                <m:r>
                  <w:rPr>
                    <w:rFonts w:ascii="Cambria Math" w:hAnsi="Cambria Math"/>
                  </w:rPr>
                  <m:t>f</m:t>
                </m:r>
                <m:d>
                  <m:dPr>
                    <m:ctrlPr>
                      <w:rPr>
                        <w:rFonts w:ascii="Cambria Math" w:hAnsi="Cambria Math"/>
                        <w:i/>
                      </w:rPr>
                    </m:ctrlPr>
                  </m:dPr>
                  <m:e>
                    <m:r>
                      <w:rPr>
                        <w:rFonts w:ascii="Cambria Math" w:hAnsi="Cambria Math"/>
                      </w:rPr>
                      <m:t>ϕ</m:t>
                    </m:r>
                  </m:e>
                </m:d>
                <m:r>
                  <w:rPr>
                    <w:rFonts w:ascii="Cambria Math" w:hAnsi="Cambria Math"/>
                  </w:rPr>
                  <m:t>=</m:t>
                </m:r>
                <m:f>
                  <m:fPr>
                    <m:ctrlPr>
                      <w:rPr>
                        <w:rFonts w:ascii="Cambria Math" w:hAnsi="Cambria Math"/>
                        <w:i/>
                      </w:rPr>
                    </m:ctrlPr>
                  </m:fPr>
                  <m:num>
                    <m:r>
                      <w:rPr>
                        <w:rFonts w:ascii="Cambria Math" w:hAnsi="Cambria Math"/>
                      </w:rPr>
                      <m:t>ϕ</m:t>
                    </m:r>
                  </m:num>
                  <m:den>
                    <m:sSub>
                      <m:sSubPr>
                        <m:ctrlPr>
                          <w:rPr>
                            <w:rFonts w:ascii="Cambria Math" w:hAnsi="Cambria Math"/>
                            <w:i/>
                          </w:rPr>
                        </m:ctrlPr>
                      </m:sSubPr>
                      <m:e>
                        <m:r>
                          <w:rPr>
                            <w:rFonts w:ascii="Cambria Math" w:hAnsi="Cambria Math"/>
                          </w:rPr>
                          <m:t>N</m:t>
                        </m:r>
                      </m:e>
                      <m:sub>
                        <m:r>
                          <w:rPr>
                            <w:rFonts w:ascii="Cambria Math" w:hAnsi="Cambria Math"/>
                          </w:rPr>
                          <m:t>A</m:t>
                        </m:r>
                      </m:sub>
                    </m:sSub>
                  </m:den>
                </m:f>
                <m:func>
                  <m:funcPr>
                    <m:ctrlPr>
                      <w:rPr>
                        <w:rFonts w:ascii="Cambria Math" w:hAnsi="Cambria Math"/>
                        <w:i/>
                      </w:rPr>
                    </m:ctrlPr>
                  </m:funcPr>
                  <m:fName>
                    <m:r>
                      <m:rPr>
                        <m:sty m:val="p"/>
                      </m:rPr>
                      <w:rPr>
                        <w:rFonts w:ascii="Cambria Math" w:hAnsi="Cambria Math"/>
                      </w:rPr>
                      <m:t>ln</m:t>
                    </m:r>
                  </m:fName>
                  <m:e>
                    <m:r>
                      <w:rPr>
                        <w:rFonts w:ascii="Cambria Math" w:hAnsi="Cambria Math"/>
                      </w:rPr>
                      <m:t>ϕ</m:t>
                    </m:r>
                  </m:e>
                </m:func>
                <m:r>
                  <w:rPr>
                    <w:rFonts w:ascii="Cambria Math" w:hAnsi="Cambria Math"/>
                  </w:rPr>
                  <m:t>+</m:t>
                </m:r>
                <m:f>
                  <m:fPr>
                    <m:ctrlPr>
                      <w:rPr>
                        <w:rFonts w:ascii="Cambria Math" w:hAnsi="Cambria Math"/>
                        <w:i/>
                      </w:rPr>
                    </m:ctrlPr>
                  </m:fPr>
                  <m:num>
                    <m:r>
                      <w:rPr>
                        <w:rFonts w:ascii="Cambria Math" w:hAnsi="Cambria Math"/>
                      </w:rPr>
                      <m:t>1-ϕ</m:t>
                    </m:r>
                  </m:num>
                  <m:den>
                    <m:sSub>
                      <m:sSubPr>
                        <m:ctrlPr>
                          <w:rPr>
                            <w:rFonts w:ascii="Cambria Math" w:hAnsi="Cambria Math"/>
                            <w:i/>
                          </w:rPr>
                        </m:ctrlPr>
                      </m:sSubPr>
                      <m:e>
                        <m:r>
                          <w:rPr>
                            <w:rFonts w:ascii="Cambria Math" w:hAnsi="Cambria Math"/>
                          </w:rPr>
                          <m:t>N</m:t>
                        </m:r>
                      </m:e>
                      <m:sub>
                        <m:r>
                          <w:rPr>
                            <w:rFonts w:ascii="Cambria Math" w:hAnsi="Cambria Math"/>
                          </w:rPr>
                          <m:t>B</m:t>
                        </m:r>
                      </m:sub>
                    </m:sSub>
                  </m:den>
                </m:f>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1-ϕ</m:t>
                        </m:r>
                      </m:e>
                    </m:d>
                  </m:e>
                </m:func>
                <m:r>
                  <w:rPr>
                    <w:rFonts w:ascii="Cambria Math" w:hAnsi="Cambria Math"/>
                  </w:rPr>
                  <m:t>+χϕ(1-ϕ)</m:t>
                </m:r>
              </m:oMath>
            </m:oMathPara>
          </w:p>
        </w:tc>
        <w:tc>
          <w:tcPr>
            <w:tcW w:w="560" w:type="dxa"/>
            <w:vAlign w:val="center"/>
          </w:tcPr>
          <w:p w14:paraId="3260628E" w14:textId="2DD97258" w:rsidR="002E4FA3" w:rsidRDefault="002E4FA3" w:rsidP="00F64B9B">
            <w:pPr>
              <w:pStyle w:val="Els-body-text"/>
              <w:jc w:val="left"/>
            </w:pPr>
            <w:r>
              <w:t>(</w:t>
            </w:r>
            <w:r w:rsidR="00EA5834">
              <w:t>5</w:t>
            </w:r>
            <w:r>
              <w:t>)</w:t>
            </w:r>
          </w:p>
        </w:tc>
      </w:tr>
    </w:tbl>
    <w:p w14:paraId="4C6139BB" w14:textId="0F32CFF8" w:rsidR="002E4FA3" w:rsidRDefault="002E4FA3" w:rsidP="00F26195">
      <w:pPr>
        <w:pStyle w:val="Els-body-text"/>
      </w:pPr>
    </w:p>
    <w:p w14:paraId="2B6128A0" w14:textId="0D4B9CBB" w:rsidR="00B334D4" w:rsidRDefault="00B334D4" w:rsidP="00F26195">
      <w:pPr>
        <w:pStyle w:val="Els-body-text"/>
      </w:pPr>
      <w:r>
        <w:t>In Eq. (</w:t>
      </w:r>
      <w:r w:rsidR="00EA5834">
        <w:t>5</w:t>
      </w:r>
      <w:r>
        <w:t xml:space="preserve">) symbol </w:t>
      </w:r>
      <w:r w:rsidRPr="00B334D4">
        <w:rPr>
          <w:rFonts w:ascii="Symbol" w:hAnsi="Symbol"/>
          <w:i/>
          <w:iCs/>
        </w:rPr>
        <w:t>f</w:t>
      </w:r>
      <w:r>
        <w:t xml:space="preserve"> represents volume fraction of polymer in the mixture, </w:t>
      </w:r>
      <w:r w:rsidRPr="00B334D4">
        <w:rPr>
          <w:i/>
          <w:iCs/>
        </w:rPr>
        <w:t>N</w:t>
      </w:r>
      <w:r w:rsidRPr="00B334D4">
        <w:rPr>
          <w:i/>
          <w:iCs/>
          <w:vertAlign w:val="subscript"/>
        </w:rPr>
        <w:t>A</w:t>
      </w:r>
      <w:r>
        <w:t xml:space="preserve"> and </w:t>
      </w:r>
      <w:r w:rsidRPr="00B334D4">
        <w:rPr>
          <w:i/>
          <w:iCs/>
        </w:rPr>
        <w:t>N</w:t>
      </w:r>
      <w:r w:rsidRPr="00B334D4">
        <w:rPr>
          <w:i/>
          <w:iCs/>
          <w:vertAlign w:val="subscript"/>
        </w:rPr>
        <w:t>B</w:t>
      </w:r>
      <w:r>
        <w:t xml:space="preserve"> denote the number of lattice sites occupied by each molecule (A = polymer, B = solvent), and </w:t>
      </w:r>
      <w:r w:rsidRPr="00B334D4">
        <w:rPr>
          <w:rFonts w:ascii="Symbol" w:hAnsi="Symbol"/>
          <w:i/>
          <w:iCs/>
        </w:rPr>
        <w:t>c</w:t>
      </w:r>
      <w:r>
        <w:t xml:space="preserve"> is Flory-Huggins interaction parameter, which can be estimated, for instance, using Hansen solubility parameters.</w:t>
      </w:r>
    </w:p>
    <w:p w14:paraId="18D9C01D" w14:textId="46D2A9A7" w:rsidR="0005394E" w:rsidRPr="0005394E" w:rsidRDefault="0005394E" w:rsidP="00F26195">
      <w:pPr>
        <w:pStyle w:val="Els-body-text"/>
      </w:pPr>
      <w:r>
        <w:tab/>
        <w:t xml:space="preserve">The interfacial parameter </w:t>
      </w:r>
      <w:r w:rsidRPr="0005394E">
        <w:rPr>
          <w:rFonts w:ascii="Symbol" w:hAnsi="Symbol"/>
          <w:i/>
          <w:iCs/>
        </w:rPr>
        <w:t>k</w:t>
      </w:r>
      <w:r>
        <w:t xml:space="preserve"> in this case can be estimated as</w:t>
      </w:r>
    </w:p>
    <w:p w14:paraId="39921CA8" w14:textId="35623352" w:rsidR="00B334D4" w:rsidRDefault="00B334D4" w:rsidP="00F26195">
      <w:pPr>
        <w:pStyle w:val="Els-body-text"/>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EA7589" w14:paraId="093B0447" w14:textId="77777777" w:rsidTr="00F64B9B">
        <w:tc>
          <w:tcPr>
            <w:tcW w:w="6516" w:type="dxa"/>
            <w:vAlign w:val="center"/>
          </w:tcPr>
          <w:p w14:paraId="19B1C124" w14:textId="539F9776" w:rsidR="00EA7589" w:rsidRDefault="00EA7589" w:rsidP="00F64B9B">
            <w:pPr>
              <w:pStyle w:val="Els-body-text"/>
              <w:jc w:val="left"/>
            </w:pPr>
            <m:oMathPara>
              <m:oMath>
                <m:r>
                  <w:rPr>
                    <w:rFonts w:ascii="Cambria Math" w:hAnsi="Cambria Math"/>
                  </w:rPr>
                  <m:t>κ=</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g</m:t>
                        </m:r>
                      </m:sub>
                      <m:sup>
                        <m:r>
                          <w:rPr>
                            <w:rFonts w:ascii="Cambria Math" w:hAnsi="Cambria Math"/>
                          </w:rPr>
                          <m:t>2</m:t>
                        </m:r>
                      </m:sup>
                    </m:sSubSup>
                  </m:num>
                  <m:den>
                    <m:r>
                      <w:rPr>
                        <w:rFonts w:ascii="Cambria Math" w:hAnsi="Cambria Math"/>
                      </w:rPr>
                      <m:t>3</m:t>
                    </m:r>
                  </m:den>
                </m:f>
                <m:d>
                  <m:dPr>
                    <m:ctrlPr>
                      <w:rPr>
                        <w:rFonts w:ascii="Cambria Math" w:hAnsi="Cambria Math"/>
                        <w:i/>
                      </w:rPr>
                    </m:ctrlPr>
                  </m:dPr>
                  <m:e>
                    <m:r>
                      <w:rPr>
                        <w:rFonts w:ascii="Cambria Math" w:hAnsi="Cambria Math"/>
                      </w:rPr>
                      <m:t>χ+</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ϕ</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1-ϕ</m:t>
                        </m:r>
                      </m:den>
                    </m:f>
                  </m:e>
                </m:d>
              </m:oMath>
            </m:oMathPara>
          </w:p>
        </w:tc>
        <w:tc>
          <w:tcPr>
            <w:tcW w:w="560" w:type="dxa"/>
            <w:vAlign w:val="center"/>
          </w:tcPr>
          <w:p w14:paraId="534B424A" w14:textId="6831D9FD" w:rsidR="00EA7589" w:rsidRDefault="00EA7589" w:rsidP="00F64B9B">
            <w:pPr>
              <w:pStyle w:val="Els-body-text"/>
              <w:jc w:val="left"/>
            </w:pPr>
            <w:r>
              <w:t>(</w:t>
            </w:r>
            <w:r w:rsidR="00EA5834">
              <w:t>6</w:t>
            </w:r>
            <w:r>
              <w:t>)</w:t>
            </w:r>
          </w:p>
        </w:tc>
      </w:tr>
    </w:tbl>
    <w:p w14:paraId="075DC229" w14:textId="77777777" w:rsidR="006B2572" w:rsidRDefault="006B2572" w:rsidP="00F26195">
      <w:pPr>
        <w:pStyle w:val="Els-body-text"/>
      </w:pPr>
    </w:p>
    <w:p w14:paraId="12B85021" w14:textId="0DABA7CA" w:rsidR="00593E16" w:rsidRDefault="004A3E15" w:rsidP="00F26195">
      <w:pPr>
        <w:pStyle w:val="Els-body-text"/>
      </w:pPr>
      <w:r>
        <w:t>w</w:t>
      </w:r>
      <w:r w:rsidR="006B2572">
        <w:t xml:space="preserve">here </w:t>
      </w:r>
      <w:r w:rsidR="006B2572" w:rsidRPr="006B2572">
        <w:rPr>
          <w:i/>
          <w:iCs/>
        </w:rPr>
        <w:t>R</w:t>
      </w:r>
      <w:r w:rsidR="006B2572" w:rsidRPr="006B2572">
        <w:rPr>
          <w:i/>
          <w:iCs/>
          <w:vertAlign w:val="subscript"/>
        </w:rPr>
        <w:t>g</w:t>
      </w:r>
      <w:r w:rsidR="006B2572">
        <w:t xml:space="preserve"> represents polymer chain radius of gyration.</w:t>
      </w:r>
    </w:p>
    <w:p w14:paraId="07C56EC6" w14:textId="577C2E5B" w:rsidR="00593E16" w:rsidRDefault="00593E16" w:rsidP="00593E16">
      <w:pPr>
        <w:pStyle w:val="Els-2ndorder-head"/>
      </w:pPr>
      <w:r>
        <w:lastRenderedPageBreak/>
        <w:t>Evaluation of surface/interfacial tension</w:t>
      </w:r>
    </w:p>
    <w:p w14:paraId="520B4062" w14:textId="00C71548" w:rsidR="00593E16" w:rsidRDefault="00E646D5" w:rsidP="00593E16">
      <w:pPr>
        <w:pStyle w:val="Els-body-text"/>
      </w:pPr>
      <w:r>
        <w:t xml:space="preserve">From the equilibrium density profile at the vapor-liquid interface calculated via </w:t>
      </w:r>
      <w:r w:rsidR="0005314E">
        <w:t>solution</w:t>
      </w:r>
      <w:r>
        <w:t xml:space="preserve"> of Eq. (1), the surface tension </w:t>
      </w:r>
      <w:r w:rsidRPr="00E646D5">
        <w:rPr>
          <w:rFonts w:ascii="Symbol" w:hAnsi="Symbol"/>
          <w:i/>
          <w:iCs/>
        </w:rPr>
        <w:t>g</w:t>
      </w:r>
      <w:r>
        <w:t xml:space="preserve"> is estimated by integration of density spatial derivative square over the interface thickness </w:t>
      </w:r>
      <w:r w:rsidRPr="00E646D5">
        <w:rPr>
          <w:i/>
          <w:iCs/>
        </w:rPr>
        <w:t>L</w:t>
      </w:r>
      <w:r>
        <w:t xml:space="preserve"> in the following way</w:t>
      </w:r>
    </w:p>
    <w:p w14:paraId="29E0A9E5" w14:textId="2AE276EE" w:rsidR="00E646D5" w:rsidRDefault="00E646D5" w:rsidP="00593E16">
      <w:pPr>
        <w:pStyle w:val="Els-body-text"/>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E646D5" w14:paraId="5E83FB0B" w14:textId="77777777" w:rsidTr="00F64B9B">
        <w:tc>
          <w:tcPr>
            <w:tcW w:w="6516" w:type="dxa"/>
            <w:vAlign w:val="center"/>
          </w:tcPr>
          <w:p w14:paraId="2374D6BF" w14:textId="2002BF8A" w:rsidR="00E646D5" w:rsidRDefault="00E646D5" w:rsidP="00F64B9B">
            <w:pPr>
              <w:pStyle w:val="Els-body-text"/>
              <w:jc w:val="left"/>
            </w:pPr>
            <m:oMathPara>
              <m:oMath>
                <m:r>
                  <w:rPr>
                    <w:rFonts w:ascii="Cambria Math" w:hAnsi="Cambria Math"/>
                  </w:rPr>
                  <m:t>γ=κRT</m:t>
                </m:r>
                <m:nary>
                  <m:naryPr>
                    <m:limLoc m:val="subSup"/>
                    <m:ctrlPr>
                      <w:rPr>
                        <w:rFonts w:ascii="Cambria Math" w:hAnsi="Cambria Math"/>
                        <w:i/>
                      </w:rPr>
                    </m:ctrlPr>
                  </m:naryPr>
                  <m:sub>
                    <m:r>
                      <w:rPr>
                        <w:rFonts w:ascii="Cambria Math" w:hAnsi="Cambria Math"/>
                      </w:rPr>
                      <m:t>0</m:t>
                    </m:r>
                  </m:sub>
                  <m:sup>
                    <m:r>
                      <w:rPr>
                        <w:rFonts w:ascii="Cambria Math" w:hAnsi="Cambria Math"/>
                      </w:rPr>
                      <m:t>L</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d</m:t>
                                </m:r>
                                <m:r>
                                  <w:rPr>
                                    <w:rFonts w:ascii="Cambria Math" w:hAnsi="Cambria Math"/>
                                  </w:rPr>
                                  <m:t>ρ</m:t>
                                </m:r>
                              </m:num>
                              <m:den>
                                <m:r>
                                  <m:rPr>
                                    <m:sty m:val="p"/>
                                  </m:rPr>
                                  <w:rPr>
                                    <w:rFonts w:ascii="Cambria Math" w:hAnsi="Cambria Math"/>
                                  </w:rPr>
                                  <m:t>d</m:t>
                                </m:r>
                                <m:r>
                                  <w:rPr>
                                    <w:rFonts w:ascii="Cambria Math" w:hAnsi="Cambria Math"/>
                                  </w:rPr>
                                  <m:t>x</m:t>
                                </m:r>
                              </m:den>
                            </m:f>
                          </m:e>
                        </m:d>
                      </m:e>
                      <m:sup>
                        <m:r>
                          <w:rPr>
                            <w:rFonts w:ascii="Cambria Math" w:hAnsi="Cambria Math"/>
                          </w:rPr>
                          <m:t>2</m:t>
                        </m:r>
                      </m:sup>
                    </m:sSup>
                    <m:r>
                      <m:rPr>
                        <m:sty m:val="p"/>
                      </m:rPr>
                      <w:rPr>
                        <w:rFonts w:ascii="Cambria Math" w:hAnsi="Cambria Math"/>
                      </w:rPr>
                      <m:t>d</m:t>
                    </m:r>
                    <m:r>
                      <w:rPr>
                        <w:rFonts w:ascii="Cambria Math" w:hAnsi="Cambria Math"/>
                      </w:rPr>
                      <m:t>x</m:t>
                    </m:r>
                  </m:e>
                </m:nary>
              </m:oMath>
            </m:oMathPara>
          </w:p>
        </w:tc>
        <w:tc>
          <w:tcPr>
            <w:tcW w:w="560" w:type="dxa"/>
            <w:vAlign w:val="center"/>
          </w:tcPr>
          <w:p w14:paraId="545F13B5" w14:textId="2A3506D6" w:rsidR="00E646D5" w:rsidRDefault="00E646D5" w:rsidP="00F64B9B">
            <w:pPr>
              <w:pStyle w:val="Els-body-text"/>
              <w:jc w:val="left"/>
            </w:pPr>
            <w:r>
              <w:t>(</w:t>
            </w:r>
            <w:r w:rsidR="00EA5834">
              <w:t>7</w:t>
            </w:r>
            <w:r>
              <w:t>)</w:t>
            </w:r>
          </w:p>
        </w:tc>
      </w:tr>
    </w:tbl>
    <w:p w14:paraId="4CF95FE7" w14:textId="77777777" w:rsidR="00E646D5" w:rsidRPr="00593E16" w:rsidRDefault="00E646D5" w:rsidP="00593E16">
      <w:pPr>
        <w:pStyle w:val="Els-body-text"/>
      </w:pPr>
    </w:p>
    <w:p w14:paraId="1357A5E9" w14:textId="049F0461" w:rsidR="00B334D4" w:rsidRDefault="00E646D5" w:rsidP="00F26195">
      <w:pPr>
        <w:pStyle w:val="Els-body-text"/>
      </w:pPr>
      <w:r>
        <w:t>In the case of polymer-solvent system</w:t>
      </w:r>
      <w:r w:rsidR="00646141">
        <w:t xml:space="preserve">, </w:t>
      </w:r>
      <w:r w:rsidR="00ED0DBB">
        <w:t xml:space="preserve">the state variable in the Cahn-Hilliard equation (1) is polymer volume fraction </w:t>
      </w:r>
      <w:r w:rsidR="00ED0DBB" w:rsidRPr="00ED0DBB">
        <w:rPr>
          <w:rFonts w:ascii="Symbol" w:hAnsi="Symbol"/>
          <w:i/>
          <w:iCs/>
        </w:rPr>
        <w:t>f</w:t>
      </w:r>
      <w:r w:rsidR="00ED0DBB">
        <w:t xml:space="preserve"> rather than molar density </w:t>
      </w:r>
      <w:r w:rsidR="00ED0DBB" w:rsidRPr="00ED0DBB">
        <w:rPr>
          <w:rFonts w:ascii="Symbol" w:hAnsi="Symbol"/>
          <w:i/>
          <w:iCs/>
        </w:rPr>
        <w:t>r</w:t>
      </w:r>
      <w:r w:rsidR="00ED0DBB">
        <w:t xml:space="preserve">, and evaluation of interfacial tension at polymer-solvent interface then must be slightly modified and involves molar density of polymer </w:t>
      </w:r>
      <w:r w:rsidR="00ED0DBB" w:rsidRPr="00ED0DBB">
        <w:rPr>
          <w:rFonts w:ascii="Symbol" w:hAnsi="Symbol"/>
          <w:i/>
          <w:iCs/>
        </w:rPr>
        <w:t>r</w:t>
      </w:r>
      <w:r w:rsidR="00ED0DBB" w:rsidRPr="00ED0DBB">
        <w:rPr>
          <w:i/>
          <w:iCs/>
          <w:vertAlign w:val="subscript"/>
        </w:rPr>
        <w:t>m</w:t>
      </w:r>
    </w:p>
    <w:p w14:paraId="4A63CEB7" w14:textId="7EAB3135" w:rsidR="00ED0DBB" w:rsidRDefault="00ED0DBB" w:rsidP="00F26195">
      <w:pPr>
        <w:pStyle w:val="Els-body-text"/>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ED0DBB" w14:paraId="0BF6F378" w14:textId="77777777" w:rsidTr="00F64B9B">
        <w:tc>
          <w:tcPr>
            <w:tcW w:w="6516" w:type="dxa"/>
            <w:vAlign w:val="center"/>
          </w:tcPr>
          <w:p w14:paraId="70F46441" w14:textId="0B848305" w:rsidR="00ED0DBB" w:rsidRDefault="00ED0DBB" w:rsidP="00F64B9B">
            <w:pPr>
              <w:pStyle w:val="Els-body-text"/>
              <w:jc w:val="left"/>
            </w:pPr>
            <m:oMathPara>
              <m:oMath>
                <m:r>
                  <w:rPr>
                    <w:rFonts w:ascii="Cambria Math" w:hAnsi="Cambria Math"/>
                  </w:rPr>
                  <m:t>γ=κRT</m:t>
                </m:r>
                <m:sSub>
                  <m:sSubPr>
                    <m:ctrlPr>
                      <w:rPr>
                        <w:rFonts w:ascii="Cambria Math" w:hAnsi="Cambria Math"/>
                        <w:i/>
                      </w:rPr>
                    </m:ctrlPr>
                  </m:sSubPr>
                  <m:e>
                    <m:r>
                      <w:rPr>
                        <w:rFonts w:ascii="Cambria Math" w:hAnsi="Cambria Math"/>
                      </w:rPr>
                      <m:t>ρ</m:t>
                    </m:r>
                  </m:e>
                  <m:sub>
                    <m:r>
                      <w:rPr>
                        <w:rFonts w:ascii="Cambria Math" w:hAnsi="Cambria Math"/>
                      </w:rPr>
                      <m:t>m</m:t>
                    </m:r>
                  </m:sub>
                </m:sSub>
                <m:nary>
                  <m:naryPr>
                    <m:limLoc m:val="subSup"/>
                    <m:ctrlPr>
                      <w:rPr>
                        <w:rFonts w:ascii="Cambria Math" w:hAnsi="Cambria Math"/>
                        <w:i/>
                      </w:rPr>
                    </m:ctrlPr>
                  </m:naryPr>
                  <m:sub>
                    <m:r>
                      <w:rPr>
                        <w:rFonts w:ascii="Cambria Math" w:hAnsi="Cambria Math"/>
                      </w:rPr>
                      <m:t>0</m:t>
                    </m:r>
                  </m:sub>
                  <m:sup>
                    <m:r>
                      <w:rPr>
                        <w:rFonts w:ascii="Cambria Math" w:hAnsi="Cambria Math"/>
                      </w:rPr>
                      <m:t>L</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d</m:t>
                                </m:r>
                                <m:r>
                                  <w:rPr>
                                    <w:rFonts w:ascii="Cambria Math" w:hAnsi="Cambria Math"/>
                                  </w:rPr>
                                  <m:t>ϕ</m:t>
                                </m:r>
                              </m:num>
                              <m:den>
                                <m:r>
                                  <m:rPr>
                                    <m:sty m:val="p"/>
                                  </m:rPr>
                                  <w:rPr>
                                    <w:rFonts w:ascii="Cambria Math" w:hAnsi="Cambria Math"/>
                                  </w:rPr>
                                  <m:t>d</m:t>
                                </m:r>
                                <m:r>
                                  <w:rPr>
                                    <w:rFonts w:ascii="Cambria Math" w:hAnsi="Cambria Math"/>
                                  </w:rPr>
                                  <m:t>x</m:t>
                                </m:r>
                              </m:den>
                            </m:f>
                          </m:e>
                        </m:d>
                      </m:e>
                      <m:sup>
                        <m:r>
                          <w:rPr>
                            <w:rFonts w:ascii="Cambria Math" w:hAnsi="Cambria Math"/>
                          </w:rPr>
                          <m:t>2</m:t>
                        </m:r>
                      </m:sup>
                    </m:sSup>
                    <m:r>
                      <m:rPr>
                        <m:sty m:val="p"/>
                      </m:rPr>
                      <w:rPr>
                        <w:rFonts w:ascii="Cambria Math" w:hAnsi="Cambria Math"/>
                      </w:rPr>
                      <m:t>d</m:t>
                    </m:r>
                    <m:r>
                      <w:rPr>
                        <w:rFonts w:ascii="Cambria Math" w:hAnsi="Cambria Math"/>
                      </w:rPr>
                      <m:t>x</m:t>
                    </m:r>
                  </m:e>
                </m:nary>
              </m:oMath>
            </m:oMathPara>
          </w:p>
        </w:tc>
        <w:tc>
          <w:tcPr>
            <w:tcW w:w="560" w:type="dxa"/>
            <w:vAlign w:val="center"/>
          </w:tcPr>
          <w:p w14:paraId="6AB7103D" w14:textId="6660D214" w:rsidR="00ED0DBB" w:rsidRDefault="00ED0DBB" w:rsidP="00F64B9B">
            <w:pPr>
              <w:pStyle w:val="Els-body-text"/>
              <w:jc w:val="left"/>
            </w:pPr>
            <w:r>
              <w:t>(</w:t>
            </w:r>
            <w:r w:rsidR="00EA5834">
              <w:t>8</w:t>
            </w:r>
            <w:r>
              <w:t>)</w:t>
            </w:r>
          </w:p>
        </w:tc>
      </w:tr>
    </w:tbl>
    <w:p w14:paraId="144DE6A1" w14:textId="65EC8EA6" w:rsidR="008D2649" w:rsidRPr="00A94774" w:rsidRDefault="00E33480" w:rsidP="008D2649">
      <w:pPr>
        <w:pStyle w:val="Els-1storder-head"/>
        <w:spacing w:after="120"/>
        <w:rPr>
          <w:lang w:val="en-GB"/>
        </w:rPr>
      </w:pPr>
      <w:r>
        <w:rPr>
          <w:lang w:val="en-GB"/>
        </w:rPr>
        <w:t>Results and Discussion</w:t>
      </w:r>
    </w:p>
    <w:p w14:paraId="144DE6A2" w14:textId="706C4A53" w:rsidR="008D2649" w:rsidRDefault="0006210C" w:rsidP="008D2649">
      <w:pPr>
        <w:pStyle w:val="Els-body-text"/>
        <w:rPr>
          <w:lang w:val="en-GB"/>
        </w:rPr>
      </w:pPr>
      <w:r>
        <w:rPr>
          <w:lang w:val="en-GB"/>
        </w:rPr>
        <w:t>Figure 1 presents comparison of saturation pressures and liquid densities estimated using vdW-711</w:t>
      </w:r>
      <w:r w:rsidR="00BA579F">
        <w:rPr>
          <w:lang w:val="en-GB"/>
        </w:rPr>
        <w:t xml:space="preserve"> EoS</w:t>
      </w:r>
      <w:r>
        <w:rPr>
          <w:lang w:val="en-GB"/>
        </w:rPr>
        <w:t xml:space="preserve"> (continuous curves) and their experimental values (discrete points) for series of hydrocarbons, namely </w:t>
      </w:r>
      <w:r w:rsidRPr="00BA579F">
        <w:rPr>
          <w:i/>
          <w:iCs/>
          <w:lang w:val="en-GB"/>
        </w:rPr>
        <w:t>n</w:t>
      </w:r>
      <w:r>
        <w:rPr>
          <w:lang w:val="en-GB"/>
        </w:rPr>
        <w:t xml:space="preserve">-pentane, </w:t>
      </w:r>
      <w:r w:rsidRPr="00BA579F">
        <w:rPr>
          <w:i/>
          <w:iCs/>
          <w:lang w:val="en-GB"/>
        </w:rPr>
        <w:t>n</w:t>
      </w:r>
      <w:r>
        <w:rPr>
          <w:lang w:val="en-GB"/>
        </w:rPr>
        <w:t xml:space="preserve">-hexane, </w:t>
      </w:r>
      <w:r w:rsidRPr="00BA579F">
        <w:rPr>
          <w:i/>
          <w:iCs/>
          <w:lang w:val="en-GB"/>
        </w:rPr>
        <w:t>n</w:t>
      </w:r>
      <w:r>
        <w:rPr>
          <w:lang w:val="en-GB"/>
        </w:rPr>
        <w:t xml:space="preserve">-heptane, </w:t>
      </w:r>
      <w:r w:rsidRPr="00BA579F">
        <w:rPr>
          <w:i/>
          <w:iCs/>
          <w:lang w:val="en-GB"/>
        </w:rPr>
        <w:t>n</w:t>
      </w:r>
      <w:r>
        <w:rPr>
          <w:lang w:val="en-GB"/>
        </w:rPr>
        <w:t xml:space="preserve">-octane, </w:t>
      </w:r>
      <w:r w:rsidRPr="00BA579F">
        <w:rPr>
          <w:i/>
          <w:iCs/>
          <w:lang w:val="en-GB"/>
        </w:rPr>
        <w:t>n</w:t>
      </w:r>
      <w:r>
        <w:rPr>
          <w:lang w:val="en-GB"/>
        </w:rPr>
        <w:t xml:space="preserve">-nonane, </w:t>
      </w:r>
      <w:r w:rsidRPr="00BA579F">
        <w:rPr>
          <w:i/>
          <w:iCs/>
          <w:lang w:val="en-GB"/>
        </w:rPr>
        <w:t>n</w:t>
      </w:r>
      <w:r>
        <w:rPr>
          <w:lang w:val="en-GB"/>
        </w:rPr>
        <w:t>-decane and cyclohexane</w:t>
      </w:r>
      <w:r w:rsidR="00BA579F">
        <w:rPr>
          <w:lang w:val="en-GB"/>
        </w:rPr>
        <w:t xml:space="preserve"> at different temperatures</w:t>
      </w:r>
      <w:r>
        <w:rPr>
          <w:lang w:val="en-GB"/>
        </w:rPr>
        <w:t xml:space="preserve">. </w:t>
      </w:r>
      <w:r w:rsidR="00BA579F">
        <w:rPr>
          <w:lang w:val="en-GB"/>
        </w:rPr>
        <w:t>From the plots it is evident that the agreement between experimental data and predictions by vdW-711</w:t>
      </w:r>
      <w:r w:rsidR="00274F06">
        <w:rPr>
          <w:lang w:val="en-GB"/>
        </w:rPr>
        <w:t xml:space="preserve"> </w:t>
      </w:r>
      <w:r w:rsidR="00BA579F">
        <w:rPr>
          <w:lang w:val="en-GB"/>
        </w:rPr>
        <w:t>is excellent.</w:t>
      </w:r>
    </w:p>
    <w:p w14:paraId="144DE6A3" w14:textId="2A5B5189" w:rsidR="008D2649" w:rsidRDefault="00593EF9" w:rsidP="00ED3B8C">
      <w:pPr>
        <w:pStyle w:val="Els-body-text"/>
      </w:pPr>
      <w:r>
        <w:rPr>
          <w:lang w:val="en-GB"/>
        </w:rPr>
        <w:tab/>
      </w:r>
      <w:r w:rsidR="0090222D">
        <w:rPr>
          <w:lang w:val="en-GB"/>
        </w:rPr>
        <w:t>Figure 2 demonstrates similar results for a single compound – cyclohexane – but this time the comparison is made between the original vdW EoS and its extended form</w:t>
      </w:r>
      <w:r w:rsidR="00555929">
        <w:rPr>
          <w:lang w:val="en-GB"/>
        </w:rPr>
        <w:t>,</w:t>
      </w:r>
      <w:r w:rsidR="0090222D">
        <w:rPr>
          <w:lang w:val="en-GB"/>
        </w:rPr>
        <w:t xml:space="preserve"> vdW-711.</w:t>
      </w:r>
      <w:r w:rsidR="009F4BE9">
        <w:rPr>
          <w:lang w:val="en-GB"/>
        </w:rPr>
        <w:t xml:space="preserve"> The prediction error of the original vdW is relatively high, especially in the case of liquid densit</w:t>
      </w:r>
      <w:r w:rsidR="00555929">
        <w:rPr>
          <w:lang w:val="en-GB"/>
        </w:rPr>
        <w:t>ie</w:t>
      </w:r>
      <w:r w:rsidR="009F4BE9">
        <w:rPr>
          <w:lang w:val="en-GB"/>
        </w:rPr>
        <w:t>s, where it deviates from the experimental values almost by 50%.</w:t>
      </w:r>
      <w:r w:rsidR="002C23BF">
        <w:rPr>
          <w:lang w:val="en-GB"/>
        </w:rPr>
        <w:t xml:space="preserve"> </w:t>
      </w:r>
      <w:r w:rsidR="00ED3B8C">
        <w:t>Figure 3 demonstrates how molar density and chemical potential evolve throughout the simulation</w:t>
      </w:r>
      <w:r w:rsidR="00555929">
        <w:t xml:space="preserve"> during integration of Eq. (1)</w:t>
      </w:r>
      <w:r w:rsidR="00ED3B8C">
        <w:t xml:space="preserve"> from the initial linear density profile into the final equilibrium profile of sigmoidal shape. The observed flat (constant) profile of chemical potential at the end of the simulation is a proof of reached thermodynamic equilibrium.</w:t>
      </w:r>
    </w:p>
    <w:p w14:paraId="0C53B5D0" w14:textId="77777777" w:rsidR="00555929" w:rsidRDefault="00555929" w:rsidP="00ED3B8C">
      <w:pPr>
        <w:pStyle w:val="Els-body-text"/>
      </w:pPr>
    </w:p>
    <w:p w14:paraId="13EC546F" w14:textId="7E737227" w:rsidR="002B5E03" w:rsidRDefault="002B5E03" w:rsidP="008D2649">
      <w:pPr>
        <w:pStyle w:val="Els-body-text"/>
        <w:rPr>
          <w:lang w:val="en-GB"/>
        </w:rPr>
      </w:pPr>
      <w:r w:rsidRPr="002B5E03">
        <w:rPr>
          <w:noProof/>
          <w:lang w:val="en-GB"/>
        </w:rPr>
        <w:drawing>
          <wp:inline distT="0" distB="0" distL="0" distR="0" wp14:anchorId="79573582" wp14:editId="49FBE056">
            <wp:extent cx="2249241" cy="1803582"/>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2282834" cy="1830519"/>
                    </a:xfrm>
                    <a:prstGeom prst="rect">
                      <a:avLst/>
                    </a:prstGeom>
                  </pic:spPr>
                </pic:pic>
              </a:graphicData>
            </a:graphic>
          </wp:inline>
        </w:drawing>
      </w:r>
      <w:r w:rsidRPr="002B5E03">
        <w:rPr>
          <w:noProof/>
          <w:lang w:val="en-GB"/>
        </w:rPr>
        <w:drawing>
          <wp:inline distT="0" distB="0" distL="0" distR="0" wp14:anchorId="0C09E37A" wp14:editId="5EDA2BB1">
            <wp:extent cx="2249786" cy="179925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2270629" cy="1815928"/>
                    </a:xfrm>
                    <a:prstGeom prst="rect">
                      <a:avLst/>
                    </a:prstGeom>
                  </pic:spPr>
                </pic:pic>
              </a:graphicData>
            </a:graphic>
          </wp:inline>
        </w:drawing>
      </w:r>
    </w:p>
    <w:p w14:paraId="2DEF436C" w14:textId="027F2301" w:rsidR="00343A05" w:rsidRDefault="00343A05" w:rsidP="008D2649">
      <w:pPr>
        <w:pStyle w:val="Els-body-text"/>
        <w:rPr>
          <w:sz w:val="18"/>
          <w:szCs w:val="18"/>
        </w:rPr>
      </w:pPr>
      <w:r w:rsidRPr="00CC1C8C">
        <w:rPr>
          <w:b/>
          <w:bCs/>
          <w:sz w:val="18"/>
          <w:szCs w:val="18"/>
          <w:lang w:val="en-GB"/>
        </w:rPr>
        <w:t xml:space="preserve">Figure </w:t>
      </w:r>
      <w:r w:rsidRPr="00CC1C8C">
        <w:rPr>
          <w:b/>
          <w:bCs/>
          <w:sz w:val="18"/>
          <w:szCs w:val="18"/>
        </w:rPr>
        <w:t>1</w:t>
      </w:r>
      <w:r w:rsidRPr="00CC1C8C">
        <w:rPr>
          <w:sz w:val="18"/>
          <w:szCs w:val="18"/>
        </w:rPr>
        <w:t>. Comparison of predicted (</w:t>
      </w:r>
      <w:r w:rsidR="00A47074" w:rsidRPr="00CC1C8C">
        <w:rPr>
          <w:sz w:val="18"/>
          <w:szCs w:val="18"/>
        </w:rPr>
        <w:t xml:space="preserve">continuous </w:t>
      </w:r>
      <w:r w:rsidR="00034850" w:rsidRPr="00CC1C8C">
        <w:rPr>
          <w:sz w:val="18"/>
          <w:szCs w:val="18"/>
        </w:rPr>
        <w:t>curv</w:t>
      </w:r>
      <w:r w:rsidRPr="00CC1C8C">
        <w:rPr>
          <w:sz w:val="18"/>
          <w:szCs w:val="18"/>
        </w:rPr>
        <w:t>es) and experimental (</w:t>
      </w:r>
      <w:r w:rsidR="00A47074" w:rsidRPr="00CC1C8C">
        <w:rPr>
          <w:sz w:val="18"/>
          <w:szCs w:val="18"/>
        </w:rPr>
        <w:t xml:space="preserve">discrete </w:t>
      </w:r>
      <w:r w:rsidRPr="00CC1C8C">
        <w:rPr>
          <w:sz w:val="18"/>
          <w:szCs w:val="18"/>
        </w:rPr>
        <w:t>points) temperature dependencies of (i) saturation pressure scaled by critical pressure (left), and (ii) liquid phase densities</w:t>
      </w:r>
      <w:r w:rsidR="00F748D8" w:rsidRPr="00CC1C8C">
        <w:rPr>
          <w:sz w:val="18"/>
          <w:szCs w:val="18"/>
        </w:rPr>
        <w:t xml:space="preserve"> scaled by critical densities</w:t>
      </w:r>
      <w:r w:rsidRPr="00CC1C8C">
        <w:rPr>
          <w:sz w:val="18"/>
          <w:szCs w:val="18"/>
        </w:rPr>
        <w:t xml:space="preserve"> (right). The predictions were performed for </w:t>
      </w:r>
      <w:r w:rsidRPr="00CC1C8C">
        <w:rPr>
          <w:i/>
          <w:iCs/>
          <w:sz w:val="18"/>
          <w:szCs w:val="18"/>
        </w:rPr>
        <w:t>n</w:t>
      </w:r>
      <w:r w:rsidRPr="00CC1C8C">
        <w:rPr>
          <w:i/>
          <w:iCs/>
          <w:sz w:val="18"/>
          <w:szCs w:val="18"/>
        </w:rPr>
        <w:softHyphen/>
      </w:r>
      <w:r w:rsidRPr="00CC1C8C">
        <w:rPr>
          <w:sz w:val="18"/>
          <w:szCs w:val="18"/>
        </w:rPr>
        <w:t xml:space="preserve">-pentane, </w:t>
      </w:r>
      <w:r w:rsidRPr="00CC1C8C">
        <w:rPr>
          <w:i/>
          <w:iCs/>
          <w:sz w:val="18"/>
          <w:szCs w:val="18"/>
        </w:rPr>
        <w:t>n</w:t>
      </w:r>
      <w:r w:rsidRPr="00CC1C8C">
        <w:rPr>
          <w:sz w:val="18"/>
          <w:szCs w:val="18"/>
        </w:rPr>
        <w:t xml:space="preserve">-hexane, </w:t>
      </w:r>
      <w:r w:rsidRPr="00CC1C8C">
        <w:rPr>
          <w:i/>
          <w:iCs/>
          <w:sz w:val="18"/>
          <w:szCs w:val="18"/>
        </w:rPr>
        <w:t>n</w:t>
      </w:r>
      <w:r w:rsidRPr="00CC1C8C">
        <w:rPr>
          <w:sz w:val="18"/>
          <w:szCs w:val="18"/>
        </w:rPr>
        <w:t xml:space="preserve">-heptane, </w:t>
      </w:r>
      <w:r w:rsidRPr="00CC1C8C">
        <w:rPr>
          <w:i/>
          <w:iCs/>
          <w:sz w:val="18"/>
          <w:szCs w:val="18"/>
        </w:rPr>
        <w:t>n</w:t>
      </w:r>
      <w:r w:rsidRPr="00CC1C8C">
        <w:rPr>
          <w:sz w:val="18"/>
          <w:szCs w:val="18"/>
        </w:rPr>
        <w:t xml:space="preserve">-octane, </w:t>
      </w:r>
      <w:r w:rsidRPr="00CC1C8C">
        <w:rPr>
          <w:i/>
          <w:iCs/>
          <w:sz w:val="18"/>
          <w:szCs w:val="18"/>
        </w:rPr>
        <w:t>n</w:t>
      </w:r>
      <w:r w:rsidRPr="00CC1C8C">
        <w:rPr>
          <w:sz w:val="18"/>
          <w:szCs w:val="18"/>
        </w:rPr>
        <w:t xml:space="preserve">-nonane, </w:t>
      </w:r>
      <w:r w:rsidRPr="00CC1C8C">
        <w:rPr>
          <w:i/>
          <w:iCs/>
          <w:sz w:val="18"/>
          <w:szCs w:val="18"/>
        </w:rPr>
        <w:t>n</w:t>
      </w:r>
      <w:r w:rsidRPr="00CC1C8C">
        <w:rPr>
          <w:sz w:val="18"/>
          <w:szCs w:val="18"/>
        </w:rPr>
        <w:t>-decane, cyclohexane</w:t>
      </w:r>
      <w:r w:rsidR="00C14BB2" w:rsidRPr="00CC1C8C">
        <w:rPr>
          <w:sz w:val="18"/>
          <w:szCs w:val="18"/>
        </w:rPr>
        <w:t xml:space="preserve"> using vdW-711 EoS</w:t>
      </w:r>
      <w:r w:rsidRPr="00CC1C8C">
        <w:rPr>
          <w:sz w:val="18"/>
          <w:szCs w:val="18"/>
        </w:rPr>
        <w:t>.</w:t>
      </w:r>
      <w:r w:rsidR="00BB2D88">
        <w:rPr>
          <w:sz w:val="18"/>
          <w:szCs w:val="18"/>
        </w:rPr>
        <w:t xml:space="preserve"> The experimental data are taken from the NIST Webbook of Chemistry.</w:t>
      </w:r>
    </w:p>
    <w:p w14:paraId="0232D775" w14:textId="5B23D78A" w:rsidR="00025610" w:rsidRDefault="00025610" w:rsidP="008D2649">
      <w:pPr>
        <w:pStyle w:val="Els-body-text"/>
        <w:rPr>
          <w:lang w:val="en-GB"/>
        </w:rPr>
      </w:pPr>
      <w:r w:rsidRPr="00025610">
        <w:rPr>
          <w:noProof/>
          <w:lang w:val="en-GB"/>
        </w:rPr>
        <w:lastRenderedPageBreak/>
        <w:drawing>
          <wp:inline distT="0" distB="0" distL="0" distR="0" wp14:anchorId="4C6F0F81" wp14:editId="587F34A1">
            <wp:extent cx="2231679" cy="198602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251153" cy="2003354"/>
                    </a:xfrm>
                    <a:prstGeom prst="rect">
                      <a:avLst/>
                    </a:prstGeom>
                  </pic:spPr>
                </pic:pic>
              </a:graphicData>
            </a:graphic>
          </wp:inline>
        </w:drawing>
      </w:r>
      <w:r w:rsidRPr="00025610">
        <w:rPr>
          <w:noProof/>
          <w:lang w:val="en-GB"/>
        </w:rPr>
        <w:drawing>
          <wp:inline distT="0" distB="0" distL="0" distR="0" wp14:anchorId="1E316492" wp14:editId="2312EEAA">
            <wp:extent cx="2231679" cy="1980985"/>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2256457" cy="2002980"/>
                    </a:xfrm>
                    <a:prstGeom prst="rect">
                      <a:avLst/>
                    </a:prstGeom>
                  </pic:spPr>
                </pic:pic>
              </a:graphicData>
            </a:graphic>
          </wp:inline>
        </w:drawing>
      </w:r>
    </w:p>
    <w:p w14:paraId="3CCB7F04" w14:textId="48E63A75" w:rsidR="00646141" w:rsidRDefault="002111E7" w:rsidP="008D2649">
      <w:pPr>
        <w:pStyle w:val="Els-body-text"/>
        <w:rPr>
          <w:sz w:val="18"/>
          <w:szCs w:val="18"/>
        </w:rPr>
      </w:pPr>
      <w:r w:rsidRPr="00CC1C8C">
        <w:rPr>
          <w:b/>
          <w:bCs/>
          <w:sz w:val="18"/>
          <w:szCs w:val="18"/>
          <w:lang w:val="en-GB"/>
        </w:rPr>
        <w:t>Figure 2</w:t>
      </w:r>
      <w:r w:rsidRPr="00CC1C8C">
        <w:rPr>
          <w:sz w:val="18"/>
          <w:szCs w:val="18"/>
        </w:rPr>
        <w:t>. Comparison of predicted (continuous curves) and experimental (discrete points) temperature dependencies of (i) saturation pressure scaled by critical pressure (left), and (ii) liquid phase densities scaled by critical densities (right) for cyclohexane. Light grey curves represent predictions using classical vdW EoS, dark curves are calculated using extended vdW-711 Eo</w:t>
      </w:r>
      <w:r w:rsidR="007E489C" w:rsidRPr="00CC1C8C">
        <w:rPr>
          <w:sz w:val="18"/>
          <w:szCs w:val="18"/>
        </w:rPr>
        <w:t>S.</w:t>
      </w:r>
      <w:r w:rsidR="00BB2D88">
        <w:rPr>
          <w:sz w:val="18"/>
          <w:szCs w:val="18"/>
        </w:rPr>
        <w:t xml:space="preserve"> The experimental data are taken from the NIST Webbook of Chemistry.</w:t>
      </w:r>
    </w:p>
    <w:p w14:paraId="7223AA35" w14:textId="5D45A8BD" w:rsidR="00CE44DA" w:rsidRDefault="00CE44DA" w:rsidP="008D2649">
      <w:pPr>
        <w:pStyle w:val="Els-body-text"/>
        <w:rPr>
          <w:sz w:val="18"/>
          <w:szCs w:val="18"/>
        </w:rPr>
      </w:pPr>
    </w:p>
    <w:p w14:paraId="4D43FB25" w14:textId="77777777" w:rsidR="00CE44DA" w:rsidRDefault="00CE44DA" w:rsidP="00CE44DA">
      <w:pPr>
        <w:jc w:val="center"/>
        <w:rPr>
          <w:noProof/>
        </w:rPr>
      </w:pPr>
      <w:r>
        <w:rPr>
          <w:noProof/>
        </w:rPr>
        <w:drawing>
          <wp:inline distT="0" distB="0" distL="0" distR="0" wp14:anchorId="319F7AF6" wp14:editId="6437B5C7">
            <wp:extent cx="3633805" cy="1133476"/>
            <wp:effectExtent l="0" t="0" r="508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b="10467"/>
                    <a:stretch/>
                  </pic:blipFill>
                  <pic:spPr bwMode="auto">
                    <a:xfrm>
                      <a:off x="0" y="0"/>
                      <a:ext cx="3746855" cy="1168739"/>
                    </a:xfrm>
                    <a:prstGeom prst="rect">
                      <a:avLst/>
                    </a:prstGeom>
                    <a:noFill/>
                    <a:ln>
                      <a:noFill/>
                    </a:ln>
                    <a:extLst>
                      <a:ext uri="{53640926-AAD7-44D8-BBD7-CCE9431645EC}">
                        <a14:shadowObscured xmlns:a14="http://schemas.microsoft.com/office/drawing/2010/main"/>
                      </a:ext>
                    </a:extLst>
                  </pic:spPr>
                </pic:pic>
              </a:graphicData>
            </a:graphic>
          </wp:inline>
        </w:drawing>
      </w:r>
    </w:p>
    <w:p w14:paraId="4406A24B" w14:textId="77777777" w:rsidR="00CE44DA" w:rsidRDefault="00CE44DA" w:rsidP="00CE44DA">
      <w:pPr>
        <w:pStyle w:val="Els-body-text"/>
        <w:jc w:val="center"/>
        <w:rPr>
          <w:lang w:val="en-GB"/>
        </w:rPr>
      </w:pPr>
      <w:r>
        <w:rPr>
          <w:noProof/>
          <w:lang w:val="en-GB"/>
        </w:rPr>
        <w:drawing>
          <wp:inline distT="0" distB="0" distL="0" distR="0" wp14:anchorId="13D9A77C" wp14:editId="640EF788">
            <wp:extent cx="3667797" cy="1277833"/>
            <wp:effectExtent l="0" t="0" r="8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02090" cy="1324620"/>
                    </a:xfrm>
                    <a:prstGeom prst="rect">
                      <a:avLst/>
                    </a:prstGeom>
                    <a:noFill/>
                    <a:ln>
                      <a:noFill/>
                    </a:ln>
                  </pic:spPr>
                </pic:pic>
              </a:graphicData>
            </a:graphic>
          </wp:inline>
        </w:drawing>
      </w:r>
    </w:p>
    <w:p w14:paraId="4D8CE7A5" w14:textId="6372EC23" w:rsidR="00CE44DA" w:rsidRPr="00CC1C8C" w:rsidRDefault="00CE44DA" w:rsidP="00CE44DA">
      <w:pPr>
        <w:pStyle w:val="Els-body-text"/>
        <w:rPr>
          <w:sz w:val="18"/>
          <w:szCs w:val="18"/>
          <w:lang w:val="cs-CZ"/>
        </w:rPr>
      </w:pPr>
      <w:r w:rsidRPr="00CC1C8C">
        <w:rPr>
          <w:b/>
          <w:bCs/>
          <w:sz w:val="18"/>
          <w:szCs w:val="18"/>
          <w:lang w:val="en-GB"/>
        </w:rPr>
        <w:t>Figure 3</w:t>
      </w:r>
      <w:r w:rsidRPr="00CC1C8C">
        <w:rPr>
          <w:sz w:val="18"/>
          <w:szCs w:val="18"/>
        </w:rPr>
        <w:t xml:space="preserve">. Dynamic evolution of spatial profiles of </w:t>
      </w:r>
      <w:r w:rsidR="00555929">
        <w:rPr>
          <w:sz w:val="18"/>
          <w:szCs w:val="18"/>
        </w:rPr>
        <w:t xml:space="preserve">cyclohexane </w:t>
      </w:r>
      <w:r w:rsidRPr="00CC1C8C">
        <w:rPr>
          <w:sz w:val="18"/>
          <w:szCs w:val="18"/>
        </w:rPr>
        <w:t xml:space="preserve">molar density (top graphs) and normalized chemical potential (bottom graphs) </w:t>
      </w:r>
      <w:r>
        <w:rPr>
          <w:sz w:val="18"/>
          <w:szCs w:val="18"/>
        </w:rPr>
        <w:t xml:space="preserve">as predicted by Cahn-Hilliard model </w:t>
      </w:r>
      <w:r w:rsidRPr="00CC1C8C">
        <w:rPr>
          <w:sz w:val="18"/>
          <w:szCs w:val="18"/>
        </w:rPr>
        <w:t xml:space="preserve">from initial condition (left) to the final equilibrium profiles (right). Spatial coordinate </w:t>
      </w:r>
      <w:r w:rsidRPr="00CC1C8C">
        <w:rPr>
          <w:i/>
          <w:iCs/>
          <w:sz w:val="18"/>
          <w:szCs w:val="18"/>
        </w:rPr>
        <w:t>z</w:t>
      </w:r>
      <w:r w:rsidRPr="00CC1C8C">
        <w:rPr>
          <w:sz w:val="18"/>
          <w:szCs w:val="18"/>
        </w:rPr>
        <w:t xml:space="preserve"> is normalized by the length of the computational domain </w:t>
      </w:r>
      <w:r w:rsidRPr="00CC1C8C">
        <w:rPr>
          <w:i/>
          <w:iCs/>
          <w:sz w:val="18"/>
          <w:szCs w:val="18"/>
        </w:rPr>
        <w:t>L</w:t>
      </w:r>
      <w:r w:rsidRPr="00CC1C8C">
        <w:rPr>
          <w:sz w:val="18"/>
          <w:szCs w:val="18"/>
        </w:rPr>
        <w:t xml:space="preserve"> = 10 nm.</w:t>
      </w:r>
      <w:r>
        <w:rPr>
          <w:sz w:val="18"/>
          <w:szCs w:val="18"/>
        </w:rPr>
        <w:t xml:space="preserve"> In this simulation, system temperature was set to </w:t>
      </w:r>
      <w:r>
        <w:rPr>
          <w:i/>
          <w:iCs/>
          <w:sz w:val="18"/>
          <w:szCs w:val="18"/>
        </w:rPr>
        <w:t>T</w:t>
      </w:r>
      <w:r>
        <w:rPr>
          <w:sz w:val="18"/>
          <w:szCs w:val="18"/>
        </w:rPr>
        <w:t xml:space="preserve"> = </w:t>
      </w:r>
      <w:r w:rsidR="002C23BF">
        <w:rPr>
          <w:sz w:val="18"/>
          <w:szCs w:val="18"/>
        </w:rPr>
        <w:t xml:space="preserve">298.15 </w:t>
      </w:r>
      <w:r w:rsidR="002C23BF">
        <w:rPr>
          <w:sz w:val="18"/>
          <w:szCs w:val="18"/>
          <w:lang w:val="cs-CZ"/>
        </w:rPr>
        <w:t>K</w:t>
      </w:r>
      <w:r>
        <w:rPr>
          <w:sz w:val="18"/>
          <w:szCs w:val="18"/>
          <w:lang w:val="cs-CZ"/>
        </w:rPr>
        <w:t>.</w:t>
      </w:r>
    </w:p>
    <w:p w14:paraId="546753AB" w14:textId="56B78A6A" w:rsidR="00CE44DA" w:rsidRDefault="00CE44DA" w:rsidP="008D2649">
      <w:pPr>
        <w:pStyle w:val="Els-body-text"/>
        <w:rPr>
          <w:sz w:val="18"/>
          <w:szCs w:val="18"/>
        </w:rPr>
      </w:pPr>
    </w:p>
    <w:p w14:paraId="17346AF3" w14:textId="1949F2C9" w:rsidR="00591F5A" w:rsidRDefault="00591F5A" w:rsidP="008D2649">
      <w:pPr>
        <w:pStyle w:val="Els-body-text"/>
      </w:pPr>
      <w:r w:rsidRPr="00591F5A">
        <w:t xml:space="preserve">Figure 4 shows comparison of predicted and experimental dependency of </w:t>
      </w:r>
      <w:r w:rsidRPr="00591F5A">
        <w:rPr>
          <w:i/>
          <w:iCs/>
        </w:rPr>
        <w:t>n</w:t>
      </w:r>
      <w:r w:rsidRPr="00591F5A">
        <w:t xml:space="preserve">-heptane surface tension on temperature and pressure. Considering that no parameters have been estimated from the </w:t>
      </w:r>
      <w:r>
        <w:t>experimental data for this prediction, the agreement is surprisingly good, rendering not only qualitative trends, but also being quantitatively close to the measured values.</w:t>
      </w:r>
    </w:p>
    <w:p w14:paraId="44F3CACE" w14:textId="28FDEC21" w:rsidR="003752F7" w:rsidRPr="00591F5A" w:rsidRDefault="003752F7" w:rsidP="008D2649">
      <w:pPr>
        <w:pStyle w:val="Els-body-text"/>
      </w:pPr>
      <w:r>
        <w:tab/>
        <w:t xml:space="preserve">Also for the polymer-solvent system, the interfacial tension can be estimated with reasonable accuracy – </w:t>
      </w:r>
      <w:r w:rsidR="00815B18">
        <w:t xml:space="preserve">using Flory-Huggins equation, </w:t>
      </w:r>
      <w:r>
        <w:t>we predicted value of 0.0022</w:t>
      </w:r>
      <w:r w:rsidR="00815B18">
        <w:t> </w:t>
      </w:r>
      <w:r>
        <w:t>mN·m</w:t>
      </w:r>
      <w:r w:rsidRPr="003752F7">
        <w:rPr>
          <w:vertAlign w:val="superscript"/>
        </w:rPr>
        <w:t>-1</w:t>
      </w:r>
      <w:r>
        <w:t xml:space="preserve"> for system polystyrene-cyclohexane </w:t>
      </w:r>
      <w:r w:rsidR="00FE01D3">
        <w:t xml:space="preserve">at </w:t>
      </w:r>
      <w:r>
        <w:t xml:space="preserve">285 K, where the </w:t>
      </w:r>
      <w:r w:rsidR="00BB2D88">
        <w:t xml:space="preserve">value </w:t>
      </w:r>
      <w:r>
        <w:t>measured at th</w:t>
      </w:r>
      <w:r w:rsidR="00FE01D3">
        <w:t>ese</w:t>
      </w:r>
      <w:r>
        <w:t xml:space="preserve"> conditions</w:t>
      </w:r>
      <w:r w:rsidR="00BB2D88">
        <w:t xml:space="preserve"> by Heinrich and Wolf (1992)</w:t>
      </w:r>
      <w:r>
        <w:t xml:space="preserve"> was found to be 0.0015 mN·m</w:t>
      </w:r>
      <w:r w:rsidRPr="003752F7">
        <w:rPr>
          <w:vertAlign w:val="superscript"/>
        </w:rPr>
        <w:t>-1</w:t>
      </w:r>
      <w:r w:rsidR="00BB2D88">
        <w:t>.</w:t>
      </w:r>
    </w:p>
    <w:p w14:paraId="5E0A7B59" w14:textId="3AB3489A" w:rsidR="00552C5E" w:rsidRDefault="00552C5E" w:rsidP="008D2649">
      <w:pPr>
        <w:pStyle w:val="Els-body-text"/>
        <w:rPr>
          <w:lang w:val="en-GB"/>
        </w:rPr>
      </w:pPr>
      <w:r w:rsidRPr="00552C5E">
        <w:rPr>
          <w:noProof/>
          <w:lang w:val="en-GB"/>
        </w:rPr>
        <w:lastRenderedPageBreak/>
        <w:drawing>
          <wp:inline distT="0" distB="0" distL="0" distR="0" wp14:anchorId="3E78513F" wp14:editId="6F401656">
            <wp:extent cx="2315183" cy="198812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2325055" cy="1996606"/>
                    </a:xfrm>
                    <a:prstGeom prst="rect">
                      <a:avLst/>
                    </a:prstGeom>
                  </pic:spPr>
                </pic:pic>
              </a:graphicData>
            </a:graphic>
          </wp:inline>
        </w:drawing>
      </w:r>
      <w:r w:rsidRPr="00552C5E">
        <w:rPr>
          <w:noProof/>
          <w:lang w:val="en-GB"/>
        </w:rPr>
        <w:drawing>
          <wp:inline distT="0" distB="0" distL="0" distR="0" wp14:anchorId="24D34F3E" wp14:editId="08A5C414">
            <wp:extent cx="2097932" cy="1955822"/>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2166202" cy="2019468"/>
                    </a:xfrm>
                    <a:prstGeom prst="rect">
                      <a:avLst/>
                    </a:prstGeom>
                  </pic:spPr>
                </pic:pic>
              </a:graphicData>
            </a:graphic>
          </wp:inline>
        </w:drawing>
      </w:r>
    </w:p>
    <w:p w14:paraId="73CDDA2B" w14:textId="1E3B954A" w:rsidR="00A2789E" w:rsidRPr="00CC1C8C" w:rsidRDefault="00A2789E" w:rsidP="00A2789E">
      <w:pPr>
        <w:pStyle w:val="Els-body-text"/>
        <w:rPr>
          <w:sz w:val="18"/>
          <w:szCs w:val="18"/>
        </w:rPr>
      </w:pPr>
      <w:r w:rsidRPr="00CC1C8C">
        <w:rPr>
          <w:b/>
          <w:bCs/>
          <w:sz w:val="18"/>
          <w:szCs w:val="18"/>
          <w:lang w:val="en-GB"/>
        </w:rPr>
        <w:t>Figure 4</w:t>
      </w:r>
      <w:r w:rsidRPr="00CC1C8C">
        <w:rPr>
          <w:sz w:val="18"/>
          <w:szCs w:val="18"/>
        </w:rPr>
        <w:t xml:space="preserve">. </w:t>
      </w:r>
      <w:r w:rsidR="002C23BF">
        <w:rPr>
          <w:sz w:val="18"/>
          <w:szCs w:val="18"/>
        </w:rPr>
        <w:t xml:space="preserve">Comparison of predicted (using vdW-711 EoS) and experimental values of surface tension of </w:t>
      </w:r>
      <w:r w:rsidR="002C23BF" w:rsidRPr="002C23BF">
        <w:rPr>
          <w:i/>
          <w:iCs/>
          <w:sz w:val="18"/>
          <w:szCs w:val="18"/>
        </w:rPr>
        <w:t>n</w:t>
      </w:r>
      <w:r w:rsidR="002C23BF" w:rsidRPr="002C23BF">
        <w:rPr>
          <w:sz w:val="18"/>
          <w:szCs w:val="18"/>
        </w:rPr>
        <w:softHyphen/>
      </w:r>
      <w:r w:rsidR="002C23BF">
        <w:rPr>
          <w:sz w:val="18"/>
          <w:szCs w:val="18"/>
        </w:rPr>
        <w:t xml:space="preserve">-heptane in dependence on temperature (left) and </w:t>
      </w:r>
      <w:r w:rsidR="00591F5A">
        <w:rPr>
          <w:sz w:val="18"/>
          <w:szCs w:val="18"/>
        </w:rPr>
        <w:t>pressure (right).</w:t>
      </w:r>
      <w:r w:rsidR="009035EA">
        <w:rPr>
          <w:sz w:val="18"/>
          <w:szCs w:val="18"/>
        </w:rPr>
        <w:t xml:space="preserve"> The experimental data are taken from the NIST Webbook of Chemistry.</w:t>
      </w:r>
    </w:p>
    <w:p w14:paraId="144DE6BA" w14:textId="755D1E19" w:rsidR="008D2649" w:rsidRPr="00A94774" w:rsidRDefault="001C321A" w:rsidP="008D2649">
      <w:pPr>
        <w:pStyle w:val="Els-1storder-head"/>
        <w:spacing w:after="120"/>
        <w:rPr>
          <w:lang w:val="en-GB"/>
        </w:rPr>
      </w:pPr>
      <w:r>
        <w:rPr>
          <w:lang w:val="en-GB"/>
        </w:rPr>
        <w:t>C</w:t>
      </w:r>
      <w:r w:rsidR="008D2649" w:rsidRPr="00A94774">
        <w:rPr>
          <w:lang w:val="en-GB"/>
        </w:rPr>
        <w:t>onclusions</w:t>
      </w:r>
    </w:p>
    <w:p w14:paraId="3DA06C77" w14:textId="4EF9C518" w:rsidR="00D86504" w:rsidRDefault="00C478D6" w:rsidP="00D86504">
      <w:pPr>
        <w:pStyle w:val="Els-body-text"/>
      </w:pPr>
      <w:r>
        <w:t xml:space="preserve">We employed </w:t>
      </w:r>
      <w:r w:rsidR="00D86504">
        <w:t xml:space="preserve">rarely used </w:t>
      </w:r>
      <w:r>
        <w:t>van der Waals-711 equation of state to estimate vapor-liquid equilibrium conditions for series of saturated hydrocarbons.</w:t>
      </w:r>
      <w:r w:rsidR="0034579E">
        <w:t xml:space="preserve"> </w:t>
      </w:r>
      <w:r w:rsidR="00CB7046">
        <w:t xml:space="preserve">Comparison with experimental data reveals that the predictive strength of this equation is comparable to more popular engineering cubic equations of state such as Peng-Robinson or </w:t>
      </w:r>
      <w:r w:rsidR="00AB741D">
        <w:t>Soave-Redlich-Kwong.</w:t>
      </w:r>
    </w:p>
    <w:p w14:paraId="144DE6BE" w14:textId="7CD77BB2" w:rsidR="008D2649" w:rsidRPr="00926271" w:rsidRDefault="00D86504" w:rsidP="00926271">
      <w:pPr>
        <w:pStyle w:val="Els-body-text"/>
      </w:pPr>
      <w:r>
        <w:tab/>
        <w:t xml:space="preserve">Numerically robust approach to Density Gradient Theory based on solution of time-dependent Cahn-Hilliard equation was used to </w:t>
      </w:r>
      <w:r w:rsidR="00926271">
        <w:t xml:space="preserve">estimate equilibrium density profile of vapor-liquid and polymer-solvent interface and subsequently to predict surface/interfacial tension. </w:t>
      </w:r>
      <w:r w:rsidR="00DF1083" w:rsidRPr="00471426">
        <w:t>The obtained results are compared with available experimental data</w:t>
      </w:r>
      <w:r w:rsidR="00DF1083">
        <w:t xml:space="preserve"> and indicate that this </w:t>
      </w:r>
      <w:r w:rsidR="00DF1083">
        <w:rPr>
          <w:i/>
          <w:iCs/>
        </w:rPr>
        <w:t xml:space="preserve">ab initio </w:t>
      </w:r>
      <w:r w:rsidR="00CD51BC">
        <w:t xml:space="preserve">approach (i.e., based only on tabulated properties of pure compounds without need for parameter estimation) </w:t>
      </w:r>
      <w:r w:rsidR="00DF1083">
        <w:t xml:space="preserve">is capable of predicting the surface/interfacial tension in </w:t>
      </w:r>
      <w:r w:rsidR="00CD51BC">
        <w:t>reasonable</w:t>
      </w:r>
      <w:r w:rsidR="00DF1083">
        <w:t xml:space="preserve"> agreement with experiments</w:t>
      </w:r>
      <w:r w:rsidR="00DF1083" w:rsidRPr="00471426">
        <w:t>.</w:t>
      </w:r>
    </w:p>
    <w:p w14:paraId="144DE6BF" w14:textId="608D0AD6" w:rsidR="008D2649" w:rsidRDefault="008D2649" w:rsidP="008D2649">
      <w:pPr>
        <w:pStyle w:val="Els-reference-head"/>
      </w:pPr>
      <w:r>
        <w:t>References</w:t>
      </w:r>
    </w:p>
    <w:p w14:paraId="6208BF83" w14:textId="632683B5" w:rsidR="00BB2D88" w:rsidRPr="00AA1208" w:rsidRDefault="00EA2DFC" w:rsidP="00BB2D88">
      <w:pPr>
        <w:pStyle w:val="Els-referenceno-number"/>
        <w:rPr>
          <w:lang w:val="en-US"/>
        </w:rPr>
      </w:pPr>
      <w:r>
        <w:rPr>
          <w:lang w:val="en-US"/>
        </w:rPr>
        <w:t xml:space="preserve">M. </w:t>
      </w:r>
      <w:r w:rsidR="00BB2D88">
        <w:rPr>
          <w:lang w:val="en-US"/>
        </w:rPr>
        <w:t xml:space="preserve">Heinrich, </w:t>
      </w:r>
      <w:r w:rsidR="00AA1208">
        <w:rPr>
          <w:lang w:val="en-US"/>
        </w:rPr>
        <w:t xml:space="preserve">B. A. </w:t>
      </w:r>
      <w:r w:rsidR="00BB2D88">
        <w:rPr>
          <w:lang w:val="en-US"/>
        </w:rPr>
        <w:t>Wolf</w:t>
      </w:r>
      <w:r w:rsidR="00AA1208">
        <w:rPr>
          <w:lang w:val="en-US"/>
        </w:rPr>
        <w:t xml:space="preserve">, 1992, Interfacial tension between solutions of polystyrenes: establishment of a useful master curve, </w:t>
      </w:r>
      <w:r w:rsidR="00AA1208">
        <w:rPr>
          <w:i/>
          <w:iCs/>
          <w:lang w:val="en-US"/>
        </w:rPr>
        <w:t>Polymer</w:t>
      </w:r>
      <w:r w:rsidR="00AA1208">
        <w:rPr>
          <w:lang w:val="en-US"/>
        </w:rPr>
        <w:t xml:space="preserve">, </w:t>
      </w:r>
      <w:r w:rsidR="00AA1208">
        <w:rPr>
          <w:b/>
          <w:bCs/>
          <w:lang w:val="en-US"/>
        </w:rPr>
        <w:t>33</w:t>
      </w:r>
      <w:r w:rsidR="00AA1208" w:rsidRPr="002F1673">
        <w:rPr>
          <w:lang w:val="en-US"/>
        </w:rPr>
        <w:t>,</w:t>
      </w:r>
      <w:r w:rsidR="00AA1208">
        <w:rPr>
          <w:lang w:val="en-US"/>
        </w:rPr>
        <w:t xml:space="preserve"> 1926-1931. </w:t>
      </w:r>
    </w:p>
    <w:p w14:paraId="417F7CF6" w14:textId="77777777" w:rsidR="002F1673" w:rsidRDefault="002F1673" w:rsidP="00BB2D88">
      <w:pPr>
        <w:pStyle w:val="Els-referenceno-number"/>
        <w:rPr>
          <w:lang w:val="en-US"/>
        </w:rPr>
      </w:pPr>
      <w:r w:rsidRPr="002F1673">
        <w:rPr>
          <w:lang w:val="en-US"/>
        </w:rPr>
        <w:t xml:space="preserve">L. Landau and E. Lifshitz, </w:t>
      </w:r>
      <w:r>
        <w:rPr>
          <w:lang w:val="en-US"/>
        </w:rPr>
        <w:t xml:space="preserve">1980, </w:t>
      </w:r>
      <w:r w:rsidRPr="002F1673">
        <w:rPr>
          <w:i/>
          <w:iCs/>
          <w:lang w:val="en-US"/>
        </w:rPr>
        <w:t>Statistical Physics – Part 1, vol. 5, Course of Theoretical Physics</w:t>
      </w:r>
      <w:r w:rsidRPr="002F1673">
        <w:rPr>
          <w:lang w:val="en-US"/>
        </w:rPr>
        <w:t xml:space="preserve">, Butterworth-Heinemann. </w:t>
      </w:r>
    </w:p>
    <w:p w14:paraId="1DEF23AD" w14:textId="43E11CA9" w:rsidR="002F1673" w:rsidRDefault="002F1673" w:rsidP="002F1673">
      <w:pPr>
        <w:pStyle w:val="Els-referenceno-number"/>
        <w:rPr>
          <w:lang w:val="en-US"/>
        </w:rPr>
      </w:pPr>
      <w:r w:rsidRPr="002F1673">
        <w:rPr>
          <w:lang w:val="en-US"/>
        </w:rPr>
        <w:t>X. Liang and M. L. Michelsen,</w:t>
      </w:r>
      <w:r>
        <w:rPr>
          <w:lang w:val="en-US"/>
        </w:rPr>
        <w:t xml:space="preserve"> 2017,</w:t>
      </w:r>
      <w:r w:rsidRPr="002F1673">
        <w:rPr>
          <w:lang w:val="en-US"/>
        </w:rPr>
        <w:t xml:space="preserve"> General approach for solving the density gradient theory in the interfacial tension</w:t>
      </w:r>
      <w:r>
        <w:rPr>
          <w:lang w:val="en-US"/>
        </w:rPr>
        <w:t xml:space="preserve"> </w:t>
      </w:r>
      <w:r w:rsidRPr="002F1673">
        <w:rPr>
          <w:lang w:val="en-US"/>
        </w:rPr>
        <w:t xml:space="preserve">calculations, </w:t>
      </w:r>
      <w:r w:rsidRPr="002F1673">
        <w:rPr>
          <w:i/>
          <w:iCs/>
          <w:lang w:val="en-US"/>
        </w:rPr>
        <w:t>Fluid Phase Equilibria</w:t>
      </w:r>
      <w:r>
        <w:rPr>
          <w:lang w:val="en-US"/>
        </w:rPr>
        <w:t>,</w:t>
      </w:r>
      <w:r w:rsidRPr="002F1673">
        <w:rPr>
          <w:lang w:val="en-US"/>
        </w:rPr>
        <w:t xml:space="preserve"> </w:t>
      </w:r>
      <w:r w:rsidRPr="002F1673">
        <w:rPr>
          <w:b/>
          <w:bCs/>
          <w:lang w:val="en-US"/>
        </w:rPr>
        <w:t>451</w:t>
      </w:r>
      <w:r w:rsidRPr="002F1673">
        <w:rPr>
          <w:lang w:val="en-US"/>
        </w:rPr>
        <w:t>, 79–90.</w:t>
      </w:r>
    </w:p>
    <w:p w14:paraId="4504048D" w14:textId="74325E42" w:rsidR="00BB2D88" w:rsidRPr="002F1673" w:rsidRDefault="002F1673" w:rsidP="002F1673">
      <w:pPr>
        <w:pStyle w:val="Els-referenceno-number"/>
        <w:rPr>
          <w:lang w:val="en-US"/>
        </w:rPr>
      </w:pPr>
      <w:r>
        <w:rPr>
          <w:lang w:val="en-US"/>
        </w:rPr>
        <w:t xml:space="preserve">R. </w:t>
      </w:r>
      <w:r w:rsidR="00BB2D88" w:rsidRPr="00BB2D88">
        <w:rPr>
          <w:lang w:val="en-US"/>
        </w:rPr>
        <w:t>Mauri</w:t>
      </w:r>
      <w:r>
        <w:rPr>
          <w:lang w:val="en-US"/>
        </w:rPr>
        <w:t xml:space="preserve">, 2013, </w:t>
      </w:r>
      <w:r>
        <w:rPr>
          <w:i/>
          <w:iCs/>
          <w:lang w:val="en-US"/>
        </w:rPr>
        <w:t>Non-Equilibrium Thermodynamics in Multiphase Flows</w:t>
      </w:r>
      <w:r>
        <w:rPr>
          <w:lang w:val="en-US"/>
        </w:rPr>
        <w:t>, Springer.</w:t>
      </w:r>
    </w:p>
    <w:p w14:paraId="75EAE310" w14:textId="0E1FD31B" w:rsidR="00EA2DFC" w:rsidRPr="00BB2D88" w:rsidRDefault="00EA2DFC" w:rsidP="00BB2D88">
      <w:pPr>
        <w:pStyle w:val="Els-referenceno-number"/>
        <w:rPr>
          <w:lang w:val="en-US"/>
        </w:rPr>
      </w:pPr>
      <w:r>
        <w:rPr>
          <w:lang w:val="en-US"/>
        </w:rPr>
        <w:t xml:space="preserve">NIST Webbook of Chemistry, National Institute of Standards and Technology, available at: </w:t>
      </w:r>
      <w:r w:rsidRPr="00EA2DFC">
        <w:rPr>
          <w:lang w:val="en-US"/>
        </w:rPr>
        <w:t>https://webbook.nist.gov/</w:t>
      </w:r>
    </w:p>
    <w:p w14:paraId="462F7368" w14:textId="2E156AB1" w:rsidR="00BB2D88" w:rsidRPr="00BB2D88" w:rsidRDefault="002F1673" w:rsidP="00BB2D88">
      <w:pPr>
        <w:pStyle w:val="Els-referenceno-number"/>
        <w:rPr>
          <w:lang w:val="en-US"/>
        </w:rPr>
      </w:pPr>
      <w:r w:rsidRPr="002F1673">
        <w:rPr>
          <w:lang w:val="en-US"/>
        </w:rPr>
        <w:t xml:space="preserve">A. Nistor, M. Vonka, A. Rygl, M. Voclová, M. Minichová, J. Kosek, </w:t>
      </w:r>
      <w:r>
        <w:rPr>
          <w:lang w:val="en-US"/>
        </w:rPr>
        <w:t>(2017)</w:t>
      </w:r>
      <w:r w:rsidRPr="002F1673">
        <w:rPr>
          <w:lang w:val="en-US"/>
        </w:rPr>
        <w:t xml:space="preserve">, Polystyrene Microstructured Foams Formed by Thermally Induced Phase Separation from Cyclohexanol Solution, </w:t>
      </w:r>
      <w:r w:rsidRPr="002F1673">
        <w:rPr>
          <w:i/>
          <w:iCs/>
          <w:lang w:val="en-US"/>
        </w:rPr>
        <w:t>Macromolecular Reaction Engineering</w:t>
      </w:r>
      <w:r>
        <w:rPr>
          <w:lang w:val="en-US"/>
        </w:rPr>
        <w:t>,</w:t>
      </w:r>
      <w:r w:rsidRPr="002F1673">
        <w:rPr>
          <w:lang w:val="en-US"/>
        </w:rPr>
        <w:t xml:space="preserve"> </w:t>
      </w:r>
      <w:r w:rsidRPr="002F1673">
        <w:rPr>
          <w:b/>
          <w:bCs/>
          <w:lang w:val="en-US"/>
        </w:rPr>
        <w:t>11</w:t>
      </w:r>
      <w:r w:rsidRPr="002F1673">
        <w:rPr>
          <w:lang w:val="en-US"/>
        </w:rPr>
        <w:t>, 1600007.</w:t>
      </w:r>
    </w:p>
    <w:p w14:paraId="256B42FC" w14:textId="448000D5" w:rsidR="00BB2D88" w:rsidRPr="00F31B5E" w:rsidRDefault="00F31B5E" w:rsidP="00BB2D88">
      <w:pPr>
        <w:pStyle w:val="Els-referenceno-number"/>
        <w:rPr>
          <w:lang w:val="en-US"/>
        </w:rPr>
      </w:pPr>
      <w:r>
        <w:rPr>
          <w:lang w:val="en-US"/>
        </w:rPr>
        <w:t xml:space="preserve">L. </w:t>
      </w:r>
      <w:r w:rsidR="00BB2D88" w:rsidRPr="00BB2D88">
        <w:rPr>
          <w:lang w:val="en-US"/>
        </w:rPr>
        <w:t>Šatura</w:t>
      </w:r>
      <w:r>
        <w:rPr>
          <w:lang w:val="en-US"/>
        </w:rPr>
        <w:t>, M. Minichov</w:t>
      </w:r>
      <w:r>
        <w:rPr>
          <w:lang w:val="cs-CZ"/>
        </w:rPr>
        <w:t xml:space="preserve">á, M. Pavelka, J. Kosek, A. Zubov, 2022, A Robust Physics-Based Calculation of Evolving Gas-Liquid Interfaces, </w:t>
      </w:r>
      <w:r>
        <w:rPr>
          <w:i/>
          <w:iCs/>
          <w:lang w:val="cs-CZ"/>
        </w:rPr>
        <w:t>Journal of Non-Equilibrium Thermodynamics</w:t>
      </w:r>
      <w:r>
        <w:rPr>
          <w:lang w:val="cs-CZ"/>
        </w:rPr>
        <w:t xml:space="preserve">, </w:t>
      </w:r>
      <w:r>
        <w:rPr>
          <w:b/>
          <w:bCs/>
          <w:lang w:val="cs-CZ"/>
        </w:rPr>
        <w:t>47</w:t>
      </w:r>
      <w:r>
        <w:rPr>
          <w:lang w:val="cs-CZ"/>
        </w:rPr>
        <w:t xml:space="preserve">, </w:t>
      </w:r>
      <w:r>
        <w:rPr>
          <w:lang w:val="en-US"/>
        </w:rPr>
        <w:t>143-154.</w:t>
      </w:r>
    </w:p>
    <w:p w14:paraId="08FBD616" w14:textId="0AA2D820" w:rsidR="00BB2D88" w:rsidRPr="00F31B5E" w:rsidRDefault="00F31B5E" w:rsidP="00BB2D88">
      <w:pPr>
        <w:pStyle w:val="Els-referenceno-number"/>
        <w:rPr>
          <w:lang w:val="en-US"/>
        </w:rPr>
      </w:pPr>
      <w:r>
        <w:rPr>
          <w:lang w:val="en-US"/>
        </w:rPr>
        <w:t xml:space="preserve">D. P. </w:t>
      </w:r>
      <w:r w:rsidR="00BB2D88" w:rsidRPr="00BB2D88">
        <w:rPr>
          <w:lang w:val="en-US"/>
        </w:rPr>
        <w:t>Tassios</w:t>
      </w:r>
      <w:r>
        <w:rPr>
          <w:lang w:val="en-US"/>
        </w:rPr>
        <w:t xml:space="preserve">, 1993, </w:t>
      </w:r>
      <w:r>
        <w:rPr>
          <w:i/>
          <w:iCs/>
          <w:lang w:val="en-US"/>
        </w:rPr>
        <w:t>Applied Chemical Engineering Thermodynamics</w:t>
      </w:r>
      <w:r>
        <w:rPr>
          <w:lang w:val="en-US"/>
        </w:rPr>
        <w:t>, Springer.</w:t>
      </w:r>
    </w:p>
    <w:p w14:paraId="71CBFFEF" w14:textId="77777777" w:rsidR="001978D1" w:rsidRDefault="001978D1" w:rsidP="008D2649">
      <w:pPr>
        <w:pStyle w:val="Els-referenceno-number"/>
        <w:rPr>
          <w:lang w:val="en-US"/>
        </w:rPr>
      </w:pPr>
    </w:p>
    <w:p w14:paraId="144DE6C3" w14:textId="77777777" w:rsidR="008D2649" w:rsidRDefault="008D2649" w:rsidP="00F31B5E">
      <w:pPr>
        <w:pStyle w:val="Els-referenceno-number"/>
        <w:ind w:left="0" w:firstLine="0"/>
        <w:rPr>
          <w:lang w:val="en-US"/>
        </w:rPr>
      </w:pPr>
    </w:p>
    <w:sectPr w:rsidR="008D2649" w:rsidSect="008B0184">
      <w:headerReference w:type="even" r:id="rId24"/>
      <w:headerReference w:type="default" r:id="rId25"/>
      <w:headerReference w:type="first" r:id="rId2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A05E6" w14:textId="77777777" w:rsidR="000F5C0D" w:rsidRDefault="000F5C0D">
      <w:r>
        <w:separator/>
      </w:r>
    </w:p>
  </w:endnote>
  <w:endnote w:type="continuationSeparator" w:id="0">
    <w:p w14:paraId="60332F53" w14:textId="77777777" w:rsidR="000F5C0D" w:rsidRDefault="000F5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2B13B" w14:textId="77777777" w:rsidR="000F5C0D" w:rsidRDefault="000F5C0D">
      <w:r>
        <w:separator/>
      </w:r>
    </w:p>
  </w:footnote>
  <w:footnote w:type="continuationSeparator" w:id="0">
    <w:p w14:paraId="77F791F0" w14:textId="77777777" w:rsidR="000F5C0D" w:rsidRDefault="000F5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A0A22B0" w:rsidR="00DD3D9E" w:rsidRDefault="00192C20" w:rsidP="00192C20">
    <w:pPr>
      <w:pStyle w:val="Zhlav"/>
      <w:tabs>
        <w:tab w:val="clear" w:pos="7200"/>
        <w:tab w:val="right" w:pos="7088"/>
      </w:tabs>
      <w:ind w:left="360"/>
      <w:jc w:val="right"/>
    </w:pPr>
    <w:r>
      <w:rPr>
        <w:rStyle w:val="slostrnky"/>
        <w:i/>
      </w:rPr>
      <w:t>A. Š</w:t>
    </w:r>
    <w:r w:rsidRPr="00192C20">
      <w:rPr>
        <w:rStyle w:val="slostrnky"/>
        <w:i/>
      </w:rPr>
      <w:t>mídová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2AFC325B" w:rsidR="00DD3D9E" w:rsidRDefault="00192C20" w:rsidP="00192C20">
    <w:pPr>
      <w:pStyle w:val="Zhlav"/>
      <w:tabs>
        <w:tab w:val="clear" w:pos="7200"/>
        <w:tab w:val="right" w:pos="7088"/>
      </w:tabs>
      <w:rPr>
        <w:sz w:val="24"/>
      </w:rPr>
    </w:pPr>
    <w:r>
      <w:rPr>
        <w:i/>
      </w:rPr>
      <w:t>Ab Initio Prediction of Surface Tension from Fundamental Equations of State…</w:t>
    </w:r>
    <w:r w:rsidR="00DD3D9E">
      <w:rPr>
        <w:rStyle w:val="slostrnky"/>
        <w:i/>
        <w:sz w:val="24"/>
      </w:rPr>
      <w:tab/>
    </w:r>
    <w:r w:rsidR="00DD3D9E">
      <w:rPr>
        <w:rStyle w:val="slostrnky"/>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E4759C8"/>
    <w:multiLevelType w:val="hybridMultilevel"/>
    <w:tmpl w:val="1E7C0552"/>
    <w:lvl w:ilvl="0" w:tplc="7D000F94">
      <w:start w:val="1"/>
      <w:numFmt w:val="upperLetter"/>
      <w:lvlText w:val="%1."/>
      <w:lvlJc w:val="left"/>
      <w:pPr>
        <w:ind w:left="6040" w:hanging="360"/>
      </w:pPr>
      <w:rPr>
        <w:rFonts w:hint="default"/>
        <w:i/>
      </w:rPr>
    </w:lvl>
    <w:lvl w:ilvl="1" w:tplc="04050019" w:tentative="1">
      <w:start w:val="1"/>
      <w:numFmt w:val="lowerLetter"/>
      <w:lvlText w:val="%2."/>
      <w:lvlJc w:val="left"/>
      <w:pPr>
        <w:ind w:left="6760" w:hanging="360"/>
      </w:pPr>
    </w:lvl>
    <w:lvl w:ilvl="2" w:tplc="0405001B" w:tentative="1">
      <w:start w:val="1"/>
      <w:numFmt w:val="lowerRoman"/>
      <w:lvlText w:val="%3."/>
      <w:lvlJc w:val="right"/>
      <w:pPr>
        <w:ind w:left="7480" w:hanging="180"/>
      </w:pPr>
    </w:lvl>
    <w:lvl w:ilvl="3" w:tplc="0405000F" w:tentative="1">
      <w:start w:val="1"/>
      <w:numFmt w:val="decimal"/>
      <w:lvlText w:val="%4."/>
      <w:lvlJc w:val="left"/>
      <w:pPr>
        <w:ind w:left="8200" w:hanging="360"/>
      </w:pPr>
    </w:lvl>
    <w:lvl w:ilvl="4" w:tplc="04050019" w:tentative="1">
      <w:start w:val="1"/>
      <w:numFmt w:val="lowerLetter"/>
      <w:lvlText w:val="%5."/>
      <w:lvlJc w:val="left"/>
      <w:pPr>
        <w:ind w:left="8920" w:hanging="360"/>
      </w:pPr>
    </w:lvl>
    <w:lvl w:ilvl="5" w:tplc="0405001B" w:tentative="1">
      <w:start w:val="1"/>
      <w:numFmt w:val="lowerRoman"/>
      <w:lvlText w:val="%6."/>
      <w:lvlJc w:val="right"/>
      <w:pPr>
        <w:ind w:left="9640" w:hanging="180"/>
      </w:pPr>
    </w:lvl>
    <w:lvl w:ilvl="6" w:tplc="0405000F" w:tentative="1">
      <w:start w:val="1"/>
      <w:numFmt w:val="decimal"/>
      <w:lvlText w:val="%7."/>
      <w:lvlJc w:val="left"/>
      <w:pPr>
        <w:ind w:left="10360" w:hanging="360"/>
      </w:pPr>
    </w:lvl>
    <w:lvl w:ilvl="7" w:tplc="04050019" w:tentative="1">
      <w:start w:val="1"/>
      <w:numFmt w:val="lowerLetter"/>
      <w:lvlText w:val="%8."/>
      <w:lvlJc w:val="left"/>
      <w:pPr>
        <w:ind w:left="11080" w:hanging="360"/>
      </w:pPr>
    </w:lvl>
    <w:lvl w:ilvl="8" w:tplc="0405001B" w:tentative="1">
      <w:start w:val="1"/>
      <w:numFmt w:val="lowerRoman"/>
      <w:lvlText w:val="%9."/>
      <w:lvlJc w:val="right"/>
      <w:pPr>
        <w:ind w:left="11800" w:hanging="180"/>
      </w:pPr>
    </w:lvl>
  </w:abstractNum>
  <w:abstractNum w:abstractNumId="2" w15:restartNumberingAfterBreak="0">
    <w:nsid w:val="1157695A"/>
    <w:multiLevelType w:val="hybridMultilevel"/>
    <w:tmpl w:val="1DE8CEA6"/>
    <w:lvl w:ilvl="0" w:tplc="1A08FBD0">
      <w:start w:val="1"/>
      <w:numFmt w:val="upperLetter"/>
      <w:lvlText w:val="%1."/>
      <w:lvlJc w:val="left"/>
      <w:pPr>
        <w:ind w:left="5680" w:hanging="360"/>
      </w:pPr>
      <w:rPr>
        <w:rFonts w:hint="default"/>
        <w:i/>
      </w:rPr>
    </w:lvl>
    <w:lvl w:ilvl="1" w:tplc="04050019" w:tentative="1">
      <w:start w:val="1"/>
      <w:numFmt w:val="lowerLetter"/>
      <w:lvlText w:val="%2."/>
      <w:lvlJc w:val="left"/>
      <w:pPr>
        <w:ind w:left="6400" w:hanging="360"/>
      </w:pPr>
    </w:lvl>
    <w:lvl w:ilvl="2" w:tplc="0405001B" w:tentative="1">
      <w:start w:val="1"/>
      <w:numFmt w:val="lowerRoman"/>
      <w:lvlText w:val="%3."/>
      <w:lvlJc w:val="right"/>
      <w:pPr>
        <w:ind w:left="7120" w:hanging="180"/>
      </w:pPr>
    </w:lvl>
    <w:lvl w:ilvl="3" w:tplc="0405000F" w:tentative="1">
      <w:start w:val="1"/>
      <w:numFmt w:val="decimal"/>
      <w:lvlText w:val="%4."/>
      <w:lvlJc w:val="left"/>
      <w:pPr>
        <w:ind w:left="7840" w:hanging="360"/>
      </w:pPr>
    </w:lvl>
    <w:lvl w:ilvl="4" w:tplc="04050019" w:tentative="1">
      <w:start w:val="1"/>
      <w:numFmt w:val="lowerLetter"/>
      <w:lvlText w:val="%5."/>
      <w:lvlJc w:val="left"/>
      <w:pPr>
        <w:ind w:left="8560" w:hanging="360"/>
      </w:pPr>
    </w:lvl>
    <w:lvl w:ilvl="5" w:tplc="0405001B" w:tentative="1">
      <w:start w:val="1"/>
      <w:numFmt w:val="lowerRoman"/>
      <w:lvlText w:val="%6."/>
      <w:lvlJc w:val="right"/>
      <w:pPr>
        <w:ind w:left="9280" w:hanging="180"/>
      </w:pPr>
    </w:lvl>
    <w:lvl w:ilvl="6" w:tplc="0405000F" w:tentative="1">
      <w:start w:val="1"/>
      <w:numFmt w:val="decimal"/>
      <w:lvlText w:val="%7."/>
      <w:lvlJc w:val="left"/>
      <w:pPr>
        <w:ind w:left="10000" w:hanging="360"/>
      </w:pPr>
    </w:lvl>
    <w:lvl w:ilvl="7" w:tplc="04050019" w:tentative="1">
      <w:start w:val="1"/>
      <w:numFmt w:val="lowerLetter"/>
      <w:lvlText w:val="%8."/>
      <w:lvlJc w:val="left"/>
      <w:pPr>
        <w:ind w:left="10720" w:hanging="360"/>
      </w:pPr>
    </w:lvl>
    <w:lvl w:ilvl="8" w:tplc="0405001B" w:tentative="1">
      <w:start w:val="1"/>
      <w:numFmt w:val="lowerRoman"/>
      <w:lvlText w:val="%9."/>
      <w:lvlJc w:val="right"/>
      <w:pPr>
        <w:ind w:left="11440" w:hanging="180"/>
      </w:pPr>
    </w:lvl>
  </w:abstractNum>
  <w:abstractNum w:abstractNumId="3"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5"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8967DA"/>
    <w:multiLevelType w:val="hybridMultilevel"/>
    <w:tmpl w:val="AC90A762"/>
    <w:lvl w:ilvl="0" w:tplc="A93AAF6E">
      <w:start w:val="1"/>
      <w:numFmt w:val="upperLetter"/>
      <w:lvlText w:val="%1."/>
      <w:lvlJc w:val="left"/>
      <w:pPr>
        <w:ind w:left="6400" w:hanging="360"/>
      </w:pPr>
      <w:rPr>
        <w:rFonts w:hint="default"/>
      </w:rPr>
    </w:lvl>
    <w:lvl w:ilvl="1" w:tplc="04050019" w:tentative="1">
      <w:start w:val="1"/>
      <w:numFmt w:val="lowerLetter"/>
      <w:lvlText w:val="%2."/>
      <w:lvlJc w:val="left"/>
      <w:pPr>
        <w:ind w:left="7120" w:hanging="360"/>
      </w:pPr>
    </w:lvl>
    <w:lvl w:ilvl="2" w:tplc="0405001B" w:tentative="1">
      <w:start w:val="1"/>
      <w:numFmt w:val="lowerRoman"/>
      <w:lvlText w:val="%3."/>
      <w:lvlJc w:val="right"/>
      <w:pPr>
        <w:ind w:left="7840" w:hanging="180"/>
      </w:pPr>
    </w:lvl>
    <w:lvl w:ilvl="3" w:tplc="0405000F" w:tentative="1">
      <w:start w:val="1"/>
      <w:numFmt w:val="decimal"/>
      <w:lvlText w:val="%4."/>
      <w:lvlJc w:val="left"/>
      <w:pPr>
        <w:ind w:left="8560" w:hanging="360"/>
      </w:pPr>
    </w:lvl>
    <w:lvl w:ilvl="4" w:tplc="04050019" w:tentative="1">
      <w:start w:val="1"/>
      <w:numFmt w:val="lowerLetter"/>
      <w:lvlText w:val="%5."/>
      <w:lvlJc w:val="left"/>
      <w:pPr>
        <w:ind w:left="9280" w:hanging="360"/>
      </w:pPr>
    </w:lvl>
    <w:lvl w:ilvl="5" w:tplc="0405001B" w:tentative="1">
      <w:start w:val="1"/>
      <w:numFmt w:val="lowerRoman"/>
      <w:lvlText w:val="%6."/>
      <w:lvlJc w:val="right"/>
      <w:pPr>
        <w:ind w:left="10000" w:hanging="180"/>
      </w:pPr>
    </w:lvl>
    <w:lvl w:ilvl="6" w:tplc="0405000F" w:tentative="1">
      <w:start w:val="1"/>
      <w:numFmt w:val="decimal"/>
      <w:lvlText w:val="%7."/>
      <w:lvlJc w:val="left"/>
      <w:pPr>
        <w:ind w:left="10720" w:hanging="360"/>
      </w:pPr>
    </w:lvl>
    <w:lvl w:ilvl="7" w:tplc="04050019" w:tentative="1">
      <w:start w:val="1"/>
      <w:numFmt w:val="lowerLetter"/>
      <w:lvlText w:val="%8."/>
      <w:lvlJc w:val="left"/>
      <w:pPr>
        <w:ind w:left="11440" w:hanging="360"/>
      </w:pPr>
    </w:lvl>
    <w:lvl w:ilvl="8" w:tplc="0405001B" w:tentative="1">
      <w:start w:val="1"/>
      <w:numFmt w:val="lowerRoman"/>
      <w:lvlText w:val="%9."/>
      <w:lvlJc w:val="right"/>
      <w:pPr>
        <w:ind w:left="12160" w:hanging="180"/>
      </w:p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46811"/>
    <w:multiLevelType w:val="hybridMultilevel"/>
    <w:tmpl w:val="24842C10"/>
    <w:lvl w:ilvl="0" w:tplc="86C82F20">
      <w:start w:val="1"/>
      <w:numFmt w:val="upperLetter"/>
      <w:lvlText w:val="%1."/>
      <w:lvlJc w:val="left"/>
      <w:pPr>
        <w:ind w:left="5680" w:hanging="360"/>
      </w:pPr>
      <w:rPr>
        <w:rFonts w:hint="default"/>
        <w:i/>
      </w:rPr>
    </w:lvl>
    <w:lvl w:ilvl="1" w:tplc="04050019" w:tentative="1">
      <w:start w:val="1"/>
      <w:numFmt w:val="lowerLetter"/>
      <w:lvlText w:val="%2."/>
      <w:lvlJc w:val="left"/>
      <w:pPr>
        <w:ind w:left="6400" w:hanging="360"/>
      </w:pPr>
    </w:lvl>
    <w:lvl w:ilvl="2" w:tplc="0405001B" w:tentative="1">
      <w:start w:val="1"/>
      <w:numFmt w:val="lowerRoman"/>
      <w:lvlText w:val="%3."/>
      <w:lvlJc w:val="right"/>
      <w:pPr>
        <w:ind w:left="7120" w:hanging="180"/>
      </w:pPr>
    </w:lvl>
    <w:lvl w:ilvl="3" w:tplc="0405000F" w:tentative="1">
      <w:start w:val="1"/>
      <w:numFmt w:val="decimal"/>
      <w:lvlText w:val="%4."/>
      <w:lvlJc w:val="left"/>
      <w:pPr>
        <w:ind w:left="7840" w:hanging="360"/>
      </w:pPr>
    </w:lvl>
    <w:lvl w:ilvl="4" w:tplc="04050019" w:tentative="1">
      <w:start w:val="1"/>
      <w:numFmt w:val="lowerLetter"/>
      <w:lvlText w:val="%5."/>
      <w:lvlJc w:val="left"/>
      <w:pPr>
        <w:ind w:left="8560" w:hanging="360"/>
      </w:pPr>
    </w:lvl>
    <w:lvl w:ilvl="5" w:tplc="0405001B" w:tentative="1">
      <w:start w:val="1"/>
      <w:numFmt w:val="lowerRoman"/>
      <w:lvlText w:val="%6."/>
      <w:lvlJc w:val="right"/>
      <w:pPr>
        <w:ind w:left="9280" w:hanging="180"/>
      </w:pPr>
    </w:lvl>
    <w:lvl w:ilvl="6" w:tplc="0405000F" w:tentative="1">
      <w:start w:val="1"/>
      <w:numFmt w:val="decimal"/>
      <w:lvlText w:val="%7."/>
      <w:lvlJc w:val="left"/>
      <w:pPr>
        <w:ind w:left="10000" w:hanging="360"/>
      </w:pPr>
    </w:lvl>
    <w:lvl w:ilvl="7" w:tplc="04050019" w:tentative="1">
      <w:start w:val="1"/>
      <w:numFmt w:val="lowerLetter"/>
      <w:lvlText w:val="%8."/>
      <w:lvlJc w:val="left"/>
      <w:pPr>
        <w:ind w:left="10720" w:hanging="360"/>
      </w:pPr>
    </w:lvl>
    <w:lvl w:ilvl="8" w:tplc="0405001B" w:tentative="1">
      <w:start w:val="1"/>
      <w:numFmt w:val="lowerRoman"/>
      <w:lvlText w:val="%9."/>
      <w:lvlJc w:val="right"/>
      <w:pPr>
        <w:ind w:left="11440" w:hanging="180"/>
      </w:pPr>
    </w:lvl>
  </w:abstractNum>
  <w:abstractNum w:abstractNumId="14"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1EE7B92"/>
    <w:multiLevelType w:val="hybridMultilevel"/>
    <w:tmpl w:val="47BC4DD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15"/>
  </w:num>
  <w:num w:numId="3">
    <w:abstractNumId w:val="15"/>
  </w:num>
  <w:num w:numId="4">
    <w:abstractNumId w:val="15"/>
  </w:num>
  <w:num w:numId="5">
    <w:abstractNumId w:val="0"/>
  </w:num>
  <w:num w:numId="6">
    <w:abstractNumId w:val="8"/>
  </w:num>
  <w:num w:numId="7">
    <w:abstractNumId w:val="16"/>
  </w:num>
  <w:num w:numId="8">
    <w:abstractNumId w:val="3"/>
  </w:num>
  <w:num w:numId="9">
    <w:abstractNumId w:val="14"/>
  </w:num>
  <w:num w:numId="10">
    <w:abstractNumId w:val="19"/>
  </w:num>
  <w:num w:numId="11">
    <w:abstractNumId w:val="17"/>
  </w:num>
  <w:num w:numId="12">
    <w:abstractNumId w:val="7"/>
  </w:num>
  <w:num w:numId="13">
    <w:abstractNumId w:val="11"/>
  </w:num>
  <w:num w:numId="14">
    <w:abstractNumId w:val="4"/>
  </w:num>
  <w:num w:numId="15">
    <w:abstractNumId w:val="9"/>
  </w:num>
  <w:num w:numId="16">
    <w:abstractNumId w:val="5"/>
  </w:num>
  <w:num w:numId="17">
    <w:abstractNumId w:val="6"/>
  </w:num>
  <w:num w:numId="18">
    <w:abstractNumId w:val="12"/>
  </w:num>
  <w:num w:numId="19">
    <w:abstractNumId w:val="13"/>
  </w:num>
  <w:num w:numId="20">
    <w:abstractNumId w:val="2"/>
  </w:num>
  <w:num w:numId="21">
    <w:abstractNumId w:val="1"/>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5924"/>
    <w:rsid w:val="00021B7A"/>
    <w:rsid w:val="00024A5C"/>
    <w:rsid w:val="00025610"/>
    <w:rsid w:val="00034850"/>
    <w:rsid w:val="0005314E"/>
    <w:rsid w:val="0005394E"/>
    <w:rsid w:val="0006210C"/>
    <w:rsid w:val="00082054"/>
    <w:rsid w:val="000C2072"/>
    <w:rsid w:val="000D0C1A"/>
    <w:rsid w:val="000D3D9B"/>
    <w:rsid w:val="000E4619"/>
    <w:rsid w:val="000F5C0D"/>
    <w:rsid w:val="001027CA"/>
    <w:rsid w:val="00103AF4"/>
    <w:rsid w:val="00115053"/>
    <w:rsid w:val="0016032F"/>
    <w:rsid w:val="001879F6"/>
    <w:rsid w:val="00190556"/>
    <w:rsid w:val="00192C20"/>
    <w:rsid w:val="001978D1"/>
    <w:rsid w:val="001C0148"/>
    <w:rsid w:val="001C321A"/>
    <w:rsid w:val="001C676B"/>
    <w:rsid w:val="001C757E"/>
    <w:rsid w:val="001D437A"/>
    <w:rsid w:val="001E6413"/>
    <w:rsid w:val="00201643"/>
    <w:rsid w:val="0020390F"/>
    <w:rsid w:val="002111E7"/>
    <w:rsid w:val="00215402"/>
    <w:rsid w:val="0022722C"/>
    <w:rsid w:val="00237FA7"/>
    <w:rsid w:val="00264926"/>
    <w:rsid w:val="00274F06"/>
    <w:rsid w:val="00282266"/>
    <w:rsid w:val="002B5E03"/>
    <w:rsid w:val="002C1D65"/>
    <w:rsid w:val="002C23BF"/>
    <w:rsid w:val="002C23C6"/>
    <w:rsid w:val="002E3167"/>
    <w:rsid w:val="002E4FA3"/>
    <w:rsid w:val="002F1673"/>
    <w:rsid w:val="003170FF"/>
    <w:rsid w:val="00321254"/>
    <w:rsid w:val="00343A05"/>
    <w:rsid w:val="00344CAD"/>
    <w:rsid w:val="0034579E"/>
    <w:rsid w:val="00350345"/>
    <w:rsid w:val="0035458C"/>
    <w:rsid w:val="003752F7"/>
    <w:rsid w:val="00391A45"/>
    <w:rsid w:val="003D1582"/>
    <w:rsid w:val="003D7E4C"/>
    <w:rsid w:val="003E41C2"/>
    <w:rsid w:val="003E5516"/>
    <w:rsid w:val="003F3902"/>
    <w:rsid w:val="003F4566"/>
    <w:rsid w:val="004609CB"/>
    <w:rsid w:val="00460C5C"/>
    <w:rsid w:val="00491A0F"/>
    <w:rsid w:val="0049772C"/>
    <w:rsid w:val="004A2ADD"/>
    <w:rsid w:val="004A3E15"/>
    <w:rsid w:val="004F125A"/>
    <w:rsid w:val="00520891"/>
    <w:rsid w:val="00544627"/>
    <w:rsid w:val="00552C5E"/>
    <w:rsid w:val="00552EEB"/>
    <w:rsid w:val="00555929"/>
    <w:rsid w:val="00564378"/>
    <w:rsid w:val="00571837"/>
    <w:rsid w:val="00591F5A"/>
    <w:rsid w:val="00593E16"/>
    <w:rsid w:val="00593EF9"/>
    <w:rsid w:val="005A6A1E"/>
    <w:rsid w:val="005E2621"/>
    <w:rsid w:val="005F3633"/>
    <w:rsid w:val="0063169D"/>
    <w:rsid w:val="00646141"/>
    <w:rsid w:val="006A69BF"/>
    <w:rsid w:val="006B2572"/>
    <w:rsid w:val="006B318B"/>
    <w:rsid w:val="006E3314"/>
    <w:rsid w:val="00711DF4"/>
    <w:rsid w:val="00713383"/>
    <w:rsid w:val="007332DA"/>
    <w:rsid w:val="00742EA6"/>
    <w:rsid w:val="0076280A"/>
    <w:rsid w:val="007B26E4"/>
    <w:rsid w:val="007D70A1"/>
    <w:rsid w:val="007E489C"/>
    <w:rsid w:val="007E5659"/>
    <w:rsid w:val="007F08F4"/>
    <w:rsid w:val="007F3B79"/>
    <w:rsid w:val="00804E21"/>
    <w:rsid w:val="0081097D"/>
    <w:rsid w:val="008132E8"/>
    <w:rsid w:val="00815B18"/>
    <w:rsid w:val="00823407"/>
    <w:rsid w:val="008A1099"/>
    <w:rsid w:val="008A5DDC"/>
    <w:rsid w:val="008B0184"/>
    <w:rsid w:val="008C2D6D"/>
    <w:rsid w:val="008C5D02"/>
    <w:rsid w:val="008D2649"/>
    <w:rsid w:val="0090222D"/>
    <w:rsid w:val="009035EA"/>
    <w:rsid w:val="0090568D"/>
    <w:rsid w:val="009125C9"/>
    <w:rsid w:val="00913879"/>
    <w:rsid w:val="00915312"/>
    <w:rsid w:val="00917661"/>
    <w:rsid w:val="00926271"/>
    <w:rsid w:val="0093019A"/>
    <w:rsid w:val="00932632"/>
    <w:rsid w:val="00933701"/>
    <w:rsid w:val="00970E5D"/>
    <w:rsid w:val="0097701C"/>
    <w:rsid w:val="00980A65"/>
    <w:rsid w:val="00993CDC"/>
    <w:rsid w:val="009D6774"/>
    <w:rsid w:val="009F4BE9"/>
    <w:rsid w:val="00A25E70"/>
    <w:rsid w:val="00A2789E"/>
    <w:rsid w:val="00A33765"/>
    <w:rsid w:val="00A409FA"/>
    <w:rsid w:val="00A47074"/>
    <w:rsid w:val="00A63269"/>
    <w:rsid w:val="00A82BB2"/>
    <w:rsid w:val="00A92377"/>
    <w:rsid w:val="00A93FAE"/>
    <w:rsid w:val="00AA1208"/>
    <w:rsid w:val="00AA3D21"/>
    <w:rsid w:val="00AB29ED"/>
    <w:rsid w:val="00AB741D"/>
    <w:rsid w:val="00AD6EF2"/>
    <w:rsid w:val="00AE4BD8"/>
    <w:rsid w:val="00B31D21"/>
    <w:rsid w:val="00B321C0"/>
    <w:rsid w:val="00B334D4"/>
    <w:rsid w:val="00B4388F"/>
    <w:rsid w:val="00B43FD8"/>
    <w:rsid w:val="00B63237"/>
    <w:rsid w:val="00B72951"/>
    <w:rsid w:val="00B77D4B"/>
    <w:rsid w:val="00BA579F"/>
    <w:rsid w:val="00BB2D88"/>
    <w:rsid w:val="00BB661C"/>
    <w:rsid w:val="00C0095E"/>
    <w:rsid w:val="00C02769"/>
    <w:rsid w:val="00C14BB2"/>
    <w:rsid w:val="00C16C42"/>
    <w:rsid w:val="00C206E0"/>
    <w:rsid w:val="00C41682"/>
    <w:rsid w:val="00C478D6"/>
    <w:rsid w:val="00C51A74"/>
    <w:rsid w:val="00C53092"/>
    <w:rsid w:val="00C55DB1"/>
    <w:rsid w:val="00C64E2E"/>
    <w:rsid w:val="00C77F70"/>
    <w:rsid w:val="00C960DC"/>
    <w:rsid w:val="00C9783D"/>
    <w:rsid w:val="00CA5E0B"/>
    <w:rsid w:val="00CB7046"/>
    <w:rsid w:val="00CC1C8C"/>
    <w:rsid w:val="00CC598F"/>
    <w:rsid w:val="00CD51BC"/>
    <w:rsid w:val="00CE44DA"/>
    <w:rsid w:val="00CF12D7"/>
    <w:rsid w:val="00D02C75"/>
    <w:rsid w:val="00D10E22"/>
    <w:rsid w:val="00D13D2C"/>
    <w:rsid w:val="00D2009A"/>
    <w:rsid w:val="00D55114"/>
    <w:rsid w:val="00D73514"/>
    <w:rsid w:val="00D84E7D"/>
    <w:rsid w:val="00D86504"/>
    <w:rsid w:val="00DC2F94"/>
    <w:rsid w:val="00DD3D9E"/>
    <w:rsid w:val="00DD7908"/>
    <w:rsid w:val="00DE28F7"/>
    <w:rsid w:val="00DF1083"/>
    <w:rsid w:val="00E03E8B"/>
    <w:rsid w:val="00E31FB1"/>
    <w:rsid w:val="00E3280C"/>
    <w:rsid w:val="00E33480"/>
    <w:rsid w:val="00E505C9"/>
    <w:rsid w:val="00E646D5"/>
    <w:rsid w:val="00E82297"/>
    <w:rsid w:val="00EA2DFC"/>
    <w:rsid w:val="00EA5834"/>
    <w:rsid w:val="00EA5AA5"/>
    <w:rsid w:val="00EA7589"/>
    <w:rsid w:val="00EB410C"/>
    <w:rsid w:val="00EC0913"/>
    <w:rsid w:val="00ED0DBB"/>
    <w:rsid w:val="00ED3B8C"/>
    <w:rsid w:val="00EF39FD"/>
    <w:rsid w:val="00F06842"/>
    <w:rsid w:val="00F107FD"/>
    <w:rsid w:val="00F26195"/>
    <w:rsid w:val="00F27719"/>
    <w:rsid w:val="00F31B5E"/>
    <w:rsid w:val="00F41FCB"/>
    <w:rsid w:val="00F725D8"/>
    <w:rsid w:val="00F748D8"/>
    <w:rsid w:val="00F83897"/>
    <w:rsid w:val="00FB2A95"/>
    <w:rsid w:val="00FB64A8"/>
    <w:rsid w:val="00FD4258"/>
    <w:rsid w:val="00FE01D3"/>
    <w:rsid w:val="00FE3F1B"/>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8B0184"/>
    <w:rPr>
      <w:lang w:eastAsia="en-US"/>
    </w:rPr>
  </w:style>
  <w:style w:type="paragraph" w:styleId="Nadpis3">
    <w:name w:val="heading 3"/>
    <w:basedOn w:val="Normln"/>
    <w:next w:val="Normln"/>
    <w:qFormat/>
    <w:rsid w:val="008B0184"/>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Odkaznavysvtlivky">
    <w:name w:val="endnote reference"/>
    <w:basedOn w:val="Standardnpsmoodstavce"/>
    <w:semiHidden/>
    <w:rsid w:val="008B0184"/>
    <w:rPr>
      <w:vertAlign w:val="superscript"/>
    </w:rPr>
  </w:style>
  <w:style w:type="paragraph" w:styleId="Zhlav">
    <w:name w:val="header"/>
    <w:rsid w:val="008B0184"/>
    <w:pPr>
      <w:tabs>
        <w:tab w:val="center" w:pos="3600"/>
        <w:tab w:val="right" w:pos="7200"/>
      </w:tabs>
      <w:spacing w:line="200" w:lineRule="atLeast"/>
    </w:pPr>
    <w:rPr>
      <w:noProof/>
      <w:lang w:eastAsia="en-US"/>
    </w:rPr>
  </w:style>
  <w:style w:type="paragraph" w:styleId="Zpat">
    <w:name w:val="footer"/>
    <w:basedOn w:val="Zhlav"/>
    <w:rsid w:val="008B0184"/>
  </w:style>
  <w:style w:type="character" w:styleId="Znakapoznpodarou">
    <w:name w:val="footnote reference"/>
    <w:semiHidden/>
    <w:rsid w:val="008B0184"/>
    <w:rPr>
      <w:vertAlign w:val="superscript"/>
    </w:rPr>
  </w:style>
  <w:style w:type="paragraph" w:styleId="Textpoznpodarou">
    <w:name w:val="footnote text"/>
    <w:basedOn w:val="Normln"/>
    <w:semiHidden/>
    <w:rsid w:val="008B0184"/>
    <w:rPr>
      <w:rFonts w:ascii="Univers" w:hAnsi="Univers"/>
    </w:rPr>
  </w:style>
  <w:style w:type="character" w:styleId="Hypertextovodkaz">
    <w:name w:val="Hyperlink"/>
    <w:basedOn w:val="Standardnpsmoodstavce"/>
    <w:rsid w:val="008B0184"/>
    <w:rPr>
      <w:color w:val="0000FF"/>
      <w:u w:val="single"/>
    </w:rPr>
  </w:style>
  <w:style w:type="character" w:customStyle="1" w:styleId="MTEquationSection">
    <w:name w:val="MTEquationSection"/>
    <w:basedOn w:val="Standardnpsmoodstavce"/>
    <w:rsid w:val="008B0184"/>
    <w:rPr>
      <w:vanish/>
      <w:color w:val="FF0000"/>
    </w:rPr>
  </w:style>
  <w:style w:type="character" w:styleId="slostrnky">
    <w:name w:val="page number"/>
    <w:basedOn w:val="Standardnpsmoodstavce"/>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Standardnpsmoodstavce"/>
    <w:rsid w:val="008B0184"/>
    <w:rPr>
      <w:sz w:val="18"/>
      <w:lang w:val="en-US" w:eastAsia="en-US" w:bidi="ar-SA"/>
    </w:rPr>
  </w:style>
  <w:style w:type="character" w:styleId="Odkaznakoment">
    <w:name w:val="annotation reference"/>
    <w:basedOn w:val="Standardnpsmoodstavce"/>
    <w:semiHidden/>
    <w:rsid w:val="008B0184"/>
    <w:rPr>
      <w:sz w:val="16"/>
      <w:szCs w:val="16"/>
    </w:rPr>
  </w:style>
  <w:style w:type="paragraph" w:styleId="Textkomente">
    <w:name w:val="annotation text"/>
    <w:basedOn w:val="Normln"/>
    <w:semiHidden/>
    <w:rsid w:val="008B0184"/>
  </w:style>
  <w:style w:type="paragraph" w:styleId="Pedmtkomente">
    <w:name w:val="annotation subject"/>
    <w:basedOn w:val="Textkomente"/>
    <w:next w:val="Textkomente"/>
    <w:semiHidden/>
    <w:rsid w:val="008B0184"/>
    <w:rPr>
      <w:b/>
      <w:bCs/>
    </w:rPr>
  </w:style>
  <w:style w:type="paragraph" w:styleId="Textbubliny">
    <w:name w:val="Balloon Text"/>
    <w:basedOn w:val="Normln"/>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Standardnpsmoodstavce"/>
    <w:rsid w:val="00F06842"/>
    <w:rPr>
      <w:u w:val="single"/>
    </w:rPr>
  </w:style>
  <w:style w:type="paragraph" w:customStyle="1" w:styleId="ElsevierBodyTextCentredNospace">
    <w:name w:val="Elsevier Body Text Centred No space"/>
    <w:basedOn w:val="Normln"/>
    <w:qFormat/>
    <w:rsid w:val="00F06842"/>
    <w:pPr>
      <w:jc w:val="center"/>
    </w:pPr>
    <w:rPr>
      <w:bCs/>
      <w:iCs/>
      <w:color w:val="000000" w:themeColor="text1"/>
      <w:sz w:val="22"/>
      <w:szCs w:val="24"/>
      <w:lang w:val="en-US"/>
    </w:rPr>
  </w:style>
  <w:style w:type="character" w:styleId="Zstupntext">
    <w:name w:val="Placeholder Text"/>
    <w:basedOn w:val="Standardnpsmoodstavce"/>
    <w:uiPriority w:val="99"/>
    <w:semiHidden/>
    <w:rsid w:val="00FE3F1B"/>
    <w:rPr>
      <w:color w:val="808080"/>
    </w:rPr>
  </w:style>
  <w:style w:type="table" w:styleId="Mkatabulky">
    <w:name w:val="Table Grid"/>
    <w:basedOn w:val="Normlntabulka"/>
    <w:rsid w:val="00115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1901</TotalTime>
  <Pages>6</Pages>
  <Words>2096</Words>
  <Characters>12367</Characters>
  <Application>Microsoft Office Word</Application>
  <DocSecurity>0</DocSecurity>
  <Lines>103</Lines>
  <Paragraphs>28</Paragraphs>
  <ScaleCrop>false</ScaleCrop>
  <HeadingPairs>
    <vt:vector size="6" baseType="variant">
      <vt:variant>
        <vt:lpstr>Název</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Zubov Alexandr</cp:lastModifiedBy>
  <cp:revision>162</cp:revision>
  <cp:lastPrinted>2004-12-17T09:20:00Z</cp:lastPrinted>
  <dcterms:created xsi:type="dcterms:W3CDTF">2023-10-02T07:50:00Z</dcterms:created>
  <dcterms:modified xsi:type="dcterms:W3CDTF">2023-11-30T07:20:00Z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