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51CFA00" w:rsidR="00DD3D9E" w:rsidRPr="00B4388F" w:rsidRDefault="009D6CE2" w:rsidP="006D4024">
      <w:pPr>
        <w:pStyle w:val="Els-Title"/>
        <w:rPr>
          <w:color w:val="000000" w:themeColor="text1"/>
        </w:rPr>
      </w:pPr>
      <w:bookmarkStart w:id="0" w:name="_GoBack"/>
      <w:bookmarkEnd w:id="0"/>
      <w:r>
        <w:rPr>
          <w:color w:val="000000" w:themeColor="text1"/>
        </w:rPr>
        <w:t>Stability and Fairness in Unconstrained</w:t>
      </w:r>
      <w:r>
        <w:rPr>
          <w:color w:val="000000" w:themeColor="text1"/>
        </w:rPr>
        <w:br/>
        <w:t>Multi-Actor Heat Integration Problems</w:t>
      </w:r>
    </w:p>
    <w:p w14:paraId="6B0A92EC" w14:textId="77777777" w:rsidR="006A00C0" w:rsidRDefault="006A00C0" w:rsidP="006A00C0">
      <w:pPr>
        <w:pStyle w:val="Els-Author"/>
        <w:rPr>
          <w:lang w:val="es-ES"/>
        </w:rPr>
      </w:pPr>
      <w:r>
        <w:rPr>
          <w:u w:val="single"/>
          <w:lang w:val="es-ES"/>
        </w:rPr>
        <w:t>Fabian Lechtenberg</w:t>
      </w:r>
      <w:r>
        <w:rPr>
          <w:vertAlign w:val="superscript"/>
          <w:lang w:val="es-ES"/>
        </w:rPr>
        <w:t>a</w:t>
      </w:r>
      <w:r>
        <w:rPr>
          <w:lang w:val="es-ES"/>
        </w:rPr>
        <w:t>, Antonio Espuña</w:t>
      </w:r>
      <w:r>
        <w:rPr>
          <w:vertAlign w:val="superscript"/>
          <w:lang w:val="es-ES"/>
        </w:rPr>
        <w:t>a</w:t>
      </w:r>
      <w:r>
        <w:rPr>
          <w:lang w:val="es-ES"/>
        </w:rPr>
        <w:t>, Moisès Graells</w:t>
      </w:r>
      <w:r>
        <w:rPr>
          <w:vertAlign w:val="superscript"/>
          <w:lang w:val="es-ES"/>
        </w:rPr>
        <w:t>a*</w:t>
      </w:r>
    </w:p>
    <w:p w14:paraId="0FB35AAD" w14:textId="77777777" w:rsidR="006A00C0" w:rsidRDefault="006A00C0" w:rsidP="006A00C0">
      <w:pPr>
        <w:pStyle w:val="Els-Affiliation"/>
      </w:pPr>
      <w:r>
        <w:rPr>
          <w:vertAlign w:val="superscript"/>
          <w:lang w:val="en-US"/>
        </w:rPr>
        <w:t>a</w:t>
      </w:r>
      <w:r>
        <w:t>Department of Chemical Engineering, Universitat Politècnica de Catalunya, Barcelona, Spain</w:t>
      </w:r>
    </w:p>
    <w:p w14:paraId="6EAA6AE6" w14:textId="77777777" w:rsidR="006A00C0" w:rsidRDefault="006A00C0" w:rsidP="006A00C0">
      <w:pPr>
        <w:pStyle w:val="Els-Affiliation"/>
      </w:pPr>
      <w:r>
        <w:t>*moises.graells@upc.edu</w:t>
      </w:r>
    </w:p>
    <w:p w14:paraId="144DE684" w14:textId="77777777" w:rsidR="008D2649" w:rsidRDefault="008D2649" w:rsidP="008D2649">
      <w:pPr>
        <w:pStyle w:val="Els-Abstract"/>
      </w:pPr>
      <w:r>
        <w:t>Abstract</w:t>
      </w:r>
    </w:p>
    <w:p w14:paraId="0B1E1A34" w14:textId="14F16AA2" w:rsidR="00FA7BDA" w:rsidRDefault="00A9685E" w:rsidP="00034690">
      <w:pPr>
        <w:pStyle w:val="Els-body-text"/>
      </w:pPr>
      <w:r w:rsidRPr="00A9685E">
        <w:t xml:space="preserve">This </w:t>
      </w:r>
      <w:r>
        <w:t>work</w:t>
      </w:r>
      <w:r w:rsidRPr="00A9685E">
        <w:t xml:space="preserve"> explores the application of cooperative game theory to multi-actor heat integration, focusing on unconstrained 3-player </w:t>
      </w:r>
      <w:r w:rsidR="00095F4B">
        <w:t>situations</w:t>
      </w:r>
      <w:r w:rsidRPr="00A9685E">
        <w:t xml:space="preserve">. </w:t>
      </w:r>
      <w:r w:rsidR="00257FAA">
        <w:t>A</w:t>
      </w:r>
      <w:r w:rsidR="00257FAA" w:rsidRPr="00A9685E">
        <w:t xml:space="preserve"> stability</w:t>
      </w:r>
      <w:r w:rsidRPr="00A9685E">
        <w:t xml:space="preserve"> proof</w:t>
      </w:r>
      <w:r w:rsidR="00417ABE">
        <w:t xml:space="preserve"> is given</w:t>
      </w:r>
      <w:r w:rsidRPr="00A9685E">
        <w:t xml:space="preserve">, paving the way for general stability proofs in N-player settings. </w:t>
      </w:r>
      <w:r w:rsidR="00257FAA">
        <w:t>The</w:t>
      </w:r>
      <w:r w:rsidRPr="00A9685E">
        <w:t xml:space="preserve"> findings reveal that stable</w:t>
      </w:r>
      <w:r w:rsidR="00A2636D">
        <w:t xml:space="preserve"> </w:t>
      </w:r>
      <w:r w:rsidRPr="00A9685E">
        <w:t xml:space="preserve">profit distribution is achievable in collaborative </w:t>
      </w:r>
      <w:r w:rsidR="00F633FB">
        <w:t>heat integration</w:t>
      </w:r>
      <w:r w:rsidRPr="00A9685E">
        <w:t xml:space="preserve"> projects, </w:t>
      </w:r>
      <w:r w:rsidR="00F31982">
        <w:t>in the case of unc</w:t>
      </w:r>
      <w:r w:rsidRPr="00A9685E">
        <w:t>onstraint</w:t>
      </w:r>
      <w:r w:rsidR="00F31982">
        <w:t>ed integration potential</w:t>
      </w:r>
      <w:r w:rsidRPr="00A9685E">
        <w:t xml:space="preserve">. The study highlights the influence of key parameters </w:t>
      </w:r>
      <w:r w:rsidR="00833604" w:rsidRPr="00A9685E">
        <w:t>on profit allocation</w:t>
      </w:r>
      <w:r w:rsidR="00833604">
        <w:t>,</w:t>
      </w:r>
      <w:r w:rsidR="00833604" w:rsidRPr="00A9685E">
        <w:t xml:space="preserve"> </w:t>
      </w:r>
      <w:r w:rsidRPr="00A9685E">
        <w:t>like the minimum temperature difference (</w:t>
      </w:r>
      <w:r w:rsidRPr="00CE5B59">
        <w:rPr>
          <w:rFonts w:ascii="Symbol" w:hAnsi="Symbol"/>
        </w:rPr>
        <w:t></w:t>
      </w:r>
      <w:proofErr w:type="spellStart"/>
      <w:r w:rsidRPr="00A9685E">
        <w:t>T</w:t>
      </w:r>
      <w:r w:rsidRPr="00972E35">
        <w:rPr>
          <w:vertAlign w:val="subscript"/>
        </w:rPr>
        <w:t>min</w:t>
      </w:r>
      <w:proofErr w:type="spellEnd"/>
      <w:r w:rsidRPr="00A9685E">
        <w:t xml:space="preserve">), emphasizing the need for optimal alignment </w:t>
      </w:r>
      <w:r w:rsidR="00F633FB">
        <w:t>of</w:t>
      </w:r>
      <w:r w:rsidR="00F633FB" w:rsidRPr="00A9685E">
        <w:t xml:space="preserve"> </w:t>
      </w:r>
      <w:r w:rsidRPr="00A9685E">
        <w:t xml:space="preserve">efficiency and equity. This research offers crucial insights for </w:t>
      </w:r>
      <w:r w:rsidR="00F633FB">
        <w:t>process integration</w:t>
      </w:r>
      <w:r w:rsidR="00F633FB" w:rsidRPr="00A9685E">
        <w:t xml:space="preserve"> </w:t>
      </w:r>
      <w:r w:rsidRPr="00A9685E">
        <w:t>decision-makers, promoting sustainable and fair multi-actor collaborations.</w:t>
      </w:r>
    </w:p>
    <w:p w14:paraId="5CB88C45" w14:textId="77777777" w:rsidR="00034690" w:rsidRPr="0094080F" w:rsidRDefault="00034690" w:rsidP="00034690">
      <w:pPr>
        <w:pStyle w:val="Els-body-text"/>
        <w:rPr>
          <w:sz w:val="10"/>
          <w:szCs w:val="10"/>
        </w:rPr>
      </w:pPr>
    </w:p>
    <w:p w14:paraId="144DE687" w14:textId="63B1741C" w:rsidR="008D2649" w:rsidRDefault="008D2649" w:rsidP="008D2649">
      <w:pPr>
        <w:pStyle w:val="Els-body-text"/>
        <w:spacing w:after="120"/>
        <w:rPr>
          <w:lang w:val="en-GB"/>
        </w:rPr>
      </w:pPr>
      <w:r>
        <w:rPr>
          <w:b/>
          <w:bCs/>
          <w:lang w:val="en-GB"/>
        </w:rPr>
        <w:t>Keywords</w:t>
      </w:r>
      <w:r>
        <w:rPr>
          <w:lang w:val="en-GB"/>
        </w:rPr>
        <w:t>:</w:t>
      </w:r>
      <w:r w:rsidR="009B543C">
        <w:rPr>
          <w:lang w:val="en-GB"/>
        </w:rPr>
        <w:t xml:space="preserve"> </w:t>
      </w:r>
      <w:r w:rsidR="00487AA2">
        <w:rPr>
          <w:color w:val="000000" w:themeColor="text1"/>
        </w:rPr>
        <w:t>game theory</w:t>
      </w:r>
      <w:r w:rsidR="009B543C">
        <w:rPr>
          <w:color w:val="000000" w:themeColor="text1"/>
        </w:rPr>
        <w:t>,</w:t>
      </w:r>
      <w:r w:rsidR="000600E2">
        <w:rPr>
          <w:color w:val="000000" w:themeColor="text1"/>
        </w:rPr>
        <w:t xml:space="preserve"> </w:t>
      </w:r>
      <w:r w:rsidR="000600E2" w:rsidRPr="000600E2">
        <w:rPr>
          <w:color w:val="000000" w:themeColor="text1"/>
        </w:rPr>
        <w:t>multi-actor heat integration, stability proof, profit distribution</w:t>
      </w:r>
    </w:p>
    <w:p w14:paraId="144DE689" w14:textId="70A40209" w:rsidR="008D2649" w:rsidRDefault="004A4A76" w:rsidP="008D2649">
      <w:pPr>
        <w:pStyle w:val="Els-1storder-head"/>
      </w:pPr>
      <w:r>
        <w:t>Introduction</w:t>
      </w:r>
    </w:p>
    <w:p w14:paraId="7A8CD64A" w14:textId="16D0953B" w:rsidR="00542651" w:rsidRDefault="00542651" w:rsidP="00542651">
      <w:pPr>
        <w:pStyle w:val="Els-body-text"/>
      </w:pPr>
      <w:r w:rsidRPr="00542651">
        <w:t xml:space="preserve">Process Integration (PI) has long been recognized as a key strategy in enhancing the efficiency of resource and equipment usage within the industrial sector. Traditionally </w:t>
      </w:r>
      <w:r w:rsidR="0018000F">
        <w:t>limited</w:t>
      </w:r>
      <w:r w:rsidRPr="00542651">
        <w:t xml:space="preserve"> to intra-company operations, PI has primarily focused on optimizing within a single company’s boundaries.</w:t>
      </w:r>
      <w:r w:rsidR="00451FB3">
        <w:t xml:space="preserve"> C</w:t>
      </w:r>
      <w:r w:rsidR="00CD0B59">
        <w:t>urrent trends like globalization and the push for more efficient solutions based on industrial symbiosis</w:t>
      </w:r>
      <w:r w:rsidRPr="00542651">
        <w:t xml:space="preserve"> have shifted the focus towards a broader scope, encompassing resource exchange and equipment sharing across company boundaries. This expansion significantly increases the potential for integration but also introduces the challenge of collaborative dynamics. Questions arise about the </w:t>
      </w:r>
      <w:r w:rsidR="00451FB3">
        <w:t>existence</w:t>
      </w:r>
      <w:r w:rsidR="00451FB3" w:rsidRPr="00542651">
        <w:t xml:space="preserve"> </w:t>
      </w:r>
      <w:r w:rsidRPr="00542651">
        <w:t xml:space="preserve">of </w:t>
      </w:r>
      <w:r w:rsidRPr="00B10707">
        <w:rPr>
          <w:b/>
          <w:bCs/>
        </w:rPr>
        <w:t>stable</w:t>
      </w:r>
      <w:r w:rsidRPr="00542651">
        <w:t xml:space="preserve"> agreements and the </w:t>
      </w:r>
      <w:r w:rsidRPr="00B10707">
        <w:rPr>
          <w:b/>
          <w:bCs/>
        </w:rPr>
        <w:t>fair</w:t>
      </w:r>
      <w:r w:rsidRPr="00542651">
        <w:t xml:space="preserve"> distribution of profits among participants</w:t>
      </w:r>
      <w:r w:rsidR="00451FB3">
        <w:t xml:space="preserve">. </w:t>
      </w:r>
      <w:r w:rsidRPr="00542651">
        <w:t xml:space="preserve"> </w:t>
      </w:r>
      <w:r w:rsidR="00451FB3">
        <w:t>The</w:t>
      </w:r>
      <w:r w:rsidR="002C0712">
        <w:t>se</w:t>
      </w:r>
      <w:r w:rsidR="00451FB3">
        <w:t xml:space="preserve"> concepts are essential to ensure the feasibility of sustainable collaborative relationships within the process industry. </w:t>
      </w:r>
      <w:r w:rsidR="006E759F">
        <w:t>As a result, the</w:t>
      </w:r>
      <w:r w:rsidRPr="00542651">
        <w:t xml:space="preserve"> Process Systems Engineering (PSE) community </w:t>
      </w:r>
      <w:r w:rsidR="006E759F">
        <w:t>has started to</w:t>
      </w:r>
      <w:r w:rsidR="006E759F" w:rsidRPr="00542651">
        <w:t xml:space="preserve"> </w:t>
      </w:r>
      <w:r w:rsidRPr="00542651">
        <w:t>explore these complexities through the lens of Game Theory.</w:t>
      </w:r>
    </w:p>
    <w:p w14:paraId="4FE7716C" w14:textId="77777777" w:rsidR="00462B09" w:rsidRPr="00462B09" w:rsidRDefault="00462B09" w:rsidP="00542651">
      <w:pPr>
        <w:pStyle w:val="Els-body-text"/>
        <w:rPr>
          <w:sz w:val="4"/>
          <w:szCs w:val="4"/>
        </w:rPr>
      </w:pPr>
    </w:p>
    <w:p w14:paraId="13B20053" w14:textId="39082703" w:rsidR="006A08AB" w:rsidRDefault="00542651" w:rsidP="00542651">
      <w:pPr>
        <w:pStyle w:val="Els-body-text"/>
      </w:pPr>
      <w:r w:rsidRPr="00542651">
        <w:t xml:space="preserve">Notable examples include </w:t>
      </w:r>
      <w:proofErr w:type="spellStart"/>
      <w:r w:rsidRPr="00542651">
        <w:t>Hiete</w:t>
      </w:r>
      <w:proofErr w:type="spellEnd"/>
      <w:r w:rsidRPr="00542651">
        <w:t xml:space="preserve"> et al. (2012) who applied the Shapley Value for profit distribution in a </w:t>
      </w:r>
      <w:r w:rsidR="00C022A1">
        <w:t>3</w:t>
      </w:r>
      <w:r w:rsidR="00C022A1">
        <w:noBreakHyphen/>
      </w:r>
      <w:r w:rsidRPr="00542651">
        <w:t xml:space="preserve">company heat exchange network, Cheng et al. (2014) who used a sequential approach integrating Nash equilibrium for trade price and network structure decisions, and </w:t>
      </w:r>
      <w:proofErr w:type="spellStart"/>
      <w:r w:rsidRPr="00542651">
        <w:t>Jin</w:t>
      </w:r>
      <w:proofErr w:type="spellEnd"/>
      <w:r w:rsidRPr="00542651">
        <w:t xml:space="preserve"> et al. (2018) who incorporated risk factors using a modified Shapley Value to account for uncertainties in coalition stability.</w:t>
      </w:r>
      <w:r w:rsidR="00A15BE6">
        <w:t xml:space="preserve"> </w:t>
      </w:r>
      <w:r w:rsidRPr="00542651">
        <w:t xml:space="preserve">These studies have successfully demonstrated the application of </w:t>
      </w:r>
      <w:r w:rsidR="00A15BE6">
        <w:t xml:space="preserve">cooperative </w:t>
      </w:r>
      <w:r w:rsidRPr="00542651">
        <w:t>Game Theory</w:t>
      </w:r>
      <w:r w:rsidR="00A15BE6">
        <w:t xml:space="preserve"> concepts</w:t>
      </w:r>
      <w:r w:rsidRPr="00542651">
        <w:t xml:space="preserve"> in multi-actor process </w:t>
      </w:r>
      <w:r w:rsidRPr="00542651">
        <w:lastRenderedPageBreak/>
        <w:t>integration scenarios, providing valuable frameworks for decision-makers to reach sustainable agreements.</w:t>
      </w:r>
      <w:r w:rsidR="00321A39">
        <w:t xml:space="preserve"> </w:t>
      </w:r>
    </w:p>
    <w:p w14:paraId="12F21E5B" w14:textId="7C5FA808" w:rsidR="006A08AB" w:rsidRDefault="00321A39" w:rsidP="00542651">
      <w:pPr>
        <w:pStyle w:val="Els-body-text"/>
      </w:pPr>
      <w:r>
        <w:t>However</w:t>
      </w:r>
      <w:r w:rsidR="00FB2FF1">
        <w:t>, the stability criterion, which is crucial for rational decision</w:t>
      </w:r>
      <w:r w:rsidR="00FB2FF1">
        <w:noBreakHyphen/>
        <w:t>making, is not addressed properly.</w:t>
      </w:r>
      <w:r w:rsidR="006A08AB">
        <w:t xml:space="preserve"> While a couple of work such as </w:t>
      </w:r>
      <w:proofErr w:type="spellStart"/>
      <w:r w:rsidR="006A08AB">
        <w:t>Jin</w:t>
      </w:r>
      <w:proofErr w:type="spellEnd"/>
      <w:r w:rsidR="006A08AB">
        <w:t xml:space="preserve"> et al. (2018) illustrate the existence of stable agreements through the core constraints, the novelty of this work lies in the </w:t>
      </w:r>
      <w:r w:rsidR="00A4208D">
        <w:t>demonstration</w:t>
      </w:r>
      <w:r w:rsidR="006A08AB">
        <w:t xml:space="preserve"> of a stability proof for a subset of process integration problems</w:t>
      </w:r>
      <w:r w:rsidR="00A4208D">
        <w:t>.</w:t>
      </w:r>
    </w:p>
    <w:p w14:paraId="18CC4EDF" w14:textId="3A23E136" w:rsidR="004A4A76" w:rsidRPr="00A42F8A" w:rsidRDefault="00FB2FF1" w:rsidP="00542651">
      <w:pPr>
        <w:pStyle w:val="Els-body-text"/>
        <w:rPr>
          <w:lang w:val="en-GB"/>
        </w:rPr>
      </w:pPr>
      <w:r>
        <w:t>Furthermore,</w:t>
      </w:r>
      <w:r w:rsidR="00F46C0C">
        <w:t xml:space="preserve"> within the realm of stable profit allocations, t</w:t>
      </w:r>
      <w:r>
        <w:t xml:space="preserve">he selection of </w:t>
      </w:r>
      <w:r w:rsidR="00F46C0C">
        <w:t>a concrete</w:t>
      </w:r>
      <w:r>
        <w:t xml:space="preserve"> allocation method is usually not well justifie</w:t>
      </w:r>
      <w:r w:rsidR="001708E3">
        <w:t xml:space="preserve">d. For instance, the most popular Shapley value is often employed, despite its well-known caveat of not guaranteeing </w:t>
      </w:r>
      <w:r w:rsidR="00356116">
        <w:t xml:space="preserve">stable </w:t>
      </w:r>
      <w:r w:rsidR="001708E3">
        <w:t>allocation</w:t>
      </w:r>
      <w:r w:rsidR="00356116">
        <w:t>s</w:t>
      </w:r>
      <w:r w:rsidR="001708E3">
        <w:t xml:space="preserve">. </w:t>
      </w:r>
      <w:r w:rsidR="00B20517">
        <w:t>Thus, this work demonstrate</w:t>
      </w:r>
      <w:r w:rsidR="00FE144E">
        <w:t>s</w:t>
      </w:r>
      <w:r w:rsidR="00B20517">
        <w:t xml:space="preserve"> the use of alternative </w:t>
      </w:r>
      <w:r w:rsidR="00FE144E">
        <w:t>methods</w:t>
      </w:r>
      <w:r w:rsidR="00B20517">
        <w:t xml:space="preserve">, and elucidates the impact of </w:t>
      </w:r>
      <w:r w:rsidR="00C74040">
        <w:t xml:space="preserve">process </w:t>
      </w:r>
      <w:r w:rsidR="00B20517">
        <w:t>parameters of the PI problem on the outcome.</w:t>
      </w:r>
    </w:p>
    <w:p w14:paraId="69FF579E" w14:textId="66E22AB6" w:rsidR="004A4A76" w:rsidRDefault="004A4A76" w:rsidP="004A4A76">
      <w:pPr>
        <w:pStyle w:val="Els-1storder-head"/>
      </w:pPr>
      <w:r>
        <w:t>Problem Statement</w:t>
      </w:r>
    </w:p>
    <w:p w14:paraId="45165DD0" w14:textId="0CC00C6F" w:rsidR="00EE078F" w:rsidRDefault="00EE078F" w:rsidP="00EE078F">
      <w:pPr>
        <w:pStyle w:val="Els-body-text"/>
      </w:pPr>
      <w:r>
        <w:t xml:space="preserve">This study focuses on two key aspects of </w:t>
      </w:r>
      <w:r w:rsidR="00833604">
        <w:t xml:space="preserve">the </w:t>
      </w:r>
      <w:r>
        <w:t xml:space="preserve">3-player heat integration </w:t>
      </w:r>
      <w:r w:rsidR="00833604">
        <w:t xml:space="preserve">problem </w:t>
      </w:r>
      <w:r>
        <w:t>in</w:t>
      </w:r>
      <w:r w:rsidR="00E857BB">
        <w:t xml:space="preserve"> </w:t>
      </w:r>
      <w:r w:rsidR="00833604">
        <w:t>a cooperative system</w:t>
      </w:r>
      <w:r>
        <w:t>:</w:t>
      </w:r>
    </w:p>
    <w:p w14:paraId="265E8582" w14:textId="77777777" w:rsidR="00462B09" w:rsidRPr="00462B09" w:rsidRDefault="00462B09" w:rsidP="00EE078F">
      <w:pPr>
        <w:pStyle w:val="Els-body-text"/>
        <w:rPr>
          <w:sz w:val="4"/>
          <w:szCs w:val="4"/>
        </w:rPr>
      </w:pPr>
    </w:p>
    <w:p w14:paraId="26695E98" w14:textId="02D1EB4F" w:rsidR="00EE078F" w:rsidRDefault="00EE078F" w:rsidP="00EE078F">
      <w:pPr>
        <w:pStyle w:val="Els-body-text"/>
      </w:pPr>
      <w:r w:rsidRPr="00AE4DEC">
        <w:rPr>
          <w:b/>
          <w:bCs/>
          <w:i/>
          <w:iCs/>
        </w:rPr>
        <w:t>Stability</w:t>
      </w:r>
      <w:r w:rsidRPr="00EE078F">
        <w:rPr>
          <w:i/>
          <w:iCs/>
        </w:rPr>
        <w:t xml:space="preserve"> in </w:t>
      </w:r>
      <w:r w:rsidR="00A840ED">
        <w:rPr>
          <w:i/>
          <w:iCs/>
        </w:rPr>
        <w:t xml:space="preserve">the </w:t>
      </w:r>
      <w:r w:rsidR="00E85EC3">
        <w:rPr>
          <w:i/>
          <w:iCs/>
        </w:rPr>
        <w:t>s</w:t>
      </w:r>
      <w:r w:rsidR="00A840ED">
        <w:rPr>
          <w:i/>
          <w:iCs/>
        </w:rPr>
        <w:t xml:space="preserve">olution of </w:t>
      </w:r>
      <w:r w:rsidR="00E85EC3">
        <w:rPr>
          <w:i/>
          <w:iCs/>
        </w:rPr>
        <w:t>u</w:t>
      </w:r>
      <w:r w:rsidRPr="00EE078F">
        <w:rPr>
          <w:i/>
          <w:iCs/>
        </w:rPr>
        <w:t>nconstrained 3-</w:t>
      </w:r>
      <w:r w:rsidR="00E85EC3">
        <w:rPr>
          <w:i/>
          <w:iCs/>
        </w:rPr>
        <w:t>p</w:t>
      </w:r>
      <w:r w:rsidRPr="00EE078F">
        <w:rPr>
          <w:i/>
          <w:iCs/>
        </w:rPr>
        <w:t xml:space="preserve">layer </w:t>
      </w:r>
      <w:r w:rsidR="00E85EC3">
        <w:rPr>
          <w:i/>
          <w:iCs/>
        </w:rPr>
        <w:t>h</w:t>
      </w:r>
      <w:r w:rsidRPr="00EE078F">
        <w:rPr>
          <w:i/>
          <w:iCs/>
        </w:rPr>
        <w:t xml:space="preserve">eat </w:t>
      </w:r>
      <w:r w:rsidR="00E85EC3">
        <w:rPr>
          <w:i/>
          <w:iCs/>
        </w:rPr>
        <w:t>i</w:t>
      </w:r>
      <w:r w:rsidRPr="00EE078F">
        <w:rPr>
          <w:i/>
          <w:iCs/>
        </w:rPr>
        <w:t>ntegration</w:t>
      </w:r>
      <w:r w:rsidR="00A840ED">
        <w:rPr>
          <w:i/>
          <w:iCs/>
        </w:rPr>
        <w:t xml:space="preserve"> </w:t>
      </w:r>
      <w:r w:rsidR="00E85EC3">
        <w:rPr>
          <w:i/>
          <w:iCs/>
        </w:rPr>
        <w:t>p</w:t>
      </w:r>
      <w:r w:rsidR="00A840ED">
        <w:rPr>
          <w:i/>
          <w:iCs/>
        </w:rPr>
        <w:t>roblems</w:t>
      </w:r>
      <w:r>
        <w:t>:</w:t>
      </w:r>
    </w:p>
    <w:p w14:paraId="335EA916" w14:textId="528D028E" w:rsidR="00EE078F" w:rsidRDefault="00EE078F" w:rsidP="00EE078F">
      <w:pPr>
        <w:pStyle w:val="Els-body-text"/>
      </w:pPr>
      <w:r>
        <w:t>The objective is to prove that a stable profit distribution is</w:t>
      </w:r>
      <w:r w:rsidR="00F3676A">
        <w:t xml:space="preserve"> always</w:t>
      </w:r>
      <w:r>
        <w:t xml:space="preserve"> achievable in a 3-player heat integration scenario without integration constraints</w:t>
      </w:r>
      <w:r w:rsidR="003B6C70">
        <w:t xml:space="preserve"> (e.g. limited</w:t>
      </w:r>
      <w:r w:rsidR="002E6C47">
        <w:t xml:space="preserve"> total</w:t>
      </w:r>
      <w:r w:rsidR="003B6C70">
        <w:t xml:space="preserve"> heat exchange area or pip</w:t>
      </w:r>
      <w:r w:rsidR="002E6C47">
        <w:t>ing length</w:t>
      </w:r>
      <w:r w:rsidR="003B6C70">
        <w:t>)</w:t>
      </w:r>
      <w:r>
        <w:t>. This proof is crucial for the theoretical basis of collaborative PI projects, ensuring predictability and stability in profit sharing.</w:t>
      </w:r>
    </w:p>
    <w:p w14:paraId="51898FDA" w14:textId="77777777" w:rsidR="00EE078F" w:rsidRPr="00462B09" w:rsidRDefault="00EE078F" w:rsidP="00EE078F">
      <w:pPr>
        <w:pStyle w:val="Els-body-text"/>
        <w:rPr>
          <w:sz w:val="4"/>
          <w:szCs w:val="4"/>
        </w:rPr>
      </w:pPr>
    </w:p>
    <w:p w14:paraId="25607663" w14:textId="3582E35C" w:rsidR="00EE078F" w:rsidRDefault="00556531" w:rsidP="00EE078F">
      <w:pPr>
        <w:pStyle w:val="Els-body-text"/>
      </w:pPr>
      <w:r w:rsidRPr="00556531">
        <w:rPr>
          <w:b/>
          <w:bCs/>
          <w:i/>
          <w:iCs/>
        </w:rPr>
        <w:t>Fairness</w:t>
      </w:r>
      <w:r w:rsidRPr="00556531">
        <w:rPr>
          <w:i/>
          <w:iCs/>
        </w:rPr>
        <w:t xml:space="preserve"> of the </w:t>
      </w:r>
      <w:r w:rsidR="00696B3D">
        <w:rPr>
          <w:i/>
          <w:iCs/>
        </w:rPr>
        <w:t>i</w:t>
      </w:r>
      <w:r w:rsidRPr="00556531">
        <w:rPr>
          <w:i/>
          <w:iCs/>
        </w:rPr>
        <w:t xml:space="preserve">mpact of </w:t>
      </w:r>
      <w:r w:rsidR="00696B3D">
        <w:rPr>
          <w:i/>
          <w:iCs/>
        </w:rPr>
        <w:t>a</w:t>
      </w:r>
      <w:r w:rsidRPr="00556531">
        <w:rPr>
          <w:i/>
          <w:iCs/>
        </w:rPr>
        <w:t xml:space="preserve">llocation </w:t>
      </w:r>
      <w:r w:rsidR="00696B3D">
        <w:rPr>
          <w:i/>
          <w:iCs/>
        </w:rPr>
        <w:t>m</w:t>
      </w:r>
      <w:r w:rsidRPr="00556531">
        <w:rPr>
          <w:i/>
          <w:iCs/>
        </w:rPr>
        <w:t>ethods and dependence o</w:t>
      </w:r>
      <w:r w:rsidR="00696B3D">
        <w:rPr>
          <w:i/>
          <w:iCs/>
        </w:rPr>
        <w:t>n</w:t>
      </w:r>
      <w:r w:rsidRPr="00556531">
        <w:rPr>
          <w:i/>
          <w:iCs/>
        </w:rPr>
        <w:t xml:space="preserve"> the </w:t>
      </w:r>
      <w:r w:rsidR="00696B3D">
        <w:rPr>
          <w:i/>
          <w:iCs/>
        </w:rPr>
        <w:t>d</w:t>
      </w:r>
      <w:r w:rsidRPr="00556531">
        <w:rPr>
          <w:i/>
          <w:iCs/>
        </w:rPr>
        <w:t xml:space="preserve">esign </w:t>
      </w:r>
      <w:r w:rsidR="00696B3D">
        <w:rPr>
          <w:i/>
          <w:iCs/>
        </w:rPr>
        <w:t>p</w:t>
      </w:r>
      <w:r w:rsidRPr="00556531">
        <w:rPr>
          <w:i/>
          <w:iCs/>
        </w:rPr>
        <w:t>arameters</w:t>
      </w:r>
      <w:r w:rsidR="00EE078F">
        <w:t>:</w:t>
      </w:r>
    </w:p>
    <w:p w14:paraId="44E03B31" w14:textId="6F677CBA" w:rsidR="00EE078F" w:rsidRPr="00EE078F" w:rsidRDefault="00EE078F" w:rsidP="00EE078F">
      <w:pPr>
        <w:pStyle w:val="Els-body-text"/>
      </w:pPr>
      <w:r>
        <w:t xml:space="preserve">Following the establishment of stability, the study examines how </w:t>
      </w:r>
      <w:r w:rsidR="00EB7C35">
        <w:t>the minimum temperature difference (</w:t>
      </w:r>
      <w:r w:rsidR="00EB7C35" w:rsidRPr="00C35378">
        <w:rPr>
          <w:rFonts w:ascii="Symbol" w:hAnsi="Symbol"/>
        </w:rPr>
        <w:t></w:t>
      </w:r>
      <w:proofErr w:type="spellStart"/>
      <w:r w:rsidR="00EB7C35">
        <w:t>T</w:t>
      </w:r>
      <w:r w:rsidR="00EB7C35" w:rsidRPr="00972E35">
        <w:rPr>
          <w:vertAlign w:val="subscript"/>
        </w:rPr>
        <w:t>min</w:t>
      </w:r>
      <w:proofErr w:type="spellEnd"/>
      <w:r w:rsidR="00EB7C35">
        <w:t>)</w:t>
      </w:r>
      <w:r>
        <w:t xml:space="preserve"> affect</w:t>
      </w:r>
      <w:r w:rsidR="00EB7C35">
        <w:t>s</w:t>
      </w:r>
      <w:r>
        <w:t xml:space="preserve"> profit distribution in the PI problem.</w:t>
      </w:r>
    </w:p>
    <w:p w14:paraId="2754F549" w14:textId="2B16439C" w:rsidR="004A4A76" w:rsidRDefault="004A4A76" w:rsidP="004A4A76">
      <w:pPr>
        <w:pStyle w:val="Els-1storder-head"/>
      </w:pPr>
      <w:r>
        <w:t>Stability Proof</w:t>
      </w:r>
      <w:r w:rsidR="00CA0935">
        <w:t xml:space="preserve"> of 3-Player Unconstrained Heat Integration</w:t>
      </w:r>
    </w:p>
    <w:p w14:paraId="161B60DA" w14:textId="7282F6E6" w:rsidR="001E12BB" w:rsidRDefault="001E12BB" w:rsidP="001E12BB">
      <w:pPr>
        <w:pStyle w:val="Els-body-text"/>
      </w:pPr>
      <w:r w:rsidRPr="001E12BB">
        <w:t>A transferable utility (TU) game i</w:t>
      </w:r>
      <w:r>
        <w:t xml:space="preserve">s defined by a pair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N,v</m:t>
                </m:r>
              </m:e>
            </m:d>
          </m:e>
        </m:d>
      </m:oMath>
      <w:r>
        <w:t xml:space="preserve"> where:</w:t>
      </w:r>
    </w:p>
    <w:p w14:paraId="7CF6684E" w14:textId="782F4CA4" w:rsidR="001E12BB" w:rsidRDefault="001E12BB" w:rsidP="001E12BB">
      <w:pPr>
        <w:pStyle w:val="Els-body-text"/>
        <w:numPr>
          <w:ilvl w:val="0"/>
          <w:numId w:val="21"/>
        </w:numPr>
      </w:pPr>
      <m:oMath>
        <m:r>
          <w:rPr>
            <w:rFonts w:ascii="Cambria Math" w:hAnsi="Cambria Math"/>
          </w:rPr>
          <m:t>N=</m:t>
        </m:r>
        <m:d>
          <m:dPr>
            <m:begChr m:val="{"/>
            <m:endChr m:val="}"/>
            <m:ctrlPr>
              <w:rPr>
                <w:rFonts w:ascii="Cambria Math" w:hAnsi="Cambria Math"/>
                <w:i/>
              </w:rPr>
            </m:ctrlPr>
          </m:dPr>
          <m:e>
            <m:r>
              <w:rPr>
                <w:rFonts w:ascii="Cambria Math" w:hAnsi="Cambria Math"/>
              </w:rPr>
              <m:t>1,2,…,n</m:t>
            </m:r>
          </m:e>
        </m:d>
      </m:oMath>
      <w:r>
        <w:t xml:space="preserve"> is a finite set of </w:t>
      </w:r>
      <w:proofErr w:type="gramStart"/>
      <w:r>
        <w:t>players</w:t>
      </w:r>
      <w:proofErr w:type="gramEnd"/>
    </w:p>
    <w:p w14:paraId="4875F627" w14:textId="1B641712" w:rsidR="001E12BB" w:rsidRDefault="001E12BB" w:rsidP="001E12BB">
      <w:pPr>
        <w:pStyle w:val="Els-body-text"/>
        <w:numPr>
          <w:ilvl w:val="0"/>
          <w:numId w:val="21"/>
        </w:numPr>
      </w:pPr>
      <m:oMath>
        <m:r>
          <w:rPr>
            <w:rFonts w:ascii="Cambria Math" w:hAnsi="Cambria Math"/>
          </w:rPr>
          <m:t>v:</m:t>
        </m:r>
        <m:sSup>
          <m:sSupPr>
            <m:ctrlPr>
              <w:rPr>
                <w:rFonts w:ascii="Cambria Math" w:hAnsi="Cambria Math"/>
                <w:i/>
              </w:rPr>
            </m:ctrlPr>
          </m:sSupPr>
          <m:e>
            <m:r>
              <w:rPr>
                <w:rFonts w:ascii="Cambria Math" w:hAnsi="Cambria Math"/>
              </w:rPr>
              <m:t>2</m:t>
            </m:r>
          </m:e>
          <m:sup>
            <m:r>
              <w:rPr>
                <w:rFonts w:ascii="Cambria Math" w:hAnsi="Cambria Math"/>
              </w:rPr>
              <m:t>N</m:t>
            </m:r>
          </m:sup>
        </m:sSup>
        <m:r>
          <m:rPr>
            <m:scr m:val="double-struck"/>
          </m:rPr>
          <w:rPr>
            <w:rFonts w:ascii="Cambria Math" w:hAnsi="Cambria Math"/>
          </w:rPr>
          <m:t>→R</m:t>
        </m:r>
      </m:oMath>
      <w:r>
        <w:t xml:space="preserve"> is a characteristic function which assigns a real number to each subset (coalition) of </w:t>
      </w:r>
      <m:oMath>
        <m:r>
          <w:rPr>
            <w:rFonts w:ascii="Cambria Math" w:hAnsi="Cambria Math"/>
          </w:rPr>
          <m:t>N</m:t>
        </m:r>
      </m:oMath>
      <w:r>
        <w:t xml:space="preserve">, representing the total </w:t>
      </w:r>
      <w:r w:rsidR="00EB4B67">
        <w:t>value</w:t>
      </w:r>
      <w:r>
        <w:t xml:space="preserve"> the coalition can </w:t>
      </w:r>
      <w:proofErr w:type="gramStart"/>
      <w:r>
        <w:t>create.</w:t>
      </w:r>
      <w:proofErr w:type="gramEnd"/>
      <w:r>
        <w:t xml:space="preserve"> </w:t>
      </w:r>
    </w:p>
    <w:p w14:paraId="11FE21A1" w14:textId="1A8AC245" w:rsidR="001E12BB" w:rsidRPr="00462B09" w:rsidRDefault="001E12BB" w:rsidP="001E12BB">
      <w:pPr>
        <w:pStyle w:val="Els-body-text"/>
        <w:rPr>
          <w:sz w:val="4"/>
          <w:szCs w:val="4"/>
        </w:rPr>
      </w:pPr>
    </w:p>
    <w:p w14:paraId="7F980AFE" w14:textId="3C87AEDD" w:rsidR="00B372C9" w:rsidRDefault="00CE5B59" w:rsidP="001E12BB">
      <w:pPr>
        <w:pStyle w:val="Els-body-text"/>
      </w:pPr>
      <w:r>
        <w:t xml:space="preserve">In the context of a </w:t>
      </w:r>
      <w:r w:rsidR="00AC4FCB">
        <w:t>3-</w:t>
      </w:r>
      <w:r>
        <w:t xml:space="preserve">player heat integration problem the players can be denoted as </w:t>
      </w:r>
      <w:r w:rsidR="00B372C9">
        <w:t xml:space="preserve"> </w:t>
      </w:r>
      <w:r w:rsidR="00D000A0">
        <w:br/>
      </w:r>
      <m:oMath>
        <m:r>
          <w:rPr>
            <w:rFonts w:ascii="Cambria Math" w:hAnsi="Cambria Math"/>
          </w:rPr>
          <m:t>N=</m:t>
        </m:r>
        <m:d>
          <m:dPr>
            <m:begChr m:val="{"/>
            <m:endChr m:val="}"/>
            <m:ctrlPr>
              <w:rPr>
                <w:rFonts w:ascii="Cambria Math" w:hAnsi="Cambria Math"/>
                <w:i/>
              </w:rPr>
            </m:ctrlPr>
          </m:dPr>
          <m:e>
            <m:r>
              <w:rPr>
                <w:rFonts w:ascii="Cambria Math" w:hAnsi="Cambria Math"/>
              </w:rPr>
              <m:t>A,B,C</m:t>
            </m:r>
          </m:e>
        </m:d>
      </m:oMath>
      <w:r>
        <w:t>. T</w:t>
      </w:r>
      <w:r w:rsidR="00B372C9">
        <w:t xml:space="preserve">he characteristic function </w:t>
      </w:r>
      <w:r>
        <w:t xml:space="preserve">for the profit allocation case </w:t>
      </w:r>
      <w:r w:rsidR="00B372C9">
        <w:t>can</w:t>
      </w:r>
      <w:r>
        <w:t xml:space="preserve"> </w:t>
      </w:r>
      <w:r w:rsidR="00B372C9">
        <w:t>be written as:</w:t>
      </w:r>
    </w:p>
    <w:tbl>
      <w:tblPr>
        <w:tblStyle w:val="Grigliatabella"/>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gridCol w:w="2359"/>
        <w:gridCol w:w="2239"/>
      </w:tblGrid>
      <w:tr w:rsidR="00F01A0F" w14:paraId="2CFE941D" w14:textId="77777777" w:rsidTr="005B6731">
        <w:tc>
          <w:tcPr>
            <w:tcW w:w="2485" w:type="dxa"/>
            <w:vAlign w:val="center"/>
          </w:tcPr>
          <w:p w14:paraId="28AF6F9D" w14:textId="76A4C07A" w:rsidR="00F01A0F" w:rsidRDefault="00F01A0F" w:rsidP="004A54F4">
            <w:pPr>
              <w:pStyle w:val="Els-body-text"/>
              <w:jc w:val="center"/>
            </w:pPr>
            <m:oMathPara>
              <m:oMath>
                <m:r>
                  <w:rPr>
                    <w:rFonts w:ascii="Cambria Math" w:hAnsi="Cambria Math"/>
                  </w:rPr>
                  <m:t>v</m:t>
                </m:r>
                <m:d>
                  <m:dPr>
                    <m:ctrlPr>
                      <w:rPr>
                        <w:rFonts w:ascii="Cambria Math" w:hAnsi="Cambria Math"/>
                        <w:i/>
                      </w:rPr>
                    </m:ctrlPr>
                  </m:dPr>
                  <m:e>
                    <m:r>
                      <w:rPr>
                        <w:rFonts w:ascii="Cambria Math" w:hAnsi="Cambria Math"/>
                      </w:rPr>
                      <m:t>A</m:t>
                    </m:r>
                  </m:e>
                </m:d>
                <m:r>
                  <w:rPr>
                    <w:rFonts w:ascii="Cambria Math" w:hAnsi="Cambria Math"/>
                  </w:rPr>
                  <m:t>=v</m:t>
                </m:r>
                <m:d>
                  <m:dPr>
                    <m:ctrlPr>
                      <w:rPr>
                        <w:rFonts w:ascii="Cambria Math" w:hAnsi="Cambria Math"/>
                        <w:i/>
                      </w:rPr>
                    </m:ctrlPr>
                  </m:dPr>
                  <m:e>
                    <m:r>
                      <w:rPr>
                        <w:rFonts w:ascii="Cambria Math" w:hAnsi="Cambria Math"/>
                      </w:rPr>
                      <m:t>B</m:t>
                    </m:r>
                  </m:e>
                </m:d>
                <m:r>
                  <w:rPr>
                    <w:rFonts w:ascii="Cambria Math" w:hAnsi="Cambria Math"/>
                  </w:rPr>
                  <m:t>=v</m:t>
                </m:r>
                <m:d>
                  <m:dPr>
                    <m:ctrlPr>
                      <w:rPr>
                        <w:rFonts w:ascii="Cambria Math" w:hAnsi="Cambria Math"/>
                        <w:i/>
                      </w:rPr>
                    </m:ctrlPr>
                  </m:dPr>
                  <m:e>
                    <m:r>
                      <w:rPr>
                        <w:rFonts w:ascii="Cambria Math" w:hAnsi="Cambria Math"/>
                      </w:rPr>
                      <m:t>C</m:t>
                    </m:r>
                  </m:e>
                </m:d>
                <m:r>
                  <w:rPr>
                    <w:rFonts w:ascii="Cambria Math" w:hAnsi="Cambria Math"/>
                  </w:rPr>
                  <m:t>=0</m:t>
                </m:r>
              </m:oMath>
            </m:oMathPara>
          </w:p>
        </w:tc>
        <w:tc>
          <w:tcPr>
            <w:tcW w:w="2359" w:type="dxa"/>
            <w:vAlign w:val="center"/>
          </w:tcPr>
          <w:p w14:paraId="07C2F3D2" w14:textId="7C8EBDB9" w:rsidR="00F01A0F" w:rsidRDefault="00F01A0F" w:rsidP="00C06CB8">
            <w:pPr>
              <w:pStyle w:val="Els-body-text"/>
              <w:jc w:val="center"/>
            </w:pPr>
            <m:oMathPara>
              <m:oMath>
                <m:r>
                  <w:rPr>
                    <w:rFonts w:ascii="Cambria Math" w:hAnsi="Cambria Math"/>
                  </w:rPr>
                  <m:t>v</m:t>
                </m:r>
                <m:d>
                  <m:dPr>
                    <m:ctrlPr>
                      <w:rPr>
                        <w:rFonts w:ascii="Cambria Math" w:hAnsi="Cambria Math"/>
                        <w:i/>
                      </w:rPr>
                    </m:ctrlPr>
                  </m:dPr>
                  <m:e>
                    <m:r>
                      <w:rPr>
                        <w:rFonts w:ascii="Cambria Math" w:hAnsi="Cambria Math"/>
                      </w:rPr>
                      <m:t>A,B</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m:t>
                    </m:r>
                  </m:sub>
                </m:sSub>
              </m:oMath>
            </m:oMathPara>
          </w:p>
          <w:p w14:paraId="59914C13" w14:textId="48AD28D1" w:rsidR="00F01A0F" w:rsidRDefault="00F01A0F" w:rsidP="00C06CB8">
            <w:pPr>
              <w:pStyle w:val="Els-body-text"/>
              <w:jc w:val="center"/>
            </w:pPr>
            <m:oMathPara>
              <m:oMath>
                <m:r>
                  <w:rPr>
                    <w:rFonts w:ascii="Cambria Math" w:hAnsi="Cambria Math"/>
                  </w:rPr>
                  <m:t>v</m:t>
                </m:r>
                <m:d>
                  <m:dPr>
                    <m:ctrlPr>
                      <w:rPr>
                        <w:rFonts w:ascii="Cambria Math" w:hAnsi="Cambria Math"/>
                        <w:i/>
                      </w:rPr>
                    </m:ctrlPr>
                  </m:dPr>
                  <m:e>
                    <m:r>
                      <w:rPr>
                        <w:rFonts w:ascii="Cambria Math" w:hAnsi="Cambria Math"/>
                      </w:rPr>
                      <m:t>A,C</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oMath>
            </m:oMathPara>
          </w:p>
          <w:p w14:paraId="6D599F1E" w14:textId="1348B044" w:rsidR="00F01A0F" w:rsidRDefault="00F01A0F" w:rsidP="00C06CB8">
            <w:pPr>
              <w:pStyle w:val="Els-body-text"/>
              <w:jc w:val="center"/>
            </w:pPr>
            <m:oMathPara>
              <m:oMath>
                <m:r>
                  <w:rPr>
                    <w:rFonts w:ascii="Cambria Math" w:hAnsi="Cambria Math"/>
                  </w:rPr>
                  <m:t>v</m:t>
                </m:r>
                <m:d>
                  <m:dPr>
                    <m:ctrlPr>
                      <w:rPr>
                        <w:rFonts w:ascii="Cambria Math" w:hAnsi="Cambria Math"/>
                        <w:i/>
                      </w:rPr>
                    </m:ctrlPr>
                  </m:dPr>
                  <m:e>
                    <m:r>
                      <w:rPr>
                        <w:rFonts w:ascii="Cambria Math" w:hAnsi="Cambria Math"/>
                      </w:rPr>
                      <m:t>B,C</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oMath>
            </m:oMathPara>
          </w:p>
        </w:tc>
        <w:tc>
          <w:tcPr>
            <w:tcW w:w="2239" w:type="dxa"/>
            <w:vAlign w:val="center"/>
          </w:tcPr>
          <w:p w14:paraId="223A2DDF" w14:textId="614AC7B5" w:rsidR="00F01A0F" w:rsidRDefault="00F01A0F" w:rsidP="00C06CB8">
            <w:pPr>
              <w:pStyle w:val="Els-body-text"/>
              <w:jc w:val="center"/>
            </w:pPr>
            <m:oMathPara>
              <m:oMath>
                <m:r>
                  <w:rPr>
                    <w:rFonts w:ascii="Cambria Math" w:hAnsi="Cambria Math"/>
                  </w:rPr>
                  <m:t>v</m:t>
                </m:r>
                <m:d>
                  <m:dPr>
                    <m:ctrlPr>
                      <w:rPr>
                        <w:rFonts w:ascii="Cambria Math" w:hAnsi="Cambria Math"/>
                        <w:i/>
                      </w:rPr>
                    </m:ctrlPr>
                  </m:dPr>
                  <m:e>
                    <m:r>
                      <w:rPr>
                        <w:rFonts w:ascii="Cambria Math" w:hAnsi="Cambria Math"/>
                      </w:rPr>
                      <m:t>A,B,C</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ABC</m:t>
                    </m:r>
                  </m:sub>
                </m:sSub>
              </m:oMath>
            </m:oMathPara>
          </w:p>
        </w:tc>
      </w:tr>
    </w:tbl>
    <w:p w14:paraId="6DA7B3B2" w14:textId="55A5A63A" w:rsidR="00B372C9" w:rsidRPr="00462B09" w:rsidRDefault="00B372C9" w:rsidP="001E12BB">
      <w:pPr>
        <w:pStyle w:val="Els-body-text"/>
        <w:rPr>
          <w:sz w:val="4"/>
          <w:szCs w:val="4"/>
        </w:rPr>
      </w:pPr>
    </w:p>
    <w:p w14:paraId="75D2AA3A" w14:textId="0EB17C4D" w:rsidR="00B372C9" w:rsidRPr="00462B09" w:rsidRDefault="00B372C9" w:rsidP="00B372C9">
      <w:pPr>
        <w:pStyle w:val="Els-body-text"/>
        <w:rPr>
          <w:sz w:val="4"/>
          <w:szCs w:val="4"/>
        </w:rPr>
      </w:pPr>
    </w:p>
    <w:p w14:paraId="3EBB0D2F" w14:textId="1A3F5992" w:rsidR="00C53C6B" w:rsidRDefault="00B63360" w:rsidP="001E12BB">
      <w:pPr>
        <w:pStyle w:val="Els-body-text"/>
      </w:pPr>
      <w:r>
        <w:t>Single</w:t>
      </w:r>
      <w:r w:rsidR="001B5350">
        <w:t>-</w:t>
      </w:r>
      <w:r>
        <w:t>player profits are</w:t>
      </w:r>
      <w:r w:rsidR="00485BF2">
        <w:t>,</w:t>
      </w:r>
      <w:r>
        <w:t xml:space="preserve"> by definition</w:t>
      </w:r>
      <w:r w:rsidR="00485BF2">
        <w:t>,</w:t>
      </w:r>
      <w:r>
        <w:t xml:space="preserve"> zero</w:t>
      </w:r>
      <w:r w:rsidR="001B5350">
        <w:t>;</w:t>
      </w:r>
      <w:r w:rsidR="00CC0F36">
        <w:t xml:space="preserve"> </w:t>
      </w:r>
      <m:oMath>
        <m:sSub>
          <m:sSubPr>
            <m:ctrlPr>
              <w:rPr>
                <w:rFonts w:ascii="Cambria Math" w:hAnsi="Cambria Math"/>
                <w:i/>
              </w:rPr>
            </m:ctrlPr>
          </m:sSubPr>
          <m:e>
            <m:r>
              <w:rPr>
                <w:rFonts w:ascii="Cambria Math" w:hAnsi="Cambria Math"/>
              </w:rPr>
              <m:t>p</m:t>
            </m:r>
          </m:e>
          <m:sub>
            <m:r>
              <w:rPr>
                <w:rFonts w:ascii="Cambria Math" w:hAnsi="Cambria Math"/>
              </w:rPr>
              <m:t>AB</m:t>
            </m:r>
          </m:sub>
        </m:sSub>
      </m:oMath>
      <w:r w:rsidR="00485BF2">
        <w:t xml:space="preserve">, </w:t>
      </w:r>
      <m:oMath>
        <m:sSub>
          <m:sSubPr>
            <m:ctrlPr>
              <w:rPr>
                <w:rFonts w:ascii="Cambria Math" w:hAnsi="Cambria Math"/>
                <w:i/>
              </w:rPr>
            </m:ctrlPr>
          </m:sSubPr>
          <m:e>
            <m:r>
              <w:rPr>
                <w:rFonts w:ascii="Cambria Math" w:hAnsi="Cambria Math"/>
              </w:rPr>
              <m:t>p</m:t>
            </m:r>
          </m:e>
          <m:sub>
            <m:r>
              <w:rPr>
                <w:rFonts w:ascii="Cambria Math" w:hAnsi="Cambria Math"/>
              </w:rPr>
              <m:t>AC</m:t>
            </m:r>
          </m:sub>
        </m:sSub>
      </m:oMath>
      <w:r w:rsidR="00485BF2">
        <w:t xml:space="preserve">, and </w:t>
      </w:r>
      <m:oMath>
        <m:sSub>
          <m:sSubPr>
            <m:ctrlPr>
              <w:rPr>
                <w:rFonts w:ascii="Cambria Math" w:hAnsi="Cambria Math"/>
                <w:i/>
              </w:rPr>
            </m:ctrlPr>
          </m:sSubPr>
          <m:e>
            <m:r>
              <w:rPr>
                <w:rFonts w:ascii="Cambria Math" w:hAnsi="Cambria Math"/>
              </w:rPr>
              <m:t>p</m:t>
            </m:r>
          </m:e>
          <m:sub>
            <m:r>
              <w:rPr>
                <w:rFonts w:ascii="Cambria Math" w:hAnsi="Cambria Math"/>
              </w:rPr>
              <m:t>BC</m:t>
            </m:r>
          </m:sub>
        </m:sSub>
      </m:oMath>
      <w:r w:rsidR="00485BF2">
        <w:t xml:space="preserve"> are the 2-player profits</w:t>
      </w:r>
      <w:r w:rsidR="00CE0C5F">
        <w:t>,</w:t>
      </w:r>
      <w:r w:rsidR="00485BF2">
        <w:t xml:space="preserve"> and </w:t>
      </w:r>
      <m:oMath>
        <m:sSub>
          <m:sSubPr>
            <m:ctrlPr>
              <w:rPr>
                <w:rFonts w:ascii="Cambria Math" w:hAnsi="Cambria Math"/>
                <w:i/>
              </w:rPr>
            </m:ctrlPr>
          </m:sSubPr>
          <m:e>
            <m:r>
              <w:rPr>
                <w:rFonts w:ascii="Cambria Math" w:hAnsi="Cambria Math"/>
              </w:rPr>
              <m:t>p</m:t>
            </m:r>
          </m:e>
          <m:sub>
            <m:r>
              <w:rPr>
                <w:rFonts w:ascii="Cambria Math" w:hAnsi="Cambria Math"/>
              </w:rPr>
              <m:t>ABC</m:t>
            </m:r>
          </m:sub>
        </m:sSub>
      </m:oMath>
      <w:r w:rsidR="00485BF2">
        <w:t xml:space="preserve"> is the profit of the </w:t>
      </w:r>
      <w:r w:rsidR="00A516BC">
        <w:t xml:space="preserve">3-player </w:t>
      </w:r>
      <w:r w:rsidR="00485BF2">
        <w:t>grand coalition. For the sake of brevity, the proof of super-additivity is omitted here, but it can be taken for granted that in process integration problems the grand coalition</w:t>
      </w:r>
      <w:r w:rsidR="00693C20">
        <w:t xml:space="preserve"> has</w:t>
      </w:r>
      <w:r w:rsidR="00485BF2">
        <w:t xml:space="preserve"> always the </w:t>
      </w:r>
      <w:r w:rsidR="00C53C6B">
        <w:t>best</w:t>
      </w:r>
      <w:r w:rsidR="00485BF2">
        <w:t xml:space="preserve"> </w:t>
      </w:r>
      <w:r w:rsidR="00C53C6B">
        <w:t>value</w:t>
      </w:r>
      <w:r w:rsidR="008C739C">
        <w:t>,</w:t>
      </w:r>
      <w:r w:rsidR="00485BF2">
        <w:t xml:space="preserve"> since rejecting the collaboration and returning to the standalone operation is always an option.</w:t>
      </w:r>
      <w:r w:rsidR="00C53C6B">
        <w:t xml:space="preserve"> </w:t>
      </w:r>
    </w:p>
    <w:p w14:paraId="14C4FC7B" w14:textId="6477F27F" w:rsidR="004C70B9" w:rsidRPr="00462B09" w:rsidRDefault="004C70B9" w:rsidP="001E12BB">
      <w:pPr>
        <w:pStyle w:val="Els-body-text"/>
        <w:rPr>
          <w:sz w:val="4"/>
          <w:szCs w:val="4"/>
        </w:rPr>
      </w:pPr>
    </w:p>
    <w:p w14:paraId="072CAC98" w14:textId="08793241" w:rsidR="0033749A" w:rsidRDefault="00727F60" w:rsidP="001E12BB">
      <w:pPr>
        <w:pStyle w:val="Els-body-text"/>
      </w:pPr>
      <w:r>
        <w:t>T</w:t>
      </w:r>
      <w:r w:rsidR="00C53C6B">
        <w:t xml:space="preserve">he feasible set of profit allocations that satisfy the core constraints can be interpreted as </w:t>
      </w:r>
      <w:r w:rsidR="000818A6">
        <w:t xml:space="preserve">the set of </w:t>
      </w:r>
      <w:r w:rsidR="00C53C6B">
        <w:t xml:space="preserve">stable allocations where no player has the incentive to deviate from the grand coalition to ensure a better outcome. This property is important to ensure that rational decision-makers will converge towards an outcome which grants them a level of confidence that is required for planning and design decisions. </w:t>
      </w:r>
      <w:r w:rsidR="0033749A">
        <w:t xml:space="preserve">For a </w:t>
      </w:r>
      <w:r w:rsidR="00B6758F">
        <w:br/>
      </w:r>
      <w:r w:rsidR="0033749A">
        <w:t xml:space="preserve">3-player profit allocation situation the conditions for stability reduce to the following set </w:t>
      </w:r>
      <w:r w:rsidR="004C70B9">
        <w:t xml:space="preserve">of </w:t>
      </w:r>
      <w:r w:rsidR="0033749A">
        <w:t>constraints:</w:t>
      </w:r>
    </w:p>
    <w:p w14:paraId="7D635CDD" w14:textId="77777777" w:rsidR="00462B09" w:rsidRPr="007E74D1" w:rsidRDefault="00462B09" w:rsidP="001E12BB">
      <w:pPr>
        <w:pStyle w:val="Els-body-text"/>
        <w:rPr>
          <w:sz w:val="4"/>
          <w:szCs w:val="4"/>
        </w:rPr>
      </w:pPr>
    </w:p>
    <w:p w14:paraId="0D46EC36" w14:textId="7DFC49B8" w:rsidR="004C70B9" w:rsidRPr="00462B09" w:rsidRDefault="004C70B9" w:rsidP="004C70B9">
      <w:pPr>
        <w:pStyle w:val="Els-body-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694"/>
      </w:tblGrid>
      <w:tr w:rsidR="00EA23F2" w14:paraId="66CCD7F6" w14:textId="77777777" w:rsidTr="00F5560E">
        <w:tc>
          <w:tcPr>
            <w:tcW w:w="5382" w:type="dxa"/>
          </w:tcPr>
          <w:p w14:paraId="734F0478" w14:textId="5FA8BBCD" w:rsidR="00EA23F2" w:rsidRDefault="00C0055C" w:rsidP="00F5560E">
            <w:pPr>
              <w:pStyle w:val="Els-body-text"/>
            </w:pP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≥0</m:t>
              </m:r>
            </m:oMath>
            <w:r w:rsidR="00EA23F2">
              <w:t xml:space="preserve"> </w:t>
            </w:r>
          </w:p>
        </w:tc>
        <w:tc>
          <w:tcPr>
            <w:tcW w:w="1694" w:type="dxa"/>
          </w:tcPr>
          <w:p w14:paraId="396B5C9D" w14:textId="07102A63" w:rsidR="00EA23F2" w:rsidRDefault="009B6AEE" w:rsidP="00F5560E">
            <w:pPr>
              <w:pStyle w:val="Els-body-text"/>
              <w:jc w:val="right"/>
            </w:pPr>
            <w:r>
              <w:t>(1)</w:t>
            </w:r>
          </w:p>
        </w:tc>
      </w:tr>
      <w:tr w:rsidR="00EA23F2" w14:paraId="1CFA99FD" w14:textId="77777777" w:rsidTr="00F5560E">
        <w:tc>
          <w:tcPr>
            <w:tcW w:w="5382" w:type="dxa"/>
          </w:tcPr>
          <w:p w14:paraId="5B85EBE8" w14:textId="4927172B" w:rsidR="00EA23F2" w:rsidRDefault="00C0055C" w:rsidP="00F5560E">
            <w:pPr>
              <w:pStyle w:val="Els-body-text"/>
              <w:spacing w:before="20" w:after="40"/>
            </w:pP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m:t>
                  </m:r>
                </m:sub>
              </m:sSub>
            </m:oMath>
            <w:r w:rsidR="00EA23F2">
              <w:t xml:space="preserve"> </w:t>
            </w:r>
            <w:r w:rsidR="00462B09">
              <w:t xml:space="preserve">, </w:t>
            </w: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oMath>
            <w:r w:rsidR="00462B09">
              <w:t xml:space="preserve">, </w:t>
            </w:r>
            <m:oMath>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oMath>
          </w:p>
        </w:tc>
        <w:tc>
          <w:tcPr>
            <w:tcW w:w="1694" w:type="dxa"/>
          </w:tcPr>
          <w:p w14:paraId="3BB80091" w14:textId="59E9A4EB" w:rsidR="00EA23F2" w:rsidRDefault="0048004F" w:rsidP="00F5560E">
            <w:pPr>
              <w:pStyle w:val="Els-body-text"/>
              <w:spacing w:before="20" w:after="40"/>
              <w:jc w:val="right"/>
            </w:pPr>
            <w:r>
              <w:t>(2)</w:t>
            </w:r>
            <w:r w:rsidR="00462B09">
              <w:t>, (3), (4)</w:t>
            </w:r>
          </w:p>
        </w:tc>
      </w:tr>
      <w:tr w:rsidR="00462B09" w14:paraId="34A820FB" w14:textId="77777777" w:rsidTr="00F5560E">
        <w:tc>
          <w:tcPr>
            <w:tcW w:w="5382" w:type="dxa"/>
          </w:tcPr>
          <w:p w14:paraId="54F2342F" w14:textId="4E657156" w:rsidR="00462B09" w:rsidRDefault="00C0055C" w:rsidP="00F5560E">
            <w:pPr>
              <w:pStyle w:val="Els-body-text"/>
              <w:spacing w:before="20" w:after="40"/>
            </w:pP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ABC</m:t>
                  </m:r>
                </m:sub>
              </m:sSub>
            </m:oMath>
            <w:r w:rsidR="00462B09">
              <w:t xml:space="preserve"> </w:t>
            </w:r>
          </w:p>
        </w:tc>
        <w:tc>
          <w:tcPr>
            <w:tcW w:w="1694" w:type="dxa"/>
          </w:tcPr>
          <w:p w14:paraId="6AC8CE88" w14:textId="3AEE26BC" w:rsidR="00462B09" w:rsidRDefault="00462B09" w:rsidP="00F5560E">
            <w:pPr>
              <w:pStyle w:val="Els-body-text"/>
              <w:spacing w:before="20" w:after="40"/>
              <w:jc w:val="right"/>
            </w:pPr>
            <w:r>
              <w:t>(5)</w:t>
            </w:r>
          </w:p>
        </w:tc>
      </w:tr>
    </w:tbl>
    <w:p w14:paraId="7BDC54FB" w14:textId="77777777" w:rsidR="00DA062A" w:rsidRDefault="00DA062A" w:rsidP="001E12BB">
      <w:pPr>
        <w:pStyle w:val="Els-body-text"/>
      </w:pPr>
    </w:p>
    <w:p w14:paraId="087E9BB7" w14:textId="044D3128" w:rsidR="004C70B9" w:rsidRPr="004C70B9" w:rsidRDefault="00087084" w:rsidP="001E12BB">
      <w:pPr>
        <w:pStyle w:val="Els-body-text"/>
      </w:pPr>
      <w:r>
        <w:t xml:space="preserve">Where </w:t>
      </w:r>
      <m:oMath>
        <m:sSub>
          <m:sSubPr>
            <m:ctrlPr>
              <w:rPr>
                <w:rFonts w:ascii="Cambria Math" w:hAnsi="Cambria Math"/>
                <w:i/>
              </w:rPr>
            </m:ctrlPr>
          </m:sSubPr>
          <m:e>
            <m:r>
              <w:rPr>
                <w:rFonts w:ascii="Cambria Math" w:hAnsi="Cambria Math"/>
              </w:rPr>
              <m:t>x</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x</m:t>
            </m:r>
          </m:e>
          <m:sub>
            <m:r>
              <w:rPr>
                <w:rFonts w:ascii="Cambria Math" w:hAnsi="Cambria Math"/>
              </w:rPr>
              <m:t>B</m:t>
            </m:r>
          </m:sub>
        </m:sSub>
      </m:oMath>
      <w:r>
        <w:t xml:space="preserve">, and </w:t>
      </w:r>
      <m:oMath>
        <m:sSub>
          <m:sSubPr>
            <m:ctrlPr>
              <w:rPr>
                <w:rFonts w:ascii="Cambria Math" w:hAnsi="Cambria Math"/>
                <w:i/>
              </w:rPr>
            </m:ctrlPr>
          </m:sSubPr>
          <m:e>
            <m:r>
              <w:rPr>
                <w:rFonts w:ascii="Cambria Math" w:hAnsi="Cambria Math"/>
              </w:rPr>
              <m:t>x</m:t>
            </m:r>
          </m:e>
          <m:sub>
            <m:r>
              <w:rPr>
                <w:rFonts w:ascii="Cambria Math" w:hAnsi="Cambria Math"/>
              </w:rPr>
              <m:t>C</m:t>
            </m:r>
          </m:sub>
        </m:sSub>
      </m:oMath>
      <w:r>
        <w:t xml:space="preserve"> are the profits allocated to the players. Equations (</w:t>
      </w:r>
      <w:r w:rsidR="00E92E8D">
        <w:t>1</w:t>
      </w:r>
      <w:r w:rsidR="003E5718">
        <w:t>)</w:t>
      </w:r>
      <w:r>
        <w:t xml:space="preserve"> are the</w:t>
      </w:r>
      <w:r w:rsidR="005A5061">
        <w:t xml:space="preserve"> individual rationality constraints, ensuring that no player receives a worse payoff compared to working alone. In a similar fashion, Equations (</w:t>
      </w:r>
      <w:r w:rsidR="008332C1">
        <w:t>2</w:t>
      </w:r>
      <w:r w:rsidR="005A5061">
        <w:t>) – (</w:t>
      </w:r>
      <w:r w:rsidR="008332C1">
        <w:t>4</w:t>
      </w:r>
      <w:r w:rsidR="005A5061">
        <w:t>) are the group rationality constraint</w:t>
      </w:r>
      <w:r w:rsidR="00825B7D">
        <w:t>s</w:t>
      </w:r>
      <w:r w:rsidR="005A5061">
        <w:t xml:space="preserve">, ensuring that no </w:t>
      </w:r>
      <w:proofErr w:type="spellStart"/>
      <w:r w:rsidR="005A5061">
        <w:t>subcoalition</w:t>
      </w:r>
      <w:proofErr w:type="spellEnd"/>
      <w:r w:rsidR="005A5061">
        <w:t xml:space="preserve"> exists which can distribute </w:t>
      </w:r>
      <w:r w:rsidR="00A21228">
        <w:t>the</w:t>
      </w:r>
      <w:r w:rsidR="005A5061">
        <w:t xml:space="preserve"> profit to ensure a better payoff to a subgroup of players</w:t>
      </w:r>
      <w:r w:rsidR="004E2F9D">
        <w:t>.</w:t>
      </w:r>
      <w:r w:rsidR="00360B53">
        <w:t xml:space="preserve"> Finally, Equation (</w:t>
      </w:r>
      <w:r w:rsidR="008332C1">
        <w:t>5</w:t>
      </w:r>
      <w:r w:rsidR="00360B53">
        <w:t xml:space="preserve">) is the efficiency condition, which ensures that exactly the maximum profit of the grand coalition is distributed among the players. </w:t>
      </w:r>
    </w:p>
    <w:p w14:paraId="0EDF4AEB" w14:textId="7C85CF58" w:rsidR="004C70B9" w:rsidRPr="00236E25" w:rsidRDefault="004C70B9" w:rsidP="001E12BB">
      <w:pPr>
        <w:pStyle w:val="Els-body-text"/>
        <w:rPr>
          <w:sz w:val="4"/>
          <w:szCs w:val="4"/>
        </w:rPr>
      </w:pPr>
    </w:p>
    <w:p w14:paraId="14354FCD" w14:textId="534BEA99" w:rsidR="00BD2BFE" w:rsidRDefault="00BD2BFE" w:rsidP="001E12BB">
      <w:pPr>
        <w:pStyle w:val="Els-body-text"/>
      </w:pPr>
      <w:r>
        <w:t xml:space="preserve">These constraints can be illustrated in a ternary diagram of side length </w:t>
      </w:r>
      <m:oMath>
        <m:sSub>
          <m:sSubPr>
            <m:ctrlPr>
              <w:rPr>
                <w:rFonts w:ascii="Cambria Math" w:hAnsi="Cambria Math"/>
                <w:i/>
              </w:rPr>
            </m:ctrlPr>
          </m:sSubPr>
          <m:e>
            <m:r>
              <w:rPr>
                <w:rFonts w:ascii="Cambria Math" w:hAnsi="Cambria Math"/>
              </w:rPr>
              <m:t>p</m:t>
            </m:r>
          </m:e>
          <m:sub>
            <m:r>
              <w:rPr>
                <w:rFonts w:ascii="Cambria Math" w:hAnsi="Cambria Math"/>
              </w:rPr>
              <m:t>ABC</m:t>
            </m:r>
          </m:sub>
        </m:sSub>
      </m:oMath>
      <w:r>
        <w:t>. Each point within the diagram is an efficient allocation</w:t>
      </w:r>
      <w:r w:rsidR="00410805">
        <w:t>,</w:t>
      </w:r>
      <w:r>
        <w:t xml:space="preserve"> and if it lies within the area enclosed by the rationality constraints it is a stable allocation. From this diagram, the conditions for the non-existence of stable allocations can be derived. </w:t>
      </w:r>
    </w:p>
    <w:p w14:paraId="0C1D5109" w14:textId="5BBA8D3A" w:rsidR="00F22995" w:rsidRPr="00236E25" w:rsidRDefault="00F22995" w:rsidP="001E12BB">
      <w:pPr>
        <w:pStyle w:val="Els-body-text"/>
        <w:rPr>
          <w:sz w:val="4"/>
          <w:szCs w:val="4"/>
        </w:rPr>
      </w:pPr>
    </w:p>
    <w:tbl>
      <w:tblPr>
        <w:tblStyle w:val="Grigliatabella"/>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E12F87" w14:paraId="0114E295" w14:textId="77777777" w:rsidTr="0094080F">
        <w:trPr>
          <w:trHeight w:val="2075"/>
        </w:trPr>
        <w:tc>
          <w:tcPr>
            <w:tcW w:w="7087" w:type="dxa"/>
            <w:vAlign w:val="center"/>
          </w:tcPr>
          <w:p w14:paraId="45484892" w14:textId="28B2B5E9" w:rsidR="00E12F87" w:rsidRDefault="00E12F87" w:rsidP="00E12F87">
            <w:pPr>
              <w:pStyle w:val="Els-body-text"/>
              <w:jc w:val="center"/>
            </w:pPr>
            <w:r>
              <w:rPr>
                <w:noProof/>
              </w:rPr>
              <w:drawing>
                <wp:inline distT="0" distB="0" distL="0" distR="0" wp14:anchorId="58870E27" wp14:editId="461E51D9">
                  <wp:extent cx="3078765" cy="13404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871" cy="1364478"/>
                          </a:xfrm>
                          <a:prstGeom prst="rect">
                            <a:avLst/>
                          </a:prstGeom>
                          <a:noFill/>
                          <a:ln>
                            <a:noFill/>
                          </a:ln>
                        </pic:spPr>
                      </pic:pic>
                    </a:graphicData>
                  </a:graphic>
                </wp:inline>
              </w:drawing>
            </w:r>
          </w:p>
        </w:tc>
      </w:tr>
      <w:tr w:rsidR="00F22995" w14:paraId="07DCADE6" w14:textId="77777777" w:rsidTr="009204E0">
        <w:trPr>
          <w:trHeight w:val="342"/>
        </w:trPr>
        <w:tc>
          <w:tcPr>
            <w:tcW w:w="7087" w:type="dxa"/>
            <w:vAlign w:val="center"/>
          </w:tcPr>
          <w:p w14:paraId="357FEE10" w14:textId="77777777" w:rsidR="00F22995" w:rsidRDefault="00F22995" w:rsidP="00833604">
            <w:pPr>
              <w:pStyle w:val="Els-body-text"/>
              <w:jc w:val="left"/>
            </w:pPr>
            <w:r w:rsidRPr="00D43479">
              <w:t>Figure 1</w:t>
            </w:r>
            <w:r>
              <w:t>.</w:t>
            </w:r>
            <w:r w:rsidRPr="00D43479">
              <w:t xml:space="preserve"> Geometric </w:t>
            </w:r>
            <w:r>
              <w:t>representation</w:t>
            </w:r>
            <w:r w:rsidRPr="00D43479">
              <w:t xml:space="preserve"> of </w:t>
            </w:r>
            <w:r>
              <w:t>stability in 3-player</w:t>
            </w:r>
            <w:r w:rsidRPr="00D43479">
              <w:t xml:space="preserve"> profit allocation</w:t>
            </w:r>
            <w:r>
              <w:t xml:space="preserve"> problems</w:t>
            </w:r>
            <w:r w:rsidRPr="00D43479">
              <w:t>.</w:t>
            </w:r>
          </w:p>
        </w:tc>
      </w:tr>
    </w:tbl>
    <w:p w14:paraId="45EA4B18" w14:textId="4C40168C" w:rsidR="00BD2BFE" w:rsidRDefault="00BD2BFE" w:rsidP="00BD2BFE">
      <w:pPr>
        <w:pStyle w:val="Els-2ndorder-head"/>
        <w:numPr>
          <w:ilvl w:val="0"/>
          <w:numId w:val="0"/>
        </w:numPr>
      </w:pPr>
      <w:r>
        <w:t xml:space="preserve">Case </w:t>
      </w:r>
      <w:r w:rsidR="00D2321A">
        <w:t>I</w:t>
      </w:r>
      <w:r>
        <w:t>:</w:t>
      </w:r>
    </w:p>
    <w:p w14:paraId="2C652945" w14:textId="44FA4178" w:rsidR="000168F1" w:rsidRDefault="00BD2BFE" w:rsidP="00BD2BFE">
      <w:pPr>
        <w:pStyle w:val="Els-body-text"/>
      </w:pPr>
      <w:r>
        <w:t xml:space="preserve">In the case that </w:t>
      </w:r>
      <m:oMath>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ABC</m:t>
            </m:r>
          </m:sub>
        </m:sSub>
      </m:oMath>
      <w:r>
        <w:t xml:space="preserve">, </w:t>
      </w:r>
      <m:oMath>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ABC</m:t>
            </m:r>
          </m:sub>
        </m:sSub>
      </m:oMath>
      <w:r>
        <w:t xml:space="preserve">, and </w:t>
      </w:r>
      <m:oMath>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ABC</m:t>
            </m:r>
          </m:sub>
        </m:sSub>
      </m:oMath>
      <w:r>
        <w:t xml:space="preserve"> it is </w:t>
      </w:r>
      <w:r w:rsidR="00FE345F">
        <w:t>evident</w:t>
      </w:r>
      <w:r>
        <w:t xml:space="preserve"> that the </w:t>
      </w:r>
      <w:r w:rsidR="00FE345F">
        <w:t>are</w:t>
      </w:r>
      <w:r w:rsidR="00F55B37">
        <w:t>a</w:t>
      </w:r>
      <w:r w:rsidR="00FE345F">
        <w:t xml:space="preserve"> enclosed by the constraints is a six sided area that contains stable allocations. </w:t>
      </w:r>
    </w:p>
    <w:p w14:paraId="0129E81A" w14:textId="77777777" w:rsidR="000168F1" w:rsidRPr="00236E25" w:rsidRDefault="000168F1" w:rsidP="00BD2BFE">
      <w:pPr>
        <w:pStyle w:val="Els-body-text"/>
        <w:rPr>
          <w:sz w:val="4"/>
          <w:szCs w:val="4"/>
        </w:rPr>
      </w:pPr>
    </w:p>
    <w:p w14:paraId="6A0A632A" w14:textId="3FECF96F" w:rsidR="00FE345F" w:rsidRDefault="00FE345F" w:rsidP="00BD2BFE">
      <w:pPr>
        <w:pStyle w:val="Els-body-text"/>
      </w:pPr>
      <w:r w:rsidRPr="00FE345F">
        <w:rPr>
          <w:i/>
          <w:iCs/>
        </w:rPr>
        <w:t>Case II</w:t>
      </w:r>
      <w:r>
        <w:t>:</w:t>
      </w:r>
    </w:p>
    <w:p w14:paraId="5ED2A881" w14:textId="60A5BB4D" w:rsidR="00C25B0B" w:rsidRDefault="00FE345F" w:rsidP="00FE345F">
      <w:pPr>
        <w:pStyle w:val="Els-body-text"/>
      </w:pPr>
      <w:r>
        <w:t xml:space="preserve">Assuming that at least for one of the sides (e.g. </w:t>
      </w:r>
      <m:oMath>
        <m:sSub>
          <m:sSubPr>
            <m:ctrlPr>
              <w:rPr>
                <w:rFonts w:ascii="Cambria Math" w:hAnsi="Cambria Math"/>
                <w:i/>
              </w:rPr>
            </m:ctrlPr>
          </m:sSubPr>
          <m:e>
            <m:r>
              <w:rPr>
                <w:rFonts w:ascii="Cambria Math" w:hAnsi="Cambria Math"/>
              </w:rPr>
              <m:t>p</m:t>
            </m:r>
          </m:e>
          <m:sub>
            <m:r>
              <w:rPr>
                <w:rFonts w:ascii="Cambria Math" w:hAnsi="Cambria Math"/>
              </w:rPr>
              <m:t>AC</m:t>
            </m:r>
          </m:sub>
        </m:sSub>
      </m:oMath>
      <w:r w:rsidR="007F5D8F">
        <w:t xml:space="preserve"> and </w:t>
      </w:r>
      <m:oMath>
        <m:sSub>
          <m:sSubPr>
            <m:ctrlPr>
              <w:rPr>
                <w:rFonts w:ascii="Cambria Math" w:hAnsi="Cambria Math"/>
                <w:i/>
              </w:rPr>
            </m:ctrlPr>
          </m:sSubPr>
          <m:e>
            <m:r>
              <w:rPr>
                <w:rFonts w:ascii="Cambria Math" w:hAnsi="Cambria Math"/>
              </w:rPr>
              <m:t>p</m:t>
            </m:r>
          </m:e>
          <m:sub>
            <m:r>
              <w:rPr>
                <w:rFonts w:ascii="Cambria Math" w:hAnsi="Cambria Math"/>
              </w:rPr>
              <m:t>BC</m:t>
            </m:r>
          </m:sub>
        </m:sSub>
      </m:oMath>
      <w:r>
        <w:t>) the situation arises that</w:t>
      </w:r>
      <w:r w:rsidR="007F5D8F">
        <w:t xml:space="preserve"> that the sum of the 2-player profits exceeds the profit of the grand coalition </w:t>
      </w:r>
      <w:r w:rsidR="00C25B0B">
        <w:t>(e.g.</w:t>
      </w:r>
      <w:r w:rsidR="004A389F">
        <w:br/>
      </w:r>
      <m:oMath>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ABC</m:t>
            </m:r>
          </m:sub>
        </m:sSub>
      </m:oMath>
      <w:r w:rsidR="00C25B0B">
        <w:t xml:space="preserve">) the condition on the profit of the remaining coalition (e.g. </w:t>
      </w:r>
      <m:oMath>
        <m:sSub>
          <m:sSubPr>
            <m:ctrlPr>
              <w:rPr>
                <w:rFonts w:ascii="Cambria Math" w:hAnsi="Cambria Math"/>
                <w:i/>
              </w:rPr>
            </m:ctrlPr>
          </m:sSubPr>
          <m:e>
            <m:r>
              <w:rPr>
                <w:rFonts w:ascii="Cambria Math" w:hAnsi="Cambria Math"/>
              </w:rPr>
              <m:t>p</m:t>
            </m:r>
          </m:e>
          <m:sub>
            <m:r>
              <w:rPr>
                <w:rFonts w:ascii="Cambria Math" w:hAnsi="Cambria Math"/>
              </w:rPr>
              <m:t>AB</m:t>
            </m:r>
          </m:sub>
        </m:sSub>
      </m:oMath>
      <w:r w:rsidR="00C25B0B">
        <w:t>) for the non-existence of a stable allocation set can be graphically derived. Figure 1</w:t>
      </w:r>
      <w:r w:rsidR="00A74ECA">
        <w:t xml:space="preserve"> (right)</w:t>
      </w:r>
      <w:r w:rsidR="00043F70">
        <w:t xml:space="preserve"> </w:t>
      </w:r>
      <w:r w:rsidR="00C25B0B">
        <w:t>illustrates this for the case of one side and can be written as:</w:t>
      </w:r>
    </w:p>
    <w:p w14:paraId="0D962F04" w14:textId="77777777" w:rsidR="00C25B0B" w:rsidRPr="00236E25" w:rsidRDefault="00C25B0B" w:rsidP="00FE345F">
      <w:pPr>
        <w:pStyle w:val="Els-body-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844"/>
      </w:tblGrid>
      <w:tr w:rsidR="00FC4ED4" w14:paraId="0EDB0AE0" w14:textId="77777777" w:rsidTr="00942453">
        <w:tc>
          <w:tcPr>
            <w:tcW w:w="6232" w:type="dxa"/>
          </w:tcPr>
          <w:p w14:paraId="398FE2D1" w14:textId="285C12B8" w:rsidR="00FC4ED4" w:rsidRDefault="00FC4ED4" w:rsidP="00FC4ED4">
            <w:pPr>
              <w:pStyle w:val="Els-body-text"/>
            </w:pPr>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ABC</m:t>
                  </m:r>
                </m:sub>
              </m:sSub>
              <m:r>
                <w:rPr>
                  <w:rFonts w:ascii="Cambria Math" w:hAnsi="Cambria Math"/>
                </w:rPr>
                <m:t>)</m:t>
              </m:r>
            </m:oMath>
            <w:r>
              <w:t xml:space="preserve"> </w:t>
            </w:r>
            <m:oMath>
              <m:r>
                <w:rPr>
                  <w:rFonts w:ascii="Cambria Math" w:hAnsi="Cambria Math"/>
                </w:rPr>
                <m:t xml:space="preserve"> ⇔ 2∙</m:t>
              </m:r>
              <m:sSub>
                <m:sSubPr>
                  <m:ctrlPr>
                    <w:rPr>
                      <w:rFonts w:ascii="Cambria Math" w:hAnsi="Cambria Math"/>
                      <w:i/>
                    </w:rPr>
                  </m:ctrlPr>
                </m:sSubPr>
                <m:e>
                  <m:r>
                    <w:rPr>
                      <w:rFonts w:ascii="Cambria Math" w:hAnsi="Cambria Math"/>
                    </w:rPr>
                    <m:t>p</m:t>
                  </m:r>
                </m:e>
                <m:sub>
                  <m:r>
                    <w:rPr>
                      <w:rFonts w:ascii="Cambria Math" w:hAnsi="Cambria Math"/>
                    </w:rPr>
                    <m:t>ABC</m:t>
                  </m:r>
                </m:sub>
              </m:sSub>
              <m:r>
                <w:rPr>
                  <w:rFonts w:ascii="Cambria Math" w:hAnsi="Cambria Math"/>
                </w:rPr>
                <m:t>&lt;</m:t>
              </m:r>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oMath>
          </w:p>
        </w:tc>
        <w:tc>
          <w:tcPr>
            <w:tcW w:w="844" w:type="dxa"/>
          </w:tcPr>
          <w:p w14:paraId="5FFD2E03" w14:textId="7B670560" w:rsidR="00FC4ED4" w:rsidRDefault="00FC4ED4" w:rsidP="00FE345F">
            <w:pPr>
              <w:pStyle w:val="Els-body-text"/>
            </w:pPr>
            <w:r>
              <w:t>(6)</w:t>
            </w:r>
          </w:p>
        </w:tc>
      </w:tr>
    </w:tbl>
    <w:p w14:paraId="1B25E682" w14:textId="77777777" w:rsidR="00DD1ECF" w:rsidRDefault="00DD1ECF" w:rsidP="00BD2BFE">
      <w:pPr>
        <w:pStyle w:val="Els-body-text"/>
      </w:pPr>
    </w:p>
    <w:p w14:paraId="110C3F6C" w14:textId="34E0478E" w:rsidR="00267B17" w:rsidRPr="00C400D2" w:rsidRDefault="000168F1" w:rsidP="00BD2BFE">
      <w:pPr>
        <w:pStyle w:val="Els-body-text"/>
      </w:pPr>
      <w:r>
        <w:t>For the sake of brevity, this derivation deals with the simplest case of</w:t>
      </w:r>
      <w:r w:rsidR="008B3602">
        <w:t xml:space="preserve"> profit determination based on </w:t>
      </w:r>
      <w:r w:rsidR="00BE4D97">
        <w:t>utility</w:t>
      </w:r>
      <w:r>
        <w:t xml:space="preserve"> cost minimization, considering only a single heating and cooling utility, available at sufficiently high and low temperatures. </w:t>
      </w:r>
      <w:r w:rsidR="00897AFF">
        <w:t>Denoting the heat balance as shown in Figure 2 th</w:t>
      </w:r>
      <w:r>
        <w:t>e problem can be written</w:t>
      </w:r>
      <w:r w:rsidR="00125403">
        <w:t xml:space="preserve"> for a single company</w:t>
      </w:r>
      <w:r>
        <w:t xml:space="preserve"> as:</w:t>
      </w:r>
    </w:p>
    <w:p w14:paraId="3B7981A9" w14:textId="3F7001C4" w:rsidR="00EA23F2" w:rsidRPr="00AE199E" w:rsidRDefault="00EA23F2" w:rsidP="00BD2BFE">
      <w:pPr>
        <w:pStyle w:val="Els-body-text"/>
        <w:rPr>
          <w:sz w:val="4"/>
          <w:szCs w:val="4"/>
        </w:rPr>
      </w:pPr>
    </w:p>
    <w:tbl>
      <w:tblPr>
        <w:tblStyle w:val="Grigliatabella"/>
        <w:tblW w:w="70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67"/>
        <w:gridCol w:w="849"/>
      </w:tblGrid>
      <w:tr w:rsidR="009372D3" w14:paraId="0B369F1C" w14:textId="2614F286" w:rsidTr="009372D3">
        <w:trPr>
          <w:trHeight w:val="509"/>
        </w:trPr>
        <w:tc>
          <w:tcPr>
            <w:tcW w:w="5670" w:type="dxa"/>
            <w:vAlign w:val="center"/>
          </w:tcPr>
          <w:p w14:paraId="38A63B6F" w14:textId="32379DA8" w:rsidR="009372D3" w:rsidRDefault="00C0055C" w:rsidP="00636506">
            <w:pPr>
              <w:pStyle w:val="Els-body-text"/>
              <w:jc w:val="left"/>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m:t>
                          </m:r>
                        </m:sup>
                      </m:sSubSup>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m:t>
                          </m:r>
                        </m:sub>
                      </m:sSub>
                    </m:lim>
                  </m:limLow>
                </m:fName>
                <m:e>
                  <m:r>
                    <w:rPr>
                      <w:rFonts w:ascii="Cambria Math" w:hAnsi="Cambria Math"/>
                    </w:rPr>
                    <m:t>cost=</m:t>
                  </m:r>
                  <m:sSup>
                    <m:sSupPr>
                      <m:ctrlPr>
                        <w:rPr>
                          <w:rFonts w:ascii="Cambria Math" w:hAnsi="Cambria Math"/>
                          <w:i/>
                        </w:rPr>
                      </m:ctrlPr>
                    </m:sSupPr>
                    <m:e>
                      <m:r>
                        <w:rPr>
                          <w:rFonts w:ascii="Cambria Math" w:hAnsi="Cambria Math"/>
                        </w:rPr>
                        <m:t>c</m:t>
                      </m:r>
                    </m:e>
                    <m:sup>
                      <m:r>
                        <w:rPr>
                          <w:rFonts w:ascii="Cambria Math" w:hAnsi="Cambria Math"/>
                        </w:rPr>
                        <m:t>Hot</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m:t>
                          </m:r>
                        </m:sup>
                      </m:sSubSup>
                    </m:e>
                  </m:nary>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Cold</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m:t>
                          </m:r>
                        </m:sup>
                      </m:sSubSup>
                    </m:e>
                  </m:nary>
                </m:e>
              </m:func>
            </m:oMath>
            <w:r w:rsidR="009372D3">
              <w:t xml:space="preserve"> </w:t>
            </w:r>
          </w:p>
        </w:tc>
        <w:tc>
          <w:tcPr>
            <w:tcW w:w="567" w:type="dxa"/>
            <w:vAlign w:val="center"/>
          </w:tcPr>
          <w:p w14:paraId="28AFF1B3" w14:textId="77777777" w:rsidR="009372D3" w:rsidRDefault="009372D3" w:rsidP="00636506">
            <w:pPr>
              <w:pStyle w:val="Els-body-text"/>
              <w:jc w:val="right"/>
            </w:pPr>
          </w:p>
        </w:tc>
        <w:tc>
          <w:tcPr>
            <w:tcW w:w="849" w:type="dxa"/>
            <w:vAlign w:val="center"/>
          </w:tcPr>
          <w:p w14:paraId="0CA8B382" w14:textId="0F9D54EC" w:rsidR="009372D3" w:rsidRDefault="00DF62A6" w:rsidP="009372D3">
            <w:pPr>
              <w:pStyle w:val="Els-body-text"/>
              <w:jc w:val="right"/>
            </w:pPr>
            <w:r w:rsidRPr="009372D3">
              <w:rPr>
                <w:iCs/>
              </w:rPr>
              <w:t>(7)</w:t>
            </w:r>
          </w:p>
        </w:tc>
      </w:tr>
      <w:tr w:rsidR="009372D3" w14:paraId="3EEF5D9F" w14:textId="3EFB37E0" w:rsidTr="009372D3">
        <w:trPr>
          <w:trHeight w:val="401"/>
        </w:trPr>
        <w:tc>
          <w:tcPr>
            <w:tcW w:w="5670" w:type="dxa"/>
            <w:vAlign w:val="center"/>
          </w:tcPr>
          <w:p w14:paraId="4982B097" w14:textId="779E184C" w:rsidR="009372D3" w:rsidRDefault="009372D3" w:rsidP="00636506">
            <w:pPr>
              <w:pStyle w:val="Els-body-text"/>
              <w:jc w:val="left"/>
            </w:pPr>
            <m:oMath>
              <m:r>
                <w:rPr>
                  <w:rFonts w:ascii="Cambria Math" w:hAnsi="Cambria Math"/>
                </w:rPr>
                <m:t>0=</m:t>
              </m:r>
              <m:nary>
                <m:naryPr>
                  <m:chr m:val="∑"/>
                  <m:limLoc m:val="undOvr"/>
                  <m:supHide m:val="1"/>
                  <m:ctrlPr>
                    <w:rPr>
                      <w:rFonts w:ascii="Cambria Math" w:hAnsi="Cambria Math"/>
                      <w:i/>
                    </w:rPr>
                  </m:ctrlPr>
                </m:naryPr>
                <m:sub>
                  <m:r>
                    <w:rPr>
                      <w:rFonts w:ascii="Cambria Math" w:hAnsi="Cambria Math"/>
                    </w:rPr>
                    <m:t>h</m:t>
                  </m:r>
                </m:sub>
                <m:sup/>
                <m:e>
                  <m:r>
                    <m:rPr>
                      <m:sty m:val="p"/>
                    </m:rPr>
                    <w:rPr>
                      <w:rFonts w:ascii="Cambria Math" w:hAnsi="Cambria Math"/>
                    </w:rPr>
                    <m:t>Δ</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h,z</m:t>
                      </m:r>
                    </m:sub>
                    <m:sup>
                      <m:r>
                        <w:rPr>
                          <w:rFonts w:ascii="Cambria Math" w:hAnsi="Cambria Math"/>
                        </w:rPr>
                        <m:t>Hot</m:t>
                      </m:r>
                    </m:sup>
                  </m:sSubSup>
                </m:e>
              </m:nary>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c</m:t>
                  </m:r>
                </m:sub>
                <m:sup/>
                <m:e>
                  <m:r>
                    <m:rPr>
                      <m:sty m:val="p"/>
                    </m:rPr>
                    <w:rPr>
                      <w:rFonts w:ascii="Cambria Math" w:hAnsi="Cambria Math"/>
                    </w:rPr>
                    <m:t>Δ</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c,z</m:t>
                      </m:r>
                    </m:sub>
                    <m:sup>
                      <m:r>
                        <w:rPr>
                          <w:rFonts w:ascii="Cambria Math" w:hAnsi="Cambria Math"/>
                        </w:rPr>
                        <m:t>Cold</m:t>
                      </m:r>
                    </m:sup>
                  </m:sSubSup>
                </m:e>
              </m:nary>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m:t>
                  </m:r>
                </m:sub>
              </m:sSub>
            </m:oMath>
            <w:r>
              <w:t xml:space="preserve"> </w:t>
            </w:r>
          </w:p>
        </w:tc>
        <w:tc>
          <w:tcPr>
            <w:tcW w:w="567" w:type="dxa"/>
            <w:vAlign w:val="center"/>
          </w:tcPr>
          <w:p w14:paraId="7EE69136" w14:textId="1245825B" w:rsidR="009372D3" w:rsidRDefault="009372D3" w:rsidP="00636506">
            <w:pPr>
              <w:pStyle w:val="Els-body-text"/>
              <w:jc w:val="right"/>
            </w:pPr>
            <m:oMathPara>
              <m:oMath>
                <m:r>
                  <w:rPr>
                    <w:rFonts w:ascii="Cambria Math" w:hAnsi="Cambria Math"/>
                  </w:rPr>
                  <m:t>∀z</m:t>
                </m:r>
              </m:oMath>
            </m:oMathPara>
          </w:p>
        </w:tc>
        <w:tc>
          <w:tcPr>
            <w:tcW w:w="849" w:type="dxa"/>
            <w:vAlign w:val="center"/>
          </w:tcPr>
          <w:p w14:paraId="469B6850" w14:textId="37537F7C" w:rsidR="009372D3" w:rsidRPr="009372D3" w:rsidRDefault="009372D3" w:rsidP="009372D3">
            <w:pPr>
              <w:pStyle w:val="Els-body-text"/>
              <w:jc w:val="right"/>
              <w:rPr>
                <w:iCs/>
              </w:rPr>
            </w:pPr>
            <w:r w:rsidRPr="009372D3">
              <w:rPr>
                <w:iCs/>
              </w:rPr>
              <w:t>(</w:t>
            </w:r>
            <w:r w:rsidR="00DF62A6">
              <w:rPr>
                <w:iCs/>
              </w:rPr>
              <w:t>8</w:t>
            </w:r>
            <w:r w:rsidRPr="009372D3">
              <w:rPr>
                <w:iCs/>
              </w:rPr>
              <w:t>)</w:t>
            </w:r>
          </w:p>
        </w:tc>
      </w:tr>
      <w:tr w:rsidR="009372D3" w14:paraId="2057B2D8" w14:textId="52FD9A08" w:rsidTr="009372D3">
        <w:trPr>
          <w:trHeight w:val="422"/>
        </w:trPr>
        <w:tc>
          <w:tcPr>
            <w:tcW w:w="5670" w:type="dxa"/>
            <w:vAlign w:val="center"/>
          </w:tcPr>
          <w:p w14:paraId="7FE76C55" w14:textId="11EA22B3" w:rsidR="009372D3" w:rsidRDefault="00C0055C" w:rsidP="00636506">
            <w:pPr>
              <w:pStyle w:val="Els-body-text"/>
              <w:jc w:val="left"/>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zmax</m:t>
                  </m:r>
                </m:sub>
              </m:sSub>
              <m:r>
                <w:rPr>
                  <w:rFonts w:ascii="Cambria Math" w:hAnsi="Cambria Math"/>
                </w:rPr>
                <m:t>=0</m:t>
              </m:r>
            </m:oMath>
            <w:r w:rsidR="009372D3">
              <w:t xml:space="preserve"> </w:t>
            </w:r>
          </w:p>
        </w:tc>
        <w:tc>
          <w:tcPr>
            <w:tcW w:w="567" w:type="dxa"/>
            <w:vAlign w:val="center"/>
          </w:tcPr>
          <w:p w14:paraId="1B3E0D11" w14:textId="77777777" w:rsidR="009372D3" w:rsidRDefault="009372D3" w:rsidP="00636506">
            <w:pPr>
              <w:pStyle w:val="Els-body-text"/>
              <w:jc w:val="right"/>
            </w:pPr>
          </w:p>
        </w:tc>
        <w:tc>
          <w:tcPr>
            <w:tcW w:w="849" w:type="dxa"/>
            <w:vAlign w:val="center"/>
          </w:tcPr>
          <w:p w14:paraId="660AFDFE" w14:textId="72FB08C5" w:rsidR="009372D3" w:rsidRPr="009372D3" w:rsidRDefault="009372D3" w:rsidP="009372D3">
            <w:pPr>
              <w:pStyle w:val="Els-body-text"/>
              <w:jc w:val="right"/>
              <w:rPr>
                <w:iCs/>
              </w:rPr>
            </w:pPr>
            <w:r w:rsidRPr="009372D3">
              <w:rPr>
                <w:iCs/>
              </w:rPr>
              <w:t>(</w:t>
            </w:r>
            <w:r w:rsidR="00DF62A6">
              <w:rPr>
                <w:iCs/>
              </w:rPr>
              <w:t>9</w:t>
            </w:r>
            <w:r w:rsidRPr="009372D3">
              <w:rPr>
                <w:iCs/>
              </w:rPr>
              <w:t>)</w:t>
            </w:r>
          </w:p>
        </w:tc>
      </w:tr>
      <w:tr w:rsidR="009372D3" w14:paraId="2B42C57D" w14:textId="4EBEF85A" w:rsidTr="009372D3">
        <w:trPr>
          <w:trHeight w:val="415"/>
        </w:trPr>
        <w:tc>
          <w:tcPr>
            <w:tcW w:w="5670" w:type="dxa"/>
            <w:vAlign w:val="center"/>
          </w:tcPr>
          <w:p w14:paraId="5F74D0C6" w14:textId="11ABC627" w:rsidR="009372D3" w:rsidRDefault="00C0055C" w:rsidP="0051451C">
            <w:pPr>
              <w:pStyle w:val="Els-body-text"/>
              <w:jc w:val="left"/>
            </w:pPr>
            <m:oMath>
              <m:sSub>
                <m:sSubPr>
                  <m:ctrlPr>
                    <w:rPr>
                      <w:rFonts w:ascii="Cambria Math" w:hAnsi="Cambria Math"/>
                      <w:i/>
                    </w:rPr>
                  </m:ctrlPr>
                </m:sSub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m:t>
                      </m:r>
                    </m:sup>
                  </m:sSubSup>
                  <m:r>
                    <w:rPr>
                      <w:rFonts w:ascii="Cambria Math" w:hAnsi="Cambria Math"/>
                    </w:rPr>
                    <m:t>,</m:t>
                  </m:r>
                  <m:acc>
                    <m:accPr>
                      <m:chr m:val="̇"/>
                      <m:ctrlPr>
                        <w:rPr>
                          <w:rFonts w:ascii="Cambria Math" w:hAnsi="Cambria Math"/>
                          <w:i/>
                        </w:rPr>
                      </m:ctrlPr>
                    </m:accPr>
                    <m:e>
                      <m:r>
                        <w:rPr>
                          <w:rFonts w:ascii="Cambria Math" w:hAnsi="Cambria Math"/>
                        </w:rPr>
                        <m:t>Q</m:t>
                      </m:r>
                    </m:e>
                  </m:acc>
                </m:e>
                <m:sub>
                  <m:r>
                    <w:rPr>
                      <w:rFonts w:ascii="Cambria Math" w:hAnsi="Cambria Math"/>
                    </w:rPr>
                    <m:t>z</m:t>
                  </m:r>
                </m:sub>
              </m:sSub>
              <m:r>
                <w:rPr>
                  <w:rFonts w:ascii="Cambria Math" w:hAnsi="Cambria Math"/>
                </w:rPr>
                <m:t>≥0</m:t>
              </m:r>
            </m:oMath>
            <w:r w:rsidR="009372D3">
              <w:t xml:space="preserve"> </w:t>
            </w:r>
          </w:p>
        </w:tc>
        <w:tc>
          <w:tcPr>
            <w:tcW w:w="567" w:type="dxa"/>
            <w:vAlign w:val="center"/>
          </w:tcPr>
          <w:p w14:paraId="1C408EFA" w14:textId="56325FEA" w:rsidR="009372D3" w:rsidRDefault="009372D3" w:rsidP="009372D3">
            <w:pPr>
              <w:pStyle w:val="Els-body-text"/>
              <w:jc w:val="right"/>
            </w:pPr>
            <m:oMathPara>
              <m:oMath>
                <m:r>
                  <w:rPr>
                    <w:rFonts w:ascii="Cambria Math" w:hAnsi="Cambria Math"/>
                  </w:rPr>
                  <m:t>∀z</m:t>
                </m:r>
              </m:oMath>
            </m:oMathPara>
          </w:p>
        </w:tc>
        <w:tc>
          <w:tcPr>
            <w:tcW w:w="849" w:type="dxa"/>
            <w:vAlign w:val="center"/>
          </w:tcPr>
          <w:p w14:paraId="0F4A70EF" w14:textId="533CAD63" w:rsidR="009372D3" w:rsidRPr="009372D3" w:rsidRDefault="009372D3" w:rsidP="009372D3">
            <w:pPr>
              <w:pStyle w:val="Els-body-text"/>
              <w:jc w:val="right"/>
              <w:rPr>
                <w:iCs/>
              </w:rPr>
            </w:pPr>
            <w:r w:rsidRPr="009372D3">
              <w:rPr>
                <w:iCs/>
              </w:rPr>
              <w:t>(</w:t>
            </w:r>
            <w:r w:rsidR="00DF62A6">
              <w:rPr>
                <w:iCs/>
              </w:rPr>
              <w:t>10</w:t>
            </w:r>
            <w:r w:rsidRPr="009372D3">
              <w:rPr>
                <w:iCs/>
              </w:rPr>
              <w:t>)</w:t>
            </w:r>
          </w:p>
        </w:tc>
      </w:tr>
    </w:tbl>
    <w:p w14:paraId="4EA15EFC" w14:textId="77777777" w:rsidR="00EA23F2" w:rsidRPr="00AE199E" w:rsidRDefault="00EA23F2" w:rsidP="00BD2BFE">
      <w:pPr>
        <w:pStyle w:val="Els-body-text"/>
        <w:rPr>
          <w:sz w:val="4"/>
          <w:szCs w:val="4"/>
        </w:rPr>
      </w:pPr>
    </w:p>
    <w:p w14:paraId="776B9231" w14:textId="149E4060" w:rsidR="00BD2BFE" w:rsidRDefault="00B90AF4" w:rsidP="00BD2BFE">
      <w:pPr>
        <w:pStyle w:val="Els-body-text"/>
      </w:pPr>
      <w:r>
        <w:t xml:space="preserve">Where </w:t>
      </w:r>
      <m:oMath>
        <m:r>
          <w:rPr>
            <w:rFonts w:ascii="Cambria Math" w:hAnsi="Cambria Math"/>
          </w:rPr>
          <m:t>h</m:t>
        </m:r>
      </m:oMath>
      <w:r>
        <w:t xml:space="preserve"> is the set of hot streams and </w:t>
      </w:r>
      <m:oMath>
        <m:r>
          <w:rPr>
            <w:rFonts w:ascii="Cambria Math" w:hAnsi="Cambria Math"/>
          </w:rPr>
          <m:t>c</m:t>
        </m:r>
      </m:oMath>
      <w:r>
        <w:t xml:space="preserve"> is the set of cold streams available in the </w:t>
      </w:r>
      <w:r w:rsidR="00835BE7">
        <w:t>company’s</w:t>
      </w:r>
      <w:r>
        <w:t xml:space="preserve"> process </w:t>
      </w:r>
      <w:proofErr w:type="gramStart"/>
      <w:r>
        <w:t>system.</w:t>
      </w:r>
      <w:proofErr w:type="gramEnd"/>
      <w:r>
        <w:t xml:space="preserve"> The set </w:t>
      </w:r>
      <m:oMath>
        <m:r>
          <w:rPr>
            <w:rFonts w:ascii="Cambria Math" w:hAnsi="Cambria Math"/>
          </w:rPr>
          <m:t>z</m:t>
        </m:r>
      </m:oMath>
      <w:r>
        <w:t xml:space="preserve"> discretizes the heating and cooling demands </w:t>
      </w:r>
      <m:oMath>
        <m:r>
          <m:rPr>
            <m:sty m:val="p"/>
          </m:rPr>
          <w:rPr>
            <w:rFonts w:ascii="Cambria Math" w:hAnsi="Cambria Math"/>
          </w:rPr>
          <m:t>Δ</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h,z</m:t>
            </m:r>
          </m:sub>
          <m:sup>
            <m:r>
              <w:rPr>
                <w:rFonts w:ascii="Cambria Math" w:hAnsi="Cambria Math"/>
              </w:rPr>
              <m:t>H</m:t>
            </m:r>
          </m:sup>
        </m:sSubSup>
      </m:oMath>
      <w:r>
        <w:t xml:space="preserve"> and </w:t>
      </w:r>
      <m:oMath>
        <m:r>
          <m:rPr>
            <m:sty m:val="p"/>
          </m:rPr>
          <w:rPr>
            <w:rFonts w:ascii="Cambria Math" w:hAnsi="Cambria Math"/>
          </w:rPr>
          <m:t>Δ</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H</m:t>
                </m:r>
              </m:e>
            </m:acc>
          </m:e>
          <m:sub>
            <m:r>
              <w:rPr>
                <w:rFonts w:ascii="Cambria Math" w:hAnsi="Cambria Math"/>
              </w:rPr>
              <m:t>c,z</m:t>
            </m:r>
          </m:sub>
          <m:sup>
            <m:r>
              <w:rPr>
                <w:rFonts w:ascii="Cambria Math" w:hAnsi="Cambria Math"/>
              </w:rPr>
              <m:t>C</m:t>
            </m:r>
          </m:sup>
        </m:sSubSup>
      </m:oMath>
      <w:r>
        <w:t xml:space="preserve"> into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t xml:space="preserve"> </w:t>
      </w:r>
      <w:r w:rsidR="00572C52">
        <w:t xml:space="preserve">temperature </w:t>
      </w:r>
      <w:r>
        <w:t xml:space="preserve">intervals. </w:t>
      </w:r>
      <w:r w:rsidR="00184C5B">
        <w:t xml:space="preserve">The external heating and cooling utilities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m:t>
            </m:r>
          </m:sup>
        </m:sSubSup>
      </m:oMath>
      <w:r w:rsidR="00184C5B">
        <w:t xml:space="preserve"> and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m:t>
            </m:r>
          </m:sup>
        </m:sSubSup>
      </m:oMath>
      <w:r w:rsidR="00184C5B">
        <w:t xml:space="preserve"> are also discretized into the</w:t>
      </w:r>
      <w:r w:rsidR="00297459">
        <w:t>se</w:t>
      </w:r>
      <w:r w:rsidR="00184C5B">
        <w:t xml:space="preserve"> intervals. In the objective function, these utilities are summed up and multiplied with the respective utility cost </w:t>
      </w:r>
      <m:oMath>
        <m:sSup>
          <m:sSupPr>
            <m:ctrlPr>
              <w:rPr>
                <w:rFonts w:ascii="Cambria Math" w:hAnsi="Cambria Math"/>
                <w:i/>
              </w:rPr>
            </m:ctrlPr>
          </m:sSupPr>
          <m:e>
            <m:r>
              <w:rPr>
                <w:rFonts w:ascii="Cambria Math" w:hAnsi="Cambria Math"/>
              </w:rPr>
              <m:t>c</m:t>
            </m:r>
          </m:e>
          <m:sup>
            <m:r>
              <w:rPr>
                <w:rFonts w:ascii="Cambria Math" w:hAnsi="Cambria Math"/>
              </w:rPr>
              <m:t>H</m:t>
            </m:r>
          </m:sup>
        </m:sSup>
      </m:oMath>
      <w:r w:rsidR="00184C5B">
        <w:t xml:space="preserve"> and </w:t>
      </w:r>
      <m:oMath>
        <m:sSup>
          <m:sSupPr>
            <m:ctrlPr>
              <w:rPr>
                <w:rFonts w:ascii="Cambria Math" w:hAnsi="Cambria Math"/>
                <w:i/>
              </w:rPr>
            </m:ctrlPr>
          </m:sSupPr>
          <m:e>
            <m:r>
              <w:rPr>
                <w:rFonts w:ascii="Cambria Math" w:hAnsi="Cambria Math"/>
              </w:rPr>
              <m:t>c</m:t>
            </m:r>
          </m:e>
          <m:sup>
            <m:r>
              <w:rPr>
                <w:rFonts w:ascii="Cambria Math" w:hAnsi="Cambria Math"/>
              </w:rPr>
              <m:t>C</m:t>
            </m:r>
          </m:sup>
        </m:sSup>
      </m:oMath>
      <w:r w:rsidR="00184C5B">
        <w:t xml:space="preserve"> to yield the final utility cost function. The heat transfer of higher temperature intervals to lower temperature intervals is modelled via the variable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m:t>
            </m:r>
          </m:sub>
        </m:sSub>
      </m:oMath>
      <w:r w:rsidR="00184C5B">
        <w:t xml:space="preserve"> which is set to zero for the highest and lowest interval, as there are no available streams to receive from or transfer heat to. </w:t>
      </w:r>
    </w:p>
    <w:p w14:paraId="1809AACD" w14:textId="4BED81E2" w:rsidR="00BD2BFE" w:rsidRPr="00AE199E" w:rsidRDefault="00BD2BFE" w:rsidP="001E12BB">
      <w:pPr>
        <w:pStyle w:val="Els-body-text"/>
        <w:rPr>
          <w:sz w:val="4"/>
          <w:szCs w:val="4"/>
        </w:rPr>
      </w:pPr>
    </w:p>
    <w:p w14:paraId="719C9D2E" w14:textId="1157B281" w:rsidR="00866C73" w:rsidRDefault="002D6F44" w:rsidP="001E12BB">
      <w:pPr>
        <w:pStyle w:val="Els-body-text"/>
      </w:pPr>
      <w:r>
        <w:t>A</w:t>
      </w:r>
      <w:r w:rsidR="002B24FA">
        <w:t xml:space="preserve"> global optimum of this optimization problem exists </w:t>
      </w:r>
      <w:r>
        <w:t>and</w:t>
      </w:r>
      <w:r w:rsidR="002B24FA">
        <w:t xml:space="preserve"> </w:t>
      </w:r>
      <w:r w:rsidR="00F06568">
        <w:t xml:space="preserve">will be denoted as </w:t>
      </w:r>
      <m:oMath>
        <m:sSup>
          <m:sSupPr>
            <m:ctrlPr>
              <w:rPr>
                <w:rFonts w:ascii="Cambria Math" w:hAnsi="Cambria Math"/>
                <w:i/>
              </w:rPr>
            </m:ctrlPr>
          </m:sSupPr>
          <m:e>
            <m:r>
              <w:rPr>
                <w:rFonts w:ascii="Cambria Math" w:hAnsi="Cambria Math"/>
              </w:rPr>
              <m:t>cost</m:t>
            </m:r>
          </m:e>
          <m:sup>
            <m:r>
              <w:rPr>
                <w:rFonts w:ascii="Cambria Math" w:hAnsi="Cambria Math"/>
              </w:rPr>
              <m:t>*</m:t>
            </m:r>
          </m:sup>
        </m:sSup>
      </m:oMath>
      <w:r w:rsidR="00F06568">
        <w:t>. With this, the profit maximization problem of a 2-player coalition can be written as:</w:t>
      </w:r>
    </w:p>
    <w:p w14:paraId="1F89BBFC" w14:textId="01FD8473" w:rsidR="00F06568" w:rsidRPr="00AE199E" w:rsidRDefault="00F06568" w:rsidP="001E12BB">
      <w:pPr>
        <w:pStyle w:val="Els-body-text"/>
        <w:rPr>
          <w:sz w:val="4"/>
          <w:szCs w:val="4"/>
        </w:rPr>
      </w:pPr>
    </w:p>
    <w:tbl>
      <w:tblPr>
        <w:tblStyle w:val="Grigliatabella"/>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392"/>
        <w:gridCol w:w="33"/>
        <w:gridCol w:w="561"/>
      </w:tblGrid>
      <w:tr w:rsidR="0032623F" w14:paraId="71BF8F69" w14:textId="5D9D485A" w:rsidTr="00BE4462">
        <w:trPr>
          <w:trHeight w:val="744"/>
        </w:trPr>
        <w:tc>
          <w:tcPr>
            <w:tcW w:w="6091" w:type="dxa"/>
          </w:tcPr>
          <w:p w14:paraId="4EF798A7" w14:textId="3519ABCB" w:rsidR="00807153" w:rsidRDefault="00C0055C" w:rsidP="00833604">
            <w:pPr>
              <w:pStyle w:val="Els-body-text"/>
            </w:pPr>
            <m:oMath>
              <m:func>
                <m:funcPr>
                  <m:ctrlPr>
                    <w:rPr>
                      <w:rFonts w:ascii="Cambria Math" w:hAnsi="Cambria Math"/>
                      <w:i/>
                    </w:rPr>
                  </m:ctrlPr>
                </m:funcPr>
                <m:fName>
                  <m:limLow>
                    <m:limLowPr>
                      <m:ctrlPr>
                        <w:rPr>
                          <w:rFonts w:ascii="Cambria Math" w:hAnsi="Cambria Math"/>
                          <w:i/>
                        </w:rPr>
                      </m:ctrlPr>
                    </m:limLowPr>
                    <m:e>
                      <m:r>
                        <w:rPr>
                          <w:rFonts w:ascii="Cambria Math" w:hAnsi="Cambria Math"/>
                        </w:rPr>
                        <m:t>max</m:t>
                      </m:r>
                    </m:e>
                    <m:lim>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m:t>
                          </m:r>
                        </m:sup>
                      </m:sSubSup>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z</m:t>
                          </m:r>
                        </m:sub>
                      </m:sSub>
                    </m:lim>
                  </m:limLow>
                </m:fName>
                <m:e>
                  <m:eqArr>
                    <m:eqArrPr>
                      <m:ctrlPr>
                        <w:rPr>
                          <w:rFonts w:ascii="Cambria Math" w:hAnsi="Cambria Math"/>
                          <w:i/>
                        </w:rPr>
                      </m:ctrlPr>
                    </m:eqArrPr>
                    <m:e>
                      <m:sSup>
                        <m:sSupPr>
                          <m:ctrlPr>
                            <w:rPr>
                              <w:rFonts w:ascii="Cambria Math" w:hAnsi="Cambria Math"/>
                              <w:i/>
                            </w:rPr>
                          </m:ctrlPr>
                        </m:sSupPr>
                        <m:e>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=cost</m:t>
                          </m:r>
                        </m:e>
                        <m:sup>
                          <m:r>
                            <w:rPr>
                              <w:rFonts w:ascii="Cambria Math" w:hAnsi="Cambria Math"/>
                            </w:rPr>
                            <m:t>*(A)</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Hot,A</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Hot,A</m:t>
                                  </m:r>
                                </m:sup>
                              </m:sSubSup>
                            </m:e>
                          </m:nary>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Cold,A</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Cold,A</m:t>
                                  </m:r>
                                </m:sup>
                              </m:sSubSup>
                            </m:e>
                          </m:nary>
                        </m:e>
                      </m:d>
                      <m:r>
                        <w:rPr>
                          <w:rFonts w:ascii="Cambria Math" w:hAnsi="Cambria Math"/>
                        </w:rPr>
                        <m:t>+</m:t>
                      </m:r>
                    </m:e>
                    <m:e>
                      <m:sSup>
                        <m:sSupPr>
                          <m:ctrlPr>
                            <w:rPr>
                              <w:rFonts w:ascii="Cambria Math" w:hAnsi="Cambria Math"/>
                              <w:i/>
                            </w:rPr>
                          </m:ctrlPr>
                        </m:sSupPr>
                        <m:e>
                          <m:r>
                            <w:rPr>
                              <w:rFonts w:ascii="Cambria Math" w:hAnsi="Cambria Math"/>
                            </w:rPr>
                            <m:t xml:space="preserve">          cost</m:t>
                          </m:r>
                        </m:e>
                        <m:sup>
                          <m:r>
                            <w:rPr>
                              <w:rFonts w:ascii="Cambria Math" w:hAnsi="Cambria Math"/>
                            </w:rPr>
                            <m:t>*(B)</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Hot,B</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Hot,B</m:t>
                                  </m:r>
                                </m:sup>
                              </m:sSubSup>
                            </m:e>
                          </m:nary>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Cold,B</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z</m:t>
                              </m:r>
                            </m:sub>
                            <m:sup/>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Cold,B</m:t>
                                  </m:r>
                                </m:sup>
                              </m:sSubSup>
                            </m:e>
                          </m:nary>
                        </m:e>
                      </m:d>
                    </m:e>
                  </m:eqArr>
                </m:e>
              </m:func>
            </m:oMath>
            <w:r w:rsidR="00807153">
              <w:t xml:space="preserve"> </w:t>
            </w:r>
          </w:p>
        </w:tc>
        <w:tc>
          <w:tcPr>
            <w:tcW w:w="392" w:type="dxa"/>
            <w:vAlign w:val="center"/>
          </w:tcPr>
          <w:p w14:paraId="0BA8198F" w14:textId="77777777" w:rsidR="00807153" w:rsidRPr="0026359E" w:rsidRDefault="00807153" w:rsidP="0093781B">
            <w:pPr>
              <w:pStyle w:val="Els-body-text"/>
              <w:jc w:val="right"/>
            </w:pPr>
          </w:p>
        </w:tc>
        <w:tc>
          <w:tcPr>
            <w:tcW w:w="594" w:type="dxa"/>
            <w:gridSpan w:val="2"/>
            <w:vAlign w:val="center"/>
          </w:tcPr>
          <w:p w14:paraId="75ED81AE" w14:textId="35324A64" w:rsidR="00807153" w:rsidRPr="0026359E" w:rsidRDefault="0093781B" w:rsidP="0093781B">
            <w:pPr>
              <w:pStyle w:val="Els-body-text"/>
              <w:jc w:val="right"/>
            </w:pPr>
            <w:r>
              <w:t>(11)</w:t>
            </w:r>
          </w:p>
        </w:tc>
      </w:tr>
      <w:tr w:rsidR="0093781B" w14:paraId="4E6062E2" w14:textId="3394DA03" w:rsidTr="0032623F">
        <w:trPr>
          <w:trHeight w:val="401"/>
        </w:trPr>
        <w:tc>
          <w:tcPr>
            <w:tcW w:w="6091" w:type="dxa"/>
          </w:tcPr>
          <w:p w14:paraId="5CEDA8FA" w14:textId="7606C9A5" w:rsidR="00807153" w:rsidRPr="005B2219" w:rsidRDefault="00807153" w:rsidP="00833604">
            <w:pPr>
              <w:pStyle w:val="Els-body-text"/>
              <w:rPr>
                <w:color w:val="000000" w:themeColor="text1"/>
              </w:rPr>
            </w:pPr>
            <m:oMath>
              <m:r>
                <w:rPr>
                  <w:rFonts w:ascii="Cambria Math" w:hAnsi="Cambria Math"/>
                  <w:color w:val="000000" w:themeColor="text1"/>
                </w:rPr>
                <m:t>0=</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hA</m:t>
                  </m:r>
                </m:sub>
                <m:sup/>
                <m:e>
                  <m:r>
                    <m:rPr>
                      <m:sty m:val="p"/>
                    </m:rPr>
                    <w:rPr>
                      <w:rFonts w:ascii="Cambria Math" w:hAnsi="Cambria Math"/>
                      <w:color w:val="000000" w:themeColor="text1"/>
                    </w:rPr>
                    <m:t>Δ</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hA,z</m:t>
                      </m:r>
                    </m:sub>
                    <m:sup>
                      <m:r>
                        <w:rPr>
                          <w:rFonts w:ascii="Cambria Math" w:hAnsi="Cambria Math"/>
                          <w:color w:val="000000" w:themeColor="text1"/>
                        </w:rPr>
                        <m:t>Hot,A</m:t>
                      </m:r>
                    </m:sup>
                  </m:sSubSup>
                </m:e>
              </m:nary>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r>
                    <w:rPr>
                      <w:rFonts w:ascii="Cambria Math" w:hAnsi="Cambria Math"/>
                      <w:color w:val="000000" w:themeColor="text1"/>
                    </w:rPr>
                    <m:t>Hot,A</m:t>
                  </m:r>
                </m:sup>
              </m:sSubSup>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cA</m:t>
                  </m:r>
                </m:sub>
                <m:sup/>
                <m:e>
                  <m:r>
                    <m:rPr>
                      <m:sty m:val="p"/>
                    </m:rPr>
                    <w:rPr>
                      <w:rFonts w:ascii="Cambria Math" w:hAnsi="Cambria Math"/>
                      <w:color w:val="000000" w:themeColor="text1"/>
                    </w:rPr>
                    <m:t>Δ</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cA,z</m:t>
                      </m:r>
                    </m:sub>
                    <m:sup>
                      <m:r>
                        <w:rPr>
                          <w:rFonts w:ascii="Cambria Math" w:hAnsi="Cambria Math"/>
                          <w:color w:val="000000" w:themeColor="text1"/>
                        </w:rPr>
                        <m:t>Cold,A</m:t>
                      </m:r>
                    </m:sup>
                  </m:sSubSup>
                </m:e>
              </m:nary>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r>
                    <w:rPr>
                      <w:rFonts w:ascii="Cambria Math" w:hAnsi="Cambria Math"/>
                      <w:color w:val="000000" w:themeColor="text1"/>
                    </w:rPr>
                    <m:t>Cold,A</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z-1</m:t>
                  </m:r>
                </m:sub>
                <m:sup>
                  <m:d>
                    <m:dPr>
                      <m:ctrlPr>
                        <w:rPr>
                          <w:rFonts w:ascii="Cambria Math" w:hAnsi="Cambria Math"/>
                          <w:i/>
                          <w:color w:val="000000" w:themeColor="text1"/>
                        </w:rPr>
                      </m:ctrlPr>
                    </m:dPr>
                    <m:e>
                      <m:r>
                        <w:rPr>
                          <w:rFonts w:ascii="Cambria Math" w:hAnsi="Cambria Math"/>
                          <w:color w:val="000000" w:themeColor="text1"/>
                        </w:rPr>
                        <m:t>A</m:t>
                      </m:r>
                    </m:e>
                  </m:d>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d>
                    <m:dPr>
                      <m:ctrlPr>
                        <w:rPr>
                          <w:rFonts w:ascii="Cambria Math" w:hAnsi="Cambria Math"/>
                          <w:i/>
                          <w:color w:val="000000" w:themeColor="text1"/>
                        </w:rPr>
                      </m:ctrlPr>
                    </m:dPr>
                    <m:e>
                      <m:r>
                        <w:rPr>
                          <w:rFonts w:ascii="Cambria Math" w:hAnsi="Cambria Math"/>
                          <w:color w:val="000000" w:themeColor="text1"/>
                        </w:rPr>
                        <m:t>A</m:t>
                      </m:r>
                    </m:e>
                  </m:d>
                </m:sup>
              </m:sSubSup>
              <m:r>
                <w:rPr>
                  <w:rFonts w:ascii="Cambria Math" w:hAnsi="Cambria Math"/>
                  <w:color w:val="000000" w:themeColor="text1"/>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r>
                    <m:rPr>
                      <m:sty m:val="bi"/>
                    </m:rPr>
                    <w:rPr>
                      <w:rFonts w:ascii="Cambria Math" w:hAnsi="Cambria Math"/>
                      <w:color w:val="000000" w:themeColor="text1"/>
                    </w:rPr>
                    <m:t>(A,B)</m:t>
                  </m:r>
                </m:sup>
              </m:sSubSup>
              <m:r>
                <m:rPr>
                  <m:sty m:val="bi"/>
                </m:rPr>
                <w:rPr>
                  <w:rFonts w:ascii="Cambria Math" w:hAnsi="Cambria Math"/>
                  <w:color w:val="000000" w:themeColor="text1"/>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r>
                    <m:rPr>
                      <m:sty m:val="bi"/>
                    </m:rPr>
                    <w:rPr>
                      <w:rFonts w:ascii="Cambria Math" w:hAnsi="Cambria Math"/>
                      <w:color w:val="000000" w:themeColor="text1"/>
                    </w:rPr>
                    <m:t>(B,A)</m:t>
                  </m:r>
                </m:sup>
              </m:sSubSup>
            </m:oMath>
            <w:r w:rsidRPr="005B2219">
              <w:rPr>
                <w:color w:val="000000" w:themeColor="text1"/>
              </w:rPr>
              <w:t xml:space="preserve"> </w:t>
            </w:r>
          </w:p>
        </w:tc>
        <w:tc>
          <w:tcPr>
            <w:tcW w:w="425" w:type="dxa"/>
            <w:gridSpan w:val="2"/>
            <w:vAlign w:val="center"/>
          </w:tcPr>
          <w:p w14:paraId="24786626" w14:textId="04C78C33" w:rsidR="00807153" w:rsidRPr="0026359E" w:rsidRDefault="00807153" w:rsidP="0093781B">
            <w:pPr>
              <w:pStyle w:val="Els-body-text"/>
              <w:jc w:val="right"/>
            </w:pPr>
            <m:oMathPara>
              <m:oMath>
                <m:r>
                  <w:rPr>
                    <w:rFonts w:ascii="Cambria Math" w:hAnsi="Cambria Math"/>
                  </w:rPr>
                  <m:t>∀z</m:t>
                </m:r>
              </m:oMath>
            </m:oMathPara>
          </w:p>
        </w:tc>
        <w:tc>
          <w:tcPr>
            <w:tcW w:w="561" w:type="dxa"/>
            <w:vAlign w:val="center"/>
          </w:tcPr>
          <w:p w14:paraId="707C6AD8" w14:textId="610DD272" w:rsidR="00807153" w:rsidRDefault="0093781B" w:rsidP="0093781B">
            <w:pPr>
              <w:pStyle w:val="Els-body-text"/>
              <w:jc w:val="right"/>
            </w:pPr>
            <w:r>
              <w:t>(12)</w:t>
            </w:r>
          </w:p>
        </w:tc>
      </w:tr>
      <w:tr w:rsidR="0093781B" w14:paraId="0AF803E2" w14:textId="701BE4CA" w:rsidTr="0032623F">
        <w:trPr>
          <w:trHeight w:val="422"/>
        </w:trPr>
        <w:tc>
          <w:tcPr>
            <w:tcW w:w="6091" w:type="dxa"/>
          </w:tcPr>
          <w:p w14:paraId="736B59FA" w14:textId="508AF631" w:rsidR="00807153" w:rsidRPr="005B2219" w:rsidRDefault="00807153" w:rsidP="00FA2474">
            <w:pPr>
              <w:pStyle w:val="Els-body-text"/>
              <w:rPr>
                <w:color w:val="000000" w:themeColor="text1"/>
              </w:rPr>
            </w:pPr>
            <m:oMath>
              <m:r>
                <w:rPr>
                  <w:rFonts w:ascii="Cambria Math" w:hAnsi="Cambria Math"/>
                  <w:color w:val="000000" w:themeColor="text1"/>
                </w:rPr>
                <m:t>0=</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hB</m:t>
                  </m:r>
                </m:sub>
                <m:sup/>
                <m:e>
                  <m:r>
                    <m:rPr>
                      <m:sty m:val="p"/>
                    </m:rPr>
                    <w:rPr>
                      <w:rFonts w:ascii="Cambria Math" w:hAnsi="Cambria Math"/>
                      <w:color w:val="000000" w:themeColor="text1"/>
                    </w:rPr>
                    <m:t>Δ</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hB,z</m:t>
                      </m:r>
                    </m:sub>
                    <m:sup>
                      <m:r>
                        <w:rPr>
                          <w:rFonts w:ascii="Cambria Math" w:hAnsi="Cambria Math"/>
                          <w:color w:val="000000" w:themeColor="text1"/>
                        </w:rPr>
                        <m:t>Hot,B</m:t>
                      </m:r>
                    </m:sup>
                  </m:sSubSup>
                </m:e>
              </m:nary>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r>
                    <w:rPr>
                      <w:rFonts w:ascii="Cambria Math" w:hAnsi="Cambria Math"/>
                      <w:color w:val="000000" w:themeColor="text1"/>
                    </w:rPr>
                    <m:t>Hot,B</m:t>
                  </m:r>
                </m:sup>
              </m:sSubSup>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cB</m:t>
                  </m:r>
                </m:sub>
                <m:sup/>
                <m:e>
                  <m:r>
                    <m:rPr>
                      <m:sty m:val="p"/>
                    </m:rPr>
                    <w:rPr>
                      <w:rFonts w:ascii="Cambria Math" w:hAnsi="Cambria Math"/>
                      <w:color w:val="000000" w:themeColor="text1"/>
                    </w:rPr>
                    <m:t>Δ</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H</m:t>
                          </m:r>
                        </m:e>
                      </m:acc>
                    </m:e>
                    <m:sub>
                      <m:r>
                        <w:rPr>
                          <w:rFonts w:ascii="Cambria Math" w:hAnsi="Cambria Math"/>
                          <w:color w:val="000000" w:themeColor="text1"/>
                        </w:rPr>
                        <m:t>cB,z</m:t>
                      </m:r>
                    </m:sub>
                    <m:sup>
                      <m:r>
                        <w:rPr>
                          <w:rFonts w:ascii="Cambria Math" w:hAnsi="Cambria Math"/>
                          <w:color w:val="000000" w:themeColor="text1"/>
                        </w:rPr>
                        <m:t>Cold,B</m:t>
                      </m:r>
                    </m:sup>
                  </m:sSubSup>
                </m:e>
              </m:nary>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r>
                    <w:rPr>
                      <w:rFonts w:ascii="Cambria Math" w:hAnsi="Cambria Math"/>
                      <w:color w:val="000000" w:themeColor="text1"/>
                    </w:rPr>
                    <m:t>Cold,B</m:t>
                  </m:r>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z-1</m:t>
                  </m:r>
                </m:sub>
                <m:sup>
                  <m:d>
                    <m:dPr>
                      <m:ctrlPr>
                        <w:rPr>
                          <w:rFonts w:ascii="Cambria Math" w:hAnsi="Cambria Math"/>
                          <w:i/>
                          <w:color w:val="000000" w:themeColor="text1"/>
                        </w:rPr>
                      </m:ctrlPr>
                    </m:dPr>
                    <m:e>
                      <m:r>
                        <w:rPr>
                          <w:rFonts w:ascii="Cambria Math" w:hAnsi="Cambria Math"/>
                          <w:color w:val="000000" w:themeColor="text1"/>
                        </w:rPr>
                        <m:t>B</m:t>
                      </m:r>
                    </m:e>
                  </m:d>
                </m:sup>
              </m:sSubSup>
              <m:r>
                <w:rPr>
                  <w:rFonts w:ascii="Cambria Math" w:hAnsi="Cambria Math"/>
                  <w:color w:val="000000" w:themeColor="text1"/>
                </w:rPr>
                <m:t>-</m:t>
              </m:r>
              <m:sSubSup>
                <m:sSubSupPr>
                  <m:ctrlPr>
                    <w:rPr>
                      <w:rFonts w:ascii="Cambria Math" w:hAnsi="Cambria Math"/>
                      <w:i/>
                      <w:color w:val="000000" w:themeColor="text1"/>
                    </w:rPr>
                  </m:ctrlPr>
                </m:sSubSupPr>
                <m:e>
                  <m:acc>
                    <m:accPr>
                      <m:chr m:val="̇"/>
                      <m:ctrlPr>
                        <w:rPr>
                          <w:rFonts w:ascii="Cambria Math" w:hAnsi="Cambria Math"/>
                          <w:i/>
                          <w:color w:val="000000" w:themeColor="text1"/>
                        </w:rPr>
                      </m:ctrlPr>
                    </m:accPr>
                    <m:e>
                      <m:r>
                        <w:rPr>
                          <w:rFonts w:ascii="Cambria Math" w:hAnsi="Cambria Math"/>
                          <w:color w:val="000000" w:themeColor="text1"/>
                        </w:rPr>
                        <m:t>Q</m:t>
                      </m:r>
                    </m:e>
                  </m:acc>
                </m:e>
                <m:sub>
                  <m:r>
                    <w:rPr>
                      <w:rFonts w:ascii="Cambria Math" w:hAnsi="Cambria Math"/>
                      <w:color w:val="000000" w:themeColor="text1"/>
                    </w:rPr>
                    <m:t>z</m:t>
                  </m:r>
                </m:sub>
                <m:sup>
                  <m:d>
                    <m:dPr>
                      <m:ctrlPr>
                        <w:rPr>
                          <w:rFonts w:ascii="Cambria Math" w:hAnsi="Cambria Math"/>
                          <w:i/>
                          <w:color w:val="000000" w:themeColor="text1"/>
                        </w:rPr>
                      </m:ctrlPr>
                    </m:dPr>
                    <m:e>
                      <m:r>
                        <w:rPr>
                          <w:rFonts w:ascii="Cambria Math" w:hAnsi="Cambria Math"/>
                          <w:color w:val="000000" w:themeColor="text1"/>
                        </w:rPr>
                        <m:t>B</m:t>
                      </m:r>
                    </m:e>
                  </m:d>
                </m:sup>
              </m:sSubSup>
              <m:r>
                <w:rPr>
                  <w:rFonts w:ascii="Cambria Math" w:hAnsi="Cambria Math"/>
                  <w:color w:val="000000" w:themeColor="text1"/>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d>
                    <m:dPr>
                      <m:ctrlPr>
                        <w:rPr>
                          <w:rFonts w:ascii="Cambria Math" w:hAnsi="Cambria Math"/>
                          <w:b/>
                          <w:bCs/>
                          <w:i/>
                          <w:color w:val="000000" w:themeColor="text1"/>
                        </w:rPr>
                      </m:ctrlPr>
                    </m:dPr>
                    <m:e>
                      <m:r>
                        <m:rPr>
                          <m:sty m:val="bi"/>
                        </m:rPr>
                        <w:rPr>
                          <w:rFonts w:ascii="Cambria Math" w:hAnsi="Cambria Math"/>
                          <w:color w:val="000000" w:themeColor="text1"/>
                        </w:rPr>
                        <m:t>A,B</m:t>
                      </m:r>
                    </m:e>
                  </m:d>
                </m:sup>
              </m:sSubSup>
              <m:r>
                <m:rPr>
                  <m:sty m:val="bi"/>
                </m:rPr>
                <w:rPr>
                  <w:rFonts w:ascii="Cambria Math" w:hAnsi="Cambria Math"/>
                  <w:color w:val="000000" w:themeColor="text1"/>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r>
                    <m:rPr>
                      <m:sty m:val="bi"/>
                    </m:rPr>
                    <w:rPr>
                      <w:rFonts w:ascii="Cambria Math" w:hAnsi="Cambria Math"/>
                      <w:color w:val="000000" w:themeColor="text1"/>
                    </w:rPr>
                    <m:t>(A,B)</m:t>
                  </m:r>
                </m:sup>
              </m:sSubSup>
            </m:oMath>
            <w:r w:rsidRPr="005B2219">
              <w:rPr>
                <w:color w:val="000000" w:themeColor="text1"/>
              </w:rPr>
              <w:t xml:space="preserve"> </w:t>
            </w:r>
          </w:p>
        </w:tc>
        <w:tc>
          <w:tcPr>
            <w:tcW w:w="425" w:type="dxa"/>
            <w:gridSpan w:val="2"/>
            <w:vAlign w:val="center"/>
          </w:tcPr>
          <w:p w14:paraId="7867BF5B" w14:textId="19C4B3BE" w:rsidR="00807153" w:rsidRPr="0026359E" w:rsidRDefault="00807153" w:rsidP="0093781B">
            <w:pPr>
              <w:pStyle w:val="Els-body-text"/>
              <w:jc w:val="right"/>
            </w:pPr>
            <m:oMathPara>
              <m:oMath>
                <m:r>
                  <w:rPr>
                    <w:rFonts w:ascii="Cambria Math" w:hAnsi="Cambria Math"/>
                  </w:rPr>
                  <m:t>∀z</m:t>
                </m:r>
              </m:oMath>
            </m:oMathPara>
          </w:p>
        </w:tc>
        <w:tc>
          <w:tcPr>
            <w:tcW w:w="561" w:type="dxa"/>
            <w:vAlign w:val="center"/>
          </w:tcPr>
          <w:p w14:paraId="79251131" w14:textId="6AF5FE54" w:rsidR="00807153" w:rsidRDefault="0093781B" w:rsidP="0093781B">
            <w:pPr>
              <w:pStyle w:val="Els-body-text"/>
              <w:jc w:val="right"/>
            </w:pPr>
            <w:r>
              <w:t>(13)</w:t>
            </w:r>
          </w:p>
        </w:tc>
      </w:tr>
      <w:tr w:rsidR="0093781B" w14:paraId="4A011C8D" w14:textId="1E116FBA" w:rsidTr="0032623F">
        <w:trPr>
          <w:trHeight w:val="422"/>
        </w:trPr>
        <w:tc>
          <w:tcPr>
            <w:tcW w:w="6091" w:type="dxa"/>
          </w:tcPr>
          <w:p w14:paraId="62BE6366" w14:textId="36CF6B37" w:rsidR="00807153" w:rsidRDefault="00C0055C" w:rsidP="00FA2474">
            <w:pPr>
              <w:pStyle w:val="Els-body-text"/>
            </w:p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0</m:t>
                  </m:r>
                </m:sub>
                <m:sup>
                  <m:r>
                    <w:rPr>
                      <w:rFonts w:ascii="Cambria Math" w:hAnsi="Cambria Math"/>
                    </w:rPr>
                    <m:t>(A)</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0</m:t>
                  </m:r>
                </m:sub>
                <m:sup>
                  <m:r>
                    <w:rPr>
                      <w:rFonts w:ascii="Cambria Math" w:hAnsi="Cambria Math"/>
                    </w:rPr>
                    <m:t>(B)</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zmax</m:t>
                  </m:r>
                </m:sub>
                <m:sup>
                  <m:r>
                    <w:rPr>
                      <w:rFonts w:ascii="Cambria Math" w:hAnsi="Cambria Math"/>
                    </w:rPr>
                    <m:t>(A)</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zmax</m:t>
                  </m:r>
                </m:sub>
                <m:sup>
                  <m:r>
                    <w:rPr>
                      <w:rFonts w:ascii="Cambria Math" w:hAnsi="Cambria Math"/>
                    </w:rPr>
                    <m:t>(B)</m:t>
                  </m:r>
                </m:sup>
              </m:sSubSup>
              <m:r>
                <w:rPr>
                  <w:rFonts w:ascii="Cambria Math" w:hAnsi="Cambria Math"/>
                </w:rPr>
                <m:t>=0</m:t>
              </m:r>
            </m:oMath>
            <w:r w:rsidR="00807153">
              <w:t xml:space="preserve"> </w:t>
            </w:r>
          </w:p>
        </w:tc>
        <w:tc>
          <w:tcPr>
            <w:tcW w:w="425" w:type="dxa"/>
            <w:gridSpan w:val="2"/>
            <w:vAlign w:val="center"/>
          </w:tcPr>
          <w:p w14:paraId="3CF81E17" w14:textId="77777777" w:rsidR="00807153" w:rsidRPr="0026359E" w:rsidRDefault="00807153" w:rsidP="0093781B">
            <w:pPr>
              <w:pStyle w:val="Els-body-text"/>
              <w:jc w:val="right"/>
            </w:pPr>
          </w:p>
        </w:tc>
        <w:tc>
          <w:tcPr>
            <w:tcW w:w="561" w:type="dxa"/>
            <w:vAlign w:val="center"/>
          </w:tcPr>
          <w:p w14:paraId="1DF7EDD7" w14:textId="22358982" w:rsidR="00807153" w:rsidRPr="0026359E" w:rsidRDefault="0093781B" w:rsidP="0093781B">
            <w:pPr>
              <w:pStyle w:val="Els-body-text"/>
              <w:jc w:val="right"/>
            </w:pPr>
            <w:r>
              <w:t>(14)</w:t>
            </w:r>
          </w:p>
        </w:tc>
      </w:tr>
      <w:tr w:rsidR="0093781B" w14:paraId="119AA843" w14:textId="4B6C1E95" w:rsidTr="0032623F">
        <w:trPr>
          <w:trHeight w:val="415"/>
        </w:trPr>
        <w:tc>
          <w:tcPr>
            <w:tcW w:w="6091" w:type="dxa"/>
          </w:tcPr>
          <w:p w14:paraId="27B1306E" w14:textId="50B74666" w:rsidR="00807153" w:rsidRDefault="00C0055C" w:rsidP="00FA2474">
            <w:pPr>
              <w:pStyle w:val="Els-body-text"/>
            </w:p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(1)</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Hot,A</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Hot,B</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Cold,A</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Q</m:t>
                      </m:r>
                    </m:e>
                  </m:acc>
                </m:e>
                <m:sub>
                  <m:r>
                    <w:rPr>
                      <w:rFonts w:ascii="Cambria Math" w:hAnsi="Cambria Math"/>
                    </w:rPr>
                    <m:t>z</m:t>
                  </m:r>
                </m:sub>
                <m:sup>
                  <m:r>
                    <w:rPr>
                      <w:rFonts w:ascii="Cambria Math" w:hAnsi="Cambria Math"/>
                    </w:rPr>
                    <m:t>Cold,B</m:t>
                  </m:r>
                </m:sup>
              </m:sSubSup>
              <m:r>
                <w:rPr>
                  <w:rFonts w:ascii="Cambria Math" w:hAnsi="Cambria Math"/>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r>
                    <m:rPr>
                      <m:sty m:val="bi"/>
                    </m:rPr>
                    <w:rPr>
                      <w:rFonts w:ascii="Cambria Math" w:hAnsi="Cambria Math"/>
                      <w:color w:val="000000" w:themeColor="text1"/>
                    </w:rPr>
                    <m:t>(B,A)</m:t>
                  </m:r>
                </m:sup>
              </m:sSubSup>
              <m:r>
                <m:rPr>
                  <m:sty m:val="bi"/>
                </m:rPr>
                <w:rPr>
                  <w:rFonts w:ascii="Cambria Math" w:hAnsi="Cambria Math"/>
                  <w:color w:val="000000" w:themeColor="text1"/>
                </w:rPr>
                <m:t>,</m:t>
              </m:r>
              <m:sSubSup>
                <m:sSubSupPr>
                  <m:ctrlPr>
                    <w:rPr>
                      <w:rFonts w:ascii="Cambria Math" w:hAnsi="Cambria Math"/>
                      <w:b/>
                      <w:bCs/>
                      <w:i/>
                      <w:color w:val="000000" w:themeColor="text1"/>
                    </w:rPr>
                  </m:ctrlPr>
                </m:sSubSupPr>
                <m:e>
                  <m:r>
                    <m:rPr>
                      <m:sty m:val="bi"/>
                    </m:rPr>
                    <w:rPr>
                      <w:rFonts w:ascii="Cambria Math" w:hAnsi="Cambria Math"/>
                      <w:color w:val="000000" w:themeColor="text1"/>
                    </w:rPr>
                    <m:t>Q</m:t>
                  </m:r>
                </m:e>
                <m:sub>
                  <m:r>
                    <m:rPr>
                      <m:sty m:val="bi"/>
                    </m:rPr>
                    <w:rPr>
                      <w:rFonts w:ascii="Cambria Math" w:hAnsi="Cambria Math"/>
                      <w:color w:val="000000" w:themeColor="text1"/>
                    </w:rPr>
                    <m:t>z</m:t>
                  </m:r>
                </m:sub>
                <m:sup>
                  <m:r>
                    <m:rPr>
                      <m:sty m:val="bi"/>
                    </m:rPr>
                    <w:rPr>
                      <w:rFonts w:ascii="Cambria Math" w:hAnsi="Cambria Math"/>
                      <w:color w:val="000000" w:themeColor="text1"/>
                    </w:rPr>
                    <m:t>(A,B)</m:t>
                  </m:r>
                </m:sup>
              </m:sSubSup>
              <m:r>
                <w:rPr>
                  <w:rFonts w:ascii="Cambria Math" w:hAnsi="Cambria Math"/>
                </w:rPr>
                <m:t>≥0</m:t>
              </m:r>
            </m:oMath>
            <w:r w:rsidR="00807153">
              <w:t xml:space="preserve"> </w:t>
            </w:r>
          </w:p>
        </w:tc>
        <w:tc>
          <w:tcPr>
            <w:tcW w:w="425" w:type="dxa"/>
            <w:gridSpan w:val="2"/>
            <w:vAlign w:val="center"/>
          </w:tcPr>
          <w:p w14:paraId="539BB251" w14:textId="77777777" w:rsidR="00807153" w:rsidRPr="0026359E" w:rsidRDefault="00807153" w:rsidP="0093781B">
            <w:pPr>
              <w:pStyle w:val="Els-body-text"/>
              <w:jc w:val="right"/>
            </w:pPr>
            <m:oMathPara>
              <m:oMath>
                <m:r>
                  <w:rPr>
                    <w:rFonts w:ascii="Cambria Math" w:hAnsi="Cambria Math"/>
                  </w:rPr>
                  <m:t>∀z</m:t>
                </m:r>
              </m:oMath>
            </m:oMathPara>
          </w:p>
        </w:tc>
        <w:tc>
          <w:tcPr>
            <w:tcW w:w="561" w:type="dxa"/>
            <w:vAlign w:val="center"/>
          </w:tcPr>
          <w:p w14:paraId="0DDE0CEE" w14:textId="2D624841" w:rsidR="00807153" w:rsidRDefault="0093781B" w:rsidP="0093781B">
            <w:pPr>
              <w:pStyle w:val="Els-body-text"/>
              <w:jc w:val="right"/>
            </w:pPr>
            <w:r>
              <w:t>(15)</w:t>
            </w:r>
          </w:p>
        </w:tc>
      </w:tr>
    </w:tbl>
    <w:p w14:paraId="105BD557" w14:textId="77777777" w:rsidR="00591C8E" w:rsidRPr="00AE199E" w:rsidRDefault="00591C8E" w:rsidP="001E12BB">
      <w:pPr>
        <w:pStyle w:val="Els-body-text"/>
        <w:rPr>
          <w:sz w:val="4"/>
          <w:szCs w:val="4"/>
        </w:rPr>
      </w:pPr>
    </w:p>
    <w:p w14:paraId="5ACBEB11" w14:textId="32687276" w:rsidR="00866C73" w:rsidRDefault="003530F9" w:rsidP="001E12BB">
      <w:pPr>
        <w:pStyle w:val="Els-body-text"/>
      </w:pPr>
      <w:r>
        <w:t xml:space="preserve">This optimization problem introduces coupling </w:t>
      </w:r>
      <w:r w:rsidRPr="00E803EE">
        <w:rPr>
          <w:color w:val="000000" w:themeColor="text1"/>
        </w:rPr>
        <w:t xml:space="preserve">variables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(A,B)</m:t>
            </m:r>
          </m:sup>
        </m:sSubSup>
      </m:oMath>
      <w:r w:rsidRPr="00E803EE">
        <w:rPr>
          <w:color w:val="000000" w:themeColor="text1"/>
        </w:rPr>
        <w:t xml:space="preserve"> and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(B,A)</m:t>
            </m:r>
          </m:sup>
        </m:sSubSup>
      </m:oMath>
      <w:r w:rsidRPr="00E803EE">
        <w:rPr>
          <w:color w:val="000000" w:themeColor="text1"/>
        </w:rPr>
        <w:t xml:space="preserve"> </w:t>
      </w:r>
      <w:r w:rsidRPr="003530F9">
        <w:rPr>
          <w:color w:val="000000" w:themeColor="text1"/>
        </w:rPr>
        <w:t>which</w:t>
      </w:r>
      <w:r>
        <w:rPr>
          <w:color w:val="000000" w:themeColor="text1"/>
        </w:rPr>
        <w:t xml:space="preserve"> enable the heat transfer between companies </w:t>
      </w:r>
      <m:oMath>
        <m:r>
          <w:rPr>
            <w:rFonts w:ascii="Cambria Math" w:hAnsi="Cambria Math"/>
          </w:rPr>
          <m:t>A</m:t>
        </m:r>
      </m:oMath>
      <w:r>
        <w:rPr>
          <w:color w:val="000000" w:themeColor="text1"/>
        </w:rPr>
        <w:t xml:space="preserve"> and </w:t>
      </w:r>
      <m:oMath>
        <m:r>
          <w:rPr>
            <w:rFonts w:ascii="Cambria Math" w:hAnsi="Cambria Math"/>
          </w:rPr>
          <m:t>B</m:t>
        </m:r>
      </m:oMath>
      <w:r w:rsidR="00594D1E">
        <w:rPr>
          <w:color w:val="000000" w:themeColor="text1"/>
        </w:rPr>
        <w:t xml:space="preserve"> as indicated in Equation (12)</w:t>
      </w:r>
      <w:r>
        <w:rPr>
          <w:color w:val="000000" w:themeColor="text1"/>
        </w:rPr>
        <w:t xml:space="preserve">. </w:t>
      </w:r>
      <w:r w:rsidR="00D76479">
        <w:rPr>
          <w:color w:val="000000" w:themeColor="text1"/>
        </w:rPr>
        <w:t xml:space="preserve">When forced to zero, the optimization problem can be </w:t>
      </w:r>
      <w:r w:rsidR="00C941C0">
        <w:rPr>
          <w:color w:val="000000" w:themeColor="text1"/>
        </w:rPr>
        <w:t>decoupled</w:t>
      </w:r>
      <w:r w:rsidR="00D76479">
        <w:rPr>
          <w:color w:val="000000" w:themeColor="text1"/>
        </w:rPr>
        <w:t xml:space="preserve"> into the two subproblems</w:t>
      </w:r>
      <w:r w:rsidR="008C4EBC">
        <w:rPr>
          <w:color w:val="000000" w:themeColor="text1"/>
        </w:rPr>
        <w:t xml:space="preserve"> (</w:t>
      </w:r>
      <w:r w:rsidR="00366165">
        <w:rPr>
          <w:color w:val="000000" w:themeColor="text1"/>
        </w:rPr>
        <w:t xml:space="preserve">see also </w:t>
      </w:r>
      <w:r w:rsidR="008C4EBC">
        <w:rPr>
          <w:color w:val="000000" w:themeColor="text1"/>
        </w:rPr>
        <w:t>Figure 3)</w:t>
      </w:r>
      <w:r w:rsidR="00D76479">
        <w:rPr>
          <w:color w:val="000000" w:themeColor="text1"/>
        </w:rPr>
        <w:t>.</w:t>
      </w:r>
      <w:r w:rsidR="00594D1E">
        <w:rPr>
          <w:color w:val="000000" w:themeColor="text1"/>
        </w:rPr>
        <w:t xml:space="preserve"> S</w:t>
      </w:r>
      <w:r w:rsidR="00D76479">
        <w:rPr>
          <w:color w:val="000000" w:themeColor="text1"/>
        </w:rPr>
        <w:t xml:space="preserve">ince these variables are </w:t>
      </w:r>
      <w:r w:rsidR="00372736">
        <w:rPr>
          <w:color w:val="000000" w:themeColor="text1"/>
        </w:rPr>
        <w:t>introduced</w:t>
      </w:r>
      <w:r w:rsidR="00D76479">
        <w:rPr>
          <w:color w:val="000000" w:themeColor="text1"/>
        </w:rPr>
        <w:t xml:space="preserve"> as </w:t>
      </w:r>
      <w:r w:rsidR="00055B69">
        <w:rPr>
          <w:color w:val="000000" w:themeColor="text1"/>
        </w:rPr>
        <w:t xml:space="preserve">positive </w:t>
      </w:r>
      <w:r w:rsidR="0030352A">
        <w:rPr>
          <w:color w:val="000000" w:themeColor="text1"/>
        </w:rPr>
        <w:t>r</w:t>
      </w:r>
      <w:r w:rsidR="003F1553">
        <w:rPr>
          <w:color w:val="000000" w:themeColor="text1"/>
        </w:rPr>
        <w:t>eals</w:t>
      </w:r>
      <w:r w:rsidR="00D76479">
        <w:rPr>
          <w:color w:val="000000" w:themeColor="text1"/>
        </w:rPr>
        <w:t xml:space="preserve">, their inclusion may only improve the solution. </w:t>
      </w:r>
      <w:r w:rsidR="00C65CE8">
        <w:rPr>
          <w:color w:val="000000" w:themeColor="text1"/>
        </w:rPr>
        <w:t xml:space="preserve">Denoting the 2-player </w:t>
      </w:r>
      <w:r w:rsidR="00C65CE8" w:rsidRPr="00A73BEF">
        <w:rPr>
          <w:color w:val="000000" w:themeColor="text1"/>
        </w:rPr>
        <w:t>profit</w:t>
      </w:r>
      <w:r w:rsidR="00C65CE8">
        <w:rPr>
          <w:color w:val="000000" w:themeColor="text1"/>
        </w:rPr>
        <w:t xml:space="preserve"> solution as </w:t>
      </w:r>
      <m:oMath>
        <m:sSub>
          <m:sSubPr>
            <m:ctrlPr>
              <w:rPr>
                <w:rFonts w:ascii="Cambria Math" w:hAnsi="Cambria Math"/>
                <w:i/>
              </w:rPr>
            </m:ctrlPr>
          </m:sSubPr>
          <m:e>
            <m:r>
              <w:rPr>
                <w:rFonts w:ascii="Cambria Math" w:hAnsi="Cambria Math"/>
              </w:rPr>
              <m:t>p</m:t>
            </m:r>
          </m:e>
          <m:sub>
            <m:r>
              <w:rPr>
                <w:rFonts w:ascii="Cambria Math" w:hAnsi="Cambria Math"/>
              </w:rPr>
              <m:t>AB</m:t>
            </m:r>
          </m:sub>
        </m:sSub>
      </m:oMath>
      <w:r w:rsidR="00C65CE8">
        <w:t>, it can be reasoned that:</w:t>
      </w:r>
    </w:p>
    <w:p w14:paraId="358E6730" w14:textId="77777777" w:rsidR="00866C2B" w:rsidRPr="00AE199E" w:rsidRDefault="00866C2B" w:rsidP="001E12BB">
      <w:pPr>
        <w:pStyle w:val="Els-body-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852BB1" w14:paraId="1E849139" w14:textId="77777777" w:rsidTr="00942453">
        <w:tc>
          <w:tcPr>
            <w:tcW w:w="6516" w:type="dxa"/>
          </w:tcPr>
          <w:p w14:paraId="6F316FCF" w14:textId="1CF3E6E3" w:rsidR="00852BB1" w:rsidRDefault="00C0055C" w:rsidP="001E12BB">
            <w:pPr>
              <w:pStyle w:val="Els-body-text"/>
            </w:pPr>
            <m:oMath>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m:t>
                  </m:r>
                </m:sub>
              </m:sSub>
            </m:oMath>
            <w:r w:rsidR="00075F90">
              <w:t xml:space="preserve"> </w:t>
            </w:r>
          </w:p>
        </w:tc>
        <w:tc>
          <w:tcPr>
            <w:tcW w:w="560" w:type="dxa"/>
          </w:tcPr>
          <w:p w14:paraId="569B4A77" w14:textId="281F37E1" w:rsidR="00852BB1" w:rsidRDefault="00BC5908" w:rsidP="001E12BB">
            <w:pPr>
              <w:pStyle w:val="Els-body-text"/>
            </w:pPr>
            <w:r>
              <w:t>(</w:t>
            </w:r>
            <w:r w:rsidR="00075F90">
              <w:t>16</w:t>
            </w:r>
            <w:r>
              <w:t>)</w:t>
            </w:r>
          </w:p>
        </w:tc>
      </w:tr>
    </w:tbl>
    <w:p w14:paraId="759A20DF" w14:textId="70CF9E5D" w:rsidR="00C65CE8" w:rsidRPr="00AE199E" w:rsidRDefault="00C65CE8" w:rsidP="001E12BB">
      <w:pPr>
        <w:pStyle w:val="Els-body-text"/>
        <w:rPr>
          <w:sz w:val="4"/>
          <w:szCs w:val="4"/>
        </w:rPr>
      </w:pPr>
    </w:p>
    <w:p w14:paraId="13BF8DE0" w14:textId="66D653A0" w:rsidR="008F1B62" w:rsidRPr="00C810A9" w:rsidRDefault="00347E5E" w:rsidP="001E12BB">
      <w:pPr>
        <w:pStyle w:val="Els-body-text"/>
        <w:rPr>
          <w:color w:val="000000" w:themeColor="text1"/>
        </w:rPr>
      </w:pPr>
      <w:r>
        <w:t xml:space="preserve">For the sake of brevity, </w:t>
      </w:r>
      <w:r w:rsidR="00A11BFB">
        <w:t xml:space="preserve">here </w:t>
      </w:r>
      <w:r>
        <w:t>the derivation for the 3-player condition is not formally conducted</w:t>
      </w:r>
      <w:r w:rsidR="00A11BFB">
        <w:t xml:space="preserve"> in full length</w:t>
      </w:r>
      <w:r>
        <w:t>, but the reasoning can be followed. Introducing</w:t>
      </w:r>
      <w:r w:rsidR="0007756D">
        <w:t xml:space="preserve"> player </w:t>
      </w:r>
      <m:oMath>
        <m:r>
          <w:rPr>
            <w:rFonts w:ascii="Cambria Math" w:hAnsi="Cambria Math"/>
          </w:rPr>
          <m:t>C</m:t>
        </m:r>
      </m:oMath>
      <w:r w:rsidR="006B5462">
        <w:t>,  counterparts</w:t>
      </w:r>
      <w:r w:rsidR="0010699A">
        <w:t xml:space="preserve">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sidR="0010699A">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10699A">
        <w:t xml:space="preserve">, and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006F4E44">
        <w:t>,</w:t>
      </w:r>
      <w:r w:rsidR="006B5462">
        <w:t xml:space="preserve"> </w:t>
      </w:r>
      <w:r w:rsidR="0007756D">
        <w:t xml:space="preserve">and </w:t>
      </w:r>
      <w:r>
        <w:t xml:space="preserve">the coupling variables  </w:t>
      </w:r>
      <w:r w:rsidR="0053558E">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r>
              <w:rPr>
                <w:rFonts w:ascii="Cambria Math" w:hAnsi="Cambria Math"/>
                <w:color w:val="000000" w:themeColor="text1"/>
              </w:rPr>
              <m:t>)</m:t>
            </m:r>
          </m:sup>
        </m:sSubSup>
      </m:oMath>
      <w:r w:rsidR="003A060F" w:rsidRPr="004D11D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B</m:t>
                </m:r>
              </m:e>
              <m:sup>
                <m:r>
                  <w:rPr>
                    <w:rFonts w:ascii="Cambria Math" w:hAnsi="Cambria Math"/>
                    <w:color w:val="000000" w:themeColor="text1"/>
                  </w:rPr>
                  <m:t>*</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m:t>
                </m:r>
              </m:sup>
            </m:sSup>
            <m:r>
              <w:rPr>
                <w:rFonts w:ascii="Cambria Math" w:hAnsi="Cambria Math"/>
                <w:color w:val="000000" w:themeColor="text1"/>
              </w:rPr>
              <m:t>)</m:t>
            </m:r>
          </m:sup>
        </m:sSubSup>
      </m:oMath>
      <w:r w:rsidR="003A060F" w:rsidRPr="004D11D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(B,C)</m:t>
            </m:r>
          </m:sup>
        </m:sSubSup>
      </m:oMath>
      <w:r w:rsidR="003A060F" w:rsidRPr="004D11D8">
        <w:rPr>
          <w:color w:val="000000" w:themeColor="text1"/>
        </w:rPr>
        <w:t>,</w:t>
      </w:r>
      <w:r w:rsidR="009C19A0" w:rsidRPr="004D11D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(C,B)</m:t>
            </m:r>
          </m:sup>
        </m:sSubSup>
      </m:oMath>
      <w:r w:rsidR="00C810A9" w:rsidRPr="004D11D8">
        <w:rPr>
          <w:color w:val="000000" w:themeColor="text1"/>
        </w:rPr>
        <w:t xml:space="preserve">, </w:t>
      </w:r>
      <w:r w:rsidR="005B16C3" w:rsidRPr="004D11D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r>
              <w:rPr>
                <w:rFonts w:ascii="Cambria Math" w:hAnsi="Cambria Math"/>
                <w:color w:val="000000" w:themeColor="text1"/>
              </w:rPr>
              <m:t>,A)</m:t>
            </m:r>
          </m:sup>
        </m:sSubSup>
      </m:oMath>
      <w:r w:rsidR="00C810A9" w:rsidRPr="004D11D8">
        <w:rPr>
          <w:color w:val="000000" w:themeColor="text1"/>
        </w:rPr>
        <w:t xml:space="preserve">, </w:t>
      </w:r>
      <w:r w:rsidR="005B16C3" w:rsidRPr="004D11D8">
        <w:rPr>
          <w:color w:val="000000" w:themeColor="text1"/>
        </w:rPr>
        <w:t>and</w:t>
      </w:r>
      <w:r w:rsidR="00ED709C" w:rsidRPr="004D11D8">
        <w:rPr>
          <w:color w:val="000000" w:themeColor="text1"/>
        </w:rPr>
        <w:t xml:space="preserve"> </w:t>
      </w:r>
      <m:oMath>
        <m:sSubSup>
          <m:sSubSupPr>
            <m:ctrlPr>
              <w:rPr>
                <w:rFonts w:ascii="Cambria Math" w:hAnsi="Cambria Math"/>
                <w:i/>
                <w:color w:val="000000" w:themeColor="text1"/>
              </w:rPr>
            </m:ctrlPr>
          </m:sSubSupPr>
          <m:e>
            <m:r>
              <w:rPr>
                <w:rFonts w:ascii="Cambria Math" w:hAnsi="Cambria Math"/>
                <w:color w:val="000000" w:themeColor="text1"/>
              </w:rPr>
              <m:t>Q</m:t>
            </m:r>
          </m:e>
          <m:sub>
            <m:r>
              <w:rPr>
                <w:rFonts w:ascii="Cambria Math" w:hAnsi="Cambria Math"/>
                <w:color w:val="000000" w:themeColor="text1"/>
              </w:rPr>
              <m:t>z</m:t>
            </m:r>
          </m:sub>
          <m:sup>
            <m:r>
              <w:rPr>
                <w:rFonts w:ascii="Cambria Math" w:hAnsi="Cambria Math"/>
                <w:color w:val="000000" w:themeColor="text1"/>
              </w:rPr>
              <m:t>(A,</m:t>
            </m:r>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t>
                </m:r>
              </m:sup>
            </m:sSup>
            <m:r>
              <w:rPr>
                <w:rFonts w:ascii="Cambria Math" w:hAnsi="Cambria Math"/>
                <w:color w:val="000000" w:themeColor="text1"/>
              </w:rPr>
              <m:t>)</m:t>
            </m:r>
          </m:sup>
        </m:sSubSup>
      </m:oMath>
      <w:r w:rsidR="00C810A9" w:rsidRPr="004D11D8">
        <w:rPr>
          <w:color w:val="000000" w:themeColor="text1"/>
        </w:rPr>
        <w:t xml:space="preserve"> </w:t>
      </w:r>
      <w:r w:rsidR="004B2F9F">
        <w:rPr>
          <w:color w:val="000000" w:themeColor="text1"/>
        </w:rPr>
        <w:t xml:space="preserve">yields a particular structure. This problem may be expressed as summation of the three two player situations </w:t>
      </w:r>
      <m:oMath>
        <m:r>
          <w:rPr>
            <w:rFonts w:ascii="Cambria Math" w:hAnsi="Cambria Math"/>
          </w:rPr>
          <m:t>(A,B)</m:t>
        </m:r>
      </m:oMath>
      <w:r w:rsidR="004B2F9F">
        <w:t xml:space="preserve">, </w:t>
      </w:r>
      <m:oMath>
        <m:r>
          <w:rPr>
            <w:rFonts w:ascii="Cambria Math" w:hAnsi="Cambria Math"/>
          </w:rPr>
          <m:t>(C,</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oMath>
      <w:r w:rsidR="004B2F9F">
        <w:t xml:space="preserve">, and </w:t>
      </w: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m:t>
        </m:r>
      </m:oMath>
      <w:r w:rsidR="004B2F9F">
        <w:t xml:space="preserve">. But similar to the reasoning of the </w:t>
      </w:r>
      <w:proofErr w:type="gramStart"/>
      <w:r w:rsidR="004B2F9F">
        <w:t>two player</w:t>
      </w:r>
      <w:proofErr w:type="gramEnd"/>
      <w:r w:rsidR="004B2F9F">
        <w:t xml:space="preserve"> case, the coupling variables connect these problems to yield, in this case, twice the problem of </w:t>
      </w:r>
      <m:oMath>
        <m:r>
          <w:rPr>
            <w:rFonts w:ascii="Cambria Math" w:hAnsi="Cambria Math"/>
          </w:rPr>
          <m:t>(A,B,C)</m:t>
        </m:r>
      </m:oMath>
      <w:r w:rsidR="004B2F9F">
        <w:t xml:space="preserve">. </w:t>
      </w:r>
      <w:r w:rsidR="001645B2">
        <w:t xml:space="preserve">This </w:t>
      </w:r>
      <w:r w:rsidR="00064013">
        <w:t>is</w:t>
      </w:r>
      <w:r w:rsidR="001645B2">
        <w:t xml:space="preserve"> supported by the idea that the most economical solution to transfer heat from one player to another should be via the leas</w:t>
      </w:r>
      <w:r w:rsidR="00192246">
        <w:t>t</w:t>
      </w:r>
      <w:r w:rsidR="001645B2">
        <w:t xml:space="preserve"> amount of heat exchangers possible.</w:t>
      </w:r>
      <w:r w:rsidR="00192246">
        <w:t xml:space="preserve"> For example, </w:t>
      </w:r>
      <m:oMath>
        <m:r>
          <w:rPr>
            <w:rFonts w:ascii="Cambria Math" w:hAnsi="Cambria Math"/>
          </w:rPr>
          <m:t>A</m:t>
        </m:r>
      </m:oMath>
      <w:r w:rsidR="00192246">
        <w:t xml:space="preserve"> can directly exchange heat with </w:t>
      </w:r>
      <m:oMath>
        <m:r>
          <w:rPr>
            <w:rFonts w:ascii="Cambria Math" w:hAnsi="Cambria Math"/>
          </w:rPr>
          <m:t>B</m:t>
        </m:r>
      </m:oMath>
      <w:r w:rsidR="00192246">
        <w:t xml:space="preserve">, so there is no incentive to go the long way to exchange heat with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192246">
        <w:t xml:space="preserve">, which offers the same synergies with </w:t>
      </w:r>
      <m:oMath>
        <m:r>
          <w:rPr>
            <w:rFonts w:ascii="Cambria Math" w:hAnsi="Cambria Math"/>
          </w:rPr>
          <m:t>A</m:t>
        </m:r>
      </m:oMath>
      <w:r w:rsidR="00192246">
        <w:t xml:space="preserve"> as</w:t>
      </w:r>
      <w:r w:rsidR="00FE297E">
        <w:t xml:space="preserve"> </w:t>
      </w:r>
      <m:oMath>
        <m:r>
          <w:rPr>
            <w:rFonts w:ascii="Cambria Math" w:hAnsi="Cambria Math"/>
          </w:rPr>
          <m:t>B</m:t>
        </m:r>
      </m:oMath>
      <w:r w:rsidR="00842D76">
        <w:t>.</w:t>
      </w:r>
      <w:r w:rsidR="00E906D6">
        <w:t xml:space="preserve"> From this</w:t>
      </w:r>
      <w:r w:rsidR="00D95F02">
        <w:t>,</w:t>
      </w:r>
      <w:r w:rsidR="00E906D6">
        <w:t xml:space="preserve"> it is possible to </w:t>
      </w:r>
      <w:r w:rsidR="005A4064">
        <w:t>derive</w:t>
      </w:r>
      <w:r w:rsidR="00E906D6">
        <w:t xml:space="preserve"> the relationship </w:t>
      </w:r>
      <w:r w:rsidR="00D60BBA">
        <w:t xml:space="preserve">of </w:t>
      </w:r>
      <w:r w:rsidR="00E906D6">
        <w:t xml:space="preserve">the </w:t>
      </w:r>
      <w:r w:rsidR="002E4FF1">
        <w:t>corresponding 3</w:t>
      </w:r>
      <w:r w:rsidR="00E906D6">
        <w:t>-player game:</w:t>
      </w:r>
    </w:p>
    <w:p w14:paraId="73E814AE" w14:textId="296E3CF7" w:rsidR="00E906D6" w:rsidRPr="00A6793C" w:rsidRDefault="00E906D6" w:rsidP="001E12BB">
      <w:pPr>
        <w:pStyle w:val="Els-body-text"/>
        <w:rPr>
          <w:sz w:val="4"/>
          <w:szCs w:val="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560"/>
      </w:tblGrid>
      <w:tr w:rsidR="00162A53" w14:paraId="418EB1FC" w14:textId="77777777" w:rsidTr="00942453">
        <w:trPr>
          <w:trHeight w:val="366"/>
        </w:trPr>
        <w:tc>
          <w:tcPr>
            <w:tcW w:w="6516" w:type="dxa"/>
          </w:tcPr>
          <w:p w14:paraId="7D08DF0D" w14:textId="664102B6" w:rsidR="00162A53" w:rsidRDefault="00D77122" w:rsidP="00833604">
            <w:pPr>
              <w:pStyle w:val="Els-body-text"/>
            </w:pPr>
            <m:oMath>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AC</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BC</m:t>
                  </m:r>
                </m:sub>
              </m:sSub>
            </m:oMath>
            <w:r>
              <w:t xml:space="preserve"> </w:t>
            </w:r>
          </w:p>
        </w:tc>
        <w:tc>
          <w:tcPr>
            <w:tcW w:w="560" w:type="dxa"/>
          </w:tcPr>
          <w:p w14:paraId="5861F8B2" w14:textId="4A80CC92" w:rsidR="00162A53" w:rsidRDefault="00162A53" w:rsidP="00833604">
            <w:pPr>
              <w:pStyle w:val="Els-body-text"/>
            </w:pPr>
            <w:r>
              <w:t>(</w:t>
            </w:r>
            <w:r w:rsidR="00D77122">
              <w:t>17</w:t>
            </w:r>
            <w:r>
              <w:t>)</w:t>
            </w:r>
          </w:p>
        </w:tc>
      </w:tr>
    </w:tbl>
    <w:p w14:paraId="4C016B8A" w14:textId="7E76D62D" w:rsidR="00575184" w:rsidRDefault="00D77122" w:rsidP="001E12BB">
      <w:pPr>
        <w:pStyle w:val="Els-body-text"/>
      </w:pPr>
      <w:r>
        <w:t>Equation (17) is in direct contradiction with the necessary condition for instability derived in Equation (6),</w:t>
      </w:r>
      <w:r w:rsidR="00575184">
        <w:t xml:space="preserve"> proving the proposition.</w:t>
      </w:r>
    </w:p>
    <w:p w14:paraId="13492F2B" w14:textId="3D2DBBAF" w:rsidR="0092276A" w:rsidRDefault="00FD779C" w:rsidP="0094080F">
      <w:pPr>
        <w:pStyle w:val="Els-body-text"/>
        <w:jc w:val="right"/>
      </w:pPr>
      <w:r w:rsidRPr="003C2FBC">
        <w:rPr>
          <w:rFonts w:ascii="Arial" w:hAnsi="Arial" w:cs="Arial"/>
          <w:b/>
          <w:bCs/>
          <w:i/>
          <w:iCs/>
          <w:color w:val="000000" w:themeColor="text1"/>
        </w:rPr>
        <w:t>□</w:t>
      </w:r>
    </w:p>
    <w:tbl>
      <w:tblPr>
        <w:tblStyle w:val="Grigliatabella"/>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gridCol w:w="3366"/>
      </w:tblGrid>
      <w:tr w:rsidR="00771537" w14:paraId="58F855ED" w14:textId="77777777" w:rsidTr="008E6049">
        <w:trPr>
          <w:trHeight w:val="1140"/>
        </w:trPr>
        <w:tc>
          <w:tcPr>
            <w:tcW w:w="3711" w:type="dxa"/>
            <w:vAlign w:val="center"/>
          </w:tcPr>
          <w:p w14:paraId="1AA13BCB" w14:textId="26201814" w:rsidR="00EC4F9F" w:rsidRDefault="00771537" w:rsidP="001E1FEB">
            <w:pPr>
              <w:pStyle w:val="Els-body-text"/>
              <w:jc w:val="center"/>
            </w:pPr>
            <w:r>
              <w:rPr>
                <w:noProof/>
              </w:rPr>
              <w:lastRenderedPageBreak/>
              <w:drawing>
                <wp:inline distT="0" distB="0" distL="0" distR="0" wp14:anchorId="13BEF92A" wp14:editId="4E43BE76">
                  <wp:extent cx="2091350" cy="846126"/>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475" t="28269" r="38871" b="22803"/>
                          <a:stretch/>
                        </pic:blipFill>
                        <pic:spPr bwMode="auto">
                          <a:xfrm>
                            <a:off x="0" y="0"/>
                            <a:ext cx="2113870" cy="8552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6" w:type="dxa"/>
          </w:tcPr>
          <w:p w14:paraId="367F9EB5" w14:textId="140BCEC0" w:rsidR="00EC4F9F" w:rsidRDefault="00771537" w:rsidP="001E1FEB">
            <w:pPr>
              <w:pStyle w:val="Els-body-text"/>
              <w:jc w:val="center"/>
              <w:rPr>
                <w:noProof/>
              </w:rPr>
            </w:pPr>
            <w:r>
              <w:rPr>
                <w:noProof/>
              </w:rPr>
              <w:drawing>
                <wp:inline distT="0" distB="0" distL="0" distR="0" wp14:anchorId="24075107" wp14:editId="01B5B5FE">
                  <wp:extent cx="1179686" cy="168583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65575" t="1449" r="162" b="-707"/>
                          <a:stretch/>
                        </pic:blipFill>
                        <pic:spPr bwMode="auto">
                          <a:xfrm>
                            <a:off x="0" y="0"/>
                            <a:ext cx="1217509" cy="1739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71537" w14:paraId="5E896F69" w14:textId="77777777" w:rsidTr="008E6049">
        <w:trPr>
          <w:trHeight w:val="584"/>
        </w:trPr>
        <w:tc>
          <w:tcPr>
            <w:tcW w:w="3711" w:type="dxa"/>
          </w:tcPr>
          <w:p w14:paraId="4A054C93" w14:textId="3DF552D1" w:rsidR="00EC4F9F" w:rsidRDefault="00EC4F9F" w:rsidP="00EC4F9F">
            <w:pPr>
              <w:pStyle w:val="Els-body-text"/>
              <w:jc w:val="left"/>
            </w:pPr>
            <w:r>
              <w:t>Figure 2. Energy balance for each temperature interval</w:t>
            </w:r>
            <w:r w:rsidR="00FF35C3">
              <w:t>.</w:t>
            </w:r>
          </w:p>
        </w:tc>
        <w:tc>
          <w:tcPr>
            <w:tcW w:w="3366" w:type="dxa"/>
          </w:tcPr>
          <w:p w14:paraId="48577752" w14:textId="0776EA74" w:rsidR="00EC4F9F" w:rsidRDefault="00EC4F9F" w:rsidP="001E1FEB">
            <w:pPr>
              <w:pStyle w:val="Els-body-text"/>
              <w:jc w:val="left"/>
            </w:pPr>
            <w:r>
              <w:t>Figure 3. Division of multi-actor heat integration problems into subproblems</w:t>
            </w:r>
            <w:r w:rsidR="00FF35C3">
              <w:t>.</w:t>
            </w:r>
          </w:p>
        </w:tc>
      </w:tr>
    </w:tbl>
    <w:p w14:paraId="0DD55990" w14:textId="3C2563F4" w:rsidR="00E41DE6" w:rsidRDefault="007351EE" w:rsidP="002937D2">
      <w:pPr>
        <w:pStyle w:val="Els-body-text"/>
        <w:rPr>
          <w:color w:val="FF0000"/>
        </w:rPr>
      </w:pPr>
      <w:r>
        <w:t>However, i</w:t>
      </w:r>
      <w:r w:rsidR="00D67EF8">
        <w:t xml:space="preserve">f there are constraints on the process integration potential, e.g. via capacity constraints on the equipment that </w:t>
      </w:r>
      <w:r w:rsidR="00526860">
        <w:t>enables</w:t>
      </w:r>
      <w:r w:rsidR="00D67EF8">
        <w:t xml:space="preserve"> the integration, th</w:t>
      </w:r>
      <w:r w:rsidR="009B4F2C">
        <w:t xml:space="preserve">ere is no guarantee of </w:t>
      </w:r>
      <w:r w:rsidR="00D67EF8">
        <w:t>stab</w:t>
      </w:r>
      <w:r w:rsidR="009B4F2C">
        <w:t>ility</w:t>
      </w:r>
      <w:r w:rsidR="00D67EF8">
        <w:t xml:space="preserve">, as shown for instance in the case of constrained boiler capacity in the work of </w:t>
      </w:r>
      <w:proofErr w:type="spellStart"/>
      <w:r w:rsidR="00D67EF8">
        <w:t>Lechtenberg</w:t>
      </w:r>
      <w:proofErr w:type="spellEnd"/>
      <w:r w:rsidR="00D67EF8">
        <w:t xml:space="preserve"> et al. (202</w:t>
      </w:r>
      <w:r w:rsidR="008E5CEC">
        <w:t>3</w:t>
      </w:r>
      <w:r w:rsidR="00D67EF8">
        <w:t>).</w:t>
      </w:r>
    </w:p>
    <w:p w14:paraId="403983CA" w14:textId="7FD2C1A6" w:rsidR="00752A14" w:rsidRDefault="004A4A76" w:rsidP="00771537">
      <w:pPr>
        <w:pStyle w:val="Els-1storder-head"/>
        <w:spacing w:before="120"/>
      </w:pPr>
      <w:r>
        <w:t xml:space="preserve">Fairness of </w:t>
      </w:r>
      <w:r w:rsidRPr="00863487">
        <w:t>Allocation Methods</w:t>
      </w:r>
      <w:r w:rsidR="00752A14" w:rsidRPr="00863487">
        <w:t xml:space="preserve"> and Design Parameters</w:t>
      </w:r>
    </w:p>
    <w:p w14:paraId="33C6EC4E" w14:textId="1E85F7DA" w:rsidR="007F094D" w:rsidRPr="005672BB" w:rsidRDefault="007F094D" w:rsidP="007F094D">
      <w:pPr>
        <w:pStyle w:val="Els-body-text"/>
        <w:rPr>
          <w:sz w:val="4"/>
          <w:szCs w:val="4"/>
        </w:rPr>
      </w:pPr>
      <w:r>
        <w:t xml:space="preserve">With stability as an established baseline, </w:t>
      </w:r>
      <w:r w:rsidR="00023429">
        <w:t xml:space="preserve">the focus of this section lies on </w:t>
      </w:r>
      <w:r>
        <w:t>the fairness of allocation methods and the impact of design parameters in process integration</w:t>
      </w:r>
      <w:r w:rsidR="00C35378">
        <w:t xml:space="preserve"> on </w:t>
      </w:r>
      <w:r w:rsidR="00DE782A">
        <w:t>the outcome</w:t>
      </w:r>
      <w:r w:rsidR="00C35378">
        <w:t xml:space="preserve"> of profit allocation</w:t>
      </w:r>
      <w:r>
        <w:t xml:space="preserve">. The selection of allocation methods poses a significant challenge due to their varying notions of fairness. This is </w:t>
      </w:r>
      <w:r w:rsidR="00A55BC0">
        <w:t>exemplified</w:t>
      </w:r>
      <w:r>
        <w:t xml:space="preserve"> by </w:t>
      </w:r>
      <w:r w:rsidR="00A55BC0">
        <w:t xml:space="preserve">the work of </w:t>
      </w:r>
      <w:r>
        <w:t>Ch</w:t>
      </w:r>
      <w:r w:rsidR="008E5CEC">
        <w:t>i</w:t>
      </w:r>
      <w:r>
        <w:t>n et al. (202</w:t>
      </w:r>
      <w:r w:rsidR="008E5CEC">
        <w:t>1</w:t>
      </w:r>
      <w:r>
        <w:t xml:space="preserve">), who have proposed and applied different methods in </w:t>
      </w:r>
      <w:r w:rsidR="005A2199">
        <w:t>water</w:t>
      </w:r>
      <w:r>
        <w:t xml:space="preserve"> integration problems. The difficulty lies in choosing the most suitable method from a set of stable allocations, a process akin to multi-criteria decision making</w:t>
      </w:r>
      <w:r w:rsidR="005203D6">
        <w:t xml:space="preserve"> (</w:t>
      </w:r>
      <w:r>
        <w:t>Grierson</w:t>
      </w:r>
      <w:r w:rsidR="005203D6">
        <w:t>,</w:t>
      </w:r>
      <w:r>
        <w:t xml:space="preserve"> 2008</w:t>
      </w:r>
      <w:r w:rsidR="005203D6">
        <w:t>)</w:t>
      </w:r>
      <w:r>
        <w:t>.</w:t>
      </w:r>
      <w:r w:rsidR="00A73208">
        <w:t xml:space="preserve"> </w:t>
      </w:r>
      <w:r>
        <w:t>To illustrate this, the problem presented by</w:t>
      </w:r>
      <w:r w:rsidR="00C86DD2">
        <w:t xml:space="preserve"> </w:t>
      </w:r>
      <w:proofErr w:type="spellStart"/>
      <w:r>
        <w:t>Jin</w:t>
      </w:r>
      <w:proofErr w:type="spellEnd"/>
      <w:r>
        <w:t xml:space="preserve"> et al. (2018)</w:t>
      </w:r>
      <w:r w:rsidR="00F44A05">
        <w:t xml:space="preserve"> has been solved</w:t>
      </w:r>
      <w:r>
        <w:t xml:space="preserve"> using </w:t>
      </w:r>
      <w:r w:rsidR="00034B76">
        <w:t>four</w:t>
      </w:r>
      <w:r>
        <w:t xml:space="preserve"> different allocation methods, employing the </w:t>
      </w:r>
      <w:proofErr w:type="spellStart"/>
      <w:r>
        <w:t>pyCoopGame</w:t>
      </w:r>
      <w:proofErr w:type="spellEnd"/>
      <w:r>
        <w:t xml:space="preserve"> python package, similar to the approach in </w:t>
      </w:r>
      <w:proofErr w:type="spellStart"/>
      <w:r>
        <w:t>Lechtenberg</w:t>
      </w:r>
      <w:proofErr w:type="spellEnd"/>
      <w:r>
        <w:t xml:space="preserve"> et al. (202</w:t>
      </w:r>
      <w:r w:rsidR="000D424A">
        <w:t>3</w:t>
      </w:r>
      <w:r>
        <w:t xml:space="preserve">). The results, as shown in Figure </w:t>
      </w:r>
      <w:r w:rsidR="00897AFF">
        <w:t>4</w:t>
      </w:r>
      <w:r>
        <w:t>, reveal significant variations in profit distribution based on the selected method, with each plant showing a preference for a different allocation method.</w:t>
      </w:r>
      <w:r w:rsidR="00225CFD">
        <w:t xml:space="preserve"> </w:t>
      </w:r>
    </w:p>
    <w:p w14:paraId="34D0D69A" w14:textId="09A7D945" w:rsidR="00225CFD" w:rsidRDefault="007F094D" w:rsidP="007F094D">
      <w:pPr>
        <w:pStyle w:val="Els-body-text"/>
      </w:pPr>
      <w:r>
        <w:t xml:space="preserve">Additionally, the design parameter </w:t>
      </w:r>
      <w:r w:rsidRPr="00C35378">
        <w:rPr>
          <w:rFonts w:ascii="Symbol" w:hAnsi="Symbol"/>
        </w:rPr>
        <w:t></w:t>
      </w:r>
      <w:proofErr w:type="spellStart"/>
      <w:r>
        <w:t>T</w:t>
      </w:r>
      <w:r w:rsidRPr="00552A00">
        <w:rPr>
          <w:vertAlign w:val="subscript"/>
        </w:rPr>
        <w:t>min</w:t>
      </w:r>
      <w:proofErr w:type="spellEnd"/>
      <w:r>
        <w:t xml:space="preserve"> plays a critical role in determining the optimum balance between utility and investment cost for each company. In the study by </w:t>
      </w:r>
      <w:proofErr w:type="spellStart"/>
      <w:r>
        <w:t>Jin</w:t>
      </w:r>
      <w:proofErr w:type="spellEnd"/>
      <w:r>
        <w:t xml:space="preserve"> et al. (2018), which builds upon </w:t>
      </w:r>
      <w:r w:rsidR="00BB2F77">
        <w:t xml:space="preserve">Yee and </w:t>
      </w:r>
      <w:r>
        <w:t>Grossman</w:t>
      </w:r>
      <w:r w:rsidR="001C5342">
        <w:t>n</w:t>
      </w:r>
      <w:r>
        <w:t xml:space="preserve"> et al. (1990), the optimum </w:t>
      </w:r>
      <w:r w:rsidR="00F93AD2" w:rsidRPr="0090281D">
        <w:rPr>
          <w:rFonts w:ascii="Symbol" w:hAnsi="Symbol"/>
        </w:rPr>
        <w:t></w:t>
      </w:r>
      <w:proofErr w:type="spellStart"/>
      <w:r w:rsidR="00F93AD2">
        <w:t>T</w:t>
      </w:r>
      <w:r w:rsidR="00F93AD2" w:rsidRPr="0033338B">
        <w:rPr>
          <w:vertAlign w:val="subscript"/>
        </w:rPr>
        <w:t>min</w:t>
      </w:r>
      <w:proofErr w:type="spellEnd"/>
      <w:r w:rsidR="00F93AD2">
        <w:t xml:space="preserve"> </w:t>
      </w:r>
      <w:r>
        <w:t>for each company was identified as unusually low</w:t>
      </w:r>
      <w:r w:rsidR="006E2830">
        <w:t xml:space="preserve"> (1.5K, 1.2K, and 1.7K)</w:t>
      </w:r>
      <w:r>
        <w:t xml:space="preserve">. However, when a global </w:t>
      </w:r>
      <w:r w:rsidR="00F93AD2" w:rsidRPr="0090281D">
        <w:rPr>
          <w:rFonts w:ascii="Symbol" w:hAnsi="Symbol"/>
        </w:rPr>
        <w:t></w:t>
      </w:r>
      <w:proofErr w:type="spellStart"/>
      <w:r w:rsidR="00F93AD2">
        <w:t>T</w:t>
      </w:r>
      <w:r w:rsidR="00F93AD2" w:rsidRPr="00552A00">
        <w:rPr>
          <w:vertAlign w:val="subscript"/>
        </w:rPr>
        <w:t>min</w:t>
      </w:r>
      <w:proofErr w:type="spellEnd"/>
      <w:r w:rsidR="00F93AD2">
        <w:t xml:space="preserve"> </w:t>
      </w:r>
      <w:r>
        <w:t xml:space="preserve">of 10K was fixed, it led to two main consequences: </w:t>
      </w:r>
      <w:r w:rsidR="00560980" w:rsidRPr="00560980">
        <w:t xml:space="preserve">a very different </w:t>
      </w:r>
      <w:r w:rsidR="00D867CF">
        <w:t>profit</w:t>
      </w:r>
      <w:r w:rsidR="00560980" w:rsidRPr="00560980">
        <w:t xml:space="preserve"> potential, directly resulting from the different compromi</w:t>
      </w:r>
      <w:r w:rsidR="00560980">
        <w:t>se</w:t>
      </w:r>
      <w:r w:rsidR="000330F6">
        <w:t>,</w:t>
      </w:r>
      <w:r>
        <w:t xml:space="preserve"> and a </w:t>
      </w:r>
      <w:r w:rsidR="00AE073B">
        <w:t>biased</w:t>
      </w:r>
      <w:r>
        <w:t xml:space="preserve"> relative profit allocation among the companies. This effect is demonstrated in</w:t>
      </w:r>
      <w:r w:rsidR="00A55A9B">
        <w:t xml:space="preserve"> </w:t>
      </w:r>
      <w:r w:rsidR="00BF664F">
        <w:t>Figure 4</w:t>
      </w:r>
      <w:r>
        <w:t xml:space="preserve">, which shows how different </w:t>
      </w:r>
      <w:r w:rsidR="00F93AD2" w:rsidRPr="0090281D">
        <w:rPr>
          <w:rFonts w:ascii="Symbol" w:hAnsi="Symbol"/>
        </w:rPr>
        <w:t></w:t>
      </w:r>
      <w:proofErr w:type="spellStart"/>
      <w:r w:rsidR="00F93AD2">
        <w:t>T</w:t>
      </w:r>
      <w:r w:rsidR="00F93AD2" w:rsidRPr="00552A00">
        <w:rPr>
          <w:vertAlign w:val="subscript"/>
        </w:rPr>
        <w:t>min</w:t>
      </w:r>
      <w:proofErr w:type="spellEnd"/>
      <w:r w:rsidR="00F93AD2">
        <w:t xml:space="preserve"> </w:t>
      </w:r>
      <w:r>
        <w:t xml:space="preserve">settings impact </w:t>
      </w:r>
      <w:r w:rsidR="002704FC">
        <w:t>individual and grand coalition cost</w:t>
      </w:r>
      <w:r w:rsidR="000330F6">
        <w:t>:</w:t>
      </w:r>
      <w:r>
        <w:t xml:space="preserve"> A higher </w:t>
      </w:r>
      <w:r w:rsidR="00F93AD2" w:rsidRPr="0090281D">
        <w:rPr>
          <w:rFonts w:ascii="Symbol" w:hAnsi="Symbol"/>
        </w:rPr>
        <w:t></w:t>
      </w:r>
      <w:proofErr w:type="spellStart"/>
      <w:r w:rsidR="00F93AD2">
        <w:t>T</w:t>
      </w:r>
      <w:r w:rsidR="00F93AD2" w:rsidRPr="00552A00">
        <w:rPr>
          <w:vertAlign w:val="subscript"/>
        </w:rPr>
        <w:t>min</w:t>
      </w:r>
      <w:proofErr w:type="spellEnd"/>
      <w:r w:rsidR="00BF664F">
        <w:t xml:space="preserve">, i.e. further away from the optimal individual </w:t>
      </w:r>
      <w:r w:rsidR="00BF664F" w:rsidRPr="0090281D">
        <w:rPr>
          <w:rFonts w:ascii="Symbol" w:hAnsi="Symbol"/>
        </w:rPr>
        <w:t></w:t>
      </w:r>
      <w:proofErr w:type="spellStart"/>
      <w:r w:rsidR="00BF664F">
        <w:t>T</w:t>
      </w:r>
      <w:r w:rsidR="00BF664F" w:rsidRPr="00552A00">
        <w:rPr>
          <w:vertAlign w:val="subscript"/>
        </w:rPr>
        <w:t>min</w:t>
      </w:r>
      <w:proofErr w:type="spellEnd"/>
      <w:r w:rsidR="00BF664F">
        <w:t>, is associated to a higher collaborative cost saving potential</w:t>
      </w:r>
      <w:r w:rsidR="00AE66BE">
        <w:t xml:space="preserve"> (</w:t>
      </w:r>
      <w:r w:rsidR="00D053EF" w:rsidRPr="00D053EF">
        <w:rPr>
          <w:color w:val="000000" w:themeColor="text1"/>
        </w:rPr>
        <w:t>543×10</w:t>
      </w:r>
      <w:r w:rsidR="00D053EF" w:rsidRPr="00D053EF">
        <w:rPr>
          <w:color w:val="000000" w:themeColor="text1"/>
          <w:vertAlign w:val="superscript"/>
        </w:rPr>
        <w:t>3</w:t>
      </w:r>
      <w:r w:rsidR="00D053EF" w:rsidRPr="00D053EF">
        <w:rPr>
          <w:color w:val="000000" w:themeColor="text1"/>
        </w:rPr>
        <w:t>$</w:t>
      </w:r>
      <w:r w:rsidR="00AE66BE" w:rsidRPr="00D053EF">
        <w:rPr>
          <w:color w:val="000000" w:themeColor="text1"/>
        </w:rPr>
        <w:t xml:space="preserve"> for 15K</w:t>
      </w:r>
      <w:r w:rsidR="00AE66BE">
        <w:t>)</w:t>
      </w:r>
      <w:r w:rsidR="00BF664F">
        <w:t xml:space="preserve">. </w:t>
      </w:r>
      <w:r w:rsidR="000A7393">
        <w:t>Specifying</w:t>
      </w:r>
      <w:r w:rsidR="00BF664F">
        <w:t xml:space="preserve"> </w:t>
      </w:r>
      <w:r w:rsidR="00BF664F" w:rsidRPr="0090281D">
        <w:rPr>
          <w:rFonts w:ascii="Symbol" w:hAnsi="Symbol"/>
        </w:rPr>
        <w:t></w:t>
      </w:r>
      <w:proofErr w:type="spellStart"/>
      <w:r w:rsidR="00BF664F">
        <w:t>T</w:t>
      </w:r>
      <w:r w:rsidR="00BF664F" w:rsidRPr="00552A00">
        <w:rPr>
          <w:vertAlign w:val="subscript"/>
        </w:rPr>
        <w:t>min</w:t>
      </w:r>
      <w:proofErr w:type="spellEnd"/>
      <w:r w:rsidR="00BF664F">
        <w:t xml:space="preserve"> closer to the optimum balance, the integration potential of the standalone cases outpaces the collaborative integration potential, resulting in less profit to be shared among the participants</w:t>
      </w:r>
      <w:r w:rsidR="00AE66BE">
        <w:t xml:space="preserve"> (</w:t>
      </w:r>
      <w:r w:rsidR="00D053EF">
        <w:rPr>
          <w:color w:val="000000" w:themeColor="text1"/>
        </w:rPr>
        <w:t>380</w:t>
      </w:r>
      <w:r w:rsidR="00D053EF" w:rsidRPr="00D053EF">
        <w:rPr>
          <w:color w:val="000000" w:themeColor="text1"/>
        </w:rPr>
        <w:t>×10</w:t>
      </w:r>
      <w:r w:rsidR="00D053EF" w:rsidRPr="00D053EF">
        <w:rPr>
          <w:color w:val="000000" w:themeColor="text1"/>
          <w:vertAlign w:val="superscript"/>
        </w:rPr>
        <w:t>3</w:t>
      </w:r>
      <w:r w:rsidR="00D053EF" w:rsidRPr="00D053EF">
        <w:rPr>
          <w:color w:val="000000" w:themeColor="text1"/>
        </w:rPr>
        <w:t>$ for 1K</w:t>
      </w:r>
      <w:r w:rsidR="00AE66BE">
        <w:t>)</w:t>
      </w:r>
      <w:r w:rsidR="00BF664F">
        <w:t xml:space="preserve">. </w:t>
      </w:r>
      <w:r w:rsidR="00C36215">
        <w:t xml:space="preserve">From this it can be concluded that the coalition formation may, to some extent, make up for inefficient designs derived in the process integration problem. </w:t>
      </w:r>
      <w:r w:rsidR="0018334F">
        <w:t xml:space="preserve">However, from a utilitarian perspective, such inefficiencies should be avoided </w:t>
      </w:r>
      <w:r w:rsidR="001714E0">
        <w:t>from the very beginning</w:t>
      </w:r>
      <w:r w:rsidR="0018334F">
        <w:t xml:space="preserve">. </w:t>
      </w:r>
      <w:r w:rsidR="00A73208" w:rsidRPr="00A73208">
        <w:t>Traditionally,</w:t>
      </w:r>
      <w:r w:rsidR="00A73208">
        <w:t xml:space="preserve"> </w:t>
      </w:r>
      <w:r w:rsidR="00E70027">
        <w:t>exclusively</w:t>
      </w:r>
      <w:r w:rsidR="00A73208" w:rsidRPr="00A73208">
        <w:t xml:space="preserve"> economic</w:t>
      </w:r>
      <w:r w:rsidR="00953406">
        <w:t xml:space="preserve">s </w:t>
      </w:r>
      <w:proofErr w:type="gramStart"/>
      <w:r w:rsidR="00A73208">
        <w:t>are</w:t>
      </w:r>
      <w:proofErr w:type="gramEnd"/>
      <w:r w:rsidR="00A73208">
        <w:t xml:space="preserve"> used </w:t>
      </w:r>
      <w:r w:rsidR="00A73208" w:rsidRPr="00A73208">
        <w:t>for decision</w:t>
      </w:r>
      <w:r w:rsidR="000D0581">
        <w:t>-</w:t>
      </w:r>
      <w:r w:rsidR="00A73208" w:rsidRPr="00A73208">
        <w:t>making</w:t>
      </w:r>
      <w:r w:rsidR="00A73208">
        <w:t xml:space="preserve"> in profit allocation</w:t>
      </w:r>
      <w:r w:rsidR="00A73208" w:rsidRPr="00A73208">
        <w:t xml:space="preserve">. Future work should investigate how sustainability </w:t>
      </w:r>
      <w:r w:rsidR="00953406">
        <w:t>indicators</w:t>
      </w:r>
      <w:r w:rsidR="00A73208" w:rsidRPr="00A73208">
        <w:t xml:space="preserve"> may be utilized in the collaborative decision-making process to agree upon a definite solution.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tblGrid>
      <w:tr w:rsidR="003F09D5" w14:paraId="0B9AC296" w14:textId="5402A091" w:rsidTr="000C2536">
        <w:trPr>
          <w:trHeight w:val="1858"/>
        </w:trPr>
        <w:tc>
          <w:tcPr>
            <w:tcW w:w="6663" w:type="dxa"/>
          </w:tcPr>
          <w:p w14:paraId="2325BB61" w14:textId="2C7C9373" w:rsidR="003F09D5" w:rsidRDefault="006B6746" w:rsidP="006B6746">
            <w:pPr>
              <w:ind w:left="-252"/>
              <w:jc w:val="center"/>
            </w:pPr>
            <w:r>
              <w:rPr>
                <w:noProof/>
              </w:rPr>
              <w:lastRenderedPageBreak/>
              <w:drawing>
                <wp:inline distT="0" distB="0" distL="0" distR="0" wp14:anchorId="7FE2A87D" wp14:editId="7D1B9154">
                  <wp:extent cx="3310886" cy="173821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0"/>
                          <a:stretch>
                            <a:fillRect/>
                          </a:stretch>
                        </pic:blipFill>
                        <pic:spPr bwMode="auto">
                          <a:xfrm>
                            <a:off x="0" y="0"/>
                            <a:ext cx="3310886" cy="1738215"/>
                          </a:xfrm>
                          <a:prstGeom prst="rect">
                            <a:avLst/>
                          </a:prstGeom>
                          <a:noFill/>
                          <a:ln>
                            <a:noFill/>
                          </a:ln>
                        </pic:spPr>
                      </pic:pic>
                    </a:graphicData>
                  </a:graphic>
                </wp:inline>
              </w:drawing>
            </w:r>
          </w:p>
        </w:tc>
      </w:tr>
      <w:tr w:rsidR="003F09D5" w14:paraId="59C9D2DF" w14:textId="416D7406" w:rsidTr="004B3E50">
        <w:trPr>
          <w:trHeight w:val="612"/>
        </w:trPr>
        <w:tc>
          <w:tcPr>
            <w:tcW w:w="6663" w:type="dxa"/>
          </w:tcPr>
          <w:p w14:paraId="7A727CD1" w14:textId="3B34D9CD" w:rsidR="003F09D5" w:rsidRDefault="003F09D5" w:rsidP="00EE595A">
            <w:pPr>
              <w:jc w:val="both"/>
            </w:pPr>
            <w:r>
              <w:t xml:space="preserve">Figure 4. Profit allocation methods applied to the problem of </w:t>
            </w:r>
            <w:proofErr w:type="spellStart"/>
            <w:r>
              <w:t>Jin</w:t>
            </w:r>
            <w:proofErr w:type="spellEnd"/>
            <w:r>
              <w:t xml:space="preserve"> et al. (2018). </w:t>
            </w:r>
            <w:r w:rsidR="00A82703">
              <w:t>The ternary diagram illustrates the shares of the total profit for the base case</w:t>
            </w:r>
            <w:r w:rsidR="00556FBB">
              <w:t>. The table shows the standalone and grand coalition cost</w:t>
            </w:r>
            <w:r w:rsidR="00D25CBB">
              <w:t xml:space="preserve"> and profit</w:t>
            </w:r>
            <w:r w:rsidR="00556FBB">
              <w:t xml:space="preserve"> for varying </w:t>
            </w:r>
            <w:proofErr w:type="spellStart"/>
            <w:r w:rsidR="00556FBB">
              <w:rPr>
                <w:rFonts w:ascii="Calibri" w:hAnsi="Calibri" w:cs="Calibri"/>
              </w:rPr>
              <w:t>Δ</w:t>
            </w:r>
            <w:r w:rsidR="00556FBB">
              <w:t>T</w:t>
            </w:r>
            <w:r w:rsidR="00556FBB" w:rsidRPr="00552A00">
              <w:rPr>
                <w:vertAlign w:val="subscript"/>
              </w:rPr>
              <w:t>min</w:t>
            </w:r>
            <w:proofErr w:type="spellEnd"/>
            <w:r w:rsidR="00556FBB">
              <w:t>.</w:t>
            </w:r>
          </w:p>
        </w:tc>
      </w:tr>
    </w:tbl>
    <w:p w14:paraId="0B585E63" w14:textId="158C233D" w:rsidR="004A4A76" w:rsidRDefault="004A4A76" w:rsidP="00556FBB">
      <w:pPr>
        <w:pStyle w:val="Els-1storder-head"/>
        <w:spacing w:before="120"/>
      </w:pPr>
      <w:r>
        <w:t>Conclusions</w:t>
      </w:r>
    </w:p>
    <w:p w14:paraId="18ADD2E3" w14:textId="328CF87D" w:rsidR="004346D0" w:rsidRPr="0034109D" w:rsidRDefault="004346D0" w:rsidP="004346D0">
      <w:pPr>
        <w:pStyle w:val="Els-body-text"/>
        <w:rPr>
          <w:sz w:val="4"/>
          <w:szCs w:val="4"/>
        </w:rPr>
      </w:pPr>
      <w:r w:rsidRPr="004346D0">
        <w:t>This study provides a proof for stability in a subset of multi-actor process integration problems</w:t>
      </w:r>
      <w:r w:rsidR="004C5DEA">
        <w:t>. This</w:t>
      </w:r>
      <w:r w:rsidR="00741932">
        <w:t xml:space="preserve"> result is crucial for</w:t>
      </w:r>
      <w:r w:rsidRPr="004346D0">
        <w:t xml:space="preserve"> filling a gap often overlooked in previous research</w:t>
      </w:r>
      <w:r w:rsidR="002C6917">
        <w:t xml:space="preserve"> and</w:t>
      </w:r>
      <w:r w:rsidR="00AB6CB0">
        <w:t xml:space="preserve"> </w:t>
      </w:r>
      <w:r w:rsidRPr="004346D0">
        <w:t>paves the way for broader future proofs in collaborative profit allocation.</w:t>
      </w:r>
      <w:r w:rsidR="008B54DE">
        <w:t xml:space="preserve"> </w:t>
      </w:r>
      <w:r w:rsidRPr="004346D0">
        <w:t xml:space="preserve">Key findings highlight the significance of the </w:t>
      </w:r>
      <w:r w:rsidR="00F93AD2" w:rsidRPr="0090281D">
        <w:rPr>
          <w:rFonts w:ascii="Symbol" w:hAnsi="Symbol"/>
        </w:rPr>
        <w:t></w:t>
      </w:r>
      <w:proofErr w:type="spellStart"/>
      <w:r w:rsidR="00F93AD2">
        <w:t>T</w:t>
      </w:r>
      <w:r w:rsidR="00F93AD2" w:rsidRPr="00552A00">
        <w:rPr>
          <w:vertAlign w:val="subscript"/>
        </w:rPr>
        <w:t>min</w:t>
      </w:r>
      <w:proofErr w:type="spellEnd"/>
      <w:r w:rsidR="00F93AD2">
        <w:t xml:space="preserve"> </w:t>
      </w:r>
      <w:r w:rsidRPr="004346D0">
        <w:t xml:space="preserve">parameter in determining both absolute and relative profits in process integration. Aligning </w:t>
      </w:r>
      <w:r w:rsidR="00F93AD2" w:rsidRPr="0090281D">
        <w:rPr>
          <w:rFonts w:ascii="Symbol" w:hAnsi="Symbol"/>
        </w:rPr>
        <w:t></w:t>
      </w:r>
      <w:proofErr w:type="spellStart"/>
      <w:r w:rsidR="00F93AD2">
        <w:t>T</w:t>
      </w:r>
      <w:r w:rsidR="00F93AD2" w:rsidRPr="00552A00">
        <w:rPr>
          <w:vertAlign w:val="subscript"/>
        </w:rPr>
        <w:t>min</w:t>
      </w:r>
      <w:proofErr w:type="spellEnd"/>
      <w:r w:rsidR="00F93AD2">
        <w:t xml:space="preserve"> </w:t>
      </w:r>
      <w:r w:rsidRPr="004346D0">
        <w:t>with each participant's optimal level is essential to avoid inefficiencies and ensure fair allocations.</w:t>
      </w:r>
    </w:p>
    <w:p w14:paraId="7D2CA4F4" w14:textId="474FE284" w:rsidR="00EE3A8D" w:rsidRDefault="004346D0" w:rsidP="00EE3A8D">
      <w:pPr>
        <w:pStyle w:val="Els-body-text"/>
      </w:pPr>
      <w:r w:rsidRPr="004346D0">
        <w:t>The stability proof offered here instills confidence in multi-actor process integration projects, assuring a degree of predictability and reliability. While the selection of allocation methods requires further research, guiding the choice of integration parameters with process engineering insights can lead to equitable and sustainable solutions</w:t>
      </w:r>
      <w:r w:rsidR="004B3A9B">
        <w:t xml:space="preserve">, which is essential for the solutions </w:t>
      </w:r>
      <w:r w:rsidR="00BD47CE">
        <w:t xml:space="preserve">to be </w:t>
      </w:r>
      <w:r w:rsidR="00491172">
        <w:t>accepted and implemente</w:t>
      </w:r>
      <w:r w:rsidR="00A54B79">
        <w:t xml:space="preserve">d by </w:t>
      </w:r>
      <w:r w:rsidR="00D16C02">
        <w:t>all stakeholders</w:t>
      </w:r>
      <w:r w:rsidRPr="004346D0">
        <w:t>.</w:t>
      </w:r>
    </w:p>
    <w:p w14:paraId="5EB1C3E2" w14:textId="4A969F93" w:rsidR="003F09D5" w:rsidRPr="004B3E50" w:rsidRDefault="003F09D5" w:rsidP="00EE3A8D">
      <w:pPr>
        <w:pStyle w:val="Els-body-text"/>
        <w:rPr>
          <w:sz w:val="10"/>
          <w:szCs w:val="10"/>
        </w:rPr>
      </w:pPr>
    </w:p>
    <w:p w14:paraId="0F74A418" w14:textId="312802B3" w:rsidR="003F09D5" w:rsidRPr="003F09D5" w:rsidRDefault="003F09D5" w:rsidP="00EE3A8D">
      <w:pPr>
        <w:pStyle w:val="Els-body-text"/>
        <w:rPr>
          <w:b/>
          <w:bCs/>
        </w:rPr>
      </w:pPr>
      <w:r w:rsidRPr="003F09D5">
        <w:rPr>
          <w:b/>
          <w:bCs/>
        </w:rPr>
        <w:t xml:space="preserve">Acknowledgements </w:t>
      </w:r>
    </w:p>
    <w:p w14:paraId="002F8A75" w14:textId="5F513CCE" w:rsidR="003F09D5" w:rsidRDefault="003F09D5" w:rsidP="00EE3A8D">
      <w:pPr>
        <w:pStyle w:val="Els-body-text"/>
      </w:pPr>
      <w:r w:rsidRPr="003F09D5">
        <w:t xml:space="preserve">Grant PID2020-116051RB-I00 (CEPI) funded by MCIN/AEI/10.13039/501100011033 and by “ERDF A way of making Europe” is fully acknowledged. Fabian </w:t>
      </w:r>
      <w:proofErr w:type="spellStart"/>
      <w:r w:rsidRPr="003F09D5">
        <w:t>Lechtenberg</w:t>
      </w:r>
      <w:proofErr w:type="spellEnd"/>
      <w:r w:rsidRPr="003F09D5">
        <w:t xml:space="preserve"> gratefully acknowledges the “</w:t>
      </w:r>
      <w:proofErr w:type="spellStart"/>
      <w:r w:rsidRPr="003F09D5">
        <w:t>Departament</w:t>
      </w:r>
      <w:proofErr w:type="spellEnd"/>
      <w:r w:rsidRPr="003F09D5">
        <w:t xml:space="preserve"> de </w:t>
      </w:r>
      <w:proofErr w:type="spellStart"/>
      <w:r w:rsidRPr="003F09D5">
        <w:t>Recerca</w:t>
      </w:r>
      <w:proofErr w:type="spellEnd"/>
      <w:r w:rsidRPr="003F09D5">
        <w:t xml:space="preserve"> i </w:t>
      </w:r>
      <w:proofErr w:type="spellStart"/>
      <w:r w:rsidRPr="003F09D5">
        <w:t>Universitats</w:t>
      </w:r>
      <w:proofErr w:type="spellEnd"/>
      <w:r w:rsidRPr="003F09D5">
        <w:t xml:space="preserve"> de la </w:t>
      </w:r>
      <w:proofErr w:type="spellStart"/>
      <w:r w:rsidRPr="003F09D5">
        <w:t>Generalitat</w:t>
      </w:r>
      <w:proofErr w:type="spellEnd"/>
      <w:r w:rsidRPr="003F09D5">
        <w:t xml:space="preserve"> de Catalunya” for the financial support of his predoctoral grant FI-2022.</w:t>
      </w:r>
    </w:p>
    <w:p w14:paraId="6F05D75A" w14:textId="77777777" w:rsidR="00EE3A8D" w:rsidRPr="004B3E50" w:rsidRDefault="00EE3A8D" w:rsidP="00EE3A8D">
      <w:pPr>
        <w:pStyle w:val="Els-body-text"/>
        <w:rPr>
          <w:sz w:val="10"/>
          <w:szCs w:val="10"/>
        </w:rPr>
      </w:pPr>
    </w:p>
    <w:p w14:paraId="144DE6BF" w14:textId="34C119C1" w:rsidR="008D2649" w:rsidRPr="00EE3A8D" w:rsidRDefault="008D2649" w:rsidP="00EE3A8D">
      <w:pPr>
        <w:pStyle w:val="Els-body-text"/>
        <w:rPr>
          <w:b/>
          <w:bCs/>
        </w:rPr>
      </w:pPr>
      <w:r w:rsidRPr="00EE3A8D">
        <w:rPr>
          <w:b/>
          <w:bCs/>
        </w:rPr>
        <w:t>References</w:t>
      </w:r>
    </w:p>
    <w:p w14:paraId="1A8C2DC5" w14:textId="77777777" w:rsidR="005020E8" w:rsidRPr="00E025CC" w:rsidRDefault="005020E8" w:rsidP="005020E8">
      <w:pPr>
        <w:pStyle w:val="Els-referenceno-number"/>
        <w:rPr>
          <w:lang w:val="en-US"/>
        </w:rPr>
      </w:pPr>
      <w:r w:rsidRPr="00E025CC">
        <w:rPr>
          <w:lang w:val="en-US"/>
        </w:rPr>
        <w:t>S.-L. Cheng, C.-T. Chang, D. Jiang, 2014, A game-theory based optimization strategy to configure inter-plant heat integration schemes, Chemical Engineering Science, 118, 60–73</w:t>
      </w:r>
    </w:p>
    <w:p w14:paraId="0EC49079" w14:textId="77777777" w:rsidR="005020E8" w:rsidRPr="00E025CC" w:rsidRDefault="005020E8" w:rsidP="005020E8">
      <w:pPr>
        <w:pStyle w:val="Els-referenceno-number"/>
        <w:rPr>
          <w:lang w:val="en-US"/>
        </w:rPr>
      </w:pPr>
      <w:r w:rsidRPr="00E025CC">
        <w:rPr>
          <w:lang w:val="en-US"/>
        </w:rPr>
        <w:t>H. H. Chin, P. S. Varbanov, J. J. Klemeš, S. Bandyopadhyay, 2021, Subsidised water symbiosis of eco-industrial parks: A multi-stage game theory approach, Computers &amp; Chemical Engineering, 155, 107539</w:t>
      </w:r>
    </w:p>
    <w:p w14:paraId="2F6BA6CF" w14:textId="77777777" w:rsidR="005020E8" w:rsidRPr="00E025CC" w:rsidRDefault="005020E8" w:rsidP="005020E8">
      <w:pPr>
        <w:pStyle w:val="Els-referenceno-number"/>
        <w:rPr>
          <w:lang w:val="en-US"/>
        </w:rPr>
      </w:pPr>
      <w:r w:rsidRPr="00E025CC">
        <w:rPr>
          <w:lang w:val="en-US"/>
        </w:rPr>
        <w:t>D. E. Grierson, 2008, Pareto multi-criteria decision making, Advanced Engineering Informatics, 22(3), 371–384</w:t>
      </w:r>
    </w:p>
    <w:p w14:paraId="4FEB198E" w14:textId="77777777" w:rsidR="005020E8" w:rsidRPr="00E025CC" w:rsidRDefault="005020E8" w:rsidP="005020E8">
      <w:pPr>
        <w:pStyle w:val="Els-referenceno-number"/>
        <w:rPr>
          <w:lang w:val="en-US"/>
        </w:rPr>
      </w:pPr>
      <w:r w:rsidRPr="00E025CC">
        <w:rPr>
          <w:lang w:val="en-US"/>
        </w:rPr>
        <w:t>M. Hiete, J. Ludwig, F. Schultmann, 2012, Intercompany Energy Integration: Adaptation of Thermal Pinch Analysis and Allocation of Savings, Journal of Industrial Ecology, 16(5), 689–698</w:t>
      </w:r>
    </w:p>
    <w:p w14:paraId="09404BEF" w14:textId="77777777" w:rsidR="005020E8" w:rsidRPr="00E025CC" w:rsidRDefault="005020E8" w:rsidP="005020E8">
      <w:pPr>
        <w:pStyle w:val="Els-referenceno-number"/>
        <w:rPr>
          <w:lang w:val="en-US"/>
        </w:rPr>
      </w:pPr>
      <w:r w:rsidRPr="00E025CC">
        <w:rPr>
          <w:lang w:val="en-US"/>
        </w:rPr>
        <w:t>Y. Jin, C.-T. Chang, S. Li, D. Jiang, 2018, On the use of risk-based Shapley values for cost sharing in interplant heat integration programs, Applied Energy, 211, 904–920</w:t>
      </w:r>
    </w:p>
    <w:p w14:paraId="02ADC028" w14:textId="77777777" w:rsidR="005020E8" w:rsidRPr="00E025CC" w:rsidRDefault="005020E8" w:rsidP="005020E8">
      <w:pPr>
        <w:pStyle w:val="Els-referenceno-number"/>
        <w:rPr>
          <w:lang w:val="en-US"/>
        </w:rPr>
      </w:pPr>
      <w:r w:rsidRPr="00E025CC">
        <w:rPr>
          <w:lang w:val="en-US"/>
        </w:rPr>
        <w:t>F. Lechtenberg, A. Espuña, M. Graells, 2023, Profit Allocation in Industrial Symbiosis Networks: Utility Exchanges, In A. C. Kokossis, M. C. Georgiadis, &amp; E. Pistikopoulos (Eds.), Computer Aided Chemical Engineering, 961–966</w:t>
      </w:r>
    </w:p>
    <w:p w14:paraId="6E4BA1B3" w14:textId="52F8A46A" w:rsidR="005020E8" w:rsidRPr="00B30B6F" w:rsidRDefault="005020E8" w:rsidP="00B30B6F">
      <w:pPr>
        <w:pStyle w:val="Els-referenceno-number"/>
        <w:rPr>
          <w:lang w:val="en-US"/>
        </w:rPr>
      </w:pPr>
      <w:r w:rsidRPr="00E025CC">
        <w:rPr>
          <w:lang w:val="en-US"/>
        </w:rPr>
        <w:t>T. F. Yee, I. E. Grossmann, 1990, Simultaneous optimization models for heat integration—II. Heat exchanger network synthesis, Computers &amp; Chemical Engineering, 14(10), 1165–1184</w:t>
      </w:r>
    </w:p>
    <w:sectPr w:rsidR="005020E8" w:rsidRPr="00B30B6F" w:rsidSect="008B0184">
      <w:headerReference w:type="even" r:id="rId11"/>
      <w:headerReference w:type="default" r:id="rId12"/>
      <w:headerReference w:type="first" r:id="rId13"/>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D423A" w14:textId="77777777" w:rsidR="00C0055C" w:rsidRDefault="00C0055C">
      <w:r>
        <w:separator/>
      </w:r>
    </w:p>
  </w:endnote>
  <w:endnote w:type="continuationSeparator" w:id="0">
    <w:p w14:paraId="37D48BF0" w14:textId="77777777" w:rsidR="00C0055C" w:rsidRDefault="00C00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F6930" w14:textId="77777777" w:rsidR="00C0055C" w:rsidRDefault="00C0055C">
      <w:r>
        <w:separator/>
      </w:r>
    </w:p>
  </w:footnote>
  <w:footnote w:type="continuationSeparator" w:id="0">
    <w:p w14:paraId="6B57A746" w14:textId="77777777" w:rsidR="00C0055C" w:rsidRDefault="00C00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5EB2E158" w:rsidR="00833604" w:rsidRDefault="00833604">
    <w:pPr>
      <w:pStyle w:val="Intestazione"/>
      <w:tabs>
        <w:tab w:val="clear" w:pos="7200"/>
        <w:tab w:val="right" w:pos="7088"/>
      </w:tabs>
    </w:pPr>
    <w:r>
      <w:rPr>
        <w:rStyle w:val="Numeropagina"/>
      </w:rPr>
      <w:tab/>
    </w:r>
    <w:r>
      <w:rPr>
        <w:rStyle w:val="Numeropagina"/>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0F7BDF63" w:rsidR="00833604" w:rsidRDefault="00833604">
    <w:pPr>
      <w:pStyle w:val="Intestazione"/>
      <w:tabs>
        <w:tab w:val="clear" w:pos="7200"/>
        <w:tab w:val="right" w:pos="7088"/>
      </w:tabs>
      <w:jc w:val="right"/>
      <w:rPr>
        <w:sz w:val="24"/>
      </w:rPr>
    </w:pP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C" w14:textId="65EF433B" w:rsidR="00833604" w:rsidRPr="00FF6043" w:rsidRDefault="00833604"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Pr="00FF6043">
      <w:rPr>
        <w:color w:val="auto"/>
        <w:sz w:val="20"/>
        <w:szCs w:val="20"/>
      </w:rPr>
      <w:t>Flavio Manenti, Gintaras V. Reklaitis (Eds.), B</w:t>
    </w:r>
    <w:r w:rsidRPr="00FF6043">
      <w:rPr>
        <w:noProof/>
        <w:sz w:val="20"/>
        <w:szCs w:val="20"/>
      </w:rPr>
      <w:t xml:space="preserve">ook of Abstract of the </w:t>
    </w:r>
    <w:r w:rsidRPr="00FF6043">
      <w:rPr>
        <w:rStyle w:val="underline1"/>
        <w:sz w:val="20"/>
        <w:szCs w:val="20"/>
        <w:u w:val="none"/>
      </w:rPr>
      <w:t>34</w:t>
    </w:r>
    <w:r w:rsidRPr="00FF6043">
      <w:rPr>
        <w:rStyle w:val="underline1"/>
        <w:sz w:val="20"/>
        <w:szCs w:val="20"/>
        <w:u w:val="none"/>
        <w:vertAlign w:val="superscript"/>
      </w:rPr>
      <w:t>th</w:t>
    </w:r>
    <w:r w:rsidRPr="00FF6043">
      <w:rPr>
        <w:rStyle w:val="underline1"/>
        <w:sz w:val="20"/>
        <w:szCs w:val="20"/>
        <w:u w:val="none"/>
      </w:rPr>
      <w:t xml:space="preserve"> European Symposium on Computer Aided Process Engineering / 15</w:t>
    </w:r>
    <w:r w:rsidRPr="00FF6043">
      <w:rPr>
        <w:rStyle w:val="underline1"/>
        <w:sz w:val="20"/>
        <w:szCs w:val="20"/>
        <w:u w:val="none"/>
        <w:vertAlign w:val="superscript"/>
      </w:rPr>
      <w:t>th</w:t>
    </w:r>
    <w:r w:rsidRPr="00FF6043">
      <w:rPr>
        <w:rStyle w:val="underline1"/>
        <w:sz w:val="20"/>
        <w:szCs w:val="20"/>
        <w:u w:val="none"/>
      </w:rPr>
      <w:t xml:space="preserve"> International Symposium on Process Systems Engineerin</w:t>
    </w:r>
    <w:r w:rsidRPr="00FF6043">
      <w:rPr>
        <w:rStyle w:val="underline1"/>
        <w:sz w:val="20"/>
        <w:szCs w:val="20"/>
      </w:rPr>
      <w:t>g</w:t>
    </w:r>
    <w:r w:rsidRPr="00FF6043">
      <w:rPr>
        <w:noProof/>
        <w:sz w:val="20"/>
        <w:szCs w:val="20"/>
      </w:rPr>
      <w:t xml:space="preserve"> (ESCAPE34/PSE24), June 2-6, 2024,</w:t>
    </w:r>
    <w:r w:rsidRPr="00FF6043">
      <w:rPr>
        <w:sz w:val="20"/>
        <w:szCs w:val="20"/>
      </w:rPr>
      <w:t xml:space="preserve"> Florence</w:t>
    </w:r>
    <w:r w:rsidRPr="00FF6043">
      <w:rPr>
        <w:noProof/>
        <w:sz w:val="20"/>
        <w:szCs w:val="20"/>
      </w:rPr>
      <w:t>, Italy</w:t>
    </w:r>
    <w:r>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D8E2165"/>
    <w:multiLevelType w:val="hybridMultilevel"/>
    <w:tmpl w:val="916EA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C3F41"/>
    <w:multiLevelType w:val="hybridMultilevel"/>
    <w:tmpl w:val="CEA66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D03B29"/>
    <w:multiLevelType w:val="hybridMultilevel"/>
    <w:tmpl w:val="9AA42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B27B8C"/>
    <w:multiLevelType w:val="hybridMultilevel"/>
    <w:tmpl w:val="E7A89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5ED3F1A"/>
    <w:multiLevelType w:val="hybridMultilevel"/>
    <w:tmpl w:val="FA761132"/>
    <w:lvl w:ilvl="0" w:tplc="247AB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D5C4C10"/>
    <w:multiLevelType w:val="hybridMultilevel"/>
    <w:tmpl w:val="A750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16"/>
  </w:num>
  <w:num w:numId="3">
    <w:abstractNumId w:val="16"/>
  </w:num>
  <w:num w:numId="4">
    <w:abstractNumId w:val="16"/>
  </w:num>
  <w:num w:numId="5">
    <w:abstractNumId w:val="0"/>
  </w:num>
  <w:num w:numId="6">
    <w:abstractNumId w:val="8"/>
  </w:num>
  <w:num w:numId="7">
    <w:abstractNumId w:val="18"/>
  </w:num>
  <w:num w:numId="8">
    <w:abstractNumId w:val="3"/>
  </w:num>
  <w:num w:numId="9">
    <w:abstractNumId w:val="14"/>
  </w:num>
  <w:num w:numId="10">
    <w:abstractNumId w:val="20"/>
  </w:num>
  <w:num w:numId="11">
    <w:abstractNumId w:val="19"/>
  </w:num>
  <w:num w:numId="12">
    <w:abstractNumId w:val="7"/>
  </w:num>
  <w:num w:numId="13">
    <w:abstractNumId w:val="12"/>
  </w:num>
  <w:num w:numId="14">
    <w:abstractNumId w:val="4"/>
  </w:num>
  <w:num w:numId="15">
    <w:abstractNumId w:val="9"/>
  </w:num>
  <w:num w:numId="16">
    <w:abstractNumId w:val="5"/>
  </w:num>
  <w:num w:numId="17">
    <w:abstractNumId w:val="6"/>
  </w:num>
  <w:num w:numId="18">
    <w:abstractNumId w:val="13"/>
  </w:num>
  <w:num w:numId="19">
    <w:abstractNumId w:val="10"/>
  </w:num>
  <w:num w:numId="20">
    <w:abstractNumId w:val="2"/>
  </w:num>
  <w:num w:numId="21">
    <w:abstractNumId w:val="17"/>
  </w:num>
  <w:num w:numId="22">
    <w:abstractNumId w:val="15"/>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25DB"/>
    <w:rsid w:val="00002AF6"/>
    <w:rsid w:val="000034D7"/>
    <w:rsid w:val="0001138E"/>
    <w:rsid w:val="00015D32"/>
    <w:rsid w:val="000168F1"/>
    <w:rsid w:val="00017FCA"/>
    <w:rsid w:val="00021F79"/>
    <w:rsid w:val="00023429"/>
    <w:rsid w:val="0002424E"/>
    <w:rsid w:val="000261C4"/>
    <w:rsid w:val="0003300B"/>
    <w:rsid w:val="000330F6"/>
    <w:rsid w:val="00034690"/>
    <w:rsid w:val="00034B76"/>
    <w:rsid w:val="000353F2"/>
    <w:rsid w:val="00037B52"/>
    <w:rsid w:val="00041AA1"/>
    <w:rsid w:val="00043F70"/>
    <w:rsid w:val="000451C8"/>
    <w:rsid w:val="00045BEE"/>
    <w:rsid w:val="00050B6A"/>
    <w:rsid w:val="0005157F"/>
    <w:rsid w:val="000517CA"/>
    <w:rsid w:val="00051F67"/>
    <w:rsid w:val="00052D9E"/>
    <w:rsid w:val="00055B69"/>
    <w:rsid w:val="00056894"/>
    <w:rsid w:val="000600E2"/>
    <w:rsid w:val="00064013"/>
    <w:rsid w:val="0006772E"/>
    <w:rsid w:val="00070C36"/>
    <w:rsid w:val="00075F90"/>
    <w:rsid w:val="0007649E"/>
    <w:rsid w:val="000773F4"/>
    <w:rsid w:val="0007756D"/>
    <w:rsid w:val="000818A6"/>
    <w:rsid w:val="00081AA5"/>
    <w:rsid w:val="000848F8"/>
    <w:rsid w:val="00084BA2"/>
    <w:rsid w:val="00084E36"/>
    <w:rsid w:val="00085390"/>
    <w:rsid w:val="000855F8"/>
    <w:rsid w:val="00087084"/>
    <w:rsid w:val="0008780E"/>
    <w:rsid w:val="000910CA"/>
    <w:rsid w:val="0009166E"/>
    <w:rsid w:val="0009245B"/>
    <w:rsid w:val="00094800"/>
    <w:rsid w:val="00095F4B"/>
    <w:rsid w:val="000A7393"/>
    <w:rsid w:val="000B1BA3"/>
    <w:rsid w:val="000B290C"/>
    <w:rsid w:val="000B4081"/>
    <w:rsid w:val="000B6539"/>
    <w:rsid w:val="000C0AF1"/>
    <w:rsid w:val="000C1BC8"/>
    <w:rsid w:val="000C2536"/>
    <w:rsid w:val="000D008B"/>
    <w:rsid w:val="000D0581"/>
    <w:rsid w:val="000D16DE"/>
    <w:rsid w:val="000D3858"/>
    <w:rsid w:val="000D3D9B"/>
    <w:rsid w:val="000D424A"/>
    <w:rsid w:val="000D4A77"/>
    <w:rsid w:val="000E217A"/>
    <w:rsid w:val="000E2565"/>
    <w:rsid w:val="000E4601"/>
    <w:rsid w:val="000E74A1"/>
    <w:rsid w:val="0010201A"/>
    <w:rsid w:val="00102B30"/>
    <w:rsid w:val="0010549E"/>
    <w:rsid w:val="0010699A"/>
    <w:rsid w:val="00110A8B"/>
    <w:rsid w:val="00113182"/>
    <w:rsid w:val="001152A7"/>
    <w:rsid w:val="00117DBF"/>
    <w:rsid w:val="00121CCA"/>
    <w:rsid w:val="001224DE"/>
    <w:rsid w:val="00125403"/>
    <w:rsid w:val="001314EF"/>
    <w:rsid w:val="001341CA"/>
    <w:rsid w:val="001405B5"/>
    <w:rsid w:val="001437EA"/>
    <w:rsid w:val="0015656E"/>
    <w:rsid w:val="0016032F"/>
    <w:rsid w:val="00162711"/>
    <w:rsid w:val="00162A53"/>
    <w:rsid w:val="00163CAA"/>
    <w:rsid w:val="001645B2"/>
    <w:rsid w:val="0016761E"/>
    <w:rsid w:val="001708E3"/>
    <w:rsid w:val="001714E0"/>
    <w:rsid w:val="00171D95"/>
    <w:rsid w:val="0018000F"/>
    <w:rsid w:val="00182E5C"/>
    <w:rsid w:val="0018334F"/>
    <w:rsid w:val="00183D7A"/>
    <w:rsid w:val="00184C5B"/>
    <w:rsid w:val="0018519F"/>
    <w:rsid w:val="00185D69"/>
    <w:rsid w:val="001879F6"/>
    <w:rsid w:val="001908E9"/>
    <w:rsid w:val="00192246"/>
    <w:rsid w:val="001931E9"/>
    <w:rsid w:val="00194EC5"/>
    <w:rsid w:val="00195131"/>
    <w:rsid w:val="001A4462"/>
    <w:rsid w:val="001B1DE3"/>
    <w:rsid w:val="001B216E"/>
    <w:rsid w:val="001B5350"/>
    <w:rsid w:val="001B6DE6"/>
    <w:rsid w:val="001B70D2"/>
    <w:rsid w:val="001B7C09"/>
    <w:rsid w:val="001C0148"/>
    <w:rsid w:val="001C5342"/>
    <w:rsid w:val="001C74E7"/>
    <w:rsid w:val="001C757E"/>
    <w:rsid w:val="001C794F"/>
    <w:rsid w:val="001D3C3B"/>
    <w:rsid w:val="001E12BB"/>
    <w:rsid w:val="001E149A"/>
    <w:rsid w:val="001E390D"/>
    <w:rsid w:val="001F13E4"/>
    <w:rsid w:val="001F624A"/>
    <w:rsid w:val="001F678D"/>
    <w:rsid w:val="00202009"/>
    <w:rsid w:val="0020390F"/>
    <w:rsid w:val="00213A24"/>
    <w:rsid w:val="0022087E"/>
    <w:rsid w:val="00220D86"/>
    <w:rsid w:val="00220E10"/>
    <w:rsid w:val="00223A6E"/>
    <w:rsid w:val="00225CFD"/>
    <w:rsid w:val="00236E25"/>
    <w:rsid w:val="0023737B"/>
    <w:rsid w:val="00240EAB"/>
    <w:rsid w:val="002413C7"/>
    <w:rsid w:val="002447E9"/>
    <w:rsid w:val="00256B50"/>
    <w:rsid w:val="00257FAA"/>
    <w:rsid w:val="00262699"/>
    <w:rsid w:val="0026359E"/>
    <w:rsid w:val="00264018"/>
    <w:rsid w:val="00264926"/>
    <w:rsid w:val="00267B17"/>
    <w:rsid w:val="002702CD"/>
    <w:rsid w:val="00270323"/>
    <w:rsid w:val="002704FC"/>
    <w:rsid w:val="00270FCB"/>
    <w:rsid w:val="002718C3"/>
    <w:rsid w:val="00275D78"/>
    <w:rsid w:val="002769B4"/>
    <w:rsid w:val="00281873"/>
    <w:rsid w:val="00283C1B"/>
    <w:rsid w:val="00284B7C"/>
    <w:rsid w:val="0028722E"/>
    <w:rsid w:val="00287DE6"/>
    <w:rsid w:val="002917D0"/>
    <w:rsid w:val="002927AD"/>
    <w:rsid w:val="002937D2"/>
    <w:rsid w:val="00297459"/>
    <w:rsid w:val="00297E42"/>
    <w:rsid w:val="002A1E8F"/>
    <w:rsid w:val="002A5EA6"/>
    <w:rsid w:val="002A62E3"/>
    <w:rsid w:val="002B18D3"/>
    <w:rsid w:val="002B19B8"/>
    <w:rsid w:val="002B24FA"/>
    <w:rsid w:val="002B4CBC"/>
    <w:rsid w:val="002B5CBA"/>
    <w:rsid w:val="002B6050"/>
    <w:rsid w:val="002C0712"/>
    <w:rsid w:val="002C4C6A"/>
    <w:rsid w:val="002C58D3"/>
    <w:rsid w:val="002C5BFE"/>
    <w:rsid w:val="002C5DD5"/>
    <w:rsid w:val="002C6917"/>
    <w:rsid w:val="002C7E29"/>
    <w:rsid w:val="002D017C"/>
    <w:rsid w:val="002D6F44"/>
    <w:rsid w:val="002D728A"/>
    <w:rsid w:val="002E4FF1"/>
    <w:rsid w:val="002E6C47"/>
    <w:rsid w:val="002F089F"/>
    <w:rsid w:val="002F3F11"/>
    <w:rsid w:val="002F70B3"/>
    <w:rsid w:val="002F7D3E"/>
    <w:rsid w:val="0030352A"/>
    <w:rsid w:val="00307699"/>
    <w:rsid w:val="003108E2"/>
    <w:rsid w:val="00315689"/>
    <w:rsid w:val="003202B7"/>
    <w:rsid w:val="00321A39"/>
    <w:rsid w:val="0032623F"/>
    <w:rsid w:val="0033338B"/>
    <w:rsid w:val="0033749A"/>
    <w:rsid w:val="0034109D"/>
    <w:rsid w:val="00344D01"/>
    <w:rsid w:val="00344D15"/>
    <w:rsid w:val="00347E5E"/>
    <w:rsid w:val="003509C5"/>
    <w:rsid w:val="003530F9"/>
    <w:rsid w:val="00356116"/>
    <w:rsid w:val="00360B53"/>
    <w:rsid w:val="003612EF"/>
    <w:rsid w:val="00366165"/>
    <w:rsid w:val="00366247"/>
    <w:rsid w:val="00372736"/>
    <w:rsid w:val="003735D8"/>
    <w:rsid w:val="00374714"/>
    <w:rsid w:val="0039034D"/>
    <w:rsid w:val="003A060F"/>
    <w:rsid w:val="003A117C"/>
    <w:rsid w:val="003A34D9"/>
    <w:rsid w:val="003A4343"/>
    <w:rsid w:val="003A5363"/>
    <w:rsid w:val="003A5EB2"/>
    <w:rsid w:val="003B03EF"/>
    <w:rsid w:val="003B29CD"/>
    <w:rsid w:val="003B43F5"/>
    <w:rsid w:val="003B6C70"/>
    <w:rsid w:val="003C1014"/>
    <w:rsid w:val="003C2FBC"/>
    <w:rsid w:val="003C5B1F"/>
    <w:rsid w:val="003D0D6A"/>
    <w:rsid w:val="003D1582"/>
    <w:rsid w:val="003D33CB"/>
    <w:rsid w:val="003D36D1"/>
    <w:rsid w:val="003D78EE"/>
    <w:rsid w:val="003D7E4C"/>
    <w:rsid w:val="003E067A"/>
    <w:rsid w:val="003E1972"/>
    <w:rsid w:val="003E31FE"/>
    <w:rsid w:val="003E334F"/>
    <w:rsid w:val="003E41C2"/>
    <w:rsid w:val="003E5718"/>
    <w:rsid w:val="003E5777"/>
    <w:rsid w:val="003E765B"/>
    <w:rsid w:val="003F0827"/>
    <w:rsid w:val="003F09D5"/>
    <w:rsid w:val="003F0D26"/>
    <w:rsid w:val="003F0F01"/>
    <w:rsid w:val="003F1553"/>
    <w:rsid w:val="003F72F1"/>
    <w:rsid w:val="004041E7"/>
    <w:rsid w:val="004061FF"/>
    <w:rsid w:val="00410805"/>
    <w:rsid w:val="004109C9"/>
    <w:rsid w:val="00410F93"/>
    <w:rsid w:val="00417ABE"/>
    <w:rsid w:val="00422D70"/>
    <w:rsid w:val="00423C05"/>
    <w:rsid w:val="004266AC"/>
    <w:rsid w:val="004346D0"/>
    <w:rsid w:val="00435554"/>
    <w:rsid w:val="004360F0"/>
    <w:rsid w:val="00436FB4"/>
    <w:rsid w:val="00445411"/>
    <w:rsid w:val="00447948"/>
    <w:rsid w:val="00451FB3"/>
    <w:rsid w:val="00455185"/>
    <w:rsid w:val="0045619A"/>
    <w:rsid w:val="004628E9"/>
    <w:rsid w:val="00462B09"/>
    <w:rsid w:val="00464B0A"/>
    <w:rsid w:val="00464B62"/>
    <w:rsid w:val="00472CA7"/>
    <w:rsid w:val="004753B8"/>
    <w:rsid w:val="00477CBB"/>
    <w:rsid w:val="0048004F"/>
    <w:rsid w:val="00480A05"/>
    <w:rsid w:val="0048140B"/>
    <w:rsid w:val="004838D0"/>
    <w:rsid w:val="00483DE8"/>
    <w:rsid w:val="00485BF2"/>
    <w:rsid w:val="004860B0"/>
    <w:rsid w:val="00487AA2"/>
    <w:rsid w:val="00491172"/>
    <w:rsid w:val="004922E2"/>
    <w:rsid w:val="0049772C"/>
    <w:rsid w:val="004A389F"/>
    <w:rsid w:val="004A4A76"/>
    <w:rsid w:val="004A4BB9"/>
    <w:rsid w:val="004A54F4"/>
    <w:rsid w:val="004B2502"/>
    <w:rsid w:val="004B2F9F"/>
    <w:rsid w:val="004B3A9B"/>
    <w:rsid w:val="004B3E50"/>
    <w:rsid w:val="004B71E2"/>
    <w:rsid w:val="004C035C"/>
    <w:rsid w:val="004C07C9"/>
    <w:rsid w:val="004C5DEA"/>
    <w:rsid w:val="004C5F80"/>
    <w:rsid w:val="004C70B9"/>
    <w:rsid w:val="004D11D8"/>
    <w:rsid w:val="004D29E5"/>
    <w:rsid w:val="004D3308"/>
    <w:rsid w:val="004E158A"/>
    <w:rsid w:val="004E2259"/>
    <w:rsid w:val="004E2F9D"/>
    <w:rsid w:val="004E387D"/>
    <w:rsid w:val="004E485E"/>
    <w:rsid w:val="004F22EA"/>
    <w:rsid w:val="004F25AE"/>
    <w:rsid w:val="004F67A0"/>
    <w:rsid w:val="005020E8"/>
    <w:rsid w:val="00506882"/>
    <w:rsid w:val="00507CB7"/>
    <w:rsid w:val="005120B9"/>
    <w:rsid w:val="0051451C"/>
    <w:rsid w:val="005203D6"/>
    <w:rsid w:val="005223D7"/>
    <w:rsid w:val="005227C8"/>
    <w:rsid w:val="00526860"/>
    <w:rsid w:val="0052773A"/>
    <w:rsid w:val="00531595"/>
    <w:rsid w:val="005326F9"/>
    <w:rsid w:val="0053558E"/>
    <w:rsid w:val="0053593D"/>
    <w:rsid w:val="005406F9"/>
    <w:rsid w:val="00542651"/>
    <w:rsid w:val="00547E22"/>
    <w:rsid w:val="00552A00"/>
    <w:rsid w:val="00552EEB"/>
    <w:rsid w:val="00553199"/>
    <w:rsid w:val="00556531"/>
    <w:rsid w:val="00556FBB"/>
    <w:rsid w:val="00560980"/>
    <w:rsid w:val="0056398C"/>
    <w:rsid w:val="00566C2F"/>
    <w:rsid w:val="005672BB"/>
    <w:rsid w:val="005675EF"/>
    <w:rsid w:val="00567D93"/>
    <w:rsid w:val="005721CB"/>
    <w:rsid w:val="00572C52"/>
    <w:rsid w:val="00573995"/>
    <w:rsid w:val="00573E50"/>
    <w:rsid w:val="00574D0B"/>
    <w:rsid w:val="00575184"/>
    <w:rsid w:val="0057674F"/>
    <w:rsid w:val="00581059"/>
    <w:rsid w:val="0058165C"/>
    <w:rsid w:val="00585362"/>
    <w:rsid w:val="00591C8E"/>
    <w:rsid w:val="00594D1E"/>
    <w:rsid w:val="005975FB"/>
    <w:rsid w:val="005A2199"/>
    <w:rsid w:val="005A4064"/>
    <w:rsid w:val="005A5061"/>
    <w:rsid w:val="005A67AE"/>
    <w:rsid w:val="005B16C3"/>
    <w:rsid w:val="005B2219"/>
    <w:rsid w:val="005B6731"/>
    <w:rsid w:val="005C0D04"/>
    <w:rsid w:val="005C4C29"/>
    <w:rsid w:val="005D0408"/>
    <w:rsid w:val="005D2BE1"/>
    <w:rsid w:val="005D5E74"/>
    <w:rsid w:val="005D6616"/>
    <w:rsid w:val="005E1684"/>
    <w:rsid w:val="005E24D2"/>
    <w:rsid w:val="005E4BE3"/>
    <w:rsid w:val="005E5340"/>
    <w:rsid w:val="005F55D8"/>
    <w:rsid w:val="005F7150"/>
    <w:rsid w:val="00600E0F"/>
    <w:rsid w:val="00601D37"/>
    <w:rsid w:val="00605B1E"/>
    <w:rsid w:val="00606635"/>
    <w:rsid w:val="00617C6C"/>
    <w:rsid w:val="006274A6"/>
    <w:rsid w:val="00636506"/>
    <w:rsid w:val="00645882"/>
    <w:rsid w:val="006517F7"/>
    <w:rsid w:val="00653842"/>
    <w:rsid w:val="00657B0C"/>
    <w:rsid w:val="006604A4"/>
    <w:rsid w:val="00661139"/>
    <w:rsid w:val="00661FDD"/>
    <w:rsid w:val="00662233"/>
    <w:rsid w:val="006646FE"/>
    <w:rsid w:val="0066488C"/>
    <w:rsid w:val="00670736"/>
    <w:rsid w:val="006717E3"/>
    <w:rsid w:val="00671DBE"/>
    <w:rsid w:val="006721C3"/>
    <w:rsid w:val="00673302"/>
    <w:rsid w:val="00675ECB"/>
    <w:rsid w:val="00675F08"/>
    <w:rsid w:val="0068161B"/>
    <w:rsid w:val="006818CB"/>
    <w:rsid w:val="00687A9A"/>
    <w:rsid w:val="00693C20"/>
    <w:rsid w:val="00696B3D"/>
    <w:rsid w:val="006A00C0"/>
    <w:rsid w:val="006A00F7"/>
    <w:rsid w:val="006A08AB"/>
    <w:rsid w:val="006A1E9F"/>
    <w:rsid w:val="006A69BF"/>
    <w:rsid w:val="006A6D77"/>
    <w:rsid w:val="006A6DD3"/>
    <w:rsid w:val="006B2521"/>
    <w:rsid w:val="006B5462"/>
    <w:rsid w:val="006B6746"/>
    <w:rsid w:val="006C11D1"/>
    <w:rsid w:val="006C420E"/>
    <w:rsid w:val="006C424E"/>
    <w:rsid w:val="006C797E"/>
    <w:rsid w:val="006D0237"/>
    <w:rsid w:val="006D38B5"/>
    <w:rsid w:val="006D3F1A"/>
    <w:rsid w:val="006D4024"/>
    <w:rsid w:val="006D46CE"/>
    <w:rsid w:val="006D663E"/>
    <w:rsid w:val="006E1F2F"/>
    <w:rsid w:val="006E2830"/>
    <w:rsid w:val="006E759F"/>
    <w:rsid w:val="006F03DA"/>
    <w:rsid w:val="006F4D47"/>
    <w:rsid w:val="006F4E44"/>
    <w:rsid w:val="006F5507"/>
    <w:rsid w:val="006F5CCC"/>
    <w:rsid w:val="006F77DF"/>
    <w:rsid w:val="006F7F34"/>
    <w:rsid w:val="00701A5A"/>
    <w:rsid w:val="007051CE"/>
    <w:rsid w:val="007053C7"/>
    <w:rsid w:val="00711DF4"/>
    <w:rsid w:val="00717745"/>
    <w:rsid w:val="00720FE7"/>
    <w:rsid w:val="00725722"/>
    <w:rsid w:val="00727F60"/>
    <w:rsid w:val="0073267E"/>
    <w:rsid w:val="007351EE"/>
    <w:rsid w:val="0073688B"/>
    <w:rsid w:val="00741378"/>
    <w:rsid w:val="00741932"/>
    <w:rsid w:val="00741F91"/>
    <w:rsid w:val="007421A9"/>
    <w:rsid w:val="00742823"/>
    <w:rsid w:val="00745DCE"/>
    <w:rsid w:val="00752A14"/>
    <w:rsid w:val="00757D43"/>
    <w:rsid w:val="00761A5B"/>
    <w:rsid w:val="00761F8B"/>
    <w:rsid w:val="00771537"/>
    <w:rsid w:val="00774DD2"/>
    <w:rsid w:val="00780109"/>
    <w:rsid w:val="00783B02"/>
    <w:rsid w:val="007871FC"/>
    <w:rsid w:val="00787794"/>
    <w:rsid w:val="00790345"/>
    <w:rsid w:val="00792EED"/>
    <w:rsid w:val="00794F0D"/>
    <w:rsid w:val="007A55E0"/>
    <w:rsid w:val="007A69E0"/>
    <w:rsid w:val="007A77F5"/>
    <w:rsid w:val="007B0DEE"/>
    <w:rsid w:val="007B0E09"/>
    <w:rsid w:val="007B174C"/>
    <w:rsid w:val="007C2E35"/>
    <w:rsid w:val="007C4571"/>
    <w:rsid w:val="007C46E6"/>
    <w:rsid w:val="007C79B6"/>
    <w:rsid w:val="007D0EC8"/>
    <w:rsid w:val="007D2273"/>
    <w:rsid w:val="007D5759"/>
    <w:rsid w:val="007D70A1"/>
    <w:rsid w:val="007D7D1A"/>
    <w:rsid w:val="007E59A9"/>
    <w:rsid w:val="007E6E7D"/>
    <w:rsid w:val="007E74D1"/>
    <w:rsid w:val="007F0038"/>
    <w:rsid w:val="007F094D"/>
    <w:rsid w:val="007F1CA3"/>
    <w:rsid w:val="007F5D8F"/>
    <w:rsid w:val="007F6FA8"/>
    <w:rsid w:val="007F7418"/>
    <w:rsid w:val="008026B1"/>
    <w:rsid w:val="00807153"/>
    <w:rsid w:val="008132E8"/>
    <w:rsid w:val="00823407"/>
    <w:rsid w:val="00825340"/>
    <w:rsid w:val="00825B7D"/>
    <w:rsid w:val="00827F2A"/>
    <w:rsid w:val="008332C1"/>
    <w:rsid w:val="00833604"/>
    <w:rsid w:val="008344FE"/>
    <w:rsid w:val="00835BE7"/>
    <w:rsid w:val="00837FB9"/>
    <w:rsid w:val="00842D76"/>
    <w:rsid w:val="00852BB1"/>
    <w:rsid w:val="00861AF5"/>
    <w:rsid w:val="00861D68"/>
    <w:rsid w:val="00863487"/>
    <w:rsid w:val="00864F8A"/>
    <w:rsid w:val="0086568A"/>
    <w:rsid w:val="0086650E"/>
    <w:rsid w:val="00866C2B"/>
    <w:rsid w:val="00866C73"/>
    <w:rsid w:val="00871634"/>
    <w:rsid w:val="00873DB2"/>
    <w:rsid w:val="0087614B"/>
    <w:rsid w:val="0088264B"/>
    <w:rsid w:val="00890450"/>
    <w:rsid w:val="00893667"/>
    <w:rsid w:val="00894E49"/>
    <w:rsid w:val="00897AFF"/>
    <w:rsid w:val="008A24F8"/>
    <w:rsid w:val="008A2962"/>
    <w:rsid w:val="008A2DAC"/>
    <w:rsid w:val="008A4A74"/>
    <w:rsid w:val="008B0184"/>
    <w:rsid w:val="008B3602"/>
    <w:rsid w:val="008B54DE"/>
    <w:rsid w:val="008B6510"/>
    <w:rsid w:val="008C27A1"/>
    <w:rsid w:val="008C4EBC"/>
    <w:rsid w:val="008C5D02"/>
    <w:rsid w:val="008C739C"/>
    <w:rsid w:val="008D181E"/>
    <w:rsid w:val="008D2649"/>
    <w:rsid w:val="008D2A72"/>
    <w:rsid w:val="008D6C90"/>
    <w:rsid w:val="008D6D3D"/>
    <w:rsid w:val="008E0DE9"/>
    <w:rsid w:val="008E203B"/>
    <w:rsid w:val="008E5CEC"/>
    <w:rsid w:val="008E6049"/>
    <w:rsid w:val="008E74BA"/>
    <w:rsid w:val="008F1B62"/>
    <w:rsid w:val="008F35A5"/>
    <w:rsid w:val="008F5C63"/>
    <w:rsid w:val="008F6D03"/>
    <w:rsid w:val="00902AF4"/>
    <w:rsid w:val="0090568D"/>
    <w:rsid w:val="00906822"/>
    <w:rsid w:val="009075A9"/>
    <w:rsid w:val="00911AF1"/>
    <w:rsid w:val="009125C9"/>
    <w:rsid w:val="00913421"/>
    <w:rsid w:val="00913879"/>
    <w:rsid w:val="00913A70"/>
    <w:rsid w:val="00914C4D"/>
    <w:rsid w:val="009155C6"/>
    <w:rsid w:val="0091644A"/>
    <w:rsid w:val="00917661"/>
    <w:rsid w:val="009204E0"/>
    <w:rsid w:val="00921E88"/>
    <w:rsid w:val="0092276A"/>
    <w:rsid w:val="00926937"/>
    <w:rsid w:val="0093421A"/>
    <w:rsid w:val="009372D3"/>
    <w:rsid w:val="0093781B"/>
    <w:rsid w:val="0094080F"/>
    <w:rsid w:val="00942453"/>
    <w:rsid w:val="009467E0"/>
    <w:rsid w:val="00951DB3"/>
    <w:rsid w:val="00953406"/>
    <w:rsid w:val="00955D97"/>
    <w:rsid w:val="00962E4F"/>
    <w:rsid w:val="0096428B"/>
    <w:rsid w:val="00966AF2"/>
    <w:rsid w:val="0097066E"/>
    <w:rsid w:val="00970E5D"/>
    <w:rsid w:val="00972E35"/>
    <w:rsid w:val="0097701C"/>
    <w:rsid w:val="00977639"/>
    <w:rsid w:val="009800EC"/>
    <w:rsid w:val="00980A65"/>
    <w:rsid w:val="00980CFB"/>
    <w:rsid w:val="00983EB7"/>
    <w:rsid w:val="00984AC3"/>
    <w:rsid w:val="0099460B"/>
    <w:rsid w:val="00994FBC"/>
    <w:rsid w:val="0099629F"/>
    <w:rsid w:val="009A33F5"/>
    <w:rsid w:val="009B4B70"/>
    <w:rsid w:val="009B4F2C"/>
    <w:rsid w:val="009B543C"/>
    <w:rsid w:val="009B6AEE"/>
    <w:rsid w:val="009C06EB"/>
    <w:rsid w:val="009C19A0"/>
    <w:rsid w:val="009C52B4"/>
    <w:rsid w:val="009D0DDA"/>
    <w:rsid w:val="009D244A"/>
    <w:rsid w:val="009D2D6F"/>
    <w:rsid w:val="009D4595"/>
    <w:rsid w:val="009D6CE2"/>
    <w:rsid w:val="009D751F"/>
    <w:rsid w:val="009E25F1"/>
    <w:rsid w:val="009E3477"/>
    <w:rsid w:val="009F0585"/>
    <w:rsid w:val="009F2A35"/>
    <w:rsid w:val="009F4D64"/>
    <w:rsid w:val="009F54ED"/>
    <w:rsid w:val="00A00CAA"/>
    <w:rsid w:val="00A02DD9"/>
    <w:rsid w:val="00A04CCE"/>
    <w:rsid w:val="00A11BFB"/>
    <w:rsid w:val="00A159D5"/>
    <w:rsid w:val="00A15BE6"/>
    <w:rsid w:val="00A21228"/>
    <w:rsid w:val="00A24366"/>
    <w:rsid w:val="00A25E70"/>
    <w:rsid w:val="00A261AC"/>
    <w:rsid w:val="00A2636D"/>
    <w:rsid w:val="00A27F4E"/>
    <w:rsid w:val="00A33765"/>
    <w:rsid w:val="00A37D16"/>
    <w:rsid w:val="00A40452"/>
    <w:rsid w:val="00A41C97"/>
    <w:rsid w:val="00A4208D"/>
    <w:rsid w:val="00A42F8A"/>
    <w:rsid w:val="00A516BC"/>
    <w:rsid w:val="00A531E0"/>
    <w:rsid w:val="00A54B79"/>
    <w:rsid w:val="00A554BF"/>
    <w:rsid w:val="00A55A9B"/>
    <w:rsid w:val="00A55BC0"/>
    <w:rsid w:val="00A615CB"/>
    <w:rsid w:val="00A63269"/>
    <w:rsid w:val="00A6665F"/>
    <w:rsid w:val="00A6793C"/>
    <w:rsid w:val="00A71567"/>
    <w:rsid w:val="00A72BE7"/>
    <w:rsid w:val="00A73208"/>
    <w:rsid w:val="00A73BEF"/>
    <w:rsid w:val="00A74ECA"/>
    <w:rsid w:val="00A77741"/>
    <w:rsid w:val="00A82703"/>
    <w:rsid w:val="00A840ED"/>
    <w:rsid w:val="00A84469"/>
    <w:rsid w:val="00A861FE"/>
    <w:rsid w:val="00A90981"/>
    <w:rsid w:val="00A91492"/>
    <w:rsid w:val="00A91F2F"/>
    <w:rsid w:val="00A92377"/>
    <w:rsid w:val="00A9685E"/>
    <w:rsid w:val="00A9799D"/>
    <w:rsid w:val="00AA1104"/>
    <w:rsid w:val="00AA4B16"/>
    <w:rsid w:val="00AB1D71"/>
    <w:rsid w:val="00AB29ED"/>
    <w:rsid w:val="00AB33E2"/>
    <w:rsid w:val="00AB424B"/>
    <w:rsid w:val="00AB6CB0"/>
    <w:rsid w:val="00AC0CC4"/>
    <w:rsid w:val="00AC4FCB"/>
    <w:rsid w:val="00AC7B26"/>
    <w:rsid w:val="00AD0E21"/>
    <w:rsid w:val="00AD2B77"/>
    <w:rsid w:val="00AD5A2E"/>
    <w:rsid w:val="00AE073B"/>
    <w:rsid w:val="00AE0B2A"/>
    <w:rsid w:val="00AE15C1"/>
    <w:rsid w:val="00AE199E"/>
    <w:rsid w:val="00AE4BD8"/>
    <w:rsid w:val="00AE4DEC"/>
    <w:rsid w:val="00AE66BE"/>
    <w:rsid w:val="00AF1345"/>
    <w:rsid w:val="00AF181B"/>
    <w:rsid w:val="00AF43A3"/>
    <w:rsid w:val="00AF6176"/>
    <w:rsid w:val="00AF7267"/>
    <w:rsid w:val="00B10211"/>
    <w:rsid w:val="00B10707"/>
    <w:rsid w:val="00B10A74"/>
    <w:rsid w:val="00B12A24"/>
    <w:rsid w:val="00B15ACD"/>
    <w:rsid w:val="00B15CCB"/>
    <w:rsid w:val="00B20517"/>
    <w:rsid w:val="00B248C5"/>
    <w:rsid w:val="00B30B6F"/>
    <w:rsid w:val="00B372C9"/>
    <w:rsid w:val="00B43604"/>
    <w:rsid w:val="00B4388F"/>
    <w:rsid w:val="00B43AD2"/>
    <w:rsid w:val="00B447C8"/>
    <w:rsid w:val="00B44ADA"/>
    <w:rsid w:val="00B53920"/>
    <w:rsid w:val="00B61EA8"/>
    <w:rsid w:val="00B63237"/>
    <w:rsid w:val="00B63360"/>
    <w:rsid w:val="00B64B94"/>
    <w:rsid w:val="00B65C04"/>
    <w:rsid w:val="00B6758F"/>
    <w:rsid w:val="00B81564"/>
    <w:rsid w:val="00B90AF4"/>
    <w:rsid w:val="00B93131"/>
    <w:rsid w:val="00B9559B"/>
    <w:rsid w:val="00B967A4"/>
    <w:rsid w:val="00B9756C"/>
    <w:rsid w:val="00BA7EB6"/>
    <w:rsid w:val="00BB0554"/>
    <w:rsid w:val="00BB09B7"/>
    <w:rsid w:val="00BB2F77"/>
    <w:rsid w:val="00BB6390"/>
    <w:rsid w:val="00BB65FD"/>
    <w:rsid w:val="00BC5908"/>
    <w:rsid w:val="00BD2BFE"/>
    <w:rsid w:val="00BD3FE0"/>
    <w:rsid w:val="00BD47CE"/>
    <w:rsid w:val="00BE4462"/>
    <w:rsid w:val="00BE4D97"/>
    <w:rsid w:val="00BE7454"/>
    <w:rsid w:val="00BE7E23"/>
    <w:rsid w:val="00BF31C8"/>
    <w:rsid w:val="00BF5C43"/>
    <w:rsid w:val="00BF664F"/>
    <w:rsid w:val="00BF6688"/>
    <w:rsid w:val="00BF7FC0"/>
    <w:rsid w:val="00C00206"/>
    <w:rsid w:val="00C0055C"/>
    <w:rsid w:val="00C022A1"/>
    <w:rsid w:val="00C02B3D"/>
    <w:rsid w:val="00C0496B"/>
    <w:rsid w:val="00C06B5F"/>
    <w:rsid w:val="00C06CB8"/>
    <w:rsid w:val="00C074FC"/>
    <w:rsid w:val="00C14732"/>
    <w:rsid w:val="00C16C95"/>
    <w:rsid w:val="00C22A41"/>
    <w:rsid w:val="00C24FA1"/>
    <w:rsid w:val="00C25B0B"/>
    <w:rsid w:val="00C27E96"/>
    <w:rsid w:val="00C35378"/>
    <w:rsid w:val="00C3611C"/>
    <w:rsid w:val="00C36215"/>
    <w:rsid w:val="00C3695D"/>
    <w:rsid w:val="00C400D2"/>
    <w:rsid w:val="00C41DD5"/>
    <w:rsid w:val="00C43CBB"/>
    <w:rsid w:val="00C53C6B"/>
    <w:rsid w:val="00C556DE"/>
    <w:rsid w:val="00C56A20"/>
    <w:rsid w:val="00C6261B"/>
    <w:rsid w:val="00C65CE8"/>
    <w:rsid w:val="00C74040"/>
    <w:rsid w:val="00C75231"/>
    <w:rsid w:val="00C76075"/>
    <w:rsid w:val="00C768FE"/>
    <w:rsid w:val="00C810A9"/>
    <w:rsid w:val="00C850A7"/>
    <w:rsid w:val="00C86920"/>
    <w:rsid w:val="00C86C09"/>
    <w:rsid w:val="00C86DD2"/>
    <w:rsid w:val="00C941C0"/>
    <w:rsid w:val="00C960DC"/>
    <w:rsid w:val="00C9690F"/>
    <w:rsid w:val="00C974F5"/>
    <w:rsid w:val="00CA0935"/>
    <w:rsid w:val="00CC0F36"/>
    <w:rsid w:val="00CC35F6"/>
    <w:rsid w:val="00CC7E56"/>
    <w:rsid w:val="00CD0B59"/>
    <w:rsid w:val="00CD236C"/>
    <w:rsid w:val="00CD3865"/>
    <w:rsid w:val="00CE0C5F"/>
    <w:rsid w:val="00CE5824"/>
    <w:rsid w:val="00CE5B59"/>
    <w:rsid w:val="00CE7387"/>
    <w:rsid w:val="00CE7453"/>
    <w:rsid w:val="00CF2058"/>
    <w:rsid w:val="00CF2D31"/>
    <w:rsid w:val="00CF6AB6"/>
    <w:rsid w:val="00D000A0"/>
    <w:rsid w:val="00D02C75"/>
    <w:rsid w:val="00D0317E"/>
    <w:rsid w:val="00D03772"/>
    <w:rsid w:val="00D053EF"/>
    <w:rsid w:val="00D05E22"/>
    <w:rsid w:val="00D10D24"/>
    <w:rsid w:val="00D10E22"/>
    <w:rsid w:val="00D13D2C"/>
    <w:rsid w:val="00D1443F"/>
    <w:rsid w:val="00D15E7F"/>
    <w:rsid w:val="00D16C02"/>
    <w:rsid w:val="00D22B18"/>
    <w:rsid w:val="00D2321A"/>
    <w:rsid w:val="00D25CBB"/>
    <w:rsid w:val="00D27F20"/>
    <w:rsid w:val="00D30EB8"/>
    <w:rsid w:val="00D374F8"/>
    <w:rsid w:val="00D40F03"/>
    <w:rsid w:val="00D43479"/>
    <w:rsid w:val="00D450D2"/>
    <w:rsid w:val="00D504AA"/>
    <w:rsid w:val="00D52A4F"/>
    <w:rsid w:val="00D52D35"/>
    <w:rsid w:val="00D60BBA"/>
    <w:rsid w:val="00D61021"/>
    <w:rsid w:val="00D67EF8"/>
    <w:rsid w:val="00D7032A"/>
    <w:rsid w:val="00D72465"/>
    <w:rsid w:val="00D75A05"/>
    <w:rsid w:val="00D76479"/>
    <w:rsid w:val="00D77122"/>
    <w:rsid w:val="00D774FB"/>
    <w:rsid w:val="00D85D67"/>
    <w:rsid w:val="00D867CF"/>
    <w:rsid w:val="00D87705"/>
    <w:rsid w:val="00D91BD6"/>
    <w:rsid w:val="00D95F02"/>
    <w:rsid w:val="00DA062A"/>
    <w:rsid w:val="00DB2596"/>
    <w:rsid w:val="00DB63DC"/>
    <w:rsid w:val="00DB74B1"/>
    <w:rsid w:val="00DC2291"/>
    <w:rsid w:val="00DC2A70"/>
    <w:rsid w:val="00DC2F94"/>
    <w:rsid w:val="00DC498C"/>
    <w:rsid w:val="00DC7019"/>
    <w:rsid w:val="00DC7A84"/>
    <w:rsid w:val="00DD063E"/>
    <w:rsid w:val="00DD1ECF"/>
    <w:rsid w:val="00DD395A"/>
    <w:rsid w:val="00DD3BBB"/>
    <w:rsid w:val="00DD3D9E"/>
    <w:rsid w:val="00DD4D3C"/>
    <w:rsid w:val="00DD662D"/>
    <w:rsid w:val="00DD7908"/>
    <w:rsid w:val="00DE61F3"/>
    <w:rsid w:val="00DE782A"/>
    <w:rsid w:val="00DF0BB7"/>
    <w:rsid w:val="00DF3E04"/>
    <w:rsid w:val="00DF62A6"/>
    <w:rsid w:val="00DF686F"/>
    <w:rsid w:val="00E025CC"/>
    <w:rsid w:val="00E07246"/>
    <w:rsid w:val="00E12D4B"/>
    <w:rsid w:val="00E12F87"/>
    <w:rsid w:val="00E1329D"/>
    <w:rsid w:val="00E2533A"/>
    <w:rsid w:val="00E25DA5"/>
    <w:rsid w:val="00E326FE"/>
    <w:rsid w:val="00E36BC0"/>
    <w:rsid w:val="00E375D9"/>
    <w:rsid w:val="00E37C94"/>
    <w:rsid w:val="00E41DE6"/>
    <w:rsid w:val="00E46CE6"/>
    <w:rsid w:val="00E47E7F"/>
    <w:rsid w:val="00E555C7"/>
    <w:rsid w:val="00E64AAE"/>
    <w:rsid w:val="00E65076"/>
    <w:rsid w:val="00E70027"/>
    <w:rsid w:val="00E80360"/>
    <w:rsid w:val="00E803EE"/>
    <w:rsid w:val="00E80E52"/>
    <w:rsid w:val="00E81EAA"/>
    <w:rsid w:val="00E82297"/>
    <w:rsid w:val="00E82808"/>
    <w:rsid w:val="00E836CE"/>
    <w:rsid w:val="00E857BB"/>
    <w:rsid w:val="00E85EC3"/>
    <w:rsid w:val="00E86129"/>
    <w:rsid w:val="00E906D6"/>
    <w:rsid w:val="00E9140A"/>
    <w:rsid w:val="00E92E8D"/>
    <w:rsid w:val="00E9545E"/>
    <w:rsid w:val="00EA0159"/>
    <w:rsid w:val="00EA23F2"/>
    <w:rsid w:val="00EA38F9"/>
    <w:rsid w:val="00EA4D85"/>
    <w:rsid w:val="00EA7782"/>
    <w:rsid w:val="00EA7A27"/>
    <w:rsid w:val="00EB1DA0"/>
    <w:rsid w:val="00EB4B67"/>
    <w:rsid w:val="00EB7C35"/>
    <w:rsid w:val="00EC0014"/>
    <w:rsid w:val="00EC13EC"/>
    <w:rsid w:val="00EC2FB6"/>
    <w:rsid w:val="00EC4F9F"/>
    <w:rsid w:val="00ED709C"/>
    <w:rsid w:val="00ED7C1B"/>
    <w:rsid w:val="00EE078F"/>
    <w:rsid w:val="00EE3A8D"/>
    <w:rsid w:val="00EE595A"/>
    <w:rsid w:val="00EE5D8D"/>
    <w:rsid w:val="00EF0C35"/>
    <w:rsid w:val="00EF39FD"/>
    <w:rsid w:val="00EF4637"/>
    <w:rsid w:val="00F01A0F"/>
    <w:rsid w:val="00F0223D"/>
    <w:rsid w:val="00F05473"/>
    <w:rsid w:val="00F06568"/>
    <w:rsid w:val="00F06842"/>
    <w:rsid w:val="00F107FD"/>
    <w:rsid w:val="00F15350"/>
    <w:rsid w:val="00F22995"/>
    <w:rsid w:val="00F229BB"/>
    <w:rsid w:val="00F24AC3"/>
    <w:rsid w:val="00F26935"/>
    <w:rsid w:val="00F306F5"/>
    <w:rsid w:val="00F30BEC"/>
    <w:rsid w:val="00F318D0"/>
    <w:rsid w:val="00F31982"/>
    <w:rsid w:val="00F31B72"/>
    <w:rsid w:val="00F35B38"/>
    <w:rsid w:val="00F3676A"/>
    <w:rsid w:val="00F37C51"/>
    <w:rsid w:val="00F413FF"/>
    <w:rsid w:val="00F422D3"/>
    <w:rsid w:val="00F44A05"/>
    <w:rsid w:val="00F46A68"/>
    <w:rsid w:val="00F46C0C"/>
    <w:rsid w:val="00F53DFE"/>
    <w:rsid w:val="00F5560E"/>
    <w:rsid w:val="00F55B37"/>
    <w:rsid w:val="00F566DB"/>
    <w:rsid w:val="00F56999"/>
    <w:rsid w:val="00F60453"/>
    <w:rsid w:val="00F60E6B"/>
    <w:rsid w:val="00F633FB"/>
    <w:rsid w:val="00F64FB8"/>
    <w:rsid w:val="00F66CBB"/>
    <w:rsid w:val="00F70DC3"/>
    <w:rsid w:val="00F7138B"/>
    <w:rsid w:val="00F72AE8"/>
    <w:rsid w:val="00F73427"/>
    <w:rsid w:val="00F76D56"/>
    <w:rsid w:val="00F77B19"/>
    <w:rsid w:val="00F8040D"/>
    <w:rsid w:val="00F9381C"/>
    <w:rsid w:val="00F93908"/>
    <w:rsid w:val="00F93AD2"/>
    <w:rsid w:val="00F95E72"/>
    <w:rsid w:val="00F9787A"/>
    <w:rsid w:val="00FA2110"/>
    <w:rsid w:val="00FA2474"/>
    <w:rsid w:val="00FA746D"/>
    <w:rsid w:val="00FA7BDA"/>
    <w:rsid w:val="00FB0047"/>
    <w:rsid w:val="00FB1CB4"/>
    <w:rsid w:val="00FB2FF1"/>
    <w:rsid w:val="00FB48F7"/>
    <w:rsid w:val="00FB636C"/>
    <w:rsid w:val="00FB64A8"/>
    <w:rsid w:val="00FB70CE"/>
    <w:rsid w:val="00FC2173"/>
    <w:rsid w:val="00FC4ED4"/>
    <w:rsid w:val="00FD2EC4"/>
    <w:rsid w:val="00FD3D04"/>
    <w:rsid w:val="00FD525B"/>
    <w:rsid w:val="00FD6CF5"/>
    <w:rsid w:val="00FD779C"/>
    <w:rsid w:val="00FE144E"/>
    <w:rsid w:val="00FE297E"/>
    <w:rsid w:val="00FE345F"/>
    <w:rsid w:val="00FE3665"/>
    <w:rsid w:val="00FE4442"/>
    <w:rsid w:val="00FF35C3"/>
    <w:rsid w:val="00FF6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Testosegnaposto">
    <w:name w:val="Placeholder Text"/>
    <w:basedOn w:val="Carpredefinitoparagrafo"/>
    <w:uiPriority w:val="99"/>
    <w:semiHidden/>
    <w:rsid w:val="001E12BB"/>
    <w:rPr>
      <w:color w:val="808080"/>
    </w:rPr>
  </w:style>
  <w:style w:type="table" w:styleId="Grigliatabella">
    <w:name w:val="Table Grid"/>
    <w:basedOn w:val="Tabellanormale"/>
    <w:rsid w:val="002F0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60663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22365">
      <w:bodyDiv w:val="1"/>
      <w:marLeft w:val="0"/>
      <w:marRight w:val="0"/>
      <w:marTop w:val="0"/>
      <w:marBottom w:val="0"/>
      <w:divBdr>
        <w:top w:val="none" w:sz="0" w:space="0" w:color="auto"/>
        <w:left w:val="none" w:sz="0" w:space="0" w:color="auto"/>
        <w:bottom w:val="none" w:sz="0" w:space="0" w:color="auto"/>
        <w:right w:val="none" w:sz="0" w:space="0" w:color="auto"/>
      </w:divBdr>
      <w:divsChild>
        <w:div w:id="1446461668">
          <w:marLeft w:val="480"/>
          <w:marRight w:val="0"/>
          <w:marTop w:val="0"/>
          <w:marBottom w:val="0"/>
          <w:divBdr>
            <w:top w:val="none" w:sz="0" w:space="0" w:color="auto"/>
            <w:left w:val="none" w:sz="0" w:space="0" w:color="auto"/>
            <w:bottom w:val="none" w:sz="0" w:space="0" w:color="auto"/>
            <w:right w:val="none" w:sz="0" w:space="0" w:color="auto"/>
          </w:divBdr>
          <w:divsChild>
            <w:div w:id="1986354935">
              <w:marLeft w:val="0"/>
              <w:marRight w:val="0"/>
              <w:marTop w:val="0"/>
              <w:marBottom w:val="0"/>
              <w:divBdr>
                <w:top w:val="none" w:sz="0" w:space="0" w:color="auto"/>
                <w:left w:val="none" w:sz="0" w:space="0" w:color="auto"/>
                <w:bottom w:val="none" w:sz="0" w:space="0" w:color="auto"/>
                <w:right w:val="none" w:sz="0" w:space="0" w:color="auto"/>
              </w:divBdr>
            </w:div>
            <w:div w:id="1303731301">
              <w:marLeft w:val="0"/>
              <w:marRight w:val="0"/>
              <w:marTop w:val="0"/>
              <w:marBottom w:val="0"/>
              <w:divBdr>
                <w:top w:val="none" w:sz="0" w:space="0" w:color="auto"/>
                <w:left w:val="none" w:sz="0" w:space="0" w:color="auto"/>
                <w:bottom w:val="none" w:sz="0" w:space="0" w:color="auto"/>
                <w:right w:val="none" w:sz="0" w:space="0" w:color="auto"/>
              </w:divBdr>
            </w:div>
            <w:div w:id="627856095">
              <w:marLeft w:val="0"/>
              <w:marRight w:val="0"/>
              <w:marTop w:val="0"/>
              <w:marBottom w:val="0"/>
              <w:divBdr>
                <w:top w:val="none" w:sz="0" w:space="0" w:color="auto"/>
                <w:left w:val="none" w:sz="0" w:space="0" w:color="auto"/>
                <w:bottom w:val="none" w:sz="0" w:space="0" w:color="auto"/>
                <w:right w:val="none" w:sz="0" w:space="0" w:color="auto"/>
              </w:divBdr>
            </w:div>
            <w:div w:id="1505703298">
              <w:marLeft w:val="0"/>
              <w:marRight w:val="0"/>
              <w:marTop w:val="0"/>
              <w:marBottom w:val="0"/>
              <w:divBdr>
                <w:top w:val="none" w:sz="0" w:space="0" w:color="auto"/>
                <w:left w:val="none" w:sz="0" w:space="0" w:color="auto"/>
                <w:bottom w:val="none" w:sz="0" w:space="0" w:color="auto"/>
                <w:right w:val="none" w:sz="0" w:space="0" w:color="auto"/>
              </w:divBdr>
            </w:div>
            <w:div w:id="1243948634">
              <w:marLeft w:val="0"/>
              <w:marRight w:val="0"/>
              <w:marTop w:val="0"/>
              <w:marBottom w:val="0"/>
              <w:divBdr>
                <w:top w:val="none" w:sz="0" w:space="0" w:color="auto"/>
                <w:left w:val="none" w:sz="0" w:space="0" w:color="auto"/>
                <w:bottom w:val="none" w:sz="0" w:space="0" w:color="auto"/>
                <w:right w:val="none" w:sz="0" w:space="0" w:color="auto"/>
              </w:divBdr>
            </w:div>
            <w:div w:id="1266618038">
              <w:marLeft w:val="0"/>
              <w:marRight w:val="0"/>
              <w:marTop w:val="0"/>
              <w:marBottom w:val="0"/>
              <w:divBdr>
                <w:top w:val="none" w:sz="0" w:space="0" w:color="auto"/>
                <w:left w:val="none" w:sz="0" w:space="0" w:color="auto"/>
                <w:bottom w:val="none" w:sz="0" w:space="0" w:color="auto"/>
                <w:right w:val="none" w:sz="0" w:space="0" w:color="auto"/>
              </w:divBdr>
            </w:div>
            <w:div w:id="1547645840">
              <w:marLeft w:val="0"/>
              <w:marRight w:val="0"/>
              <w:marTop w:val="0"/>
              <w:marBottom w:val="0"/>
              <w:divBdr>
                <w:top w:val="none" w:sz="0" w:space="0" w:color="auto"/>
                <w:left w:val="none" w:sz="0" w:space="0" w:color="auto"/>
                <w:bottom w:val="none" w:sz="0" w:space="0" w:color="auto"/>
                <w:right w:val="none" w:sz="0" w:space="0" w:color="auto"/>
              </w:divBdr>
            </w:div>
            <w:div w:id="106649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75225">
      <w:bodyDiv w:val="1"/>
      <w:marLeft w:val="0"/>
      <w:marRight w:val="0"/>
      <w:marTop w:val="0"/>
      <w:marBottom w:val="0"/>
      <w:divBdr>
        <w:top w:val="none" w:sz="0" w:space="0" w:color="auto"/>
        <w:left w:val="none" w:sz="0" w:space="0" w:color="auto"/>
        <w:bottom w:val="none" w:sz="0" w:space="0" w:color="auto"/>
        <w:right w:val="none" w:sz="0" w:space="0" w:color="auto"/>
      </w:divBdr>
    </w:div>
    <w:div w:id="575431467">
      <w:bodyDiv w:val="1"/>
      <w:marLeft w:val="0"/>
      <w:marRight w:val="0"/>
      <w:marTop w:val="0"/>
      <w:marBottom w:val="0"/>
      <w:divBdr>
        <w:top w:val="none" w:sz="0" w:space="0" w:color="auto"/>
        <w:left w:val="none" w:sz="0" w:space="0" w:color="auto"/>
        <w:bottom w:val="none" w:sz="0" w:space="0" w:color="auto"/>
        <w:right w:val="none" w:sz="0" w:space="0" w:color="auto"/>
      </w:divBdr>
    </w:div>
    <w:div w:id="17981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D714E-0B06-47B1-86F8-A3F398B6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2705</Words>
  <Characters>15420</Characters>
  <Application>Microsoft Office Word</Application>
  <DocSecurity>0</DocSecurity>
  <Lines>128</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18089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2</cp:revision>
  <cp:lastPrinted>2004-12-17T09:20:00Z</cp:lastPrinted>
  <dcterms:created xsi:type="dcterms:W3CDTF">2024-01-05T17:42:00Z</dcterms:created>
  <dcterms:modified xsi:type="dcterms:W3CDTF">2024-01-05T17:42:00Z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