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67F" w14:textId="53118EC2" w:rsidR="00DD3D9E" w:rsidRPr="00B4388F" w:rsidRDefault="005B0A07" w:rsidP="005E4ABC">
      <w:pPr>
        <w:pStyle w:val="Els-Title"/>
        <w:spacing w:line="240" w:lineRule="auto"/>
        <w:rPr>
          <w:color w:val="000000" w:themeColor="text1"/>
        </w:rPr>
      </w:pPr>
      <w:bookmarkStart w:id="0" w:name="_Hlk152575777"/>
      <w:r w:rsidRPr="002F3977">
        <w:rPr>
          <w:color w:val="000000" w:themeColor="text1"/>
        </w:rPr>
        <w:t>Modeling and Optimizing Sugarcane</w:t>
      </w:r>
      <w:r>
        <w:rPr>
          <w:color w:val="000000" w:themeColor="text1"/>
        </w:rPr>
        <w:t>-</w:t>
      </w:r>
      <w:r w:rsidRPr="002F3977">
        <w:rPr>
          <w:color w:val="000000" w:themeColor="text1"/>
        </w:rPr>
        <w:t>Livestock Integration Systems in Brazil</w:t>
      </w:r>
    </w:p>
    <w:p w14:paraId="55DCEDDC" w14:textId="7DAA5A17" w:rsidR="005B0A07" w:rsidRPr="002F3977" w:rsidRDefault="005B0A07" w:rsidP="00612A47">
      <w:pPr>
        <w:spacing w:after="240"/>
        <w:jc w:val="both"/>
        <w:rPr>
          <w:vertAlign w:val="superscript"/>
          <w:lang w:val="pt-BR"/>
        </w:rPr>
      </w:pPr>
      <w:bookmarkStart w:id="1" w:name="_Hlk152233468"/>
      <w:bookmarkEnd w:id="0"/>
      <w:r w:rsidRPr="002F3977">
        <w:rPr>
          <w:lang w:val="pt-BR"/>
        </w:rPr>
        <w:t>Igor L. R. Dias</w:t>
      </w:r>
      <w:r w:rsidRPr="002F3977">
        <w:rPr>
          <w:vertAlign w:val="superscript"/>
          <w:lang w:val="pt-BR"/>
        </w:rPr>
        <w:t>a</w:t>
      </w:r>
      <w:r>
        <w:rPr>
          <w:vertAlign w:val="superscript"/>
          <w:lang w:val="pt-BR"/>
        </w:rPr>
        <w:t>*</w:t>
      </w:r>
      <w:r w:rsidRPr="002F3977">
        <w:rPr>
          <w:lang w:val="pt-BR"/>
        </w:rPr>
        <w:t>, Terezinha F. Cardoso</w:t>
      </w:r>
      <w:r w:rsidRPr="002F3977">
        <w:rPr>
          <w:vertAlign w:val="superscript"/>
          <w:lang w:val="pt-BR"/>
        </w:rPr>
        <w:t>b</w:t>
      </w:r>
      <w:r w:rsidRPr="002F3977">
        <w:rPr>
          <w:lang w:val="pt-BR"/>
        </w:rPr>
        <w:t>, Ana C. M. Jimenez</w:t>
      </w:r>
      <w:r w:rsidRPr="002F3977">
        <w:rPr>
          <w:vertAlign w:val="superscript"/>
          <w:lang w:val="pt-BR"/>
        </w:rPr>
        <w:t>b</w:t>
      </w:r>
      <w:r w:rsidRPr="002F3977">
        <w:rPr>
          <w:lang w:val="pt-BR"/>
        </w:rPr>
        <w:t>, João G. O. Marques</w:t>
      </w:r>
      <w:r w:rsidRPr="002F3977">
        <w:rPr>
          <w:vertAlign w:val="superscript"/>
          <w:lang w:val="pt-BR"/>
        </w:rPr>
        <w:t>c</w:t>
      </w:r>
      <w:r w:rsidRPr="002F3977">
        <w:rPr>
          <w:lang w:val="pt-BR"/>
        </w:rPr>
        <w:t>, Luís G. Barioni</w:t>
      </w:r>
      <w:r w:rsidRPr="002F3977">
        <w:rPr>
          <w:vertAlign w:val="superscript"/>
          <w:lang w:val="pt-BR"/>
        </w:rPr>
        <w:t>d</w:t>
      </w:r>
      <w:r w:rsidRPr="002F3977">
        <w:rPr>
          <w:lang w:val="pt-BR"/>
        </w:rPr>
        <w:t>, Flávia Barbosa</w:t>
      </w:r>
      <w:r w:rsidRPr="002F3977">
        <w:rPr>
          <w:vertAlign w:val="superscript"/>
          <w:lang w:val="pt-BR"/>
        </w:rPr>
        <w:t>e</w:t>
      </w:r>
      <w:r w:rsidRPr="002F3977">
        <w:rPr>
          <w:lang w:val="pt-BR"/>
        </w:rPr>
        <w:t>, Adriano P. Mariano</w:t>
      </w:r>
      <w:r w:rsidRPr="002F3977">
        <w:rPr>
          <w:vertAlign w:val="superscript"/>
          <w:lang w:val="pt-BR"/>
        </w:rPr>
        <w:t>a</w:t>
      </w:r>
      <w:r w:rsidRPr="002F3977">
        <w:rPr>
          <w:lang w:val="pt-BR"/>
        </w:rPr>
        <w:t>, Marcelo P. Cunha</w:t>
      </w:r>
      <w:r w:rsidRPr="002F3977">
        <w:rPr>
          <w:vertAlign w:val="superscript"/>
          <w:lang w:val="pt-BR"/>
        </w:rPr>
        <w:t>f</w:t>
      </w:r>
      <w:r w:rsidRPr="002F3977">
        <w:rPr>
          <w:lang w:val="pt-BR"/>
        </w:rPr>
        <w:t>, Antonio Bonomi</w:t>
      </w:r>
      <w:r w:rsidRPr="002F3977">
        <w:rPr>
          <w:vertAlign w:val="superscript"/>
          <w:lang w:val="pt-BR"/>
        </w:rPr>
        <w:t>b</w:t>
      </w:r>
      <w:bookmarkEnd w:id="1"/>
    </w:p>
    <w:p w14:paraId="7E59E2EC" w14:textId="77777777" w:rsidR="005B0A07" w:rsidRPr="002F3977" w:rsidRDefault="005B0A07" w:rsidP="005E4ABC">
      <w:pPr>
        <w:spacing w:after="120"/>
        <w:jc w:val="both"/>
        <w:rPr>
          <w:i/>
          <w:iCs/>
          <w:lang w:val="pt-BR"/>
        </w:rPr>
      </w:pPr>
      <w:bookmarkStart w:id="2" w:name="_Hlk152233527"/>
      <w:bookmarkStart w:id="3" w:name="_Hlk152233572"/>
      <w:r w:rsidRPr="002F3977">
        <w:rPr>
          <w:i/>
          <w:iCs/>
          <w:vertAlign w:val="superscript"/>
          <w:lang w:val="pt-BR"/>
        </w:rPr>
        <w:t>a</w:t>
      </w:r>
      <w:r w:rsidRPr="002F3977">
        <w:rPr>
          <w:i/>
          <w:iCs/>
          <w:lang w:val="pt-BR"/>
        </w:rPr>
        <w:t>Faculdade de Engenharia Química (FEQ), Universidade Estadual de Campinas (Unicamp), Av. Albert Einstein, 500, CEP 13083-852, Campinas - SP, Brasil.</w:t>
      </w:r>
    </w:p>
    <w:bookmarkEnd w:id="2"/>
    <w:p w14:paraId="59636F8B" w14:textId="77777777" w:rsidR="005B0A07" w:rsidRPr="002F3977" w:rsidRDefault="005B0A07" w:rsidP="005E4ABC">
      <w:pPr>
        <w:spacing w:after="120"/>
        <w:jc w:val="both"/>
        <w:rPr>
          <w:i/>
          <w:iCs/>
          <w:lang w:val="pt-BR"/>
        </w:rPr>
      </w:pPr>
      <w:r w:rsidRPr="002F3977">
        <w:rPr>
          <w:i/>
          <w:iCs/>
          <w:vertAlign w:val="superscript"/>
          <w:lang w:val="pt-BR"/>
        </w:rPr>
        <w:t xml:space="preserve">b </w:t>
      </w:r>
      <w:r w:rsidRPr="002F3977">
        <w:rPr>
          <w:i/>
          <w:iCs/>
          <w:lang w:val="pt-BR"/>
        </w:rPr>
        <w:t>Laboratório Nacional de Biorrenováveis (LNBR), Centro Nacional de Pesquisa em Energia e Materiais (CNPEM), CEP 13083-970, Campinas - SP, Brasil.</w:t>
      </w:r>
    </w:p>
    <w:p w14:paraId="56BB126B" w14:textId="77777777" w:rsidR="005B0A07" w:rsidRPr="002F3977" w:rsidRDefault="005B0A07" w:rsidP="005E4ABC">
      <w:pPr>
        <w:spacing w:after="120"/>
        <w:jc w:val="both"/>
        <w:rPr>
          <w:i/>
          <w:iCs/>
          <w:lang w:val="pt-BR"/>
        </w:rPr>
      </w:pPr>
      <w:r w:rsidRPr="002F3977">
        <w:rPr>
          <w:i/>
          <w:iCs/>
          <w:vertAlign w:val="superscript"/>
          <w:lang w:val="pt-BR"/>
        </w:rPr>
        <w:t>c</w:t>
      </w:r>
      <w:r w:rsidRPr="002F3977">
        <w:rPr>
          <w:i/>
          <w:iCs/>
          <w:lang w:val="pt-BR"/>
        </w:rPr>
        <w:t>Parrakat, Edinburgh, United Kingdom.</w:t>
      </w:r>
    </w:p>
    <w:p w14:paraId="61BE746D" w14:textId="77777777" w:rsidR="005B0A07" w:rsidRPr="002F3977" w:rsidRDefault="005B0A07" w:rsidP="005E4ABC">
      <w:pPr>
        <w:spacing w:after="120"/>
        <w:jc w:val="both"/>
        <w:rPr>
          <w:i/>
          <w:iCs/>
          <w:lang w:val="pt-BR"/>
        </w:rPr>
      </w:pPr>
      <w:r w:rsidRPr="002F3977">
        <w:rPr>
          <w:i/>
          <w:iCs/>
          <w:vertAlign w:val="superscript"/>
          <w:lang w:val="pt-BR"/>
        </w:rPr>
        <w:t>d</w:t>
      </w:r>
      <w:r w:rsidRPr="002F3977">
        <w:rPr>
          <w:i/>
          <w:iCs/>
          <w:lang w:val="pt-BR"/>
        </w:rPr>
        <w:t>Embrapa Agricultura Digital - Embrapa, Av. Dr. André Tosello, 209 - Cidade Universitária, 13083-886, Campinas – SP, Brasil.</w:t>
      </w:r>
    </w:p>
    <w:p w14:paraId="62856677" w14:textId="77777777" w:rsidR="005B0A07" w:rsidRPr="002F3977" w:rsidRDefault="005B0A07" w:rsidP="005E4ABC">
      <w:pPr>
        <w:spacing w:after="120"/>
        <w:jc w:val="both"/>
        <w:rPr>
          <w:i/>
          <w:iCs/>
          <w:lang w:val="pt-BR"/>
        </w:rPr>
      </w:pPr>
      <w:r w:rsidRPr="002F3977">
        <w:rPr>
          <w:i/>
          <w:iCs/>
          <w:vertAlign w:val="superscript"/>
          <w:lang w:val="pt-BR"/>
        </w:rPr>
        <w:t xml:space="preserve">e </w:t>
      </w:r>
      <w:bookmarkStart w:id="4" w:name="_Hlk152698667"/>
      <w:r w:rsidRPr="002F3977">
        <w:rPr>
          <w:i/>
          <w:iCs/>
          <w:lang w:val="pt-BR"/>
        </w:rPr>
        <w:t>INESC TEC</w:t>
      </w:r>
      <w:bookmarkEnd w:id="4"/>
      <w:r w:rsidRPr="002F3977">
        <w:rPr>
          <w:i/>
          <w:iCs/>
          <w:lang w:val="pt-BR"/>
        </w:rPr>
        <w:t xml:space="preserve">, Faculdade de Engenharia, Universidade do Porto, Porto, Portugal. </w:t>
      </w:r>
    </w:p>
    <w:p w14:paraId="32B8E083" w14:textId="77777777" w:rsidR="005B0A07" w:rsidRPr="002F3977" w:rsidRDefault="005B0A07" w:rsidP="005E4ABC">
      <w:pPr>
        <w:spacing w:after="120"/>
        <w:jc w:val="both"/>
        <w:rPr>
          <w:i/>
          <w:iCs/>
          <w:lang w:val="pt-BR"/>
        </w:rPr>
      </w:pPr>
      <w:r w:rsidRPr="002F3977">
        <w:rPr>
          <w:i/>
          <w:iCs/>
          <w:vertAlign w:val="superscript"/>
          <w:lang w:val="pt-BR"/>
        </w:rPr>
        <w:t>f</w:t>
      </w:r>
      <w:r w:rsidRPr="002F3977">
        <w:rPr>
          <w:i/>
          <w:iCs/>
          <w:lang w:val="pt-BR"/>
        </w:rPr>
        <w:t>Instituto de Economia (IE), Universidade Estadual de Campinas (Unicamp), R. Pitágoras, 353 - Cidade Universitária, 13083-857, Campinas - SP, Brasil.</w:t>
      </w:r>
    </w:p>
    <w:bookmarkEnd w:id="3"/>
    <w:p w14:paraId="7989D009" w14:textId="77777777" w:rsidR="005B0A07" w:rsidRPr="00425A12" w:rsidRDefault="005B0A07" w:rsidP="005E4ABC">
      <w:pPr>
        <w:pStyle w:val="Els-Affiliation"/>
        <w:spacing w:after="120" w:line="240" w:lineRule="auto"/>
        <w:rPr>
          <w:lang w:val="pt-BR"/>
        </w:rPr>
      </w:pPr>
      <w:r w:rsidRPr="00425A12">
        <w:rPr>
          <w:lang w:val="pt-BR"/>
        </w:rPr>
        <w:t>*i261185@dac.unicamp.br</w:t>
      </w:r>
    </w:p>
    <w:p w14:paraId="75F16593" w14:textId="77777777" w:rsidR="00DB60C6" w:rsidRPr="00425A12" w:rsidRDefault="00DB60C6" w:rsidP="00612A47">
      <w:pPr>
        <w:pStyle w:val="Els-Abstract"/>
        <w:rPr>
          <w:lang w:val="pt-BR"/>
        </w:rPr>
      </w:pPr>
      <w:r w:rsidRPr="00425A12">
        <w:rPr>
          <w:lang w:val="pt-BR"/>
        </w:rPr>
        <w:t>Abstract</w:t>
      </w:r>
    </w:p>
    <w:p w14:paraId="582BD69B" w14:textId="2653C956" w:rsidR="00DB60C6" w:rsidRDefault="00425A12" w:rsidP="00612A47">
      <w:pPr>
        <w:spacing w:after="120"/>
        <w:jc w:val="both"/>
        <w:rPr>
          <w:lang w:val="en-US"/>
        </w:rPr>
      </w:pPr>
      <w:r w:rsidRPr="00425A12">
        <w:rPr>
          <w:lang w:val="en-US"/>
        </w:rPr>
        <w:t>The expansion of ethanol production in Brazil sparks several sustainability concerns, including debates on “food versus fuel”, the environmental impacts of monocultures, and indirect land-use change. Since livestock farming occupies a significantly greater area than sugarcane for ethanol production in Brazil and has a large yield gap, sugarcane-livestock integration can be a promising alternative. This integrated system considers crop production systems, biorefinery processing and meat production in both intensive and extensive livestock farming. Optimizing this system for both economic and environmental aspects can be challenging to implement and computationally expensive as this system’s complexity arises from nonlinear subsystems and their intertwining input-output flows. For these reasons, this paper develops metamodels from detailed models to: (i) Optimize the extensive livestock farming, (ii) Optimize the confined animal feeding, and (iii) Optimize the integrated system. The main objective is to maximize the Net Present Value relative to investment. This study contributes to the literature by developing innovative models for ethanol-beef integrated production systems and methods for optimizing such systems to avoid negative externalities on food security and environmental impacts.</w:t>
      </w:r>
    </w:p>
    <w:p w14:paraId="03FFC9CD" w14:textId="77777777" w:rsidR="00425A12" w:rsidRPr="00D300D5" w:rsidRDefault="00425A12" w:rsidP="00612A47">
      <w:pPr>
        <w:spacing w:after="120"/>
        <w:jc w:val="both"/>
        <w:rPr>
          <w:lang w:val="en-US"/>
        </w:rPr>
      </w:pPr>
    </w:p>
    <w:p w14:paraId="6C29607F" w14:textId="74AD42C4" w:rsidR="00D02362" w:rsidRDefault="00DB60C6" w:rsidP="005E4ABC">
      <w:pPr>
        <w:pStyle w:val="Els-body-text"/>
        <w:spacing w:after="120"/>
        <w:rPr>
          <w:lang w:val="en-GB"/>
        </w:rPr>
      </w:pPr>
      <w:r>
        <w:rPr>
          <w:b/>
          <w:bCs/>
          <w:lang w:val="en-GB"/>
        </w:rPr>
        <w:t>Keywords</w:t>
      </w:r>
      <w:r>
        <w:rPr>
          <w:lang w:val="en-GB"/>
        </w:rPr>
        <w:t xml:space="preserve">: </w:t>
      </w:r>
      <w:r w:rsidRPr="002F3977">
        <w:rPr>
          <w:lang w:val="en-GB"/>
        </w:rPr>
        <w:t xml:space="preserve">Biorefineries, Beef cattle production, Experimental </w:t>
      </w:r>
      <w:r>
        <w:rPr>
          <w:lang w:val="en-GB"/>
        </w:rPr>
        <w:t>D</w:t>
      </w:r>
      <w:r w:rsidRPr="002F3977">
        <w:rPr>
          <w:lang w:val="en-GB"/>
        </w:rPr>
        <w:t>esign,</w:t>
      </w:r>
      <w:r>
        <w:rPr>
          <w:lang w:val="en-GB"/>
        </w:rPr>
        <w:t xml:space="preserve"> </w:t>
      </w:r>
      <w:r w:rsidRPr="002F3977">
        <w:rPr>
          <w:lang w:val="en-GB"/>
        </w:rPr>
        <w:t xml:space="preserve">Optimization </w:t>
      </w:r>
      <w:r>
        <w:rPr>
          <w:lang w:val="en-GB"/>
        </w:rPr>
        <w:t>m</w:t>
      </w:r>
      <w:r w:rsidRPr="002F3977">
        <w:rPr>
          <w:lang w:val="en-GB"/>
        </w:rPr>
        <w:t xml:space="preserve">etamodels, </w:t>
      </w:r>
      <w:r>
        <w:rPr>
          <w:lang w:val="en-GB"/>
        </w:rPr>
        <w:t>Food versus biofuels</w:t>
      </w:r>
    </w:p>
    <w:p w14:paraId="040AE2D0" w14:textId="77777777" w:rsidR="00FD015D" w:rsidRDefault="00FD015D" w:rsidP="005E4ABC">
      <w:pPr>
        <w:pStyle w:val="Els-body-text"/>
        <w:spacing w:after="120"/>
        <w:rPr>
          <w:lang w:val="en-GB"/>
        </w:rPr>
      </w:pPr>
    </w:p>
    <w:p w14:paraId="2745955A" w14:textId="77777777" w:rsidR="00FD015D" w:rsidRDefault="00FD015D" w:rsidP="005E4ABC">
      <w:pPr>
        <w:pStyle w:val="Els-body-text"/>
        <w:spacing w:after="120"/>
        <w:rPr>
          <w:lang w:val="en-GB"/>
        </w:rPr>
      </w:pPr>
    </w:p>
    <w:p w14:paraId="7EBB54FF" w14:textId="77777777" w:rsidR="005B0A07" w:rsidRDefault="005B0A07" w:rsidP="00612A47">
      <w:pPr>
        <w:pStyle w:val="Els-1storder-head"/>
        <w:spacing w:before="0" w:line="240" w:lineRule="auto"/>
      </w:pPr>
      <w:r>
        <w:lastRenderedPageBreak/>
        <w:t>Introduction</w:t>
      </w:r>
    </w:p>
    <w:p w14:paraId="1A8BEFBF" w14:textId="2D151614" w:rsidR="007877CE" w:rsidRPr="00EF0052" w:rsidRDefault="007877CE" w:rsidP="007877CE">
      <w:pPr>
        <w:pStyle w:val="Els-1storder-head"/>
        <w:numPr>
          <w:ilvl w:val="0"/>
          <w:numId w:val="0"/>
        </w:numPr>
        <w:spacing w:before="0" w:after="0" w:line="240" w:lineRule="auto"/>
        <w:ind w:firstLine="284"/>
      </w:pPr>
      <w:r w:rsidRPr="00EF0052">
        <w:rPr>
          <w:b w:val="0"/>
          <w:sz w:val="20"/>
        </w:rPr>
        <w:t xml:space="preserve">The production of biofuels, especially ethanol, has been encouraged in Brazil for a long time. Currently, Brazil has a National Biofuels Policy, RenovaBio, whose main objective is to increase the production of biofuels seeking environmental, economic, and social sustainability (UNICA, 2020; ANP, 2020). Under this program, the country's first official carbon credit, CBIO, </w:t>
      </w:r>
      <w:r>
        <w:rPr>
          <w:b w:val="0"/>
          <w:sz w:val="20"/>
        </w:rPr>
        <w:t>has been</w:t>
      </w:r>
      <w:r w:rsidRPr="00EF0052">
        <w:rPr>
          <w:b w:val="0"/>
          <w:sz w:val="20"/>
        </w:rPr>
        <w:t xml:space="preserve"> established.</w:t>
      </w:r>
      <w:r>
        <w:t xml:space="preserve"> </w:t>
      </w:r>
      <w:r>
        <w:rPr>
          <w:b w:val="0"/>
          <w:sz w:val="20"/>
        </w:rPr>
        <w:t>The</w:t>
      </w:r>
      <w:r w:rsidRPr="00EF0052">
        <w:rPr>
          <w:b w:val="0"/>
          <w:sz w:val="20"/>
        </w:rPr>
        <w:t xml:space="preserve"> expansion of ethanol production</w:t>
      </w:r>
      <w:r>
        <w:rPr>
          <w:b w:val="0"/>
          <w:sz w:val="20"/>
        </w:rPr>
        <w:t xml:space="preserve"> has raised concerns</w:t>
      </w:r>
      <w:r w:rsidRPr="00EF0052">
        <w:rPr>
          <w:b w:val="0"/>
          <w:sz w:val="20"/>
        </w:rPr>
        <w:t xml:space="preserve"> regarding land </w:t>
      </w:r>
      <w:r>
        <w:rPr>
          <w:b w:val="0"/>
          <w:sz w:val="20"/>
        </w:rPr>
        <w:t>change</w:t>
      </w:r>
      <w:r w:rsidRPr="00EF0052">
        <w:rPr>
          <w:b w:val="0"/>
          <w:sz w:val="20"/>
        </w:rPr>
        <w:t xml:space="preserve">, such as competition with food crops and impacts on deforestation (ACHINAS et al., 2019; ALLEN et al., 2019). </w:t>
      </w:r>
    </w:p>
    <w:p w14:paraId="057931EE" w14:textId="43C9BAEE" w:rsidR="007877CE" w:rsidRPr="00EF0052" w:rsidRDefault="007877CE" w:rsidP="007877CE">
      <w:pPr>
        <w:pStyle w:val="Els-1storder-head"/>
        <w:numPr>
          <w:ilvl w:val="0"/>
          <w:numId w:val="0"/>
        </w:numPr>
        <w:spacing w:before="0" w:after="0" w:line="240" w:lineRule="auto"/>
        <w:ind w:firstLine="284"/>
        <w:rPr>
          <w:b w:val="0"/>
          <w:sz w:val="20"/>
        </w:rPr>
      </w:pPr>
      <w:r w:rsidRPr="00EE281E">
        <w:rPr>
          <w:b w:val="0"/>
          <w:sz w:val="20"/>
        </w:rPr>
        <w:t>Sugarcane-livestock integration systems could improve the sustainability of ethanol production expansion by minimizing negative impacts and improving yields for both sugarcane plantations and livestock (SOUZA et al., 2019).</w:t>
      </w:r>
      <w:r w:rsidR="00425A12">
        <w:rPr>
          <w:b w:val="0"/>
          <w:sz w:val="20"/>
        </w:rPr>
        <w:t xml:space="preserve"> </w:t>
      </w:r>
      <w:r w:rsidRPr="00EF0052">
        <w:rPr>
          <w:b w:val="0"/>
          <w:sz w:val="20"/>
        </w:rPr>
        <w:t xml:space="preserve">The complexity of this system is evident, </w:t>
      </w:r>
      <w:r>
        <w:rPr>
          <w:b w:val="0"/>
          <w:sz w:val="20"/>
        </w:rPr>
        <w:t xml:space="preserve">including </w:t>
      </w:r>
      <w:r w:rsidRPr="00EF0052">
        <w:rPr>
          <w:b w:val="0"/>
          <w:sz w:val="20"/>
        </w:rPr>
        <w:t xml:space="preserve">nonlinear models dependent on numerous variables, such as the amount of processed sugarcane, the nutritional quality of feed ingredients, and nitrogen doses for forage </w:t>
      </w:r>
      <w:r>
        <w:rPr>
          <w:b w:val="0"/>
          <w:sz w:val="20"/>
        </w:rPr>
        <w:t>production</w:t>
      </w:r>
      <w:r w:rsidRPr="00EF0052">
        <w:rPr>
          <w:b w:val="0"/>
          <w:sz w:val="20"/>
        </w:rPr>
        <w:t>, among others. Therefore,</w:t>
      </w:r>
      <w:r>
        <w:rPr>
          <w:b w:val="0"/>
          <w:sz w:val="20"/>
        </w:rPr>
        <w:t xml:space="preserve"> </w:t>
      </w:r>
      <w:r w:rsidRPr="00EF0052">
        <w:rPr>
          <w:b w:val="0"/>
          <w:sz w:val="20"/>
        </w:rPr>
        <w:t xml:space="preserve">optimizing this system, considering economic and environmental aspects, requires the application of advanced methods, which can </w:t>
      </w:r>
      <w:r>
        <w:rPr>
          <w:b w:val="0"/>
          <w:sz w:val="20"/>
        </w:rPr>
        <w:t>be</w:t>
      </w:r>
      <w:r w:rsidRPr="00EF0052">
        <w:rPr>
          <w:b w:val="0"/>
          <w:sz w:val="20"/>
        </w:rPr>
        <w:t xml:space="preserve"> challenging to implement and properly</w:t>
      </w:r>
      <w:r>
        <w:rPr>
          <w:b w:val="0"/>
          <w:sz w:val="20"/>
        </w:rPr>
        <w:t xml:space="preserve"> </w:t>
      </w:r>
      <w:r w:rsidRPr="00EF0052">
        <w:rPr>
          <w:b w:val="0"/>
          <w:sz w:val="20"/>
        </w:rPr>
        <w:t xml:space="preserve">adjust. </w:t>
      </w:r>
    </w:p>
    <w:p w14:paraId="157D2C23" w14:textId="77777777" w:rsidR="007877CE" w:rsidRDefault="007877CE" w:rsidP="007877CE">
      <w:pPr>
        <w:pStyle w:val="Els-1storder-head"/>
        <w:numPr>
          <w:ilvl w:val="0"/>
          <w:numId w:val="0"/>
        </w:numPr>
        <w:spacing w:before="0" w:after="240" w:line="240" w:lineRule="auto"/>
        <w:ind w:firstLine="284"/>
        <w:rPr>
          <w:b w:val="0"/>
          <w:sz w:val="20"/>
        </w:rPr>
      </w:pPr>
      <w:r w:rsidRPr="00EF0052">
        <w:rPr>
          <w:b w:val="0"/>
          <w:sz w:val="20"/>
        </w:rPr>
        <w:t xml:space="preserve">This study </w:t>
      </w:r>
      <w:r>
        <w:rPr>
          <w:b w:val="0"/>
          <w:sz w:val="20"/>
        </w:rPr>
        <w:t xml:space="preserve">designs </w:t>
      </w:r>
      <w:r w:rsidRPr="00EF0052">
        <w:rPr>
          <w:b w:val="0"/>
          <w:sz w:val="20"/>
        </w:rPr>
        <w:t xml:space="preserve">the </w:t>
      </w:r>
      <w:r>
        <w:rPr>
          <w:b w:val="0"/>
          <w:sz w:val="20"/>
        </w:rPr>
        <w:t xml:space="preserve">integrated </w:t>
      </w:r>
      <w:r w:rsidRPr="00EF0052">
        <w:rPr>
          <w:b w:val="0"/>
          <w:sz w:val="20"/>
        </w:rPr>
        <w:t>system</w:t>
      </w:r>
      <w:r>
        <w:rPr>
          <w:b w:val="0"/>
          <w:sz w:val="20"/>
        </w:rPr>
        <w:t xml:space="preserve"> </w:t>
      </w:r>
      <w:r w:rsidRPr="00EF0052">
        <w:rPr>
          <w:b w:val="0"/>
          <w:sz w:val="20"/>
        </w:rPr>
        <w:t>by developing metamodels and solving sub-optimization problems. Therefore, this work aims to answer the research question: "</w:t>
      </w:r>
      <w:r>
        <w:rPr>
          <w:b w:val="0"/>
          <w:sz w:val="20"/>
        </w:rPr>
        <w:t>Under what conditions i</w:t>
      </w:r>
      <w:r w:rsidRPr="00EF0052">
        <w:rPr>
          <w:b w:val="0"/>
          <w:sz w:val="20"/>
        </w:rPr>
        <w:t>s it feasible to expand the area dedicated to biofuel production without negatively impacting food or livestock production while avoiding expansion into natural vegetation areas?".</w:t>
      </w:r>
    </w:p>
    <w:p w14:paraId="7A0ABE50" w14:textId="77777777" w:rsidR="005B0A07" w:rsidRDefault="005B0A07" w:rsidP="005E4ABC">
      <w:pPr>
        <w:pStyle w:val="Els-1storder-head"/>
        <w:spacing w:before="120" w:line="240" w:lineRule="auto"/>
      </w:pPr>
      <w:r>
        <w:t>Methodology</w:t>
      </w:r>
    </w:p>
    <w:p w14:paraId="0933EDC4" w14:textId="77777777" w:rsidR="005B0A07" w:rsidRDefault="005B0A07" w:rsidP="005E4ABC">
      <w:pPr>
        <w:pStyle w:val="Els-2ndorder-head"/>
      </w:pPr>
      <w:r>
        <w:t>Description of the system</w:t>
      </w:r>
    </w:p>
    <w:p w14:paraId="6CD4331C" w14:textId="13145905" w:rsidR="00425A12" w:rsidRPr="00425A12" w:rsidRDefault="00425A12" w:rsidP="00425A12">
      <w:pPr>
        <w:pStyle w:val="Els-body-text"/>
        <w:ind w:firstLine="284"/>
      </w:pPr>
      <w:r w:rsidRPr="00425A12">
        <w:t>In the integrated system analyzed (Figure 1), sugarcane is produced and transported to the biorefinery (1G autonomous) for processing. Soybean grains produced in the sugarcane reform area are sold on the market, and their revenues are added to the system. The sugarcane straw and bagasse are used to produce bioelectricity. Ethanol and the surplus of bioelectricity produced in the biorefinery are sold, while part of the excess bagasse is used for animal feed or sold. Livestock farming, in turn, considers only beef cattle fattening.</w:t>
      </w:r>
    </w:p>
    <w:p w14:paraId="1A9A46BB" w14:textId="77777777" w:rsidR="005B0A07" w:rsidRDefault="005B0A07" w:rsidP="005E4ABC">
      <w:pPr>
        <w:pStyle w:val="Els-2ndorder-head"/>
      </w:pPr>
      <w:r>
        <w:t>D</w:t>
      </w:r>
      <w:r w:rsidRPr="0073447D">
        <w:t>evelopment of metamodels</w:t>
      </w:r>
    </w:p>
    <w:p w14:paraId="2B9834E6" w14:textId="681FA69C" w:rsidR="005B0A07" w:rsidRDefault="005B0A07" w:rsidP="005E4ABC">
      <w:pPr>
        <w:pStyle w:val="Els-body-text"/>
        <w:ind w:firstLine="284"/>
      </w:pPr>
      <w:r w:rsidRPr="00EF0052">
        <w:t xml:space="preserve">A crucial point to consider in optimizing the defined integrated system is that detailed models would render </w:t>
      </w:r>
      <w:r w:rsidR="008F5380">
        <w:t xml:space="preserve">a </w:t>
      </w:r>
      <w:r w:rsidR="008F5380" w:rsidRPr="00EF0052">
        <w:t xml:space="preserve">highly complex or even </w:t>
      </w:r>
      <w:r w:rsidR="008F5380">
        <w:t xml:space="preserve">unsolvable </w:t>
      </w:r>
      <w:r w:rsidRPr="00EF0052">
        <w:t>optimization</w:t>
      </w:r>
      <w:r w:rsidR="00547656">
        <w:t xml:space="preserve"> problem</w:t>
      </w:r>
      <w:r w:rsidRPr="00EF0052">
        <w:t>, given that these models exhibit varying degrees of mathematical complexity and convergence</w:t>
      </w:r>
      <w:r w:rsidR="00DB60C6">
        <w:t xml:space="preserve"> </w:t>
      </w:r>
      <w:r w:rsidR="00112269">
        <w:t>issues</w:t>
      </w:r>
      <w:r w:rsidRPr="00EF0052">
        <w:t xml:space="preserve">. </w:t>
      </w:r>
      <w:r w:rsidR="00425A12" w:rsidRPr="00425A12">
        <w:t>Furthermore, creating distinct data flow strategies among models built on various platforms would be necessary</w:t>
      </w:r>
      <w:r w:rsidRPr="00EF0052">
        <w:t>. To address the</w:t>
      </w:r>
      <w:r w:rsidR="00FC2617">
        <w:t>se</w:t>
      </w:r>
      <w:r w:rsidRPr="00EF0052">
        <w:t xml:space="preserve"> challenge</w:t>
      </w:r>
      <w:r w:rsidR="00FC2617">
        <w:t xml:space="preserve">s, </w:t>
      </w:r>
      <w:r w:rsidRPr="00EF0052">
        <w:t>an optimization strategy similar to th</w:t>
      </w:r>
      <w:r w:rsidR="00FC2617">
        <w:t xml:space="preserve">e one </w:t>
      </w:r>
      <w:r w:rsidRPr="00EF0052">
        <w:t>presented by Bressanin et al. (2021) was adopted. This involves creating simplified metamodels derived from</w:t>
      </w:r>
      <w:r w:rsidR="002B3DCF">
        <w:t xml:space="preserve"> </w:t>
      </w:r>
      <w:r w:rsidR="006F2C0A">
        <w:t>more detailed</w:t>
      </w:r>
      <w:r w:rsidRPr="00EF0052">
        <w:t xml:space="preserve"> models. To achieve this, </w:t>
      </w:r>
      <w:r w:rsidR="001D131D">
        <w:t>several</w:t>
      </w:r>
      <w:r w:rsidR="006F2C0A" w:rsidRPr="00EF0052">
        <w:t xml:space="preserve"> </w:t>
      </w:r>
      <w:r w:rsidRPr="00EF0052">
        <w:t>data sampling strategies from the detailed models were employed for each system.</w:t>
      </w:r>
    </w:p>
    <w:p w14:paraId="633D77A2" w14:textId="05C108CA" w:rsidR="005B0A07" w:rsidRDefault="005B0A07" w:rsidP="005E4ABC">
      <w:pPr>
        <w:pStyle w:val="Els-body-text"/>
        <w:spacing w:after="120"/>
        <w:ind w:firstLine="284"/>
      </w:pPr>
      <w:r w:rsidRPr="00DB60C6">
        <w:t>The</w:t>
      </w:r>
      <w:r>
        <w:t xml:space="preserve"> </w:t>
      </w:r>
      <w:r w:rsidRPr="00EF0052">
        <w:t>Virtual Biorefinery (VB</w:t>
      </w:r>
      <w:r w:rsidRPr="00DB60C6">
        <w:t>) tool</w:t>
      </w:r>
      <w:r w:rsidRPr="00EF0052">
        <w:t xml:space="preserve"> was employed as a detailed base for obtaining metamodels of the agricultural and industrial phases of the biorefinery (BONOMI et al., 2016). In the VB, CanaSoft </w:t>
      </w:r>
      <w:r w:rsidR="00FC2617">
        <w:t xml:space="preserve">is used to </w:t>
      </w:r>
      <w:r w:rsidRPr="00EF0052">
        <w:t>estimate the amount and costs of sugarcane, soybeans</w:t>
      </w:r>
      <w:r w:rsidR="00DB60C6">
        <w:t xml:space="preserve"> production</w:t>
      </w:r>
      <w:r w:rsidRPr="00EF0052">
        <w:t xml:space="preserve">, and sugarcane straw recovery </w:t>
      </w:r>
      <w:r w:rsidR="00F25C7C" w:rsidRPr="00EF0052">
        <w:t>(BONOMI et al., 2016)</w:t>
      </w:r>
      <w:r w:rsidRPr="00EF0052">
        <w:t xml:space="preserve">, while the Aspen Plus® commercial process simulator (JUNQUEIRA et al., 2017) is </w:t>
      </w:r>
      <w:r w:rsidR="00FC2617">
        <w:t xml:space="preserve">used </w:t>
      </w:r>
      <w:r w:rsidRPr="00EF0052">
        <w:t xml:space="preserve">to simulate the industrial phase. The metamodels for this ethanol production chain were developed using the Factorial Design of Experiment </w:t>
      </w:r>
      <w:r w:rsidRPr="00F25C7C">
        <w:t>2</w:t>
      </w:r>
      <w:r w:rsidRPr="00F25C7C">
        <w:rPr>
          <w:vertAlign w:val="superscript"/>
        </w:rPr>
        <w:t>k</w:t>
      </w:r>
      <w:r w:rsidRPr="00EF0052">
        <w:t xml:space="preserve"> with a Central Composite Circumscribed Design (CCC) based on the sampling </w:t>
      </w:r>
      <w:r w:rsidR="00F25C7C">
        <w:t xml:space="preserve">and simulation </w:t>
      </w:r>
      <w:r w:rsidRPr="00EF0052">
        <w:t>of detailed models from the VB.</w:t>
      </w:r>
      <w:r>
        <w:t xml:space="preserve"> </w:t>
      </w:r>
      <w:r w:rsidRPr="00EF0052">
        <w:t xml:space="preserve">Seven factors were considered in the crop system to obtain the system </w:t>
      </w:r>
      <w:r w:rsidRPr="00EF0052">
        <w:lastRenderedPageBreak/>
        <w:t xml:space="preserve">outputs (Figure 1). In total, 143 points were collected for each response without repetition at the central point. Likewise, four factors were considered for the industrial system. In total, 25 points were collected for each response without repetition at the central point. Statistical metamodels were generated </w:t>
      </w:r>
      <w:r w:rsidRPr="00F25C7C">
        <w:t>by</w:t>
      </w:r>
      <w:r w:rsidRPr="00EF0052">
        <w:t xml:space="preserve"> second-degree polynomial regression from the dataset</w:t>
      </w:r>
      <w:r w:rsidR="00DD0F5B">
        <w:t>s</w:t>
      </w:r>
      <w:r w:rsidRPr="00EF0052">
        <w:t xml:space="preserve"> (inputs and outputs) obtained from detailed models according to the experimental design matrix. In this fitting process, the main and interaction effects of two factors were </w:t>
      </w:r>
      <w:r w:rsidR="00DF6613">
        <w:t>tested</w:t>
      </w:r>
      <w:r w:rsidR="00425A12">
        <w:t>,</w:t>
      </w:r>
      <w:r w:rsidR="00DF6613">
        <w:t xml:space="preserve"> adopting</w:t>
      </w:r>
      <w:r w:rsidRPr="00EF0052">
        <w:t xml:space="preserve"> a confidence level of 95%.</w:t>
      </w:r>
      <w:r w:rsidR="00FC2617">
        <w:t xml:space="preserve"> </w:t>
      </w:r>
      <w:r w:rsidRPr="00EF0052">
        <w:t xml:space="preserve">The quality of the fit of the statistical metamodels was assessed using the </w:t>
      </w:r>
      <w:r w:rsidR="00FA6831">
        <w:t>coefficient of determination (</w:t>
      </w:r>
      <w:r w:rsidRPr="00EF0052">
        <w:t>R²</w:t>
      </w:r>
      <w:r w:rsidR="00FA6831">
        <w:t>)</w:t>
      </w:r>
      <w:r w:rsidRPr="00EF0052">
        <w:t xml:space="preserve"> and Analysis of Variance (ANOVA).</w:t>
      </w:r>
    </w:p>
    <w:p w14:paraId="121F28D8" w14:textId="31C1C3BC" w:rsidR="005B0A07" w:rsidRDefault="002961CA" w:rsidP="005E4ABC">
      <w:pPr>
        <w:pStyle w:val="Els-body-text"/>
      </w:pPr>
      <w:r>
        <w:rPr>
          <w:noProof/>
        </w:rPr>
        <w:drawing>
          <wp:inline distT="0" distB="0" distL="0" distR="0" wp14:anchorId="63DDE0FF" wp14:editId="68CE2CA8">
            <wp:extent cx="4499386" cy="4644389"/>
            <wp:effectExtent l="0" t="0" r="0" b="4445"/>
            <wp:docPr id="38090158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1580" name="Imagem 2"/>
                    <pic:cNvPicPr/>
                  </pic:nvPicPr>
                  <pic:blipFill>
                    <a:blip r:embed="rId8"/>
                    <a:stretch>
                      <a:fillRect/>
                    </a:stretch>
                  </pic:blipFill>
                  <pic:spPr>
                    <a:xfrm>
                      <a:off x="0" y="0"/>
                      <a:ext cx="4499386" cy="4644389"/>
                    </a:xfrm>
                    <a:prstGeom prst="rect">
                      <a:avLst/>
                    </a:prstGeom>
                  </pic:spPr>
                </pic:pic>
              </a:graphicData>
            </a:graphic>
          </wp:inline>
        </w:drawing>
      </w:r>
    </w:p>
    <w:p w14:paraId="506E985F" w14:textId="33206650" w:rsidR="005B0A07" w:rsidRPr="00CA7FF4" w:rsidRDefault="005B0A07" w:rsidP="005E4ABC">
      <w:pPr>
        <w:pStyle w:val="Els-body-text"/>
        <w:spacing w:after="120"/>
        <w:rPr>
          <w:sz w:val="16"/>
          <w:szCs w:val="16"/>
        </w:rPr>
      </w:pPr>
      <w:r w:rsidRPr="00CA7FF4">
        <w:rPr>
          <w:b/>
          <w:bCs/>
          <w:sz w:val="16"/>
          <w:szCs w:val="16"/>
        </w:rPr>
        <w:t>Figure 1.</w:t>
      </w:r>
      <w:r w:rsidRPr="00CA7FF4">
        <w:rPr>
          <w:sz w:val="16"/>
          <w:szCs w:val="16"/>
        </w:rPr>
        <w:t xml:space="preserve"> (A) Frontiers of optimizing pasture livestock farming. (B) Frontiers of optimizing feed for confined animals. (C) Frontiers of optimizing the integrated system of the sugarcane and beef cattle production chain</w:t>
      </w:r>
    </w:p>
    <w:p w14:paraId="3DD84D4D" w14:textId="1AD7BB50" w:rsidR="005B0A07" w:rsidRDefault="005B0A07" w:rsidP="005E4ABC">
      <w:pPr>
        <w:pStyle w:val="Els-body-text"/>
        <w:ind w:firstLine="284"/>
      </w:pPr>
      <w:r w:rsidRPr="000F1933">
        <w:t>Regarding pasture, detailed models of beef cattle production developed by</w:t>
      </w:r>
      <w:r w:rsidR="00425A12">
        <w:t xml:space="preserve"> the</w:t>
      </w:r>
      <w:r w:rsidRPr="000F1933">
        <w:t xml:space="preserve"> </w:t>
      </w:r>
      <w:r w:rsidR="00FC2617" w:rsidRPr="00FC2617">
        <w:t xml:space="preserve">Brazilian Agricultural Research Corporation </w:t>
      </w:r>
      <w:r w:rsidR="00FC2617">
        <w:t>(</w:t>
      </w:r>
      <w:r w:rsidRPr="000F1933">
        <w:t>E</w:t>
      </w:r>
      <w:r w:rsidR="005E4ABC">
        <w:t>mbrapa</w:t>
      </w:r>
      <w:r w:rsidR="00FC2617">
        <w:t>)</w:t>
      </w:r>
      <w:r w:rsidRPr="000F1933">
        <w:t xml:space="preserve"> were used to obtain metamodels. In this analysis, a prototypical farm in São Paulo</w:t>
      </w:r>
      <w:r w:rsidR="00C620AB">
        <w:t xml:space="preserve"> state (Brazil)</w:t>
      </w:r>
      <w:r w:rsidRPr="000F1933">
        <w:t xml:space="preserve"> was considered. To generate the metamodels, a second-degree polynomial statistical regression was conducted among different scenarios with varying levels of nitrogen fertilization for </w:t>
      </w:r>
      <w:r w:rsidRPr="000F1933">
        <w:lastRenderedPageBreak/>
        <w:t xml:space="preserve">pasture maintenance. The response variables considered were the cattle stocking rate and the system's operational costs. </w:t>
      </w:r>
    </w:p>
    <w:p w14:paraId="2E1A662E" w14:textId="385EC7DC" w:rsidR="005B0A07" w:rsidRDefault="005B0A07" w:rsidP="005E4ABC">
      <w:pPr>
        <w:pStyle w:val="Els-body-text"/>
        <w:ind w:firstLine="284"/>
      </w:pPr>
      <w:r w:rsidRPr="000F1933">
        <w:t xml:space="preserve">In the context of feedlot operations, the total cost per head per day was calculated, considering the costs of animal acquisition and feed, which represent the major portion of daily costs. Other operational costs, such as </w:t>
      </w:r>
      <w:r w:rsidRPr="00C620AB">
        <w:t>labor</w:t>
      </w:r>
      <w:r w:rsidRPr="000F1933">
        <w:t xml:space="preserve"> and sanitary management, </w:t>
      </w:r>
      <w:r w:rsidR="00C620AB">
        <w:t>as well</w:t>
      </w:r>
      <w:r w:rsidRPr="000F1933">
        <w:t xml:space="preserve"> investment costs</w:t>
      </w:r>
      <w:r w:rsidR="00C620AB">
        <w:t>,</w:t>
      </w:r>
      <w:r w:rsidRPr="000F1933">
        <w:t xml:space="preserve"> were estimated based on Sartorello et al. (2018). Thus, it </w:t>
      </w:r>
      <w:r w:rsidR="00C620AB">
        <w:t>was</w:t>
      </w:r>
      <w:r w:rsidRPr="000F1933">
        <w:t xml:space="preserve"> possible to estimate the total cost per cycle by providing information on the number of days in the confinement cycle, the number of confined animals, and daily costs.</w:t>
      </w:r>
    </w:p>
    <w:p w14:paraId="45CEB912" w14:textId="2543C5EA" w:rsidR="005B0A07" w:rsidRDefault="00C620AB" w:rsidP="005E4ABC">
      <w:pPr>
        <w:pStyle w:val="Els-body-text"/>
        <w:ind w:firstLine="284"/>
      </w:pPr>
      <w:r>
        <w:t>E</w:t>
      </w:r>
      <w:r w:rsidR="005B0A07" w:rsidRPr="000F1933">
        <w:t>stimat</w:t>
      </w:r>
      <w:r>
        <w:t>ion</w:t>
      </w:r>
      <w:r w:rsidR="005B0A07" w:rsidRPr="000F1933">
        <w:t xml:space="preserve"> of CBIOs generated depends on the biofuel's energy-environment efficiency score based on the life cycle analysis methodology. The sum of the greenhouse gas (GHG) emissions from each phase of the biofuel's life cycle (agricultural, industrial, distribution, and use) results in the biofuel's carbon intensity (</w:t>
      </w:r>
      <w:r>
        <w:t xml:space="preserve">emission of </w:t>
      </w:r>
      <w:r w:rsidR="005B0A07" w:rsidRPr="000F1933">
        <w:t>g</w:t>
      </w:r>
      <w:r w:rsidR="007E7905">
        <w:t xml:space="preserve"> </w:t>
      </w:r>
      <w:r w:rsidR="005B0A07" w:rsidRPr="000F1933">
        <w:t>CO</w:t>
      </w:r>
      <w:r w:rsidR="005B0A07" w:rsidRPr="006D0C36">
        <w:rPr>
          <w:vertAlign w:val="subscript"/>
        </w:rPr>
        <w:t>2</w:t>
      </w:r>
      <w:r w:rsidR="005B0A07" w:rsidRPr="000F1933">
        <w:t>eq/MJ). When subtracted from the carbon intensity of its equivalent fossil fuel, this intensity generates the biofuel's energy-environment efficiency score. Emissions from the agricultural and industrial phases are estimated using metamodels from the crop and industrial systems. The emissions were estimated using the RenovaCalc methodology and the GHG Protocol emission factors (ANP, 2020).</w:t>
      </w:r>
    </w:p>
    <w:p w14:paraId="269EB085" w14:textId="091085E8" w:rsidR="005B0A07" w:rsidRPr="0034397C" w:rsidRDefault="005B0A07" w:rsidP="005E4ABC">
      <w:pPr>
        <w:pStyle w:val="Els-body-text"/>
        <w:ind w:firstLine="284"/>
      </w:pPr>
      <w:r w:rsidRPr="000F1933">
        <w:t>The profitability analysis was developed to calculate economic performance indicators, such as the Net Present Value relative to the investment (NPV/</w:t>
      </w:r>
      <w:r>
        <w:t>Investment</w:t>
      </w:r>
      <w:r w:rsidRPr="000F1933">
        <w:t>) and the Internal Rate of Return (IRR). The analysis incorporated a 30-year cash flow projection, a minimum rate of</w:t>
      </w:r>
      <w:r w:rsidR="004D61B1">
        <w:t xml:space="preserve"> </w:t>
      </w:r>
      <w:r w:rsidR="004D61B1" w:rsidRPr="000F1933">
        <w:t>attractive</w:t>
      </w:r>
      <w:r w:rsidR="00E4402E">
        <w:t>ness</w:t>
      </w:r>
      <w:r w:rsidR="004D61B1">
        <w:t xml:space="preserve"> (MRA)</w:t>
      </w:r>
      <w:r w:rsidRPr="000F1933">
        <w:t xml:space="preserve"> of 12% per year, linear depreciation over ten years, a 34% </w:t>
      </w:r>
      <w:r w:rsidR="004D61B1">
        <w:t>corporate</w:t>
      </w:r>
      <w:r w:rsidRPr="000F1933">
        <w:t xml:space="preserve"> tax rate, and working capital equivalent to 10% of the </w:t>
      </w:r>
      <w:r w:rsidR="004D61B1">
        <w:t xml:space="preserve">investment </w:t>
      </w:r>
      <w:r w:rsidRPr="000F1933">
        <w:t>(BONOMI et al., 2016).</w:t>
      </w:r>
    </w:p>
    <w:p w14:paraId="30E6B502" w14:textId="77777777" w:rsidR="005B0A07" w:rsidRDefault="005B0A07" w:rsidP="005E4ABC">
      <w:pPr>
        <w:pStyle w:val="Els-2ndorder-head"/>
      </w:pPr>
      <w:r>
        <w:t>S</w:t>
      </w:r>
      <w:r w:rsidRPr="0034397C">
        <w:t>ystem optimization</w:t>
      </w:r>
    </w:p>
    <w:p w14:paraId="273B4CE0" w14:textId="4DB2FACA" w:rsidR="005B0A07" w:rsidRDefault="00E4402E" w:rsidP="005E4ABC">
      <w:pPr>
        <w:pStyle w:val="Els-body-text"/>
        <w:ind w:firstLine="284"/>
      </w:pPr>
      <w:r w:rsidRPr="00E4402E">
        <w:t xml:space="preserve">Some fundamental assumptions were established to formulate the optimization problem: </w:t>
      </w:r>
      <w:r w:rsidR="005B0A07" w:rsidRPr="000F1933">
        <w:t xml:space="preserve">(i) A total available area needs to be fully utilized with grazing land for cattle or sugarcane cultivation. (ii) The system must meet a meat production requirement, considering </w:t>
      </w:r>
      <w:r w:rsidR="007217E3">
        <w:t xml:space="preserve">as a reference </w:t>
      </w:r>
      <w:r w:rsidR="005B0A07" w:rsidRPr="000F1933">
        <w:t>an optimized pasture system</w:t>
      </w:r>
      <w:r w:rsidR="007217E3">
        <w:t xml:space="preserve"> that</w:t>
      </w:r>
      <w:r w:rsidR="005B0A07" w:rsidRPr="000F1933">
        <w:t xml:space="preserve"> occupies the entire area. (iii) The area allocated for confinement</w:t>
      </w:r>
      <w:r w:rsidR="007217E3">
        <w:t xml:space="preserve"> and the industrial sector of the biorefinery </w:t>
      </w:r>
      <w:r>
        <w:t xml:space="preserve">is </w:t>
      </w:r>
      <w:r w:rsidR="005B0A07" w:rsidRPr="000F1933">
        <w:t>negligible.</w:t>
      </w:r>
      <w:r w:rsidR="007217E3">
        <w:t xml:space="preserve"> </w:t>
      </w:r>
      <w:r w:rsidR="005B0A07">
        <w:t>In addition to metamodels, another strategy employed to optimize the system was to divide it into optimization subproblems, namely:</w:t>
      </w:r>
    </w:p>
    <w:p w14:paraId="2900EBDE" w14:textId="6518F0E8" w:rsidR="005B0A07" w:rsidRDefault="005B0A07" w:rsidP="005E4ABC">
      <w:pPr>
        <w:pStyle w:val="Els-body-text"/>
      </w:pPr>
      <w:r>
        <w:t xml:space="preserve">a) </w:t>
      </w:r>
      <w:r w:rsidRPr="000F1933">
        <w:rPr>
          <w:i/>
          <w:iCs/>
        </w:rPr>
        <w:t>Optimization of beef cattle on pasture across the entire available area (Figure 1A):</w:t>
      </w:r>
      <w:r>
        <w:t xml:space="preserve"> The pasture was optimized by maximizing the NPV/Investment, with nitrogen dosage as a decision variable. This optimization allows the optimal nitrogen dosage for the pasture to be found and </w:t>
      </w:r>
      <w:r w:rsidR="004E3B37" w:rsidRPr="004E3B37">
        <w:t xml:space="preserve">establishes reference meat production </w:t>
      </w:r>
      <w:r>
        <w:t>(as per assumption ii).</w:t>
      </w:r>
    </w:p>
    <w:p w14:paraId="236569DC" w14:textId="44FBDAF8" w:rsidR="005B0A07" w:rsidRDefault="005B0A07" w:rsidP="005E4ABC">
      <w:pPr>
        <w:pStyle w:val="Els-body-text"/>
      </w:pPr>
      <w:r>
        <w:t xml:space="preserve">b) </w:t>
      </w:r>
      <w:r w:rsidRPr="000F1933">
        <w:rPr>
          <w:i/>
          <w:iCs/>
        </w:rPr>
        <w:t>Optimization of confined animal feeding formulation (Figure 1B):</w:t>
      </w:r>
      <w:r>
        <w:t xml:space="preserve"> In this analysis, the Maximum Profit Feed Formulation (RLM) software was used</w:t>
      </w:r>
      <w:r w:rsidR="004E3B37">
        <w:t xml:space="preserve"> (MARQUES et al., 2022)</w:t>
      </w:r>
      <w:r>
        <w:t xml:space="preserve">. This optimization aims to find the most profitable diet with high bagasse composition and </w:t>
      </w:r>
      <w:r w:rsidR="004E3B37">
        <w:t xml:space="preserve">higher </w:t>
      </w:r>
      <w:r>
        <w:t>live weight gain of the animals.</w:t>
      </w:r>
    </w:p>
    <w:p w14:paraId="049AD7F8" w14:textId="2F58ADD9" w:rsidR="005B0A07" w:rsidRDefault="005B0A07" w:rsidP="005E4ABC">
      <w:pPr>
        <w:pStyle w:val="Els-body-text"/>
      </w:pPr>
      <w:r>
        <w:t xml:space="preserve">c) </w:t>
      </w:r>
      <w:r w:rsidRPr="000F1933">
        <w:rPr>
          <w:i/>
          <w:iCs/>
        </w:rPr>
        <w:t>Optimization of the integrated livestock/biorefinery system (Figure 1C):</w:t>
      </w:r>
      <w:r>
        <w:t xml:space="preserve"> The results from previous optimizations (nitrogen dosage, meat production requirement, feed formulation, and confinement weight gain) </w:t>
      </w:r>
      <w:r w:rsidR="00DD23A0">
        <w:t>are</w:t>
      </w:r>
      <w:r>
        <w:t xml:space="preserve"> input parameters for the integrated system optimization. In this context, decision variables include the production capacity of the biorefinery and the straw recovery, aiming to maximize NPV/Investment.</w:t>
      </w:r>
    </w:p>
    <w:p w14:paraId="3F821566" w14:textId="7A1804D5" w:rsidR="00E72FF8" w:rsidRDefault="005B0A07" w:rsidP="005E4ABC">
      <w:pPr>
        <w:pStyle w:val="Els-body-text"/>
        <w:spacing w:after="120"/>
        <w:ind w:firstLine="284"/>
      </w:pPr>
      <w:r w:rsidRPr="000F1933">
        <w:t>Optimization algorithms were implemented in Python. To solve the optimization problem, the PYOMO library and the IPOPT ("Interior Point Optimizer") solver, which is suitable for nonlinear programming, were utilized. To run the optimization, the input parameter values were considered for São Paulo</w:t>
      </w:r>
      <w:r w:rsidR="004E3B37">
        <w:t xml:space="preserve"> state </w:t>
      </w:r>
      <w:r w:rsidRPr="000F1933">
        <w:t>(Table 1).</w:t>
      </w:r>
    </w:p>
    <w:p w14:paraId="380A96CD" w14:textId="77777777" w:rsidR="005E4ABC" w:rsidRDefault="005E4ABC" w:rsidP="005E4ABC">
      <w:pPr>
        <w:pStyle w:val="Els-body-text"/>
        <w:rPr>
          <w:b/>
          <w:bCs/>
          <w:sz w:val="16"/>
          <w:szCs w:val="16"/>
        </w:rPr>
      </w:pPr>
    </w:p>
    <w:p w14:paraId="3930A213" w14:textId="6780174B" w:rsidR="005B0A07" w:rsidRPr="00CA7FF4" w:rsidRDefault="005B0A07" w:rsidP="005E4ABC">
      <w:pPr>
        <w:pStyle w:val="Els-body-text"/>
        <w:rPr>
          <w:sz w:val="16"/>
          <w:szCs w:val="16"/>
        </w:rPr>
      </w:pPr>
      <w:r w:rsidRPr="00CA7FF4">
        <w:rPr>
          <w:b/>
          <w:bCs/>
          <w:sz w:val="16"/>
          <w:szCs w:val="16"/>
        </w:rPr>
        <w:lastRenderedPageBreak/>
        <w:t>Table 1.</w:t>
      </w:r>
      <w:r w:rsidRPr="00CA7FF4">
        <w:rPr>
          <w:sz w:val="16"/>
          <w:szCs w:val="16"/>
        </w:rPr>
        <w:t xml:space="preserve"> Input parameters considered in the optimization for the state of São Paulo </w:t>
      </w:r>
      <w:r>
        <w:rPr>
          <w:sz w:val="16"/>
          <w:szCs w:val="16"/>
        </w:rPr>
        <w:t>(</w:t>
      </w:r>
      <w:r w:rsidRPr="00CA7FF4">
        <w:rPr>
          <w:sz w:val="16"/>
          <w:szCs w:val="16"/>
        </w:rPr>
        <w:t>Brazi</w:t>
      </w:r>
      <w:r>
        <w:rPr>
          <w:sz w:val="16"/>
          <w:szCs w:val="16"/>
        </w:rPr>
        <w:t>l)</w:t>
      </w:r>
      <w:r w:rsidRPr="00CA7FF4">
        <w:rPr>
          <w:sz w:val="16"/>
          <w:szCs w:val="16"/>
        </w:rPr>
        <w:t xml:space="preserve"> </w:t>
      </w:r>
      <w:r w:rsidR="009322A0">
        <w:rPr>
          <w:sz w:val="16"/>
          <w:szCs w:val="16"/>
        </w:rPr>
        <w:t xml:space="preserve">– valid </w:t>
      </w:r>
      <w:r w:rsidRPr="00CA7FF4">
        <w:rPr>
          <w:sz w:val="16"/>
          <w:szCs w:val="16"/>
        </w:rPr>
        <w:t>for 2019</w:t>
      </w:r>
    </w:p>
    <w:tbl>
      <w:tblPr>
        <w:tblpPr w:leftFromText="180" w:rightFromText="180" w:vertAnchor="text" w:horzAnchor="margin" w:tblpY="98"/>
        <w:tblW w:w="7030" w:type="dxa"/>
        <w:tblLook w:val="04A0" w:firstRow="1" w:lastRow="0" w:firstColumn="1" w:lastColumn="0" w:noHBand="0" w:noVBand="1"/>
      </w:tblPr>
      <w:tblGrid>
        <w:gridCol w:w="2835"/>
        <w:gridCol w:w="680"/>
        <w:gridCol w:w="2835"/>
        <w:gridCol w:w="680"/>
      </w:tblGrid>
      <w:tr w:rsidR="005B0A07" w:rsidRPr="00441453" w14:paraId="5D604DE5" w14:textId="77777777" w:rsidTr="00B51849">
        <w:trPr>
          <w:trHeight w:val="170"/>
        </w:trPr>
        <w:tc>
          <w:tcPr>
            <w:tcW w:w="2835" w:type="dxa"/>
            <w:tcBorders>
              <w:top w:val="single" w:sz="4" w:space="0" w:color="auto"/>
              <w:left w:val="nil"/>
              <w:bottom w:val="single" w:sz="4" w:space="0" w:color="auto"/>
              <w:right w:val="nil"/>
            </w:tcBorders>
            <w:shd w:val="clear" w:color="auto" w:fill="auto"/>
            <w:noWrap/>
            <w:vAlign w:val="bottom"/>
            <w:hideMark/>
          </w:tcPr>
          <w:p w14:paraId="19C6743E" w14:textId="77777777" w:rsidR="005B0A07" w:rsidRPr="00441453" w:rsidRDefault="005B0A07" w:rsidP="005E4ABC">
            <w:pPr>
              <w:rPr>
                <w:b/>
                <w:bCs/>
                <w:color w:val="000000"/>
                <w:sz w:val="16"/>
                <w:szCs w:val="16"/>
                <w:lang w:val="en-US"/>
              </w:rPr>
            </w:pPr>
            <w:r w:rsidRPr="002B4CD6">
              <w:rPr>
                <w:b/>
                <w:bCs/>
                <w:color w:val="000000"/>
                <w:sz w:val="16"/>
                <w:szCs w:val="16"/>
                <w:lang w:val="en-US"/>
              </w:rPr>
              <w:t>Variable</w:t>
            </w:r>
          </w:p>
        </w:tc>
        <w:tc>
          <w:tcPr>
            <w:tcW w:w="680" w:type="dxa"/>
            <w:tcBorders>
              <w:top w:val="single" w:sz="4" w:space="0" w:color="auto"/>
              <w:left w:val="nil"/>
              <w:bottom w:val="single" w:sz="4" w:space="0" w:color="auto"/>
              <w:right w:val="single" w:sz="4" w:space="0" w:color="auto"/>
            </w:tcBorders>
            <w:shd w:val="clear" w:color="auto" w:fill="auto"/>
            <w:noWrap/>
            <w:vAlign w:val="bottom"/>
            <w:hideMark/>
          </w:tcPr>
          <w:p w14:paraId="6D6630FB" w14:textId="77777777" w:rsidR="005B0A07" w:rsidRPr="00441453" w:rsidRDefault="005B0A07" w:rsidP="005E4ABC">
            <w:pPr>
              <w:rPr>
                <w:b/>
                <w:bCs/>
                <w:color w:val="000000"/>
                <w:sz w:val="16"/>
                <w:szCs w:val="16"/>
                <w:lang w:val="en-US"/>
              </w:rPr>
            </w:pPr>
            <w:r w:rsidRPr="002B4CD6">
              <w:rPr>
                <w:b/>
                <w:bCs/>
                <w:color w:val="000000"/>
                <w:sz w:val="16"/>
                <w:szCs w:val="16"/>
                <w:lang w:val="en-US"/>
              </w:rPr>
              <w:t>Value</w:t>
            </w:r>
          </w:p>
        </w:tc>
        <w:tc>
          <w:tcPr>
            <w:tcW w:w="2835" w:type="dxa"/>
            <w:tcBorders>
              <w:top w:val="single" w:sz="4" w:space="0" w:color="auto"/>
              <w:left w:val="single" w:sz="4" w:space="0" w:color="auto"/>
              <w:bottom w:val="single" w:sz="4" w:space="0" w:color="auto"/>
              <w:right w:val="nil"/>
            </w:tcBorders>
            <w:shd w:val="clear" w:color="auto" w:fill="auto"/>
            <w:noWrap/>
            <w:vAlign w:val="bottom"/>
            <w:hideMark/>
          </w:tcPr>
          <w:p w14:paraId="047211D0" w14:textId="77777777" w:rsidR="005B0A07" w:rsidRPr="00441453" w:rsidRDefault="005B0A07" w:rsidP="005E4ABC">
            <w:pPr>
              <w:rPr>
                <w:b/>
                <w:bCs/>
                <w:color w:val="000000"/>
                <w:sz w:val="16"/>
                <w:szCs w:val="16"/>
                <w:lang w:val="en-US"/>
              </w:rPr>
            </w:pPr>
            <w:r w:rsidRPr="002B4CD6">
              <w:rPr>
                <w:b/>
                <w:bCs/>
                <w:color w:val="000000"/>
                <w:sz w:val="16"/>
                <w:szCs w:val="16"/>
                <w:lang w:val="en-US"/>
              </w:rPr>
              <w:t>Variable</w:t>
            </w:r>
          </w:p>
        </w:tc>
        <w:tc>
          <w:tcPr>
            <w:tcW w:w="680" w:type="dxa"/>
            <w:tcBorders>
              <w:top w:val="single" w:sz="4" w:space="0" w:color="auto"/>
              <w:left w:val="nil"/>
              <w:bottom w:val="single" w:sz="4" w:space="0" w:color="auto"/>
              <w:right w:val="nil"/>
            </w:tcBorders>
            <w:shd w:val="clear" w:color="auto" w:fill="auto"/>
            <w:noWrap/>
            <w:vAlign w:val="bottom"/>
            <w:hideMark/>
          </w:tcPr>
          <w:p w14:paraId="2721F928" w14:textId="77777777" w:rsidR="005B0A07" w:rsidRPr="00441453" w:rsidRDefault="005B0A07" w:rsidP="005E4ABC">
            <w:pPr>
              <w:rPr>
                <w:b/>
                <w:bCs/>
                <w:color w:val="000000"/>
                <w:sz w:val="16"/>
                <w:szCs w:val="16"/>
                <w:lang w:val="en-US"/>
              </w:rPr>
            </w:pPr>
            <w:r w:rsidRPr="002B4CD6">
              <w:rPr>
                <w:b/>
                <w:bCs/>
                <w:color w:val="000000"/>
                <w:sz w:val="16"/>
                <w:szCs w:val="16"/>
                <w:lang w:val="en-US"/>
              </w:rPr>
              <w:t>Value</w:t>
            </w:r>
          </w:p>
        </w:tc>
      </w:tr>
      <w:tr w:rsidR="005B0A07" w:rsidRPr="00441453" w14:paraId="38B32E4D" w14:textId="77777777" w:rsidTr="00B51849">
        <w:trPr>
          <w:trHeight w:val="170"/>
        </w:trPr>
        <w:tc>
          <w:tcPr>
            <w:tcW w:w="2835" w:type="dxa"/>
            <w:tcBorders>
              <w:top w:val="single" w:sz="4" w:space="0" w:color="auto"/>
              <w:left w:val="nil"/>
              <w:bottom w:val="nil"/>
              <w:right w:val="nil"/>
            </w:tcBorders>
            <w:shd w:val="clear" w:color="auto" w:fill="auto"/>
            <w:noWrap/>
            <w:vAlign w:val="bottom"/>
            <w:hideMark/>
          </w:tcPr>
          <w:p w14:paraId="52992647" w14:textId="77777777" w:rsidR="005B0A07" w:rsidRPr="00441453" w:rsidRDefault="005B0A07" w:rsidP="005E4ABC">
            <w:pPr>
              <w:rPr>
                <w:color w:val="000000"/>
                <w:sz w:val="14"/>
                <w:szCs w:val="14"/>
                <w:lang w:val="en-US"/>
              </w:rPr>
            </w:pPr>
            <w:r w:rsidRPr="00D934E4">
              <w:rPr>
                <w:color w:val="000000"/>
                <w:sz w:val="14"/>
                <w:szCs w:val="14"/>
                <w:lang w:val="en-US"/>
              </w:rPr>
              <w:t>Total area (10</w:t>
            </w:r>
            <w:r w:rsidRPr="00D934E4">
              <w:rPr>
                <w:color w:val="000000"/>
                <w:sz w:val="14"/>
                <w:szCs w:val="14"/>
                <w:vertAlign w:val="superscript"/>
                <w:lang w:val="en-US"/>
              </w:rPr>
              <w:t>3</w:t>
            </w:r>
            <w:r w:rsidRPr="00D934E4">
              <w:rPr>
                <w:color w:val="000000"/>
                <w:sz w:val="14"/>
                <w:szCs w:val="14"/>
                <w:lang w:val="en-US"/>
              </w:rPr>
              <w:t xml:space="preserve"> ha)</w:t>
            </w:r>
          </w:p>
        </w:tc>
        <w:tc>
          <w:tcPr>
            <w:tcW w:w="680" w:type="dxa"/>
            <w:tcBorders>
              <w:top w:val="single" w:sz="4" w:space="0" w:color="auto"/>
              <w:left w:val="nil"/>
              <w:bottom w:val="nil"/>
              <w:right w:val="single" w:sz="4" w:space="0" w:color="auto"/>
            </w:tcBorders>
            <w:shd w:val="clear" w:color="auto" w:fill="auto"/>
            <w:noWrap/>
            <w:vAlign w:val="bottom"/>
            <w:hideMark/>
          </w:tcPr>
          <w:p w14:paraId="585E54B2" w14:textId="77777777" w:rsidR="005B0A07" w:rsidRPr="00441453" w:rsidRDefault="005B0A07" w:rsidP="005E4ABC">
            <w:pPr>
              <w:rPr>
                <w:color w:val="000000"/>
                <w:sz w:val="14"/>
                <w:szCs w:val="14"/>
                <w:lang w:val="en-US"/>
              </w:rPr>
            </w:pPr>
            <w:r w:rsidRPr="00D934E4">
              <w:rPr>
                <w:color w:val="000000"/>
                <w:sz w:val="14"/>
                <w:szCs w:val="14"/>
                <w:lang w:val="en-US"/>
              </w:rPr>
              <w:t>100</w:t>
            </w:r>
          </w:p>
        </w:tc>
        <w:tc>
          <w:tcPr>
            <w:tcW w:w="2835" w:type="dxa"/>
            <w:tcBorders>
              <w:top w:val="single" w:sz="4" w:space="0" w:color="auto"/>
              <w:left w:val="single" w:sz="4" w:space="0" w:color="auto"/>
              <w:bottom w:val="nil"/>
              <w:right w:val="nil"/>
            </w:tcBorders>
            <w:shd w:val="clear" w:color="auto" w:fill="auto"/>
            <w:noWrap/>
            <w:vAlign w:val="center"/>
          </w:tcPr>
          <w:p w14:paraId="35E427E0" w14:textId="77777777" w:rsidR="005B0A07" w:rsidRPr="00441453" w:rsidRDefault="005B0A07" w:rsidP="005E4ABC">
            <w:pPr>
              <w:rPr>
                <w:color w:val="000000"/>
                <w:sz w:val="14"/>
                <w:szCs w:val="14"/>
                <w:lang w:val="en-US"/>
              </w:rPr>
            </w:pPr>
            <w:r w:rsidRPr="00D934E4">
              <w:rPr>
                <w:color w:val="000000"/>
                <w:sz w:val="14"/>
                <w:szCs w:val="14"/>
                <w:lang w:val="en-US"/>
              </w:rPr>
              <w:t>Carcass yield (%)</w:t>
            </w:r>
          </w:p>
        </w:tc>
        <w:tc>
          <w:tcPr>
            <w:tcW w:w="680" w:type="dxa"/>
            <w:tcBorders>
              <w:top w:val="single" w:sz="4" w:space="0" w:color="auto"/>
              <w:left w:val="nil"/>
              <w:bottom w:val="nil"/>
              <w:right w:val="nil"/>
            </w:tcBorders>
            <w:shd w:val="clear" w:color="auto" w:fill="auto"/>
            <w:noWrap/>
            <w:vAlign w:val="bottom"/>
          </w:tcPr>
          <w:p w14:paraId="0CDA95D8" w14:textId="77777777" w:rsidR="005B0A07" w:rsidRPr="00441453" w:rsidRDefault="005B0A07" w:rsidP="005E4ABC">
            <w:pPr>
              <w:rPr>
                <w:color w:val="000000"/>
                <w:sz w:val="14"/>
                <w:szCs w:val="14"/>
                <w:lang w:val="en-US"/>
              </w:rPr>
            </w:pPr>
            <w:r>
              <w:rPr>
                <w:color w:val="000000"/>
                <w:sz w:val="14"/>
                <w:szCs w:val="14"/>
                <w:lang w:val="en-US"/>
              </w:rPr>
              <w:t>54</w:t>
            </w:r>
          </w:p>
        </w:tc>
      </w:tr>
      <w:tr w:rsidR="005B0A07" w:rsidRPr="00441453" w14:paraId="7E63A2EA" w14:textId="77777777" w:rsidTr="00B51849">
        <w:trPr>
          <w:trHeight w:val="170"/>
        </w:trPr>
        <w:tc>
          <w:tcPr>
            <w:tcW w:w="2835" w:type="dxa"/>
            <w:tcBorders>
              <w:top w:val="nil"/>
              <w:left w:val="nil"/>
              <w:bottom w:val="nil"/>
              <w:right w:val="nil"/>
            </w:tcBorders>
            <w:shd w:val="clear" w:color="auto" w:fill="auto"/>
            <w:noWrap/>
            <w:vAlign w:val="center"/>
            <w:hideMark/>
          </w:tcPr>
          <w:p w14:paraId="4D04079B" w14:textId="77777777" w:rsidR="005B0A07" w:rsidRPr="00BE0B2F" w:rsidRDefault="005B0A07" w:rsidP="005E4ABC">
            <w:pPr>
              <w:rPr>
                <w:color w:val="000000"/>
                <w:sz w:val="14"/>
                <w:szCs w:val="14"/>
                <w:lang w:val="en-US"/>
              </w:rPr>
            </w:pPr>
            <w:r w:rsidRPr="00BE0B2F">
              <w:rPr>
                <w:color w:val="000000"/>
                <w:sz w:val="14"/>
                <w:szCs w:val="14"/>
                <w:lang w:val="en-US"/>
              </w:rPr>
              <w:t>Sugarcane agricultural yield (t ha</w:t>
            </w:r>
            <w:r w:rsidRPr="00BE0B2F">
              <w:rPr>
                <w:color w:val="000000"/>
                <w:sz w:val="14"/>
                <w:szCs w:val="14"/>
                <w:vertAlign w:val="superscript"/>
                <w:lang w:val="en-US"/>
              </w:rPr>
              <w:t>-1</w:t>
            </w:r>
            <w:r w:rsidRPr="00BE0B2F">
              <w:rPr>
                <w:color w:val="000000"/>
                <w:sz w:val="14"/>
                <w:szCs w:val="14"/>
                <w:lang w:val="en-US"/>
              </w:rPr>
              <w:t>)</w:t>
            </w:r>
          </w:p>
        </w:tc>
        <w:tc>
          <w:tcPr>
            <w:tcW w:w="680" w:type="dxa"/>
            <w:tcBorders>
              <w:top w:val="nil"/>
              <w:left w:val="nil"/>
              <w:bottom w:val="nil"/>
              <w:right w:val="single" w:sz="4" w:space="0" w:color="auto"/>
            </w:tcBorders>
            <w:shd w:val="clear" w:color="auto" w:fill="auto"/>
            <w:noWrap/>
            <w:vAlign w:val="bottom"/>
            <w:hideMark/>
          </w:tcPr>
          <w:p w14:paraId="2EA491A9" w14:textId="77777777" w:rsidR="005B0A07" w:rsidRPr="00441453" w:rsidRDefault="005B0A07" w:rsidP="005E4ABC">
            <w:pPr>
              <w:rPr>
                <w:color w:val="000000"/>
                <w:sz w:val="14"/>
                <w:szCs w:val="14"/>
                <w:lang w:val="en-US"/>
              </w:rPr>
            </w:pPr>
            <w:r w:rsidRPr="00D934E4">
              <w:rPr>
                <w:color w:val="000000"/>
                <w:sz w:val="14"/>
                <w:szCs w:val="14"/>
                <w:lang w:val="en-US"/>
              </w:rPr>
              <w:t>80</w:t>
            </w:r>
          </w:p>
        </w:tc>
        <w:tc>
          <w:tcPr>
            <w:tcW w:w="2835" w:type="dxa"/>
            <w:tcBorders>
              <w:top w:val="nil"/>
              <w:left w:val="single" w:sz="4" w:space="0" w:color="auto"/>
              <w:bottom w:val="nil"/>
              <w:right w:val="nil"/>
            </w:tcBorders>
            <w:shd w:val="clear" w:color="auto" w:fill="auto"/>
            <w:noWrap/>
            <w:vAlign w:val="center"/>
          </w:tcPr>
          <w:p w14:paraId="7A74DDC0" w14:textId="77777777" w:rsidR="005B0A07" w:rsidRPr="00441453" w:rsidRDefault="005B0A07" w:rsidP="005E4ABC">
            <w:pPr>
              <w:rPr>
                <w:color w:val="000000"/>
                <w:sz w:val="14"/>
                <w:szCs w:val="14"/>
                <w:lang w:val="en-US"/>
              </w:rPr>
            </w:pPr>
            <w:r w:rsidRPr="00D934E4">
              <w:rPr>
                <w:color w:val="000000"/>
                <w:sz w:val="14"/>
                <w:szCs w:val="14"/>
                <w:lang w:val="en-US"/>
              </w:rPr>
              <w:t>Feedlot days (day)</w:t>
            </w:r>
          </w:p>
        </w:tc>
        <w:tc>
          <w:tcPr>
            <w:tcW w:w="680" w:type="dxa"/>
            <w:tcBorders>
              <w:top w:val="nil"/>
              <w:left w:val="nil"/>
              <w:bottom w:val="nil"/>
              <w:right w:val="nil"/>
            </w:tcBorders>
            <w:shd w:val="clear" w:color="auto" w:fill="auto"/>
            <w:noWrap/>
            <w:vAlign w:val="bottom"/>
          </w:tcPr>
          <w:p w14:paraId="706C1B63" w14:textId="77777777" w:rsidR="005B0A07" w:rsidRPr="00441453" w:rsidRDefault="005B0A07" w:rsidP="005E4ABC">
            <w:pPr>
              <w:rPr>
                <w:color w:val="000000"/>
                <w:sz w:val="14"/>
                <w:szCs w:val="14"/>
                <w:lang w:val="en-US"/>
              </w:rPr>
            </w:pPr>
            <w:r>
              <w:rPr>
                <w:color w:val="000000"/>
                <w:sz w:val="14"/>
                <w:szCs w:val="14"/>
                <w:lang w:val="en-US"/>
              </w:rPr>
              <w:t>100</w:t>
            </w:r>
          </w:p>
        </w:tc>
      </w:tr>
      <w:tr w:rsidR="005B0A07" w:rsidRPr="00441453" w14:paraId="4912C231" w14:textId="77777777" w:rsidTr="00B51849">
        <w:trPr>
          <w:trHeight w:val="170"/>
        </w:trPr>
        <w:tc>
          <w:tcPr>
            <w:tcW w:w="2835" w:type="dxa"/>
            <w:tcBorders>
              <w:top w:val="nil"/>
              <w:left w:val="nil"/>
              <w:bottom w:val="nil"/>
              <w:right w:val="nil"/>
            </w:tcBorders>
            <w:shd w:val="clear" w:color="auto" w:fill="auto"/>
            <w:noWrap/>
            <w:vAlign w:val="center"/>
            <w:hideMark/>
          </w:tcPr>
          <w:p w14:paraId="4F6DF83F" w14:textId="77777777" w:rsidR="005B0A07" w:rsidRPr="00441453" w:rsidRDefault="005B0A07" w:rsidP="005E4ABC">
            <w:pPr>
              <w:rPr>
                <w:color w:val="000000"/>
                <w:sz w:val="14"/>
                <w:szCs w:val="14"/>
                <w:lang w:val="en-US"/>
              </w:rPr>
            </w:pPr>
            <w:r w:rsidRPr="00D934E4">
              <w:rPr>
                <w:color w:val="000000"/>
                <w:sz w:val="14"/>
                <w:szCs w:val="14"/>
                <w:lang w:val="en-US"/>
              </w:rPr>
              <w:t>Land rental cost (US$ ha.y</w:t>
            </w:r>
            <w:r w:rsidRPr="00D934E4">
              <w:rPr>
                <w:color w:val="000000"/>
                <w:sz w:val="14"/>
                <w:szCs w:val="14"/>
                <w:vertAlign w:val="superscript"/>
                <w:lang w:val="en-US"/>
              </w:rPr>
              <w:t>-1</w:t>
            </w:r>
            <w:r w:rsidRPr="00D934E4">
              <w:rPr>
                <w:color w:val="000000"/>
                <w:sz w:val="14"/>
                <w:szCs w:val="14"/>
                <w:lang w:val="en-US"/>
              </w:rPr>
              <w:t>)</w:t>
            </w:r>
          </w:p>
        </w:tc>
        <w:tc>
          <w:tcPr>
            <w:tcW w:w="680" w:type="dxa"/>
            <w:tcBorders>
              <w:top w:val="nil"/>
              <w:left w:val="nil"/>
              <w:bottom w:val="nil"/>
              <w:right w:val="single" w:sz="4" w:space="0" w:color="auto"/>
            </w:tcBorders>
            <w:shd w:val="clear" w:color="auto" w:fill="auto"/>
            <w:noWrap/>
            <w:vAlign w:val="bottom"/>
            <w:hideMark/>
          </w:tcPr>
          <w:p w14:paraId="48D971DC" w14:textId="77777777" w:rsidR="005B0A07" w:rsidRPr="00441453" w:rsidRDefault="005B0A07" w:rsidP="005E4ABC">
            <w:pPr>
              <w:rPr>
                <w:color w:val="000000"/>
                <w:sz w:val="14"/>
                <w:szCs w:val="14"/>
                <w:lang w:val="en-US"/>
              </w:rPr>
            </w:pPr>
            <w:r w:rsidRPr="00D934E4">
              <w:rPr>
                <w:color w:val="000000"/>
                <w:sz w:val="14"/>
                <w:szCs w:val="14"/>
                <w:lang w:val="en-US"/>
              </w:rPr>
              <w:t>240</w:t>
            </w:r>
          </w:p>
        </w:tc>
        <w:tc>
          <w:tcPr>
            <w:tcW w:w="2835" w:type="dxa"/>
            <w:tcBorders>
              <w:top w:val="nil"/>
              <w:left w:val="single" w:sz="4" w:space="0" w:color="auto"/>
              <w:bottom w:val="nil"/>
              <w:right w:val="nil"/>
            </w:tcBorders>
            <w:shd w:val="clear" w:color="auto" w:fill="auto"/>
            <w:noWrap/>
            <w:vAlign w:val="center"/>
          </w:tcPr>
          <w:p w14:paraId="58F1F11E" w14:textId="77777777" w:rsidR="005B0A07" w:rsidRPr="00441453" w:rsidRDefault="005B0A07" w:rsidP="005E4ABC">
            <w:pPr>
              <w:rPr>
                <w:color w:val="000000"/>
                <w:sz w:val="14"/>
                <w:szCs w:val="14"/>
                <w:lang w:val="en-US"/>
              </w:rPr>
            </w:pPr>
            <w:r w:rsidRPr="00D934E4">
              <w:rPr>
                <w:color w:val="000000"/>
                <w:sz w:val="14"/>
                <w:szCs w:val="14"/>
                <w:lang w:val="en-US"/>
              </w:rPr>
              <w:t>Initial feedlot live weight (kg head</w:t>
            </w:r>
            <w:r w:rsidRPr="00D934E4">
              <w:rPr>
                <w:color w:val="000000"/>
                <w:sz w:val="14"/>
                <w:szCs w:val="14"/>
                <w:vertAlign w:val="superscript"/>
                <w:lang w:val="en-US"/>
              </w:rPr>
              <w:t>-1</w:t>
            </w:r>
            <w:r w:rsidRPr="00D934E4">
              <w:rPr>
                <w:color w:val="000000"/>
                <w:sz w:val="14"/>
                <w:szCs w:val="14"/>
                <w:lang w:val="en-US"/>
              </w:rPr>
              <w:t>)</w:t>
            </w:r>
          </w:p>
        </w:tc>
        <w:tc>
          <w:tcPr>
            <w:tcW w:w="680" w:type="dxa"/>
            <w:tcBorders>
              <w:top w:val="nil"/>
              <w:left w:val="nil"/>
              <w:bottom w:val="nil"/>
              <w:right w:val="nil"/>
            </w:tcBorders>
            <w:shd w:val="clear" w:color="auto" w:fill="auto"/>
            <w:noWrap/>
            <w:vAlign w:val="bottom"/>
          </w:tcPr>
          <w:p w14:paraId="54BBF0D3" w14:textId="77777777" w:rsidR="005B0A07" w:rsidRPr="00441453" w:rsidRDefault="005B0A07" w:rsidP="005E4ABC">
            <w:pPr>
              <w:rPr>
                <w:color w:val="000000"/>
                <w:sz w:val="14"/>
                <w:szCs w:val="14"/>
                <w:lang w:val="en-US"/>
              </w:rPr>
            </w:pPr>
            <w:r>
              <w:rPr>
                <w:color w:val="000000"/>
                <w:sz w:val="14"/>
                <w:szCs w:val="14"/>
                <w:lang w:val="en-US"/>
              </w:rPr>
              <w:t>380</w:t>
            </w:r>
          </w:p>
        </w:tc>
      </w:tr>
      <w:tr w:rsidR="005B0A07" w:rsidRPr="00441453" w14:paraId="3C061E90" w14:textId="77777777" w:rsidTr="00B51849">
        <w:trPr>
          <w:trHeight w:val="170"/>
        </w:trPr>
        <w:tc>
          <w:tcPr>
            <w:tcW w:w="2835" w:type="dxa"/>
            <w:tcBorders>
              <w:top w:val="nil"/>
              <w:left w:val="nil"/>
              <w:bottom w:val="nil"/>
              <w:right w:val="nil"/>
            </w:tcBorders>
            <w:shd w:val="clear" w:color="auto" w:fill="auto"/>
            <w:noWrap/>
            <w:vAlign w:val="center"/>
            <w:hideMark/>
          </w:tcPr>
          <w:p w14:paraId="6FB0AF15" w14:textId="77777777" w:rsidR="005B0A07" w:rsidRPr="00441453" w:rsidRDefault="005B0A07" w:rsidP="005E4ABC">
            <w:pPr>
              <w:rPr>
                <w:color w:val="000000"/>
                <w:sz w:val="14"/>
                <w:szCs w:val="14"/>
                <w:lang w:val="en-US"/>
              </w:rPr>
            </w:pPr>
            <w:r w:rsidRPr="00D934E4">
              <w:rPr>
                <w:color w:val="000000"/>
                <w:sz w:val="14"/>
                <w:szCs w:val="14"/>
                <w:lang w:val="en-US"/>
              </w:rPr>
              <w:t>Sugarcane spatial dispersion factor (%)</w:t>
            </w:r>
          </w:p>
        </w:tc>
        <w:tc>
          <w:tcPr>
            <w:tcW w:w="680" w:type="dxa"/>
            <w:tcBorders>
              <w:top w:val="nil"/>
              <w:left w:val="nil"/>
              <w:bottom w:val="nil"/>
              <w:right w:val="single" w:sz="4" w:space="0" w:color="auto"/>
            </w:tcBorders>
            <w:shd w:val="clear" w:color="auto" w:fill="auto"/>
            <w:noWrap/>
            <w:vAlign w:val="bottom"/>
            <w:hideMark/>
          </w:tcPr>
          <w:p w14:paraId="6839BE4D" w14:textId="77777777" w:rsidR="005B0A07" w:rsidRPr="00441453" w:rsidRDefault="005B0A07" w:rsidP="005E4ABC">
            <w:pPr>
              <w:rPr>
                <w:color w:val="000000"/>
                <w:sz w:val="14"/>
                <w:szCs w:val="14"/>
                <w:lang w:val="en-US"/>
              </w:rPr>
            </w:pPr>
            <w:r w:rsidRPr="00D934E4">
              <w:rPr>
                <w:color w:val="000000"/>
                <w:sz w:val="14"/>
                <w:szCs w:val="14"/>
                <w:lang w:val="en-US"/>
              </w:rPr>
              <w:t>24</w:t>
            </w:r>
          </w:p>
        </w:tc>
        <w:tc>
          <w:tcPr>
            <w:tcW w:w="2835" w:type="dxa"/>
            <w:tcBorders>
              <w:top w:val="nil"/>
              <w:left w:val="single" w:sz="4" w:space="0" w:color="auto"/>
              <w:bottom w:val="nil"/>
              <w:right w:val="nil"/>
            </w:tcBorders>
            <w:shd w:val="clear" w:color="auto" w:fill="auto"/>
            <w:noWrap/>
            <w:vAlign w:val="center"/>
            <w:hideMark/>
          </w:tcPr>
          <w:p w14:paraId="0A466B9D" w14:textId="77777777" w:rsidR="005B0A07" w:rsidRPr="00441453" w:rsidRDefault="005B0A07" w:rsidP="005E4ABC">
            <w:pPr>
              <w:rPr>
                <w:color w:val="000000"/>
                <w:sz w:val="14"/>
                <w:szCs w:val="14"/>
                <w:lang w:val="en-US"/>
              </w:rPr>
            </w:pPr>
            <w:r w:rsidRPr="00D934E4">
              <w:rPr>
                <w:color w:val="000000"/>
                <w:sz w:val="14"/>
                <w:szCs w:val="14"/>
                <w:lang w:val="en-US"/>
              </w:rPr>
              <w:t xml:space="preserve">Calves price </w:t>
            </w:r>
            <w:r w:rsidRPr="00441453">
              <w:rPr>
                <w:color w:val="000000"/>
                <w:sz w:val="14"/>
                <w:szCs w:val="14"/>
                <w:lang w:val="en-US"/>
              </w:rPr>
              <w:t>(</w:t>
            </w:r>
            <w:r w:rsidRPr="00D934E4">
              <w:rPr>
                <w:color w:val="000000"/>
                <w:sz w:val="14"/>
                <w:szCs w:val="14"/>
                <w:lang w:val="en-US"/>
              </w:rPr>
              <w:t>US</w:t>
            </w:r>
            <w:r w:rsidRPr="00441453">
              <w:rPr>
                <w:color w:val="000000"/>
                <w:sz w:val="14"/>
                <w:szCs w:val="14"/>
                <w:lang w:val="en-US"/>
              </w:rPr>
              <w:t>$</w:t>
            </w:r>
            <w:r w:rsidRPr="00D934E4">
              <w:rPr>
                <w:color w:val="000000"/>
                <w:sz w:val="14"/>
                <w:szCs w:val="14"/>
                <w:lang w:val="en-US"/>
              </w:rPr>
              <w:t xml:space="preserve"> head</w:t>
            </w:r>
            <w:r w:rsidRPr="00D934E4">
              <w:rPr>
                <w:color w:val="000000"/>
                <w:sz w:val="14"/>
                <w:szCs w:val="14"/>
                <w:vertAlign w:val="superscript"/>
                <w:lang w:val="en-US"/>
              </w:rPr>
              <w:t>-1</w:t>
            </w:r>
            <w:r w:rsidRPr="00441453">
              <w:rPr>
                <w:color w:val="000000"/>
                <w:sz w:val="14"/>
                <w:szCs w:val="14"/>
                <w:lang w:val="en-US"/>
              </w:rPr>
              <w:t>)</w:t>
            </w:r>
          </w:p>
        </w:tc>
        <w:tc>
          <w:tcPr>
            <w:tcW w:w="680" w:type="dxa"/>
            <w:tcBorders>
              <w:top w:val="nil"/>
              <w:left w:val="nil"/>
              <w:bottom w:val="nil"/>
              <w:right w:val="nil"/>
            </w:tcBorders>
            <w:shd w:val="clear" w:color="auto" w:fill="auto"/>
            <w:noWrap/>
            <w:vAlign w:val="bottom"/>
            <w:hideMark/>
          </w:tcPr>
          <w:p w14:paraId="4A9B1F21" w14:textId="77777777" w:rsidR="005B0A07" w:rsidRPr="00441453" w:rsidRDefault="005B0A07" w:rsidP="005E4ABC">
            <w:pPr>
              <w:rPr>
                <w:color w:val="000000"/>
                <w:sz w:val="14"/>
                <w:szCs w:val="14"/>
                <w:lang w:val="en-US"/>
              </w:rPr>
            </w:pPr>
            <w:r>
              <w:rPr>
                <w:color w:val="000000"/>
                <w:sz w:val="14"/>
                <w:szCs w:val="14"/>
                <w:lang w:val="en-US"/>
              </w:rPr>
              <w:t>500</w:t>
            </w:r>
          </w:p>
        </w:tc>
      </w:tr>
      <w:tr w:rsidR="005B0A07" w:rsidRPr="00441453" w14:paraId="2DD641A0" w14:textId="77777777" w:rsidTr="00B51849">
        <w:trPr>
          <w:trHeight w:val="170"/>
        </w:trPr>
        <w:tc>
          <w:tcPr>
            <w:tcW w:w="2835" w:type="dxa"/>
            <w:tcBorders>
              <w:top w:val="nil"/>
              <w:left w:val="nil"/>
              <w:bottom w:val="nil"/>
              <w:right w:val="nil"/>
            </w:tcBorders>
            <w:shd w:val="clear" w:color="auto" w:fill="auto"/>
            <w:noWrap/>
            <w:vAlign w:val="center"/>
            <w:hideMark/>
          </w:tcPr>
          <w:p w14:paraId="51CF5187" w14:textId="77777777" w:rsidR="005B0A07" w:rsidRPr="00441453" w:rsidRDefault="005B0A07" w:rsidP="005E4ABC">
            <w:pPr>
              <w:rPr>
                <w:color w:val="000000"/>
                <w:sz w:val="14"/>
                <w:szCs w:val="14"/>
                <w:lang w:val="en-US"/>
              </w:rPr>
            </w:pPr>
            <w:r w:rsidRPr="00D934E4">
              <w:rPr>
                <w:color w:val="000000"/>
                <w:sz w:val="14"/>
                <w:szCs w:val="14"/>
                <w:lang w:val="en-US"/>
              </w:rPr>
              <w:t>Diesel cost (US$ L</w:t>
            </w:r>
            <w:r w:rsidRPr="00D934E4">
              <w:rPr>
                <w:color w:val="000000"/>
                <w:sz w:val="14"/>
                <w:szCs w:val="14"/>
                <w:vertAlign w:val="superscript"/>
                <w:lang w:val="en-US"/>
              </w:rPr>
              <w:t>-1</w:t>
            </w:r>
            <w:r w:rsidRPr="00D934E4">
              <w:rPr>
                <w:color w:val="000000"/>
                <w:sz w:val="14"/>
                <w:szCs w:val="14"/>
                <w:lang w:val="en-US"/>
              </w:rPr>
              <w:t>)</w:t>
            </w:r>
          </w:p>
        </w:tc>
        <w:tc>
          <w:tcPr>
            <w:tcW w:w="680" w:type="dxa"/>
            <w:tcBorders>
              <w:top w:val="nil"/>
              <w:left w:val="nil"/>
              <w:bottom w:val="nil"/>
              <w:right w:val="single" w:sz="4" w:space="0" w:color="auto"/>
            </w:tcBorders>
            <w:shd w:val="clear" w:color="auto" w:fill="auto"/>
            <w:noWrap/>
            <w:vAlign w:val="bottom"/>
            <w:hideMark/>
          </w:tcPr>
          <w:p w14:paraId="1977925E" w14:textId="77777777" w:rsidR="005B0A07" w:rsidRPr="00441453" w:rsidRDefault="005B0A07" w:rsidP="005E4ABC">
            <w:pPr>
              <w:rPr>
                <w:color w:val="000000"/>
                <w:sz w:val="14"/>
                <w:szCs w:val="14"/>
                <w:lang w:val="en-US"/>
              </w:rPr>
            </w:pPr>
            <w:r w:rsidRPr="00D934E4">
              <w:rPr>
                <w:color w:val="000000"/>
                <w:sz w:val="14"/>
                <w:szCs w:val="14"/>
                <w:lang w:val="en-US"/>
              </w:rPr>
              <w:t>0.7</w:t>
            </w:r>
            <w:r>
              <w:rPr>
                <w:color w:val="000000"/>
                <w:sz w:val="14"/>
                <w:szCs w:val="14"/>
                <w:lang w:val="en-US"/>
              </w:rPr>
              <w:t>0</w:t>
            </w:r>
          </w:p>
        </w:tc>
        <w:tc>
          <w:tcPr>
            <w:tcW w:w="2835" w:type="dxa"/>
            <w:tcBorders>
              <w:top w:val="nil"/>
              <w:left w:val="single" w:sz="4" w:space="0" w:color="auto"/>
              <w:bottom w:val="nil"/>
              <w:right w:val="nil"/>
            </w:tcBorders>
            <w:shd w:val="clear" w:color="auto" w:fill="auto"/>
            <w:noWrap/>
            <w:vAlign w:val="center"/>
            <w:hideMark/>
          </w:tcPr>
          <w:p w14:paraId="1B36F053" w14:textId="77777777" w:rsidR="005B0A07" w:rsidRPr="00441453" w:rsidRDefault="005B0A07" w:rsidP="005E4ABC">
            <w:pPr>
              <w:rPr>
                <w:color w:val="000000"/>
                <w:sz w:val="14"/>
                <w:szCs w:val="14"/>
                <w:lang w:val="en-US"/>
              </w:rPr>
            </w:pPr>
            <w:r w:rsidRPr="00D934E4">
              <w:rPr>
                <w:color w:val="000000"/>
                <w:sz w:val="14"/>
                <w:szCs w:val="14"/>
                <w:lang w:val="en-US"/>
              </w:rPr>
              <w:t>Ethanol price (US$ L</w:t>
            </w:r>
            <w:r w:rsidRPr="00D934E4">
              <w:rPr>
                <w:color w:val="000000"/>
                <w:sz w:val="14"/>
                <w:szCs w:val="14"/>
                <w:vertAlign w:val="superscript"/>
                <w:lang w:val="en-US"/>
              </w:rPr>
              <w:t>-1</w:t>
            </w:r>
            <w:r w:rsidRPr="00D934E4">
              <w:rPr>
                <w:color w:val="000000"/>
                <w:sz w:val="14"/>
                <w:szCs w:val="14"/>
                <w:lang w:val="en-US"/>
              </w:rPr>
              <w:t>)</w:t>
            </w:r>
          </w:p>
        </w:tc>
        <w:tc>
          <w:tcPr>
            <w:tcW w:w="680" w:type="dxa"/>
            <w:tcBorders>
              <w:top w:val="nil"/>
              <w:left w:val="nil"/>
              <w:bottom w:val="nil"/>
              <w:right w:val="nil"/>
            </w:tcBorders>
            <w:shd w:val="clear" w:color="auto" w:fill="auto"/>
            <w:noWrap/>
            <w:vAlign w:val="bottom"/>
            <w:hideMark/>
          </w:tcPr>
          <w:p w14:paraId="25AE6144" w14:textId="77777777" w:rsidR="005B0A07" w:rsidRPr="00441453" w:rsidRDefault="005B0A07" w:rsidP="005E4ABC">
            <w:pPr>
              <w:rPr>
                <w:color w:val="000000"/>
                <w:sz w:val="14"/>
                <w:szCs w:val="14"/>
                <w:lang w:val="en-US"/>
              </w:rPr>
            </w:pPr>
            <w:r>
              <w:rPr>
                <w:color w:val="000000"/>
                <w:sz w:val="14"/>
                <w:szCs w:val="14"/>
                <w:lang w:val="en-US"/>
              </w:rPr>
              <w:t>0.39</w:t>
            </w:r>
          </w:p>
        </w:tc>
      </w:tr>
      <w:tr w:rsidR="005B0A07" w:rsidRPr="00441453" w14:paraId="3D319F14" w14:textId="77777777" w:rsidTr="00B51849">
        <w:trPr>
          <w:trHeight w:val="170"/>
        </w:trPr>
        <w:tc>
          <w:tcPr>
            <w:tcW w:w="2835" w:type="dxa"/>
            <w:tcBorders>
              <w:top w:val="nil"/>
              <w:left w:val="nil"/>
              <w:bottom w:val="nil"/>
              <w:right w:val="nil"/>
            </w:tcBorders>
            <w:shd w:val="clear" w:color="auto" w:fill="auto"/>
            <w:noWrap/>
            <w:vAlign w:val="center"/>
            <w:hideMark/>
          </w:tcPr>
          <w:p w14:paraId="0FA05B63" w14:textId="77777777" w:rsidR="005B0A07" w:rsidRPr="00441453" w:rsidRDefault="005B0A07" w:rsidP="005E4ABC">
            <w:pPr>
              <w:rPr>
                <w:color w:val="000000"/>
                <w:sz w:val="14"/>
                <w:szCs w:val="14"/>
                <w:lang w:val="en-US"/>
              </w:rPr>
            </w:pPr>
            <w:r w:rsidRPr="00D934E4">
              <w:rPr>
                <w:color w:val="000000"/>
                <w:sz w:val="14"/>
                <w:szCs w:val="14"/>
                <w:lang w:val="en-US"/>
              </w:rPr>
              <w:t>Soybean agricultural yield (t ha</w:t>
            </w:r>
            <w:r w:rsidRPr="00D934E4">
              <w:rPr>
                <w:color w:val="000000"/>
                <w:sz w:val="14"/>
                <w:szCs w:val="14"/>
                <w:vertAlign w:val="superscript"/>
                <w:lang w:val="en-US"/>
              </w:rPr>
              <w:t>-1</w:t>
            </w:r>
            <w:r w:rsidRPr="00D934E4">
              <w:rPr>
                <w:color w:val="000000"/>
                <w:sz w:val="14"/>
                <w:szCs w:val="14"/>
                <w:lang w:val="en-US"/>
              </w:rPr>
              <w:t>)</w:t>
            </w:r>
          </w:p>
        </w:tc>
        <w:tc>
          <w:tcPr>
            <w:tcW w:w="680" w:type="dxa"/>
            <w:tcBorders>
              <w:top w:val="nil"/>
              <w:left w:val="nil"/>
              <w:bottom w:val="nil"/>
              <w:right w:val="single" w:sz="4" w:space="0" w:color="auto"/>
            </w:tcBorders>
            <w:shd w:val="clear" w:color="auto" w:fill="auto"/>
            <w:noWrap/>
            <w:vAlign w:val="bottom"/>
            <w:hideMark/>
          </w:tcPr>
          <w:p w14:paraId="15DEAAA7" w14:textId="77777777" w:rsidR="005B0A07" w:rsidRPr="00441453" w:rsidRDefault="005B0A07" w:rsidP="005E4ABC">
            <w:pPr>
              <w:rPr>
                <w:color w:val="000000"/>
                <w:sz w:val="14"/>
                <w:szCs w:val="14"/>
                <w:lang w:val="en-US"/>
              </w:rPr>
            </w:pPr>
            <w:r w:rsidRPr="00D934E4">
              <w:rPr>
                <w:color w:val="000000"/>
                <w:sz w:val="14"/>
                <w:szCs w:val="14"/>
                <w:lang w:val="en-US"/>
              </w:rPr>
              <w:t>3.2</w:t>
            </w:r>
          </w:p>
        </w:tc>
        <w:tc>
          <w:tcPr>
            <w:tcW w:w="2835" w:type="dxa"/>
            <w:tcBorders>
              <w:top w:val="nil"/>
              <w:left w:val="single" w:sz="4" w:space="0" w:color="auto"/>
              <w:bottom w:val="nil"/>
              <w:right w:val="nil"/>
            </w:tcBorders>
            <w:shd w:val="clear" w:color="auto" w:fill="auto"/>
            <w:noWrap/>
            <w:vAlign w:val="center"/>
            <w:hideMark/>
          </w:tcPr>
          <w:p w14:paraId="1A45794D" w14:textId="77777777" w:rsidR="005B0A07" w:rsidRPr="00441453" w:rsidRDefault="005B0A07" w:rsidP="005E4ABC">
            <w:pPr>
              <w:rPr>
                <w:color w:val="000000"/>
                <w:sz w:val="14"/>
                <w:szCs w:val="14"/>
                <w:lang w:val="en-US"/>
              </w:rPr>
            </w:pPr>
            <w:r w:rsidRPr="00D934E4">
              <w:rPr>
                <w:color w:val="000000"/>
                <w:sz w:val="14"/>
                <w:szCs w:val="14"/>
                <w:lang w:val="en-US"/>
              </w:rPr>
              <w:t xml:space="preserve">Electricity price </w:t>
            </w:r>
            <w:r w:rsidRPr="00441453">
              <w:rPr>
                <w:color w:val="000000"/>
                <w:sz w:val="14"/>
                <w:szCs w:val="14"/>
                <w:lang w:val="en-US"/>
              </w:rPr>
              <w:t>(</w:t>
            </w:r>
            <w:r w:rsidRPr="00D934E4">
              <w:rPr>
                <w:color w:val="000000"/>
                <w:sz w:val="14"/>
                <w:szCs w:val="14"/>
                <w:lang w:val="en-US"/>
              </w:rPr>
              <w:t>US</w:t>
            </w:r>
            <w:r w:rsidRPr="00441453">
              <w:rPr>
                <w:color w:val="000000"/>
                <w:sz w:val="14"/>
                <w:szCs w:val="14"/>
                <w:lang w:val="en-US"/>
              </w:rPr>
              <w:t>$</w:t>
            </w:r>
            <w:r w:rsidRPr="00D934E4">
              <w:rPr>
                <w:color w:val="000000"/>
                <w:sz w:val="14"/>
                <w:szCs w:val="14"/>
                <w:lang w:val="en-US"/>
              </w:rPr>
              <w:t xml:space="preserve"> </w:t>
            </w:r>
            <w:r w:rsidRPr="00441453">
              <w:rPr>
                <w:color w:val="000000"/>
                <w:sz w:val="14"/>
                <w:szCs w:val="14"/>
                <w:lang w:val="en-US"/>
              </w:rPr>
              <w:t>MWh</w:t>
            </w:r>
            <w:r w:rsidRPr="00D934E4">
              <w:rPr>
                <w:color w:val="000000"/>
                <w:sz w:val="14"/>
                <w:szCs w:val="14"/>
                <w:vertAlign w:val="superscript"/>
                <w:lang w:val="en-US"/>
              </w:rPr>
              <w:t>-1</w:t>
            </w:r>
            <w:r w:rsidRPr="00441453">
              <w:rPr>
                <w:color w:val="000000"/>
                <w:sz w:val="14"/>
                <w:szCs w:val="14"/>
                <w:lang w:val="en-US"/>
              </w:rPr>
              <w:t>)</w:t>
            </w:r>
          </w:p>
        </w:tc>
        <w:tc>
          <w:tcPr>
            <w:tcW w:w="680" w:type="dxa"/>
            <w:tcBorders>
              <w:top w:val="nil"/>
              <w:left w:val="nil"/>
              <w:bottom w:val="nil"/>
              <w:right w:val="nil"/>
            </w:tcBorders>
            <w:shd w:val="clear" w:color="auto" w:fill="auto"/>
            <w:noWrap/>
            <w:vAlign w:val="bottom"/>
            <w:hideMark/>
          </w:tcPr>
          <w:p w14:paraId="764B2E06" w14:textId="77777777" w:rsidR="005B0A07" w:rsidRPr="00441453" w:rsidRDefault="005B0A07" w:rsidP="005E4ABC">
            <w:pPr>
              <w:rPr>
                <w:color w:val="000000"/>
                <w:sz w:val="14"/>
                <w:szCs w:val="14"/>
                <w:lang w:val="en-US"/>
              </w:rPr>
            </w:pPr>
            <w:r>
              <w:rPr>
                <w:color w:val="000000"/>
                <w:sz w:val="14"/>
                <w:szCs w:val="14"/>
                <w:lang w:val="en-US"/>
              </w:rPr>
              <w:t>42.2</w:t>
            </w:r>
          </w:p>
        </w:tc>
      </w:tr>
      <w:tr w:rsidR="005B0A07" w:rsidRPr="00441453" w14:paraId="54BFF3BB" w14:textId="77777777" w:rsidTr="00B51849">
        <w:trPr>
          <w:trHeight w:val="170"/>
        </w:trPr>
        <w:tc>
          <w:tcPr>
            <w:tcW w:w="2835" w:type="dxa"/>
            <w:tcBorders>
              <w:top w:val="nil"/>
              <w:left w:val="nil"/>
              <w:bottom w:val="nil"/>
              <w:right w:val="nil"/>
            </w:tcBorders>
            <w:shd w:val="clear" w:color="auto" w:fill="auto"/>
            <w:noWrap/>
            <w:vAlign w:val="center"/>
            <w:hideMark/>
          </w:tcPr>
          <w:p w14:paraId="33B0A8B2" w14:textId="77777777" w:rsidR="005B0A07" w:rsidRPr="00441453" w:rsidRDefault="005B0A07" w:rsidP="005E4ABC">
            <w:pPr>
              <w:rPr>
                <w:color w:val="000000"/>
                <w:sz w:val="14"/>
                <w:szCs w:val="14"/>
                <w:lang w:val="en-US"/>
              </w:rPr>
            </w:pPr>
            <w:r w:rsidRPr="00D934E4">
              <w:rPr>
                <w:color w:val="000000"/>
                <w:sz w:val="14"/>
                <w:szCs w:val="14"/>
                <w:lang w:val="en-US"/>
              </w:rPr>
              <w:t>Operating days (days y</w:t>
            </w:r>
            <w:r w:rsidRPr="00D934E4">
              <w:rPr>
                <w:color w:val="000000"/>
                <w:sz w:val="14"/>
                <w:szCs w:val="14"/>
                <w:vertAlign w:val="superscript"/>
                <w:lang w:val="en-US"/>
              </w:rPr>
              <w:t>-1</w:t>
            </w:r>
            <w:r w:rsidRPr="00D934E4">
              <w:rPr>
                <w:color w:val="000000"/>
                <w:sz w:val="14"/>
                <w:szCs w:val="14"/>
                <w:lang w:val="en-US"/>
              </w:rPr>
              <w:t>)</w:t>
            </w:r>
          </w:p>
        </w:tc>
        <w:tc>
          <w:tcPr>
            <w:tcW w:w="680" w:type="dxa"/>
            <w:tcBorders>
              <w:top w:val="nil"/>
              <w:left w:val="nil"/>
              <w:bottom w:val="nil"/>
              <w:right w:val="single" w:sz="4" w:space="0" w:color="auto"/>
            </w:tcBorders>
            <w:shd w:val="clear" w:color="auto" w:fill="auto"/>
            <w:noWrap/>
            <w:vAlign w:val="bottom"/>
            <w:hideMark/>
          </w:tcPr>
          <w:p w14:paraId="1B4473C2" w14:textId="77777777" w:rsidR="005B0A07" w:rsidRPr="00441453" w:rsidRDefault="005B0A07" w:rsidP="005E4ABC">
            <w:pPr>
              <w:rPr>
                <w:color w:val="000000"/>
                <w:sz w:val="14"/>
                <w:szCs w:val="14"/>
                <w:lang w:val="en-US"/>
              </w:rPr>
            </w:pPr>
            <w:r>
              <w:rPr>
                <w:color w:val="000000"/>
                <w:sz w:val="14"/>
                <w:szCs w:val="14"/>
                <w:lang w:val="en-US"/>
              </w:rPr>
              <w:t>200</w:t>
            </w:r>
          </w:p>
        </w:tc>
        <w:tc>
          <w:tcPr>
            <w:tcW w:w="2835" w:type="dxa"/>
            <w:tcBorders>
              <w:top w:val="nil"/>
              <w:left w:val="single" w:sz="4" w:space="0" w:color="auto"/>
              <w:bottom w:val="nil"/>
              <w:right w:val="nil"/>
            </w:tcBorders>
            <w:shd w:val="clear" w:color="auto" w:fill="auto"/>
            <w:noWrap/>
            <w:vAlign w:val="center"/>
            <w:hideMark/>
          </w:tcPr>
          <w:p w14:paraId="2C198AB5" w14:textId="77777777" w:rsidR="005B0A07" w:rsidRPr="00441453" w:rsidRDefault="005B0A07" w:rsidP="005E4ABC">
            <w:pPr>
              <w:rPr>
                <w:color w:val="000000"/>
                <w:sz w:val="14"/>
                <w:szCs w:val="14"/>
                <w:lang w:val="en-US"/>
              </w:rPr>
            </w:pPr>
            <w:r w:rsidRPr="00D934E4">
              <w:rPr>
                <w:color w:val="000000"/>
                <w:sz w:val="14"/>
                <w:szCs w:val="14"/>
                <w:lang w:val="en-US"/>
              </w:rPr>
              <w:t>Soybean price</w:t>
            </w:r>
            <w:r w:rsidRPr="00441453">
              <w:rPr>
                <w:color w:val="000000"/>
                <w:sz w:val="14"/>
                <w:szCs w:val="14"/>
                <w:lang w:val="en-US"/>
              </w:rPr>
              <w:t xml:space="preserve"> (</w:t>
            </w:r>
            <w:r w:rsidRPr="00D934E4">
              <w:rPr>
                <w:color w:val="000000"/>
                <w:sz w:val="14"/>
                <w:szCs w:val="14"/>
                <w:lang w:val="en-US"/>
              </w:rPr>
              <w:t>US</w:t>
            </w:r>
            <w:r w:rsidRPr="00441453">
              <w:rPr>
                <w:color w:val="000000"/>
                <w:sz w:val="14"/>
                <w:szCs w:val="14"/>
                <w:lang w:val="en-US"/>
              </w:rPr>
              <w:t>$</w:t>
            </w:r>
            <w:r w:rsidRPr="00D934E4">
              <w:rPr>
                <w:color w:val="000000"/>
                <w:sz w:val="14"/>
                <w:szCs w:val="14"/>
                <w:lang w:val="en-US"/>
              </w:rPr>
              <w:t xml:space="preserve"> (60kg)</w:t>
            </w:r>
            <w:r w:rsidRPr="00D934E4">
              <w:rPr>
                <w:color w:val="000000"/>
                <w:sz w:val="14"/>
                <w:szCs w:val="14"/>
                <w:vertAlign w:val="superscript"/>
                <w:lang w:val="en-US"/>
              </w:rPr>
              <w:t>-1</w:t>
            </w:r>
            <w:r w:rsidRPr="00441453">
              <w:rPr>
                <w:color w:val="000000"/>
                <w:sz w:val="14"/>
                <w:szCs w:val="14"/>
                <w:lang w:val="en-US"/>
              </w:rPr>
              <w:t>)</w:t>
            </w:r>
          </w:p>
        </w:tc>
        <w:tc>
          <w:tcPr>
            <w:tcW w:w="680" w:type="dxa"/>
            <w:tcBorders>
              <w:top w:val="nil"/>
              <w:left w:val="nil"/>
              <w:bottom w:val="nil"/>
              <w:right w:val="nil"/>
            </w:tcBorders>
            <w:shd w:val="clear" w:color="auto" w:fill="auto"/>
            <w:noWrap/>
            <w:vAlign w:val="bottom"/>
            <w:hideMark/>
          </w:tcPr>
          <w:p w14:paraId="6AEB0231" w14:textId="77777777" w:rsidR="005B0A07" w:rsidRPr="00441453" w:rsidRDefault="005B0A07" w:rsidP="005E4ABC">
            <w:pPr>
              <w:rPr>
                <w:color w:val="000000"/>
                <w:sz w:val="14"/>
                <w:szCs w:val="14"/>
                <w:lang w:val="en-US"/>
              </w:rPr>
            </w:pPr>
            <w:r>
              <w:rPr>
                <w:color w:val="000000"/>
                <w:sz w:val="14"/>
                <w:szCs w:val="14"/>
                <w:lang w:val="en-US"/>
              </w:rPr>
              <w:t>17.6</w:t>
            </w:r>
          </w:p>
        </w:tc>
      </w:tr>
      <w:tr w:rsidR="005B0A07" w:rsidRPr="00441453" w14:paraId="23529D19" w14:textId="77777777" w:rsidTr="00B51849">
        <w:trPr>
          <w:trHeight w:val="170"/>
        </w:trPr>
        <w:tc>
          <w:tcPr>
            <w:tcW w:w="2835" w:type="dxa"/>
            <w:tcBorders>
              <w:top w:val="nil"/>
              <w:left w:val="nil"/>
              <w:bottom w:val="nil"/>
              <w:right w:val="nil"/>
            </w:tcBorders>
            <w:shd w:val="clear" w:color="auto" w:fill="auto"/>
            <w:noWrap/>
            <w:vAlign w:val="center"/>
            <w:hideMark/>
          </w:tcPr>
          <w:p w14:paraId="62F6365B" w14:textId="77777777" w:rsidR="005B0A07" w:rsidRPr="00441453" w:rsidRDefault="005B0A07" w:rsidP="005E4ABC">
            <w:pPr>
              <w:rPr>
                <w:color w:val="000000"/>
                <w:sz w:val="14"/>
                <w:szCs w:val="14"/>
                <w:lang w:val="en-US"/>
              </w:rPr>
            </w:pPr>
            <w:r w:rsidRPr="00D934E4">
              <w:rPr>
                <w:color w:val="000000"/>
                <w:sz w:val="14"/>
                <w:szCs w:val="14"/>
                <w:lang w:val="en-US"/>
              </w:rPr>
              <w:t>Bagasse diverted to feed</w:t>
            </w:r>
            <w:r>
              <w:rPr>
                <w:color w:val="000000"/>
                <w:sz w:val="14"/>
                <w:szCs w:val="14"/>
                <w:lang w:val="en-US"/>
              </w:rPr>
              <w:t xml:space="preserve"> (%)</w:t>
            </w:r>
          </w:p>
        </w:tc>
        <w:tc>
          <w:tcPr>
            <w:tcW w:w="680" w:type="dxa"/>
            <w:tcBorders>
              <w:top w:val="nil"/>
              <w:left w:val="nil"/>
              <w:bottom w:val="nil"/>
              <w:right w:val="single" w:sz="4" w:space="0" w:color="auto"/>
            </w:tcBorders>
            <w:shd w:val="clear" w:color="auto" w:fill="auto"/>
            <w:noWrap/>
            <w:vAlign w:val="bottom"/>
            <w:hideMark/>
          </w:tcPr>
          <w:p w14:paraId="1A9030B4" w14:textId="77777777" w:rsidR="005B0A07" w:rsidRPr="00441453" w:rsidRDefault="005B0A07" w:rsidP="005E4ABC">
            <w:pPr>
              <w:rPr>
                <w:color w:val="000000"/>
                <w:sz w:val="14"/>
                <w:szCs w:val="14"/>
                <w:lang w:val="en-US"/>
              </w:rPr>
            </w:pPr>
            <w:r>
              <w:rPr>
                <w:color w:val="000000"/>
                <w:sz w:val="14"/>
                <w:szCs w:val="14"/>
                <w:lang w:val="en-US"/>
              </w:rPr>
              <w:t>10</w:t>
            </w:r>
          </w:p>
        </w:tc>
        <w:tc>
          <w:tcPr>
            <w:tcW w:w="2835" w:type="dxa"/>
            <w:tcBorders>
              <w:top w:val="nil"/>
              <w:left w:val="single" w:sz="4" w:space="0" w:color="auto"/>
              <w:bottom w:val="nil"/>
              <w:right w:val="nil"/>
            </w:tcBorders>
            <w:shd w:val="clear" w:color="auto" w:fill="auto"/>
            <w:noWrap/>
            <w:vAlign w:val="center"/>
            <w:hideMark/>
          </w:tcPr>
          <w:p w14:paraId="28A93598" w14:textId="77777777" w:rsidR="005B0A07" w:rsidRPr="00441453" w:rsidRDefault="005B0A07" w:rsidP="005E4ABC">
            <w:pPr>
              <w:rPr>
                <w:color w:val="000000"/>
                <w:sz w:val="14"/>
                <w:szCs w:val="14"/>
                <w:lang w:val="en-US"/>
              </w:rPr>
            </w:pPr>
            <w:r w:rsidRPr="00D934E4">
              <w:rPr>
                <w:color w:val="000000"/>
                <w:sz w:val="14"/>
                <w:szCs w:val="14"/>
                <w:lang w:val="en-US"/>
              </w:rPr>
              <w:t>Meat price</w:t>
            </w:r>
            <w:r w:rsidRPr="00441453">
              <w:rPr>
                <w:color w:val="000000"/>
                <w:sz w:val="14"/>
                <w:szCs w:val="14"/>
                <w:lang w:val="en-US"/>
              </w:rPr>
              <w:t xml:space="preserve"> (</w:t>
            </w:r>
            <w:r w:rsidRPr="00D934E4">
              <w:rPr>
                <w:color w:val="000000"/>
                <w:sz w:val="14"/>
                <w:szCs w:val="14"/>
                <w:lang w:val="en-US"/>
              </w:rPr>
              <w:t>US</w:t>
            </w:r>
            <w:r w:rsidRPr="00441453">
              <w:rPr>
                <w:color w:val="000000"/>
                <w:sz w:val="14"/>
                <w:szCs w:val="14"/>
                <w:lang w:val="en-US"/>
              </w:rPr>
              <w:t>$</w:t>
            </w:r>
            <w:r w:rsidRPr="00D934E4">
              <w:rPr>
                <w:color w:val="000000"/>
                <w:sz w:val="14"/>
                <w:szCs w:val="14"/>
                <w:lang w:val="en-US"/>
              </w:rPr>
              <w:t xml:space="preserve"> (15kg)</w:t>
            </w:r>
            <w:r w:rsidRPr="00D934E4">
              <w:rPr>
                <w:color w:val="000000"/>
                <w:sz w:val="14"/>
                <w:szCs w:val="14"/>
                <w:vertAlign w:val="superscript"/>
                <w:lang w:val="en-US"/>
              </w:rPr>
              <w:t>-1</w:t>
            </w:r>
            <w:r w:rsidRPr="00441453">
              <w:rPr>
                <w:color w:val="000000"/>
                <w:sz w:val="14"/>
                <w:szCs w:val="14"/>
                <w:lang w:val="en-US"/>
              </w:rPr>
              <w:t>)</w:t>
            </w:r>
          </w:p>
        </w:tc>
        <w:tc>
          <w:tcPr>
            <w:tcW w:w="680" w:type="dxa"/>
            <w:tcBorders>
              <w:top w:val="nil"/>
              <w:left w:val="nil"/>
              <w:bottom w:val="nil"/>
              <w:right w:val="nil"/>
            </w:tcBorders>
            <w:shd w:val="clear" w:color="auto" w:fill="auto"/>
            <w:noWrap/>
            <w:vAlign w:val="bottom"/>
            <w:hideMark/>
          </w:tcPr>
          <w:p w14:paraId="7E79D7A4" w14:textId="77777777" w:rsidR="005B0A07" w:rsidRPr="00441453" w:rsidRDefault="005B0A07" w:rsidP="005E4ABC">
            <w:pPr>
              <w:rPr>
                <w:color w:val="000000"/>
                <w:sz w:val="14"/>
                <w:szCs w:val="14"/>
                <w:lang w:val="en-US"/>
              </w:rPr>
            </w:pPr>
            <w:r>
              <w:rPr>
                <w:color w:val="000000"/>
                <w:sz w:val="14"/>
                <w:szCs w:val="14"/>
                <w:lang w:val="en-US"/>
              </w:rPr>
              <w:t>51.6</w:t>
            </w:r>
          </w:p>
        </w:tc>
      </w:tr>
      <w:tr w:rsidR="005B0A07" w:rsidRPr="00441453" w14:paraId="258DCD9D" w14:textId="77777777" w:rsidTr="00B51849">
        <w:trPr>
          <w:trHeight w:val="170"/>
        </w:trPr>
        <w:tc>
          <w:tcPr>
            <w:tcW w:w="2835" w:type="dxa"/>
            <w:tcBorders>
              <w:top w:val="nil"/>
              <w:left w:val="nil"/>
              <w:right w:val="nil"/>
            </w:tcBorders>
            <w:shd w:val="clear" w:color="auto" w:fill="auto"/>
            <w:noWrap/>
            <w:vAlign w:val="center"/>
            <w:hideMark/>
          </w:tcPr>
          <w:p w14:paraId="33619EED" w14:textId="77777777" w:rsidR="005B0A07" w:rsidRPr="00441453" w:rsidRDefault="005B0A07" w:rsidP="005E4ABC">
            <w:pPr>
              <w:rPr>
                <w:color w:val="000000"/>
                <w:sz w:val="14"/>
                <w:szCs w:val="14"/>
                <w:lang w:val="en-US"/>
              </w:rPr>
            </w:pPr>
            <w:r w:rsidRPr="00D934E4">
              <w:rPr>
                <w:color w:val="000000"/>
                <w:sz w:val="14"/>
                <w:szCs w:val="14"/>
                <w:lang w:val="en-US"/>
              </w:rPr>
              <w:t>Initial pasture live weight (kg head</w:t>
            </w:r>
            <w:r w:rsidRPr="00D934E4">
              <w:rPr>
                <w:color w:val="000000"/>
                <w:sz w:val="14"/>
                <w:szCs w:val="14"/>
                <w:vertAlign w:val="superscript"/>
                <w:lang w:val="en-US"/>
              </w:rPr>
              <w:t>-1</w:t>
            </w:r>
            <w:r w:rsidRPr="00D934E4">
              <w:rPr>
                <w:color w:val="000000"/>
                <w:sz w:val="14"/>
                <w:szCs w:val="14"/>
                <w:lang w:val="en-US"/>
              </w:rPr>
              <w:t>)</w:t>
            </w:r>
          </w:p>
        </w:tc>
        <w:tc>
          <w:tcPr>
            <w:tcW w:w="680" w:type="dxa"/>
            <w:tcBorders>
              <w:top w:val="nil"/>
              <w:left w:val="nil"/>
              <w:right w:val="single" w:sz="4" w:space="0" w:color="auto"/>
            </w:tcBorders>
            <w:shd w:val="clear" w:color="auto" w:fill="auto"/>
            <w:noWrap/>
            <w:vAlign w:val="bottom"/>
            <w:hideMark/>
          </w:tcPr>
          <w:p w14:paraId="431AB194" w14:textId="77777777" w:rsidR="005B0A07" w:rsidRPr="00441453" w:rsidRDefault="005B0A07" w:rsidP="005E4ABC">
            <w:pPr>
              <w:rPr>
                <w:color w:val="000000"/>
                <w:sz w:val="14"/>
                <w:szCs w:val="14"/>
                <w:lang w:val="en-US"/>
              </w:rPr>
            </w:pPr>
            <w:r>
              <w:rPr>
                <w:color w:val="000000"/>
                <w:sz w:val="14"/>
                <w:szCs w:val="14"/>
                <w:lang w:val="en-US"/>
              </w:rPr>
              <w:t>322</w:t>
            </w:r>
          </w:p>
        </w:tc>
        <w:tc>
          <w:tcPr>
            <w:tcW w:w="2835" w:type="dxa"/>
            <w:tcBorders>
              <w:top w:val="nil"/>
              <w:left w:val="single" w:sz="4" w:space="0" w:color="auto"/>
              <w:right w:val="nil"/>
            </w:tcBorders>
            <w:shd w:val="clear" w:color="auto" w:fill="auto"/>
            <w:noWrap/>
            <w:vAlign w:val="center"/>
            <w:hideMark/>
          </w:tcPr>
          <w:p w14:paraId="721B5F8B" w14:textId="77777777" w:rsidR="005B0A07" w:rsidRPr="00441453" w:rsidRDefault="005B0A07" w:rsidP="005E4ABC">
            <w:pPr>
              <w:rPr>
                <w:color w:val="000000"/>
                <w:sz w:val="14"/>
                <w:szCs w:val="14"/>
                <w:lang w:val="en-US"/>
              </w:rPr>
            </w:pPr>
            <w:r w:rsidRPr="00D934E4">
              <w:rPr>
                <w:color w:val="000000"/>
                <w:sz w:val="14"/>
                <w:szCs w:val="14"/>
                <w:lang w:val="en-US"/>
              </w:rPr>
              <w:t xml:space="preserve">Bagasse price </w:t>
            </w:r>
            <w:r w:rsidRPr="00441453">
              <w:rPr>
                <w:color w:val="000000"/>
                <w:sz w:val="14"/>
                <w:szCs w:val="14"/>
                <w:lang w:val="en-US"/>
              </w:rPr>
              <w:t>(</w:t>
            </w:r>
            <w:r w:rsidRPr="00D934E4">
              <w:rPr>
                <w:color w:val="000000"/>
                <w:sz w:val="14"/>
                <w:szCs w:val="14"/>
                <w:lang w:val="en-US"/>
              </w:rPr>
              <w:t>US</w:t>
            </w:r>
            <w:r w:rsidRPr="00441453">
              <w:rPr>
                <w:color w:val="000000"/>
                <w:sz w:val="14"/>
                <w:szCs w:val="14"/>
                <w:lang w:val="en-US"/>
              </w:rPr>
              <w:t>$/kg)</w:t>
            </w:r>
          </w:p>
        </w:tc>
        <w:tc>
          <w:tcPr>
            <w:tcW w:w="680" w:type="dxa"/>
            <w:tcBorders>
              <w:top w:val="nil"/>
              <w:left w:val="nil"/>
              <w:right w:val="nil"/>
            </w:tcBorders>
            <w:shd w:val="clear" w:color="auto" w:fill="auto"/>
            <w:noWrap/>
            <w:vAlign w:val="bottom"/>
            <w:hideMark/>
          </w:tcPr>
          <w:p w14:paraId="1F2D3D1A" w14:textId="77777777" w:rsidR="005B0A07" w:rsidRPr="00441453" w:rsidRDefault="005B0A07" w:rsidP="005E4ABC">
            <w:pPr>
              <w:rPr>
                <w:color w:val="000000"/>
                <w:sz w:val="14"/>
                <w:szCs w:val="14"/>
                <w:lang w:val="en-US"/>
              </w:rPr>
            </w:pPr>
            <w:r>
              <w:rPr>
                <w:color w:val="000000"/>
                <w:sz w:val="14"/>
                <w:szCs w:val="14"/>
                <w:lang w:val="en-US"/>
              </w:rPr>
              <w:t>0.03</w:t>
            </w:r>
          </w:p>
        </w:tc>
      </w:tr>
      <w:tr w:rsidR="005B0A07" w:rsidRPr="00441453" w14:paraId="14BA91E6" w14:textId="77777777" w:rsidTr="00B51849">
        <w:trPr>
          <w:trHeight w:val="170"/>
        </w:trPr>
        <w:tc>
          <w:tcPr>
            <w:tcW w:w="2835" w:type="dxa"/>
            <w:tcBorders>
              <w:top w:val="nil"/>
              <w:left w:val="nil"/>
              <w:bottom w:val="single" w:sz="4" w:space="0" w:color="auto"/>
              <w:right w:val="nil"/>
            </w:tcBorders>
            <w:shd w:val="clear" w:color="auto" w:fill="auto"/>
            <w:noWrap/>
            <w:vAlign w:val="center"/>
            <w:hideMark/>
          </w:tcPr>
          <w:p w14:paraId="4C15B83B" w14:textId="77777777" w:rsidR="005B0A07" w:rsidRPr="00441453" w:rsidRDefault="005B0A07" w:rsidP="005E4ABC">
            <w:pPr>
              <w:rPr>
                <w:color w:val="000000"/>
                <w:sz w:val="14"/>
                <w:szCs w:val="14"/>
                <w:lang w:val="en-US"/>
              </w:rPr>
            </w:pPr>
            <w:r w:rsidRPr="00D934E4">
              <w:rPr>
                <w:color w:val="000000"/>
                <w:sz w:val="14"/>
                <w:szCs w:val="14"/>
                <w:lang w:val="en-US"/>
              </w:rPr>
              <w:t>Pasture live weight gain (kg head</w:t>
            </w:r>
            <w:r w:rsidRPr="00D934E4">
              <w:rPr>
                <w:color w:val="000000"/>
                <w:sz w:val="14"/>
                <w:szCs w:val="14"/>
                <w:vertAlign w:val="superscript"/>
                <w:lang w:val="en-US"/>
              </w:rPr>
              <w:t>-1</w:t>
            </w:r>
            <w:r w:rsidRPr="00D934E4">
              <w:rPr>
                <w:color w:val="000000"/>
                <w:sz w:val="14"/>
                <w:szCs w:val="14"/>
                <w:lang w:val="en-US"/>
              </w:rPr>
              <w:t>)</w:t>
            </w:r>
          </w:p>
        </w:tc>
        <w:tc>
          <w:tcPr>
            <w:tcW w:w="680" w:type="dxa"/>
            <w:tcBorders>
              <w:top w:val="nil"/>
              <w:left w:val="nil"/>
              <w:bottom w:val="single" w:sz="4" w:space="0" w:color="auto"/>
              <w:right w:val="single" w:sz="4" w:space="0" w:color="auto"/>
            </w:tcBorders>
            <w:shd w:val="clear" w:color="auto" w:fill="auto"/>
            <w:noWrap/>
            <w:vAlign w:val="bottom"/>
            <w:hideMark/>
          </w:tcPr>
          <w:p w14:paraId="7849921C" w14:textId="77777777" w:rsidR="005B0A07" w:rsidRPr="00441453" w:rsidRDefault="005B0A07" w:rsidP="005E4ABC">
            <w:pPr>
              <w:rPr>
                <w:color w:val="000000"/>
                <w:sz w:val="14"/>
                <w:szCs w:val="14"/>
                <w:lang w:val="en-US"/>
              </w:rPr>
            </w:pPr>
            <w:r>
              <w:rPr>
                <w:color w:val="000000"/>
                <w:sz w:val="14"/>
                <w:szCs w:val="14"/>
                <w:lang w:val="en-US"/>
              </w:rPr>
              <w:t>150</w:t>
            </w:r>
          </w:p>
        </w:tc>
        <w:tc>
          <w:tcPr>
            <w:tcW w:w="2835" w:type="dxa"/>
            <w:tcBorders>
              <w:top w:val="nil"/>
              <w:left w:val="single" w:sz="4" w:space="0" w:color="auto"/>
              <w:bottom w:val="single" w:sz="4" w:space="0" w:color="auto"/>
              <w:right w:val="nil"/>
            </w:tcBorders>
            <w:shd w:val="clear" w:color="auto" w:fill="auto"/>
            <w:noWrap/>
            <w:vAlign w:val="center"/>
            <w:hideMark/>
          </w:tcPr>
          <w:p w14:paraId="397744D8" w14:textId="77777777" w:rsidR="005B0A07" w:rsidRPr="00441453" w:rsidRDefault="005B0A07" w:rsidP="005E4ABC">
            <w:pPr>
              <w:rPr>
                <w:color w:val="000000"/>
                <w:sz w:val="14"/>
                <w:szCs w:val="14"/>
                <w:lang w:val="en-US"/>
              </w:rPr>
            </w:pPr>
            <w:r w:rsidRPr="00441453">
              <w:rPr>
                <w:color w:val="000000"/>
                <w:sz w:val="14"/>
                <w:szCs w:val="14"/>
                <w:lang w:val="en-US"/>
              </w:rPr>
              <w:t xml:space="preserve">CBIOS </w:t>
            </w:r>
            <w:r w:rsidRPr="00D934E4">
              <w:rPr>
                <w:color w:val="000000"/>
                <w:sz w:val="14"/>
                <w:szCs w:val="14"/>
                <w:lang w:val="en-US"/>
              </w:rPr>
              <w:t xml:space="preserve">price </w:t>
            </w:r>
            <w:r w:rsidRPr="00441453">
              <w:rPr>
                <w:color w:val="000000"/>
                <w:sz w:val="14"/>
                <w:szCs w:val="14"/>
                <w:lang w:val="en-US"/>
              </w:rPr>
              <w:t>(</w:t>
            </w:r>
            <w:r w:rsidRPr="00D934E4">
              <w:rPr>
                <w:color w:val="000000"/>
                <w:sz w:val="14"/>
                <w:szCs w:val="14"/>
                <w:lang w:val="en-US"/>
              </w:rPr>
              <w:t>US</w:t>
            </w:r>
            <w:r w:rsidRPr="00441453">
              <w:rPr>
                <w:color w:val="000000"/>
                <w:sz w:val="14"/>
                <w:szCs w:val="14"/>
                <w:lang w:val="en-US"/>
              </w:rPr>
              <w:t>$/un)</w:t>
            </w:r>
          </w:p>
        </w:tc>
        <w:tc>
          <w:tcPr>
            <w:tcW w:w="680" w:type="dxa"/>
            <w:tcBorders>
              <w:top w:val="nil"/>
              <w:left w:val="nil"/>
              <w:bottom w:val="single" w:sz="4" w:space="0" w:color="auto"/>
              <w:right w:val="nil"/>
            </w:tcBorders>
            <w:shd w:val="clear" w:color="auto" w:fill="auto"/>
            <w:noWrap/>
            <w:vAlign w:val="bottom"/>
            <w:hideMark/>
          </w:tcPr>
          <w:p w14:paraId="2F98D1EF" w14:textId="77777777" w:rsidR="005B0A07" w:rsidRPr="00441453" w:rsidRDefault="005B0A07" w:rsidP="005E4ABC">
            <w:pPr>
              <w:rPr>
                <w:color w:val="000000"/>
                <w:sz w:val="14"/>
                <w:szCs w:val="14"/>
                <w:lang w:val="en-US"/>
              </w:rPr>
            </w:pPr>
            <w:r>
              <w:rPr>
                <w:color w:val="000000"/>
                <w:sz w:val="14"/>
                <w:szCs w:val="14"/>
                <w:lang w:val="en-US"/>
              </w:rPr>
              <w:t>10</w:t>
            </w:r>
          </w:p>
        </w:tc>
      </w:tr>
    </w:tbl>
    <w:p w14:paraId="547BD063" w14:textId="77777777" w:rsidR="005B0A07" w:rsidRPr="009B022C" w:rsidRDefault="005B0A07" w:rsidP="005E4ABC">
      <w:pPr>
        <w:pStyle w:val="Els-1storder-head"/>
        <w:spacing w:line="240" w:lineRule="auto"/>
      </w:pPr>
      <w:r w:rsidRPr="0034397C">
        <w:t>Results and discussion</w:t>
      </w:r>
    </w:p>
    <w:p w14:paraId="2CF649C5" w14:textId="12ED81CD" w:rsidR="005B0A07" w:rsidRPr="001B57F0" w:rsidRDefault="005B0A07" w:rsidP="005E4ABC">
      <w:pPr>
        <w:pStyle w:val="Els-body-text"/>
        <w:ind w:firstLine="284"/>
      </w:pPr>
      <w:r w:rsidRPr="00803370">
        <w:t>The metamodels showed statistical significance, with an R</w:t>
      </w:r>
      <w:r w:rsidRPr="00803370">
        <w:rPr>
          <w:vertAlign w:val="superscript"/>
        </w:rPr>
        <w:t>2</w:t>
      </w:r>
      <w:r w:rsidRPr="00803370">
        <w:t xml:space="preserve"> </w:t>
      </w:r>
      <w:r>
        <w:t xml:space="preserve">between </w:t>
      </w:r>
      <w:r w:rsidRPr="00803370">
        <w:t>0.95</w:t>
      </w:r>
      <w:r>
        <w:t>-0.99</w:t>
      </w:r>
      <w:r w:rsidRPr="00803370">
        <w:t xml:space="preserve"> for the </w:t>
      </w:r>
      <w:r w:rsidR="009322A0">
        <w:t>biorefinery</w:t>
      </w:r>
      <w:r w:rsidRPr="00803370">
        <w:t xml:space="preserve"> fits and 0.8</w:t>
      </w:r>
      <w:r>
        <w:t>2-0.88</w:t>
      </w:r>
      <w:r w:rsidRPr="00803370">
        <w:t xml:space="preserve"> for the pasture-based livestock system.</w:t>
      </w:r>
    </w:p>
    <w:p w14:paraId="7F78E24E" w14:textId="63DB7590" w:rsidR="005B0A07" w:rsidRDefault="005B0A07" w:rsidP="005E4ABC">
      <w:pPr>
        <w:pStyle w:val="Els-body-text"/>
        <w:ind w:firstLine="284"/>
      </w:pPr>
      <w:r>
        <w:t>For the input parameters, the subproblem optimization results were: (a) The optimal nitrogen dos</w:t>
      </w:r>
      <w:r w:rsidR="00C94079">
        <w:t>e</w:t>
      </w:r>
      <w:r>
        <w:t xml:space="preserve"> equals 0</w:t>
      </w:r>
      <w:r w:rsidR="00C94079">
        <w:t xml:space="preserve"> kg</w:t>
      </w:r>
      <w:r w:rsidR="00A13A66">
        <w:t xml:space="preserve"> </w:t>
      </w:r>
      <w:r w:rsidR="00C94079">
        <w:t>ha</w:t>
      </w:r>
      <w:r w:rsidR="00A13A66" w:rsidRPr="00A13A66">
        <w:rPr>
          <w:vertAlign w:val="superscript"/>
        </w:rPr>
        <w:t>-1</w:t>
      </w:r>
      <w:r>
        <w:t xml:space="preserve">, meaning it is </w:t>
      </w:r>
      <w:r w:rsidR="00C94079">
        <w:t xml:space="preserve">economically </w:t>
      </w:r>
      <w:r>
        <w:t>better not to fertilize the pasture. This system produces 21.5 x 10</w:t>
      </w:r>
      <w:r w:rsidRPr="006D0C36">
        <w:rPr>
          <w:vertAlign w:val="superscript"/>
        </w:rPr>
        <w:t>3</w:t>
      </w:r>
      <w:r>
        <w:t xml:space="preserve"> t</w:t>
      </w:r>
      <w:r w:rsidR="001A5DF5">
        <w:t xml:space="preserve"> </w:t>
      </w:r>
      <w:r>
        <w:t>y</w:t>
      </w:r>
      <w:r w:rsidR="001A5DF5" w:rsidRPr="001A5DF5">
        <w:rPr>
          <w:vertAlign w:val="superscript"/>
        </w:rPr>
        <w:t>-1</w:t>
      </w:r>
      <w:r>
        <w:t xml:space="preserve"> of meat, with a maximum NPV/Investment equal to -0.75</w:t>
      </w:r>
      <w:r w:rsidR="005A2D33">
        <w:t xml:space="preserve">. </w:t>
      </w:r>
      <w:r>
        <w:t>(b) The optimal feed consists of 18.9% bagasse, 46.5% corn, 30% DDGS</w:t>
      </w:r>
      <w:r w:rsidR="001A5DF5">
        <w:t xml:space="preserve">, </w:t>
      </w:r>
      <w:r>
        <w:t>1.3% vegetable oil, 0.5% potassium chloride, 1% calcite, 0.8% urea, and 1% mineral salt. This feed results in a weight gain of 170 kg</w:t>
      </w:r>
      <w:r w:rsidR="000B5BFC">
        <w:t xml:space="preserve"> </w:t>
      </w:r>
      <w:r>
        <w:t>head</w:t>
      </w:r>
      <w:r w:rsidR="000B5BFC" w:rsidRPr="000B5BFC">
        <w:rPr>
          <w:vertAlign w:val="superscript"/>
        </w:rPr>
        <w:t>-1</w:t>
      </w:r>
      <w:r w:rsidR="00C94079">
        <w:t xml:space="preserve"> y</w:t>
      </w:r>
      <w:r w:rsidR="00C94079" w:rsidRPr="007877CE">
        <w:rPr>
          <w:vertAlign w:val="superscript"/>
        </w:rPr>
        <w:t>-1</w:t>
      </w:r>
      <w:r>
        <w:t xml:space="preserve"> (c) The optimal capacity of the </w:t>
      </w:r>
      <w:r w:rsidR="00586588">
        <w:t>biorefinery</w:t>
      </w:r>
      <w:r>
        <w:t xml:space="preserve"> is 6.33 </w:t>
      </w:r>
      <w:r w:rsidRPr="00586588">
        <w:t>Mt</w:t>
      </w:r>
      <w:r w:rsidR="000B5BFC">
        <w:t xml:space="preserve"> y</w:t>
      </w:r>
      <w:r w:rsidR="000B5BFC" w:rsidRPr="000B5BFC">
        <w:rPr>
          <w:vertAlign w:val="superscript"/>
        </w:rPr>
        <w:t>-1</w:t>
      </w:r>
      <w:r>
        <w:t>, and the optimal recovered straw is 6.74 kg</w:t>
      </w:r>
      <w:r w:rsidRPr="00030D78">
        <w:rPr>
          <w:vertAlign w:val="subscript"/>
        </w:rPr>
        <w:t>db</w:t>
      </w:r>
      <w:r w:rsidR="000B5BFC">
        <w:t xml:space="preserve"> </w:t>
      </w:r>
      <w:r w:rsidR="001A5DF5">
        <w:t>t</w:t>
      </w:r>
      <w:r w:rsidR="000B5BFC" w:rsidRPr="000B5BFC">
        <w:rPr>
          <w:vertAlign w:val="superscript"/>
        </w:rPr>
        <w:t>-1</w:t>
      </w:r>
      <w:r>
        <w:t xml:space="preserve">. Under these conditions, sugarcane cultivation occupies the entire available area, and all cattle </w:t>
      </w:r>
      <w:r w:rsidR="001A5DF5">
        <w:t>are confined</w:t>
      </w:r>
      <w:r>
        <w:t>. The maximum NPV/Investment obtained was 0.81</w:t>
      </w:r>
      <w:r w:rsidR="00586588">
        <w:t xml:space="preserve"> (</w:t>
      </w:r>
      <w:r>
        <w:t xml:space="preserve">IRR </w:t>
      </w:r>
      <w:r w:rsidR="00586588">
        <w:t>=</w:t>
      </w:r>
      <w:r>
        <w:t xml:space="preserve"> 21.7%</w:t>
      </w:r>
      <w:r w:rsidR="00586588">
        <w:t>)</w:t>
      </w:r>
      <w:r>
        <w:t>.</w:t>
      </w:r>
    </w:p>
    <w:p w14:paraId="5B8EBF13" w14:textId="2E653C11" w:rsidR="005B0A07" w:rsidRDefault="00DD23A0" w:rsidP="005E4ABC">
      <w:pPr>
        <w:pStyle w:val="Els-body-text"/>
        <w:spacing w:after="120"/>
        <w:ind w:firstLine="284"/>
      </w:pPr>
      <w:r>
        <w:t>In the</w:t>
      </w:r>
      <w:r w:rsidR="005B0A07">
        <w:t xml:space="preserve"> optimization</w:t>
      </w:r>
      <w:r>
        <w:t>, a sensitivity analysis</w:t>
      </w:r>
      <w:r w:rsidR="005B0A07">
        <w:t xml:space="preserve"> was performed for different values of meat price and land rent (Figure 2). In Figure 2A, the upper level indicates that all cattle are confined, while the lower level represents the majority kept on pasture, considering the integrated system. With the same meat price, an increase in land </w:t>
      </w:r>
      <w:r w:rsidR="00586588">
        <w:t>rent</w:t>
      </w:r>
      <w:r w:rsidR="005B0A07">
        <w:t xml:space="preserve"> leads to a shift of cattle from pasture to confinement. For the same land </w:t>
      </w:r>
      <w:r w:rsidR="00586588">
        <w:t>rent</w:t>
      </w:r>
      <w:r w:rsidR="005B0A07">
        <w:t xml:space="preserve">, pasture is more valued at higher meat prices. As the meat price increases, it is possible to maintain pasture even with higher rental prices. The NPV/Investment decreases with increasing land </w:t>
      </w:r>
      <w:r w:rsidR="00586588">
        <w:t>rent</w:t>
      </w:r>
      <w:r w:rsidR="005B0A07">
        <w:t xml:space="preserve"> and decreasing meat price (Figure 2B), and this change in the slope of the curve coincides with the shift in levels in Figure 2A. Th</w:t>
      </w:r>
      <w:r w:rsidR="001A5DF5">
        <w:t>is</w:t>
      </w:r>
      <w:r w:rsidR="005B0A07">
        <w:t xml:space="preserve"> curve can be characterized by the junction of two lines (Figure 2C): one where the biorefinery operates at its minimum capacity (</w:t>
      </w:r>
      <w:r w:rsidR="005B0A07" w:rsidRPr="00586588">
        <w:t>2</w:t>
      </w:r>
      <w:r w:rsidR="007877CE">
        <w:t> </w:t>
      </w:r>
      <w:r w:rsidR="007877CE" w:rsidRPr="00586588">
        <w:t>Mt</w:t>
      </w:r>
      <w:r w:rsidR="007877CE">
        <w:t> </w:t>
      </w:r>
      <w:r w:rsidR="000B5BFC">
        <w:t>y</w:t>
      </w:r>
      <w:r w:rsidR="000B5BFC" w:rsidRPr="000B5BFC">
        <w:rPr>
          <w:vertAlign w:val="superscript"/>
        </w:rPr>
        <w:t>-1</w:t>
      </w:r>
      <w:r w:rsidR="005B0A07" w:rsidRPr="00586588">
        <w:t>)</w:t>
      </w:r>
      <w:r w:rsidR="005B0A07">
        <w:t xml:space="preserve"> and another at its maximum capacity (6.33 </w:t>
      </w:r>
      <w:r w:rsidR="000B5BFC" w:rsidRPr="00586588">
        <w:t>Mt</w:t>
      </w:r>
      <w:r w:rsidR="000B5BFC">
        <w:t xml:space="preserve"> y</w:t>
      </w:r>
      <w:r w:rsidR="000B5BFC" w:rsidRPr="000B5BFC">
        <w:rPr>
          <w:vertAlign w:val="superscript"/>
        </w:rPr>
        <w:t>-1</w:t>
      </w:r>
      <w:r w:rsidR="005B0A07" w:rsidRPr="00586588">
        <w:t>),</w:t>
      </w:r>
      <w:r w:rsidR="005B0A07">
        <w:t xml:space="preserve"> considering the integrated system with livestock.</w:t>
      </w:r>
      <w:r w:rsidR="00586588">
        <w:t xml:space="preserve"> </w:t>
      </w:r>
      <w:r w:rsidR="00586588" w:rsidRPr="00030D78">
        <w:t xml:space="preserve">Up to the point of slope change, the 2 </w:t>
      </w:r>
      <w:r w:rsidR="000B5BFC" w:rsidRPr="00586588">
        <w:t>Mt</w:t>
      </w:r>
      <w:r w:rsidR="000B5BFC">
        <w:t xml:space="preserve"> y</w:t>
      </w:r>
      <w:r w:rsidR="000B5BFC" w:rsidRPr="000B5BFC">
        <w:rPr>
          <w:vertAlign w:val="superscript"/>
        </w:rPr>
        <w:t>-1</w:t>
      </w:r>
      <w:r w:rsidR="000B5BFC">
        <w:rPr>
          <w:vertAlign w:val="superscript"/>
        </w:rPr>
        <w:t xml:space="preserve"> </w:t>
      </w:r>
      <w:r w:rsidR="00586588" w:rsidRPr="00030D78">
        <w:t>line shows a higher NPV/Investment, making it more advantageous to keep pasture. From this point, the 6.</w:t>
      </w:r>
      <w:r w:rsidR="007877CE" w:rsidRPr="00030D78">
        <w:t>33</w:t>
      </w:r>
      <w:r w:rsidR="007877CE">
        <w:t> </w:t>
      </w:r>
      <w:r w:rsidR="00586588" w:rsidRPr="00030D78">
        <w:t>M</w:t>
      </w:r>
      <w:r w:rsidR="000B5BFC">
        <w:t xml:space="preserve">t </w:t>
      </w:r>
      <w:r w:rsidR="00586588" w:rsidRPr="00030D78">
        <w:t>y</w:t>
      </w:r>
      <w:r w:rsidR="000B5BFC" w:rsidRPr="000B5BFC">
        <w:rPr>
          <w:vertAlign w:val="superscript"/>
        </w:rPr>
        <w:t>-1</w:t>
      </w:r>
      <w:r w:rsidR="00586588" w:rsidRPr="00030D78">
        <w:t xml:space="preserve"> line exhibits a higher NPV/Investment, indicating that it is more advantageous to keep all cattle confined.</w:t>
      </w:r>
    </w:p>
    <w:tbl>
      <w:tblPr>
        <w:tblStyle w:val="TableGrid"/>
        <w:tblW w:w="70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16"/>
      </w:tblGrid>
      <w:tr w:rsidR="005B0A07" w14:paraId="0B5FEBB3" w14:textId="77777777" w:rsidTr="00B51849">
        <w:tc>
          <w:tcPr>
            <w:tcW w:w="7087" w:type="dxa"/>
          </w:tcPr>
          <w:p w14:paraId="0E4515BF" w14:textId="77777777" w:rsidR="005B0A07" w:rsidRDefault="005B0A07" w:rsidP="005E4ABC">
            <w:pPr>
              <w:pStyle w:val="Els-body-text"/>
            </w:pPr>
            <w:r>
              <w:rPr>
                <w:noProof/>
              </w:rPr>
              <w:drawing>
                <wp:inline distT="0" distB="0" distL="0" distR="0" wp14:anchorId="52B7BC45" wp14:editId="614A4A7A">
                  <wp:extent cx="4374891" cy="1206754"/>
                  <wp:effectExtent l="0" t="0" r="6985" b="0"/>
                  <wp:docPr id="1959448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48503" name="Picture 2"/>
                          <pic:cNvPicPr/>
                        </pic:nvPicPr>
                        <pic:blipFill rotWithShape="1">
                          <a:blip r:embed="rId9"/>
                          <a:srcRect t="4894" b="6839"/>
                          <a:stretch/>
                        </pic:blipFill>
                        <pic:spPr bwMode="auto">
                          <a:xfrm>
                            <a:off x="0" y="0"/>
                            <a:ext cx="4376147" cy="12071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E1E50D" w14:textId="42C73746" w:rsidR="005B0A07" w:rsidRDefault="005B0A07" w:rsidP="005E4ABC">
      <w:pPr>
        <w:pStyle w:val="Els-body-text"/>
        <w:spacing w:before="60" w:after="120"/>
      </w:pPr>
      <w:r w:rsidRPr="00CA7FF4">
        <w:rPr>
          <w:b/>
          <w:bCs/>
          <w:sz w:val="16"/>
          <w:szCs w:val="16"/>
        </w:rPr>
        <w:t xml:space="preserve">Figure </w:t>
      </w:r>
      <w:r>
        <w:rPr>
          <w:b/>
          <w:bCs/>
          <w:sz w:val="16"/>
          <w:szCs w:val="16"/>
        </w:rPr>
        <w:t>2</w:t>
      </w:r>
      <w:r w:rsidRPr="00CA7FF4">
        <w:rPr>
          <w:b/>
          <w:bCs/>
          <w:sz w:val="16"/>
          <w:szCs w:val="16"/>
        </w:rPr>
        <w:t>.</w:t>
      </w:r>
      <w:r w:rsidRPr="00CA7FF4">
        <w:rPr>
          <w:sz w:val="16"/>
          <w:szCs w:val="16"/>
        </w:rPr>
        <w:t xml:space="preserve"> </w:t>
      </w:r>
      <w:r w:rsidRPr="00030D78">
        <w:rPr>
          <w:sz w:val="16"/>
          <w:szCs w:val="16"/>
        </w:rPr>
        <w:t xml:space="preserve">(A) </w:t>
      </w:r>
      <w:r w:rsidR="001A5DF5">
        <w:rPr>
          <w:sz w:val="16"/>
          <w:szCs w:val="16"/>
        </w:rPr>
        <w:t>O</w:t>
      </w:r>
      <w:r w:rsidR="001A5DF5" w:rsidRPr="00030D78">
        <w:rPr>
          <w:sz w:val="16"/>
          <w:szCs w:val="16"/>
        </w:rPr>
        <w:t>ptimized</w:t>
      </w:r>
      <w:r w:rsidRPr="00030D78">
        <w:rPr>
          <w:sz w:val="16"/>
          <w:szCs w:val="16"/>
        </w:rPr>
        <w:t xml:space="preserve"> sugarcane area for different values of meat price (US$</w:t>
      </w:r>
      <w:r w:rsidR="00CB3110">
        <w:rPr>
          <w:sz w:val="16"/>
          <w:szCs w:val="16"/>
        </w:rPr>
        <w:t xml:space="preserve"> </w:t>
      </w:r>
      <w:r w:rsidR="00CB3110" w:rsidRPr="00030D78">
        <w:rPr>
          <w:sz w:val="16"/>
          <w:szCs w:val="16"/>
        </w:rPr>
        <w:t>15kg</w:t>
      </w:r>
      <w:r w:rsidR="00CB3110" w:rsidRPr="00CB3110">
        <w:rPr>
          <w:sz w:val="16"/>
          <w:szCs w:val="16"/>
          <w:vertAlign w:val="superscript"/>
        </w:rPr>
        <w:t>-1</w:t>
      </w:r>
      <w:r w:rsidRPr="00030D78">
        <w:rPr>
          <w:sz w:val="16"/>
          <w:szCs w:val="16"/>
        </w:rPr>
        <w:t>). (B)</w:t>
      </w:r>
      <w:r w:rsidR="001A5DF5">
        <w:rPr>
          <w:sz w:val="16"/>
          <w:szCs w:val="16"/>
        </w:rPr>
        <w:t xml:space="preserve"> O</w:t>
      </w:r>
      <w:r w:rsidR="001A5DF5" w:rsidRPr="00030D78">
        <w:rPr>
          <w:sz w:val="16"/>
          <w:szCs w:val="16"/>
        </w:rPr>
        <w:t>ptimized</w:t>
      </w:r>
      <w:r w:rsidRPr="00030D78">
        <w:rPr>
          <w:sz w:val="16"/>
          <w:szCs w:val="16"/>
        </w:rPr>
        <w:t xml:space="preserve"> NPV/Investment for different values of meat price (US$</w:t>
      </w:r>
      <w:r w:rsidR="00CB3110">
        <w:rPr>
          <w:sz w:val="16"/>
          <w:szCs w:val="16"/>
        </w:rPr>
        <w:t xml:space="preserve"> </w:t>
      </w:r>
      <w:r w:rsidRPr="00030D78">
        <w:rPr>
          <w:sz w:val="16"/>
          <w:szCs w:val="16"/>
        </w:rPr>
        <w:t>15kg</w:t>
      </w:r>
      <w:r w:rsidR="00CB3110" w:rsidRPr="00CB3110">
        <w:rPr>
          <w:sz w:val="16"/>
          <w:szCs w:val="16"/>
          <w:vertAlign w:val="superscript"/>
        </w:rPr>
        <w:t>-1</w:t>
      </w:r>
      <w:r w:rsidRPr="00030D78">
        <w:rPr>
          <w:sz w:val="16"/>
          <w:szCs w:val="16"/>
        </w:rPr>
        <w:t>). (C) NPV/Investment for an integrated biorefinery of 2</w:t>
      </w:r>
      <w:r w:rsidR="002B7FDF">
        <w:rPr>
          <w:sz w:val="16"/>
          <w:szCs w:val="16"/>
        </w:rPr>
        <w:t>.0</w:t>
      </w:r>
      <w:r w:rsidRPr="00030D78">
        <w:rPr>
          <w:sz w:val="16"/>
          <w:szCs w:val="16"/>
        </w:rPr>
        <w:t xml:space="preserve"> and </w:t>
      </w:r>
      <w:r w:rsidRPr="00586588">
        <w:rPr>
          <w:sz w:val="16"/>
          <w:szCs w:val="16"/>
        </w:rPr>
        <w:t>6</w:t>
      </w:r>
      <w:r w:rsidR="002B7FDF">
        <w:rPr>
          <w:sz w:val="16"/>
          <w:szCs w:val="16"/>
        </w:rPr>
        <w:t>.3</w:t>
      </w:r>
      <w:r w:rsidRPr="00586588">
        <w:rPr>
          <w:sz w:val="16"/>
          <w:szCs w:val="16"/>
        </w:rPr>
        <w:t xml:space="preserve"> </w:t>
      </w:r>
      <w:r w:rsidR="000B5BFC" w:rsidRPr="000B5BFC">
        <w:rPr>
          <w:sz w:val="16"/>
          <w:szCs w:val="16"/>
        </w:rPr>
        <w:t>Mt y</w:t>
      </w:r>
      <w:r w:rsidR="000B5BFC" w:rsidRPr="000B5BFC">
        <w:rPr>
          <w:sz w:val="16"/>
          <w:szCs w:val="16"/>
          <w:vertAlign w:val="superscript"/>
        </w:rPr>
        <w:t>-1</w:t>
      </w:r>
      <w:r w:rsidRPr="00586588">
        <w:rPr>
          <w:sz w:val="16"/>
          <w:szCs w:val="16"/>
        </w:rPr>
        <w:t>,</w:t>
      </w:r>
      <w:r w:rsidRPr="00030D78">
        <w:rPr>
          <w:sz w:val="16"/>
          <w:szCs w:val="16"/>
        </w:rPr>
        <w:t xml:space="preserve"> considering 62 US$</w:t>
      </w:r>
      <w:r w:rsidR="00CB3110">
        <w:rPr>
          <w:sz w:val="16"/>
          <w:szCs w:val="16"/>
        </w:rPr>
        <w:t xml:space="preserve"> </w:t>
      </w:r>
      <w:r w:rsidR="00CB3110" w:rsidRPr="00030D78">
        <w:rPr>
          <w:sz w:val="16"/>
          <w:szCs w:val="16"/>
        </w:rPr>
        <w:t>15kg</w:t>
      </w:r>
      <w:r w:rsidR="00CB3110" w:rsidRPr="00CB3110">
        <w:rPr>
          <w:sz w:val="16"/>
          <w:szCs w:val="16"/>
          <w:vertAlign w:val="superscript"/>
        </w:rPr>
        <w:t>-1</w:t>
      </w:r>
      <w:r w:rsidRPr="00030D78">
        <w:rPr>
          <w:sz w:val="16"/>
          <w:szCs w:val="16"/>
        </w:rPr>
        <w:t xml:space="preserve"> of meat.</w:t>
      </w:r>
    </w:p>
    <w:p w14:paraId="2D855718" w14:textId="6A42B75E" w:rsidR="002C09B0" w:rsidRDefault="005B0A07" w:rsidP="005E4ABC">
      <w:pPr>
        <w:pStyle w:val="Els-1storder-head"/>
        <w:spacing w:before="0" w:line="240" w:lineRule="auto"/>
      </w:pPr>
      <w:r>
        <w:lastRenderedPageBreak/>
        <w:t>Conclusion</w:t>
      </w:r>
    </w:p>
    <w:p w14:paraId="243123F5" w14:textId="00FD4E6F" w:rsidR="00BE0B2F" w:rsidRDefault="002C09B0" w:rsidP="005E4ABC">
      <w:pPr>
        <w:pStyle w:val="Els-body-text"/>
        <w:ind w:firstLine="284"/>
      </w:pPr>
      <w:r>
        <w:t>The methodology presented in this study allows evaluati</w:t>
      </w:r>
      <w:r w:rsidR="00E4402E">
        <w:t>on</w:t>
      </w:r>
      <w:r>
        <w:t xml:space="preserve"> under which conditions it is feasible to integrate biofuel production with </w:t>
      </w:r>
      <w:r w:rsidRPr="002C09B0">
        <w:t>beef cattle farming</w:t>
      </w:r>
      <w:r>
        <w:t>. In situations with high land rental costs and low meat prices, it is economically advantageous to confine cattle and release the area for the biorefinery. This analysis considers th</w:t>
      </w:r>
      <w:r w:rsidR="00426019">
        <w:t>e</w:t>
      </w:r>
      <w:r>
        <w:t xml:space="preserve"> expan</w:t>
      </w:r>
      <w:r w:rsidR="00426019">
        <w:t>sion of</w:t>
      </w:r>
      <w:r>
        <w:t xml:space="preserve"> sugarcane cultivation </w:t>
      </w:r>
      <w:r w:rsidR="00426019" w:rsidRPr="00EF0052">
        <w:t>without negatively impacting food or livestock production while avoiding expansion into natural vegetation areas</w:t>
      </w:r>
      <w:r>
        <w:t xml:space="preserve">. Therefore, this study contributes </w:t>
      </w:r>
      <w:r w:rsidR="00DD23A0">
        <w:t xml:space="preserve">by developing </w:t>
      </w:r>
      <w:r>
        <w:t>useful metamodels for ethanol-beef integrated production systems and methods for optimizing such systems, providing insights into the decision-making process. These tools also allow other scenarios to be analyzed to find other economically attractive solutions for the expansion of ethanol production in Brazil, utilizing pasture areas.</w:t>
      </w:r>
    </w:p>
    <w:p w14:paraId="1AAB357F" w14:textId="77777777" w:rsidR="00152282" w:rsidRDefault="005B0A07" w:rsidP="005E4ABC">
      <w:pPr>
        <w:pStyle w:val="Els-1storder-head"/>
        <w:numPr>
          <w:ilvl w:val="0"/>
          <w:numId w:val="0"/>
        </w:numPr>
        <w:spacing w:before="120" w:line="240" w:lineRule="auto"/>
      </w:pPr>
      <w:r w:rsidRPr="001F3650">
        <w:t>Acknowledgments</w:t>
      </w:r>
    </w:p>
    <w:p w14:paraId="465E7647" w14:textId="77777777" w:rsidR="00131084" w:rsidRDefault="00131084" w:rsidP="00131084">
      <w:pPr>
        <w:pStyle w:val="Els-1storder-head"/>
        <w:numPr>
          <w:ilvl w:val="0"/>
          <w:numId w:val="0"/>
        </w:numPr>
        <w:spacing w:before="120" w:line="240" w:lineRule="auto"/>
        <w:rPr>
          <w:b w:val="0"/>
          <w:sz w:val="20"/>
        </w:rPr>
      </w:pPr>
      <w:r w:rsidRPr="00131084">
        <w:rPr>
          <w:b w:val="0"/>
          <w:sz w:val="20"/>
        </w:rPr>
        <w:t>The authors gratefully acknowledge the financial support received from FAPESP (Grant No: 2017/11523-5) and CNPq (Grant No: 140029/2022-2). Additionally, we extend our appreciation to Embrapa Pecuária Sudeste for their invaluable contributions and support in successfully executing this research project.</w:t>
      </w:r>
    </w:p>
    <w:p w14:paraId="1F7094B3" w14:textId="4B4C3A1E" w:rsidR="005B0A07" w:rsidRPr="005F4598" w:rsidRDefault="005B0A07" w:rsidP="005B0A07">
      <w:pPr>
        <w:pStyle w:val="Els-1storder-head"/>
        <w:numPr>
          <w:ilvl w:val="0"/>
          <w:numId w:val="0"/>
        </w:numPr>
        <w:spacing w:before="120"/>
      </w:pPr>
      <w:r w:rsidRPr="005F4598">
        <w:t>References</w:t>
      </w:r>
    </w:p>
    <w:p w14:paraId="773D36F7" w14:textId="77777777" w:rsidR="00932E63" w:rsidRPr="00CB3110" w:rsidRDefault="00932E63" w:rsidP="00932E63">
      <w:pPr>
        <w:pStyle w:val="Els-referenceno-number"/>
        <w:spacing w:after="60"/>
        <w:ind w:left="0" w:firstLine="0"/>
        <w:jc w:val="both"/>
        <w:rPr>
          <w:szCs w:val="18"/>
          <w:lang w:val="en-US"/>
        </w:rPr>
      </w:pPr>
      <w:r w:rsidRPr="00CB3110">
        <w:rPr>
          <w:szCs w:val="18"/>
          <w:lang w:val="en-US"/>
        </w:rPr>
        <w:t>Achinas, S., Horjus, J., Achinas, V., Euverink, G. J. W. (2019). A PESTLE Analysis of Biofuels Energy Industry in Europe. Sustainability, 11(21), 5981.</w:t>
      </w:r>
    </w:p>
    <w:p w14:paraId="02728CCF" w14:textId="77777777" w:rsidR="00932E63" w:rsidRPr="00CB3110" w:rsidRDefault="00932E63" w:rsidP="00932E63">
      <w:pPr>
        <w:pStyle w:val="Els-referenceno-number"/>
        <w:spacing w:after="60"/>
        <w:ind w:left="0" w:firstLine="0"/>
        <w:jc w:val="both"/>
        <w:rPr>
          <w:szCs w:val="18"/>
          <w:lang w:val="pt-BR"/>
        </w:rPr>
      </w:pPr>
      <w:r w:rsidRPr="00CB3110">
        <w:rPr>
          <w:szCs w:val="18"/>
          <w:lang w:val="en-US"/>
        </w:rPr>
        <w:t xml:space="preserve">Allen, P. E., &amp; Hammond, G. P. (2019). Bioenergy utilization for a low carbon future in the UK: the evaluation of some alternative scenarios and projections. </w:t>
      </w:r>
      <w:r w:rsidRPr="00CB3110">
        <w:rPr>
          <w:szCs w:val="18"/>
          <w:lang w:val="pt-BR"/>
        </w:rPr>
        <w:t>BMC Energy, 1(1), 3.</w:t>
      </w:r>
    </w:p>
    <w:p w14:paraId="7F90840A" w14:textId="076FB1ED" w:rsidR="00932E63" w:rsidRPr="00923D1B" w:rsidRDefault="00932E63" w:rsidP="00932E63">
      <w:pPr>
        <w:pStyle w:val="Els-referenceno-number"/>
        <w:spacing w:after="60"/>
        <w:ind w:left="0" w:firstLine="0"/>
        <w:jc w:val="both"/>
        <w:rPr>
          <w:szCs w:val="18"/>
          <w:lang w:val="en-US"/>
        </w:rPr>
      </w:pPr>
      <w:r w:rsidRPr="00CB3110">
        <w:rPr>
          <w:szCs w:val="18"/>
          <w:lang w:val="pt-BR"/>
        </w:rPr>
        <w:t>ANP Agência Nacional de Petróleo, Gás Natural e Biocombustíveis: RenovaBio</w:t>
      </w:r>
      <w:r w:rsidR="00CB3110" w:rsidRPr="00CB3110">
        <w:rPr>
          <w:szCs w:val="18"/>
          <w:lang w:val="pt-BR"/>
        </w:rPr>
        <w:t xml:space="preserve"> (2020)</w:t>
      </w:r>
      <w:r w:rsidRPr="00CB3110">
        <w:rPr>
          <w:szCs w:val="18"/>
          <w:lang w:val="pt-BR"/>
        </w:rPr>
        <w:t xml:space="preserve">. </w:t>
      </w:r>
      <w:r w:rsidRPr="00CB3110">
        <w:rPr>
          <w:szCs w:val="18"/>
          <w:lang w:val="en-US"/>
        </w:rPr>
        <w:t xml:space="preserve">URL: </w:t>
      </w:r>
      <w:hyperlink r:id="rId10" w:history="1">
        <w:r w:rsidRPr="00CB3110">
          <w:rPr>
            <w:rStyle w:val="Hyperlink"/>
            <w:szCs w:val="18"/>
            <w:lang w:val="en-US"/>
          </w:rPr>
          <w:t>https://www.gov.br/anp/pt-br/assuntos/renovabio</w:t>
        </w:r>
      </w:hyperlink>
      <w:r w:rsidRPr="00CB3110">
        <w:rPr>
          <w:szCs w:val="18"/>
          <w:lang w:val="en-US"/>
        </w:rPr>
        <w:t xml:space="preserve">. </w:t>
      </w:r>
      <w:r w:rsidRPr="00923D1B">
        <w:rPr>
          <w:szCs w:val="18"/>
          <w:lang w:val="en-US"/>
        </w:rPr>
        <w:t>(accessed 1.12.23).</w:t>
      </w:r>
    </w:p>
    <w:p w14:paraId="127CF6BB" w14:textId="530D94D8" w:rsidR="00126B3A" w:rsidRPr="00923D1B" w:rsidRDefault="00126B3A" w:rsidP="00932E63">
      <w:pPr>
        <w:pStyle w:val="Els-referenceno-number"/>
        <w:spacing w:after="60"/>
        <w:ind w:left="0" w:firstLine="0"/>
        <w:jc w:val="both"/>
        <w:rPr>
          <w:szCs w:val="18"/>
          <w:lang w:val="en-US"/>
        </w:rPr>
      </w:pPr>
      <w:r w:rsidRPr="00923D1B">
        <w:rPr>
          <w:szCs w:val="18"/>
          <w:lang w:val="en-US"/>
        </w:rPr>
        <w:t xml:space="preserve">Bonomi, A., Cavalett, O., Cunha, M.P., Lima, M.A.P. (2016). </w:t>
      </w:r>
      <w:r w:rsidRPr="00CB3110">
        <w:rPr>
          <w:szCs w:val="18"/>
          <w:lang w:val="en-US"/>
        </w:rPr>
        <w:t xml:space="preserve">Virtual Biorefinery – An Optimization Strategy for Renewable Carbon Valorization. </w:t>
      </w:r>
      <w:r w:rsidRPr="00923D1B">
        <w:rPr>
          <w:szCs w:val="18"/>
          <w:lang w:val="en-US"/>
        </w:rPr>
        <w:t>Springer International Publishing, Switzerland.</w:t>
      </w:r>
    </w:p>
    <w:p w14:paraId="66265F3B" w14:textId="465DAB2F" w:rsidR="00932E63" w:rsidRPr="00CB3110" w:rsidRDefault="00932E63" w:rsidP="00932E63">
      <w:pPr>
        <w:pStyle w:val="Els-referenceno-number"/>
        <w:spacing w:after="60"/>
        <w:ind w:left="0" w:firstLine="0"/>
        <w:jc w:val="both"/>
        <w:rPr>
          <w:szCs w:val="18"/>
          <w:lang w:val="en-US"/>
        </w:rPr>
      </w:pPr>
      <w:r w:rsidRPr="00923D1B">
        <w:rPr>
          <w:szCs w:val="18"/>
          <w:lang w:val="en-US"/>
        </w:rPr>
        <w:t xml:space="preserve">Bressanin, J. M., Geraldo, V. C., Gomes, F. de A. M., Klein, B. C., Chagas, M. F., Watanabe, M. D. B., Bonomi, A., Morais, E. R. de, Cavalett, O. (2021). </w:t>
      </w:r>
      <w:r w:rsidRPr="00CB3110">
        <w:rPr>
          <w:szCs w:val="18"/>
          <w:lang w:val="en-US"/>
        </w:rPr>
        <w:t>Multiobjective optimization of economic and environmental performance of Fischer-Tropsch biofuels production integrated to sugarcane biorefineries. Industrial Crops and Products, 170.</w:t>
      </w:r>
    </w:p>
    <w:p w14:paraId="4D1D1E63" w14:textId="77777777" w:rsidR="00932E63" w:rsidRPr="00CB3110" w:rsidRDefault="00932E63" w:rsidP="00932E63">
      <w:pPr>
        <w:pStyle w:val="Els-referenceno-number"/>
        <w:spacing w:after="60"/>
        <w:ind w:left="0" w:firstLine="0"/>
        <w:jc w:val="both"/>
        <w:rPr>
          <w:szCs w:val="18"/>
          <w:lang w:val="pt-BR"/>
        </w:rPr>
      </w:pPr>
      <w:r w:rsidRPr="00923D1B">
        <w:rPr>
          <w:szCs w:val="18"/>
          <w:lang w:val="en-US"/>
        </w:rPr>
        <w:t xml:space="preserve">Junqueira, T. L., Chagas, M. F., Gouveia, V. L. R., Rezende, M. C. A. F., Watanabe, M. D. B., Jesus, C. D. F., Cavalett, O., Milanez, A. Y., Bonomi, A. (2017). </w:t>
      </w:r>
      <w:r w:rsidRPr="00CB3110">
        <w:rPr>
          <w:szCs w:val="18"/>
          <w:lang w:val="en-US"/>
        </w:rPr>
        <w:t xml:space="preserve">Techno-economic analysis and climate change impacts of sugarcane biorefineries considering different time horizons. </w:t>
      </w:r>
      <w:r w:rsidRPr="00CB3110">
        <w:rPr>
          <w:szCs w:val="18"/>
          <w:lang w:val="pt-BR"/>
        </w:rPr>
        <w:t>Biotechnology for Biofuels 10(1).</w:t>
      </w:r>
    </w:p>
    <w:p w14:paraId="71239880" w14:textId="77777777" w:rsidR="00932E63" w:rsidRPr="00CB3110" w:rsidRDefault="00932E63" w:rsidP="00932E63">
      <w:pPr>
        <w:pStyle w:val="Els-referenceno-number"/>
        <w:spacing w:after="60"/>
        <w:ind w:left="0" w:firstLine="0"/>
        <w:jc w:val="both"/>
        <w:rPr>
          <w:szCs w:val="18"/>
          <w:lang w:val="pt-BR"/>
        </w:rPr>
      </w:pPr>
      <w:r w:rsidRPr="00CB3110">
        <w:rPr>
          <w:szCs w:val="18"/>
          <w:lang w:val="pt-BR"/>
        </w:rPr>
        <w:t>Neves, M. F., Milan, M., Valerio, F. R., Marques, V. N., Delsin, F. G., Cambauva, V., Martinez, L. F., Moreira, M. M., Arantes, S., Teixeira, G. O. (2021) Etanol de Milho: Cenário Atual e Perspectivas para a Cadeia no Brasil. (1.ed) Ribeirão Preto, SP: UNEM. v.1. 116p.</w:t>
      </w:r>
    </w:p>
    <w:p w14:paraId="7D9E63DA" w14:textId="77777777" w:rsidR="00932E63" w:rsidRPr="00923D1B" w:rsidRDefault="00932E63" w:rsidP="00932E63">
      <w:pPr>
        <w:pStyle w:val="Els-referenceno-number"/>
        <w:spacing w:after="60"/>
        <w:ind w:left="0" w:firstLine="0"/>
        <w:jc w:val="both"/>
        <w:rPr>
          <w:szCs w:val="18"/>
          <w:lang w:val="pt-BR"/>
        </w:rPr>
      </w:pPr>
      <w:r w:rsidRPr="00CB3110">
        <w:rPr>
          <w:szCs w:val="18"/>
          <w:lang w:val="pt-BR"/>
        </w:rPr>
        <w:t xml:space="preserve">Marques, J. G. O., de Oliveira Silva, R., Barioni, L. G., Hall, J. A. J., Fossaert, C., Tedeschi, L. O., Garcia-Launay, F., Moran, D. (2022). </w:t>
      </w:r>
      <w:r w:rsidRPr="00CB3110">
        <w:rPr>
          <w:szCs w:val="18"/>
          <w:lang w:val="en-US"/>
        </w:rPr>
        <w:t xml:space="preserve">Evaluating environmental and economic trade-offs in cattle feed strategies using multiobjective optimization. </w:t>
      </w:r>
      <w:r w:rsidRPr="00923D1B">
        <w:rPr>
          <w:szCs w:val="18"/>
          <w:lang w:val="pt-BR"/>
        </w:rPr>
        <w:t>Agricultural Systems, 195, 103308.</w:t>
      </w:r>
    </w:p>
    <w:p w14:paraId="2EE13C4E" w14:textId="77777777" w:rsidR="00932E63" w:rsidRPr="00CB3110" w:rsidRDefault="00932E63" w:rsidP="00932E63">
      <w:pPr>
        <w:pStyle w:val="Els-referenceno-number"/>
        <w:spacing w:after="60"/>
        <w:ind w:left="0" w:firstLine="0"/>
        <w:jc w:val="both"/>
        <w:rPr>
          <w:szCs w:val="18"/>
          <w:lang w:val="pt-BR"/>
        </w:rPr>
      </w:pPr>
      <w:r w:rsidRPr="00CB3110">
        <w:rPr>
          <w:szCs w:val="18"/>
          <w:lang w:val="pt-BR"/>
        </w:rPr>
        <w:t xml:space="preserve">Sartorello, G. L., Bastos, J. P. S. T., &amp; Gameiro, A. H. (2018). </w:t>
      </w:r>
      <w:r w:rsidRPr="00CB3110">
        <w:rPr>
          <w:szCs w:val="18"/>
          <w:lang w:val="en-US"/>
        </w:rPr>
        <w:t xml:space="preserve">Development of a calculation model and production cost index for feedlot beef cattle. </w:t>
      </w:r>
      <w:r w:rsidRPr="00CB3110">
        <w:rPr>
          <w:szCs w:val="18"/>
          <w:lang w:val="pt-BR"/>
        </w:rPr>
        <w:t>Revista Brasileira de Zootecnia, v. 47.</w:t>
      </w:r>
    </w:p>
    <w:p w14:paraId="702B55B8" w14:textId="77777777" w:rsidR="00932E63" w:rsidRPr="00CB3110" w:rsidRDefault="00932E63" w:rsidP="00932E63">
      <w:pPr>
        <w:pStyle w:val="Els-referenceno-number"/>
        <w:spacing w:after="60"/>
        <w:ind w:left="0" w:firstLine="0"/>
        <w:jc w:val="both"/>
        <w:rPr>
          <w:szCs w:val="18"/>
          <w:lang w:val="en-US"/>
        </w:rPr>
      </w:pPr>
      <w:r w:rsidRPr="00CB3110">
        <w:rPr>
          <w:szCs w:val="18"/>
          <w:lang w:val="pt-BR"/>
        </w:rPr>
        <w:t xml:space="preserve">Souza, N. R. D., Fracarolli, J. A., Junqueira, T. L., Chagas, M. F., Cardoso, T. F., Watanabe, M. D. B., Cavalett, O., Venzke Filho, S. P., Dale, B. E., Bonomi, A., Cortez, L. A. B. (2019). </w:t>
      </w:r>
      <w:r w:rsidRPr="00CB3110">
        <w:rPr>
          <w:szCs w:val="18"/>
          <w:lang w:val="en-US"/>
        </w:rPr>
        <w:t>Sugarcane ethanol and beef cattle integration in Brazil. Biomass and Bioenergy, 120, 448–457.</w:t>
      </w:r>
    </w:p>
    <w:p w14:paraId="03DE3D29" w14:textId="55003565" w:rsidR="00132659" w:rsidRPr="00CB3110" w:rsidRDefault="00131084" w:rsidP="00131084">
      <w:pPr>
        <w:pStyle w:val="Els-referenceno-number"/>
        <w:spacing w:after="60"/>
        <w:ind w:left="0" w:firstLine="0"/>
        <w:jc w:val="both"/>
        <w:rPr>
          <w:szCs w:val="18"/>
          <w:lang w:val="es-CO"/>
        </w:rPr>
      </w:pPr>
      <w:r w:rsidRPr="00CB3110">
        <w:rPr>
          <w:szCs w:val="18"/>
          <w:lang w:val="pt-BR"/>
        </w:rPr>
        <w:t xml:space="preserve">UNICA – União da Indústria de Cana-de-açúcar. </w:t>
      </w:r>
      <w:r w:rsidRPr="00CB3110">
        <w:rPr>
          <w:szCs w:val="18"/>
          <w:lang w:val="es-CO"/>
        </w:rPr>
        <w:t xml:space="preserve">RenovaBio (2020). URL: </w:t>
      </w:r>
      <w:hyperlink r:id="rId11" w:history="1">
        <w:r w:rsidRPr="00CB3110">
          <w:rPr>
            <w:rStyle w:val="Hyperlink"/>
            <w:szCs w:val="18"/>
            <w:lang w:val="es-CO"/>
          </w:rPr>
          <w:t>https://unica.com.br/iniciativas/renovabio/</w:t>
        </w:r>
      </w:hyperlink>
      <w:r w:rsidRPr="00CB3110">
        <w:rPr>
          <w:szCs w:val="18"/>
          <w:lang w:val="es-CO"/>
        </w:rPr>
        <w:t>. (accessed 1.11.23)</w:t>
      </w:r>
      <w:r>
        <w:rPr>
          <w:szCs w:val="18"/>
          <w:lang w:val="es-CO"/>
        </w:rPr>
        <w:t>.</w:t>
      </w:r>
    </w:p>
    <w:sectPr w:rsidR="00132659" w:rsidRPr="00CB3110" w:rsidSect="008B0184">
      <w:headerReference w:type="even" r:id="rId12"/>
      <w:headerReference w:type="default" r:id="rId13"/>
      <w:headerReference w:type="first" r:id="rId14"/>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A5E4E" w14:textId="77777777" w:rsidR="00455107" w:rsidRDefault="00455107">
      <w:r>
        <w:separator/>
      </w:r>
    </w:p>
  </w:endnote>
  <w:endnote w:type="continuationSeparator" w:id="0">
    <w:p w14:paraId="566C810E" w14:textId="77777777" w:rsidR="00455107" w:rsidRDefault="00455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3AD3C" w14:textId="77777777" w:rsidR="00455107" w:rsidRDefault="00455107">
      <w:r>
        <w:separator/>
      </w:r>
    </w:p>
  </w:footnote>
  <w:footnote w:type="continuationSeparator" w:id="0">
    <w:p w14:paraId="4E579FE2" w14:textId="77777777" w:rsidR="00455107" w:rsidRDefault="004551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01D4FAEF" w:rsidR="00DD3D9E" w:rsidRDefault="00DD3D9E">
    <w:pPr>
      <w:pStyle w:val="Header"/>
      <w:tabs>
        <w:tab w:val="clear" w:pos="7200"/>
        <w:tab w:val="right" w:pos="7088"/>
      </w:tabs>
    </w:pPr>
    <w:r>
      <w:rPr>
        <w:rStyle w:val="PageNumber"/>
      </w:rPr>
      <w:tab/>
    </w:r>
    <w:r>
      <w:rPr>
        <w:rStyle w:val="PageNumber"/>
        <w:i/>
      </w:rPr>
      <w:tab/>
    </w:r>
    <w:r w:rsidR="005B0A07">
      <w:rPr>
        <w:rStyle w:val="PageNumber"/>
        <w:i/>
      </w:rPr>
      <w:t>I. Dias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471D2BBD" w:rsidR="00DD3D9E" w:rsidRDefault="005B0A07" w:rsidP="005B0A07">
    <w:pPr>
      <w:pStyle w:val="Header"/>
      <w:tabs>
        <w:tab w:val="clear" w:pos="7200"/>
        <w:tab w:val="right" w:pos="7088"/>
      </w:tabs>
      <w:rPr>
        <w:sz w:val="24"/>
      </w:rPr>
    </w:pPr>
    <w:r w:rsidRPr="005B0A07">
      <w:rPr>
        <w:i/>
      </w:rPr>
      <w:t>Modeling and Optimizing Sugarcane-Livestock Integration Systems in Brazil</w:t>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DD3D9E" w:rsidRDefault="00F06842"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rsidR="00DD3D9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3"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4"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5"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6"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7"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632910568">
    <w:abstractNumId w:val="11"/>
  </w:num>
  <w:num w:numId="2" w16cid:durableId="47382885">
    <w:abstractNumId w:val="11"/>
  </w:num>
  <w:num w:numId="3" w16cid:durableId="967853731">
    <w:abstractNumId w:val="11"/>
  </w:num>
  <w:num w:numId="4" w16cid:durableId="1739282265">
    <w:abstractNumId w:val="11"/>
  </w:num>
  <w:num w:numId="5" w16cid:durableId="698892343">
    <w:abstractNumId w:val="0"/>
  </w:num>
  <w:num w:numId="6" w16cid:durableId="1660883641">
    <w:abstractNumId w:val="6"/>
  </w:num>
  <w:num w:numId="7" w16cid:durableId="1863349795">
    <w:abstractNumId w:val="12"/>
  </w:num>
  <w:num w:numId="8" w16cid:durableId="1750734252">
    <w:abstractNumId w:val="1"/>
  </w:num>
  <w:num w:numId="9" w16cid:durableId="203061615">
    <w:abstractNumId w:val="10"/>
  </w:num>
  <w:num w:numId="10" w16cid:durableId="1478497114">
    <w:abstractNumId w:val="14"/>
  </w:num>
  <w:num w:numId="11" w16cid:durableId="1896693444">
    <w:abstractNumId w:val="13"/>
  </w:num>
  <w:num w:numId="12" w16cid:durableId="774787662">
    <w:abstractNumId w:val="5"/>
  </w:num>
  <w:num w:numId="13" w16cid:durableId="1525900646">
    <w:abstractNumId w:val="8"/>
  </w:num>
  <w:num w:numId="14" w16cid:durableId="1455515963">
    <w:abstractNumId w:val="2"/>
  </w:num>
  <w:num w:numId="15" w16cid:durableId="446657998">
    <w:abstractNumId w:val="7"/>
  </w:num>
  <w:num w:numId="16" w16cid:durableId="322592235">
    <w:abstractNumId w:val="3"/>
  </w:num>
  <w:num w:numId="17" w16cid:durableId="596719075">
    <w:abstractNumId w:val="4"/>
  </w:num>
  <w:num w:numId="18" w16cid:durableId="88664860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24FC2"/>
    <w:rsid w:val="000373A0"/>
    <w:rsid w:val="00083184"/>
    <w:rsid w:val="00093F4F"/>
    <w:rsid w:val="000B5BFC"/>
    <w:rsid w:val="000D37ED"/>
    <w:rsid w:val="000D3D9B"/>
    <w:rsid w:val="00112269"/>
    <w:rsid w:val="00126B3A"/>
    <w:rsid w:val="00131084"/>
    <w:rsid w:val="00132659"/>
    <w:rsid w:val="00152282"/>
    <w:rsid w:val="0016032F"/>
    <w:rsid w:val="001879F6"/>
    <w:rsid w:val="001A5DF5"/>
    <w:rsid w:val="001C0148"/>
    <w:rsid w:val="001C757E"/>
    <w:rsid w:val="001D131D"/>
    <w:rsid w:val="001E2D35"/>
    <w:rsid w:val="001E4656"/>
    <w:rsid w:val="001F3650"/>
    <w:rsid w:val="0020390F"/>
    <w:rsid w:val="00264926"/>
    <w:rsid w:val="002961CA"/>
    <w:rsid w:val="002B3DCF"/>
    <w:rsid w:val="002B7FDF"/>
    <w:rsid w:val="002C09B0"/>
    <w:rsid w:val="00382FB0"/>
    <w:rsid w:val="0039774A"/>
    <w:rsid w:val="003D1582"/>
    <w:rsid w:val="003D7E4C"/>
    <w:rsid w:val="003E3280"/>
    <w:rsid w:val="003E41C2"/>
    <w:rsid w:val="00425A12"/>
    <w:rsid w:val="00426019"/>
    <w:rsid w:val="0043342C"/>
    <w:rsid w:val="00455107"/>
    <w:rsid w:val="0049772C"/>
    <w:rsid w:val="00497E86"/>
    <w:rsid w:val="004D61B1"/>
    <w:rsid w:val="004E3B37"/>
    <w:rsid w:val="004F07BD"/>
    <w:rsid w:val="00504015"/>
    <w:rsid w:val="005053F0"/>
    <w:rsid w:val="00507CCB"/>
    <w:rsid w:val="00542E2F"/>
    <w:rsid w:val="00547656"/>
    <w:rsid w:val="00552EEB"/>
    <w:rsid w:val="00562725"/>
    <w:rsid w:val="00586588"/>
    <w:rsid w:val="005A2D33"/>
    <w:rsid w:val="005B0A07"/>
    <w:rsid w:val="005D7B4A"/>
    <w:rsid w:val="005E4ABC"/>
    <w:rsid w:val="005F4598"/>
    <w:rsid w:val="00601930"/>
    <w:rsid w:val="00612A47"/>
    <w:rsid w:val="00637E69"/>
    <w:rsid w:val="006519D5"/>
    <w:rsid w:val="006A69BF"/>
    <w:rsid w:val="006B3432"/>
    <w:rsid w:val="006F2C0A"/>
    <w:rsid w:val="006F309F"/>
    <w:rsid w:val="006F3679"/>
    <w:rsid w:val="00711DF4"/>
    <w:rsid w:val="007217E3"/>
    <w:rsid w:val="0076520C"/>
    <w:rsid w:val="007877CE"/>
    <w:rsid w:val="007D70A1"/>
    <w:rsid w:val="007E2C51"/>
    <w:rsid w:val="007E7905"/>
    <w:rsid w:val="00800D0E"/>
    <w:rsid w:val="008132E8"/>
    <w:rsid w:val="00823407"/>
    <w:rsid w:val="008404C8"/>
    <w:rsid w:val="008B0184"/>
    <w:rsid w:val="008B26DF"/>
    <w:rsid w:val="008C5D02"/>
    <w:rsid w:val="008D2649"/>
    <w:rsid w:val="008F5380"/>
    <w:rsid w:val="0090568D"/>
    <w:rsid w:val="009125C9"/>
    <w:rsid w:val="00913879"/>
    <w:rsid w:val="00913917"/>
    <w:rsid w:val="00917661"/>
    <w:rsid w:val="00923D1B"/>
    <w:rsid w:val="00931867"/>
    <w:rsid w:val="009322A0"/>
    <w:rsid w:val="00932E63"/>
    <w:rsid w:val="00953470"/>
    <w:rsid w:val="00961505"/>
    <w:rsid w:val="00970E5D"/>
    <w:rsid w:val="0097701C"/>
    <w:rsid w:val="00980A65"/>
    <w:rsid w:val="009C5AB4"/>
    <w:rsid w:val="009C7DD7"/>
    <w:rsid w:val="00A13A66"/>
    <w:rsid w:val="00A25E70"/>
    <w:rsid w:val="00A33765"/>
    <w:rsid w:val="00A63269"/>
    <w:rsid w:val="00A92377"/>
    <w:rsid w:val="00AB29ED"/>
    <w:rsid w:val="00AE4BD8"/>
    <w:rsid w:val="00B4388F"/>
    <w:rsid w:val="00B63237"/>
    <w:rsid w:val="00B8361D"/>
    <w:rsid w:val="00BE0B2F"/>
    <w:rsid w:val="00BF0044"/>
    <w:rsid w:val="00C620AB"/>
    <w:rsid w:val="00C712F6"/>
    <w:rsid w:val="00C94079"/>
    <w:rsid w:val="00C960DC"/>
    <w:rsid w:val="00CB3110"/>
    <w:rsid w:val="00CD3CFC"/>
    <w:rsid w:val="00D02362"/>
    <w:rsid w:val="00D02C75"/>
    <w:rsid w:val="00D06092"/>
    <w:rsid w:val="00D10E22"/>
    <w:rsid w:val="00D13D2C"/>
    <w:rsid w:val="00D952EC"/>
    <w:rsid w:val="00DB60C6"/>
    <w:rsid w:val="00DC2F94"/>
    <w:rsid w:val="00DD0F5B"/>
    <w:rsid w:val="00DD23A0"/>
    <w:rsid w:val="00DD3D9E"/>
    <w:rsid w:val="00DD7908"/>
    <w:rsid w:val="00DF6613"/>
    <w:rsid w:val="00E021D4"/>
    <w:rsid w:val="00E4402E"/>
    <w:rsid w:val="00E61ED4"/>
    <w:rsid w:val="00E72FF8"/>
    <w:rsid w:val="00E82297"/>
    <w:rsid w:val="00EC4032"/>
    <w:rsid w:val="00ED4FA1"/>
    <w:rsid w:val="00EF39FD"/>
    <w:rsid w:val="00EF5DD2"/>
    <w:rsid w:val="00EF6697"/>
    <w:rsid w:val="00F06842"/>
    <w:rsid w:val="00F107FD"/>
    <w:rsid w:val="00F25C7C"/>
    <w:rsid w:val="00FA6831"/>
    <w:rsid w:val="00FB64A8"/>
    <w:rsid w:val="00FC2617"/>
    <w:rsid w:val="00FD015D"/>
    <w:rsid w:val="00FD0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44DE67F"/>
  <w14:defaultImageDpi w14:val="32767"/>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B0184"/>
    <w:rPr>
      <w:lang w:eastAsia="en-US"/>
    </w:rPr>
  </w:style>
  <w:style w:type="paragraph" w:styleId="Heading3">
    <w:name w:val="heading 3"/>
    <w:basedOn w:val="Normal"/>
    <w:next w:val="Normal"/>
    <w:qFormat/>
    <w:rsid w:val="008B01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rsid w:val="008B0184"/>
    <w:pPr>
      <w:tabs>
        <w:tab w:val="center" w:pos="3600"/>
        <w:tab w:val="right" w:pos="7200"/>
      </w:tabs>
      <w:spacing w:line="200" w:lineRule="atLeast"/>
    </w:pPr>
    <w:rPr>
      <w:noProof/>
      <w:lang w:eastAsia="en-US"/>
    </w:rPr>
  </w:style>
  <w:style w:type="paragraph" w:styleId="Footer">
    <w:name w:val="footer"/>
    <w:basedOn w:val="Header"/>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612A47"/>
    <w:pPr>
      <w:numPr>
        <w:ilvl w:val="0"/>
        <w:numId w:val="0"/>
      </w:numPr>
      <w:spacing w:after="120" w:line="240" w:lineRule="auto"/>
    </w:pPr>
  </w:style>
  <w:style w:type="character" w:customStyle="1" w:styleId="underline1">
    <w:name w:val="underline1"/>
    <w:basedOn w:val="DefaultParagraphFont"/>
    <w:rsid w:val="00F06842"/>
    <w:rPr>
      <w:u w:val="single"/>
    </w:rPr>
  </w:style>
  <w:style w:type="paragraph" w:customStyle="1" w:styleId="ElsevierBodyTextCentredNospace">
    <w:name w:val="Elsevier Body Text Centred No space"/>
    <w:basedOn w:val="Normal"/>
    <w:qFormat/>
    <w:rsid w:val="00F06842"/>
    <w:pPr>
      <w:jc w:val="center"/>
    </w:pPr>
    <w:rPr>
      <w:bCs/>
      <w:iCs/>
      <w:color w:val="000000" w:themeColor="text1"/>
      <w:sz w:val="22"/>
      <w:szCs w:val="24"/>
      <w:lang w:val="en-US"/>
    </w:rPr>
  </w:style>
  <w:style w:type="table" w:styleId="TableGrid">
    <w:name w:val="Table Grid"/>
    <w:basedOn w:val="TableNormal"/>
    <w:uiPriority w:val="39"/>
    <w:rsid w:val="005B0A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19D5"/>
    <w:rPr>
      <w:lang w:eastAsia="en-US"/>
    </w:rPr>
  </w:style>
  <w:style w:type="character" w:styleId="UnresolvedMention">
    <w:name w:val="Unresolved Mention"/>
    <w:basedOn w:val="DefaultParagraphFont"/>
    <w:uiPriority w:val="99"/>
    <w:semiHidden/>
    <w:unhideWhenUsed/>
    <w:rsid w:val="001310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ica.com.br/iniciativas/renovabi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br/anp/pt-br/assuntos/renovabi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3E2F4-26EE-44BD-8E75-3C13B71AC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Template>
  <TotalTime>855</TotalTime>
  <Pages>6</Pages>
  <Words>2733</Words>
  <Characters>15580</Characters>
  <Application>Microsoft Office Word</Application>
  <DocSecurity>0</DocSecurity>
  <Lines>129</Lines>
  <Paragraphs>36</Paragraphs>
  <ScaleCrop>false</ScaleCrop>
  <HeadingPairs>
    <vt:vector size="6" baseType="variant">
      <vt:variant>
        <vt:lpstr>Title</vt:lpstr>
      </vt:variant>
      <vt:variant>
        <vt:i4>1</vt:i4>
      </vt:variant>
      <vt:variant>
        <vt:lpstr>Título</vt:lpstr>
      </vt:variant>
      <vt:variant>
        <vt:i4>1</vt:i4>
      </vt:variant>
      <vt:variant>
        <vt:lpstr>Titolo</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Igor Lucas Rodrigues Dias</cp:lastModifiedBy>
  <cp:revision>74</cp:revision>
  <cp:lastPrinted>2023-12-05T22:02:00Z</cp:lastPrinted>
  <dcterms:created xsi:type="dcterms:W3CDTF">2023-12-04T12:47:00Z</dcterms:created>
  <dcterms:modified xsi:type="dcterms:W3CDTF">2023-12-06T01:39:00Z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