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DE67F" w14:textId="408B299C" w:rsidR="00DD3D9E" w:rsidRPr="00B4388F" w:rsidRDefault="00826276">
      <w:pPr>
        <w:pStyle w:val="Els-Title"/>
        <w:rPr>
          <w:color w:val="000000" w:themeColor="text1"/>
        </w:rPr>
      </w:pPr>
      <w:r>
        <w:rPr>
          <w:color w:val="000000" w:themeColor="text1"/>
        </w:rPr>
        <w:t>Spatially Distributed Power-to-Methanol Plants in Dissimilar Locations: Specific or Standardized Designs?</w:t>
      </w:r>
    </w:p>
    <w:p w14:paraId="144DE680" w14:textId="64ADD93B" w:rsidR="00DD3D9E" w:rsidRDefault="00826276">
      <w:pPr>
        <w:pStyle w:val="Els-Author"/>
      </w:pPr>
      <w:r>
        <w:t xml:space="preserve">Tibor Svitnič </w:t>
      </w:r>
      <w:r w:rsidRPr="00826276">
        <w:rPr>
          <w:i/>
          <w:vertAlign w:val="superscript"/>
        </w:rPr>
        <w:t>a</w:t>
      </w:r>
      <w:r w:rsidR="007C023B">
        <w:rPr>
          <w:i/>
          <w:vertAlign w:val="superscript"/>
        </w:rPr>
        <w:t>,</w:t>
      </w:r>
      <w:r w:rsidRPr="007C023B">
        <w:rPr>
          <w:i/>
        </w:rPr>
        <w:t>*</w:t>
      </w:r>
      <w:r w:rsidRPr="00826276">
        <w:t xml:space="preserve"> and Kai Sundmacher </w:t>
      </w:r>
      <w:r w:rsidRPr="00826276">
        <w:rPr>
          <w:i/>
          <w:vertAlign w:val="superscript"/>
        </w:rPr>
        <w:t>a,b</w:t>
      </w:r>
    </w:p>
    <w:p w14:paraId="144DE681" w14:textId="63AF84A8" w:rsidR="00DD3D9E" w:rsidRDefault="00826276">
      <w:pPr>
        <w:pStyle w:val="Els-Affiliation"/>
      </w:pPr>
      <w:r w:rsidRPr="00826276">
        <w:rPr>
          <w:vertAlign w:val="superscript"/>
        </w:rPr>
        <w:t>a</w:t>
      </w:r>
      <w:r w:rsidRPr="00826276">
        <w:t xml:space="preserve"> Max Planck Institute for Dynamics of Complex Technical Systems, Department for Process Systems Engineering, Sandtorstr. 1, 39106 Magdeburg, Germany</w:t>
      </w:r>
    </w:p>
    <w:p w14:paraId="144DE682" w14:textId="59C88741" w:rsidR="00DD3D9E" w:rsidRDefault="00826276">
      <w:pPr>
        <w:pStyle w:val="Els-Affiliation"/>
      </w:pPr>
      <w:r w:rsidRPr="00826276">
        <w:rPr>
          <w:vertAlign w:val="superscript"/>
        </w:rPr>
        <w:t>b</w:t>
      </w:r>
      <w:r>
        <w:t xml:space="preserve"> </w:t>
      </w:r>
      <w:r w:rsidRPr="00826276">
        <w:t>Otto von Guericke University, Chair for Process Systems Engineering, Universitätsplatz 2, 39106 Magdeburg, Germany</w:t>
      </w:r>
    </w:p>
    <w:p w14:paraId="144DE683" w14:textId="16CD2666" w:rsidR="008D2649" w:rsidRPr="00A94774" w:rsidRDefault="00826276" w:rsidP="008D2649">
      <w:pPr>
        <w:pStyle w:val="Els-Affiliation"/>
        <w:spacing w:after="120"/>
      </w:pPr>
      <w:r w:rsidRPr="00826276">
        <w:t>svitnic@mpi-magdeburg.mpg.de</w:t>
      </w:r>
    </w:p>
    <w:p w14:paraId="144DE684" w14:textId="77777777" w:rsidR="008D2649" w:rsidRDefault="008D2649" w:rsidP="008D2649">
      <w:pPr>
        <w:pStyle w:val="Els-Abstract"/>
      </w:pPr>
      <w:r>
        <w:t>Abstract</w:t>
      </w:r>
    </w:p>
    <w:p w14:paraId="144DE686" w14:textId="30CE88BF" w:rsidR="008D2649" w:rsidRDefault="00826276" w:rsidP="008D2649">
      <w:pPr>
        <w:pStyle w:val="Els-body-text"/>
        <w:spacing w:after="120"/>
        <w:rPr>
          <w:lang w:val="en-GB"/>
        </w:rPr>
      </w:pPr>
      <w:r w:rsidRPr="00826276">
        <w:rPr>
          <w:lang w:val="en-GB"/>
        </w:rPr>
        <w:t xml:space="preserve">Fossil-based production of methanol is a strong contributor to the greenhouse gas emissions of the chemical industry. The Power-to-MeOH (PtM) process is an emerging alternative, which utilizes renewable resources making its rapid deployment desired </w:t>
      </w:r>
      <w:r w:rsidR="00030A23">
        <w:rPr>
          <w:lang w:val="en-GB"/>
        </w:rPr>
        <w:t xml:space="preserve">in order </w:t>
      </w:r>
      <w:r w:rsidRPr="00826276">
        <w:rPr>
          <w:lang w:val="en-GB"/>
        </w:rPr>
        <w:t>to mitigate the negative consequences of climate change. This study e</w:t>
      </w:r>
      <w:r w:rsidR="00A63070">
        <w:rPr>
          <w:lang w:val="en-GB"/>
        </w:rPr>
        <w:t>xplores the standardization of Power-to-M</w:t>
      </w:r>
      <w:r w:rsidRPr="00826276">
        <w:rPr>
          <w:lang w:val="en-GB"/>
        </w:rPr>
        <w:t xml:space="preserve">ethanol (PtM) plants to reduce project timelines and engineering costs. The focus is on standardizing </w:t>
      </w:r>
      <w:r w:rsidR="00D3768F">
        <w:rPr>
          <w:lang w:val="en-GB"/>
        </w:rPr>
        <w:t xml:space="preserve">the </w:t>
      </w:r>
      <w:r w:rsidR="007E7C93">
        <w:rPr>
          <w:lang w:val="en-GB"/>
        </w:rPr>
        <w:t>production capacities</w:t>
      </w:r>
      <w:r w:rsidR="00D3768F">
        <w:rPr>
          <w:lang w:val="en-GB"/>
        </w:rPr>
        <w:t xml:space="preserve"> of the deployed </w:t>
      </w:r>
      <w:r w:rsidR="007E7C93">
        <w:rPr>
          <w:lang w:val="en-GB"/>
        </w:rPr>
        <w:t>sub-</w:t>
      </w:r>
      <w:r w:rsidR="00D3768F">
        <w:rPr>
          <w:lang w:val="en-GB"/>
        </w:rPr>
        <w:t>processes</w:t>
      </w:r>
      <w:r w:rsidR="007E7C93">
        <w:rPr>
          <w:lang w:val="en-GB"/>
        </w:rPr>
        <w:t xml:space="preserve"> of the production plants</w:t>
      </w:r>
      <w:r w:rsidR="00D3768F">
        <w:rPr>
          <w:lang w:val="en-GB"/>
        </w:rPr>
        <w:t xml:space="preserve"> </w:t>
      </w:r>
      <w:r w:rsidRPr="00826276">
        <w:rPr>
          <w:lang w:val="en-GB"/>
        </w:rPr>
        <w:t xml:space="preserve">across locations with different renewable resource conditions. For this purpose, a multi-objective optimization approach </w:t>
      </w:r>
      <w:proofErr w:type="gramStart"/>
      <w:r w:rsidRPr="00826276">
        <w:rPr>
          <w:lang w:val="en-GB"/>
        </w:rPr>
        <w:t>is proposed</w:t>
      </w:r>
      <w:proofErr w:type="gramEnd"/>
      <w:r w:rsidRPr="00826276">
        <w:rPr>
          <w:lang w:val="en-GB"/>
        </w:rPr>
        <w:t>, where PtM plants are designed for solar-dominant, wind-dominant, and mixed-solar/wind energy resource locations simultaneously, to evaluate the cost trade-off between standard and location-specific designs. Preliminary results</w:t>
      </w:r>
      <w:r w:rsidR="00D75317">
        <w:rPr>
          <w:lang w:val="en-GB"/>
        </w:rPr>
        <w:t>, based on</w:t>
      </w:r>
      <w:r w:rsidRPr="00826276">
        <w:rPr>
          <w:lang w:val="en-GB"/>
        </w:rPr>
        <w:t xml:space="preserve"> </w:t>
      </w:r>
      <w:r w:rsidR="00A63070">
        <w:rPr>
          <w:lang w:val="en-GB"/>
        </w:rPr>
        <w:t>time-aggregated</w:t>
      </w:r>
      <w:r w:rsidRPr="00826276">
        <w:rPr>
          <w:lang w:val="en-GB"/>
        </w:rPr>
        <w:t xml:space="preserve"> renewable resource profiles</w:t>
      </w:r>
      <w:r w:rsidR="00AA397E">
        <w:rPr>
          <w:lang w:val="en-GB"/>
        </w:rPr>
        <w:t xml:space="preserve"> for one triplet of design locations</w:t>
      </w:r>
      <w:r w:rsidRPr="00826276">
        <w:rPr>
          <w:lang w:val="en-GB"/>
        </w:rPr>
        <w:t xml:space="preserve">, indicate that most processes can be standardized with </w:t>
      </w:r>
      <w:r w:rsidR="00D3768F">
        <w:rPr>
          <w:lang w:val="en-GB"/>
        </w:rPr>
        <w:t xml:space="preserve">relatively little cost increases </w:t>
      </w:r>
      <w:r w:rsidRPr="00826276">
        <w:rPr>
          <w:lang w:val="en-GB"/>
        </w:rPr>
        <w:t xml:space="preserve">due to the reduction of </w:t>
      </w:r>
      <w:r w:rsidR="00BD0E27">
        <w:rPr>
          <w:lang w:val="en-GB"/>
        </w:rPr>
        <w:t xml:space="preserve">the </w:t>
      </w:r>
      <w:r w:rsidRPr="00826276">
        <w:rPr>
          <w:lang w:val="en-GB"/>
        </w:rPr>
        <w:t xml:space="preserve">degrees of freedom. </w:t>
      </w:r>
      <w:r w:rsidR="00D3768F">
        <w:rPr>
          <w:lang w:val="en-GB"/>
        </w:rPr>
        <w:t>Standardization</w:t>
      </w:r>
      <w:r w:rsidRPr="00826276">
        <w:rPr>
          <w:lang w:val="en-GB"/>
        </w:rPr>
        <w:t xml:space="preserve"> of the PEM electrolyzer capacities account</w:t>
      </w:r>
      <w:r w:rsidR="00030A23">
        <w:rPr>
          <w:lang w:val="en-GB"/>
        </w:rPr>
        <w:t>s</w:t>
      </w:r>
      <w:r w:rsidRPr="00826276">
        <w:rPr>
          <w:lang w:val="en-GB"/>
        </w:rPr>
        <w:t xml:space="preserve"> for the major</w:t>
      </w:r>
      <w:r w:rsidR="00030A23">
        <w:rPr>
          <w:lang w:val="en-GB"/>
        </w:rPr>
        <w:t xml:space="preserve"> proportion</w:t>
      </w:r>
      <w:r w:rsidRPr="00826276">
        <w:rPr>
          <w:lang w:val="en-GB"/>
        </w:rPr>
        <w:t xml:space="preserve"> of </w:t>
      </w:r>
      <w:r w:rsidR="00030A23">
        <w:rPr>
          <w:lang w:val="en-GB"/>
        </w:rPr>
        <w:t xml:space="preserve">the </w:t>
      </w:r>
      <w:r w:rsidRPr="00826276">
        <w:rPr>
          <w:lang w:val="en-GB"/>
        </w:rPr>
        <w:t>cost inc</w:t>
      </w:r>
      <w:r w:rsidR="00030A23">
        <w:rPr>
          <w:lang w:val="en-GB"/>
        </w:rPr>
        <w:t>reases, suggesting it as the</w:t>
      </w:r>
      <w:r w:rsidRPr="00826276">
        <w:rPr>
          <w:lang w:val="en-GB"/>
        </w:rPr>
        <w:t xml:space="preserve"> process, which </w:t>
      </w:r>
      <w:proofErr w:type="gramStart"/>
      <w:r w:rsidRPr="00826276">
        <w:rPr>
          <w:lang w:val="en-GB"/>
        </w:rPr>
        <w:t>should be designed</w:t>
      </w:r>
      <w:proofErr w:type="gramEnd"/>
      <w:r w:rsidRPr="00826276">
        <w:rPr>
          <w:lang w:val="en-GB"/>
        </w:rPr>
        <w:t xml:space="preserve"> for each location specifically. However, further investigation </w:t>
      </w:r>
      <w:r w:rsidR="00030A23">
        <w:rPr>
          <w:lang w:val="en-GB"/>
        </w:rPr>
        <w:t>of additional</w:t>
      </w:r>
      <w:r w:rsidR="00AA397E">
        <w:rPr>
          <w:lang w:val="en-GB"/>
        </w:rPr>
        <w:t xml:space="preserve"> locations </w:t>
      </w:r>
      <w:r w:rsidR="00030A23">
        <w:rPr>
          <w:lang w:val="en-GB"/>
        </w:rPr>
        <w:t>with m</w:t>
      </w:r>
      <w:r w:rsidR="00AA397E">
        <w:rPr>
          <w:lang w:val="en-GB"/>
        </w:rPr>
        <w:t>ore</w:t>
      </w:r>
      <w:r w:rsidRPr="00826276">
        <w:rPr>
          <w:lang w:val="en-GB"/>
        </w:rPr>
        <w:t xml:space="preserve"> detailed renewable resource profiles </w:t>
      </w:r>
      <w:proofErr w:type="gramStart"/>
      <w:r w:rsidRPr="00826276">
        <w:rPr>
          <w:lang w:val="en-GB"/>
        </w:rPr>
        <w:t>is needed</w:t>
      </w:r>
      <w:proofErr w:type="gramEnd"/>
      <w:r w:rsidRPr="00826276">
        <w:rPr>
          <w:lang w:val="en-GB"/>
        </w:rPr>
        <w:t xml:space="preserve"> for a more comprehensive understanding of the balance between design </w:t>
      </w:r>
      <w:r>
        <w:rPr>
          <w:lang w:val="en-GB"/>
        </w:rPr>
        <w:t>standardization and specificity</w:t>
      </w:r>
      <w:r w:rsidR="008D2649">
        <w:rPr>
          <w:lang w:val="en-GB"/>
        </w:rPr>
        <w:t>.</w:t>
      </w:r>
    </w:p>
    <w:p w14:paraId="144DE687" w14:textId="32956E73" w:rsidR="008D2649" w:rsidRDefault="008D2649" w:rsidP="008D2649">
      <w:pPr>
        <w:pStyle w:val="Els-body-text"/>
        <w:spacing w:after="120"/>
        <w:rPr>
          <w:lang w:val="en-GB"/>
        </w:rPr>
      </w:pPr>
      <w:r>
        <w:rPr>
          <w:b/>
          <w:bCs/>
          <w:lang w:val="en-GB"/>
        </w:rPr>
        <w:t>Keywords</w:t>
      </w:r>
      <w:r>
        <w:rPr>
          <w:lang w:val="en-GB"/>
        </w:rPr>
        <w:t xml:space="preserve">: </w:t>
      </w:r>
      <w:r w:rsidR="00826276">
        <w:rPr>
          <w:lang w:val="en-GB"/>
        </w:rPr>
        <w:t>distributed production, modular design, standardization, Power-to-X</w:t>
      </w:r>
      <w:r>
        <w:rPr>
          <w:lang w:val="en-GB"/>
        </w:rPr>
        <w:t>.</w:t>
      </w:r>
    </w:p>
    <w:p w14:paraId="144DE689" w14:textId="32C67800" w:rsidR="008D2649" w:rsidRDefault="00324E04" w:rsidP="008D2649">
      <w:pPr>
        <w:pStyle w:val="Els-1storder-head"/>
      </w:pPr>
      <w:r>
        <w:t>Introduction</w:t>
      </w:r>
    </w:p>
    <w:p w14:paraId="1F22E90E" w14:textId="482481B3" w:rsidR="007C023B" w:rsidRDefault="007C023B" w:rsidP="007C023B">
      <w:pPr>
        <w:pStyle w:val="Els-body-text"/>
      </w:pPr>
      <w:r>
        <w:t>The transition to renewable sources of mass and energy is imperative to mitigate the environmental impact of conventional methanol production, which accounts for a tenth of the greenhouse gas emissions of the chemical sector (Tabibian and Sharifzadeh,</w:t>
      </w:r>
      <w:r w:rsidR="00A63070">
        <w:t xml:space="preserve"> 2023). First industrial scale Power-to-M</w:t>
      </w:r>
      <w:r>
        <w:t>ethanol (PtM) production facilities, using captured carbon dioxide and hydrogen produced from water electrolysis are starting to emer</w:t>
      </w:r>
      <w:r w:rsidR="007842EB">
        <w:t>ge to address this need. Nonetheless</w:t>
      </w:r>
      <w:r>
        <w:t>, their</w:t>
      </w:r>
      <w:r w:rsidR="007842EB">
        <w:t xml:space="preserve"> combined</w:t>
      </w:r>
      <w:r>
        <w:t xml:space="preserve"> installed capacities represent less than 0.2% of the total methanol production (Tabibian and Sharifzadeh, 2023). With the aim of speeding up the deployment of such facilities</w:t>
      </w:r>
      <w:r w:rsidR="007842EB">
        <w:t xml:space="preserve"> </w:t>
      </w:r>
      <w:r>
        <w:t>and identifying new competitive business cases, it is of interest to explore the concept of design standardization of geogra</w:t>
      </w:r>
      <w:r w:rsidR="00833811">
        <w:t xml:space="preserve">phically distributed </w:t>
      </w:r>
      <w:r w:rsidR="007842EB">
        <w:t>production</w:t>
      </w:r>
      <w:r w:rsidR="00833811">
        <w:t xml:space="preserve"> plants. </w:t>
      </w:r>
      <w:r w:rsidR="00B63183">
        <w:t>This</w:t>
      </w:r>
      <w:r w:rsidR="00833811">
        <w:t xml:space="preserve"> concept is </w:t>
      </w:r>
      <w:r>
        <w:t xml:space="preserve">closely tied to </w:t>
      </w:r>
      <w:r w:rsidR="009310ED">
        <w:t>modular design principles</w:t>
      </w:r>
      <w:r w:rsidR="00754205">
        <w:t xml:space="preserve"> already penetrating into the process engineering domain (Zhang et al. 2022),</w:t>
      </w:r>
      <w:r>
        <w:t xml:space="preserve"> which could </w:t>
      </w:r>
      <w:r>
        <w:lastRenderedPageBreak/>
        <w:t>lead to overall reduction</w:t>
      </w:r>
      <w:r w:rsidR="007842EB">
        <w:t>s</w:t>
      </w:r>
      <w:r>
        <w:t xml:space="preserve"> of engineering costs </w:t>
      </w:r>
      <w:r w:rsidR="00833811">
        <w:t>as well as</w:t>
      </w:r>
      <w:r>
        <w:t xml:space="preserve"> shortening of project timelines (Baldea et al., 2017)</w:t>
      </w:r>
      <w:r w:rsidR="00754205">
        <w:t>.</w:t>
      </w:r>
    </w:p>
    <w:p w14:paraId="0B4F137E" w14:textId="77777777" w:rsidR="00472ED7" w:rsidRDefault="00472ED7" w:rsidP="007C023B">
      <w:pPr>
        <w:pStyle w:val="Els-body-text"/>
      </w:pPr>
    </w:p>
    <w:p w14:paraId="19538DAA" w14:textId="294C5C62" w:rsidR="007C023B" w:rsidRDefault="00B63183" w:rsidP="007C023B">
      <w:pPr>
        <w:pStyle w:val="Els-body-text"/>
      </w:pPr>
      <w:r>
        <w:t>However</w:t>
      </w:r>
      <w:r w:rsidR="007F68FF">
        <w:t xml:space="preserve">, in </w:t>
      </w:r>
      <w:r w:rsidR="007842EB">
        <w:t>particular,</w:t>
      </w:r>
      <w:r w:rsidR="007C023B">
        <w:t xml:space="preserve"> standardization of processes across locations with different renewable resource conditions (e.g. solar irradiation and wind speed profiles) </w:t>
      </w:r>
      <w:proofErr w:type="gramStart"/>
      <w:r w:rsidR="007C023B">
        <w:t>is so far left</w:t>
      </w:r>
      <w:proofErr w:type="gramEnd"/>
      <w:r w:rsidR="007C023B">
        <w:t xml:space="preserve"> unexplored. Such standardization could offer an opportunity to streamline the manufacturing and deployment procedures for engineering &amp; construction companies with a global customer base. Yet, standardization inherently comes hand in hand with a reduction of degrees of freedom in the design problem, which could result in additional production costs if it would be too extensive and the specificity of the local renewable energy conditions </w:t>
      </w:r>
      <w:proofErr w:type="gramStart"/>
      <w:r w:rsidR="007C023B">
        <w:t>would be excessively disregarded</w:t>
      </w:r>
      <w:proofErr w:type="gramEnd"/>
      <w:r w:rsidR="007C023B">
        <w:t xml:space="preserve">. </w:t>
      </w:r>
    </w:p>
    <w:p w14:paraId="356E627D" w14:textId="77777777" w:rsidR="007C023B" w:rsidRDefault="007C023B" w:rsidP="007C023B">
      <w:pPr>
        <w:pStyle w:val="Els-body-text"/>
      </w:pPr>
    </w:p>
    <w:p w14:paraId="64F5F97E" w14:textId="446E6BC9" w:rsidR="007C023B" w:rsidRDefault="007C023B" w:rsidP="008D2649">
      <w:pPr>
        <w:pStyle w:val="Els-body-text"/>
      </w:pPr>
      <w:r>
        <w:t xml:space="preserve">In order to find the right balance between specificity and standardization at an early stage of process synthesis, a multi-objective optimization method for the identification standardized process sections </w:t>
      </w:r>
      <w:proofErr w:type="gramStart"/>
      <w:r>
        <w:t>is proposed and applied to the PtM plant design case</w:t>
      </w:r>
      <w:proofErr w:type="gramEnd"/>
      <w:r>
        <w:t>.</w:t>
      </w:r>
    </w:p>
    <w:p w14:paraId="144DE699" w14:textId="0A396840" w:rsidR="008D2649" w:rsidRDefault="00FF0FC1" w:rsidP="008D2649">
      <w:pPr>
        <w:pStyle w:val="Els-1storder-head"/>
      </w:pPr>
      <w:r>
        <w:t>Method</w:t>
      </w:r>
    </w:p>
    <w:p w14:paraId="774D8CEA" w14:textId="4DBE685F" w:rsidR="00FF0FC1" w:rsidRDefault="00FF0FC1" w:rsidP="00FF0FC1">
      <w:pPr>
        <w:pStyle w:val="Els-body-text"/>
      </w:pPr>
      <w:r>
        <w:t>Herein the design problems of the PtM plants are solved simultaneously for multiple locations having distinct renewable resource characteristics (in this study: Mejillones, Chile = solar-dominant, Cabo Negro, Chile = wind-dominant and Port Arthur, US</w:t>
      </w:r>
      <w:r w:rsidR="00163AF7">
        <w:t>A</w:t>
      </w:r>
      <w:r>
        <w:t xml:space="preserve"> = mixed-solar/wind energy resources) with additional constraints imposing standardization. </w:t>
      </w:r>
    </w:p>
    <w:p w14:paraId="7523D8D4" w14:textId="77777777" w:rsidR="00FF0FC1" w:rsidRDefault="00FF0FC1" w:rsidP="00FF0FC1">
      <w:pPr>
        <w:pStyle w:val="Els-body-text"/>
      </w:pPr>
    </w:p>
    <w:p w14:paraId="50ECCA0A" w14:textId="77777777" w:rsidR="00472ED7" w:rsidRDefault="00AD672E" w:rsidP="00FF0FC1">
      <w:pPr>
        <w:pStyle w:val="Els-body-text"/>
      </w:pPr>
      <w:r>
        <w:t>The</w:t>
      </w:r>
      <w:r w:rsidR="00FF0FC1">
        <w:t xml:space="preserve"> design problems incorporate the selection of installed capacities of the processes among the energy generation, chemical production, utility and storage subsystems together with the fluctuations of the energy resources and waste-heat utilization (Svi</w:t>
      </w:r>
      <w:r w:rsidR="00B700F7">
        <w:t>tnič et al. 2023</w:t>
      </w:r>
      <w:r w:rsidR="00FF0FC1">
        <w:t xml:space="preserve">). The process network for the studied PtM process </w:t>
      </w:r>
      <w:proofErr w:type="gramStart"/>
      <w:r w:rsidR="00FF0FC1">
        <w:t>is shown</w:t>
      </w:r>
      <w:proofErr w:type="gramEnd"/>
      <w:r w:rsidR="00FF0FC1">
        <w:t xml:space="preserve"> in Figure 1.</w:t>
      </w:r>
    </w:p>
    <w:p w14:paraId="1F1C27E5" w14:textId="31B6E7F1" w:rsidR="00AA397E" w:rsidRDefault="00FF0FC1" w:rsidP="00FF0FC1">
      <w:pPr>
        <w:pStyle w:val="Els-body-text"/>
      </w:pPr>
      <w:r>
        <w:t xml:space="preserve"> </w:t>
      </w:r>
    </w:p>
    <w:p w14:paraId="28ED6A55" w14:textId="751DF369" w:rsidR="00397ED6" w:rsidRDefault="00A63070" w:rsidP="00472ED7">
      <w:pPr>
        <w:pStyle w:val="Els-body-text"/>
        <w:keepNext/>
        <w:jc w:val="center"/>
      </w:pPr>
      <w:r>
        <w:rPr>
          <w:noProof/>
          <w:lang w:val="en-GB" w:eastAsia="en-GB"/>
        </w:rPr>
        <w:pict w14:anchorId="27481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25pt;height:170.8pt">
            <v:imagedata r:id="rId8" o:title="fig_flowsheet"/>
          </v:shape>
        </w:pict>
      </w:r>
    </w:p>
    <w:p w14:paraId="3714FDD2" w14:textId="3E7B33C5" w:rsidR="00397ED6" w:rsidRPr="00163AF7" w:rsidRDefault="00397ED6" w:rsidP="00397ED6">
      <w:pPr>
        <w:pStyle w:val="Caption"/>
        <w:jc w:val="both"/>
      </w:pPr>
      <w:r>
        <w:t xml:space="preserve">Figure </w:t>
      </w:r>
      <w:r>
        <w:fldChar w:fldCharType="begin"/>
      </w:r>
      <w:r>
        <w:instrText xml:space="preserve"> SEQ Figure \* ARABIC </w:instrText>
      </w:r>
      <w:r>
        <w:fldChar w:fldCharType="separate"/>
      </w:r>
      <w:r>
        <w:rPr>
          <w:noProof/>
        </w:rPr>
        <w:t>1</w:t>
      </w:r>
      <w:r>
        <w:fldChar w:fldCharType="end"/>
      </w:r>
      <w:r>
        <w:t xml:space="preserve"> Power-to-Methanol process network showing the different processes considered for the design: DAC = direct air capture of CO</w:t>
      </w:r>
      <w:r w:rsidRPr="00163AF7">
        <w:rPr>
          <w:vertAlign w:val="subscript"/>
        </w:rPr>
        <w:t>2</w:t>
      </w:r>
      <w:r>
        <w:t>, CO2comp = CO</w:t>
      </w:r>
      <w:r w:rsidRPr="00163AF7">
        <w:rPr>
          <w:vertAlign w:val="subscript"/>
        </w:rPr>
        <w:t>2</w:t>
      </w:r>
      <w:r>
        <w:t xml:space="preserve"> compressor, CO2tank = CO</w:t>
      </w:r>
      <w:r w:rsidRPr="00163AF7">
        <w:rPr>
          <w:vertAlign w:val="subscript"/>
        </w:rPr>
        <w:t>2</w:t>
      </w:r>
      <w:r>
        <w:t xml:space="preserve"> storage tank, MTDsyn = methanol synthesis process, MTDpur = methanol purification process, H2combust = hydrogen combustion chamber, CGH2 = compressed gaseous hydrogen storage, PEM = proton exchange membrane electrolyzer, EB = electric boiler, HE = heat engines (steam turbines), HP = heat pumps, TES = thermal energy storage (phase change material), TS = thermal solar energy generation (parabolic troughs, sun tracking with horizontal north-south axis), PV = photovoltaic panels (sun tracking wi</w:t>
      </w:r>
      <w:r w:rsidR="00735DF9">
        <w:t>th horizontal north-south axis)</w:t>
      </w:r>
      <w:r>
        <w:t xml:space="preserve">. </w:t>
      </w:r>
    </w:p>
    <w:p w14:paraId="52E703A7" w14:textId="6AA1141D" w:rsidR="005840A3" w:rsidRDefault="00FF0FC1" w:rsidP="00FF0FC1">
      <w:pPr>
        <w:pStyle w:val="Els-body-text"/>
      </w:pPr>
      <w:r>
        <w:lastRenderedPageBreak/>
        <w:t xml:space="preserve">Time-aggregation of the yearly renewable resource profiles </w:t>
      </w:r>
      <w:r w:rsidR="00A30455">
        <w:t>of solar irradiation (Sengupta et al.</w:t>
      </w:r>
      <w:r w:rsidR="005840A3">
        <w:t>,</w:t>
      </w:r>
      <w:r w:rsidR="00A30455">
        <w:t xml:space="preserve"> 2018) and wind speed (Staffe</w:t>
      </w:r>
      <w:r w:rsidR="005840A3">
        <w:t>l</w:t>
      </w:r>
      <w:r w:rsidR="00A30455">
        <w:t>l and Pfenninger, 2016) for the year 2019</w:t>
      </w:r>
      <w:r>
        <w:t xml:space="preserve"> with a resolution of 1-h</w:t>
      </w:r>
      <w:r w:rsidR="00EF6C05">
        <w:t>our was implemented based on a</w:t>
      </w:r>
      <w:r>
        <w:t xml:space="preserve"> k-medoids clustering algorithm</w:t>
      </w:r>
      <w:r w:rsidR="00A30455">
        <w:t xml:space="preserve"> </w:t>
      </w:r>
      <w:r>
        <w:t>to reduce the computational complexity of the model</w:t>
      </w:r>
      <w:r w:rsidR="00EF6C05">
        <w:t xml:space="preserve"> (Kotzur et al., 2018)</w:t>
      </w:r>
      <w:r>
        <w:t xml:space="preserve">. </w:t>
      </w:r>
      <w:r w:rsidR="00B73DC9">
        <w:t>T</w:t>
      </w:r>
      <w:r w:rsidR="006B366F">
        <w:t>he underlying mode</w:t>
      </w:r>
      <w:r w:rsidR="00B700F7">
        <w:t xml:space="preserve">ling approach </w:t>
      </w:r>
      <w:r w:rsidR="00B73DC9">
        <w:t>with</w:t>
      </w:r>
      <w:r w:rsidR="00B700F7">
        <w:t xml:space="preserve"> constraints</w:t>
      </w:r>
      <w:r w:rsidR="005840A3">
        <w:t xml:space="preserve"> and parameters</w:t>
      </w:r>
      <w:r w:rsidR="00B73DC9">
        <w:t xml:space="preserve"> of the optimization problem</w:t>
      </w:r>
      <w:r w:rsidR="00B700F7">
        <w:t xml:space="preserve"> </w:t>
      </w:r>
      <w:r w:rsidR="006B366F">
        <w:t>describing the functioning of the processes,</w:t>
      </w:r>
      <w:r w:rsidR="00B63183">
        <w:t xml:space="preserve"> storages and</w:t>
      </w:r>
      <w:r w:rsidR="00B73DC9">
        <w:t xml:space="preserve"> heat integration </w:t>
      </w:r>
      <w:proofErr w:type="gramStart"/>
      <w:r w:rsidR="00B73DC9">
        <w:t>are described</w:t>
      </w:r>
      <w:proofErr w:type="gramEnd"/>
      <w:r w:rsidR="00B73DC9">
        <w:t xml:space="preserve"> in detail</w:t>
      </w:r>
      <w:r w:rsidR="0065781C">
        <w:t xml:space="preserve"> </w:t>
      </w:r>
      <w:r w:rsidR="00B73DC9">
        <w:t xml:space="preserve">in our </w:t>
      </w:r>
      <w:r w:rsidR="0065781C">
        <w:t>previous work</w:t>
      </w:r>
      <w:r w:rsidR="00B700F7">
        <w:t xml:space="preserve"> </w:t>
      </w:r>
      <w:r w:rsidR="0065781C">
        <w:t>(</w:t>
      </w:r>
      <w:r w:rsidR="00B700F7">
        <w:t>Svitnič and Sundmacher, 2022</w:t>
      </w:r>
      <w:r w:rsidR="0065781C">
        <w:t>)</w:t>
      </w:r>
      <w:r w:rsidR="005840A3">
        <w:t>. Here</w:t>
      </w:r>
      <w:r w:rsidR="00B63183">
        <w:t xml:space="preserve"> we report only</w:t>
      </w:r>
      <w:r w:rsidR="006B366F">
        <w:t xml:space="preserve"> relevant </w:t>
      </w:r>
      <w:r w:rsidR="00227D5A">
        <w:t>extensions</w:t>
      </w:r>
      <w:r w:rsidR="00B3550A">
        <w:t xml:space="preserve"> </w:t>
      </w:r>
      <w:r w:rsidR="006B366F">
        <w:t xml:space="preserve">exclusive to this </w:t>
      </w:r>
      <w:r w:rsidR="00227D5A">
        <w:t>study</w:t>
      </w:r>
      <w:r w:rsidR="006B366F">
        <w:t xml:space="preserve">. </w:t>
      </w:r>
    </w:p>
    <w:p w14:paraId="7A9DF22B" w14:textId="77777777" w:rsidR="005840A3" w:rsidRDefault="005840A3" w:rsidP="00FF0FC1">
      <w:pPr>
        <w:pStyle w:val="Els-body-text"/>
      </w:pPr>
    </w:p>
    <w:p w14:paraId="4AA03227" w14:textId="03840419" w:rsidR="00B3550A" w:rsidRDefault="00FF0FC1" w:rsidP="00FF0FC1">
      <w:pPr>
        <w:pStyle w:val="Els-body-text"/>
      </w:pPr>
      <w:r>
        <w:t>The</w:t>
      </w:r>
      <w:r w:rsidR="005840A3">
        <w:t xml:space="preserve"> objective of the</w:t>
      </w:r>
      <w:r>
        <w:t xml:space="preserve"> resulting </w:t>
      </w:r>
      <w:r w:rsidR="005840A3">
        <w:t xml:space="preserve">mixed-integer linear programming </w:t>
      </w:r>
      <w:r>
        <w:t xml:space="preserve">problem </w:t>
      </w:r>
      <w:r w:rsidR="005840A3">
        <w:t>was to</w:t>
      </w:r>
      <w:r>
        <w:t xml:space="preserve"> minimize the </w:t>
      </w:r>
      <w:r w:rsidR="0065781C">
        <w:t>total</w:t>
      </w:r>
      <w:r>
        <w:t xml:space="preserve"> leve</w:t>
      </w:r>
      <w:r w:rsidR="005E0DC5">
        <w:t>lized costs of methanol</w:t>
      </w:r>
      <w:r w:rsidR="0065781C">
        <w:t xml:space="preserve"> across all locations</w:t>
      </w:r>
      <w:r w:rsidR="00CD1B09">
        <w:t>, shown in</w:t>
      </w:r>
      <w:r w:rsidR="005E0DC5">
        <w:t xml:space="preserve"> </w:t>
      </w:r>
      <w:r w:rsidR="00CD1B09">
        <w:t>Eq.</w:t>
      </w:r>
      <w:r w:rsidR="005E0DC5">
        <w:t xml:space="preserve"> </w:t>
      </w:r>
      <w:r w:rsidR="00CD1B09">
        <w:t>(</w:t>
      </w:r>
      <w:r w:rsidR="005E0DC5">
        <w:t>1</w:t>
      </w:r>
      <w:r w:rsidR="005840A3">
        <w:t>)</w:t>
      </w:r>
      <w:r>
        <w:t>.</w:t>
      </w:r>
    </w:p>
    <w:p w14:paraId="631A3D35" w14:textId="77777777" w:rsidR="00B3550A" w:rsidRDefault="00B3550A" w:rsidP="00FF0FC1">
      <w:pPr>
        <w:pStyle w:val="Els-body-text"/>
      </w:pPr>
    </w:p>
    <w:tbl>
      <w:tblPr>
        <w:tblW w:w="7088" w:type="dxa"/>
        <w:tblLayout w:type="fixed"/>
        <w:tblLook w:val="04A0" w:firstRow="1" w:lastRow="0" w:firstColumn="1" w:lastColumn="0" w:noHBand="0" w:noVBand="1"/>
      </w:tblPr>
      <w:tblGrid>
        <w:gridCol w:w="6521"/>
        <w:gridCol w:w="567"/>
      </w:tblGrid>
      <w:tr w:rsidR="00B3550A" w:rsidRPr="00A94774" w14:paraId="26CCA0B6" w14:textId="77777777" w:rsidTr="00872DF5">
        <w:tc>
          <w:tcPr>
            <w:tcW w:w="6521" w:type="dxa"/>
            <w:shd w:val="clear" w:color="auto" w:fill="auto"/>
            <w:vAlign w:val="center"/>
          </w:tcPr>
          <w:p w14:paraId="3D385016" w14:textId="39C9053E" w:rsidR="00B3550A" w:rsidRPr="00270C5D" w:rsidRDefault="00B3550A" w:rsidP="00CD1B09">
            <w:pPr>
              <w:pStyle w:val="Els-body-text"/>
              <w:spacing w:before="120" w:after="120" w:line="264" w:lineRule="auto"/>
              <w:rPr>
                <w:lang w:val="en-GB"/>
              </w:rPr>
            </w:pPr>
            <m:oMathPara>
              <m:oMath>
                <m:r>
                  <w:rPr>
                    <w:rFonts w:ascii="Cambria Math" w:hAnsi="Cambria Math"/>
                    <w:lang w:val="en-GB"/>
                  </w:rPr>
                  <m:t>LCOMeO</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total</m:t>
                    </m:r>
                  </m:sub>
                </m:sSub>
                <m:r>
                  <w:rPr>
                    <w:rFonts w:ascii="Cambria Math" w:hAnsi="Cambria Math"/>
                    <w:lang w:val="en-GB"/>
                  </w:rPr>
                  <m:t>=</m:t>
                </m:r>
                <m:nary>
                  <m:naryPr>
                    <m:chr m:val="∑"/>
                    <m:limLoc m:val="undOvr"/>
                    <m:supHide m:val="1"/>
                    <m:ctrlPr>
                      <w:rPr>
                        <w:rFonts w:ascii="Cambria Math" w:hAnsi="Cambria Math"/>
                        <w:i/>
                        <w:lang w:val="en-GB"/>
                      </w:rPr>
                    </m:ctrlPr>
                  </m:naryPr>
                  <m:sub>
                    <m:r>
                      <w:rPr>
                        <w:rFonts w:ascii="Cambria Math" w:hAnsi="Cambria Math"/>
                        <w:lang w:val="en-GB"/>
                      </w:rPr>
                      <m:t>l</m:t>
                    </m:r>
                  </m:sub>
                  <m:sup/>
                  <m:e>
                    <m:r>
                      <w:rPr>
                        <w:rFonts w:ascii="Cambria Math" w:hAnsi="Cambria Math"/>
                        <w:lang w:val="en-GB"/>
                      </w:rPr>
                      <m:t>LCOMeO</m:t>
                    </m:r>
                    <m:sSub>
                      <m:sSubPr>
                        <m:ctrlPr>
                          <w:rPr>
                            <w:rFonts w:ascii="Cambria Math" w:hAnsi="Cambria Math"/>
                            <w:i/>
                            <w:lang w:val="en-GB"/>
                          </w:rPr>
                        </m:ctrlPr>
                      </m:sSubPr>
                      <m:e>
                        <m:r>
                          <w:rPr>
                            <w:rFonts w:ascii="Cambria Math" w:hAnsi="Cambria Math"/>
                            <w:lang w:val="en-GB"/>
                          </w:rPr>
                          <m:t>H</m:t>
                        </m:r>
                      </m:e>
                      <m:sub>
                        <m:d>
                          <m:dPr>
                            <m:ctrlPr>
                              <w:rPr>
                                <w:rFonts w:ascii="Cambria Math" w:hAnsi="Cambria Math"/>
                                <w:i/>
                                <w:lang w:val="en-GB"/>
                              </w:rPr>
                            </m:ctrlPr>
                          </m:dPr>
                          <m:e>
                            <m:r>
                              <w:rPr>
                                <w:rFonts w:ascii="Cambria Math" w:hAnsi="Cambria Math"/>
                                <w:lang w:val="en-GB"/>
                              </w:rPr>
                              <m:t>l</m:t>
                            </m:r>
                          </m:e>
                        </m:d>
                      </m:sub>
                    </m:sSub>
                  </m:e>
                </m:nary>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 xml:space="preserve"> </m:t>
                    </m:r>
                  </m:e>
                  <m:sub>
                    <m:r>
                      <w:rPr>
                        <w:rFonts w:ascii="Cambria Math" w:hAnsi="Cambria Math"/>
                        <w:lang w:val="en-GB"/>
                      </w:rPr>
                      <m:t>l,ll ϵ {Meji, Cabo, Port Arthur}</m:t>
                    </m:r>
                  </m:sub>
                </m:sSub>
              </m:oMath>
            </m:oMathPara>
          </w:p>
        </w:tc>
        <w:tc>
          <w:tcPr>
            <w:tcW w:w="567" w:type="dxa"/>
            <w:shd w:val="clear" w:color="auto" w:fill="auto"/>
            <w:vAlign w:val="center"/>
          </w:tcPr>
          <w:p w14:paraId="346521C0" w14:textId="77777777" w:rsidR="00B3550A" w:rsidRPr="00A94774" w:rsidRDefault="00B3550A" w:rsidP="00872DF5">
            <w:pPr>
              <w:pStyle w:val="Els-body-text"/>
              <w:spacing w:before="120" w:after="120" w:line="264" w:lineRule="auto"/>
              <w:jc w:val="right"/>
              <w:rPr>
                <w:lang w:val="en-GB"/>
              </w:rPr>
            </w:pPr>
            <w:r w:rsidRPr="00A94774">
              <w:rPr>
                <w:lang w:val="en-GB"/>
              </w:rPr>
              <w:t>(1)</w:t>
            </w:r>
          </w:p>
        </w:tc>
      </w:tr>
    </w:tbl>
    <w:p w14:paraId="75AB06FF" w14:textId="1FEA7414" w:rsidR="00B3550A" w:rsidRDefault="00E5576C" w:rsidP="00FF0FC1">
      <w:pPr>
        <w:pStyle w:val="Els-body-text"/>
        <w:rPr>
          <w:color w:val="FF0000"/>
        </w:rPr>
      </w:pPr>
      <w:r>
        <w:t>The second objective function</w:t>
      </w:r>
      <w:r w:rsidR="00FD7307">
        <w:t>, used as a measure of standardization</w:t>
      </w:r>
      <w:r>
        <w:t>,</w:t>
      </w:r>
      <w:r w:rsidR="00FD7307">
        <w:t xml:space="preserve"> accounted</w:t>
      </w:r>
      <w:r>
        <w:t xml:space="preserve"> for the total number of </w:t>
      </w:r>
      <w:r w:rsidR="00FD7307">
        <w:t>standard</w:t>
      </w:r>
      <w:r>
        <w:t>/common design pairs of processes and storages</w:t>
      </w:r>
      <w:r w:rsidR="00FD7307">
        <w:t xml:space="preserve">, which </w:t>
      </w:r>
      <w:proofErr w:type="gramStart"/>
      <w:r w:rsidR="00FD7307">
        <w:t>were selected</w:t>
      </w:r>
      <w:proofErr w:type="gramEnd"/>
      <w:r w:rsidR="00FD7307">
        <w:t xml:space="preserve"> to have </w:t>
      </w:r>
      <w:r w:rsidR="00696671">
        <w:t>equal</w:t>
      </w:r>
      <w:r w:rsidR="00FD7307">
        <w:t xml:space="preserve"> installed capacities</w:t>
      </w:r>
      <w:r>
        <w:t xml:space="preserve"> </w:t>
      </w:r>
      <w:r w:rsidR="00FD7307">
        <w:t xml:space="preserve">across the different locations. It </w:t>
      </w:r>
      <w:r w:rsidR="009D6B37">
        <w:t>was</w:t>
      </w:r>
      <w:r>
        <w:t xml:space="preserve"> included into the optimization problem through the </w:t>
      </w:r>
      <w:r w:rsidRPr="00E5576C">
        <w:rPr>
          <w:rFonts w:ascii="Calibri" w:hAnsi="Calibri" w:cs="Calibri"/>
        </w:rPr>
        <w:t>ϵ</w:t>
      </w:r>
      <w:r w:rsidRPr="00E5576C">
        <w:t>-constraint method (Eq. (2)</w:t>
      </w:r>
      <w:r w:rsidR="009D6B37">
        <w:t xml:space="preserve"> and (3)</w:t>
      </w:r>
      <w:r w:rsidRPr="00E5576C">
        <w:t>).</w:t>
      </w:r>
    </w:p>
    <w:p w14:paraId="42C8FB33" w14:textId="3359A487" w:rsidR="00E5576C" w:rsidRDefault="00E5576C" w:rsidP="00FF0FC1">
      <w:pPr>
        <w:pStyle w:val="Els-body-text"/>
        <w:rPr>
          <w:color w:val="FF0000"/>
        </w:rPr>
      </w:pPr>
    </w:p>
    <w:tbl>
      <w:tblPr>
        <w:tblW w:w="7087" w:type="dxa"/>
        <w:tblLook w:val="04A0" w:firstRow="1" w:lastRow="0" w:firstColumn="1" w:lastColumn="0" w:noHBand="0" w:noVBand="1"/>
      </w:tblPr>
      <w:tblGrid>
        <w:gridCol w:w="6637"/>
        <w:gridCol w:w="450"/>
      </w:tblGrid>
      <w:tr w:rsidR="00E5576C" w:rsidRPr="00A94774" w14:paraId="50943066" w14:textId="77777777" w:rsidTr="00025DA8">
        <w:tc>
          <w:tcPr>
            <w:tcW w:w="6642" w:type="dxa"/>
            <w:shd w:val="clear" w:color="auto" w:fill="auto"/>
            <w:vAlign w:val="center"/>
          </w:tcPr>
          <w:p w14:paraId="4AB6C433" w14:textId="41D3BB42" w:rsidR="00E5576C" w:rsidRPr="00934A39" w:rsidRDefault="00624DDD" w:rsidP="009D6B37">
            <w:pPr>
              <w:pStyle w:val="Els-body-text"/>
              <w:spacing w:before="120" w:after="120" w:line="264" w:lineRule="auto"/>
              <w:rPr>
                <w:rFonts w:ascii="Cambria Math" w:hAnsi="Cambria Math"/>
                <w:lang w:val="en-GB"/>
                <w:oMath/>
              </w:rPr>
            </w:pPr>
            <m:oMathPara>
              <m:oMathParaPr>
                <m:jc m:val="left"/>
              </m:oMathPara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common</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ϵ</m:t>
                    </m:r>
                  </m:e>
                  <m:sub>
                    <m:r>
                      <w:rPr>
                        <w:rFonts w:ascii="Cambria Math" w:hAnsi="Cambria Math"/>
                        <w:lang w:val="en-GB"/>
                      </w:rPr>
                      <m:t>limit</m:t>
                    </m:r>
                  </m:sub>
                </m:sSub>
              </m:oMath>
            </m:oMathPara>
          </w:p>
        </w:tc>
        <w:tc>
          <w:tcPr>
            <w:tcW w:w="445" w:type="dxa"/>
            <w:shd w:val="clear" w:color="auto" w:fill="auto"/>
            <w:vAlign w:val="center"/>
          </w:tcPr>
          <w:p w14:paraId="6091B330" w14:textId="3766E918" w:rsidR="00E5576C" w:rsidRPr="00A94774" w:rsidRDefault="00E5576C" w:rsidP="00025DA8">
            <w:pPr>
              <w:pStyle w:val="Els-body-text"/>
              <w:spacing w:before="120" w:after="120" w:line="264" w:lineRule="auto"/>
              <w:jc w:val="right"/>
              <w:rPr>
                <w:lang w:val="en-GB"/>
              </w:rPr>
            </w:pPr>
            <w:r>
              <w:rPr>
                <w:lang w:val="en-GB"/>
              </w:rPr>
              <w:t>(2</w:t>
            </w:r>
            <w:r w:rsidRPr="00A94774">
              <w:rPr>
                <w:lang w:val="en-GB"/>
              </w:rPr>
              <w:t>)</w:t>
            </w:r>
          </w:p>
        </w:tc>
      </w:tr>
    </w:tbl>
    <w:p w14:paraId="4BB01323" w14:textId="67D93512" w:rsidR="00E5576C" w:rsidRDefault="00E5576C" w:rsidP="00FF0FC1">
      <w:pPr>
        <w:pStyle w:val="Els-body-text"/>
      </w:pPr>
    </w:p>
    <w:tbl>
      <w:tblPr>
        <w:tblW w:w="7087" w:type="dxa"/>
        <w:tblLook w:val="04A0" w:firstRow="1" w:lastRow="0" w:firstColumn="1" w:lastColumn="0" w:noHBand="0" w:noVBand="1"/>
      </w:tblPr>
      <w:tblGrid>
        <w:gridCol w:w="6637"/>
        <w:gridCol w:w="450"/>
      </w:tblGrid>
      <w:tr w:rsidR="009D6B37" w:rsidRPr="00A94774" w14:paraId="554D4173" w14:textId="77777777" w:rsidTr="00025DA8">
        <w:tc>
          <w:tcPr>
            <w:tcW w:w="6642" w:type="dxa"/>
            <w:shd w:val="clear" w:color="auto" w:fill="auto"/>
            <w:vAlign w:val="center"/>
          </w:tcPr>
          <w:p w14:paraId="4F803180" w14:textId="60DED541" w:rsidR="009D6B37" w:rsidRPr="00934A39" w:rsidRDefault="00624DDD" w:rsidP="009D6B37">
            <w:pPr>
              <w:pStyle w:val="Els-body-text"/>
              <w:spacing w:before="120" w:after="120" w:line="264" w:lineRule="auto"/>
              <w:rPr>
                <w:rFonts w:ascii="Cambria Math" w:hAnsi="Cambria Math"/>
                <w:lang w:val="en-GB"/>
                <w:oMath/>
              </w:rPr>
            </w:pPr>
            <m:oMathPara>
              <m:oMathParaPr>
                <m:jc m:val="left"/>
              </m:oMathPara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common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common,p</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common,s</m:t>
                    </m:r>
                  </m:sub>
                </m:sSub>
              </m:oMath>
            </m:oMathPara>
          </w:p>
        </w:tc>
        <w:tc>
          <w:tcPr>
            <w:tcW w:w="445" w:type="dxa"/>
            <w:shd w:val="clear" w:color="auto" w:fill="auto"/>
            <w:vAlign w:val="center"/>
          </w:tcPr>
          <w:p w14:paraId="03F7D259" w14:textId="09BDD4F8" w:rsidR="009D6B37" w:rsidRPr="00A94774" w:rsidRDefault="009D6B37" w:rsidP="00025DA8">
            <w:pPr>
              <w:pStyle w:val="Els-body-text"/>
              <w:spacing w:before="120" w:after="120" w:line="264" w:lineRule="auto"/>
              <w:jc w:val="right"/>
              <w:rPr>
                <w:lang w:val="en-GB"/>
              </w:rPr>
            </w:pPr>
            <w:r>
              <w:rPr>
                <w:lang w:val="en-GB"/>
              </w:rPr>
              <w:t>(3</w:t>
            </w:r>
            <w:r w:rsidRPr="00A94774">
              <w:rPr>
                <w:lang w:val="en-GB"/>
              </w:rPr>
              <w:t>)</w:t>
            </w:r>
          </w:p>
        </w:tc>
      </w:tr>
    </w:tbl>
    <w:p w14:paraId="72BCC937" w14:textId="503E9910" w:rsidR="009D6B37" w:rsidRDefault="009D6B37" w:rsidP="00FF0FC1">
      <w:pPr>
        <w:pStyle w:val="Els-body-text"/>
      </w:pPr>
    </w:p>
    <w:p w14:paraId="0C82DE05" w14:textId="2CF76B9F" w:rsidR="009D6B37" w:rsidRDefault="009D6B37" w:rsidP="00FF0FC1">
      <w:pPr>
        <w:pStyle w:val="Els-body-text"/>
      </w:pPr>
      <w:r>
        <w:t xml:space="preserve">The numbers of common design pairs were calculated for a subset of processes and storages </w:t>
      </w:r>
      <w:r w:rsidR="00FD7307">
        <w:t>according to Eq. (4) and (5</w:t>
      </w:r>
      <w:r>
        <w:t>).</w:t>
      </w:r>
      <w:r w:rsidR="007E42E6">
        <w:t xml:space="preserve"> The installed capacities for the energy-generation processes (photovoltaic panels, pa</w:t>
      </w:r>
      <w:r w:rsidR="00754205">
        <w:t>rabolic troughs, wind turbines)</w:t>
      </w:r>
      <w:r w:rsidR="007E42E6">
        <w:t xml:space="preserve"> </w:t>
      </w:r>
      <w:r w:rsidR="005C3096">
        <w:t xml:space="preserve">with </w:t>
      </w:r>
      <w:r w:rsidR="007E42E6">
        <w:t>their</w:t>
      </w:r>
      <w:r w:rsidR="005C3096">
        <w:t xml:space="preserve"> already standard modular structure</w:t>
      </w:r>
      <w:r w:rsidR="007E42E6">
        <w:t xml:space="preserve"> </w:t>
      </w:r>
      <w:proofErr w:type="gramStart"/>
      <w:r w:rsidR="007E42E6">
        <w:t xml:space="preserve">were </w:t>
      </w:r>
      <w:r w:rsidR="005C3096">
        <w:t>scaled</w:t>
      </w:r>
      <w:proofErr w:type="gramEnd"/>
      <w:r w:rsidR="00CB3151">
        <w:t xml:space="preserve"> </w:t>
      </w:r>
      <w:r w:rsidR="007E42E6">
        <w:t xml:space="preserve">for each location without </w:t>
      </w:r>
      <w:r w:rsidR="005C3096">
        <w:t xml:space="preserve">imposing </w:t>
      </w:r>
      <w:r w:rsidR="007E42E6">
        <w:t>further standardization constraints to reach a methanol production of 40,000 t/y in each location.</w:t>
      </w:r>
    </w:p>
    <w:p w14:paraId="3E5311E0" w14:textId="77777777" w:rsidR="009D6B37" w:rsidRDefault="009D6B37" w:rsidP="00FF0FC1">
      <w:pPr>
        <w:pStyle w:val="Els-body-text"/>
      </w:pPr>
    </w:p>
    <w:tbl>
      <w:tblPr>
        <w:tblW w:w="7088" w:type="dxa"/>
        <w:tblLayout w:type="fixed"/>
        <w:tblLook w:val="04A0" w:firstRow="1" w:lastRow="0" w:firstColumn="1" w:lastColumn="0" w:noHBand="0" w:noVBand="1"/>
      </w:tblPr>
      <w:tblGrid>
        <w:gridCol w:w="6521"/>
        <w:gridCol w:w="567"/>
      </w:tblGrid>
      <w:tr w:rsidR="009D6B37" w:rsidRPr="00A94774" w14:paraId="0B1F70FF" w14:textId="77777777" w:rsidTr="00025DA8">
        <w:tc>
          <w:tcPr>
            <w:tcW w:w="6521" w:type="dxa"/>
            <w:shd w:val="clear" w:color="auto" w:fill="auto"/>
            <w:vAlign w:val="center"/>
          </w:tcPr>
          <w:p w14:paraId="6D13AAF5" w14:textId="77777777" w:rsidR="009D6B37" w:rsidRPr="00312B7A" w:rsidRDefault="00624DDD" w:rsidP="00025DA8">
            <w:pPr>
              <w:pStyle w:val="Els-body-text"/>
              <w:spacing w:before="120" w:after="120" w:line="264" w:lineRule="auto"/>
              <w:jc w:val="lef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common,p</m:t>
                    </m:r>
                  </m:sub>
                </m:sSub>
                <m:r>
                  <w:rPr>
                    <w:rFonts w:ascii="Cambria Math" w:hAnsi="Cambria Math"/>
                    <w:lang w:val="en-GB"/>
                  </w:rPr>
                  <m:t>=</m:t>
                </m:r>
                <m:nary>
                  <m:naryPr>
                    <m:chr m:val="∑"/>
                    <m:limLoc m:val="undOvr"/>
                    <m:supHide m:val="1"/>
                    <m:ctrlPr>
                      <w:rPr>
                        <w:rFonts w:ascii="Cambria Math" w:hAnsi="Cambria Math"/>
                        <w:i/>
                        <w:lang w:val="en-GB"/>
                      </w:rPr>
                    </m:ctrlPr>
                  </m:naryPr>
                  <m:sub>
                    <m:r>
                      <w:rPr>
                        <w:rFonts w:ascii="Cambria Math" w:hAnsi="Cambria Math"/>
                        <w:lang w:val="en-GB"/>
                      </w:rPr>
                      <m:t>l: ord</m:t>
                    </m:r>
                    <m:d>
                      <m:dPr>
                        <m:ctrlPr>
                          <w:rPr>
                            <w:rFonts w:ascii="Cambria Math" w:hAnsi="Cambria Math"/>
                            <w:i/>
                            <w:lang w:val="en-GB"/>
                          </w:rPr>
                        </m:ctrlPr>
                      </m:dPr>
                      <m:e>
                        <m:r>
                          <w:rPr>
                            <w:rFonts w:ascii="Cambria Math" w:hAnsi="Cambria Math"/>
                            <w:lang w:val="en-GB"/>
                          </w:rPr>
                          <m:t>l</m:t>
                        </m:r>
                      </m:e>
                    </m:d>
                    <m:r>
                      <w:rPr>
                        <w:rFonts w:ascii="Cambria Math" w:hAnsi="Cambria Math"/>
                        <w:lang w:val="en-GB"/>
                      </w:rPr>
                      <m:t>&gt;ord(ll)</m:t>
                    </m:r>
                  </m:sub>
                  <m:sup/>
                  <m:e>
                    <m:nary>
                      <m:naryPr>
                        <m:chr m:val="∑"/>
                        <m:limLoc m:val="undOvr"/>
                        <m:supHide m:val="1"/>
                        <m:ctrlPr>
                          <w:rPr>
                            <w:rFonts w:ascii="Cambria Math" w:hAnsi="Cambria Math"/>
                            <w:i/>
                            <w:lang w:val="en-GB"/>
                          </w:rPr>
                        </m:ctrlPr>
                      </m:naryPr>
                      <m:sub>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c</m:t>
                            </m:r>
                          </m:sub>
                        </m:sSub>
                      </m:sub>
                      <m:sup/>
                      <m:e>
                        <m:sSub>
                          <m:sSubPr>
                            <m:ctrlPr>
                              <w:rPr>
                                <w:rFonts w:ascii="Cambria Math" w:hAnsi="Cambria Math"/>
                                <w:i/>
                                <w:lang w:val="en-GB"/>
                              </w:rPr>
                            </m:ctrlPr>
                          </m:sSubPr>
                          <m:e>
                            <m:r>
                              <w:rPr>
                                <w:rFonts w:ascii="Cambria Math" w:hAnsi="Cambria Math"/>
                                <w:lang w:val="en-GB"/>
                              </w:rPr>
                              <m:t>xp</m:t>
                            </m:r>
                          </m:e>
                          <m:sub>
                            <m:r>
                              <w:rPr>
                                <w:rFonts w:ascii="Cambria Math" w:hAnsi="Cambria Math"/>
                                <w:lang w:val="en-GB"/>
                              </w:rPr>
                              <m:t xml:space="preserve">com, </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c</m:t>
                                    </m:r>
                                  </m:sub>
                                </m:sSub>
                                <m:r>
                                  <w:rPr>
                                    <w:rFonts w:ascii="Cambria Math" w:hAnsi="Cambria Math"/>
                                    <w:lang w:val="en-GB"/>
                                  </w:rPr>
                                  <m:t>, l,ll</m:t>
                                </m:r>
                              </m:e>
                            </m:d>
                          </m:sub>
                        </m:sSub>
                      </m:e>
                    </m:nary>
                  </m:e>
                </m:nary>
              </m:oMath>
            </m:oMathPara>
          </w:p>
          <w:p w14:paraId="2692644E" w14:textId="77777777" w:rsidR="009D6B37" w:rsidRPr="00312B7A" w:rsidRDefault="00624DDD" w:rsidP="00025DA8">
            <w:pPr>
              <w:pStyle w:val="Els-body-text"/>
              <w:spacing w:before="120" w:after="120" w:line="264" w:lineRule="auto"/>
              <w:jc w:val="left"/>
              <w:rPr>
                <w:lang w:val="en-GB"/>
              </w:rPr>
            </w:pPr>
            <m:oMathPara>
              <m:oMathParaPr>
                <m:jc m:val="right"/>
              </m:oMathParaPr>
              <m:oMath>
                <m:sSub>
                  <m:sSubPr>
                    <m:ctrlPr>
                      <w:rPr>
                        <w:rFonts w:ascii="Cambria Math" w:hAnsi="Cambria Math"/>
                        <w:i/>
                        <w:lang w:val="en-GB"/>
                      </w:rPr>
                    </m:ctrlPr>
                  </m:sSubPr>
                  <m:e>
                    <m:r>
                      <w:rPr>
                        <w:rFonts w:ascii="Cambria Math" w:hAnsi="Cambria Math"/>
                        <w:lang w:val="en-GB"/>
                      </w:rPr>
                      <m:t xml:space="preserve"> </m:t>
                    </m:r>
                  </m:e>
                  <m:sub>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c</m:t>
                        </m:r>
                      </m:sub>
                    </m:sSub>
                    <m:r>
                      <w:rPr>
                        <w:rFonts w:ascii="Cambria Math" w:hAnsi="Cambria Math"/>
                        <w:lang w:val="en-GB"/>
                      </w:rPr>
                      <m:t xml:space="preserve"> ϵ {PEM,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syn</m:t>
                        </m:r>
                      </m:sub>
                    </m:sSub>
                    <m:r>
                      <w:rPr>
                        <w:rFonts w:ascii="Cambria Math" w:hAnsi="Cambria Math"/>
                        <w:lang w:val="en-GB"/>
                      </w:rPr>
                      <m:t>,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pur</m:t>
                        </m:r>
                      </m:sub>
                    </m:sSub>
                    <m:r>
                      <w:rPr>
                        <w:rFonts w:ascii="Cambria Math" w:hAnsi="Cambria Math"/>
                        <w:lang w:val="en-GB"/>
                      </w:rPr>
                      <m:t>,DAC, CO</m:t>
                    </m:r>
                    <m:sSub>
                      <m:sSubPr>
                        <m:ctrlPr>
                          <w:rPr>
                            <w:rFonts w:ascii="Cambria Math" w:hAnsi="Cambria Math"/>
                            <w:i/>
                            <w:lang w:val="en-GB"/>
                          </w:rPr>
                        </m:ctrlPr>
                      </m:sSubPr>
                      <m:e>
                        <m:r>
                          <w:rPr>
                            <w:rFonts w:ascii="Cambria Math" w:hAnsi="Cambria Math"/>
                            <w:lang w:val="en-GB"/>
                          </w:rPr>
                          <m:t>2</m:t>
                        </m:r>
                      </m:e>
                      <m:sub>
                        <m:r>
                          <w:rPr>
                            <w:rFonts w:ascii="Cambria Math" w:hAnsi="Cambria Math"/>
                            <w:lang w:val="en-GB"/>
                          </w:rPr>
                          <m:t>comp</m:t>
                        </m:r>
                      </m:sub>
                    </m:sSub>
                    <m:r>
                      <w:rPr>
                        <w:rFonts w:ascii="Cambria Math" w:hAnsi="Cambria Math"/>
                        <w:lang w:val="en-GB"/>
                      </w:rPr>
                      <m:t>, H</m:t>
                    </m:r>
                    <m:sSub>
                      <m:sSubPr>
                        <m:ctrlPr>
                          <w:rPr>
                            <w:rFonts w:ascii="Cambria Math" w:hAnsi="Cambria Math"/>
                            <w:i/>
                            <w:lang w:val="en-GB"/>
                          </w:rPr>
                        </m:ctrlPr>
                      </m:sSubPr>
                      <m:e>
                        <m:r>
                          <w:rPr>
                            <w:rFonts w:ascii="Cambria Math" w:hAnsi="Cambria Math"/>
                            <w:lang w:val="en-GB"/>
                          </w:rPr>
                          <m:t>2</m:t>
                        </m:r>
                      </m:e>
                      <m:sub>
                        <m:r>
                          <w:rPr>
                            <w:rFonts w:ascii="Cambria Math" w:hAnsi="Cambria Math"/>
                            <w:lang w:val="en-GB"/>
                          </w:rPr>
                          <m:t>comb</m:t>
                        </m:r>
                      </m:sub>
                    </m:sSub>
                    <m:r>
                      <w:rPr>
                        <w:rFonts w:ascii="Cambria Math" w:hAnsi="Cambria Math"/>
                        <w:lang w:val="en-GB"/>
                      </w:rPr>
                      <m:t>,HE, HP, EB}</m:t>
                    </m:r>
                  </m:sub>
                </m:sSub>
              </m:oMath>
            </m:oMathPara>
          </w:p>
        </w:tc>
        <w:tc>
          <w:tcPr>
            <w:tcW w:w="567" w:type="dxa"/>
            <w:shd w:val="clear" w:color="auto" w:fill="auto"/>
            <w:vAlign w:val="center"/>
          </w:tcPr>
          <w:p w14:paraId="591EBC02" w14:textId="3490298B" w:rsidR="009D6B37" w:rsidRPr="00A94774" w:rsidRDefault="00FD7307" w:rsidP="00025DA8">
            <w:pPr>
              <w:pStyle w:val="Els-body-text"/>
              <w:spacing w:before="120" w:after="120" w:line="264" w:lineRule="auto"/>
              <w:jc w:val="right"/>
              <w:rPr>
                <w:lang w:val="en-GB"/>
              </w:rPr>
            </w:pPr>
            <w:r>
              <w:rPr>
                <w:lang w:val="en-GB"/>
              </w:rPr>
              <w:t>(4</w:t>
            </w:r>
            <w:r w:rsidR="009D6B37" w:rsidRPr="00A94774">
              <w:rPr>
                <w:lang w:val="en-GB"/>
              </w:rPr>
              <w:t>)</w:t>
            </w:r>
          </w:p>
        </w:tc>
      </w:tr>
    </w:tbl>
    <w:p w14:paraId="2B97BC16" w14:textId="78E5EF6C" w:rsidR="009D6B37" w:rsidRDefault="009D6B37" w:rsidP="00FF0FC1">
      <w:pPr>
        <w:pStyle w:val="Els-body-text"/>
      </w:pPr>
    </w:p>
    <w:tbl>
      <w:tblPr>
        <w:tblW w:w="7088" w:type="dxa"/>
        <w:tblLayout w:type="fixed"/>
        <w:tblLook w:val="04A0" w:firstRow="1" w:lastRow="0" w:firstColumn="1" w:lastColumn="0" w:noHBand="0" w:noVBand="1"/>
      </w:tblPr>
      <w:tblGrid>
        <w:gridCol w:w="6521"/>
        <w:gridCol w:w="567"/>
      </w:tblGrid>
      <w:tr w:rsidR="009D6B37" w:rsidRPr="00A94774" w14:paraId="54043C9A" w14:textId="77777777" w:rsidTr="00025DA8">
        <w:tc>
          <w:tcPr>
            <w:tcW w:w="6521" w:type="dxa"/>
            <w:shd w:val="clear" w:color="auto" w:fill="auto"/>
            <w:vAlign w:val="center"/>
          </w:tcPr>
          <w:p w14:paraId="6841960D" w14:textId="77777777" w:rsidR="009D6B37" w:rsidRPr="00CD1B09" w:rsidRDefault="00624DDD" w:rsidP="00025DA8">
            <w:pPr>
              <w:pStyle w:val="Els-body-text"/>
              <w:spacing w:before="120" w:after="120" w:line="264" w:lineRule="auto"/>
              <w:jc w:val="lef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common,s</m:t>
                    </m:r>
                  </m:sub>
                </m:sSub>
                <m:r>
                  <w:rPr>
                    <w:rFonts w:ascii="Cambria Math" w:hAnsi="Cambria Math"/>
                    <w:lang w:val="en-GB"/>
                  </w:rPr>
                  <m:t>=</m:t>
                </m:r>
                <m:nary>
                  <m:naryPr>
                    <m:chr m:val="∑"/>
                    <m:limLoc m:val="undOvr"/>
                    <m:supHide m:val="1"/>
                    <m:ctrlPr>
                      <w:rPr>
                        <w:rFonts w:ascii="Cambria Math" w:hAnsi="Cambria Math"/>
                        <w:i/>
                        <w:lang w:val="en-GB"/>
                      </w:rPr>
                    </m:ctrlPr>
                  </m:naryPr>
                  <m:sub>
                    <m:r>
                      <w:rPr>
                        <w:rFonts w:ascii="Cambria Math" w:hAnsi="Cambria Math"/>
                        <w:lang w:val="en-GB"/>
                      </w:rPr>
                      <m:t>l: ord</m:t>
                    </m:r>
                    <m:d>
                      <m:dPr>
                        <m:ctrlPr>
                          <w:rPr>
                            <w:rFonts w:ascii="Cambria Math" w:hAnsi="Cambria Math"/>
                            <w:i/>
                            <w:lang w:val="en-GB"/>
                          </w:rPr>
                        </m:ctrlPr>
                      </m:dPr>
                      <m:e>
                        <m:r>
                          <w:rPr>
                            <w:rFonts w:ascii="Cambria Math" w:hAnsi="Cambria Math"/>
                            <w:lang w:val="en-GB"/>
                          </w:rPr>
                          <m:t>l</m:t>
                        </m:r>
                      </m:e>
                    </m:d>
                    <m:r>
                      <w:rPr>
                        <w:rFonts w:ascii="Cambria Math" w:hAnsi="Cambria Math"/>
                        <w:lang w:val="en-GB"/>
                      </w:rPr>
                      <m:t>&gt;ord(ll)</m:t>
                    </m:r>
                  </m:sub>
                  <m:sup/>
                  <m:e>
                    <m:nary>
                      <m:naryPr>
                        <m:chr m:val="∑"/>
                        <m:limLoc m:val="undOvr"/>
                        <m:supHide m:val="1"/>
                        <m:ctrlPr>
                          <w:rPr>
                            <w:rFonts w:ascii="Cambria Math" w:hAnsi="Cambria Math"/>
                            <w:i/>
                            <w:lang w:val="en-GB"/>
                          </w:rPr>
                        </m:ctrlPr>
                      </m:naryPr>
                      <m:sub>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stor</m:t>
                            </m:r>
                          </m:sub>
                        </m:sSub>
                      </m:sub>
                      <m:sup/>
                      <m:e>
                        <m:sSub>
                          <m:sSubPr>
                            <m:ctrlPr>
                              <w:rPr>
                                <w:rFonts w:ascii="Cambria Math" w:hAnsi="Cambria Math"/>
                                <w:i/>
                                <w:lang w:val="en-GB"/>
                              </w:rPr>
                            </m:ctrlPr>
                          </m:sSubPr>
                          <m:e>
                            <m:r>
                              <w:rPr>
                                <w:rFonts w:ascii="Cambria Math" w:hAnsi="Cambria Math"/>
                                <w:lang w:val="en-GB"/>
                              </w:rPr>
                              <m:t>xs</m:t>
                            </m:r>
                          </m:e>
                          <m:sub>
                            <m:r>
                              <w:rPr>
                                <w:rFonts w:ascii="Cambria Math" w:hAnsi="Cambria Math"/>
                                <w:lang w:val="en-GB"/>
                              </w:rPr>
                              <m:t xml:space="preserve">com, </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c</m:t>
                                    </m:r>
                                  </m:sub>
                                </m:sSub>
                                <m:r>
                                  <w:rPr>
                                    <w:rFonts w:ascii="Cambria Math" w:hAnsi="Cambria Math"/>
                                    <w:lang w:val="en-GB"/>
                                  </w:rPr>
                                  <m:t>, l,ll</m:t>
                                </m:r>
                              </m:e>
                            </m:d>
                          </m:sub>
                        </m:sSub>
                      </m:e>
                    </m:nary>
                  </m:e>
                </m:nary>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 xml:space="preserve"> </m:t>
                    </m:r>
                  </m:e>
                  <m:sub>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stor</m:t>
                        </m:r>
                      </m:sub>
                    </m:sSub>
                    <m:r>
                      <w:rPr>
                        <w:rFonts w:ascii="Cambria Math" w:hAnsi="Cambria Math"/>
                        <w:lang w:val="en-GB"/>
                      </w:rPr>
                      <m:t xml:space="preserve"> ϵ {CGH2, CO2tank,TES}</m:t>
                    </m:r>
                  </m:sub>
                </m:sSub>
              </m:oMath>
            </m:oMathPara>
          </w:p>
        </w:tc>
        <w:tc>
          <w:tcPr>
            <w:tcW w:w="567" w:type="dxa"/>
            <w:shd w:val="clear" w:color="auto" w:fill="auto"/>
            <w:vAlign w:val="center"/>
          </w:tcPr>
          <w:p w14:paraId="37265128" w14:textId="7BEB1301" w:rsidR="009D6B37" w:rsidRPr="00A94774" w:rsidRDefault="00FD7307" w:rsidP="00025DA8">
            <w:pPr>
              <w:pStyle w:val="Els-body-text"/>
              <w:spacing w:before="120" w:after="120" w:line="264" w:lineRule="auto"/>
              <w:jc w:val="right"/>
              <w:rPr>
                <w:lang w:val="en-GB"/>
              </w:rPr>
            </w:pPr>
            <w:r>
              <w:rPr>
                <w:lang w:val="en-GB"/>
              </w:rPr>
              <w:t>(5</w:t>
            </w:r>
            <w:r w:rsidR="009D6B37" w:rsidRPr="00A94774">
              <w:rPr>
                <w:lang w:val="en-GB"/>
              </w:rPr>
              <w:t>)</w:t>
            </w:r>
          </w:p>
        </w:tc>
      </w:tr>
    </w:tbl>
    <w:p w14:paraId="1F7AEE2E" w14:textId="77777777" w:rsidR="009D6B37" w:rsidRDefault="009D6B37" w:rsidP="00FF0FC1">
      <w:pPr>
        <w:pStyle w:val="Els-body-text"/>
      </w:pPr>
    </w:p>
    <w:p w14:paraId="0AAC2499" w14:textId="0AC99C0C" w:rsidR="005622B4" w:rsidRDefault="00FF0FC1" w:rsidP="00FF0FC1">
      <w:pPr>
        <w:pStyle w:val="Els-body-text"/>
      </w:pPr>
      <w:r>
        <w:t>Binary variables</w:t>
      </w:r>
      <w:r w:rsidR="00BF63BB">
        <w:t xml:space="preserve"> (</w:t>
      </w:r>
      <m:oMath>
        <m:sSub>
          <m:sSubPr>
            <m:ctrlPr>
              <w:rPr>
                <w:rFonts w:ascii="Cambria Math" w:hAnsi="Cambria Math"/>
                <w:i/>
                <w:lang w:val="en-GB"/>
              </w:rPr>
            </m:ctrlPr>
          </m:sSubPr>
          <m:e>
            <m:r>
              <w:rPr>
                <w:rFonts w:ascii="Cambria Math" w:hAnsi="Cambria Math"/>
                <w:lang w:val="en-GB"/>
              </w:rPr>
              <m:t>xp</m:t>
            </m:r>
          </m:e>
          <m:sub>
            <m:r>
              <w:rPr>
                <w:rFonts w:ascii="Cambria Math" w:hAnsi="Cambria Math"/>
              </w:rPr>
              <m:t>com</m:t>
            </m:r>
          </m:sub>
        </m:sSub>
      </m:oMath>
      <w:r w:rsidR="00BF63BB">
        <w:rPr>
          <w:lang w:val="en-GB"/>
        </w:rPr>
        <w:t xml:space="preserve"> </w:t>
      </w:r>
      <w:proofErr w:type="gramStart"/>
      <w:r w:rsidR="00BF63BB">
        <w:rPr>
          <w:lang w:val="en-GB"/>
        </w:rPr>
        <w:t xml:space="preserve">and </w:t>
      </w:r>
      <w:proofErr w:type="gramEnd"/>
      <m:oMath>
        <m:sSub>
          <m:sSubPr>
            <m:ctrlPr>
              <w:rPr>
                <w:rFonts w:ascii="Cambria Math" w:hAnsi="Cambria Math"/>
                <w:i/>
                <w:lang w:val="en-GB"/>
              </w:rPr>
            </m:ctrlPr>
          </m:sSubPr>
          <m:e>
            <m:r>
              <w:rPr>
                <w:rFonts w:ascii="Cambria Math" w:hAnsi="Cambria Math"/>
                <w:lang w:val="en-GB"/>
              </w:rPr>
              <m:t>xs</m:t>
            </m:r>
          </m:e>
          <m:sub>
            <m:r>
              <w:rPr>
                <w:rFonts w:ascii="Cambria Math" w:hAnsi="Cambria Math"/>
              </w:rPr>
              <m:t>com</m:t>
            </m:r>
          </m:sub>
        </m:sSub>
      </m:oMath>
      <w:r w:rsidR="00BF63BB">
        <w:rPr>
          <w:lang w:val="en-GB"/>
        </w:rPr>
        <w:t>)</w:t>
      </w:r>
      <w:r>
        <w:t xml:space="preserve"> were used </w:t>
      </w:r>
      <w:r w:rsidR="00A30455">
        <w:t>to identify</w:t>
      </w:r>
      <w:r>
        <w:t xml:space="preserve"> </w:t>
      </w:r>
      <w:r w:rsidR="00A30455">
        <w:t xml:space="preserve">the design </w:t>
      </w:r>
      <w:r>
        <w:t xml:space="preserve">pairs </w:t>
      </w:r>
      <w:r w:rsidR="00FD7307">
        <w:t>with</w:t>
      </w:r>
      <w:r w:rsidR="00BF63BB">
        <w:t xml:space="preserve"> identical installed process (</w:t>
      </w:r>
      <m:oMath>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nom</m:t>
            </m:r>
          </m:sub>
        </m:sSub>
      </m:oMath>
      <w:r w:rsidR="00BF63BB">
        <w:rPr>
          <w:lang w:val="en-GB"/>
        </w:rPr>
        <w:t>) or storage (</w:t>
      </w:r>
      <m:oMath>
        <m:sSub>
          <m:sSubPr>
            <m:ctrlPr>
              <w:rPr>
                <w:rFonts w:ascii="Cambria Math" w:hAnsi="Cambria Math"/>
                <w:i/>
                <w:lang w:val="en-GB"/>
              </w:rPr>
            </m:ctrlPr>
          </m:sSubPr>
          <m:e>
            <m:r>
              <w:rPr>
                <w:rFonts w:ascii="Cambria Math" w:hAnsi="Cambria Math"/>
              </w:rPr>
              <m:t>S</m:t>
            </m:r>
          </m:e>
          <m:sub>
            <m:r>
              <w:rPr>
                <w:rFonts w:ascii="Cambria Math" w:hAnsi="Cambria Math"/>
                <w:lang w:val="en-GB"/>
              </w:rPr>
              <m:t>nom</m:t>
            </m:r>
          </m:sub>
        </m:sSub>
      </m:oMath>
      <w:r w:rsidR="00BF63BB">
        <w:rPr>
          <w:lang w:val="en-GB"/>
        </w:rPr>
        <w:t>) capacities</w:t>
      </w:r>
      <w:r>
        <w:t xml:space="preserve"> selected across the different locations </w:t>
      </w:r>
      <w:r w:rsidR="00B3550A">
        <w:t xml:space="preserve">with the constraints </w:t>
      </w:r>
      <w:r w:rsidR="005E4BA7">
        <w:t>shown in Eq</w:t>
      </w:r>
      <w:r w:rsidR="00B3550A">
        <w:t xml:space="preserve">. </w:t>
      </w:r>
      <w:r w:rsidR="005E4BA7">
        <w:t>(</w:t>
      </w:r>
      <w:r w:rsidR="00FD7307">
        <w:t>6</w:t>
      </w:r>
      <w:r w:rsidR="005E4BA7">
        <w:t>)</w:t>
      </w:r>
      <w:r w:rsidR="00B3550A">
        <w:t xml:space="preserve"> and </w:t>
      </w:r>
      <w:r w:rsidR="005E4BA7">
        <w:t>(</w:t>
      </w:r>
      <w:r w:rsidR="00FD7307">
        <w:t>7</w:t>
      </w:r>
      <w:r w:rsidR="005E4BA7">
        <w:t>)</w:t>
      </w:r>
      <w:r>
        <w:t xml:space="preserve">. </w:t>
      </w:r>
    </w:p>
    <w:p w14:paraId="73743652" w14:textId="77777777" w:rsidR="00720A47" w:rsidRDefault="00720A47" w:rsidP="00FF0FC1">
      <w:pPr>
        <w:pStyle w:val="Els-body-text"/>
      </w:pPr>
    </w:p>
    <w:tbl>
      <w:tblPr>
        <w:tblW w:w="7088" w:type="dxa"/>
        <w:tblLayout w:type="fixed"/>
        <w:tblLook w:val="04A0" w:firstRow="1" w:lastRow="0" w:firstColumn="1" w:lastColumn="0" w:noHBand="0" w:noVBand="1"/>
      </w:tblPr>
      <w:tblGrid>
        <w:gridCol w:w="6521"/>
        <w:gridCol w:w="567"/>
      </w:tblGrid>
      <w:tr w:rsidR="00B56B68" w:rsidRPr="00A94774" w14:paraId="215C417D" w14:textId="77777777" w:rsidTr="00975FC6">
        <w:tc>
          <w:tcPr>
            <w:tcW w:w="6521" w:type="dxa"/>
            <w:shd w:val="clear" w:color="auto" w:fill="auto"/>
            <w:vAlign w:val="center"/>
          </w:tcPr>
          <w:p w14:paraId="2A33A81E" w14:textId="1950D2D0" w:rsidR="00B56B68" w:rsidRPr="007F1600" w:rsidRDefault="00624DDD" w:rsidP="00CD1B09">
            <m:oMathPara>
              <m:oMathParaPr>
                <m:jc m:val="left"/>
              </m:oMathParaPr>
              <m:oMath>
                <m:sSub>
                  <m:sSubPr>
                    <m:ctrlPr>
                      <w:rPr>
                        <w:rFonts w:ascii="Cambria Math" w:hAnsi="Cambria Math"/>
                        <w:i/>
                      </w:rPr>
                    </m:ctrlPr>
                  </m:sSubPr>
                  <m:e>
                    <m:r>
                      <w:rPr>
                        <w:rFonts w:ascii="Cambria Math" w:hAnsi="Cambria Math"/>
                      </w:rPr>
                      <m:t>xp</m:t>
                    </m:r>
                  </m:e>
                  <m:sub>
                    <m:r>
                      <w:rPr>
                        <w:rFonts w:ascii="Cambria Math" w:hAnsi="Cambria Math"/>
                      </w:rPr>
                      <m:t xml:space="preserve">com,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 l,ll</m:t>
                        </m:r>
                      </m:e>
                    </m:d>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m:t>
                        </m:r>
                        <m:sSub>
                          <m:sSubPr>
                            <m:ctrlPr>
                              <w:rPr>
                                <w:rFonts w:ascii="Cambria Math" w:hAnsi="Cambria Math"/>
                                <w:i/>
                              </w:rPr>
                            </m:ctrlPr>
                          </m:sSubPr>
                          <m:e>
                            <m:r>
                              <w:rPr>
                                <w:rFonts w:ascii="Cambria Math" w:hAnsi="Cambria Math"/>
                              </w:rPr>
                              <m:t xml:space="preserve">    λ</m:t>
                            </m:r>
                          </m:e>
                          <m:sub>
                            <m:r>
                              <w:rPr>
                                <w:rFonts w:ascii="Cambria Math" w:hAnsi="Cambria Math"/>
                              </w:rPr>
                              <m:t>nom,</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 l</m:t>
                                </m:r>
                              </m:e>
                            </m:d>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nom,</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 ll</m:t>
                                </m:r>
                              </m:e>
                            </m:d>
                          </m:sub>
                        </m:sSub>
                      </m:e>
                      <m:e>
                        <m:r>
                          <w:rPr>
                            <w:rFonts w:ascii="Cambria Math" w:hAnsi="Cambria Math"/>
                          </w:rPr>
                          <m:t xml:space="preserve">0,    otherwise                       </m:t>
                        </m:r>
                      </m:e>
                    </m:eqArr>
                    <m:r>
                      <w:rPr>
                        <w:rFonts w:ascii="Cambria Math" w:hAnsi="Cambria Math"/>
                      </w:rPr>
                      <m:t xml:space="preserve">                            </m:t>
                    </m:r>
                    <m:sSub>
                      <m:sSubPr>
                        <m:ctrlPr>
                          <w:rPr>
                            <w:rFonts w:ascii="Cambria Math" w:hAnsi="Cambria Math"/>
                            <w:i/>
                          </w:rPr>
                        </m:ctrlPr>
                      </m:sSubPr>
                      <m:e>
                        <m:r>
                          <w:rPr>
                            <w:rFonts w:ascii="Cambria Math" w:hAnsi="Cambria Math"/>
                          </w:rPr>
                          <m:t xml:space="preserve"> </m:t>
                        </m:r>
                      </m:e>
                      <m:sub>
                        <m:r>
                          <w:rPr>
                            <w:rFonts w:ascii="Cambria Math" w:hAnsi="Cambria Math"/>
                          </w:rPr>
                          <m:t>∀l,ll:  ord</m:t>
                        </m:r>
                        <m:d>
                          <m:dPr>
                            <m:ctrlPr>
                              <w:rPr>
                                <w:rFonts w:ascii="Cambria Math" w:hAnsi="Cambria Math"/>
                                <w:i/>
                              </w:rPr>
                            </m:ctrlPr>
                          </m:dPr>
                          <m:e>
                            <m:r>
                              <w:rPr>
                                <w:rFonts w:ascii="Cambria Math" w:hAnsi="Cambria Math"/>
                              </w:rPr>
                              <m:t>l</m:t>
                            </m:r>
                          </m:e>
                        </m:d>
                        <m:r>
                          <w:rPr>
                            <w:rFonts w:ascii="Cambria Math" w:hAnsi="Cambria Math"/>
                          </w:rPr>
                          <m:t>&gt;ord(ll)</m:t>
                        </m:r>
                      </m:sub>
                    </m:sSub>
                  </m:e>
                </m:d>
              </m:oMath>
            </m:oMathPara>
          </w:p>
        </w:tc>
        <w:tc>
          <w:tcPr>
            <w:tcW w:w="567" w:type="dxa"/>
            <w:shd w:val="clear" w:color="auto" w:fill="auto"/>
            <w:vAlign w:val="center"/>
          </w:tcPr>
          <w:p w14:paraId="1AC56263" w14:textId="473DC394" w:rsidR="00B56B68" w:rsidRPr="00A94774" w:rsidRDefault="00FD7307" w:rsidP="00975FC6">
            <w:pPr>
              <w:pStyle w:val="Els-body-text"/>
              <w:spacing w:before="120" w:after="120" w:line="264" w:lineRule="auto"/>
              <w:jc w:val="right"/>
              <w:rPr>
                <w:lang w:val="en-GB"/>
              </w:rPr>
            </w:pPr>
            <w:r>
              <w:rPr>
                <w:lang w:val="en-GB"/>
              </w:rPr>
              <w:t>(6</w:t>
            </w:r>
            <w:r w:rsidR="00B56B68" w:rsidRPr="00A94774">
              <w:rPr>
                <w:lang w:val="en-GB"/>
              </w:rPr>
              <w:t>)</w:t>
            </w:r>
          </w:p>
        </w:tc>
      </w:tr>
    </w:tbl>
    <w:p w14:paraId="7A2F9DE2" w14:textId="281EEBA9" w:rsidR="00C8777B" w:rsidRDefault="00C8777B" w:rsidP="00FF0FC1">
      <w:pPr>
        <w:pStyle w:val="Els-body-text"/>
      </w:pPr>
    </w:p>
    <w:tbl>
      <w:tblPr>
        <w:tblW w:w="7088" w:type="dxa"/>
        <w:tblLayout w:type="fixed"/>
        <w:tblLook w:val="04A0" w:firstRow="1" w:lastRow="0" w:firstColumn="1" w:lastColumn="0" w:noHBand="0" w:noVBand="1"/>
      </w:tblPr>
      <w:tblGrid>
        <w:gridCol w:w="6521"/>
        <w:gridCol w:w="567"/>
      </w:tblGrid>
      <w:tr w:rsidR="007F1600" w:rsidRPr="00A94774" w14:paraId="4DDC397B" w14:textId="77777777" w:rsidTr="00872DF5">
        <w:tc>
          <w:tcPr>
            <w:tcW w:w="6521" w:type="dxa"/>
            <w:shd w:val="clear" w:color="auto" w:fill="auto"/>
            <w:vAlign w:val="center"/>
          </w:tcPr>
          <w:p w14:paraId="62EE089F" w14:textId="0F6FA176" w:rsidR="007F1600" w:rsidRPr="007F1600" w:rsidRDefault="00624DDD" w:rsidP="00CD1B09">
            <m:oMathPara>
              <m:oMathParaPr>
                <m:jc m:val="left"/>
              </m:oMathParaPr>
              <m:oMath>
                <m:sSub>
                  <m:sSubPr>
                    <m:ctrlPr>
                      <w:rPr>
                        <w:rFonts w:ascii="Cambria Math" w:hAnsi="Cambria Math"/>
                        <w:i/>
                      </w:rPr>
                    </m:ctrlPr>
                  </m:sSubPr>
                  <m:e>
                    <m:r>
                      <w:rPr>
                        <w:rFonts w:ascii="Cambria Math" w:hAnsi="Cambria Math"/>
                      </w:rPr>
                      <m:t>xs</m:t>
                    </m:r>
                  </m:e>
                  <m:sub>
                    <m:r>
                      <w:rPr>
                        <w:rFonts w:ascii="Cambria Math" w:hAnsi="Cambria Math"/>
                      </w:rPr>
                      <m:t xml:space="preserve">com, </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stor</m:t>
                            </m:r>
                          </m:sub>
                        </m:sSub>
                        <m:r>
                          <w:rPr>
                            <w:rFonts w:ascii="Cambria Math" w:hAnsi="Cambria Math"/>
                          </w:rPr>
                          <m:t>, l,ll</m:t>
                        </m:r>
                      </m:e>
                    </m:d>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m:t>
                        </m:r>
                        <m:sSub>
                          <m:sSubPr>
                            <m:ctrlPr>
                              <w:rPr>
                                <w:rFonts w:ascii="Cambria Math" w:hAnsi="Cambria Math"/>
                                <w:i/>
                              </w:rPr>
                            </m:ctrlPr>
                          </m:sSubPr>
                          <m:e>
                            <m:r>
                              <w:rPr>
                                <w:rFonts w:ascii="Cambria Math" w:hAnsi="Cambria Math"/>
                              </w:rPr>
                              <m:t xml:space="preserve">   S</m:t>
                            </m:r>
                          </m:e>
                          <m:sub>
                            <m:r>
                              <w:rPr>
                                <w:rFonts w:ascii="Cambria Math" w:hAnsi="Cambria Math"/>
                              </w:rPr>
                              <m:t>nom,</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stor</m:t>
                                    </m:r>
                                  </m:sub>
                                </m:sSub>
                                <m:r>
                                  <w:rPr>
                                    <w:rFonts w:ascii="Cambria Math" w:hAnsi="Cambria Math"/>
                                  </w:rPr>
                                  <m:t>, l</m:t>
                                </m:r>
                              </m:e>
                            </m:d>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nom,</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stor</m:t>
                                    </m:r>
                                  </m:sub>
                                </m:sSub>
                                <m:r>
                                  <w:rPr>
                                    <w:rFonts w:ascii="Cambria Math" w:hAnsi="Cambria Math"/>
                                  </w:rPr>
                                  <m:t>, ll</m:t>
                                </m:r>
                              </m:e>
                            </m:d>
                          </m:sub>
                        </m:sSub>
                      </m:e>
                      <m:e>
                        <m:r>
                          <w:rPr>
                            <w:rFonts w:ascii="Cambria Math" w:hAnsi="Cambria Math"/>
                          </w:rPr>
                          <m:t xml:space="preserve">0, &amp;   otherwise                               </m:t>
                        </m:r>
                      </m:e>
                    </m:eqArr>
                  </m:e>
                </m:d>
                <m:r>
                  <w:rPr>
                    <w:rFonts w:ascii="Cambria Math" w:hAnsi="Cambria Math"/>
                  </w:rPr>
                  <m:t xml:space="preserve">                </m:t>
                </m:r>
                <m:sSub>
                  <m:sSubPr>
                    <m:ctrlPr>
                      <w:rPr>
                        <w:rFonts w:ascii="Cambria Math" w:hAnsi="Cambria Math"/>
                        <w:i/>
                      </w:rPr>
                    </m:ctrlPr>
                  </m:sSubPr>
                  <m:e>
                    <m:r>
                      <w:rPr>
                        <w:rFonts w:ascii="Cambria Math" w:hAnsi="Cambria Math"/>
                      </w:rPr>
                      <m:t xml:space="preserve"> </m:t>
                    </m:r>
                  </m:e>
                  <m:sub>
                    <m:r>
                      <w:rPr>
                        <w:rFonts w:ascii="Cambria Math" w:hAnsi="Cambria Math"/>
                      </w:rPr>
                      <m:t>∀l,ll:  ord</m:t>
                    </m:r>
                    <m:d>
                      <m:dPr>
                        <m:ctrlPr>
                          <w:rPr>
                            <w:rFonts w:ascii="Cambria Math" w:hAnsi="Cambria Math"/>
                            <w:i/>
                          </w:rPr>
                        </m:ctrlPr>
                      </m:dPr>
                      <m:e>
                        <m:r>
                          <w:rPr>
                            <w:rFonts w:ascii="Cambria Math" w:hAnsi="Cambria Math"/>
                          </w:rPr>
                          <m:t>l</m:t>
                        </m:r>
                      </m:e>
                    </m:d>
                    <m:r>
                      <w:rPr>
                        <w:rFonts w:ascii="Cambria Math" w:hAnsi="Cambria Math"/>
                      </w:rPr>
                      <m:t>&gt;ord(ll)</m:t>
                    </m:r>
                  </m:sub>
                </m:sSub>
              </m:oMath>
            </m:oMathPara>
          </w:p>
        </w:tc>
        <w:tc>
          <w:tcPr>
            <w:tcW w:w="567" w:type="dxa"/>
            <w:shd w:val="clear" w:color="auto" w:fill="auto"/>
            <w:vAlign w:val="center"/>
          </w:tcPr>
          <w:p w14:paraId="60CDAFC0" w14:textId="179B358E" w:rsidR="007F1600" w:rsidRPr="00A94774" w:rsidRDefault="007F1600" w:rsidP="00872DF5">
            <w:pPr>
              <w:pStyle w:val="Els-body-text"/>
              <w:spacing w:before="120" w:after="120" w:line="264" w:lineRule="auto"/>
              <w:jc w:val="right"/>
              <w:rPr>
                <w:lang w:val="en-GB"/>
              </w:rPr>
            </w:pPr>
            <w:r>
              <w:rPr>
                <w:lang w:val="en-GB"/>
              </w:rPr>
              <w:t>(</w:t>
            </w:r>
            <w:r w:rsidR="00FD7307">
              <w:rPr>
                <w:lang w:val="en-GB"/>
              </w:rPr>
              <w:t>7</w:t>
            </w:r>
            <w:r w:rsidRPr="00A94774">
              <w:rPr>
                <w:lang w:val="en-GB"/>
              </w:rPr>
              <w:t>)</w:t>
            </w:r>
          </w:p>
        </w:tc>
      </w:tr>
    </w:tbl>
    <w:p w14:paraId="2C7BDB09" w14:textId="35426957" w:rsidR="00B56B68" w:rsidRDefault="00B56B68" w:rsidP="00FF0FC1">
      <w:pPr>
        <w:pStyle w:val="Els-body-text"/>
      </w:pPr>
    </w:p>
    <w:p w14:paraId="4FCFEE5E" w14:textId="3187C038" w:rsidR="00B3550A" w:rsidRDefault="00B3550A" w:rsidP="00FF0FC1">
      <w:pPr>
        <w:pStyle w:val="Els-body-text"/>
      </w:pPr>
      <w:r>
        <w:t xml:space="preserve">The condition </w:t>
      </w:r>
      <w:r w:rsidR="00BA2781">
        <w:t>using the</w:t>
      </w:r>
      <w:r>
        <w:t xml:space="preserve"> order</w:t>
      </w:r>
      <w:r w:rsidR="00BA2781">
        <w:t xml:space="preserve"> function</w:t>
      </w:r>
      <w:r>
        <w:t xml:space="preserve"> of the location index (</w:t>
      </w:r>
      <m:oMath>
        <m:r>
          <w:rPr>
            <w:rFonts w:ascii="Cambria Math" w:hAnsi="Cambria Math"/>
          </w:rPr>
          <m:t>ord</m:t>
        </m:r>
        <m:d>
          <m:dPr>
            <m:ctrlPr>
              <w:rPr>
                <w:rFonts w:ascii="Cambria Math" w:hAnsi="Cambria Math"/>
                <w:i/>
              </w:rPr>
            </m:ctrlPr>
          </m:dPr>
          <m:e>
            <m:r>
              <w:rPr>
                <w:rFonts w:ascii="Cambria Math" w:hAnsi="Cambria Math"/>
              </w:rPr>
              <m:t>l</m:t>
            </m:r>
          </m:e>
        </m:d>
      </m:oMath>
      <w:r w:rsidR="00AB7D45">
        <w:t>)</w:t>
      </w:r>
      <w:r w:rsidR="00AA57C2">
        <w:t xml:space="preserve"> im</w:t>
      </w:r>
      <w:r w:rsidR="00FD7307">
        <w:t>posed on Eq. (6) and (7</w:t>
      </w:r>
      <w:r w:rsidR="00AA57C2">
        <w:t>)</w:t>
      </w:r>
      <w:r>
        <w:t xml:space="preserve"> makes sure that </w:t>
      </w:r>
      <w:r w:rsidR="00C8777B">
        <w:t>all of the</w:t>
      </w:r>
      <w:r>
        <w:t xml:space="preserve"> </w:t>
      </w:r>
      <w:r w:rsidR="00C8777B">
        <w:t xml:space="preserve">possible </w:t>
      </w:r>
      <w:r>
        <w:t xml:space="preserve">design pairs </w:t>
      </w:r>
      <w:r w:rsidR="00C8777B">
        <w:t>across the considered</w:t>
      </w:r>
      <w:r>
        <w:t xml:space="preserve"> l</w:t>
      </w:r>
      <w:r w:rsidR="00C8777B">
        <w:t xml:space="preserve">ocations </w:t>
      </w:r>
      <w:r w:rsidR="00AA57C2">
        <w:t>are accounted for</w:t>
      </w:r>
      <w:r w:rsidR="00C8777B">
        <w:t xml:space="preserve"> </w:t>
      </w:r>
      <w:r w:rsidR="00AA57C2">
        <w:t xml:space="preserve">exactly </w:t>
      </w:r>
      <w:r>
        <w:t xml:space="preserve">once </w:t>
      </w:r>
      <w:r w:rsidR="00AA57C2">
        <w:t>and no</w:t>
      </w:r>
      <w:r>
        <w:t xml:space="preserve"> redundant constraints/binary variables</w:t>
      </w:r>
      <w:r w:rsidR="00AA57C2">
        <w:t xml:space="preserve"> are introduced</w:t>
      </w:r>
      <w:r>
        <w:t>. Th</w:t>
      </w:r>
      <w:r w:rsidR="00C8777B">
        <w:t xml:space="preserve">is </w:t>
      </w:r>
      <w:r w:rsidR="00FD7307">
        <w:t>can be</w:t>
      </w:r>
      <w:r w:rsidR="005E4BA7">
        <w:t xml:space="preserve"> illustrated</w:t>
      </w:r>
      <w:r w:rsidR="00C8777B">
        <w:t xml:space="preserve"> with the help of</w:t>
      </w:r>
      <w:r>
        <w:t xml:space="preserve"> a location matrix</w:t>
      </w:r>
      <w:r w:rsidR="00C8777B">
        <w:t xml:space="preserve"> </w:t>
      </w:r>
      <w:r w:rsidR="00FD7307">
        <w:t>(Eq. (8</w:t>
      </w:r>
      <w:r w:rsidR="00AA57C2">
        <w:t xml:space="preserve">)) </w:t>
      </w:r>
      <w:r w:rsidR="00C8777B">
        <w:t xml:space="preserve">created by applying this condition </w:t>
      </w:r>
      <w:r w:rsidR="00AA57C2">
        <w:t>for the</w:t>
      </w:r>
      <w:r w:rsidR="00C8777B">
        <w:t xml:space="preserve"> studied three-location </w:t>
      </w:r>
      <w:r w:rsidR="00AA57C2">
        <w:t>design case</w:t>
      </w:r>
      <w:r>
        <w:t xml:space="preserve">, which marks the </w:t>
      </w:r>
      <w:r w:rsidR="00C8777B">
        <w:t>design pairs across the different locations</w:t>
      </w:r>
      <w:r w:rsidR="00BA2781">
        <w:t xml:space="preserve"> to be included in the optimization problem</w:t>
      </w:r>
      <w:r w:rsidR="00AA57C2">
        <w:t>.</w:t>
      </w:r>
    </w:p>
    <w:p w14:paraId="35BD666F" w14:textId="77777777" w:rsidR="00B3550A" w:rsidRDefault="00B3550A" w:rsidP="00FF0FC1">
      <w:pPr>
        <w:pStyle w:val="Els-body-text"/>
      </w:pPr>
    </w:p>
    <w:tbl>
      <w:tblPr>
        <w:tblW w:w="7088" w:type="dxa"/>
        <w:tblLayout w:type="fixed"/>
        <w:tblLook w:val="04A0" w:firstRow="1" w:lastRow="0" w:firstColumn="1" w:lastColumn="0" w:noHBand="0" w:noVBand="1"/>
      </w:tblPr>
      <w:tblGrid>
        <w:gridCol w:w="6521"/>
        <w:gridCol w:w="567"/>
      </w:tblGrid>
      <w:tr w:rsidR="007E38D9" w:rsidRPr="00A94774" w14:paraId="427BE00D" w14:textId="77777777" w:rsidTr="00872DF5">
        <w:tc>
          <w:tcPr>
            <w:tcW w:w="6521" w:type="dxa"/>
            <w:shd w:val="clear" w:color="auto" w:fill="auto"/>
            <w:vAlign w:val="center"/>
          </w:tcPr>
          <w:p w14:paraId="1B2B4CF2" w14:textId="2142ECD9" w:rsidR="007E38D9" w:rsidRPr="007F1600" w:rsidRDefault="00624DDD" w:rsidP="00B3550A">
            <m:oMathPara>
              <m:oMathParaPr>
                <m:jc m:val="left"/>
              </m:oMathParaPr>
              <m:oMath>
                <m:sSub>
                  <m:sSubPr>
                    <m:ctrlPr>
                      <w:rPr>
                        <w:rFonts w:ascii="Cambria Math" w:hAnsi="Cambria Math"/>
                        <w:i/>
                      </w:rPr>
                    </m:ctrlPr>
                  </m:sSubPr>
                  <m:e>
                    <m:r>
                      <w:rPr>
                        <w:rFonts w:ascii="Cambria Math" w:hAnsi="Cambria Math"/>
                      </w:rPr>
                      <m:t>loc</m:t>
                    </m:r>
                  </m:e>
                  <m:sub>
                    <m:r>
                      <w:rPr>
                        <w:rFonts w:ascii="Cambria Math" w:hAnsi="Cambria Math"/>
                      </w:rPr>
                      <m:t>matrix</m:t>
                    </m:r>
                  </m:sub>
                </m:sSub>
                <m:r>
                  <w:rPr>
                    <w:rFonts w:ascii="Cambria Math" w:hAnsi="Cambria Math"/>
                  </w:rPr>
                  <m:t>=</m:t>
                </m:r>
                <m:m>
                  <m:mPr>
                    <m:mcs>
                      <m:mc>
                        <m:mcPr>
                          <m:count m:val="2"/>
                          <m:mcJc m:val="center"/>
                        </m:mcPr>
                      </m:mc>
                    </m:mcs>
                    <m:ctrlPr>
                      <w:rPr>
                        <w:rFonts w:ascii="Cambria Math" w:hAnsi="Cambria Math"/>
                        <w:i/>
                      </w:rPr>
                    </m:ctrlPr>
                  </m:mPr>
                  <m:mr>
                    <m:e>
                      <m:r>
                        <w:rPr>
                          <w:rFonts w:ascii="Cambria Math" w:hAnsi="Cambria Math"/>
                        </w:rPr>
                        <m:t xml:space="preserve"> </m:t>
                      </m:r>
                    </m:e>
                    <m:e>
                      <m:m>
                        <m:mPr>
                          <m:mcs>
                            <m:mc>
                              <m:mcPr>
                                <m:count m:val="3"/>
                                <m:mcJc m:val="center"/>
                              </m:mcPr>
                            </m:mc>
                          </m:mcs>
                          <m:ctrlPr>
                            <w:rPr>
                              <w:rFonts w:ascii="Cambria Math" w:hAnsi="Cambria Math"/>
                              <w:i/>
                            </w:rPr>
                          </m:ctrlPr>
                        </m:mPr>
                        <m:mr>
                          <m:e>
                            <m:r>
                              <w:rPr>
                                <w:rFonts w:ascii="Cambria Math" w:hAnsi="Cambria Math"/>
                              </w:rPr>
                              <m:t>M</m:t>
                            </m:r>
                          </m:e>
                          <m:e>
                            <m:r>
                              <w:rPr>
                                <w:rFonts w:ascii="Cambria Math" w:hAnsi="Cambria Math"/>
                              </w:rPr>
                              <m:t>C</m:t>
                            </m:r>
                          </m:e>
                          <m:e>
                            <m:r>
                              <w:rPr>
                                <w:rFonts w:ascii="Cambria Math" w:hAnsi="Cambria Math"/>
                              </w:rPr>
                              <m:t>P</m:t>
                            </m:r>
                          </m:e>
                        </m:mr>
                      </m:m>
                    </m:e>
                  </m:mr>
                  <m:mr>
                    <m:e>
                      <m:m>
                        <m:mPr>
                          <m:mcs>
                            <m:mc>
                              <m:mcPr>
                                <m:count m:val="1"/>
                                <m:mcJc m:val="center"/>
                              </m:mcPr>
                            </m:mc>
                          </m:mcs>
                          <m:ctrlPr>
                            <w:rPr>
                              <w:rFonts w:ascii="Cambria Math" w:hAnsi="Cambria Math"/>
                              <w:i/>
                            </w:rPr>
                          </m:ctrlPr>
                        </m:mPr>
                        <m:mr>
                          <m:e>
                            <m:r>
                              <w:rPr>
                                <w:rFonts w:ascii="Cambria Math" w:hAnsi="Cambria Math"/>
                              </w:rPr>
                              <m:t>M</m:t>
                            </m:r>
                          </m:e>
                        </m:mr>
                        <m:mr>
                          <m:e>
                            <m:r>
                              <w:rPr>
                                <w:rFonts w:ascii="Cambria Math" w:hAnsi="Cambria Math"/>
                              </w:rPr>
                              <m:t>C</m:t>
                            </m:r>
                          </m:e>
                        </m:mr>
                        <m:mr>
                          <m:e>
                            <m:r>
                              <w:rPr>
                                <w:rFonts w:ascii="Cambria Math" w:hAnsi="Cambria Math"/>
                              </w:rPr>
                              <m:t>P</m:t>
                            </m:r>
                          </m:e>
                        </m:mr>
                      </m:m>
                    </m:e>
                    <m:e>
                      <m:d>
                        <m:dPr>
                          <m:ctrlPr>
                            <w:rPr>
                              <w:rFonts w:ascii="Cambria Math" w:hAnsi="Cambria Math"/>
                              <w:i/>
                            </w:rPr>
                          </m:ctrlPr>
                        </m:dPr>
                        <m:e>
                          <m:m>
                            <m:mPr>
                              <m:mcs>
                                <m:mc>
                                  <m:mcPr>
                                    <m:count m:val="1"/>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
                              </m:e>
                            </m:mr>
                            <m:m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
                              </m:e>
                            </m:mr>
                            <m:m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
                              </m:e>
                            </m:mr>
                          </m:m>
                        </m:e>
                      </m:d>
                    </m:e>
                  </m:mr>
                </m:m>
                <m:r>
                  <w:rPr>
                    <w:rFonts w:ascii="Cambria Math" w:hAnsi="Cambria Math"/>
                  </w:rPr>
                  <m:t xml:space="preserve">    </m:t>
                </m:r>
                <m:sSub>
                  <m:sSubPr>
                    <m:ctrlPr>
                      <w:rPr>
                        <w:rFonts w:ascii="Cambria Math" w:hAnsi="Cambria Math"/>
                        <w:i/>
                      </w:rPr>
                    </m:ctrlPr>
                  </m:sSubPr>
                  <m:e>
                    <m:r>
                      <w:rPr>
                        <w:rFonts w:ascii="Cambria Math" w:hAnsi="Cambria Math"/>
                      </w:rPr>
                      <m:t xml:space="preserve"> </m:t>
                    </m:r>
                  </m:e>
                  <m:sub>
                    <m:r>
                      <w:rPr>
                        <w:rFonts w:ascii="Cambria Math" w:hAnsi="Cambria Math"/>
                      </w:rPr>
                      <m:t xml:space="preserve">             M=Mejillones,    C=Cabo Negro,    P=Port Arthur</m:t>
                    </m:r>
                  </m:sub>
                </m:sSub>
              </m:oMath>
            </m:oMathPara>
          </w:p>
        </w:tc>
        <w:tc>
          <w:tcPr>
            <w:tcW w:w="567" w:type="dxa"/>
            <w:shd w:val="clear" w:color="auto" w:fill="auto"/>
            <w:vAlign w:val="center"/>
          </w:tcPr>
          <w:p w14:paraId="67339F87" w14:textId="7E44123B" w:rsidR="007E38D9" w:rsidRPr="00A94774" w:rsidRDefault="007E38D9" w:rsidP="00872DF5">
            <w:pPr>
              <w:pStyle w:val="Els-body-text"/>
              <w:spacing w:before="120" w:after="120" w:line="264" w:lineRule="auto"/>
              <w:jc w:val="right"/>
              <w:rPr>
                <w:lang w:val="en-GB"/>
              </w:rPr>
            </w:pPr>
            <w:r>
              <w:rPr>
                <w:lang w:val="en-GB"/>
              </w:rPr>
              <w:t>(</w:t>
            </w:r>
            <w:r w:rsidR="00FD7307">
              <w:rPr>
                <w:lang w:val="en-GB"/>
              </w:rPr>
              <w:t>8</w:t>
            </w:r>
            <w:r w:rsidRPr="00A94774">
              <w:rPr>
                <w:lang w:val="en-GB"/>
              </w:rPr>
              <w:t>)</w:t>
            </w:r>
          </w:p>
        </w:tc>
      </w:tr>
    </w:tbl>
    <w:p w14:paraId="1AA8D3E7" w14:textId="6D2CDA80" w:rsidR="00312B7A" w:rsidRDefault="00312B7A" w:rsidP="00FF0FC1">
      <w:pPr>
        <w:pStyle w:val="Els-body-text"/>
      </w:pPr>
    </w:p>
    <w:p w14:paraId="144DE6A1" w14:textId="3ECD7D09" w:rsidR="008D2649" w:rsidRPr="00A94774" w:rsidRDefault="00FF0FC1" w:rsidP="008D2649">
      <w:pPr>
        <w:pStyle w:val="Els-1storder-head"/>
        <w:spacing w:after="120"/>
        <w:rPr>
          <w:lang w:val="en-GB"/>
        </w:rPr>
      </w:pPr>
      <w:r>
        <w:rPr>
          <w:lang w:val="en-GB"/>
        </w:rPr>
        <w:t>Results</w:t>
      </w:r>
    </w:p>
    <w:p w14:paraId="27481D73" w14:textId="36F5B51D" w:rsidR="0065781C" w:rsidRDefault="00FF0FC1" w:rsidP="0065781C">
      <w:pPr>
        <w:pStyle w:val="Els-body-text"/>
        <w:rPr>
          <w:lang w:val="en-GB"/>
        </w:rPr>
      </w:pPr>
      <w:r w:rsidRPr="00FF0FC1">
        <w:rPr>
          <w:lang w:val="en-GB"/>
        </w:rPr>
        <w:t xml:space="preserve">The main outcomes </w:t>
      </w:r>
      <w:r w:rsidR="00BA2781">
        <w:rPr>
          <w:lang w:val="en-GB"/>
        </w:rPr>
        <w:t xml:space="preserve">of this study </w:t>
      </w:r>
      <w:r w:rsidRPr="00FF0FC1">
        <w:rPr>
          <w:lang w:val="en-GB"/>
        </w:rPr>
        <w:t>are Pareto fronts, which highlight the increasing production costs due to reduced design flexibility for different extents of standardization across the various locations</w:t>
      </w:r>
      <w:r w:rsidR="00A63070">
        <w:rPr>
          <w:lang w:val="en-GB"/>
        </w:rPr>
        <w:t xml:space="preserve"> for a </w:t>
      </w:r>
      <w:r w:rsidR="00472ED7">
        <w:rPr>
          <w:lang w:val="en-GB"/>
        </w:rPr>
        <w:t>cost scenari</w:t>
      </w:r>
      <w:r w:rsidR="00A63070">
        <w:rPr>
          <w:lang w:val="en-GB"/>
        </w:rPr>
        <w:t>o with a reference year of 2018</w:t>
      </w:r>
      <w:r w:rsidRPr="00FF0FC1">
        <w:rPr>
          <w:lang w:val="en-GB"/>
        </w:rPr>
        <w:t xml:space="preserve">. </w:t>
      </w:r>
      <w:r w:rsidR="00870209">
        <w:rPr>
          <w:lang w:val="en-GB"/>
        </w:rPr>
        <w:t>An example Pareto front</w:t>
      </w:r>
      <w:r w:rsidRPr="00FF0FC1">
        <w:rPr>
          <w:lang w:val="en-GB"/>
        </w:rPr>
        <w:t xml:space="preserve"> for a</w:t>
      </w:r>
      <w:r w:rsidR="005B39A0">
        <w:rPr>
          <w:lang w:val="en-GB"/>
        </w:rPr>
        <w:t>n aggregated</w:t>
      </w:r>
      <w:r w:rsidR="00870209">
        <w:rPr>
          <w:lang w:val="en-GB"/>
        </w:rPr>
        <w:t xml:space="preserve"> time-series using five</w:t>
      </w:r>
      <w:r w:rsidRPr="00FF0FC1">
        <w:rPr>
          <w:lang w:val="en-GB"/>
        </w:rPr>
        <w:t xml:space="preserve"> typical days </w:t>
      </w:r>
      <w:proofErr w:type="gramStart"/>
      <w:r w:rsidR="00870209">
        <w:rPr>
          <w:lang w:val="en-GB"/>
        </w:rPr>
        <w:t>is shown</w:t>
      </w:r>
      <w:proofErr w:type="gramEnd"/>
      <w:r w:rsidRPr="00FF0FC1">
        <w:rPr>
          <w:lang w:val="en-GB"/>
        </w:rPr>
        <w:t xml:space="preserve"> in Figure 2. Here one can see the production-cost difference between a specific design for each location and a standard design for all locations (including the intermediate design solutions in-between). </w:t>
      </w:r>
    </w:p>
    <w:p w14:paraId="1EF6A199" w14:textId="77777777" w:rsidR="0065781C" w:rsidRDefault="0065781C" w:rsidP="0065781C">
      <w:pPr>
        <w:pStyle w:val="Els-body-text"/>
        <w:rPr>
          <w:lang w:val="en-GB"/>
        </w:rPr>
      </w:pPr>
    </w:p>
    <w:p w14:paraId="05ECEC2B" w14:textId="10DE422A" w:rsidR="00720A47" w:rsidRDefault="00FF0FC1" w:rsidP="008D2649">
      <w:pPr>
        <w:pStyle w:val="Els-body-text"/>
        <w:rPr>
          <w:lang w:val="en-GB"/>
        </w:rPr>
      </w:pPr>
      <w:r w:rsidRPr="00FF0FC1">
        <w:rPr>
          <w:lang w:val="en-GB"/>
        </w:rPr>
        <w:t>The relatively big increase in costs towards the fully standardized design is due to the standardization of the PEM electrolyzer size</w:t>
      </w:r>
      <w:r w:rsidR="00651D93">
        <w:rPr>
          <w:lang w:val="en-GB"/>
        </w:rPr>
        <w:t xml:space="preserve"> (Figure 3</w:t>
      </w:r>
      <w:r w:rsidR="005B39A0">
        <w:rPr>
          <w:lang w:val="en-GB"/>
        </w:rPr>
        <w:t>)</w:t>
      </w:r>
      <w:r w:rsidRPr="00FF0FC1">
        <w:rPr>
          <w:lang w:val="en-GB"/>
        </w:rPr>
        <w:t xml:space="preserve">, which adjusts the installed capacity according to the solar-dominant location, where the electrolyzer needs to be oversized to allow for storage of hydrogen during the night. </w:t>
      </w:r>
      <w:r w:rsidR="0065781C" w:rsidRPr="00FF0FC1">
        <w:rPr>
          <w:lang w:val="en-GB"/>
        </w:rPr>
        <w:t>This installed capacity is then imposed on the locations with stronger wind-energy condition</w:t>
      </w:r>
      <w:r w:rsidR="005B39A0">
        <w:rPr>
          <w:lang w:val="en-GB"/>
        </w:rPr>
        <w:t>s, where such electrolyzer over</w:t>
      </w:r>
      <w:r w:rsidR="0065781C" w:rsidRPr="00FF0FC1">
        <w:rPr>
          <w:lang w:val="en-GB"/>
        </w:rPr>
        <w:t xml:space="preserve">capacity </w:t>
      </w:r>
      <w:proofErr w:type="gramStart"/>
      <w:r w:rsidR="0065781C" w:rsidRPr="00FF0FC1">
        <w:rPr>
          <w:lang w:val="en-GB"/>
        </w:rPr>
        <w:t>is not needed</w:t>
      </w:r>
      <w:proofErr w:type="gramEnd"/>
      <w:r w:rsidR="0065781C" w:rsidRPr="00FF0FC1">
        <w:rPr>
          <w:lang w:val="en-GB"/>
        </w:rPr>
        <w:t>, leading to an increase of production costs.</w:t>
      </w:r>
    </w:p>
    <w:p w14:paraId="399CECE5" w14:textId="77777777" w:rsidR="004E601B" w:rsidRDefault="004E601B" w:rsidP="008D2649">
      <w:pPr>
        <w:pStyle w:val="Els-body-text"/>
        <w:rPr>
          <w:lang w:val="en-GB"/>
        </w:rPr>
      </w:pPr>
    </w:p>
    <w:p w14:paraId="5611F065" w14:textId="05863844" w:rsidR="0065781C" w:rsidRPr="004E601B" w:rsidRDefault="00A63070" w:rsidP="004E601B">
      <w:pPr>
        <w:pStyle w:val="Els-body-text"/>
        <w:jc w:val="center"/>
        <w:rPr>
          <w:lang w:val="en-GB"/>
        </w:rPr>
      </w:pPr>
      <w:r>
        <w:rPr>
          <w:lang w:val="en-GB"/>
        </w:rPr>
        <w:pict w14:anchorId="33C086D3">
          <v:shape id="_x0000_i1026" type="#_x0000_t75" style="width:303.55pt;height:157.05pt">
            <v:imagedata r:id="rId9" o:title="fig_pareto" croptop="3854f" cropbottom="879f" cropright="139f"/>
          </v:shape>
        </w:pict>
      </w:r>
    </w:p>
    <w:p w14:paraId="09402F88" w14:textId="286F16E8" w:rsidR="0065781C" w:rsidRPr="00866C32" w:rsidRDefault="0065781C" w:rsidP="0065781C">
      <w:pPr>
        <w:pStyle w:val="Caption"/>
        <w:jc w:val="both"/>
      </w:pPr>
      <w:r>
        <w:t xml:space="preserve">Figure </w:t>
      </w:r>
      <w:r>
        <w:fldChar w:fldCharType="begin"/>
      </w:r>
      <w:r>
        <w:instrText xml:space="preserve"> SEQ Figure \* ARABIC </w:instrText>
      </w:r>
      <w:r>
        <w:fldChar w:fldCharType="separate"/>
      </w:r>
      <w:r>
        <w:rPr>
          <w:noProof/>
        </w:rPr>
        <w:t>2</w:t>
      </w:r>
      <w:r>
        <w:fldChar w:fldCharType="end"/>
      </w:r>
      <w:r>
        <w:t xml:space="preserve"> Pareto front of the average LCOMeOH in the three design locations and the total number of standardized processes design pairs</w:t>
      </w:r>
      <w:r w:rsidR="00833811">
        <w:t xml:space="preserve"> (N</w:t>
      </w:r>
      <w:r w:rsidR="00833811" w:rsidRPr="00833811">
        <w:rPr>
          <w:vertAlign w:val="subscript"/>
        </w:rPr>
        <w:t>common</w:t>
      </w:r>
      <w:r w:rsidR="00833811">
        <w:t>)</w:t>
      </w:r>
      <w:r>
        <w:t xml:space="preserve"> as the measure for the extent of standardization for renewable resource profiles aggregated with five typical days.</w:t>
      </w:r>
    </w:p>
    <w:p w14:paraId="51078D6D" w14:textId="19123165" w:rsidR="0065781C" w:rsidRDefault="00A63070" w:rsidP="00F10419">
      <w:pPr>
        <w:keepNext/>
        <w:jc w:val="center"/>
      </w:pPr>
      <w:r>
        <w:rPr>
          <w:noProof/>
          <w:lang w:eastAsia="en-GB"/>
        </w:rPr>
        <w:lastRenderedPageBreak/>
        <w:pict w14:anchorId="12763E79">
          <v:shape id="_x0000_i1027" type="#_x0000_t75" style="width:354pt;height:196.95pt">
            <v:imagedata r:id="rId10" o:title="fig_designs_big"/>
          </v:shape>
        </w:pict>
      </w:r>
    </w:p>
    <w:p w14:paraId="471966ED" w14:textId="3E63327A" w:rsidR="0065781C" w:rsidRDefault="0065781C" w:rsidP="0065781C">
      <w:pPr>
        <w:pStyle w:val="Caption"/>
        <w:jc w:val="both"/>
      </w:pPr>
      <w:r>
        <w:t xml:space="preserve">Figure </w:t>
      </w:r>
      <w:r>
        <w:fldChar w:fldCharType="begin"/>
      </w:r>
      <w:r>
        <w:instrText xml:space="preserve"> SEQ Figure \* ARABIC </w:instrText>
      </w:r>
      <w:r>
        <w:fldChar w:fldCharType="separate"/>
      </w:r>
      <w:r>
        <w:rPr>
          <w:noProof/>
        </w:rPr>
        <w:t>3</w:t>
      </w:r>
      <w:r>
        <w:fldChar w:fldCharType="end"/>
      </w:r>
      <w:r>
        <w:t xml:space="preserve"> Selection of particular designs from the Pareto-front showing the installed process capacities of the identified designs with different levels of standardization; N</w:t>
      </w:r>
      <w:r w:rsidRPr="005622B4">
        <w:rPr>
          <w:vertAlign w:val="subscript"/>
        </w:rPr>
        <w:t>common</w:t>
      </w:r>
      <w:r>
        <w:t xml:space="preserve"> equal to 0 (bottom) suggests that no standardization is imposed (i.e. fully specific designs), N</w:t>
      </w:r>
      <w:r w:rsidRPr="005622B4">
        <w:rPr>
          <w:vertAlign w:val="subscript"/>
        </w:rPr>
        <w:t>common</w:t>
      </w:r>
      <w:r>
        <w:t xml:space="preserve"> equal to 75 (top), which is the maximum possible for our instance of the model, represents a fully standardized design deployed in all 3 locations, N</w:t>
      </w:r>
      <w:r w:rsidRPr="005622B4">
        <w:rPr>
          <w:vertAlign w:val="subscript"/>
        </w:rPr>
        <w:t>common</w:t>
      </w:r>
      <w:r>
        <w:t xml:space="preserve"> equal to 71 (middle) is a possible intermediate solution with the only the PEM electrolyzer being designed specifically. </w:t>
      </w:r>
    </w:p>
    <w:p w14:paraId="144DE6A5" w14:textId="3C6B5A43" w:rsidR="008D2649" w:rsidRPr="00A94774" w:rsidRDefault="00FF0FC1" w:rsidP="008D2649">
      <w:pPr>
        <w:pStyle w:val="Els-1storder-head"/>
        <w:spacing w:after="120"/>
        <w:rPr>
          <w:lang w:val="en-GB"/>
        </w:rPr>
      </w:pPr>
      <w:r>
        <w:rPr>
          <w:lang w:val="en-GB"/>
        </w:rPr>
        <w:t>Conclusions</w:t>
      </w:r>
    </w:p>
    <w:p w14:paraId="3818A41D" w14:textId="375B5349" w:rsidR="002415DB" w:rsidRPr="002415DB" w:rsidRDefault="00FF0FC1" w:rsidP="002415DB">
      <w:pPr>
        <w:pStyle w:val="Els-body-text"/>
        <w:spacing w:after="120"/>
        <w:rPr>
          <w:lang w:val="en-GB"/>
        </w:rPr>
      </w:pPr>
      <w:r w:rsidRPr="00FF0FC1">
        <w:rPr>
          <w:lang w:val="en-GB"/>
        </w:rPr>
        <w:t xml:space="preserve">The preliminary results, with simplified renewable resource profiles, suggest that most of the processes can be standardized across the locations at a relatively little increase in costs </w:t>
      </w:r>
      <w:r w:rsidRPr="00805150">
        <w:rPr>
          <w:lang w:val="en-GB"/>
        </w:rPr>
        <w:t>(</w:t>
      </w:r>
      <w:r w:rsidR="00805150">
        <w:rPr>
          <w:lang w:val="en-GB"/>
        </w:rPr>
        <w:t>2.9</w:t>
      </w:r>
      <w:r w:rsidRPr="00805150">
        <w:rPr>
          <w:lang w:val="en-GB"/>
        </w:rPr>
        <w:t>%). Standardization of the installed capacities of the PEM electrolyzer is responsible for the majority of the cost-increases relative to the specific designs (</w:t>
      </w:r>
      <w:r w:rsidR="009467F2">
        <w:rPr>
          <w:lang w:val="en-GB"/>
        </w:rPr>
        <w:t>8.4</w:t>
      </w:r>
      <w:r w:rsidRPr="00805150">
        <w:rPr>
          <w:lang w:val="en-GB"/>
        </w:rPr>
        <w:t xml:space="preserve">%, with the total increase of fully standard vs. specific designs being </w:t>
      </w:r>
      <w:r w:rsidR="009467F2">
        <w:rPr>
          <w:lang w:val="en-GB"/>
        </w:rPr>
        <w:t>11.3</w:t>
      </w:r>
      <w:r w:rsidRPr="00805150">
        <w:rPr>
          <w:lang w:val="en-GB"/>
        </w:rPr>
        <w:t xml:space="preserve">%), </w:t>
      </w:r>
      <w:r w:rsidRPr="00FF0FC1">
        <w:rPr>
          <w:lang w:val="en-GB"/>
        </w:rPr>
        <w:t xml:space="preserve">making it a prime candidate process to be designed specifically for each location with the rest of the plant being standardized. </w:t>
      </w:r>
      <w:r w:rsidR="007D6C5C">
        <w:rPr>
          <w:lang w:val="en-GB"/>
        </w:rPr>
        <w:t>Nonetheless</w:t>
      </w:r>
      <w:r w:rsidRPr="00FF0FC1">
        <w:rPr>
          <w:lang w:val="en-GB"/>
        </w:rPr>
        <w:t>, further investigation</w:t>
      </w:r>
      <w:r w:rsidR="00805150">
        <w:rPr>
          <w:lang w:val="en-GB"/>
        </w:rPr>
        <w:t xml:space="preserve"> </w:t>
      </w:r>
      <w:proofErr w:type="gramStart"/>
      <w:r w:rsidR="00805150">
        <w:rPr>
          <w:lang w:val="en-GB"/>
        </w:rPr>
        <w:t>is needed</w:t>
      </w:r>
      <w:proofErr w:type="gramEnd"/>
      <w:r w:rsidRPr="00FF0FC1">
        <w:rPr>
          <w:lang w:val="en-GB"/>
        </w:rPr>
        <w:t xml:space="preserve"> with more detailed renewable resource profiles</w:t>
      </w:r>
      <w:r w:rsidR="006835EF">
        <w:rPr>
          <w:lang w:val="en-GB"/>
        </w:rPr>
        <w:t xml:space="preserve"> </w:t>
      </w:r>
      <w:r w:rsidR="004E601B">
        <w:rPr>
          <w:lang w:val="en-GB"/>
        </w:rPr>
        <w:t>for representative plant</w:t>
      </w:r>
      <w:r w:rsidR="006835EF">
        <w:rPr>
          <w:lang w:val="en-GB"/>
        </w:rPr>
        <w:t xml:space="preserve"> locations</w:t>
      </w:r>
      <w:r w:rsidR="004E601B">
        <w:rPr>
          <w:lang w:val="en-GB"/>
        </w:rPr>
        <w:t xml:space="preserve"> selected according to actual market potential</w:t>
      </w:r>
      <w:r w:rsidR="009467F2">
        <w:rPr>
          <w:lang w:val="en-GB"/>
        </w:rPr>
        <w:t>. Additionally,</w:t>
      </w:r>
      <w:r w:rsidR="00092333">
        <w:rPr>
          <w:lang w:val="en-GB"/>
        </w:rPr>
        <w:t xml:space="preserve"> the</w:t>
      </w:r>
      <w:r w:rsidR="00805150">
        <w:rPr>
          <w:lang w:val="en-GB"/>
        </w:rPr>
        <w:t xml:space="preserve"> cost-reduction</w:t>
      </w:r>
      <w:r w:rsidR="009467F2">
        <w:rPr>
          <w:lang w:val="en-GB"/>
        </w:rPr>
        <w:t>s achievable</w:t>
      </w:r>
      <w:r w:rsidR="00805150">
        <w:rPr>
          <w:lang w:val="en-GB"/>
        </w:rPr>
        <w:t xml:space="preserve"> by a more streamlined deployment</w:t>
      </w:r>
      <w:r w:rsidR="007D6C5C">
        <w:rPr>
          <w:lang w:val="en-GB"/>
        </w:rPr>
        <w:t xml:space="preserve"> of</w:t>
      </w:r>
      <w:r w:rsidR="009467F2">
        <w:rPr>
          <w:lang w:val="en-GB"/>
        </w:rPr>
        <w:t xml:space="preserve"> standardized plant</w:t>
      </w:r>
      <w:r w:rsidR="007D6C5C">
        <w:rPr>
          <w:lang w:val="en-GB"/>
        </w:rPr>
        <w:t>s</w:t>
      </w:r>
      <w:r w:rsidR="009467F2">
        <w:rPr>
          <w:lang w:val="en-GB"/>
        </w:rPr>
        <w:t xml:space="preserve">, which could offset the identified cost-increases, need to </w:t>
      </w:r>
      <w:proofErr w:type="gramStart"/>
      <w:r w:rsidR="009467F2">
        <w:rPr>
          <w:lang w:val="en-GB"/>
        </w:rPr>
        <w:t>be evaluated</w:t>
      </w:r>
      <w:proofErr w:type="gramEnd"/>
      <w:r w:rsidR="009467F2">
        <w:rPr>
          <w:lang w:val="en-GB"/>
        </w:rPr>
        <w:t xml:space="preserve"> </w:t>
      </w:r>
      <w:r w:rsidR="00E34141">
        <w:rPr>
          <w:lang w:val="en-GB"/>
        </w:rPr>
        <w:t>including</w:t>
      </w:r>
      <w:r w:rsidR="009467F2">
        <w:rPr>
          <w:lang w:val="en-GB"/>
        </w:rPr>
        <w:t xml:space="preserve"> a</w:t>
      </w:r>
      <w:r w:rsidR="00DD2920">
        <w:rPr>
          <w:lang w:val="en-GB"/>
        </w:rPr>
        <w:t xml:space="preserve"> more</w:t>
      </w:r>
      <w:r w:rsidR="009467F2">
        <w:rPr>
          <w:lang w:val="en-GB"/>
        </w:rPr>
        <w:t xml:space="preserve"> detailed look at the</w:t>
      </w:r>
      <w:r w:rsidR="0007255D">
        <w:rPr>
          <w:lang w:val="en-GB"/>
        </w:rPr>
        <w:t xml:space="preserve"> intermediate </w:t>
      </w:r>
      <w:r w:rsidR="00086D88">
        <w:rPr>
          <w:lang w:val="en-GB"/>
        </w:rPr>
        <w:t>solutions</w:t>
      </w:r>
      <w:r w:rsidR="0007255D">
        <w:rPr>
          <w:lang w:val="en-GB"/>
        </w:rPr>
        <w:t xml:space="preserve"> on</w:t>
      </w:r>
      <w:r w:rsidR="00023B41">
        <w:rPr>
          <w:lang w:val="en-GB"/>
        </w:rPr>
        <w:t xml:space="preserve"> the </w:t>
      </w:r>
      <w:r w:rsidR="0007255D">
        <w:rPr>
          <w:lang w:val="en-GB"/>
        </w:rPr>
        <w:t>specific/standard design</w:t>
      </w:r>
      <w:r w:rsidR="00023B41">
        <w:rPr>
          <w:lang w:val="en-GB"/>
        </w:rPr>
        <w:t xml:space="preserve"> spectrum.</w:t>
      </w:r>
    </w:p>
    <w:p w14:paraId="144DE6AE" w14:textId="31878C28" w:rsidR="008D2649" w:rsidRDefault="00FF0FC1" w:rsidP="00FF0FC1">
      <w:pPr>
        <w:pStyle w:val="Els-1storder-head"/>
        <w:numPr>
          <w:ilvl w:val="0"/>
          <w:numId w:val="0"/>
        </w:numPr>
        <w:spacing w:after="120"/>
        <w:rPr>
          <w:lang w:val="en-GB"/>
        </w:rPr>
      </w:pPr>
      <w:r>
        <w:rPr>
          <w:lang w:val="en-GB"/>
        </w:rPr>
        <w:t>Acknowledgement</w:t>
      </w:r>
    </w:p>
    <w:p w14:paraId="3C5E5F95" w14:textId="65947AA8" w:rsidR="00FF0FC1" w:rsidRPr="00FF0FC1" w:rsidRDefault="00FF0FC1" w:rsidP="00FF0FC1">
      <w:pPr>
        <w:pStyle w:val="Els-body-text"/>
        <w:rPr>
          <w:lang w:val="en-GB"/>
        </w:rPr>
      </w:pPr>
      <w:r w:rsidRPr="00FF0FC1">
        <w:rPr>
          <w:lang w:val="en-GB"/>
        </w:rPr>
        <w:t>This work is part of the research initiative “SmartProSys: Intel</w:t>
      </w:r>
      <w:r>
        <w:rPr>
          <w:lang w:val="en-GB"/>
        </w:rPr>
        <w:t xml:space="preserve">ligent Process Systems for the </w:t>
      </w:r>
      <w:r w:rsidRPr="00FF0FC1">
        <w:rPr>
          <w:lang w:val="en-GB"/>
        </w:rPr>
        <w:t>Sustainable Production of Chemicals” funded by the Ministry for Science, Energy, Climate Protection and the Environment of the State of Saxony-Anhalt.</w:t>
      </w:r>
    </w:p>
    <w:p w14:paraId="0D5875EE" w14:textId="77777777" w:rsidR="002415DB" w:rsidRDefault="002415DB">
      <w:pPr>
        <w:rPr>
          <w:b/>
          <w:sz w:val="22"/>
          <w:szCs w:val="22"/>
          <w:lang w:val="en-US"/>
        </w:rPr>
      </w:pPr>
      <w:r>
        <w:br w:type="page"/>
      </w:r>
    </w:p>
    <w:p w14:paraId="144DE6BF" w14:textId="3745D711" w:rsidR="008D2649" w:rsidRDefault="008D2649" w:rsidP="008D2649">
      <w:pPr>
        <w:pStyle w:val="Els-reference-head"/>
      </w:pPr>
      <w:r>
        <w:lastRenderedPageBreak/>
        <w:t>References</w:t>
      </w:r>
    </w:p>
    <w:p w14:paraId="14740448" w14:textId="0EE01BDF" w:rsidR="00FF0FC1" w:rsidRDefault="00FF0FC1" w:rsidP="00324E04">
      <w:pPr>
        <w:pStyle w:val="Els-referenceno-number"/>
        <w:ind w:left="0" w:firstLine="0"/>
        <w:rPr>
          <w:lang w:val="en-US"/>
        </w:rPr>
      </w:pPr>
      <w:r>
        <w:rPr>
          <w:lang w:val="en-US"/>
        </w:rPr>
        <w:t xml:space="preserve">M. </w:t>
      </w:r>
      <w:r w:rsidRPr="00FF0FC1">
        <w:rPr>
          <w:lang w:val="en-US"/>
        </w:rPr>
        <w:t>Ba</w:t>
      </w:r>
      <w:r>
        <w:rPr>
          <w:lang w:val="en-US"/>
        </w:rPr>
        <w:t>ldea</w:t>
      </w:r>
      <w:r w:rsidRPr="00FF0FC1">
        <w:rPr>
          <w:lang w:val="en-US"/>
        </w:rPr>
        <w:t xml:space="preserve">, </w:t>
      </w:r>
      <w:r>
        <w:rPr>
          <w:lang w:val="en-US"/>
        </w:rPr>
        <w:t xml:space="preserve">T.F. </w:t>
      </w:r>
      <w:r w:rsidRPr="00FF0FC1">
        <w:rPr>
          <w:lang w:val="en-US"/>
        </w:rPr>
        <w:t>Edgar,</w:t>
      </w:r>
      <w:r>
        <w:rPr>
          <w:lang w:val="en-US"/>
        </w:rPr>
        <w:t xml:space="preserve"> B.L.</w:t>
      </w:r>
      <w:r w:rsidRPr="00FF0FC1">
        <w:rPr>
          <w:lang w:val="en-US"/>
        </w:rPr>
        <w:t xml:space="preserve"> Stanley and </w:t>
      </w:r>
      <w:r>
        <w:rPr>
          <w:lang w:val="en-US"/>
        </w:rPr>
        <w:t xml:space="preserve">A.A. </w:t>
      </w:r>
      <w:r w:rsidRPr="00FF0FC1">
        <w:rPr>
          <w:lang w:val="en-US"/>
        </w:rPr>
        <w:t>Kiss,</w:t>
      </w:r>
      <w:r>
        <w:rPr>
          <w:lang w:val="en-US"/>
        </w:rPr>
        <w:t xml:space="preserve"> 2017</w:t>
      </w:r>
      <w:r w:rsidRPr="00FF0FC1">
        <w:rPr>
          <w:lang w:val="en-US"/>
        </w:rPr>
        <w:t>, Modular manufacturing processes: Status, challenges, and opportunities. AIChE J., 63, 4262-4272, https://doi.org/10.1002/aic.15872</w:t>
      </w:r>
    </w:p>
    <w:p w14:paraId="4699FC79" w14:textId="632708B2" w:rsidR="00EF6C05" w:rsidRDefault="00EF6C05" w:rsidP="00324E04">
      <w:pPr>
        <w:pStyle w:val="Els-referenceno-number"/>
        <w:ind w:left="0" w:firstLine="0"/>
        <w:rPr>
          <w:lang w:val="en-US"/>
        </w:rPr>
      </w:pPr>
    </w:p>
    <w:p w14:paraId="6B8589ED" w14:textId="125A5D55" w:rsidR="00EF6C05" w:rsidRDefault="00EF6C05" w:rsidP="00324E04">
      <w:pPr>
        <w:pStyle w:val="Els-referenceno-number"/>
        <w:ind w:left="0" w:firstLine="0"/>
        <w:rPr>
          <w:lang w:val="en-US"/>
        </w:rPr>
      </w:pPr>
      <w:r>
        <w:rPr>
          <w:lang w:val="en-US"/>
        </w:rPr>
        <w:t xml:space="preserve">L. Kotzur, P. Markewitz, M. Robinius and D. Stolten, 2018, </w:t>
      </w:r>
      <w:r w:rsidRPr="00EF6C05">
        <w:rPr>
          <w:lang w:val="en-US"/>
        </w:rPr>
        <w:t>Time series aggregation for energy system design: Modeling seasonal storage</w:t>
      </w:r>
      <w:r>
        <w:rPr>
          <w:lang w:val="en-US"/>
        </w:rPr>
        <w:t xml:space="preserve">, Applied Energy, 326, 123-135, </w:t>
      </w:r>
      <w:r w:rsidRPr="00EF6C05">
        <w:rPr>
          <w:lang w:val="en-US"/>
        </w:rPr>
        <w:t>https://doi.org/10.1016/j.apenergy.2018.01.023.</w:t>
      </w:r>
    </w:p>
    <w:p w14:paraId="43B1484F" w14:textId="77777777" w:rsidR="00324E04" w:rsidRPr="00FF0FC1" w:rsidRDefault="00324E04" w:rsidP="00324E04">
      <w:pPr>
        <w:pStyle w:val="Els-referenceno-number"/>
        <w:ind w:left="0" w:firstLine="0"/>
        <w:rPr>
          <w:lang w:val="en-US"/>
        </w:rPr>
      </w:pPr>
    </w:p>
    <w:p w14:paraId="41D4FD8C" w14:textId="0935966C" w:rsidR="00FF0FC1" w:rsidRPr="00FF0FC1" w:rsidRDefault="00FF0FC1" w:rsidP="00FF0FC1">
      <w:pPr>
        <w:pStyle w:val="Els-referenceno-number"/>
        <w:ind w:left="0" w:firstLine="0"/>
        <w:rPr>
          <w:lang w:val="en-US"/>
        </w:rPr>
      </w:pPr>
      <w:r>
        <w:rPr>
          <w:lang w:val="en-US"/>
        </w:rPr>
        <w:t>S.S. Tabibian</w:t>
      </w:r>
      <w:r w:rsidRPr="00FF0FC1">
        <w:rPr>
          <w:lang w:val="en-US"/>
        </w:rPr>
        <w:t xml:space="preserve"> and </w:t>
      </w:r>
      <w:r>
        <w:rPr>
          <w:lang w:val="en-US"/>
        </w:rPr>
        <w:t>M. Sharifzadeh, 2023</w:t>
      </w:r>
      <w:r w:rsidRPr="00FF0FC1">
        <w:rPr>
          <w:lang w:val="en-US"/>
        </w:rPr>
        <w:t>, Statistical and analytical investigation of methanol applications, production technologies, value-chain and economy with a special focus on renewable methanol, Renewable and</w:t>
      </w:r>
      <w:bookmarkStart w:id="0" w:name="_GoBack"/>
      <w:bookmarkEnd w:id="0"/>
      <w:r w:rsidRPr="00FF0FC1">
        <w:rPr>
          <w:lang w:val="en-US"/>
        </w:rPr>
        <w:t xml:space="preserve"> Sustainable Energy Reviews, 179, 113281, https://doi.org/10.1016/j.rser.2023.113281.</w:t>
      </w:r>
    </w:p>
    <w:p w14:paraId="230FB0F6" w14:textId="2DE140F1" w:rsidR="00FF0FC1" w:rsidRDefault="00FF0FC1" w:rsidP="00FF0FC1">
      <w:pPr>
        <w:pStyle w:val="Els-referenceno-number"/>
        <w:ind w:left="0" w:firstLine="0"/>
        <w:rPr>
          <w:lang w:val="en-US"/>
        </w:rPr>
      </w:pPr>
    </w:p>
    <w:p w14:paraId="358523AF" w14:textId="1F8E8437" w:rsidR="005840A3" w:rsidRDefault="005840A3" w:rsidP="00FF0FC1">
      <w:pPr>
        <w:pStyle w:val="Els-referenceno-number"/>
        <w:ind w:left="0" w:firstLine="0"/>
        <w:rPr>
          <w:lang w:val="en-US"/>
        </w:rPr>
      </w:pPr>
      <w:r>
        <w:rPr>
          <w:lang w:val="en-US"/>
        </w:rPr>
        <w:t xml:space="preserve">M. Sengupta, Y. Xie, A. Lopez, A. Habte, G. Maclaurin and J. Shelby, 2018, </w:t>
      </w:r>
      <w:r w:rsidRPr="005840A3">
        <w:rPr>
          <w:lang w:val="en-US"/>
        </w:rPr>
        <w:t>The National Solar Radiation Data Base (NSRDB)</w:t>
      </w:r>
      <w:r>
        <w:rPr>
          <w:lang w:val="en-US"/>
        </w:rPr>
        <w:t xml:space="preserve">, </w:t>
      </w:r>
      <w:r w:rsidRPr="005840A3">
        <w:rPr>
          <w:lang w:val="en-US"/>
        </w:rPr>
        <w:t>Renewable and Sustainable Energy Reviews</w:t>
      </w:r>
      <w:r>
        <w:rPr>
          <w:lang w:val="en-US"/>
        </w:rPr>
        <w:t xml:space="preserve">, 89, 51-60, </w:t>
      </w:r>
      <w:r w:rsidRPr="005840A3">
        <w:rPr>
          <w:lang w:val="en-US"/>
        </w:rPr>
        <w:t>https://doi.org/10.1016/j.rser.2018.03.003.</w:t>
      </w:r>
    </w:p>
    <w:p w14:paraId="32971525" w14:textId="39730035" w:rsidR="005840A3" w:rsidRDefault="005840A3" w:rsidP="00FF0FC1">
      <w:pPr>
        <w:pStyle w:val="Els-referenceno-number"/>
        <w:ind w:left="0" w:firstLine="0"/>
        <w:rPr>
          <w:lang w:val="en-US"/>
        </w:rPr>
      </w:pPr>
    </w:p>
    <w:p w14:paraId="0BDBBD03" w14:textId="6D124169" w:rsidR="005840A3" w:rsidRDefault="005840A3" w:rsidP="005840A3">
      <w:pPr>
        <w:pStyle w:val="Els-referenceno-number"/>
        <w:ind w:left="0" w:firstLine="0"/>
        <w:rPr>
          <w:lang w:val="en-US"/>
        </w:rPr>
      </w:pPr>
      <w:r w:rsidRPr="005840A3">
        <w:rPr>
          <w:lang w:val="en-US"/>
        </w:rPr>
        <w:t>I.</w:t>
      </w:r>
      <w:r>
        <w:rPr>
          <w:lang w:val="en-US"/>
        </w:rPr>
        <w:t xml:space="preserve"> Staffell and S. Pfenninger, 2016, </w:t>
      </w:r>
      <w:r w:rsidRPr="005840A3">
        <w:rPr>
          <w:lang w:val="en-US"/>
        </w:rPr>
        <w:t>Using bias-corrected reanalysis to simulate current and future wind power output</w:t>
      </w:r>
      <w:r>
        <w:rPr>
          <w:lang w:val="en-US"/>
        </w:rPr>
        <w:t xml:space="preserve">, Energy, 114, 1224-1239, </w:t>
      </w:r>
      <w:r w:rsidRPr="005840A3">
        <w:rPr>
          <w:lang w:val="en-US"/>
        </w:rPr>
        <w:t>https://doi.org/10.1016/j.energy.2016.08.068.</w:t>
      </w:r>
    </w:p>
    <w:p w14:paraId="6D89F745" w14:textId="77777777" w:rsidR="005840A3" w:rsidRPr="00FF0FC1" w:rsidRDefault="005840A3" w:rsidP="00FF0FC1">
      <w:pPr>
        <w:pStyle w:val="Els-referenceno-number"/>
        <w:ind w:left="0" w:firstLine="0"/>
        <w:rPr>
          <w:lang w:val="en-US"/>
        </w:rPr>
      </w:pPr>
    </w:p>
    <w:p w14:paraId="2C04A3B0" w14:textId="11E94938" w:rsidR="00FF0FC1" w:rsidRDefault="00324E04" w:rsidP="00FF0FC1">
      <w:pPr>
        <w:pStyle w:val="Els-referenceno-number"/>
        <w:ind w:left="0" w:firstLine="0"/>
        <w:rPr>
          <w:lang w:val="en-US"/>
        </w:rPr>
      </w:pPr>
      <w:r>
        <w:rPr>
          <w:lang w:val="en-US"/>
        </w:rPr>
        <w:t>T. Svitnič</w:t>
      </w:r>
      <w:r w:rsidR="00FF0FC1" w:rsidRPr="00FF0FC1">
        <w:rPr>
          <w:lang w:val="en-US"/>
        </w:rPr>
        <w:t xml:space="preserve"> and </w:t>
      </w:r>
      <w:r>
        <w:rPr>
          <w:lang w:val="en-US"/>
        </w:rPr>
        <w:t xml:space="preserve">K. </w:t>
      </w:r>
      <w:r w:rsidR="00FF0FC1" w:rsidRPr="00FF0FC1">
        <w:rPr>
          <w:lang w:val="en-US"/>
        </w:rPr>
        <w:t>S</w:t>
      </w:r>
      <w:r>
        <w:rPr>
          <w:lang w:val="en-US"/>
        </w:rPr>
        <w:t>undmacher, 2022</w:t>
      </w:r>
      <w:r w:rsidR="00FF0FC1" w:rsidRPr="00FF0FC1">
        <w:rPr>
          <w:lang w:val="en-US"/>
        </w:rPr>
        <w:t>, Renewable methanol production: Optimization-based design, scheduling and waste-heat utilization with the FluxMax approach, Applied Energy, 326, 120017, https://doi.org/10.1016/j.apenergy.2022.120017.</w:t>
      </w:r>
    </w:p>
    <w:p w14:paraId="62E570D0" w14:textId="7C23B5AD" w:rsidR="00FF0FC1" w:rsidRDefault="00FF0FC1" w:rsidP="00324E04">
      <w:pPr>
        <w:pStyle w:val="Els-referenceno-number"/>
        <w:ind w:left="0" w:firstLine="0"/>
        <w:rPr>
          <w:lang w:val="en-US"/>
        </w:rPr>
      </w:pPr>
    </w:p>
    <w:p w14:paraId="00FDAE5B" w14:textId="35880442" w:rsidR="00324E04" w:rsidRDefault="00324E04" w:rsidP="00324E04">
      <w:pPr>
        <w:pStyle w:val="Els-referenceno-number"/>
        <w:ind w:left="0" w:firstLine="0"/>
        <w:rPr>
          <w:lang w:val="en-US"/>
        </w:rPr>
      </w:pPr>
      <w:r>
        <w:rPr>
          <w:lang w:val="en-US"/>
        </w:rPr>
        <w:t>T. Svitnič, K. Beer,</w:t>
      </w:r>
      <w:r w:rsidRPr="00FF0FC1">
        <w:rPr>
          <w:lang w:val="en-US"/>
        </w:rPr>
        <w:t xml:space="preserve"> </w:t>
      </w:r>
      <w:r>
        <w:rPr>
          <w:lang w:val="en-US"/>
        </w:rPr>
        <w:t xml:space="preserve">K. </w:t>
      </w:r>
      <w:r w:rsidRPr="00FF0FC1">
        <w:rPr>
          <w:lang w:val="en-US"/>
        </w:rPr>
        <w:t>S</w:t>
      </w:r>
      <w:r>
        <w:rPr>
          <w:lang w:val="en-US"/>
        </w:rPr>
        <w:t xml:space="preserve">undmacher and M. </w:t>
      </w:r>
      <w:r w:rsidRPr="00324E04">
        <w:rPr>
          <w:lang w:val="en-US"/>
        </w:rPr>
        <w:t>Böcher</w:t>
      </w:r>
      <w:r w:rsidR="00651D93">
        <w:rPr>
          <w:lang w:val="en-US"/>
        </w:rPr>
        <w:t>, 2024</w:t>
      </w:r>
      <w:r>
        <w:rPr>
          <w:lang w:val="en-US"/>
        </w:rPr>
        <w:t xml:space="preserve">, </w:t>
      </w:r>
      <w:r w:rsidRPr="00324E04">
        <w:rPr>
          <w:lang w:val="en-US"/>
        </w:rPr>
        <w:t>Optimal design of a sector-coupled renewable methanol production amid political goals and expected conflicts: Costs vs. land use</w:t>
      </w:r>
      <w:r>
        <w:rPr>
          <w:lang w:val="en-US"/>
        </w:rPr>
        <w:t>, Sustainable Production and Consumption,</w:t>
      </w:r>
      <w:r w:rsidR="00651D93">
        <w:rPr>
          <w:lang w:val="en-US"/>
        </w:rPr>
        <w:t xml:space="preserve"> 44, 123-150,</w:t>
      </w:r>
      <w:r>
        <w:rPr>
          <w:lang w:val="en-US"/>
        </w:rPr>
        <w:t xml:space="preserve"> </w:t>
      </w:r>
      <w:r w:rsidR="00651D93" w:rsidRPr="00651D93">
        <w:rPr>
          <w:lang w:val="en-US"/>
        </w:rPr>
        <w:t>https://doi.org/10.1016/j.spc.2023.12.003</w:t>
      </w:r>
    </w:p>
    <w:p w14:paraId="5EAC526D" w14:textId="77777777" w:rsidR="00833811" w:rsidRPr="00833811" w:rsidRDefault="00833811">
      <w:pPr>
        <w:rPr>
          <w:sz w:val="18"/>
          <w:szCs w:val="18"/>
          <w:lang w:val="en-US"/>
        </w:rPr>
      </w:pPr>
    </w:p>
    <w:p w14:paraId="3F959AEE" w14:textId="0FE1AEF6" w:rsidR="005B2DCF" w:rsidRPr="00BD5B67" w:rsidRDefault="00833811" w:rsidP="00BD5B67">
      <w:pPr>
        <w:pStyle w:val="Els-referenceno-number"/>
        <w:ind w:left="0" w:firstLine="0"/>
        <w:rPr>
          <w:lang w:val="en-US"/>
        </w:rPr>
      </w:pPr>
      <w:r w:rsidRPr="00BD5B67">
        <w:rPr>
          <w:lang w:val="en-US"/>
        </w:rPr>
        <w:t>C. Zhang, C. Jacobson, Q. Zhang, L. T. Biegler, J. C. Eslick, M. A. Zamarripa, D. Miller, G. Stinchfeld, J. D. Siirola, C. D. Laird, 2022, Optimization-based Design of Product Families with Common Components, Computer Aided Chemical Engineering, 49, 2022, 91-96, https://doi.org/10.1016/B978-0-323-85159-6.50015-4.</w:t>
      </w:r>
    </w:p>
    <w:sectPr w:rsidR="005B2DCF" w:rsidRPr="00BD5B67" w:rsidSect="008B0184">
      <w:headerReference w:type="even" r:id="rId11"/>
      <w:headerReference w:type="default" r:id="rId12"/>
      <w:headerReference w:type="first" r:id="rId13"/>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6A73F" w14:textId="77777777" w:rsidR="00624DDD" w:rsidRDefault="00624DDD">
      <w:r>
        <w:separator/>
      </w:r>
    </w:p>
  </w:endnote>
  <w:endnote w:type="continuationSeparator" w:id="0">
    <w:p w14:paraId="7C221E24" w14:textId="77777777" w:rsidR="00624DDD" w:rsidRDefault="00624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7F45F" w14:textId="77777777" w:rsidR="00624DDD" w:rsidRDefault="00624DDD">
      <w:r>
        <w:separator/>
      </w:r>
    </w:p>
  </w:footnote>
  <w:footnote w:type="continuationSeparator" w:id="0">
    <w:p w14:paraId="6934E58A" w14:textId="77777777" w:rsidR="00624DDD" w:rsidRDefault="00624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E6C9" w14:textId="03F2D7B9" w:rsidR="00975FC6" w:rsidRDefault="00975FC6">
    <w:pPr>
      <w:pStyle w:val="Header"/>
      <w:tabs>
        <w:tab w:val="clear" w:pos="7200"/>
        <w:tab w:val="right" w:pos="7088"/>
      </w:tabs>
    </w:pPr>
    <w:r>
      <w:rPr>
        <w:rStyle w:val="PageNumber"/>
      </w:rPr>
      <w:tab/>
    </w:r>
    <w:r>
      <w:rPr>
        <w:rStyle w:val="PageNumber"/>
        <w:i/>
      </w:rPr>
      <w:tab/>
      <w:t xml:space="preserve">T. </w:t>
    </w:r>
    <w:r>
      <w:rPr>
        <w:i/>
      </w:rPr>
      <w:t>Svitni</w:t>
    </w:r>
    <w:r w:rsidRPr="005B2DCF">
      <w:rPr>
        <w:i/>
      </w:rPr>
      <w:t>č</w:t>
    </w:r>
    <w:r>
      <w:rPr>
        <w:i/>
      </w:rPr>
      <w:t xml:space="preserve"> and K. Sundmacher</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E6CA" w14:textId="3D0FE5C9" w:rsidR="00975FC6" w:rsidRDefault="00975FC6" w:rsidP="005B2DCF">
    <w:pPr>
      <w:pStyle w:val="Header"/>
      <w:tabs>
        <w:tab w:val="clear" w:pos="7200"/>
        <w:tab w:val="right" w:pos="7088"/>
      </w:tabs>
      <w:rPr>
        <w:sz w:val="24"/>
      </w:rPr>
    </w:pPr>
    <w:r w:rsidRPr="005B2DCF">
      <w:rPr>
        <w:i/>
      </w:rPr>
      <w:t>Spatially Distributed Power-to-Methanol Plants in Di</w:t>
    </w:r>
    <w:r>
      <w:rPr>
        <w:i/>
      </w:rPr>
      <w:t xml:space="preserve">ssimilar Locations: Specific or </w:t>
    </w:r>
    <w:r w:rsidRPr="005B2DCF">
      <w:rPr>
        <w:i/>
      </w:rPr>
      <w:t>Standardized Designs?</w:t>
    </w:r>
    <w:r>
      <w:rPr>
        <w:rStyle w:val="PageNumber"/>
        <w:i/>
        <w:sz w:val="24"/>
      </w:rPr>
      <w:tab/>
    </w:r>
    <w:r>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E6CB" w14:textId="77777777" w:rsidR="00975FC6" w:rsidRPr="003B50B5" w:rsidRDefault="00975FC6"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975FC6" w:rsidRDefault="00975FC6"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6B2075C0"/>
    <w:multiLevelType w:val="hybridMultilevel"/>
    <w:tmpl w:val="4112BF42"/>
    <w:lvl w:ilvl="0" w:tplc="97C4BF6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5"/>
  </w:num>
  <w:num w:numId="11">
    <w:abstractNumId w:val="14"/>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237"/>
    <w:rsid w:val="00023B41"/>
    <w:rsid w:val="00030A23"/>
    <w:rsid w:val="0007255D"/>
    <w:rsid w:val="00086D88"/>
    <w:rsid w:val="00092333"/>
    <w:rsid w:val="000D3D9B"/>
    <w:rsid w:val="00100FBC"/>
    <w:rsid w:val="00111178"/>
    <w:rsid w:val="0016032F"/>
    <w:rsid w:val="00163AF7"/>
    <w:rsid w:val="001827CB"/>
    <w:rsid w:val="001879F6"/>
    <w:rsid w:val="001C0148"/>
    <w:rsid w:val="001C757E"/>
    <w:rsid w:val="001F7266"/>
    <w:rsid w:val="0020390F"/>
    <w:rsid w:val="00227D5A"/>
    <w:rsid w:val="002415DB"/>
    <w:rsid w:val="00264926"/>
    <w:rsid w:val="00270C5D"/>
    <w:rsid w:val="002908BB"/>
    <w:rsid w:val="002C352D"/>
    <w:rsid w:val="002C7579"/>
    <w:rsid w:val="002D61F9"/>
    <w:rsid w:val="00312B7A"/>
    <w:rsid w:val="003131ED"/>
    <w:rsid w:val="003219D8"/>
    <w:rsid w:val="00324E04"/>
    <w:rsid w:val="00385029"/>
    <w:rsid w:val="00397ED6"/>
    <w:rsid w:val="003A3BFA"/>
    <w:rsid w:val="003D1582"/>
    <w:rsid w:val="003D7E4C"/>
    <w:rsid w:val="003E41C2"/>
    <w:rsid w:val="003E596D"/>
    <w:rsid w:val="0040641E"/>
    <w:rsid w:val="00470688"/>
    <w:rsid w:val="00472ED7"/>
    <w:rsid w:val="00484105"/>
    <w:rsid w:val="0049772C"/>
    <w:rsid w:val="004E4A79"/>
    <w:rsid w:val="004E601B"/>
    <w:rsid w:val="00552EEB"/>
    <w:rsid w:val="00554D2F"/>
    <w:rsid w:val="005622B4"/>
    <w:rsid w:val="005840A3"/>
    <w:rsid w:val="005B2DCF"/>
    <w:rsid w:val="005B39A0"/>
    <w:rsid w:val="005C046C"/>
    <w:rsid w:val="005C3096"/>
    <w:rsid w:val="005E0DC5"/>
    <w:rsid w:val="005E4BA7"/>
    <w:rsid w:val="00624DDD"/>
    <w:rsid w:val="00651D93"/>
    <w:rsid w:val="006543A3"/>
    <w:rsid w:val="0065781C"/>
    <w:rsid w:val="006835EF"/>
    <w:rsid w:val="00696671"/>
    <w:rsid w:val="006A69BF"/>
    <w:rsid w:val="006B366F"/>
    <w:rsid w:val="006C1FF4"/>
    <w:rsid w:val="00711DF4"/>
    <w:rsid w:val="00720A47"/>
    <w:rsid w:val="00732338"/>
    <w:rsid w:val="00735DF9"/>
    <w:rsid w:val="00754205"/>
    <w:rsid w:val="00762003"/>
    <w:rsid w:val="007842EB"/>
    <w:rsid w:val="007C023B"/>
    <w:rsid w:val="007C3B3A"/>
    <w:rsid w:val="007D5D30"/>
    <w:rsid w:val="007D6C5C"/>
    <w:rsid w:val="007D70A1"/>
    <w:rsid w:val="007E38D9"/>
    <w:rsid w:val="007E42E6"/>
    <w:rsid w:val="007E7C93"/>
    <w:rsid w:val="007F1600"/>
    <w:rsid w:val="007F68FF"/>
    <w:rsid w:val="00805150"/>
    <w:rsid w:val="008132E8"/>
    <w:rsid w:val="00823407"/>
    <w:rsid w:val="00826276"/>
    <w:rsid w:val="00833811"/>
    <w:rsid w:val="008615A1"/>
    <w:rsid w:val="00866C32"/>
    <w:rsid w:val="00870209"/>
    <w:rsid w:val="008B0184"/>
    <w:rsid w:val="008C5D02"/>
    <w:rsid w:val="008D2649"/>
    <w:rsid w:val="0090568D"/>
    <w:rsid w:val="009125C9"/>
    <w:rsid w:val="00913879"/>
    <w:rsid w:val="00917661"/>
    <w:rsid w:val="009310ED"/>
    <w:rsid w:val="00934A39"/>
    <w:rsid w:val="009467F2"/>
    <w:rsid w:val="00970E5D"/>
    <w:rsid w:val="00975FC6"/>
    <w:rsid w:val="0097701C"/>
    <w:rsid w:val="00980A65"/>
    <w:rsid w:val="009D6B37"/>
    <w:rsid w:val="009F7411"/>
    <w:rsid w:val="00A123D0"/>
    <w:rsid w:val="00A2363D"/>
    <w:rsid w:val="00A25E70"/>
    <w:rsid w:val="00A30455"/>
    <w:rsid w:val="00A33765"/>
    <w:rsid w:val="00A63070"/>
    <w:rsid w:val="00A63269"/>
    <w:rsid w:val="00A63FCC"/>
    <w:rsid w:val="00A854A8"/>
    <w:rsid w:val="00A92377"/>
    <w:rsid w:val="00A96FA4"/>
    <w:rsid w:val="00AA397E"/>
    <w:rsid w:val="00AA57C2"/>
    <w:rsid w:val="00AB29ED"/>
    <w:rsid w:val="00AB7D45"/>
    <w:rsid w:val="00AD672E"/>
    <w:rsid w:val="00AE4BD8"/>
    <w:rsid w:val="00B3550A"/>
    <w:rsid w:val="00B4388F"/>
    <w:rsid w:val="00B543AB"/>
    <w:rsid w:val="00B56B68"/>
    <w:rsid w:val="00B63183"/>
    <w:rsid w:val="00B63237"/>
    <w:rsid w:val="00B700F7"/>
    <w:rsid w:val="00B73DC9"/>
    <w:rsid w:val="00BA2781"/>
    <w:rsid w:val="00BC3165"/>
    <w:rsid w:val="00BD0E27"/>
    <w:rsid w:val="00BD5B67"/>
    <w:rsid w:val="00BF63BB"/>
    <w:rsid w:val="00C8777B"/>
    <w:rsid w:val="00C960DC"/>
    <w:rsid w:val="00CB3151"/>
    <w:rsid w:val="00CB332A"/>
    <w:rsid w:val="00CD1B09"/>
    <w:rsid w:val="00D02C75"/>
    <w:rsid w:val="00D10E22"/>
    <w:rsid w:val="00D13D2C"/>
    <w:rsid w:val="00D3768F"/>
    <w:rsid w:val="00D75317"/>
    <w:rsid w:val="00D97260"/>
    <w:rsid w:val="00DC2F94"/>
    <w:rsid w:val="00DD2920"/>
    <w:rsid w:val="00DD3D9E"/>
    <w:rsid w:val="00DD7908"/>
    <w:rsid w:val="00E34141"/>
    <w:rsid w:val="00E5576C"/>
    <w:rsid w:val="00E82297"/>
    <w:rsid w:val="00EE1814"/>
    <w:rsid w:val="00EF39FD"/>
    <w:rsid w:val="00EF6C05"/>
    <w:rsid w:val="00F06842"/>
    <w:rsid w:val="00F10419"/>
    <w:rsid w:val="00F107FD"/>
    <w:rsid w:val="00FB64A8"/>
    <w:rsid w:val="00FD7307"/>
    <w:rsid w:val="00FF0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184"/>
    <w:rPr>
      <w:lang w:eastAsia="en-US"/>
    </w:rPr>
  </w:style>
  <w:style w:type="paragraph" w:styleId="Heading1">
    <w:name w:val="heading 1"/>
    <w:basedOn w:val="Normal"/>
    <w:next w:val="Normal"/>
    <w:link w:val="Heading1Char"/>
    <w:qFormat/>
    <w:rsid w:val="00324E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customStyle="1" w:styleId="Heading1Char">
    <w:name w:val="Heading 1 Char"/>
    <w:basedOn w:val="DefaultParagraphFont"/>
    <w:link w:val="Heading1"/>
    <w:rsid w:val="00324E04"/>
    <w:rPr>
      <w:rFonts w:asciiTheme="majorHAnsi" w:eastAsiaTheme="majorEastAsia" w:hAnsiTheme="majorHAnsi" w:cstheme="majorBidi"/>
      <w:color w:val="365F91" w:themeColor="accent1" w:themeShade="BF"/>
      <w:sz w:val="32"/>
      <w:szCs w:val="32"/>
      <w:lang w:eastAsia="en-US"/>
    </w:rPr>
  </w:style>
  <w:style w:type="character" w:styleId="PlaceholderText">
    <w:name w:val="Placeholder Text"/>
    <w:basedOn w:val="DefaultParagraphFont"/>
    <w:uiPriority w:val="99"/>
    <w:semiHidden/>
    <w:rsid w:val="005E0D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84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EAEE3-E5FF-484A-AAF7-93DA40DFB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2145</Words>
  <Characters>12229</Characters>
  <Application>Microsoft Office Word</Application>
  <DocSecurity>0</DocSecurity>
  <Lines>101</Lines>
  <Paragraphs>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Tibor Svitnic</cp:lastModifiedBy>
  <cp:revision>55</cp:revision>
  <cp:lastPrinted>2004-12-17T09:20:00Z</cp:lastPrinted>
  <dcterms:created xsi:type="dcterms:W3CDTF">2023-12-11T08:59:00Z</dcterms:created>
  <dcterms:modified xsi:type="dcterms:W3CDTF">2023-12-18T12:29:00Z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