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5732E658" w:rsidR="00DD3D9E" w:rsidRPr="00B4388F" w:rsidRDefault="000E5B6C">
      <w:pPr>
        <w:pStyle w:val="Els-Title"/>
        <w:rPr>
          <w:color w:val="000000" w:themeColor="text1"/>
        </w:rPr>
      </w:pPr>
      <w:r>
        <w:rPr>
          <w:color w:val="000000" w:themeColor="text1"/>
        </w:rPr>
        <w:t xml:space="preserve">Optimization of </w:t>
      </w:r>
      <w:r w:rsidR="00FE0A4F">
        <w:rPr>
          <w:color w:val="000000" w:themeColor="text1"/>
        </w:rPr>
        <w:t>H</w:t>
      </w:r>
      <w:r w:rsidR="00451224">
        <w:rPr>
          <w:color w:val="000000" w:themeColor="text1"/>
        </w:rPr>
        <w:t>igh-</w:t>
      </w:r>
      <w:r w:rsidR="00FE0A4F">
        <w:rPr>
          <w:color w:val="000000" w:themeColor="text1"/>
        </w:rPr>
        <w:t>P</w:t>
      </w:r>
      <w:r w:rsidR="00451224">
        <w:rPr>
          <w:color w:val="000000" w:themeColor="text1"/>
        </w:rPr>
        <w:t xml:space="preserve">erformance </w:t>
      </w:r>
      <w:r w:rsidR="00FE0A4F">
        <w:rPr>
          <w:color w:val="000000" w:themeColor="text1"/>
        </w:rPr>
        <w:t>M</w:t>
      </w:r>
      <w:r>
        <w:rPr>
          <w:color w:val="000000" w:themeColor="text1"/>
        </w:rPr>
        <w:t xml:space="preserve">embrane </w:t>
      </w:r>
      <w:r w:rsidR="00FE0A4F">
        <w:rPr>
          <w:color w:val="000000" w:themeColor="text1"/>
        </w:rPr>
        <w:t>P</w:t>
      </w:r>
      <w:r>
        <w:rPr>
          <w:color w:val="000000" w:themeColor="text1"/>
        </w:rPr>
        <w:t xml:space="preserve">rocesses for </w:t>
      </w:r>
      <w:r w:rsidR="00FE0A4F">
        <w:rPr>
          <w:color w:val="000000" w:themeColor="text1"/>
        </w:rPr>
        <w:t>P</w:t>
      </w:r>
      <w:r>
        <w:rPr>
          <w:color w:val="000000" w:themeColor="text1"/>
        </w:rPr>
        <w:t>ost-</w:t>
      </w:r>
      <w:r w:rsidR="00FE0A4F">
        <w:rPr>
          <w:color w:val="000000" w:themeColor="text1"/>
        </w:rPr>
        <w:t>C</w:t>
      </w:r>
      <w:r>
        <w:rPr>
          <w:color w:val="000000" w:themeColor="text1"/>
        </w:rPr>
        <w:t xml:space="preserve">ombustion </w:t>
      </w:r>
      <w:r w:rsidR="00FE0A4F">
        <w:rPr>
          <w:color w:val="000000" w:themeColor="text1"/>
        </w:rPr>
        <w:t>C</w:t>
      </w:r>
      <w:r>
        <w:rPr>
          <w:color w:val="000000" w:themeColor="text1"/>
        </w:rPr>
        <w:t xml:space="preserve">arbon </w:t>
      </w:r>
      <w:r w:rsidR="00FE0A4F">
        <w:rPr>
          <w:color w:val="000000" w:themeColor="text1"/>
        </w:rPr>
        <w:t>C</w:t>
      </w:r>
      <w:r>
        <w:rPr>
          <w:color w:val="000000" w:themeColor="text1"/>
        </w:rPr>
        <w:t>apture</w:t>
      </w:r>
    </w:p>
    <w:p w14:paraId="144DE680" w14:textId="56BBAC30" w:rsidR="00DD3D9E" w:rsidRDefault="000E5B6C">
      <w:pPr>
        <w:pStyle w:val="Els-Author"/>
      </w:pPr>
      <w:r>
        <w:t>Marina Micari</w:t>
      </w:r>
      <w:r w:rsidR="00FE0A4F">
        <w:t>*</w:t>
      </w:r>
      <w:r>
        <w:t>, Kumar Varoon Agrawal</w:t>
      </w:r>
    </w:p>
    <w:p w14:paraId="144DE681" w14:textId="0E04BD4C" w:rsidR="00DD3D9E" w:rsidRDefault="000E5B6C">
      <w:pPr>
        <w:pStyle w:val="Els-Affiliation"/>
      </w:pPr>
      <w:r>
        <w:t>Laboratory of Advanced Separations, EPFL, Rue de l’Industrie 17, Sion, Switzerland</w:t>
      </w:r>
    </w:p>
    <w:p w14:paraId="144DE683" w14:textId="677413A9" w:rsidR="008D2649" w:rsidRPr="00A94774" w:rsidRDefault="00FE0A4F" w:rsidP="008D2649">
      <w:pPr>
        <w:pStyle w:val="Els-Affiliation"/>
        <w:spacing w:after="120"/>
      </w:pPr>
      <w:r>
        <w:t>m</w:t>
      </w:r>
      <w:r w:rsidR="000E5B6C">
        <w:t>arina.micari@epfl.ch</w:t>
      </w:r>
    </w:p>
    <w:p w14:paraId="3682F3CD" w14:textId="404535D6" w:rsidR="00114928" w:rsidRPr="00114928" w:rsidRDefault="008D2649" w:rsidP="00756789">
      <w:pPr>
        <w:pStyle w:val="Els-Abstract"/>
        <w:spacing w:before="120" w:after="120"/>
      </w:pPr>
      <w:r>
        <w:t>Abstract</w:t>
      </w:r>
    </w:p>
    <w:p w14:paraId="1F3DE927" w14:textId="1EF1DA94" w:rsidR="009E1A31" w:rsidRDefault="009E1A31" w:rsidP="009E1A31">
      <w:pPr>
        <w:rPr>
          <w:rFonts w:eastAsia="Batang"/>
          <w:lang w:eastAsia="ko-KR"/>
        </w:rPr>
      </w:pPr>
      <w:r w:rsidRPr="00522505">
        <w:rPr>
          <w:rFonts w:eastAsia="Batang"/>
          <w:lang w:eastAsia="ko-KR"/>
        </w:rPr>
        <w:t xml:space="preserve">Membrane processes are emerging as an </w:t>
      </w:r>
      <w:r>
        <w:rPr>
          <w:rFonts w:eastAsia="Batang"/>
          <w:lang w:eastAsia="ko-KR"/>
        </w:rPr>
        <w:t xml:space="preserve">attractive </w:t>
      </w:r>
      <w:r w:rsidRPr="00522505">
        <w:rPr>
          <w:rFonts w:eastAsia="Batang"/>
          <w:lang w:eastAsia="ko-KR"/>
        </w:rPr>
        <w:t xml:space="preserve">alternative to absorption for </w:t>
      </w:r>
      <w:r>
        <w:rPr>
          <w:rFonts w:eastAsia="Batang"/>
          <w:lang w:eastAsia="ko-KR"/>
        </w:rPr>
        <w:t>carbon</w:t>
      </w:r>
      <w:r w:rsidRPr="00522505">
        <w:rPr>
          <w:rFonts w:eastAsia="Batang"/>
          <w:lang w:eastAsia="ko-KR"/>
        </w:rPr>
        <w:t xml:space="preserve"> capture</w:t>
      </w:r>
      <w:r w:rsidR="00281BEB">
        <w:rPr>
          <w:rFonts w:eastAsia="Batang"/>
          <w:lang w:eastAsia="ko-KR"/>
        </w:rPr>
        <w:t xml:space="preserve">, thanks to the high energy efficiency and modularity. </w:t>
      </w:r>
      <w:r>
        <w:rPr>
          <w:rFonts w:eastAsia="Batang"/>
          <w:lang w:eastAsia="ko-KR"/>
        </w:rPr>
        <w:t xml:space="preserve">To assess the real potential of membrane technology at a large scale, </w:t>
      </w:r>
      <w:r w:rsidRPr="00303191">
        <w:rPr>
          <w:rFonts w:eastAsia="Batang"/>
          <w:lang w:eastAsia="ko-KR"/>
        </w:rPr>
        <w:t xml:space="preserve">operating conditions </w:t>
      </w:r>
      <w:r>
        <w:rPr>
          <w:rFonts w:eastAsia="Batang"/>
          <w:lang w:eastAsia="ko-KR"/>
        </w:rPr>
        <w:t>need to be</w:t>
      </w:r>
      <w:r w:rsidRPr="00303191">
        <w:rPr>
          <w:rFonts w:eastAsia="Batang"/>
          <w:lang w:eastAsia="ko-KR"/>
        </w:rPr>
        <w:t xml:space="preserve"> optimized in combination with the selected material</w:t>
      </w:r>
      <w:r>
        <w:rPr>
          <w:rFonts w:eastAsia="Batang"/>
          <w:lang w:eastAsia="ko-KR"/>
        </w:rPr>
        <w:t>. In this work, for the first time, we report the results of the techno-economic optimization of a double-stage membrane process for post-combustion carbon capture in the presence of a wide range of membranes, corresponding to several combinations of CO</w:t>
      </w:r>
      <w:r w:rsidRPr="009E1A31">
        <w:rPr>
          <w:rFonts w:eastAsia="Batang"/>
          <w:vertAlign w:val="subscript"/>
          <w:lang w:eastAsia="ko-KR"/>
        </w:rPr>
        <w:t>2</w:t>
      </w:r>
      <w:r>
        <w:rPr>
          <w:rFonts w:eastAsia="Batang"/>
          <w:lang w:eastAsia="ko-KR"/>
        </w:rPr>
        <w:t xml:space="preserve"> permeance and CO</w:t>
      </w:r>
      <w:r w:rsidRPr="009E1A31">
        <w:rPr>
          <w:rFonts w:eastAsia="Batang"/>
          <w:vertAlign w:val="subscript"/>
          <w:lang w:eastAsia="ko-KR"/>
        </w:rPr>
        <w:t>2</w:t>
      </w:r>
      <w:r>
        <w:rPr>
          <w:rFonts w:eastAsia="Batang"/>
          <w:lang w:eastAsia="ko-KR"/>
        </w:rPr>
        <w:t>/N</w:t>
      </w:r>
      <w:r w:rsidRPr="009E1A31">
        <w:rPr>
          <w:rFonts w:eastAsia="Batang"/>
          <w:vertAlign w:val="subscript"/>
          <w:lang w:eastAsia="ko-KR"/>
        </w:rPr>
        <w:t>2</w:t>
      </w:r>
      <w:r>
        <w:rPr>
          <w:rFonts w:eastAsia="Batang"/>
          <w:lang w:eastAsia="ko-KR"/>
        </w:rPr>
        <w:t xml:space="preserve"> selectivity. </w:t>
      </w:r>
    </w:p>
    <w:p w14:paraId="2AB18D51" w14:textId="0CAE3787" w:rsidR="009E1A31" w:rsidRDefault="001E117D" w:rsidP="009E1A31">
      <w:pPr>
        <w:pStyle w:val="Els-body-text"/>
      </w:pPr>
      <w:r>
        <w:t xml:space="preserve">The </w:t>
      </w:r>
      <w:r w:rsidR="0006073F">
        <w:t xml:space="preserve">optimization </w:t>
      </w:r>
      <w:r>
        <w:t xml:space="preserve">maps identify </w:t>
      </w:r>
      <w:r w:rsidR="00F17D55">
        <w:t>impact of various</w:t>
      </w:r>
      <w:r>
        <w:t xml:space="preserve"> performance parameters </w:t>
      </w:r>
      <w:r w:rsidR="00F17D55">
        <w:t xml:space="preserve">on the </w:t>
      </w:r>
      <w:r w:rsidR="0006073F">
        <w:t>cost</w:t>
      </w:r>
      <w:r>
        <w:t xml:space="preserve">. </w:t>
      </w:r>
      <w:r w:rsidR="0006073F">
        <w:t>Also</w:t>
      </w:r>
      <w:r>
        <w:t xml:space="preserve">, the optimization results </w:t>
      </w:r>
      <w:r w:rsidR="00281BEB">
        <w:t>are</w:t>
      </w:r>
      <w:r w:rsidR="00F247F5">
        <w:t xml:space="preserve"> used to chart out</w:t>
      </w:r>
      <w:r>
        <w:t xml:space="preserve"> targets for permeance and selectivity, beyond which a further </w:t>
      </w:r>
      <w:r w:rsidR="00F247F5">
        <w:t>improvement does not result in</w:t>
      </w:r>
      <w:r>
        <w:t xml:space="preserve"> cost reduction.</w:t>
      </w:r>
    </w:p>
    <w:p w14:paraId="0FFF2651" w14:textId="191FFA20" w:rsidR="00FE0A4F" w:rsidRPr="00FE0A4F" w:rsidRDefault="009C60EB" w:rsidP="00FE0A4F">
      <w:pPr>
        <w:pStyle w:val="Els-body-text"/>
      </w:pPr>
      <w:r>
        <w:t xml:space="preserve">Overall, this work gives important insights into the impact of membrane performances on the techno-economic feasibility of the optimized capture process and into the </w:t>
      </w:r>
      <w:r w:rsidR="00BB4515">
        <w:t xml:space="preserve">performance </w:t>
      </w:r>
      <w:r>
        <w:t>targets to make the technology more competitive.</w:t>
      </w:r>
    </w:p>
    <w:p w14:paraId="144DE687" w14:textId="2D365DBB" w:rsidR="008D2649" w:rsidRDefault="008D2649" w:rsidP="0006073F">
      <w:pPr>
        <w:pStyle w:val="Els-body-text"/>
        <w:spacing w:before="120" w:after="120"/>
        <w:rPr>
          <w:lang w:val="en-GB"/>
        </w:rPr>
      </w:pPr>
      <w:r>
        <w:rPr>
          <w:b/>
          <w:bCs/>
          <w:lang w:val="en-GB"/>
        </w:rPr>
        <w:t>Keywords</w:t>
      </w:r>
      <w:r>
        <w:rPr>
          <w:lang w:val="en-GB"/>
        </w:rPr>
        <w:t xml:space="preserve">: </w:t>
      </w:r>
      <w:r w:rsidR="00150F9E">
        <w:rPr>
          <w:lang w:val="en-GB"/>
        </w:rPr>
        <w:t>membrane process, post-combustion carbon capture, cost minimization, techno-economic analysis, process design</w:t>
      </w:r>
    </w:p>
    <w:p w14:paraId="3D2034E8" w14:textId="1F23B66B" w:rsidR="002A3676" w:rsidRPr="002A3676" w:rsidRDefault="00FE0A4F" w:rsidP="00756789">
      <w:pPr>
        <w:pStyle w:val="Heading1"/>
        <w:spacing w:after="120"/>
      </w:pPr>
      <w:r w:rsidRPr="005A7131">
        <w:t>Introduction</w:t>
      </w:r>
    </w:p>
    <w:p w14:paraId="6B018864" w14:textId="30FDC6D4" w:rsidR="00D76A22" w:rsidRPr="00294BF3" w:rsidRDefault="008B6D95" w:rsidP="00294BF3">
      <w:r w:rsidRPr="00294BF3">
        <w:t xml:space="preserve">Membrane </w:t>
      </w:r>
      <w:r w:rsidR="002C7487">
        <w:t>technology</w:t>
      </w:r>
      <w:r w:rsidRPr="00294BF3">
        <w:t xml:space="preserve"> </w:t>
      </w:r>
      <w:r w:rsidR="001069C0">
        <w:t>ha</w:t>
      </w:r>
      <w:r w:rsidR="002C7487">
        <w:t>s</w:t>
      </w:r>
      <w:r w:rsidR="001069C0">
        <w:t xml:space="preserve"> shown to be highly promising</w:t>
      </w:r>
      <w:r w:rsidRPr="00294BF3">
        <w:t xml:space="preserve"> for post-combustion carbon capture</w:t>
      </w:r>
      <w:r w:rsidR="002C7487">
        <w:t xml:space="preserve">, since it </w:t>
      </w:r>
      <w:r w:rsidRPr="00294BF3">
        <w:t>can reduce energy consumption</w:t>
      </w:r>
      <w:r w:rsidR="00E73CE9">
        <w:t xml:space="preserve"> with respect to </w:t>
      </w:r>
      <w:r w:rsidR="00252054">
        <w:t xml:space="preserve">state-of-art </w:t>
      </w:r>
      <w:r w:rsidR="00E73CE9">
        <w:t>absorption</w:t>
      </w:r>
      <w:r w:rsidRPr="00294BF3">
        <w:t xml:space="preserve"> from 3-4 MJ/kg to below 1 MJ/kg. This allows an important cost reduction for capture from coal power plant flue gas</w:t>
      </w:r>
      <w:r w:rsidR="00984768">
        <w:t xml:space="preserve"> </w:t>
      </w:r>
      <w:r w:rsidR="00984768" w:rsidRPr="00294BF3">
        <w:t xml:space="preserve">from 50 $/t </w:t>
      </w:r>
      <w:r w:rsidR="00984768">
        <w:t xml:space="preserve">to </w:t>
      </w:r>
      <w:r w:rsidR="00984768" w:rsidRPr="00294BF3">
        <w:t>20-30 $/t</w:t>
      </w:r>
      <w:r w:rsidR="007E4A55">
        <w:t xml:space="preserve"> </w:t>
      </w:r>
      <w:r w:rsidR="007E4A55" w:rsidRPr="006C40AB">
        <w:t>(Merkel et al., 2010)</w:t>
      </w:r>
      <w:r w:rsidR="00984768">
        <w:t>.</w:t>
      </w:r>
      <w:r w:rsidRPr="00294BF3">
        <w:t xml:space="preserve"> </w:t>
      </w:r>
    </w:p>
    <w:p w14:paraId="79D56515" w14:textId="7166C7CA" w:rsidR="00893CDE" w:rsidRDefault="00984768" w:rsidP="00192665">
      <w:pPr>
        <w:spacing w:before="80"/>
      </w:pPr>
      <w:r>
        <w:t>L</w:t>
      </w:r>
      <w:r w:rsidR="002F63BE" w:rsidRPr="00294BF3">
        <w:t>iterature has reported several techno-economic studies on capture processes based on different membranes</w:t>
      </w:r>
      <w:r w:rsidR="00A0655C" w:rsidRPr="00294BF3">
        <w:t>.</w:t>
      </w:r>
      <w:r w:rsidR="006C40AB">
        <w:t xml:space="preserve"> </w:t>
      </w:r>
      <w:r w:rsidR="006C40AB" w:rsidRPr="006C40AB">
        <w:t>(Merkel et al., 2010)</w:t>
      </w:r>
      <w:r w:rsidR="00A0655C" w:rsidRPr="00294BF3">
        <w:t xml:space="preserve"> </w:t>
      </w:r>
      <w:r w:rsidR="00252054">
        <w:t>showed the</w:t>
      </w:r>
      <w:r w:rsidR="00A0655C" w:rsidRPr="00294BF3">
        <w:t xml:space="preserve"> attractiveness of membrane processes by designing a double-stage process based on polymeric membranes </w:t>
      </w:r>
      <w:r w:rsidR="00F276E2" w:rsidRPr="00294BF3">
        <w:t xml:space="preserve">by </w:t>
      </w:r>
      <w:r w:rsidR="00A0655C" w:rsidRPr="00294BF3">
        <w:t xml:space="preserve">MTR </w:t>
      </w:r>
      <w:proofErr w:type="spellStart"/>
      <w:r w:rsidR="00A0655C" w:rsidRPr="00294BF3">
        <w:t>Polaris</w:t>
      </w:r>
      <w:r w:rsidR="00A0655C" w:rsidRPr="00CA0A6B">
        <w:rPr>
          <w:vertAlign w:val="superscript"/>
        </w:rPr>
        <w:t>TM</w:t>
      </w:r>
      <w:proofErr w:type="spellEnd"/>
      <w:r w:rsidR="00A0655C" w:rsidRPr="00294BF3">
        <w:t xml:space="preserve">. </w:t>
      </w:r>
      <w:r w:rsidR="00CA0A6B">
        <w:t>R</w:t>
      </w:r>
      <w:r w:rsidR="00872291" w:rsidRPr="00294BF3">
        <w:t>ecent</w:t>
      </w:r>
      <w:r w:rsidR="009076AF" w:rsidRPr="00294BF3">
        <w:t xml:space="preserve"> studies </w:t>
      </w:r>
      <w:r w:rsidR="00872291" w:rsidRPr="00294BF3">
        <w:t>focused</w:t>
      </w:r>
      <w:r w:rsidR="009076AF" w:rsidRPr="00294BF3">
        <w:t xml:space="preserve"> </w:t>
      </w:r>
      <w:r w:rsidR="00CA72AD">
        <w:t xml:space="preserve">also </w:t>
      </w:r>
      <w:r w:rsidR="009076AF" w:rsidRPr="00294BF3">
        <w:t>on composite membranes</w:t>
      </w:r>
      <w:r w:rsidR="006C40AB">
        <w:t xml:space="preserve"> </w:t>
      </w:r>
      <w:r w:rsidR="006C40AB" w:rsidRPr="006C40AB">
        <w:t>(Xu et al., 2019)</w:t>
      </w:r>
      <w:r w:rsidR="009076AF" w:rsidRPr="00294BF3">
        <w:t>, facilitate</w:t>
      </w:r>
      <w:r w:rsidR="00DD6394">
        <w:t>d</w:t>
      </w:r>
      <w:r w:rsidR="009076AF" w:rsidRPr="00294BF3">
        <w:t xml:space="preserve"> transport membranes</w:t>
      </w:r>
      <w:r w:rsidR="006C40AB">
        <w:t xml:space="preserve"> </w:t>
      </w:r>
      <w:r w:rsidR="006C40AB" w:rsidRPr="006C40AB">
        <w:t>(Han &amp; Ho, 2020)</w:t>
      </w:r>
      <w:r w:rsidR="009076AF" w:rsidRPr="00294BF3">
        <w:t>, graphene membranes</w:t>
      </w:r>
      <w:r w:rsidR="006C40AB">
        <w:t xml:space="preserve"> </w:t>
      </w:r>
      <w:r w:rsidR="006C40AB" w:rsidRPr="006C40AB">
        <w:t>(</w:t>
      </w:r>
      <w:proofErr w:type="spellStart"/>
      <w:r w:rsidR="006C40AB" w:rsidRPr="006C40AB">
        <w:t>Micari</w:t>
      </w:r>
      <w:proofErr w:type="spellEnd"/>
      <w:r w:rsidR="006C40AB" w:rsidRPr="006C40AB">
        <w:t xml:space="preserve"> et al., 2021)</w:t>
      </w:r>
      <w:r w:rsidR="009076AF" w:rsidRPr="00294BF3">
        <w:t xml:space="preserve"> and mixed matrix membranes</w:t>
      </w:r>
      <w:r w:rsidR="006C40AB">
        <w:t xml:space="preserve"> </w:t>
      </w:r>
      <w:r w:rsidR="006C40AB" w:rsidRPr="006C40AB">
        <w:t>(Fujita et al., 2022)</w:t>
      </w:r>
      <w:r w:rsidR="003C614B" w:rsidRPr="00294BF3">
        <w:t xml:space="preserve">. </w:t>
      </w:r>
    </w:p>
    <w:p w14:paraId="1A1CF956" w14:textId="77777777" w:rsidR="0006073F" w:rsidRDefault="00CA0A6B" w:rsidP="00294BF3">
      <w:r>
        <w:t xml:space="preserve">Depending on the </w:t>
      </w:r>
      <w:r w:rsidR="0006073F">
        <w:t xml:space="preserve">membrane </w:t>
      </w:r>
      <w:r>
        <w:t xml:space="preserve">performance, </w:t>
      </w:r>
      <w:r w:rsidR="006A11A8">
        <w:t xml:space="preserve">several </w:t>
      </w:r>
      <w:r>
        <w:t>operating conditions</w:t>
      </w:r>
      <w:r w:rsidR="006A11A8">
        <w:t xml:space="preserve"> and process configurations</w:t>
      </w:r>
      <w:r>
        <w:t xml:space="preserve"> should be </w:t>
      </w:r>
      <w:r w:rsidR="006A11A8">
        <w:t xml:space="preserve">considered </w:t>
      </w:r>
      <w:r>
        <w:t xml:space="preserve">to optimize process performances. </w:t>
      </w:r>
      <w:r w:rsidR="00872291" w:rsidRPr="00294BF3">
        <w:t>In this context, various contributions concerned the optimization of multi-stage processes and the minimization of total capture cost</w:t>
      </w:r>
      <w:r w:rsidR="006C40AB">
        <w:t xml:space="preserve"> </w:t>
      </w:r>
      <w:r w:rsidR="006C40AB" w:rsidRPr="006C40AB">
        <w:t>(</w:t>
      </w:r>
      <w:proofErr w:type="spellStart"/>
      <w:r w:rsidR="006C40AB" w:rsidRPr="006C40AB">
        <w:t>Zamarripa</w:t>
      </w:r>
      <w:proofErr w:type="spellEnd"/>
      <w:r w:rsidR="006C40AB" w:rsidRPr="006C40AB">
        <w:t xml:space="preserve"> et al., 2018)</w:t>
      </w:r>
      <w:r w:rsidR="00872291" w:rsidRPr="00294BF3">
        <w:t xml:space="preserve">. These include </w:t>
      </w:r>
      <w:r w:rsidR="00B24474" w:rsidRPr="00294BF3">
        <w:t>different approaches, from superstructure-based</w:t>
      </w:r>
      <w:r w:rsidR="006C40AB">
        <w:t xml:space="preserve"> </w:t>
      </w:r>
      <w:r w:rsidR="006C40AB" w:rsidRPr="006C40AB">
        <w:t>(Arias et al., 2016)</w:t>
      </w:r>
      <w:r w:rsidR="00B24474" w:rsidRPr="00294BF3">
        <w:t xml:space="preserve"> to surrogate-based optimization</w:t>
      </w:r>
      <w:r w:rsidR="006C40AB">
        <w:t xml:space="preserve"> </w:t>
      </w:r>
      <w:r w:rsidR="006C40AB" w:rsidRPr="006C40AB">
        <w:t>(Graciano et al., 2018)</w:t>
      </w:r>
      <w:r w:rsidR="00B24474" w:rsidRPr="00294BF3">
        <w:t>.</w:t>
      </w:r>
      <w:r w:rsidR="00252054">
        <w:t xml:space="preserve"> </w:t>
      </w:r>
      <w:r w:rsidR="0006073F">
        <w:t xml:space="preserve"> </w:t>
      </w:r>
    </w:p>
    <w:p w14:paraId="5E2A8B0D" w14:textId="3844ACB2" w:rsidR="00CA0A6B" w:rsidRDefault="00BF3C68" w:rsidP="00294BF3">
      <w:r>
        <w:t>Generally, t</w:t>
      </w:r>
      <w:r w:rsidR="00266D97">
        <w:t xml:space="preserve">he optimized process configurations are reported for </w:t>
      </w:r>
      <w:r>
        <w:t xml:space="preserve">a selected </w:t>
      </w:r>
      <w:r w:rsidR="00266D97">
        <w:t>membrane</w:t>
      </w:r>
      <w:r>
        <w:t xml:space="preserve"> with a given performance.</w:t>
      </w:r>
      <w:r w:rsidR="00266D97">
        <w:t xml:space="preserve"> </w:t>
      </w:r>
      <w:r>
        <w:t xml:space="preserve">Therefore, it becomes challenging </w:t>
      </w:r>
      <w:r w:rsidR="00266D97">
        <w:t xml:space="preserve">to compare membranes </w:t>
      </w:r>
      <w:r>
        <w:t>with varying performance</w:t>
      </w:r>
      <w:r w:rsidR="00797EEE">
        <w:t>s</w:t>
      </w:r>
      <w:r>
        <w:t xml:space="preserve"> (combination of CO</w:t>
      </w:r>
      <w:r w:rsidRPr="00AD3FF8">
        <w:rPr>
          <w:vertAlign w:val="subscript"/>
        </w:rPr>
        <w:t>2</w:t>
      </w:r>
      <w:r>
        <w:t xml:space="preserve"> permeance and CO</w:t>
      </w:r>
      <w:r w:rsidRPr="00AD3FF8">
        <w:rPr>
          <w:vertAlign w:val="subscript"/>
        </w:rPr>
        <w:t>2</w:t>
      </w:r>
      <w:r>
        <w:t>/N</w:t>
      </w:r>
      <w:r w:rsidRPr="00AD3FF8">
        <w:rPr>
          <w:vertAlign w:val="subscript"/>
        </w:rPr>
        <w:t>2</w:t>
      </w:r>
      <w:r>
        <w:t xml:space="preserve"> selectivity) </w:t>
      </w:r>
      <w:r w:rsidR="00266D97">
        <w:t xml:space="preserve">because of the </w:t>
      </w:r>
      <w:r w:rsidR="0006073F">
        <w:t>different</w:t>
      </w:r>
      <w:r w:rsidR="00172970">
        <w:t xml:space="preserve"> </w:t>
      </w:r>
      <w:r w:rsidR="00266D97">
        <w:t>techno-economic assumption</w:t>
      </w:r>
      <w:r w:rsidR="00797EEE">
        <w:t>s</w:t>
      </w:r>
      <w:r w:rsidR="00266D97">
        <w:t xml:space="preserve"> used in the </w:t>
      </w:r>
      <w:r w:rsidR="00172970">
        <w:t>literature</w:t>
      </w:r>
      <w:r w:rsidR="00266D97">
        <w:t xml:space="preserve">. </w:t>
      </w:r>
    </w:p>
    <w:p w14:paraId="7E77D9FE" w14:textId="3DA20414" w:rsidR="00893CDE" w:rsidRPr="00A0655C" w:rsidRDefault="00266D97" w:rsidP="00192665">
      <w:pPr>
        <w:spacing w:before="80"/>
      </w:pPr>
      <w:r>
        <w:lastRenderedPageBreak/>
        <w:t xml:space="preserve">In this work, </w:t>
      </w:r>
      <w:r w:rsidR="00E9439C">
        <w:t xml:space="preserve">for the first time, we report and compare the minimized capture costs and the relevant energy and membrane area requirements for </w:t>
      </w:r>
      <w:r>
        <w:t>a wide range of membrane</w:t>
      </w:r>
      <w:r w:rsidR="00172970">
        <w:t xml:space="preserve"> performance</w:t>
      </w:r>
      <w:r w:rsidR="00797EEE">
        <w:t>s</w:t>
      </w:r>
      <w:r w:rsidR="00172970">
        <w:t xml:space="preserve">. </w:t>
      </w:r>
      <w:r w:rsidR="00E9439C">
        <w:t xml:space="preserve"> These results will allow to assess the impact of the membrane parameters on the optimal operating conditions and on the techno-economic feasibility of the optimized process. Finally, the findings will serve as guidelines for membrane </w:t>
      </w:r>
      <w:r w:rsidR="00172970">
        <w:t xml:space="preserve">developers and </w:t>
      </w:r>
      <w:r w:rsidR="00E9439C">
        <w:t xml:space="preserve">manufacturers to </w:t>
      </w:r>
      <w:r w:rsidR="009E1A31">
        <w:t>identify improvement targets for membrane performance parameters.</w:t>
      </w:r>
    </w:p>
    <w:p w14:paraId="34CF8A0B" w14:textId="4D6D1683" w:rsidR="002A3676" w:rsidRPr="002A3676" w:rsidRDefault="00FE0A4F" w:rsidP="007D3EC4">
      <w:pPr>
        <w:pStyle w:val="Heading1"/>
        <w:spacing w:before="120" w:after="120"/>
      </w:pPr>
      <w:r>
        <w:t>Mathematical model</w:t>
      </w:r>
    </w:p>
    <w:p w14:paraId="550FA6BE" w14:textId="0C368BC1" w:rsidR="00AD2E9B" w:rsidRPr="00AD2E9B" w:rsidRDefault="00AD2E9B" w:rsidP="00294BF3">
      <w:r>
        <w:t xml:space="preserve">We developed a techno-economic model to simulate and design multi-stage membrane processes for gas separation and to assess their economic feasibility. </w:t>
      </w:r>
    </w:p>
    <w:p w14:paraId="144DE69A" w14:textId="68902B7E" w:rsidR="008D2649" w:rsidRDefault="00AD2E9B" w:rsidP="008D2649">
      <w:pPr>
        <w:pStyle w:val="Els-2ndorder-head"/>
      </w:pPr>
      <w:r>
        <w:t>Technical model</w:t>
      </w:r>
    </w:p>
    <w:p w14:paraId="4F499A9F" w14:textId="1E5D0EC8" w:rsidR="000D0243" w:rsidRDefault="000D0243" w:rsidP="00AD2E9B">
      <w:pPr>
        <w:pStyle w:val="Els-body-text"/>
      </w:pPr>
      <w:r>
        <w:t>First</w:t>
      </w:r>
      <w:r w:rsidR="00AD2E9B">
        <w:t xml:space="preserve">, we built a modular </w:t>
      </w:r>
      <w:r>
        <w:t xml:space="preserve">technical </w:t>
      </w:r>
      <w:r w:rsidR="00AD2E9B">
        <w:t xml:space="preserve">model where multi-stage processes are represented as combinations of single </w:t>
      </w:r>
      <w:r w:rsidR="00512A0C">
        <w:t xml:space="preserve">membrane </w:t>
      </w:r>
      <w:r w:rsidR="00AD2E9B">
        <w:t>stage</w:t>
      </w:r>
      <w:r w:rsidR="0046036A">
        <w:t>s</w:t>
      </w:r>
      <w:r w:rsidR="006C40AB">
        <w:t xml:space="preserve"> </w:t>
      </w:r>
      <w:r w:rsidR="006C40AB" w:rsidRPr="006C40AB">
        <w:t>(</w:t>
      </w:r>
      <w:proofErr w:type="spellStart"/>
      <w:r w:rsidR="006C40AB" w:rsidRPr="006C40AB">
        <w:t>Micari</w:t>
      </w:r>
      <w:proofErr w:type="spellEnd"/>
      <w:r w:rsidR="006C40AB" w:rsidRPr="006C40AB">
        <w:t xml:space="preserve"> et al., 2021)</w:t>
      </w:r>
      <w:r w:rsidR="00AD2E9B">
        <w:t>. Each single stage has a cross-flow arrangement</w:t>
      </w:r>
      <w:r w:rsidR="00FF780A">
        <w:t xml:space="preserve"> (</w:t>
      </w:r>
      <w:r w:rsidR="00FF780A">
        <w:fldChar w:fldCharType="begin"/>
      </w:r>
      <w:r w:rsidR="00FF780A">
        <w:instrText xml:space="preserve"> REF _Ref151555054 \h </w:instrText>
      </w:r>
      <w:r w:rsidR="00FF780A">
        <w:fldChar w:fldCharType="separate"/>
      </w:r>
      <w:r w:rsidR="00FF780A">
        <w:t xml:space="preserve">Figure </w:t>
      </w:r>
      <w:r w:rsidR="00FF780A">
        <w:rPr>
          <w:noProof/>
        </w:rPr>
        <w:t>1</w:t>
      </w:r>
      <w:r w:rsidR="00FF780A">
        <w:fldChar w:fldCharType="end"/>
      </w:r>
      <w:r w:rsidR="008F26A2">
        <w:t>, left</w:t>
      </w:r>
      <w:r w:rsidR="00FF780A">
        <w:t>)</w:t>
      </w:r>
      <w:r w:rsidR="00AD2E9B">
        <w:t xml:space="preserve"> and is modelled under the following assumptions: (i) fixed temperature, (ii) permeance independent of concentration, (iii) </w:t>
      </w:r>
      <w:r w:rsidR="00CB1649">
        <w:t xml:space="preserve">negligible </w:t>
      </w:r>
      <w:r w:rsidR="00AD2E9B">
        <w:t xml:space="preserve">pressure drops and concentration polarization, (iv) no mixing in the permeate channel. </w:t>
      </w:r>
    </w:p>
    <w:p w14:paraId="4454BD9B" w14:textId="5C2ACD5D" w:rsidR="00512A0C" w:rsidRPr="000D0243" w:rsidRDefault="00A16094" w:rsidP="00963F51">
      <w:pPr>
        <w:pStyle w:val="Els-body-text"/>
        <w:spacing w:after="120"/>
      </w:pPr>
      <w:r>
        <w:t>To model the single stage,</w:t>
      </w:r>
      <w:r w:rsidR="0046036A">
        <w:t xml:space="preserve"> we </w:t>
      </w:r>
      <w:r>
        <w:t>estimate the transmembrane flux</w:t>
      </w:r>
      <w:r w:rsidR="00801580">
        <w:t xml:space="preserve"> of each component (</w:t>
      </w:r>
      <w:r w:rsidR="00801580" w:rsidRPr="00801580">
        <w:rPr>
          <w:i/>
          <w:iCs/>
        </w:rPr>
        <w:t>i</w:t>
      </w:r>
      <w:r w:rsidR="00801580">
        <w:t>)</w:t>
      </w:r>
      <w:r w:rsidR="000D0243">
        <w:t xml:space="preserve"> along the z axis</w:t>
      </w:r>
      <w:r>
        <w:t xml:space="preserve"> </w:t>
      </w:r>
      <w:r w:rsidR="0046036A">
        <w:t xml:space="preserve">by applying </w:t>
      </w:r>
      <w:r>
        <w:t>the solution diffusion model</w:t>
      </w:r>
      <w:r w:rsidR="0046036A">
        <w:t xml:space="preserve">, </w:t>
      </w:r>
      <w:r w:rsidR="0046036A" w:rsidRPr="00A94774">
        <w:rPr>
          <w:lang w:val="en-GB"/>
        </w:rPr>
        <w:t>as</w:t>
      </w:r>
      <w:r w:rsidR="0046036A">
        <w:rPr>
          <w:lang w:val="en-GB"/>
        </w:rPr>
        <w:t xml:space="preserve"> in</w:t>
      </w:r>
      <w:r w:rsidR="0046036A" w:rsidRPr="00A94774">
        <w:rPr>
          <w:lang w:val="en-GB"/>
        </w:rPr>
        <w:t xml:space="preserve"> Eq.</w:t>
      </w:r>
      <w:r w:rsidR="0046036A">
        <w:rPr>
          <w:lang w:val="en-GB"/>
        </w:rPr>
        <w:t xml:space="preserve"> </w:t>
      </w:r>
      <w:r w:rsidR="0046036A" w:rsidRPr="00A94774">
        <w:rPr>
          <w:lang w:val="en-GB"/>
        </w:rPr>
        <w:t>(1).</w:t>
      </w:r>
      <w:r w:rsidR="0046036A">
        <w:t xml:space="preserve"> The </w:t>
      </w:r>
      <w:r>
        <w:t>flux</w:t>
      </w:r>
      <w:r w:rsidR="00801580">
        <w:t xml:space="preserve"> </w:t>
      </w:r>
      <w:r w:rsidR="00801580" w:rsidRPr="00801580">
        <w:rPr>
          <w:i/>
          <w:iCs/>
        </w:rPr>
        <w:t>J</w:t>
      </w:r>
      <w:r>
        <w:t xml:space="preserve"> is proportional to the partial pressure difference between feed and permeate channel</w:t>
      </w:r>
      <w:r w:rsidR="0046036A">
        <w:t xml:space="preserve">, where </w:t>
      </w:r>
      <w:r w:rsidR="0046036A">
        <w:rPr>
          <w:lang w:val="en-GB"/>
        </w:rPr>
        <w:t>t</w:t>
      </w:r>
      <w:r w:rsidR="00801580">
        <w:rPr>
          <w:lang w:val="en-GB"/>
        </w:rPr>
        <w:t>he partial pressure is given by the product of the total pressure in the channel (</w:t>
      </w:r>
      <w:r w:rsidR="00801580" w:rsidRPr="00801580">
        <w:rPr>
          <w:i/>
          <w:iCs/>
          <w:lang w:val="en-GB"/>
        </w:rPr>
        <w:t>P</w:t>
      </w:r>
      <w:r w:rsidR="00801580">
        <w:rPr>
          <w:lang w:val="en-GB"/>
        </w:rPr>
        <w:t>) and the molar fraction (</w:t>
      </w:r>
      <w:r w:rsidR="00801580" w:rsidRPr="00801580">
        <w:rPr>
          <w:i/>
          <w:iCs/>
          <w:lang w:val="en-GB"/>
        </w:rPr>
        <w:t>X</w:t>
      </w:r>
      <w:r w:rsidR="0046036A" w:rsidRPr="0046036A">
        <w:rPr>
          <w:i/>
          <w:iCs/>
          <w:vertAlign w:val="subscript"/>
          <w:lang w:val="en-GB"/>
        </w:rPr>
        <w:t>i</w:t>
      </w:r>
      <w:r w:rsidR="00801580">
        <w:rPr>
          <w:lang w:val="en-GB"/>
        </w:rPr>
        <w:t xml:space="preserve">). </w:t>
      </w:r>
      <w:r w:rsidR="0046036A">
        <w:rPr>
          <w:lang w:val="en-GB"/>
        </w:rPr>
        <w:t>The calculated fluxes are then used in mass balances, to assess the variation of flow rates and concentrations of each component along the length of the stage. More details on the model are reported in our previous work</w:t>
      </w:r>
      <w:r w:rsidR="006C40AB">
        <w:rPr>
          <w:lang w:val="en-GB"/>
        </w:rPr>
        <w:t xml:space="preserve"> </w:t>
      </w:r>
      <w:r w:rsidR="006C40AB" w:rsidRPr="006C40AB">
        <w:rPr>
          <w:lang w:val="en-GB"/>
        </w:rPr>
        <w:t>(</w:t>
      </w:r>
      <w:proofErr w:type="spellStart"/>
      <w:r w:rsidR="006C40AB" w:rsidRPr="006C40AB">
        <w:rPr>
          <w:lang w:val="en-GB"/>
        </w:rPr>
        <w:t>Micari</w:t>
      </w:r>
      <w:proofErr w:type="spellEnd"/>
      <w:r w:rsidR="006C40AB" w:rsidRPr="006C40AB">
        <w:rPr>
          <w:lang w:val="en-GB"/>
        </w:rPr>
        <w:t xml:space="preserve"> et al., 2021)</w:t>
      </w:r>
      <w:r w:rsidR="0046036A">
        <w:rPr>
          <w:lang w:val="en-GB"/>
        </w:rPr>
        <w:t>.</w:t>
      </w:r>
    </w:p>
    <w:tbl>
      <w:tblPr>
        <w:tblW w:w="7087" w:type="dxa"/>
        <w:tblLook w:val="04A0" w:firstRow="1" w:lastRow="0" w:firstColumn="1" w:lastColumn="0" w:noHBand="0" w:noVBand="1"/>
      </w:tblPr>
      <w:tblGrid>
        <w:gridCol w:w="6126"/>
        <w:gridCol w:w="961"/>
      </w:tblGrid>
      <w:tr w:rsidR="00A16094" w:rsidRPr="00A94774" w14:paraId="06D68024" w14:textId="77777777" w:rsidTr="00801580">
        <w:tc>
          <w:tcPr>
            <w:tcW w:w="6126" w:type="dxa"/>
            <w:shd w:val="clear" w:color="auto" w:fill="auto"/>
            <w:vAlign w:val="center"/>
          </w:tcPr>
          <w:p w14:paraId="6F099364" w14:textId="6A9A03E6" w:rsidR="00A16094" w:rsidRPr="00963F51" w:rsidRDefault="00000000" w:rsidP="00963F51">
            <w:pPr>
              <w:pStyle w:val="Els-body-text"/>
              <w:spacing w:before="120" w:after="120" w:line="264" w:lineRule="auto"/>
              <w:rPr>
                <w:lang w:val="en-GB"/>
              </w:rPr>
            </w:pPr>
            <m:oMathPara>
              <m:oMathParaPr>
                <m:jc m:val="left"/>
              </m:oMathParaPr>
              <m:oMath>
                <m:sSub>
                  <m:sSubPr>
                    <m:ctrlPr>
                      <w:rPr>
                        <w:rFonts w:ascii="Cambria Math" w:hAnsi="Cambria Math"/>
                        <w:i/>
                        <w:lang w:val="en-GB"/>
                      </w:rPr>
                    </m:ctrlPr>
                  </m:sSubPr>
                  <m:e>
                    <m:r>
                      <w:rPr>
                        <w:rFonts w:ascii="Cambria Math" w:hAnsi="Cambria Math"/>
                        <w:lang w:val="en-GB"/>
                      </w:rPr>
                      <m:t>J</m:t>
                    </m:r>
                  </m:e>
                  <m:sub>
                    <m:r>
                      <w:rPr>
                        <w:rFonts w:ascii="Cambria Math" w:hAnsi="Cambria Math"/>
                        <w:lang w:val="en-GB"/>
                      </w:rPr>
                      <m:t>i</m:t>
                    </m:r>
                  </m:sub>
                </m:sSub>
                <m:d>
                  <m:dPr>
                    <m:ctrlPr>
                      <w:rPr>
                        <w:rFonts w:ascii="Cambria Math" w:hAnsi="Cambria Math"/>
                        <w:i/>
                        <w:lang w:val="en-GB"/>
                      </w:rPr>
                    </m:ctrlPr>
                  </m:dPr>
                  <m:e>
                    <m:r>
                      <w:rPr>
                        <w:rFonts w:ascii="Cambria Math" w:hAnsi="Cambria Math"/>
                        <w:lang w:val="en-GB"/>
                      </w:rPr>
                      <m:t>z</m:t>
                    </m:r>
                  </m:e>
                </m:d>
                <m:r>
                  <w:rPr>
                    <w:rFonts w:ascii="Cambria Math" w:hAnsi="Cambria Math"/>
                    <w:lang w:val="en-GB"/>
                  </w:rPr>
                  <m:t>=</m:t>
                </m:r>
                <m:sSub>
                  <m:sSubPr>
                    <m:ctrlPr>
                      <w:rPr>
                        <w:rFonts w:ascii="Cambria Math" w:hAnsi="Cambria Math"/>
                        <w:i/>
                        <w:lang w:val="en-GB"/>
                      </w:rPr>
                    </m:ctrlPr>
                  </m:sSubPr>
                  <m:e>
                    <m:r>
                      <m:rPr>
                        <m:sty m:val="bi"/>
                      </m:rPr>
                      <w:rPr>
                        <w:rFonts w:ascii="Cambria Math" w:hAnsi="Cambria Math"/>
                        <w:lang w:val="en-GB"/>
                      </w:rPr>
                      <m:t>Permeance</m:t>
                    </m:r>
                  </m:e>
                  <m:sub>
                    <m:r>
                      <w:rPr>
                        <w:rFonts w:ascii="Cambria Math" w:hAnsi="Cambria Math"/>
                        <w:lang w:val="en-GB"/>
                      </w:rPr>
                      <m:t>i</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feed</m:t>
                        </m:r>
                      </m:sub>
                    </m:sSub>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i,feed</m:t>
                        </m:r>
                      </m:sub>
                    </m:sSub>
                    <m:d>
                      <m:dPr>
                        <m:ctrlPr>
                          <w:rPr>
                            <w:rFonts w:ascii="Cambria Math" w:hAnsi="Cambria Math"/>
                            <w:i/>
                            <w:lang w:val="en-GB"/>
                          </w:rPr>
                        </m:ctrlPr>
                      </m:dPr>
                      <m:e>
                        <m:r>
                          <w:rPr>
                            <w:rFonts w:ascii="Cambria Math" w:hAnsi="Cambria Math"/>
                            <w:lang w:val="en-GB"/>
                          </w:rPr>
                          <m:t>z</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perm</m:t>
                        </m:r>
                      </m:sub>
                    </m:sSub>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i,perm</m:t>
                        </m:r>
                      </m:sub>
                    </m:sSub>
                    <m:d>
                      <m:dPr>
                        <m:ctrlPr>
                          <w:rPr>
                            <w:rFonts w:ascii="Cambria Math" w:hAnsi="Cambria Math"/>
                            <w:i/>
                            <w:lang w:val="en-GB"/>
                          </w:rPr>
                        </m:ctrlPr>
                      </m:dPr>
                      <m:e>
                        <m:r>
                          <w:rPr>
                            <w:rFonts w:ascii="Cambria Math" w:hAnsi="Cambria Math"/>
                            <w:lang w:val="en-GB"/>
                          </w:rPr>
                          <m:t>z</m:t>
                        </m:r>
                      </m:e>
                    </m:d>
                  </m:e>
                </m:d>
              </m:oMath>
            </m:oMathPara>
          </w:p>
        </w:tc>
        <w:tc>
          <w:tcPr>
            <w:tcW w:w="961" w:type="dxa"/>
            <w:shd w:val="clear" w:color="auto" w:fill="auto"/>
            <w:vAlign w:val="center"/>
          </w:tcPr>
          <w:p w14:paraId="5D6856CB" w14:textId="77777777" w:rsidR="00A16094" w:rsidRPr="00A94774" w:rsidRDefault="00A16094" w:rsidP="00963F51">
            <w:pPr>
              <w:pStyle w:val="Els-body-text"/>
              <w:spacing w:before="120" w:after="120" w:line="264" w:lineRule="auto"/>
              <w:jc w:val="right"/>
              <w:rPr>
                <w:lang w:val="en-GB"/>
              </w:rPr>
            </w:pPr>
            <w:r w:rsidRPr="00A94774">
              <w:rPr>
                <w:lang w:val="en-GB"/>
              </w:rPr>
              <w:t>(1)</w:t>
            </w:r>
          </w:p>
        </w:tc>
      </w:tr>
    </w:tbl>
    <w:p w14:paraId="6BF77656" w14:textId="482617B0" w:rsidR="007D3EC4" w:rsidRDefault="00D654F5" w:rsidP="00963F51">
      <w:pPr>
        <w:pStyle w:val="Els-body-text"/>
        <w:spacing w:before="120"/>
      </w:pPr>
      <w:r>
        <w:t>The process performances are defined in terms of purity and recovery.</w:t>
      </w:r>
      <w:r w:rsidR="00F7137D">
        <w:t xml:space="preserve"> The purity </w:t>
      </w:r>
      <w:r w:rsidR="00406DA8">
        <w:t xml:space="preserve">corresponds to </w:t>
      </w:r>
      <w:r w:rsidR="00F7137D">
        <w:t>the concentration of the</w:t>
      </w:r>
      <w:r w:rsidR="00406DA8">
        <w:t xml:space="preserve"> main</w:t>
      </w:r>
      <w:r w:rsidR="00F7137D">
        <w:t xml:space="preserve"> component</w:t>
      </w:r>
      <w:r w:rsidR="00406DA8">
        <w:t xml:space="preserve"> (CO</w:t>
      </w:r>
      <w:r w:rsidR="00406DA8" w:rsidRPr="00406DA8">
        <w:rPr>
          <w:vertAlign w:val="subscript"/>
        </w:rPr>
        <w:t>2</w:t>
      </w:r>
      <w:r w:rsidR="00406DA8">
        <w:t>)</w:t>
      </w:r>
      <w:r w:rsidR="00F7137D">
        <w:t xml:space="preserve"> in the outlet permeate stream. The recovery is given by the ratio between the flow rate of the </w:t>
      </w:r>
      <w:r w:rsidR="00406DA8">
        <w:t xml:space="preserve">main </w:t>
      </w:r>
      <w:r w:rsidR="00F7137D">
        <w:t xml:space="preserve">component in the permeate and </w:t>
      </w:r>
      <w:r w:rsidR="00406DA8">
        <w:t>that</w:t>
      </w:r>
      <w:r w:rsidR="00F7137D">
        <w:t xml:space="preserve"> in the feed.</w:t>
      </w:r>
      <w:r w:rsidR="000D0243">
        <w:t xml:space="preserve"> To achieve high recovery and purity, a single stage process is often not enough</w:t>
      </w:r>
      <w:r w:rsidR="007D3EC4">
        <w:t xml:space="preserve"> and</w:t>
      </w:r>
      <w:r w:rsidR="000D0243">
        <w:t xml:space="preserve"> multi-stage processes need to be designed.</w:t>
      </w:r>
      <w:r w:rsidR="007D3EC4">
        <w:t xml:space="preserve"> </w:t>
      </w:r>
      <w:r w:rsidR="007D3EC4">
        <w:t>This work presents the results for a double-stage process where the permeate produced by the first stage is fed to the second stage and the retentate produced by the second stage is recycled and mixed with the feed of the first stage, to increase driving force (</w:t>
      </w:r>
      <w:r w:rsidR="007D3EC4">
        <w:fldChar w:fldCharType="begin"/>
      </w:r>
      <w:r w:rsidR="007D3EC4">
        <w:instrText xml:space="preserve"> REF _Ref151555054 \h </w:instrText>
      </w:r>
      <w:r w:rsidR="007D3EC4">
        <w:fldChar w:fldCharType="separate"/>
      </w:r>
      <w:r w:rsidR="007D3EC4">
        <w:t xml:space="preserve">Figure </w:t>
      </w:r>
      <w:r w:rsidR="007D3EC4">
        <w:rPr>
          <w:noProof/>
        </w:rPr>
        <w:t>1</w:t>
      </w:r>
      <w:r w:rsidR="007D3EC4">
        <w:fldChar w:fldCharType="end"/>
      </w:r>
      <w:r w:rsidR="007D3EC4">
        <w:t>, right).</w:t>
      </w:r>
    </w:p>
    <w:p w14:paraId="78678F01" w14:textId="77777777" w:rsidR="007D3EC4" w:rsidRDefault="007D3EC4" w:rsidP="00963F51">
      <w:pPr>
        <w:pStyle w:val="Els-body-text"/>
        <w:spacing w:before="120"/>
      </w:pPr>
    </w:p>
    <w:p w14:paraId="62C15DBC" w14:textId="77777777" w:rsidR="007D3EC4" w:rsidRDefault="007D3EC4" w:rsidP="007D3EC4">
      <w:pPr>
        <w:pStyle w:val="Els-body-text"/>
        <w:keepNext/>
        <w:jc w:val="center"/>
      </w:pPr>
      <w:r w:rsidRPr="008F26A2">
        <w:rPr>
          <w:noProof/>
          <w:lang w:val="en-GB"/>
        </w:rPr>
        <w:drawing>
          <wp:inline distT="0" distB="0" distL="0" distR="0" wp14:anchorId="3F668E3C" wp14:editId="5C6B605F">
            <wp:extent cx="4194780" cy="14616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3808" cy="1471716"/>
                    </a:xfrm>
                    <a:prstGeom prst="rect">
                      <a:avLst/>
                    </a:prstGeom>
                  </pic:spPr>
                </pic:pic>
              </a:graphicData>
            </a:graphic>
          </wp:inline>
        </w:drawing>
      </w:r>
    </w:p>
    <w:p w14:paraId="2F35D62F" w14:textId="77777777" w:rsidR="007D3EC4" w:rsidRDefault="007D3EC4" w:rsidP="007D3EC4">
      <w:pPr>
        <w:pStyle w:val="Caption"/>
        <w:spacing w:before="0"/>
        <w:jc w:val="both"/>
      </w:pPr>
      <w:bookmarkStart w:id="0" w:name="_Ref151555054"/>
      <w:r>
        <w:t xml:space="preserve">Figure </w:t>
      </w:r>
      <w:r>
        <w:fldChar w:fldCharType="begin"/>
      </w:r>
      <w:r>
        <w:instrText xml:space="preserve"> SEQ Figure \* ARABIC </w:instrText>
      </w:r>
      <w:r>
        <w:fldChar w:fldCharType="separate"/>
      </w:r>
      <w:r>
        <w:rPr>
          <w:noProof/>
        </w:rPr>
        <w:t>1</w:t>
      </w:r>
      <w:r>
        <w:fldChar w:fldCharType="end"/>
      </w:r>
      <w:bookmarkEnd w:id="0"/>
      <w:r>
        <w:t>. Schematic representation of the single-stage process (left) and of the double-stage process with recycle of the retentate from the second stage (right).</w:t>
      </w:r>
    </w:p>
    <w:p w14:paraId="0325F8AB" w14:textId="77777777" w:rsidR="007D3EC4" w:rsidRDefault="007D3EC4" w:rsidP="00963F51">
      <w:pPr>
        <w:pStyle w:val="Els-body-text"/>
        <w:spacing w:before="120"/>
      </w:pPr>
    </w:p>
    <w:p w14:paraId="26A00D07" w14:textId="0D81AFA4" w:rsidR="00C44A81" w:rsidRPr="00AD2E9B" w:rsidRDefault="0096255A" w:rsidP="00AD2E9B">
      <w:pPr>
        <w:pStyle w:val="Els-body-text"/>
      </w:pPr>
      <w:r>
        <w:t xml:space="preserve">We </w:t>
      </w:r>
      <w:r w:rsidR="007D3EC4">
        <w:t xml:space="preserve">design </w:t>
      </w:r>
      <w:r>
        <w:t>double-stage processes with given sets of pressures in the feed and permeate channel by identifying the membrane areas in the two stages that minimize the difference between calculated and target values of recovery and purity (design objective function).</w:t>
      </w:r>
    </w:p>
    <w:p w14:paraId="144DE69D" w14:textId="1EDC1C39" w:rsidR="008D2649" w:rsidRDefault="00AD2E9B" w:rsidP="008D2649">
      <w:pPr>
        <w:pStyle w:val="Els-2ndorder-head"/>
      </w:pPr>
      <w:r>
        <w:t>Economic model</w:t>
      </w:r>
    </w:p>
    <w:p w14:paraId="0C875965" w14:textId="2EB9B276" w:rsidR="0047121D" w:rsidRDefault="008041F5" w:rsidP="004320B3">
      <w:pPr>
        <w:pStyle w:val="Els-body-text"/>
      </w:pPr>
      <w:r>
        <w:t xml:space="preserve">The economic model calculates the capital and operating costs of the membrane process based on the </w:t>
      </w:r>
      <w:r w:rsidR="0047121D">
        <w:t>outputs of the technical model, i.e., membrane area and energy consumption</w:t>
      </w:r>
      <w:r w:rsidR="004E6F3C">
        <w:t>. The model is reported in detail in</w:t>
      </w:r>
      <w:r w:rsidR="006C40AB">
        <w:t xml:space="preserve"> </w:t>
      </w:r>
      <w:r w:rsidR="006C40AB" w:rsidRPr="006C40AB">
        <w:t>(</w:t>
      </w:r>
      <w:proofErr w:type="spellStart"/>
      <w:r w:rsidR="006C40AB" w:rsidRPr="006C40AB">
        <w:t>Micari</w:t>
      </w:r>
      <w:proofErr w:type="spellEnd"/>
      <w:r w:rsidR="006C40AB" w:rsidRPr="006C40AB">
        <w:t xml:space="preserve"> et al., 2023)</w:t>
      </w:r>
      <w:r w:rsidR="0047121D">
        <w:t xml:space="preserve">. The capital costs are given by the </w:t>
      </w:r>
      <w:r w:rsidR="004A435B">
        <w:t>direct costs for purchase and installation of all pieces of equipment (membrane modules</w:t>
      </w:r>
      <w:r w:rsidR="001941A8">
        <w:t xml:space="preserve"> with specific membrane cost of 100 $/m</w:t>
      </w:r>
      <w:r w:rsidR="001941A8" w:rsidRPr="001941A8">
        <w:rPr>
          <w:vertAlign w:val="superscript"/>
        </w:rPr>
        <w:t>2</w:t>
      </w:r>
      <w:r w:rsidR="004A435B">
        <w:t>, compressors, vacuum pumps</w:t>
      </w:r>
      <w:r w:rsidR="004B1C23">
        <w:t>,</w:t>
      </w:r>
      <w:r w:rsidR="004A435B">
        <w:t xml:space="preserve"> and blowers), the indirect costs</w:t>
      </w:r>
      <w:r w:rsidR="004E6F3C">
        <w:t xml:space="preserve"> (14% of the direct costs)</w:t>
      </w:r>
      <w:r w:rsidR="004A435B">
        <w:t xml:space="preserve"> and the contingency and fee costs</w:t>
      </w:r>
      <w:r w:rsidR="004E6F3C">
        <w:t xml:space="preserve"> (35% of the sum of direct and indirect costs)</w:t>
      </w:r>
      <w:r w:rsidR="004A435B">
        <w:t>.</w:t>
      </w:r>
      <w:r w:rsidR="00664F95">
        <w:t xml:space="preserve"> </w:t>
      </w:r>
      <w:r w:rsidR="004A435B">
        <w:t>These costs are then annualized by assuming a capital charge factor</w:t>
      </w:r>
      <w:r w:rsidR="0046036A">
        <w:t xml:space="preserve"> (equal to 0.125)</w:t>
      </w:r>
      <w:r w:rsidR="004A435B">
        <w:t xml:space="preserve"> to obtain the CAPEX [$/y].</w:t>
      </w:r>
    </w:p>
    <w:p w14:paraId="35778280" w14:textId="501A4B25" w:rsidR="004A435B" w:rsidRDefault="004A435B" w:rsidP="004320B3">
      <w:pPr>
        <w:pStyle w:val="Els-body-text"/>
      </w:pPr>
      <w:r>
        <w:t>The operating costs include the cost for energy, for maintenance and labor, and for membrane replacement.</w:t>
      </w:r>
      <w:r w:rsidR="00664F95">
        <w:t xml:space="preserve"> The specific cost of energy is taken equal to 0.05 $/kWh and the membranes are replaced every 5 year</w:t>
      </w:r>
      <w:r w:rsidR="000A068F">
        <w:t>s</w:t>
      </w:r>
      <w:r w:rsidR="00664F95">
        <w:t>.</w:t>
      </w:r>
      <w:r>
        <w:t xml:space="preserve"> The total operating cost is defined as OPEX [$/y].</w:t>
      </w:r>
    </w:p>
    <w:p w14:paraId="0A671139" w14:textId="22A280A5" w:rsidR="004A435B" w:rsidRDefault="00FD7612" w:rsidP="004320B3">
      <w:pPr>
        <w:pStyle w:val="Els-body-text"/>
      </w:pPr>
      <w:r>
        <w:t xml:space="preserve">The capture penalty is </w:t>
      </w:r>
      <w:r w:rsidR="001941A8">
        <w:t>given by</w:t>
      </w:r>
      <w:r>
        <w:t xml:space="preserve"> the sum of CAPEX and OPEX divided by the total amount of CO</w:t>
      </w:r>
      <w:r w:rsidRPr="00FD7612">
        <w:rPr>
          <w:vertAlign w:val="subscript"/>
        </w:rPr>
        <w:t>2</w:t>
      </w:r>
      <w:r>
        <w:t xml:space="preserve"> produced per year [t/y]. </w:t>
      </w:r>
    </w:p>
    <w:p w14:paraId="144DE69E" w14:textId="7CCA0E23" w:rsidR="008D2649" w:rsidRDefault="00AD2E9B" w:rsidP="0047121D">
      <w:pPr>
        <w:pStyle w:val="Els-2ndorder-head"/>
      </w:pPr>
      <w:r>
        <w:t>Process optimization</w:t>
      </w:r>
    </w:p>
    <w:p w14:paraId="05D34E0F" w14:textId="7AD85E24" w:rsidR="00FE0A4F" w:rsidRDefault="00AF480B" w:rsidP="008D2649">
      <w:pPr>
        <w:pStyle w:val="Els-body-text"/>
      </w:pPr>
      <w:r>
        <w:t xml:space="preserve">For each set of </w:t>
      </w:r>
      <w:proofErr w:type="gramStart"/>
      <w:r w:rsidR="007D3EC4">
        <w:t>CO</w:t>
      </w:r>
      <w:r w:rsidR="007D3EC4" w:rsidRPr="00AF480B">
        <w:rPr>
          <w:vertAlign w:val="subscript"/>
        </w:rPr>
        <w:t>2</w:t>
      </w:r>
      <w:proofErr w:type="gramEnd"/>
      <w:r w:rsidR="007D3EC4">
        <w:t xml:space="preserve"> permeance and CO</w:t>
      </w:r>
      <w:r w:rsidR="007D3EC4" w:rsidRPr="00AF480B">
        <w:rPr>
          <w:vertAlign w:val="subscript"/>
        </w:rPr>
        <w:t>2</w:t>
      </w:r>
      <w:r w:rsidR="007D3EC4">
        <w:t>/N</w:t>
      </w:r>
      <w:r w:rsidR="007D3EC4" w:rsidRPr="00AF480B">
        <w:rPr>
          <w:vertAlign w:val="subscript"/>
        </w:rPr>
        <w:t>2</w:t>
      </w:r>
      <w:r w:rsidR="007D3EC4">
        <w:t xml:space="preserve"> selectivity</w:t>
      </w:r>
      <w:r>
        <w:t>, we found the set of operating pressures (P</w:t>
      </w:r>
      <w:r w:rsidRPr="00AF480B">
        <w:rPr>
          <w:vertAlign w:val="subscript"/>
        </w:rPr>
        <w:t>feed,1</w:t>
      </w:r>
      <w:r>
        <w:t>, P</w:t>
      </w:r>
      <w:r w:rsidRPr="00AF480B">
        <w:rPr>
          <w:vertAlign w:val="subscript"/>
        </w:rPr>
        <w:t>perm,1</w:t>
      </w:r>
      <w:r>
        <w:t xml:space="preserve"> and P</w:t>
      </w:r>
      <w:r w:rsidRPr="00AF480B">
        <w:rPr>
          <w:vertAlign w:val="subscript"/>
        </w:rPr>
        <w:t>perm,2</w:t>
      </w:r>
      <w:r w:rsidR="004E6F3C">
        <w:t xml:space="preserve"> as in </w:t>
      </w:r>
      <w:r w:rsidR="004E6F3C">
        <w:fldChar w:fldCharType="begin"/>
      </w:r>
      <w:r w:rsidR="004E6F3C">
        <w:instrText xml:space="preserve"> REF _Ref151555054 \h </w:instrText>
      </w:r>
      <w:r w:rsidR="004E6F3C">
        <w:fldChar w:fldCharType="separate"/>
      </w:r>
      <w:r w:rsidR="004E6F3C">
        <w:t xml:space="preserve">Figure </w:t>
      </w:r>
      <w:r w:rsidR="004E6F3C">
        <w:rPr>
          <w:noProof/>
        </w:rPr>
        <w:t>1</w:t>
      </w:r>
      <w:r w:rsidR="004E6F3C">
        <w:fldChar w:fldCharType="end"/>
      </w:r>
      <w:r w:rsidR="004E6F3C">
        <w:t xml:space="preserve"> </w:t>
      </w:r>
      <w:r w:rsidR="0045159C">
        <w:t>(</w:t>
      </w:r>
      <w:r w:rsidR="004E6F3C">
        <w:t>right</w:t>
      </w:r>
      <w:r w:rsidR="0045159C">
        <w:t>)</w:t>
      </w:r>
      <w:r w:rsidR="004E6F3C">
        <w:t>,</w:t>
      </w:r>
      <w:r>
        <w:t xml:space="preserve"> </w:t>
      </w:r>
      <w:r w:rsidR="004E6F3C">
        <w:t>while</w:t>
      </w:r>
      <w:r>
        <w:t xml:space="preserve"> P</w:t>
      </w:r>
      <w:r w:rsidRPr="00AF480B">
        <w:rPr>
          <w:vertAlign w:val="subscript"/>
        </w:rPr>
        <w:t>feed,2</w:t>
      </w:r>
      <w:r>
        <w:t xml:space="preserve"> </w:t>
      </w:r>
      <w:r w:rsidR="004E6F3C">
        <w:t xml:space="preserve">is </w:t>
      </w:r>
      <w:r>
        <w:t>equal to 1 bar) that minimizes the capture penalty (techno-economic objective function).</w:t>
      </w:r>
      <w:r w:rsidR="007D3EC4" w:rsidRPr="007D3EC4">
        <w:rPr>
          <w:noProof/>
        </w:rPr>
        <w:t xml:space="preserve"> </w:t>
      </w:r>
    </w:p>
    <w:p w14:paraId="58671126" w14:textId="5262DFD8" w:rsidR="007D3EC4" w:rsidRDefault="00FA6E98" w:rsidP="008D2649">
      <w:pPr>
        <w:pStyle w:val="Els-body-text"/>
        <w:rPr>
          <w:noProof/>
        </w:rPr>
      </w:pPr>
      <w:r>
        <w:t xml:space="preserve">For the optimization, we </w:t>
      </w:r>
      <w:r w:rsidR="00E90D2D">
        <w:t xml:space="preserve">used </w:t>
      </w:r>
      <w:r>
        <w:t>the shooting method, where a coarse grid search is followed by</w:t>
      </w:r>
      <w:r w:rsidR="004A650D">
        <w:t xml:space="preserve"> optimization via</w:t>
      </w:r>
      <w:r>
        <w:t xml:space="preserve"> </w:t>
      </w:r>
      <w:r w:rsidR="00376BD2">
        <w:t xml:space="preserve">Sequential Least Square Programming </w:t>
      </w:r>
      <w:r w:rsidR="004A650D">
        <w:t>(</w:t>
      </w:r>
      <w:r w:rsidR="00376BD2">
        <w:t xml:space="preserve">SLSQP from </w:t>
      </w:r>
      <w:proofErr w:type="spellStart"/>
      <w:r w:rsidR="00376BD2" w:rsidRPr="00F23CA9">
        <w:rPr>
          <w:i/>
          <w:iCs/>
        </w:rPr>
        <w:t>scipy</w:t>
      </w:r>
      <w:proofErr w:type="spellEnd"/>
      <w:r w:rsidR="00F23CA9">
        <w:t xml:space="preserve"> </w:t>
      </w:r>
      <w:r w:rsidR="00376BD2">
        <w:t>library</w:t>
      </w:r>
      <w:r w:rsidR="00F23CA9">
        <w:t xml:space="preserve"> in Python</w:t>
      </w:r>
      <w:r w:rsidR="00376BD2">
        <w:t>).</w:t>
      </w:r>
      <w:r w:rsidR="0043350E">
        <w:t xml:space="preserve"> </w:t>
      </w:r>
      <w:r w:rsidR="0043350E">
        <w:fldChar w:fldCharType="begin"/>
      </w:r>
      <w:r w:rsidR="0043350E">
        <w:instrText xml:space="preserve"> REF _Ref151562720 \h </w:instrText>
      </w:r>
      <w:r w:rsidR="0043350E">
        <w:fldChar w:fldCharType="separate"/>
      </w:r>
      <w:r w:rsidR="0043350E">
        <w:t xml:space="preserve">Figure </w:t>
      </w:r>
      <w:r w:rsidR="0043350E">
        <w:rPr>
          <w:noProof/>
        </w:rPr>
        <w:t>2</w:t>
      </w:r>
      <w:r w:rsidR="0043350E">
        <w:fldChar w:fldCharType="end"/>
      </w:r>
      <w:r w:rsidR="0043350E">
        <w:t xml:space="preserve"> shows an example for the case of permeance of 500 GPU and selectivity of 20, where the grid search allowed to identify </w:t>
      </w:r>
      <w:r w:rsidR="001941A8">
        <w:t>narrow</w:t>
      </w:r>
      <w:r w:rsidR="0043350E">
        <w:t xml:space="preserve"> ranges of the optimization variables within which we performed local optimization (minimum value</w:t>
      </w:r>
      <w:r w:rsidR="00A60457" w:rsidRPr="00A60457">
        <w:t xml:space="preserve"> </w:t>
      </w:r>
      <w:r w:rsidR="00A60457">
        <w:t xml:space="preserve">of 72 $/t, represented with a </w:t>
      </w:r>
      <w:r w:rsidR="00C653F5">
        <w:t xml:space="preserve">circular marker </w:t>
      </w:r>
      <w:r w:rsidR="00A60457">
        <w:t xml:space="preserve">in the map of </w:t>
      </w:r>
      <w:r w:rsidR="00A60457">
        <w:fldChar w:fldCharType="begin"/>
      </w:r>
      <w:r w:rsidR="00A60457">
        <w:instrText xml:space="preserve"> REF _Ref151562720 \h </w:instrText>
      </w:r>
      <w:r w:rsidR="00A60457">
        <w:fldChar w:fldCharType="separate"/>
      </w:r>
      <w:r w:rsidR="00A60457">
        <w:t xml:space="preserve">Figure </w:t>
      </w:r>
      <w:r w:rsidR="00A60457">
        <w:rPr>
          <w:noProof/>
        </w:rPr>
        <w:t>2</w:t>
      </w:r>
      <w:r w:rsidR="00A60457">
        <w:fldChar w:fldCharType="end"/>
      </w:r>
      <w:r w:rsidR="0043350E">
        <w:t>).</w:t>
      </w:r>
      <w:r w:rsidR="007D3EC4" w:rsidRPr="007D3EC4">
        <w:rPr>
          <w:noProof/>
        </w:rPr>
        <w:t xml:space="preserve"> </w:t>
      </w:r>
    </w:p>
    <w:p w14:paraId="40C6D447" w14:textId="77777777" w:rsidR="007D3EC4" w:rsidRPr="002A3676" w:rsidRDefault="007D3EC4" w:rsidP="007D3EC4">
      <w:pPr>
        <w:pStyle w:val="Heading1"/>
        <w:spacing w:before="120" w:after="120"/>
      </w:pPr>
      <w:r>
        <w:t>Description of the system and the operating conditions</w:t>
      </w:r>
    </w:p>
    <w:p w14:paraId="7D17F167" w14:textId="7CC01566" w:rsidR="007D3EC4" w:rsidRDefault="007D3EC4" w:rsidP="007D3EC4">
      <w:r>
        <w:t xml:space="preserve">The membrane process presents two stages as in the scheme of </w:t>
      </w:r>
      <w:r>
        <w:fldChar w:fldCharType="begin"/>
      </w:r>
      <w:r>
        <w:instrText xml:space="preserve"> REF _Ref151555054 \h </w:instrText>
      </w:r>
      <w:r>
        <w:fldChar w:fldCharType="separate"/>
      </w:r>
      <w:r>
        <w:t xml:space="preserve">Figure </w:t>
      </w:r>
      <w:r>
        <w:rPr>
          <w:noProof/>
        </w:rPr>
        <w:t>1</w:t>
      </w:r>
      <w:r>
        <w:fldChar w:fldCharType="end"/>
      </w:r>
      <w:r>
        <w:t xml:space="preserve"> (right</w:t>
      </w:r>
      <w:r>
        <w:t>), where</w:t>
      </w:r>
      <w:r>
        <w:t xml:space="preserve"> the membrane areas are designed to achieve the targets of 90% CO</w:t>
      </w:r>
      <w:r w:rsidRPr="00A96586">
        <w:rPr>
          <w:vertAlign w:val="subscript"/>
        </w:rPr>
        <w:t>2</w:t>
      </w:r>
      <w:r>
        <w:t xml:space="preserve"> recovery and 95% CO</w:t>
      </w:r>
      <w:r w:rsidRPr="00A96586">
        <w:rPr>
          <w:vertAlign w:val="subscript"/>
        </w:rPr>
        <w:t>2</w:t>
      </w:r>
      <w:r>
        <w:t xml:space="preserve"> purity. The flue gas fed to the membrane process is produced</w:t>
      </w:r>
      <w:r>
        <w:t xml:space="preserve"> </w:t>
      </w:r>
      <w:r>
        <w:t>by a coal power plant, the flow rate is 4385 mol/s (corresponding to 0.6 million ton</w:t>
      </w:r>
      <w:r w:rsidRPr="00A96586">
        <w:rPr>
          <w:vertAlign w:val="subscript"/>
        </w:rPr>
        <w:t>CO2</w:t>
      </w:r>
      <w:r>
        <w:t>/y captured) and the composition is: 13.5% CO</w:t>
      </w:r>
      <w:r w:rsidRPr="00A96586">
        <w:rPr>
          <w:vertAlign w:val="subscript"/>
        </w:rPr>
        <w:t>2</w:t>
      </w:r>
      <w:r>
        <w:t>, 15% H</w:t>
      </w:r>
      <w:r w:rsidRPr="00A96586">
        <w:rPr>
          <w:vertAlign w:val="subscript"/>
        </w:rPr>
        <w:t>2</w:t>
      </w:r>
      <w:r>
        <w:t>O, 3% O</w:t>
      </w:r>
      <w:r w:rsidRPr="00A96586">
        <w:rPr>
          <w:vertAlign w:val="subscript"/>
        </w:rPr>
        <w:t>2</w:t>
      </w:r>
      <w:r>
        <w:t xml:space="preserve"> and 68.5% N</w:t>
      </w:r>
      <w:r w:rsidRPr="00A96586">
        <w:rPr>
          <w:vertAlign w:val="subscript"/>
        </w:rPr>
        <w:t>2</w:t>
      </w:r>
      <w:r>
        <w:t xml:space="preserve"> </w:t>
      </w:r>
      <w:r w:rsidRPr="006C40AB">
        <w:t>(</w:t>
      </w:r>
      <w:proofErr w:type="spellStart"/>
      <w:r w:rsidRPr="006C40AB">
        <w:t>Micari</w:t>
      </w:r>
      <w:proofErr w:type="spellEnd"/>
      <w:r w:rsidRPr="006C40AB">
        <w:t xml:space="preserve"> et al., 2021)</w:t>
      </w:r>
      <w:r>
        <w:t>. The simulations take into account the multicomponent feed and assume a fixed CO</w:t>
      </w:r>
      <w:r w:rsidRPr="00A96586">
        <w:rPr>
          <w:vertAlign w:val="subscript"/>
        </w:rPr>
        <w:t>2</w:t>
      </w:r>
      <w:r>
        <w:t>/H</w:t>
      </w:r>
      <w:r w:rsidRPr="00A96586">
        <w:rPr>
          <w:vertAlign w:val="subscript"/>
        </w:rPr>
        <w:t>2</w:t>
      </w:r>
      <w:r>
        <w:t>O and CO</w:t>
      </w:r>
      <w:r w:rsidRPr="00A96586">
        <w:rPr>
          <w:vertAlign w:val="subscript"/>
        </w:rPr>
        <w:t>2</w:t>
      </w:r>
      <w:r>
        <w:t>/O</w:t>
      </w:r>
      <w:r w:rsidRPr="00A96586">
        <w:rPr>
          <w:vertAlign w:val="subscript"/>
        </w:rPr>
        <w:t>2</w:t>
      </w:r>
      <w:r>
        <w:t xml:space="preserve"> selectivity of 1 and 12.6, respectively </w:t>
      </w:r>
      <w:r w:rsidRPr="006C40AB">
        <w:t>(</w:t>
      </w:r>
      <w:proofErr w:type="spellStart"/>
      <w:r w:rsidRPr="006C40AB">
        <w:t>Micari</w:t>
      </w:r>
      <w:proofErr w:type="spellEnd"/>
      <w:r w:rsidRPr="006C40AB">
        <w:t xml:space="preserve"> et al., 2021)</w:t>
      </w:r>
      <w:r>
        <w:t xml:space="preserve">. We </w:t>
      </w:r>
      <w:r>
        <w:t>vary</w:t>
      </w:r>
      <w:r w:rsidR="00A41784">
        <w:t xml:space="preserve"> </w:t>
      </w:r>
      <w:r>
        <w:t>CO</w:t>
      </w:r>
      <w:r w:rsidRPr="00374AC5">
        <w:rPr>
          <w:vertAlign w:val="subscript"/>
        </w:rPr>
        <w:t>2</w:t>
      </w:r>
      <w:r>
        <w:t xml:space="preserve"> permeance and CO</w:t>
      </w:r>
      <w:r w:rsidRPr="00374AC5">
        <w:rPr>
          <w:vertAlign w:val="subscript"/>
        </w:rPr>
        <w:t>2</w:t>
      </w:r>
      <w:r>
        <w:t>/N</w:t>
      </w:r>
      <w:r w:rsidRPr="00374AC5">
        <w:rPr>
          <w:vertAlign w:val="subscript"/>
        </w:rPr>
        <w:t>2</w:t>
      </w:r>
      <w:r>
        <w:t xml:space="preserve"> selectivity from 500 to 10000 GPU (Gas Permeation Unit, 1 GPU = 3.35 </w:t>
      </w:r>
      <w:r>
        <w:sym w:font="Symbol" w:char="F0B4"/>
      </w:r>
      <w:r>
        <w:t xml:space="preserve"> 10</w:t>
      </w:r>
      <w:r w:rsidRPr="0045159C">
        <w:rPr>
          <w:vertAlign w:val="superscript"/>
        </w:rPr>
        <w:t>-10</w:t>
      </w:r>
      <w:r>
        <w:t xml:space="preserve"> mol/ (m</w:t>
      </w:r>
      <w:r w:rsidRPr="0045159C">
        <w:rPr>
          <w:vertAlign w:val="superscript"/>
        </w:rPr>
        <w:t>2</w:t>
      </w:r>
      <w:r>
        <w:t xml:space="preserve"> s Pa)) and from 20 to 100</w:t>
      </w:r>
      <w:r>
        <w:t>, respectively</w:t>
      </w:r>
      <w:r>
        <w:t>.</w:t>
      </w:r>
    </w:p>
    <w:p w14:paraId="618409D9" w14:textId="77777777" w:rsidR="007D3EC4" w:rsidRPr="002A3676" w:rsidRDefault="007D3EC4" w:rsidP="007D3EC4">
      <w:pPr>
        <w:pStyle w:val="Heading1"/>
        <w:spacing w:before="120" w:after="120"/>
      </w:pPr>
      <w:r>
        <w:t>Results and discussion</w:t>
      </w:r>
    </w:p>
    <w:p w14:paraId="5FE01A9D" w14:textId="49AC8239" w:rsidR="007D3EC4" w:rsidRDefault="007D3EC4" w:rsidP="007D3EC4">
      <w:r>
        <w:t xml:space="preserve">The </w:t>
      </w:r>
      <w:r>
        <w:t xml:space="preserve">optimization </w:t>
      </w:r>
      <w:r>
        <w:t xml:space="preserve">maps of membrane area, energy consumption, and capture penalty are reported in </w:t>
      </w:r>
      <w:r>
        <w:fldChar w:fldCharType="begin"/>
      </w:r>
      <w:r>
        <w:instrText xml:space="preserve"> REF _Ref151475342 \h </w:instrText>
      </w:r>
      <w:r>
        <w:fldChar w:fldCharType="separate"/>
      </w:r>
      <w:r>
        <w:t xml:space="preserve">Figure </w:t>
      </w:r>
      <w:r>
        <w:rPr>
          <w:noProof/>
        </w:rPr>
        <w:t>3</w:t>
      </w:r>
      <w:r>
        <w:fldChar w:fldCharType="end"/>
      </w:r>
      <w:r>
        <w:t>.</w:t>
      </w:r>
      <w:r>
        <w:t xml:space="preserve"> </w:t>
      </w:r>
      <w:r>
        <w:t>From the map of membrane area (</w:t>
      </w:r>
      <w:r>
        <w:fldChar w:fldCharType="begin"/>
      </w:r>
      <w:r>
        <w:instrText xml:space="preserve"> REF _Ref151475342 \h </w:instrText>
      </w:r>
      <w:r>
        <w:fldChar w:fldCharType="separate"/>
      </w:r>
      <w:r>
        <w:t xml:space="preserve">Figure </w:t>
      </w:r>
      <w:r>
        <w:rPr>
          <w:noProof/>
        </w:rPr>
        <w:t>3</w:t>
      </w:r>
      <w:r>
        <w:fldChar w:fldCharType="end"/>
      </w:r>
      <w:r>
        <w:t>A), we observe that in general membrane area is controlled by permeance.</w:t>
      </w:r>
      <w:r>
        <w:t xml:space="preserve"> </w:t>
      </w:r>
      <w:r>
        <w:t>This is particularly evident when the permeance is low (&lt; 1000 GPU) or when the permeance is high (&gt; 7000 GPU).</w:t>
      </w:r>
      <w:r>
        <w:t xml:space="preserve"> </w:t>
      </w:r>
      <w:r>
        <w:t>In the intermediate region, the selectivity plays a role, and an increase of selectivity causes an increase in membrane area.</w:t>
      </w:r>
      <w:r>
        <w:t xml:space="preserve"> </w:t>
      </w:r>
      <w:r>
        <w:t>This can be explained by considering that: (</w:t>
      </w:r>
      <w:proofErr w:type="spellStart"/>
      <w:r>
        <w:t>i</w:t>
      </w:r>
      <w:proofErr w:type="spellEnd"/>
      <w:r>
        <w:t>) at higher selectivity, the optimal feed pressure is lower and the optimal permeate pressure is higher, since lower driving force is preferred to reduce energy; (ii) for a given CO</w:t>
      </w:r>
      <w:r w:rsidRPr="00C253A9">
        <w:rPr>
          <w:vertAlign w:val="subscript"/>
        </w:rPr>
        <w:t>2</w:t>
      </w:r>
      <w:r>
        <w:t xml:space="preserve"> permeance, </w:t>
      </w:r>
      <w:r>
        <w:lastRenderedPageBreak/>
        <w:t>when CO</w:t>
      </w:r>
      <w:r w:rsidRPr="00C253A9">
        <w:rPr>
          <w:vertAlign w:val="subscript"/>
        </w:rPr>
        <w:t>2</w:t>
      </w:r>
      <w:r>
        <w:t>/N</w:t>
      </w:r>
      <w:r w:rsidRPr="00C253A9">
        <w:rPr>
          <w:vertAlign w:val="subscript"/>
        </w:rPr>
        <w:t>2</w:t>
      </w:r>
      <w:r>
        <w:t xml:space="preserve"> selectivity increases, the N</w:t>
      </w:r>
      <w:r w:rsidRPr="00C253A9">
        <w:rPr>
          <w:vertAlign w:val="subscript"/>
        </w:rPr>
        <w:t>2</w:t>
      </w:r>
      <w:r>
        <w:t xml:space="preserve"> permeance decreases; (iii) the higher CO</w:t>
      </w:r>
      <w:r w:rsidRPr="00D20749">
        <w:rPr>
          <w:vertAlign w:val="subscript"/>
        </w:rPr>
        <w:t>2</w:t>
      </w:r>
      <w:r>
        <w:rPr>
          <w:vertAlign w:val="subscript"/>
        </w:rPr>
        <w:t xml:space="preserve"> </w:t>
      </w:r>
      <w:r>
        <w:t xml:space="preserve">concentration in the permeate given by the higher selectivity reduces driving force along the length of the stage. </w:t>
      </w:r>
    </w:p>
    <w:p w14:paraId="6DA96739" w14:textId="76CA0FA3" w:rsidR="007D3EC4" w:rsidRDefault="007D3EC4" w:rsidP="007D3EC4">
      <w:pPr>
        <w:pStyle w:val="Els-body-text"/>
        <w:jc w:val="center"/>
        <w:rPr>
          <w:noProof/>
        </w:rPr>
      </w:pPr>
      <w:r>
        <w:rPr>
          <w:noProof/>
        </w:rPr>
        <w:drawing>
          <wp:inline distT="0" distB="0" distL="0" distR="0" wp14:anchorId="5F6C6548" wp14:editId="1CDFD7B4">
            <wp:extent cx="2067000" cy="1550260"/>
            <wp:effectExtent l="0" t="0" r="3175" b="0"/>
            <wp:docPr id="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0"/>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0" y="0"/>
                      <a:ext cx="2067000" cy="1550260"/>
                    </a:xfrm>
                    <a:prstGeom prst="rect">
                      <a:avLst/>
                    </a:prstGeom>
                  </pic:spPr>
                </pic:pic>
              </a:graphicData>
            </a:graphic>
          </wp:inline>
        </w:drawing>
      </w:r>
    </w:p>
    <w:p w14:paraId="3FC0B980" w14:textId="425539C2" w:rsidR="007D3EC4" w:rsidRDefault="007D3EC4" w:rsidP="007D3EC4">
      <w:pPr>
        <w:pStyle w:val="Els-body-text"/>
        <w:jc w:val="center"/>
        <w:rPr>
          <w:noProof/>
        </w:rPr>
      </w:pPr>
      <w:r>
        <w:rPr>
          <w:noProof/>
        </w:rPr>
        <mc:AlternateContent>
          <mc:Choice Requires="wps">
            <w:drawing>
              <wp:inline distT="0" distB="0" distL="0" distR="0" wp14:anchorId="5A95A476" wp14:editId="333482CE">
                <wp:extent cx="4423508" cy="240249"/>
                <wp:effectExtent l="0" t="0" r="0" b="1270"/>
                <wp:docPr id="41" name="Text Box 41"/>
                <wp:cNvGraphicFramePr/>
                <a:graphic xmlns:a="http://schemas.openxmlformats.org/drawingml/2006/main">
                  <a:graphicData uri="http://schemas.microsoft.com/office/word/2010/wordprocessingShape">
                    <wps:wsp>
                      <wps:cNvSpPr txBox="1"/>
                      <wps:spPr>
                        <a:xfrm>
                          <a:off x="0" y="0"/>
                          <a:ext cx="4423508" cy="240249"/>
                        </a:xfrm>
                        <a:prstGeom prst="rect">
                          <a:avLst/>
                        </a:prstGeom>
                        <a:solidFill>
                          <a:prstClr val="white"/>
                        </a:solidFill>
                        <a:ln>
                          <a:noFill/>
                        </a:ln>
                      </wps:spPr>
                      <wps:txbx>
                        <w:txbxContent>
                          <w:p w14:paraId="07F23633" w14:textId="77777777" w:rsidR="007D3EC4" w:rsidRPr="00C71692" w:rsidRDefault="007D3EC4" w:rsidP="007D3EC4">
                            <w:pPr>
                              <w:pStyle w:val="Caption"/>
                              <w:rPr>
                                <w:noProof/>
                                <w:sz w:val="20"/>
                              </w:rPr>
                            </w:pPr>
                            <w:bookmarkStart w:id="1" w:name="_Ref151562720"/>
                            <w:r>
                              <w:t xml:space="preserve">Figure </w:t>
                            </w:r>
                            <w:r>
                              <w:fldChar w:fldCharType="begin"/>
                            </w:r>
                            <w:r>
                              <w:instrText xml:space="preserve"> SEQ Figure \* ARABIC </w:instrText>
                            </w:r>
                            <w:r>
                              <w:fldChar w:fldCharType="separate"/>
                            </w:r>
                            <w:r>
                              <w:rPr>
                                <w:noProof/>
                              </w:rPr>
                              <w:t>2</w:t>
                            </w:r>
                            <w:r>
                              <w:fldChar w:fldCharType="end"/>
                            </w:r>
                            <w:bookmarkEnd w:id="1"/>
                            <w:r>
                              <w:t>. Example of optimization process for permeance of 500 GPU and selectivity of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A95A476" id="_x0000_t202" coordsize="21600,21600" o:spt="202" path="m,l,21600r21600,l21600,xe">
                <v:stroke joinstyle="miter"/>
                <v:path gradientshapeok="t" o:connecttype="rect"/>
              </v:shapetype>
              <v:shape id="Text Box 41" o:spid="_x0000_s1026" type="#_x0000_t202" style="width:348.3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j3BGAIAADsEAAAOAAAAZHJzL2Uyb0RvYy54bWysU01v2zAMvQ/YfxB0X+xk2bAGcYosRYYB&#13;&#10;RVsgHXpWZCkWIIsapcTOfv0ofyRbt9Owi0yTFCm+97i8bWvLTgqDAVfw6STnTDkJpXGHgn973r77&#13;&#10;xFmIwpXCglMFP6vAb1dv3ywbv1AzqMCWChkVcWHR+IJXMfpFlgVZqVqECXjlKKgBaxHpFw9ZiaKh&#13;&#10;6rXNZnn+MWsAS48gVQjkveuDfNXV11rJ+Kh1UJHZgtPbYndid+7Tma2WYnFA4Ssjh2eIf3hFLYyj&#13;&#10;ppdSdyIKdkTzR6naSIQAOk4k1BlobaTqZqBppvmraXaV8KqbhcAJ/gJT+H9l5cNp55+QxfYztERg&#13;&#10;AqTxYRHImeZpNdbpSy9lFCcIzxfYVBuZJOd8Pnv/ISeiJcVm83w2v0llsuttjyF+UVCzZBQciZYO&#13;&#10;LXG6D7FPHVNSswDWlFtjbfpJgY1FdhJEYVOZqIbiv2VZl3IdpFt9weTJrqMkK7b7dphvD+WZxkbo&#13;&#10;FRG83BpqdC9CfBJIEqBJSdbxkQ5toSk4DBZnFeCPv/lTPjFDUc4aklTBw/ejQMWZ/eqIs6S/0cDR&#13;&#10;2I+GO9YboBGntDBediZdwGhHUyPUL6T2depCIeEk9Sp4HM1N7IVN2yLVet0lkcq8iPdu52UqPQL6&#13;&#10;3L4I9AMdkYh8gFFsYvGKlT63h3d9jKBNR1kCtEdxwJkU2pE+bFNagV//u6zrzq9+AgAA//8DAFBL&#13;&#10;AwQUAAYACAAAACEA9sB71t4AAAAJAQAADwAAAGRycy9kb3ducmV2LnhtbEyPwU7DMBBE70j8g7VI&#13;&#10;XBB1KFIoaZwKGrjBoaXqeRu7SdR4HdlOk/49Cxe4jLQazey8fDXZTpyND60jBQ+zBIShyumWagW7&#13;&#10;r/f7BYgQkTR2joyCiwmwKq6vcsy0G2ljzttYCy6hkKGCJsY+kzJUjbEYZq43xN7ReYuRT19L7XHk&#13;&#10;ctvJeZKk0mJL/KHB3qwbU522g1WQln4YN7S+K3dvH/jZ1/P962Wv1O3NVC5ZXpYgopniXwJ+GHg/&#13;&#10;FDzs4AbSQXQKmCb+Knvpc5qCOCh4fFqALHL5n6D4BgAA//8DAFBLAQItABQABgAIAAAAIQC2gziS&#13;&#10;/gAAAOEBAAATAAAAAAAAAAAAAAAAAAAAAABbQ29udGVudF9UeXBlc10ueG1sUEsBAi0AFAAGAAgA&#13;&#10;AAAhADj9If/WAAAAlAEAAAsAAAAAAAAAAAAAAAAALwEAAF9yZWxzLy5yZWxzUEsBAi0AFAAGAAgA&#13;&#10;AAAhAAkyPcEYAgAAOwQAAA4AAAAAAAAAAAAAAAAALgIAAGRycy9lMm9Eb2MueG1sUEsBAi0AFAAG&#13;&#10;AAgAAAAhAPbAe9beAAAACQEAAA8AAAAAAAAAAAAAAAAAcgQAAGRycy9kb3ducmV2LnhtbFBLBQYA&#13;&#10;AAAABAAEAPMAAAB9BQAAAAA=&#13;&#10;" stroked="f">
                <v:textbox inset="0,0,0,0">
                  <w:txbxContent>
                    <w:p w14:paraId="07F23633" w14:textId="77777777" w:rsidR="007D3EC4" w:rsidRPr="00C71692" w:rsidRDefault="007D3EC4" w:rsidP="007D3EC4">
                      <w:pPr>
                        <w:pStyle w:val="Caption"/>
                        <w:rPr>
                          <w:noProof/>
                          <w:sz w:val="20"/>
                        </w:rPr>
                      </w:pPr>
                      <w:bookmarkStart w:id="2" w:name="_Ref151562720"/>
                      <w:r>
                        <w:t xml:space="preserve">Figure </w:t>
                      </w:r>
                      <w:r>
                        <w:fldChar w:fldCharType="begin"/>
                      </w:r>
                      <w:r>
                        <w:instrText xml:space="preserve"> SEQ Figure \* ARABIC </w:instrText>
                      </w:r>
                      <w:r>
                        <w:fldChar w:fldCharType="separate"/>
                      </w:r>
                      <w:r>
                        <w:rPr>
                          <w:noProof/>
                        </w:rPr>
                        <w:t>2</w:t>
                      </w:r>
                      <w:r>
                        <w:fldChar w:fldCharType="end"/>
                      </w:r>
                      <w:bookmarkEnd w:id="2"/>
                      <w:r>
                        <w:t>. Example of optimization process for permeance of 500 GPU and selectivity of 20.</w:t>
                      </w:r>
                    </w:p>
                  </w:txbxContent>
                </v:textbox>
                <w10:anchorlock/>
              </v:shape>
            </w:pict>
          </mc:Fallback>
        </mc:AlternateContent>
      </w:r>
    </w:p>
    <w:p w14:paraId="548B5B5A" w14:textId="77777777" w:rsidR="007D3EC4" w:rsidRDefault="007D3EC4" w:rsidP="00294BF3"/>
    <w:p w14:paraId="6AB4AE2B" w14:textId="319DC196" w:rsidR="00001540" w:rsidRDefault="00B63BAB" w:rsidP="00294BF3">
      <w:r>
        <w:t>In</w:t>
      </w:r>
      <w:r w:rsidR="00001540">
        <w:t xml:space="preserve"> the map of specific energy</w:t>
      </w:r>
      <w:r>
        <w:t xml:space="preserve"> (</w:t>
      </w:r>
      <w:r>
        <w:fldChar w:fldCharType="begin"/>
      </w:r>
      <w:r>
        <w:instrText xml:space="preserve"> REF _Ref151475342 \h </w:instrText>
      </w:r>
      <w:r>
        <w:fldChar w:fldCharType="separate"/>
      </w:r>
      <w:r>
        <w:t xml:space="preserve">Figure </w:t>
      </w:r>
      <w:r>
        <w:rPr>
          <w:noProof/>
        </w:rPr>
        <w:t>3</w:t>
      </w:r>
      <w:r>
        <w:fldChar w:fldCharType="end"/>
      </w:r>
      <w:r>
        <w:t>B)</w:t>
      </w:r>
      <w:r w:rsidR="00001540">
        <w:t xml:space="preserve"> we can identify a region (selectivity </w:t>
      </w:r>
      <w:r w:rsidR="000D7F0E">
        <w:t>&lt;</w:t>
      </w:r>
      <w:r w:rsidR="00001540">
        <w:t xml:space="preserve"> 40) where the energy is almost only controlled by the selectivity. Conversely, at higher selectivity values, the permeance starts to play a role and, in particular, the energy increases when permeance decreases below </w:t>
      </w:r>
      <w:r w:rsidR="00E75FA2">
        <w:t>3</w:t>
      </w:r>
      <w:r w:rsidR="00001540">
        <w:t xml:space="preserve">000 GPU. As evident from the curve at 1.0 MJ/kg, the selectivity needs to increase when permeance reduces to keep the same value of </w:t>
      </w:r>
      <w:r>
        <w:t xml:space="preserve">specific </w:t>
      </w:r>
      <w:r w:rsidR="00001540">
        <w:t>energy</w:t>
      </w:r>
      <w:r>
        <w:t xml:space="preserve">, </w:t>
      </w:r>
      <w:r w:rsidR="00001540">
        <w:t>because</w:t>
      </w:r>
      <w:r>
        <w:t xml:space="preserve"> of</w:t>
      </w:r>
      <w:r w:rsidR="00001540">
        <w:t xml:space="preserve"> the </w:t>
      </w:r>
      <w:r>
        <w:t>higher</w:t>
      </w:r>
      <w:r w:rsidR="00001540">
        <w:t xml:space="preserve"> feed compression </w:t>
      </w:r>
      <w:r>
        <w:t>requirement at</w:t>
      </w:r>
      <w:r w:rsidR="00001540">
        <w:t xml:space="preserve"> lower permeance.</w:t>
      </w:r>
    </w:p>
    <w:p w14:paraId="6D9661BB" w14:textId="1A4DC720" w:rsidR="00001540" w:rsidRDefault="000D7F0E" w:rsidP="00294BF3">
      <w:r>
        <w:t>The o</w:t>
      </w:r>
      <w:r w:rsidR="00001540">
        <w:t xml:space="preserve">verall effect of membrane permeance and selectivity </w:t>
      </w:r>
      <w:r w:rsidR="00726E30">
        <w:t xml:space="preserve">is </w:t>
      </w:r>
      <w:r>
        <w:t>shown</w:t>
      </w:r>
      <w:r w:rsidR="00726E30">
        <w:t xml:space="preserve"> in the map of capture penalty</w:t>
      </w:r>
      <w:r w:rsidR="00BE3972">
        <w:t xml:space="preserve"> (</w:t>
      </w:r>
      <w:r w:rsidR="00BE3972">
        <w:fldChar w:fldCharType="begin"/>
      </w:r>
      <w:r w:rsidR="00BE3972">
        <w:instrText xml:space="preserve"> REF _Ref151475342 \h </w:instrText>
      </w:r>
      <w:r w:rsidR="00BE3972">
        <w:fldChar w:fldCharType="separate"/>
      </w:r>
      <w:r w:rsidR="00BE3972">
        <w:t xml:space="preserve">Figure </w:t>
      </w:r>
      <w:r w:rsidR="00BE3972">
        <w:rPr>
          <w:noProof/>
        </w:rPr>
        <w:t>3</w:t>
      </w:r>
      <w:r w:rsidR="00BE3972">
        <w:fldChar w:fldCharType="end"/>
      </w:r>
      <w:r w:rsidR="00BE3972">
        <w:t>C)</w:t>
      </w:r>
      <w:r w:rsidR="00726E30">
        <w:t xml:space="preserve">. </w:t>
      </w:r>
      <w:r w:rsidR="00E75FA2">
        <w:t>Here, w</w:t>
      </w:r>
      <w:r w:rsidR="00726E30">
        <w:t xml:space="preserve">e can </w:t>
      </w:r>
      <w:r w:rsidR="00BE3972">
        <w:t>isolate</w:t>
      </w:r>
      <w:r w:rsidR="00726E30">
        <w:t xml:space="preserve"> three regions: (i) selectivity </w:t>
      </w:r>
      <w:r>
        <w:t xml:space="preserve">&lt; </w:t>
      </w:r>
      <w:r w:rsidR="00726E30">
        <w:t xml:space="preserve">40; (ii) selectivity </w:t>
      </w:r>
      <w:r>
        <w:t>&gt;</w:t>
      </w:r>
      <w:r w:rsidR="00726E30">
        <w:t xml:space="preserve"> 40 and permeance </w:t>
      </w:r>
      <w:r>
        <w:t>&lt;</w:t>
      </w:r>
      <w:r w:rsidR="00726E30">
        <w:t xml:space="preserve"> 3000 GPU; (iii) selectivity </w:t>
      </w:r>
      <w:r>
        <w:t>&gt;</w:t>
      </w:r>
      <w:r w:rsidR="00726E30">
        <w:t xml:space="preserve"> 40 and permeance </w:t>
      </w:r>
      <w:r>
        <w:t>&gt;</w:t>
      </w:r>
      <w:r w:rsidR="00726E30">
        <w:t xml:space="preserve"> 3000 GPU.</w:t>
      </w:r>
    </w:p>
    <w:p w14:paraId="5FCF26D1" w14:textId="6B5A0A7F" w:rsidR="003250ED" w:rsidRDefault="00726E30" w:rsidP="00294BF3">
      <w:r>
        <w:t xml:space="preserve">In the first region, as shown in the curves at 40 and 50 $/t, the capture penalty is controlled by selectivity as it is driven by the operating cost </w:t>
      </w:r>
      <w:r w:rsidR="00D06FEC">
        <w:t xml:space="preserve">(specific </w:t>
      </w:r>
      <w:r>
        <w:t>energ</w:t>
      </w:r>
      <w:r w:rsidR="00BE3972">
        <w:t xml:space="preserve">y, </w:t>
      </w:r>
      <w:r w:rsidR="00BE3972">
        <w:fldChar w:fldCharType="begin"/>
      </w:r>
      <w:r w:rsidR="00BE3972">
        <w:instrText xml:space="preserve"> REF _Ref151475342 \h </w:instrText>
      </w:r>
      <w:r w:rsidR="00BE3972">
        <w:fldChar w:fldCharType="separate"/>
      </w:r>
      <w:r w:rsidR="00BE3972">
        <w:t xml:space="preserve">Figure </w:t>
      </w:r>
      <w:r w:rsidR="00BE3972">
        <w:rPr>
          <w:noProof/>
        </w:rPr>
        <w:t>3</w:t>
      </w:r>
      <w:r w:rsidR="00BE3972">
        <w:fldChar w:fldCharType="end"/>
      </w:r>
      <w:r w:rsidR="00BE3972">
        <w:t>B</w:t>
      </w:r>
      <w:r w:rsidR="00D06FEC">
        <w:t>)</w:t>
      </w:r>
      <w:r>
        <w:t xml:space="preserve">. In the second region, as shown by the same curves </w:t>
      </w:r>
      <w:r w:rsidR="00D14ECC">
        <w:t>in the range of higher selectivity values, the capture penalty is controlled by the permeance because of the larger investment cost for membrane area</w:t>
      </w:r>
      <w:r w:rsidR="00790AF3">
        <w:t xml:space="preserve"> which changes sharply with permeance (</w:t>
      </w:r>
      <w:r w:rsidR="00BE3972">
        <w:fldChar w:fldCharType="begin"/>
      </w:r>
      <w:r w:rsidR="00BE3972">
        <w:instrText xml:space="preserve"> REF _Ref151475342 \h </w:instrText>
      </w:r>
      <w:r w:rsidR="00BE3972">
        <w:fldChar w:fldCharType="separate"/>
      </w:r>
      <w:r w:rsidR="00BE3972">
        <w:t xml:space="preserve">Figure </w:t>
      </w:r>
      <w:r w:rsidR="00BE3972">
        <w:rPr>
          <w:noProof/>
        </w:rPr>
        <w:t>3</w:t>
      </w:r>
      <w:r w:rsidR="00BE3972">
        <w:fldChar w:fldCharType="end"/>
      </w:r>
      <w:r w:rsidR="00BE3972">
        <w:t>A</w:t>
      </w:r>
      <w:r w:rsidR="00790AF3">
        <w:t>)</w:t>
      </w:r>
      <w:r w:rsidR="00D14ECC">
        <w:t xml:space="preserve">. Finally, in the last region, as shown in the curve at 30 $/t, both membrane parameters play a role in determining the capture penalty and, within this range, the higher the </w:t>
      </w:r>
      <w:r w:rsidR="00E75FA2">
        <w:t>parameters</w:t>
      </w:r>
      <w:r w:rsidR="00D14ECC">
        <w:t>, the lower the minimized capture penalty.</w:t>
      </w:r>
      <w:r w:rsidR="00790AF3">
        <w:t xml:space="preserve"> </w:t>
      </w:r>
    </w:p>
    <w:p w14:paraId="188F5FD1" w14:textId="47206134" w:rsidR="00105C49" w:rsidRDefault="003250ED" w:rsidP="00294BF3">
      <w:r>
        <w:t>It is also important to mention that minimized capture penalties below 40 $/t are found for a wide range of membrane parameters</w:t>
      </w:r>
      <w:r w:rsidR="007E4A55">
        <w:t xml:space="preserve">. We can define a feasibility space of parameters with </w:t>
      </w:r>
      <w:r w:rsidR="00991225" w:rsidRPr="00345996">
        <w:t>permeance &gt;</w:t>
      </w:r>
      <w:r w:rsidR="00345996" w:rsidRPr="00345996">
        <w:t xml:space="preserve"> 2000 GPU</w:t>
      </w:r>
      <w:r w:rsidR="007E4A55">
        <w:t xml:space="preserve"> and</w:t>
      </w:r>
      <w:r w:rsidR="00991225" w:rsidRPr="00345996">
        <w:t xml:space="preserve"> selectivity</w:t>
      </w:r>
      <w:r w:rsidR="00345996" w:rsidRPr="00345996">
        <w:t xml:space="preserve"> </w:t>
      </w:r>
      <w:r w:rsidR="00991225" w:rsidRPr="00345996">
        <w:t>&gt;</w:t>
      </w:r>
      <w:r w:rsidR="00345996" w:rsidRPr="00345996">
        <w:t xml:space="preserve"> 40</w:t>
      </w:r>
      <w:r w:rsidR="007E4A55">
        <w:t>, where</w:t>
      </w:r>
      <w:r>
        <w:t xml:space="preserve"> membran</w:t>
      </w:r>
      <w:r w:rsidR="007E4A55">
        <w:t xml:space="preserve">es are </w:t>
      </w:r>
      <w:r>
        <w:t>highly competitive with absorption process</w:t>
      </w:r>
      <w:r w:rsidR="007E4A55">
        <w:t>.</w:t>
      </w:r>
    </w:p>
    <w:p w14:paraId="69EFEB26" w14:textId="577AA89A" w:rsidR="007D3EC4" w:rsidRDefault="007D3EC4" w:rsidP="007D3EC4">
      <w:pPr>
        <w:spacing w:before="100"/>
      </w:pPr>
      <w:r>
        <w:fldChar w:fldCharType="begin"/>
      </w:r>
      <w:r>
        <w:instrText xml:space="preserve"> REF _Ref151565295 \h </w:instrText>
      </w:r>
      <w:r>
        <w:fldChar w:fldCharType="separate"/>
      </w:r>
      <w:r>
        <w:t xml:space="preserve">Figure </w:t>
      </w:r>
      <w:r>
        <w:rPr>
          <w:noProof/>
        </w:rPr>
        <w:t>4</w:t>
      </w:r>
      <w:r>
        <w:fldChar w:fldCharType="end"/>
      </w:r>
      <w:r>
        <w:t xml:space="preserve"> shows the Pareto curves in the specific energy vs. specific area charts for given couples of permeance and selectivity.</w:t>
      </w:r>
      <w:r>
        <w:t xml:space="preserve"> </w:t>
      </w:r>
      <w:r>
        <w:t>The Pareto curves are obtained from all the points representing double-stage processes with variable pressures in the first and second stage, that fulfill the recovery and purity targets. When permeance is varied from 500 to 10000 GPU, the membrane area also varies by one order of magnitude.</w:t>
      </w:r>
      <w:r>
        <w:t xml:space="preserve"> </w:t>
      </w:r>
      <w:r>
        <w:t xml:space="preserve">The specific area in the Pareto curves ranges from 10 to 50 </w:t>
      </w:r>
      <w:r>
        <w:sym w:font="Symbol" w:char="F0B4"/>
      </w:r>
      <w:r>
        <w:t xml:space="preserve"> 10</w:t>
      </w:r>
      <w:r w:rsidRPr="00735079">
        <w:rPr>
          <w:vertAlign w:val="superscript"/>
        </w:rPr>
        <w:t>3</w:t>
      </w:r>
      <w:r>
        <w:t xml:space="preserve"> m</w:t>
      </w:r>
      <w:r w:rsidRPr="00735079">
        <w:rPr>
          <w:vertAlign w:val="superscript"/>
        </w:rPr>
        <w:t>2</w:t>
      </w:r>
      <w:r>
        <w:t xml:space="preserve">/(kg/s) for permeance of 500 GPU and from around 1 to 2.5 </w:t>
      </w:r>
      <w:r>
        <w:sym w:font="Symbol" w:char="F0B4"/>
      </w:r>
      <w:r>
        <w:t xml:space="preserve"> 10</w:t>
      </w:r>
      <w:r w:rsidRPr="00735079">
        <w:rPr>
          <w:vertAlign w:val="superscript"/>
        </w:rPr>
        <w:t>3</w:t>
      </w:r>
      <w:r>
        <w:t xml:space="preserve"> m</w:t>
      </w:r>
      <w:r w:rsidRPr="00735079">
        <w:rPr>
          <w:vertAlign w:val="superscript"/>
        </w:rPr>
        <w:t>2</w:t>
      </w:r>
      <w:r>
        <w:t>/(kg/s) with 10000 GPU.</w:t>
      </w:r>
      <w:r>
        <w:t xml:space="preserve"> </w:t>
      </w:r>
      <w:r>
        <w:t>Importantly, for a fixed permeance, the Pareto curves at variable selectivity shift vertically along the specific energy axis and show a much bigger drop when selectivity increases from 20 to 40 than when it increases from 40 to 100.</w:t>
      </w:r>
      <w:r>
        <w:t xml:space="preserve"> </w:t>
      </w:r>
      <w:r>
        <w:t xml:space="preserve">This is due to the fact that the system performance is controlled by selectivity when this is below 40, as observed also in the maps of </w:t>
      </w:r>
      <w:r>
        <w:fldChar w:fldCharType="begin"/>
      </w:r>
      <w:r>
        <w:instrText xml:space="preserve"> REF _Ref151475342 \h  \* MERGEFORMAT </w:instrText>
      </w:r>
      <w:r>
        <w:fldChar w:fldCharType="separate"/>
      </w:r>
      <w:r>
        <w:t xml:space="preserve">Figure </w:t>
      </w:r>
      <w:r>
        <w:rPr>
          <w:noProof/>
        </w:rPr>
        <w:t>3</w:t>
      </w:r>
      <w:r>
        <w:fldChar w:fldCharType="end"/>
      </w:r>
      <w:r>
        <w:t xml:space="preserve">. Thus, a further increase in selectivity has a lower impact on the overall capture cost. </w:t>
      </w:r>
    </w:p>
    <w:p w14:paraId="50D7D648" w14:textId="77777777" w:rsidR="007D3EC4" w:rsidRDefault="007D3EC4" w:rsidP="007D3EC4"/>
    <w:p w14:paraId="55AD1EBD" w14:textId="70D82A81" w:rsidR="007D3EC4" w:rsidRDefault="007D3EC4" w:rsidP="007D3EC4">
      <w:pPr>
        <w:spacing w:before="100"/>
        <w:jc w:val="center"/>
      </w:pPr>
      <w:r>
        <w:rPr>
          <w:noProof/>
        </w:rPr>
        <w:drawing>
          <wp:inline distT="0" distB="0" distL="0" distR="0" wp14:anchorId="29C1A938" wp14:editId="05859600">
            <wp:extent cx="3497646" cy="264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l="3376" t="1388" r="2196" b="3349"/>
                    <a:stretch/>
                  </pic:blipFill>
                  <pic:spPr bwMode="auto">
                    <a:xfrm>
                      <a:off x="0" y="0"/>
                      <a:ext cx="3504089" cy="2646466"/>
                    </a:xfrm>
                    <a:prstGeom prst="rect">
                      <a:avLst/>
                    </a:prstGeom>
                    <a:ln>
                      <a:noFill/>
                    </a:ln>
                    <a:extLst>
                      <a:ext uri="{53640926-AAD7-44D8-BBD7-CCE9431645EC}">
                        <a14:shadowObscured xmlns:a14="http://schemas.microsoft.com/office/drawing/2010/main"/>
                      </a:ext>
                    </a:extLst>
                  </pic:spPr>
                </pic:pic>
              </a:graphicData>
            </a:graphic>
          </wp:inline>
        </w:drawing>
      </w:r>
    </w:p>
    <w:p w14:paraId="2FE39305" w14:textId="70E6277B" w:rsidR="007D3EC4" w:rsidRDefault="007D3EC4" w:rsidP="007D3EC4">
      <w:pPr>
        <w:pStyle w:val="Caption"/>
      </w:pPr>
      <w:bookmarkStart w:id="3" w:name="_Ref151475342"/>
      <w:r>
        <w:t xml:space="preserve">Figure </w:t>
      </w:r>
      <w:r>
        <w:fldChar w:fldCharType="begin"/>
      </w:r>
      <w:r>
        <w:instrText xml:space="preserve"> SEQ Figure \* ARABIC </w:instrText>
      </w:r>
      <w:r>
        <w:fldChar w:fldCharType="separate"/>
      </w:r>
      <w:r>
        <w:rPr>
          <w:noProof/>
        </w:rPr>
        <w:t>3</w:t>
      </w:r>
      <w:r>
        <w:fldChar w:fldCharType="end"/>
      </w:r>
      <w:bookmarkEnd w:id="3"/>
      <w:r>
        <w:t>. Maps of specific area (A) and energy (B) corresponding to the minimum capture penalty (C) at variable permeance and selectivity. Targets: 90% CO</w:t>
      </w:r>
      <w:r w:rsidRPr="007E05EC">
        <w:rPr>
          <w:vertAlign w:val="subscript"/>
        </w:rPr>
        <w:t>2</w:t>
      </w:r>
      <w:r>
        <w:t xml:space="preserve"> recovery and 95% CO</w:t>
      </w:r>
      <w:r w:rsidRPr="007E05EC">
        <w:rPr>
          <w:vertAlign w:val="subscript"/>
        </w:rPr>
        <w:t>2</w:t>
      </w:r>
      <w:r>
        <w:t xml:space="preserve"> purity.</w:t>
      </w:r>
    </w:p>
    <w:p w14:paraId="28611026" w14:textId="44291C5B" w:rsidR="007E34C4" w:rsidRDefault="0049345F" w:rsidP="007D3EC4">
      <w:r>
        <w:t>On the other hand, in the lower charts, the Pareto curves at different permeances are located in the region of 2 MJ/kg of specific energy when selectivity is 20 and of 1 MJ/kg when selectivity is 100.</w:t>
      </w:r>
      <w:r w:rsidR="000D7F0E">
        <w:t xml:space="preserve"> </w:t>
      </w:r>
    </w:p>
    <w:p w14:paraId="7A5DF442" w14:textId="77777777" w:rsidR="002A3676" w:rsidRPr="00105C49" w:rsidRDefault="002A3676" w:rsidP="002A3676">
      <w:r>
        <w:t>Notably, when permeance increases, the curves shift to left along the specific area axis, showing how permeance mostly impacts membrane area rather than energy consumption.</w:t>
      </w:r>
    </w:p>
    <w:p w14:paraId="0F6E7F0A" w14:textId="329B35C0" w:rsidR="001E0CA3" w:rsidRDefault="0047121D" w:rsidP="00294BF3">
      <w:r>
        <w:t>The gap between the curves at 500 and 3000 GPU is larger than that between the curves at higher permeance</w:t>
      </w:r>
      <w:r w:rsidR="00175045">
        <w:t>s</w:t>
      </w:r>
      <w:r>
        <w:t>. Analogously to selectivity, this comparison shows that the effect of permeance variations is stronger when permeance is lower than 3000 GPU and a further increase has limited impact on global system performances.</w:t>
      </w:r>
    </w:p>
    <w:p w14:paraId="51069EE2" w14:textId="774711A6" w:rsidR="002A3676" w:rsidRPr="002A3676" w:rsidRDefault="0092335E" w:rsidP="007D3EC4">
      <w:pPr>
        <w:pStyle w:val="Heading1"/>
        <w:spacing w:before="120" w:after="120"/>
      </w:pPr>
      <w:r>
        <w:t>Conclusions</w:t>
      </w:r>
    </w:p>
    <w:p w14:paraId="630CB3FA" w14:textId="77777777" w:rsidR="007D3EC4" w:rsidRDefault="0092335E" w:rsidP="007D3EC4">
      <w:r>
        <w:t>This work presents a comprehensive assessment of the impact of membrane performance parameters, namely CO</w:t>
      </w:r>
      <w:r w:rsidRPr="00E539DD">
        <w:rPr>
          <w:vertAlign w:val="subscript"/>
        </w:rPr>
        <w:t>2</w:t>
      </w:r>
      <w:r>
        <w:t xml:space="preserve"> permeance and CO</w:t>
      </w:r>
      <w:r w:rsidRPr="00E539DD">
        <w:rPr>
          <w:vertAlign w:val="subscript"/>
        </w:rPr>
        <w:t>2</w:t>
      </w:r>
      <w:r>
        <w:t>/N</w:t>
      </w:r>
      <w:r w:rsidRPr="00E539DD">
        <w:rPr>
          <w:vertAlign w:val="subscript"/>
        </w:rPr>
        <w:t>2</w:t>
      </w:r>
      <w:r>
        <w:t xml:space="preserve"> selectivity, on the techno-economic figures of the optimized double-stage membrane processes for post-combustion capture from coal power plants flue gas.</w:t>
      </w:r>
      <w:r w:rsidR="00E75FA2">
        <w:t xml:space="preserve"> </w:t>
      </w:r>
      <w:r w:rsidR="007D3EC4">
        <w:t>The maps of minimized capture penalty and of the corresponding specific membrane area and energy consumption are powerful tools to identify regions with different roles of the two parameters. In particular, we can identify three regions: (</w:t>
      </w:r>
      <w:proofErr w:type="spellStart"/>
      <w:r w:rsidR="007D3EC4">
        <w:t>i</w:t>
      </w:r>
      <w:proofErr w:type="spellEnd"/>
      <w:r w:rsidR="007D3EC4">
        <w:t>) selectivity-controlled, when selectivity is below 40 at any permeance, (ii) permeance-controlled, when permeance is below 3000 GPU and selectivity is above 40, (iii) both permeance- and selectivity-controlled, when permeance is higher than 3000 GPU and selectivity higher than 40.</w:t>
      </w:r>
      <w:r w:rsidR="007D3EC4">
        <w:t xml:space="preserve"> </w:t>
      </w:r>
      <w:r w:rsidR="007D3EC4">
        <w:t>Also, the Pareto curves reported at variable selectivity or permeance values are important to understand to what extent the parameters impact the technical and economic figures and when their further increase starts to have a negligible role in terms of cost reduction. These results are very important as they provide useful guidelines to the membranes manufacturers concerning the parameters to improve and the impact of parameters variations depending on the region to which the specific membranes belong.</w:t>
      </w:r>
      <w:r w:rsidR="007D3EC4">
        <w:t xml:space="preserve"> </w:t>
      </w:r>
      <w:r w:rsidR="007D3EC4">
        <w:t xml:space="preserve">Finally, a wide feasibility space of parameters reports optimized </w:t>
      </w:r>
      <w:r w:rsidR="007D3EC4">
        <w:lastRenderedPageBreak/>
        <w:t>capture penalties below 40 $/t, thus showing the high competitiveness of membrane technology for post-combustion capture from the coal-fired power plants.</w:t>
      </w:r>
    </w:p>
    <w:p w14:paraId="5D08FDE2" w14:textId="6016095E" w:rsidR="007D3EC4" w:rsidRDefault="007D3EC4" w:rsidP="0049345F"/>
    <w:p w14:paraId="54CF934F" w14:textId="77777777" w:rsidR="007D3EC4" w:rsidRDefault="007D3EC4" w:rsidP="007D3EC4">
      <w:pPr>
        <w:jc w:val="center"/>
      </w:pPr>
      <w:r>
        <w:rPr>
          <w:noProof/>
        </w:rPr>
        <w:drawing>
          <wp:inline distT="0" distB="0" distL="0" distR="0" wp14:anchorId="3D141BAC" wp14:editId="47767132">
            <wp:extent cx="3639963" cy="275883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11" cstate="print">
                      <a:extLst>
                        <a:ext uri="{28A0092B-C50C-407E-A947-70E740481C1C}">
                          <a14:useLocalDpi xmlns:a14="http://schemas.microsoft.com/office/drawing/2010/main" val="0"/>
                        </a:ext>
                      </a:extLst>
                    </a:blip>
                    <a:srcRect t="2108" b="4635"/>
                    <a:stretch/>
                  </pic:blipFill>
                  <pic:spPr bwMode="auto">
                    <a:xfrm>
                      <a:off x="0" y="0"/>
                      <a:ext cx="3647049" cy="2764202"/>
                    </a:xfrm>
                    <a:prstGeom prst="rect">
                      <a:avLst/>
                    </a:prstGeom>
                    <a:ln>
                      <a:noFill/>
                    </a:ln>
                    <a:extLst>
                      <a:ext uri="{53640926-AAD7-44D8-BBD7-CCE9431645EC}">
                        <a14:shadowObscured xmlns:a14="http://schemas.microsoft.com/office/drawing/2010/main"/>
                      </a:ext>
                    </a:extLst>
                  </pic:spPr>
                </pic:pic>
              </a:graphicData>
            </a:graphic>
          </wp:inline>
        </w:drawing>
      </w:r>
    </w:p>
    <w:p w14:paraId="107C2D7E" w14:textId="02353390" w:rsidR="00CD1244" w:rsidRDefault="007D3EC4" w:rsidP="007D3EC4">
      <w:pPr>
        <w:pStyle w:val="Caption"/>
      </w:pPr>
      <w:bookmarkStart w:id="4" w:name="_Ref151565295"/>
      <w:r>
        <w:t xml:space="preserve">Figure </w:t>
      </w:r>
      <w:r>
        <w:fldChar w:fldCharType="begin"/>
      </w:r>
      <w:r>
        <w:instrText xml:space="preserve"> SEQ Figure \* ARABIC </w:instrText>
      </w:r>
      <w:r>
        <w:fldChar w:fldCharType="separate"/>
      </w:r>
      <w:r>
        <w:rPr>
          <w:noProof/>
        </w:rPr>
        <w:t>4</w:t>
      </w:r>
      <w:r>
        <w:fldChar w:fldCharType="end"/>
      </w:r>
      <w:bookmarkEnd w:id="4"/>
      <w:r>
        <w:t>. Pareto curves of specific energy vs. specific area at fixed CO</w:t>
      </w:r>
      <w:r w:rsidRPr="007E05EC">
        <w:rPr>
          <w:vertAlign w:val="subscript"/>
        </w:rPr>
        <w:t>2</w:t>
      </w:r>
      <w:r>
        <w:t xml:space="preserve"> permeance and variable CO</w:t>
      </w:r>
      <w:r w:rsidRPr="007E05EC">
        <w:rPr>
          <w:vertAlign w:val="subscript"/>
        </w:rPr>
        <w:t>2</w:t>
      </w:r>
      <w:r>
        <w:t>/N</w:t>
      </w:r>
      <w:r w:rsidRPr="007E05EC">
        <w:rPr>
          <w:vertAlign w:val="subscript"/>
        </w:rPr>
        <w:t>2</w:t>
      </w:r>
      <w:r>
        <w:t xml:space="preserve"> selectivity (upper charts) and at fixed selectivity and variable permeance (lower charts). The points represent the systems </w:t>
      </w:r>
      <w:r>
        <w:t>at</w:t>
      </w:r>
      <w:r>
        <w:t xml:space="preserve"> 90% recovery and 95% purity </w:t>
      </w:r>
      <w:r>
        <w:t>with</w:t>
      </w:r>
      <w:r>
        <w:t xml:space="preserve"> variable pressures.</w:t>
      </w:r>
      <w:bookmarkStart w:id="5" w:name="_Ref151538488"/>
    </w:p>
    <w:bookmarkEnd w:id="5"/>
    <w:p w14:paraId="457FF27E" w14:textId="45B5352B" w:rsidR="008544DD" w:rsidRDefault="008D2649" w:rsidP="00756789">
      <w:pPr>
        <w:pStyle w:val="Heading1"/>
        <w:numPr>
          <w:ilvl w:val="0"/>
          <w:numId w:val="0"/>
        </w:numPr>
        <w:spacing w:after="120"/>
      </w:pPr>
      <w:r>
        <w:t>References</w:t>
      </w:r>
      <w:r w:rsidR="00630D98">
        <w:t xml:space="preserve"> </w:t>
      </w:r>
    </w:p>
    <w:p w14:paraId="47420075" w14:textId="77777777" w:rsidR="008544DD" w:rsidRPr="00367561" w:rsidRDefault="008544DD" w:rsidP="008544DD">
      <w:pPr>
        <w:rPr>
          <w:noProof/>
          <w:sz w:val="18"/>
        </w:rPr>
      </w:pPr>
      <w:r w:rsidRPr="00367561">
        <w:rPr>
          <w:noProof/>
          <w:sz w:val="18"/>
          <w:lang w:val="en-GB"/>
        </w:rPr>
        <w:t xml:space="preserve">Arias, A. M., Mussati, M. C., Mores, P. L., Scenna, N. J., Caballero, J. A., &amp; Mussati, S. F., 2016, </w:t>
      </w:r>
    </w:p>
    <w:p w14:paraId="4A186A36" w14:textId="77777777" w:rsidR="008544DD" w:rsidRPr="00367561" w:rsidRDefault="008544DD" w:rsidP="008544DD">
      <w:pPr>
        <w:ind w:firstLine="426"/>
        <w:rPr>
          <w:noProof/>
          <w:sz w:val="18"/>
        </w:rPr>
      </w:pPr>
      <w:r w:rsidRPr="00367561">
        <w:rPr>
          <w:noProof/>
          <w:sz w:val="18"/>
          <w:lang w:val="en-GB"/>
        </w:rPr>
        <w:t xml:space="preserve">Optimization of multi-stage membrane systems for CO2 capture from flue gas, </w:t>
      </w:r>
    </w:p>
    <w:p w14:paraId="25AF6E10" w14:textId="77777777" w:rsidR="008544DD" w:rsidRPr="00367561" w:rsidRDefault="008544DD" w:rsidP="008544DD">
      <w:pPr>
        <w:ind w:firstLine="426"/>
        <w:rPr>
          <w:noProof/>
          <w:sz w:val="18"/>
          <w:lang w:val="en-GB"/>
        </w:rPr>
      </w:pPr>
      <w:r w:rsidRPr="00367561">
        <w:rPr>
          <w:noProof/>
          <w:sz w:val="18"/>
          <w:lang w:val="en-GB"/>
        </w:rPr>
        <w:t>International Journal of Greenhouse Gas Control, 53, 371–390</w:t>
      </w:r>
    </w:p>
    <w:p w14:paraId="561E2A7C" w14:textId="77777777" w:rsidR="008544DD" w:rsidRPr="00367561" w:rsidRDefault="008544DD" w:rsidP="008544DD">
      <w:pPr>
        <w:widowControl w:val="0"/>
        <w:autoSpaceDE w:val="0"/>
        <w:autoSpaceDN w:val="0"/>
        <w:adjustRightInd w:val="0"/>
        <w:rPr>
          <w:noProof/>
          <w:sz w:val="18"/>
        </w:rPr>
      </w:pPr>
      <w:r w:rsidRPr="00367561">
        <w:rPr>
          <w:noProof/>
          <w:sz w:val="18"/>
          <w:lang w:val="en-GB"/>
        </w:rPr>
        <w:t xml:space="preserve">Fujita, K., Akimoto, R., Suzuki, Y., Ogasawara, Y., Nakaiwa, M., &amp; Matsuda, K., 2022, </w:t>
      </w:r>
    </w:p>
    <w:p w14:paraId="5E50CC9C" w14:textId="77777777" w:rsidR="008544DD" w:rsidRPr="00367561" w:rsidRDefault="008544DD" w:rsidP="008544DD">
      <w:pPr>
        <w:widowControl w:val="0"/>
        <w:autoSpaceDE w:val="0"/>
        <w:autoSpaceDN w:val="0"/>
        <w:adjustRightInd w:val="0"/>
        <w:ind w:firstLine="426"/>
        <w:rPr>
          <w:noProof/>
          <w:sz w:val="18"/>
        </w:rPr>
      </w:pPr>
      <w:r w:rsidRPr="00367561">
        <w:rPr>
          <w:noProof/>
          <w:sz w:val="18"/>
          <w:lang w:val="en-GB"/>
        </w:rPr>
        <w:t xml:space="preserve">Evaluation of Economic Performance of Co2 Separation Process Using Mixed Matrix </w:t>
      </w:r>
    </w:p>
    <w:p w14:paraId="5CC65649" w14:textId="77777777" w:rsidR="008544DD" w:rsidRPr="00367561" w:rsidRDefault="008544DD" w:rsidP="008544DD">
      <w:pPr>
        <w:widowControl w:val="0"/>
        <w:autoSpaceDE w:val="0"/>
        <w:autoSpaceDN w:val="0"/>
        <w:adjustRightInd w:val="0"/>
        <w:ind w:left="720" w:hanging="294"/>
        <w:rPr>
          <w:noProof/>
          <w:sz w:val="18"/>
          <w:lang w:val="en-GB"/>
        </w:rPr>
      </w:pPr>
      <w:r w:rsidRPr="00367561">
        <w:rPr>
          <w:noProof/>
          <w:sz w:val="18"/>
          <w:lang w:val="en-GB"/>
        </w:rPr>
        <w:t>Membrane, 14th International Symposium on Process Systems Engineering,  49,  265–270</w:t>
      </w:r>
    </w:p>
    <w:p w14:paraId="3FE911A6" w14:textId="77777777" w:rsidR="008544DD" w:rsidRPr="00367561" w:rsidRDefault="008544DD" w:rsidP="008544DD">
      <w:pPr>
        <w:widowControl w:val="0"/>
        <w:autoSpaceDE w:val="0"/>
        <w:autoSpaceDN w:val="0"/>
        <w:adjustRightInd w:val="0"/>
        <w:rPr>
          <w:noProof/>
          <w:sz w:val="18"/>
        </w:rPr>
      </w:pPr>
      <w:r w:rsidRPr="00367561">
        <w:rPr>
          <w:noProof/>
          <w:sz w:val="18"/>
          <w:lang w:val="en-GB"/>
        </w:rPr>
        <w:t xml:space="preserve">Graciano, J. E. A., Alves, R. M. B., &amp; Chachuat, B., 2018, Surrogate-based Optimization </w:t>
      </w:r>
    </w:p>
    <w:p w14:paraId="6B56F30E" w14:textId="77777777" w:rsidR="008544DD" w:rsidRPr="00367561" w:rsidRDefault="008544DD" w:rsidP="008544DD">
      <w:pPr>
        <w:widowControl w:val="0"/>
        <w:autoSpaceDE w:val="0"/>
        <w:autoSpaceDN w:val="0"/>
        <w:adjustRightInd w:val="0"/>
        <w:ind w:firstLine="426"/>
        <w:rPr>
          <w:noProof/>
          <w:sz w:val="18"/>
        </w:rPr>
      </w:pPr>
      <w:r w:rsidRPr="00367561">
        <w:rPr>
          <w:noProof/>
          <w:sz w:val="18"/>
          <w:lang w:val="en-GB"/>
        </w:rPr>
        <w:t xml:space="preserve">Approach to Membrane Network Synthesis in Gas Separation, 28th European </w:t>
      </w:r>
    </w:p>
    <w:p w14:paraId="01B7538E" w14:textId="77777777" w:rsidR="008544DD" w:rsidRPr="00367561" w:rsidRDefault="008544DD" w:rsidP="008544DD">
      <w:pPr>
        <w:widowControl w:val="0"/>
        <w:autoSpaceDE w:val="0"/>
        <w:autoSpaceDN w:val="0"/>
        <w:adjustRightInd w:val="0"/>
        <w:ind w:firstLine="426"/>
        <w:rPr>
          <w:noProof/>
          <w:sz w:val="18"/>
          <w:lang w:val="en-GB"/>
        </w:rPr>
      </w:pPr>
      <w:r w:rsidRPr="00367561">
        <w:rPr>
          <w:noProof/>
          <w:sz w:val="18"/>
          <w:lang w:val="en-GB"/>
        </w:rPr>
        <w:t>Symposium on Computer Aided Process Engineering, 43, 597–602</w:t>
      </w:r>
    </w:p>
    <w:p w14:paraId="710D1E9D" w14:textId="77777777" w:rsidR="008544DD" w:rsidRPr="00367561" w:rsidRDefault="008544DD" w:rsidP="008544DD">
      <w:pPr>
        <w:widowControl w:val="0"/>
        <w:autoSpaceDE w:val="0"/>
        <w:autoSpaceDN w:val="0"/>
        <w:adjustRightInd w:val="0"/>
        <w:rPr>
          <w:noProof/>
          <w:sz w:val="18"/>
        </w:rPr>
      </w:pPr>
      <w:r w:rsidRPr="00367561">
        <w:rPr>
          <w:noProof/>
          <w:sz w:val="18"/>
          <w:lang w:val="en-GB"/>
        </w:rPr>
        <w:t xml:space="preserve">Han, Y., &amp; Ho, W. S. W., 2020, Design of Amine-Containing CO2-Selective Membrane Process </w:t>
      </w:r>
    </w:p>
    <w:p w14:paraId="1F5C5770" w14:textId="77777777" w:rsidR="008544DD" w:rsidRPr="00367561" w:rsidRDefault="008544DD" w:rsidP="008544DD">
      <w:pPr>
        <w:widowControl w:val="0"/>
        <w:autoSpaceDE w:val="0"/>
        <w:autoSpaceDN w:val="0"/>
        <w:adjustRightInd w:val="0"/>
        <w:ind w:firstLine="426"/>
        <w:rPr>
          <w:noProof/>
          <w:sz w:val="18"/>
        </w:rPr>
      </w:pPr>
      <w:r w:rsidRPr="00367561">
        <w:rPr>
          <w:noProof/>
          <w:sz w:val="18"/>
          <w:lang w:val="en-GB"/>
        </w:rPr>
        <w:t xml:space="preserve">for Carbon Capture from Flue Gas, Industrial and Engineering Chemistry Research, 59, </w:t>
      </w:r>
    </w:p>
    <w:p w14:paraId="34932B8B" w14:textId="77777777" w:rsidR="008544DD" w:rsidRPr="00367561" w:rsidRDefault="008544DD" w:rsidP="008544DD">
      <w:pPr>
        <w:widowControl w:val="0"/>
        <w:autoSpaceDE w:val="0"/>
        <w:autoSpaceDN w:val="0"/>
        <w:adjustRightInd w:val="0"/>
        <w:ind w:firstLine="426"/>
        <w:rPr>
          <w:noProof/>
          <w:sz w:val="18"/>
          <w:lang w:val="en-GB"/>
        </w:rPr>
      </w:pPr>
      <w:r w:rsidRPr="00367561">
        <w:rPr>
          <w:noProof/>
          <w:sz w:val="18"/>
          <w:lang w:val="en-GB"/>
        </w:rPr>
        <w:t>12, 5340–5350.</w:t>
      </w:r>
    </w:p>
    <w:p w14:paraId="0CFA54C2" w14:textId="77777777" w:rsidR="008544DD" w:rsidRPr="00367561" w:rsidRDefault="008544DD" w:rsidP="008544DD">
      <w:pPr>
        <w:widowControl w:val="0"/>
        <w:autoSpaceDE w:val="0"/>
        <w:autoSpaceDN w:val="0"/>
        <w:adjustRightInd w:val="0"/>
        <w:rPr>
          <w:noProof/>
          <w:sz w:val="18"/>
        </w:rPr>
      </w:pPr>
      <w:r w:rsidRPr="00367561">
        <w:rPr>
          <w:noProof/>
          <w:sz w:val="18"/>
        </w:rPr>
        <w:t xml:space="preserve">Merkel, T. C., Lin, H., Wei, X., &amp; Baker, R., 2010, </w:t>
      </w:r>
      <w:r w:rsidRPr="00367561">
        <w:rPr>
          <w:noProof/>
          <w:sz w:val="18"/>
          <w:lang w:val="en-GB"/>
        </w:rPr>
        <w:t xml:space="preserve">Power plant post-combustion carbon dioxide </w:t>
      </w:r>
    </w:p>
    <w:p w14:paraId="7A92411C" w14:textId="77777777" w:rsidR="008544DD" w:rsidRPr="00367561" w:rsidRDefault="008544DD" w:rsidP="008544DD">
      <w:pPr>
        <w:widowControl w:val="0"/>
        <w:autoSpaceDE w:val="0"/>
        <w:autoSpaceDN w:val="0"/>
        <w:adjustRightInd w:val="0"/>
        <w:ind w:firstLine="426"/>
        <w:rPr>
          <w:noProof/>
          <w:sz w:val="18"/>
          <w:lang w:val="en-GB"/>
        </w:rPr>
      </w:pPr>
      <w:r w:rsidRPr="00367561">
        <w:rPr>
          <w:noProof/>
          <w:sz w:val="18"/>
          <w:lang w:val="en-GB"/>
        </w:rPr>
        <w:t>capture: An opportunity for membranes, Journal of Membrane Science, 359</w:t>
      </w:r>
      <w:r>
        <w:rPr>
          <w:noProof/>
          <w:sz w:val="18"/>
        </w:rPr>
        <w:t xml:space="preserve">, </w:t>
      </w:r>
      <w:r w:rsidRPr="00367561">
        <w:rPr>
          <w:noProof/>
          <w:sz w:val="18"/>
          <w:lang w:val="en-GB"/>
        </w:rPr>
        <w:t>1–2, 126</w:t>
      </w:r>
      <w:r w:rsidRPr="00367561">
        <w:rPr>
          <w:noProof/>
          <w:sz w:val="18"/>
        </w:rPr>
        <w:t>-</w:t>
      </w:r>
      <w:r w:rsidRPr="00367561">
        <w:rPr>
          <w:noProof/>
          <w:sz w:val="18"/>
          <w:lang w:val="en-GB"/>
        </w:rPr>
        <w:t>139.</w:t>
      </w:r>
    </w:p>
    <w:p w14:paraId="57D8B692" w14:textId="77777777" w:rsidR="008544DD" w:rsidRPr="00367561" w:rsidRDefault="008544DD" w:rsidP="008544DD">
      <w:pPr>
        <w:widowControl w:val="0"/>
        <w:autoSpaceDE w:val="0"/>
        <w:autoSpaceDN w:val="0"/>
        <w:adjustRightInd w:val="0"/>
        <w:ind w:left="480" w:hanging="480"/>
        <w:rPr>
          <w:noProof/>
          <w:sz w:val="18"/>
          <w:lang w:val="en-GB"/>
        </w:rPr>
      </w:pPr>
      <w:r w:rsidRPr="00367561">
        <w:rPr>
          <w:noProof/>
          <w:sz w:val="18"/>
          <w:lang w:val="en-GB"/>
        </w:rPr>
        <w:t>Micari, M., Dakhchoune, M., &amp; Agrawal, K. V., 2021, Techno-economic assessment of postcombustion carbon capture using high-performance nanoporous single-layer graphene membranes, Journal of Membrane Science, 624, 119103.</w:t>
      </w:r>
    </w:p>
    <w:p w14:paraId="2FE0F25B" w14:textId="77777777" w:rsidR="008544DD" w:rsidRPr="00367561" w:rsidRDefault="008544DD" w:rsidP="008544DD">
      <w:pPr>
        <w:widowControl w:val="0"/>
        <w:autoSpaceDE w:val="0"/>
        <w:autoSpaceDN w:val="0"/>
        <w:adjustRightInd w:val="0"/>
        <w:ind w:left="480" w:hanging="480"/>
        <w:rPr>
          <w:noProof/>
          <w:sz w:val="18"/>
          <w:lang w:val="en-GB"/>
        </w:rPr>
      </w:pPr>
      <w:r w:rsidRPr="00367561">
        <w:rPr>
          <w:noProof/>
          <w:sz w:val="18"/>
          <w:lang w:val="en-GB"/>
        </w:rPr>
        <w:t>Micari, M., Duan, X., &amp; Agrawal, K. V., 2023, Atmospheric water harvesting in semi-arid regions by membranes: A techno-economic assessment, Journal of Membrane Science, 672, 121437.</w:t>
      </w:r>
    </w:p>
    <w:p w14:paraId="63BE5570" w14:textId="77777777" w:rsidR="008544DD" w:rsidRPr="00367561" w:rsidRDefault="008544DD" w:rsidP="008544DD">
      <w:pPr>
        <w:widowControl w:val="0"/>
        <w:autoSpaceDE w:val="0"/>
        <w:autoSpaceDN w:val="0"/>
        <w:adjustRightInd w:val="0"/>
        <w:ind w:left="480" w:hanging="480"/>
        <w:rPr>
          <w:noProof/>
          <w:sz w:val="18"/>
          <w:lang w:val="en-GB"/>
        </w:rPr>
      </w:pPr>
      <w:r w:rsidRPr="00367561">
        <w:rPr>
          <w:noProof/>
          <w:sz w:val="18"/>
        </w:rPr>
        <w:t xml:space="preserve">Xu, J., Wang, Z., Qiao, Z., Wu, H., Dong, S., Zhao, S., &amp; Wang, J., 2019, </w:t>
      </w:r>
      <w:r w:rsidRPr="00367561">
        <w:rPr>
          <w:noProof/>
          <w:sz w:val="18"/>
          <w:lang w:val="en-GB"/>
        </w:rPr>
        <w:t>Post-combustion CO2 capture with membrane process: Practical membrane performance and appropriate pressure</w:t>
      </w:r>
      <w:r>
        <w:rPr>
          <w:noProof/>
          <w:sz w:val="18"/>
        </w:rPr>
        <w:t>,</w:t>
      </w:r>
      <w:r w:rsidRPr="00367561">
        <w:rPr>
          <w:noProof/>
          <w:sz w:val="18"/>
          <w:lang w:val="en-GB"/>
        </w:rPr>
        <w:t xml:space="preserve"> Journal of Membrane Science, 581, 195–213.</w:t>
      </w:r>
    </w:p>
    <w:p w14:paraId="4121C2FB" w14:textId="5AF7E0EE" w:rsidR="008544DD" w:rsidRPr="0020167E" w:rsidRDefault="008544DD" w:rsidP="0020167E">
      <w:pPr>
        <w:widowControl w:val="0"/>
        <w:autoSpaceDE w:val="0"/>
        <w:autoSpaceDN w:val="0"/>
        <w:adjustRightInd w:val="0"/>
        <w:ind w:left="480" w:hanging="480"/>
        <w:rPr>
          <w:noProof/>
          <w:sz w:val="18"/>
        </w:rPr>
      </w:pPr>
      <w:r w:rsidRPr="00367561">
        <w:rPr>
          <w:noProof/>
          <w:sz w:val="18"/>
          <w:lang w:val="en-GB"/>
        </w:rPr>
        <w:t>Zamarripa, M. A., Eslick, J. C., Matuszewski, M. S., &amp; Miller, D. C.</w:t>
      </w:r>
      <w:r w:rsidRPr="00367561">
        <w:rPr>
          <w:noProof/>
          <w:sz w:val="18"/>
        </w:rPr>
        <w:t>,</w:t>
      </w:r>
      <w:r w:rsidRPr="00367561">
        <w:rPr>
          <w:noProof/>
          <w:sz w:val="18"/>
          <w:lang w:val="en-GB"/>
        </w:rPr>
        <w:t xml:space="preserve"> 2018</w:t>
      </w:r>
      <w:r w:rsidRPr="00367561">
        <w:rPr>
          <w:noProof/>
          <w:sz w:val="18"/>
        </w:rPr>
        <w:t>,</w:t>
      </w:r>
      <w:r w:rsidRPr="00367561">
        <w:rPr>
          <w:noProof/>
          <w:sz w:val="18"/>
          <w:lang w:val="en-GB"/>
        </w:rPr>
        <w:t xml:space="preserve"> Multi-objective Optimization of Membrane-based CO2 Capture, 13th International Symposium on Process Systems Engineering</w:t>
      </w:r>
      <w:r w:rsidRPr="00367561">
        <w:rPr>
          <w:noProof/>
          <w:sz w:val="18"/>
        </w:rPr>
        <w:t>,</w:t>
      </w:r>
      <w:r w:rsidRPr="00367561">
        <w:rPr>
          <w:noProof/>
          <w:sz w:val="18"/>
          <w:lang w:val="en-GB"/>
        </w:rPr>
        <w:t xml:space="preserve"> 44, 1117–1122</w:t>
      </w:r>
      <w:r>
        <w:rPr>
          <w:noProof/>
          <w:sz w:val="18"/>
        </w:rPr>
        <w:t>.</w:t>
      </w:r>
    </w:p>
    <w:sectPr w:rsidR="008544DD" w:rsidRPr="0020167E" w:rsidSect="008B0184">
      <w:headerReference w:type="even" r:id="rId12"/>
      <w:headerReference w:type="default" r:id="rId13"/>
      <w:headerReference w:type="first" r:id="rId1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84CCA" w14:textId="77777777" w:rsidR="0095242F" w:rsidRDefault="0095242F" w:rsidP="00294BF3">
      <w:r>
        <w:separator/>
      </w:r>
    </w:p>
  </w:endnote>
  <w:endnote w:type="continuationSeparator" w:id="0">
    <w:p w14:paraId="29D9306D" w14:textId="77777777" w:rsidR="0095242F" w:rsidRDefault="0095242F" w:rsidP="00294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7DB8E" w14:textId="77777777" w:rsidR="0095242F" w:rsidRDefault="0095242F" w:rsidP="00294BF3">
      <w:r>
        <w:separator/>
      </w:r>
    </w:p>
  </w:footnote>
  <w:footnote w:type="continuationSeparator" w:id="0">
    <w:p w14:paraId="3691872D" w14:textId="77777777" w:rsidR="0095242F" w:rsidRDefault="0095242F" w:rsidP="00294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58ABD2F5" w:rsidR="00DD3D9E" w:rsidRDefault="00DD3D9E">
    <w:pPr>
      <w:pStyle w:val="Header"/>
      <w:tabs>
        <w:tab w:val="clear" w:pos="7200"/>
        <w:tab w:val="right" w:pos="7088"/>
      </w:tabs>
    </w:pPr>
    <w:r>
      <w:rPr>
        <w:rStyle w:val="PageNumber"/>
      </w:rPr>
      <w:tab/>
    </w:r>
    <w:r>
      <w:rPr>
        <w:rStyle w:val="PageNumber"/>
        <w:i/>
      </w:rPr>
      <w:tab/>
    </w:r>
    <w:r w:rsidR="00FE0A4F">
      <w:rPr>
        <w:i/>
      </w:rPr>
      <w:t>M. Micari, K.V. Agrawal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2D02C5B3" w:rsidR="00DD3D9E" w:rsidRDefault="007E05EC" w:rsidP="007E05EC">
    <w:pPr>
      <w:pStyle w:val="Header"/>
      <w:tabs>
        <w:tab w:val="clear" w:pos="7200"/>
        <w:tab w:val="right" w:pos="7088"/>
      </w:tabs>
      <w:rPr>
        <w:sz w:val="24"/>
      </w:rPr>
    </w:pPr>
    <w:r w:rsidRPr="007E05EC">
      <w:rPr>
        <w:i/>
      </w:rPr>
      <w:t>Optimization of High-Performance Membrane Processes for Post-Combustion Carbon</w:t>
    </w:r>
    <w:r>
      <w:rPr>
        <w:i/>
      </w:rPr>
      <w:t xml:space="preserve"> </w:t>
    </w:r>
    <w:r w:rsidRPr="007E05EC">
      <w:rPr>
        <w:i/>
      </w:rPr>
      <w:t>Capture</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B8C5" w14:textId="77777777" w:rsidR="00470342" w:rsidRPr="003B50B5" w:rsidRDefault="00470342" w:rsidP="00470342">
    <w:pPr>
      <w:pStyle w:val="ElsevierBodyTextCentredNospace"/>
      <w:jc w:val="left"/>
      <w:rPr>
        <w:noProof/>
        <w:sz w:val="18"/>
        <w:szCs w:val="18"/>
      </w:rPr>
    </w:pPr>
    <w:r w:rsidRPr="0068162C">
      <w:rPr>
        <w:color w:val="auto"/>
        <w:sz w:val="18"/>
        <w:szCs w:val="18"/>
      </w:rPr>
      <w:t xml:space="preserve">Flavio </w:t>
    </w:r>
    <w:proofErr w:type="spellStart"/>
    <w:r w:rsidRPr="0068162C">
      <w:rPr>
        <w:color w:val="auto"/>
        <w:sz w:val="18"/>
        <w:szCs w:val="18"/>
      </w:rPr>
      <w:t>Manenti</w:t>
    </w:r>
    <w:proofErr w:type="spellEnd"/>
    <w:r w:rsidRPr="0068162C">
      <w:rPr>
        <w:color w:val="auto"/>
        <w:sz w:val="18"/>
        <w:szCs w:val="18"/>
      </w:rPr>
      <w:t xml:space="preserve">,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38C93575" w:rsidR="00DD3D9E" w:rsidRPr="00470342" w:rsidRDefault="00470342" w:rsidP="00470342">
    <w:pPr>
      <w:pStyle w:val="Header"/>
    </w:pPr>
    <w:r w:rsidRPr="001E6A29">
      <w:rPr>
        <w:sz w:val="18"/>
        <w:szCs w:val="18"/>
      </w:rPr>
      <w:t>© 202</w:t>
    </w:r>
    <w:r>
      <w:rPr>
        <w:sz w:val="18"/>
        <w:szCs w:val="18"/>
      </w:rPr>
      <w:t>4</w:t>
    </w:r>
    <w:r w:rsidRPr="001E6A29">
      <w:rPr>
        <w:sz w:val="18"/>
        <w:szCs w:val="18"/>
      </w:rPr>
      <w:t xml:space="preserve"> Elsevier B.V. All rights reserved.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04C2E504"/>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1540"/>
    <w:rsid w:val="00002011"/>
    <w:rsid w:val="00004BEB"/>
    <w:rsid w:val="00020C85"/>
    <w:rsid w:val="0004687B"/>
    <w:rsid w:val="00050ED7"/>
    <w:rsid w:val="0006073F"/>
    <w:rsid w:val="00060A39"/>
    <w:rsid w:val="00063575"/>
    <w:rsid w:val="00071655"/>
    <w:rsid w:val="00076B77"/>
    <w:rsid w:val="000A068F"/>
    <w:rsid w:val="000D0243"/>
    <w:rsid w:val="000D3D9B"/>
    <w:rsid w:val="000D7F0E"/>
    <w:rsid w:val="000E0FE6"/>
    <w:rsid w:val="000E1562"/>
    <w:rsid w:val="000E5B6C"/>
    <w:rsid w:val="00102AD1"/>
    <w:rsid w:val="001042BF"/>
    <w:rsid w:val="00105C49"/>
    <w:rsid w:val="001069C0"/>
    <w:rsid w:val="00112B41"/>
    <w:rsid w:val="001146D8"/>
    <w:rsid w:val="00114928"/>
    <w:rsid w:val="00121B78"/>
    <w:rsid w:val="001231DB"/>
    <w:rsid w:val="00132583"/>
    <w:rsid w:val="00143604"/>
    <w:rsid w:val="00150F9E"/>
    <w:rsid w:val="0016032F"/>
    <w:rsid w:val="00172970"/>
    <w:rsid w:val="00175045"/>
    <w:rsid w:val="001879F6"/>
    <w:rsid w:val="00192665"/>
    <w:rsid w:val="00193FE7"/>
    <w:rsid w:val="001941A8"/>
    <w:rsid w:val="00196F1A"/>
    <w:rsid w:val="001C0148"/>
    <w:rsid w:val="001C757E"/>
    <w:rsid w:val="001E0CA3"/>
    <w:rsid w:val="001E117D"/>
    <w:rsid w:val="001F7260"/>
    <w:rsid w:val="0020167E"/>
    <w:rsid w:val="0020390F"/>
    <w:rsid w:val="0023701E"/>
    <w:rsid w:val="00246EFA"/>
    <w:rsid w:val="00252054"/>
    <w:rsid w:val="002558E8"/>
    <w:rsid w:val="002562F5"/>
    <w:rsid w:val="00264926"/>
    <w:rsid w:val="00266D97"/>
    <w:rsid w:val="00281BEB"/>
    <w:rsid w:val="00294BF3"/>
    <w:rsid w:val="002A2371"/>
    <w:rsid w:val="002A3676"/>
    <w:rsid w:val="002C7487"/>
    <w:rsid w:val="002D13A2"/>
    <w:rsid w:val="002F63BE"/>
    <w:rsid w:val="00313784"/>
    <w:rsid w:val="003250ED"/>
    <w:rsid w:val="00340917"/>
    <w:rsid w:val="003423F2"/>
    <w:rsid w:val="00345996"/>
    <w:rsid w:val="003655DE"/>
    <w:rsid w:val="00374AC5"/>
    <w:rsid w:val="00376BD2"/>
    <w:rsid w:val="00385F96"/>
    <w:rsid w:val="003C614B"/>
    <w:rsid w:val="003D142C"/>
    <w:rsid w:val="003D1582"/>
    <w:rsid w:val="003D26F0"/>
    <w:rsid w:val="003D7E4C"/>
    <w:rsid w:val="003E41C2"/>
    <w:rsid w:val="003F1096"/>
    <w:rsid w:val="00401762"/>
    <w:rsid w:val="00406DA8"/>
    <w:rsid w:val="00411EC8"/>
    <w:rsid w:val="0041529E"/>
    <w:rsid w:val="004320B3"/>
    <w:rsid w:val="0043350E"/>
    <w:rsid w:val="00451224"/>
    <w:rsid w:val="0045159C"/>
    <w:rsid w:val="0046036A"/>
    <w:rsid w:val="00470342"/>
    <w:rsid w:val="0047121D"/>
    <w:rsid w:val="0049345F"/>
    <w:rsid w:val="0049772C"/>
    <w:rsid w:val="004A435B"/>
    <w:rsid w:val="004A650D"/>
    <w:rsid w:val="004A6FC8"/>
    <w:rsid w:val="004B1C23"/>
    <w:rsid w:val="004E6F3C"/>
    <w:rsid w:val="004F4DC7"/>
    <w:rsid w:val="00512A0C"/>
    <w:rsid w:val="0053645C"/>
    <w:rsid w:val="00546B54"/>
    <w:rsid w:val="005476BD"/>
    <w:rsid w:val="00552EEB"/>
    <w:rsid w:val="00555A11"/>
    <w:rsid w:val="005760DB"/>
    <w:rsid w:val="00585CF1"/>
    <w:rsid w:val="005A7131"/>
    <w:rsid w:val="005C5EB6"/>
    <w:rsid w:val="005E1455"/>
    <w:rsid w:val="005F3342"/>
    <w:rsid w:val="005F3EDB"/>
    <w:rsid w:val="005F7CE8"/>
    <w:rsid w:val="00602127"/>
    <w:rsid w:val="006079E1"/>
    <w:rsid w:val="006260A8"/>
    <w:rsid w:val="00630D98"/>
    <w:rsid w:val="00642A53"/>
    <w:rsid w:val="00664F95"/>
    <w:rsid w:val="00665B2B"/>
    <w:rsid w:val="006A11A8"/>
    <w:rsid w:val="006A69BF"/>
    <w:rsid w:val="006C40AB"/>
    <w:rsid w:val="006C73A4"/>
    <w:rsid w:val="006D607C"/>
    <w:rsid w:val="00707BD2"/>
    <w:rsid w:val="00711DF4"/>
    <w:rsid w:val="00714CD4"/>
    <w:rsid w:val="00726E30"/>
    <w:rsid w:val="00735079"/>
    <w:rsid w:val="00741BED"/>
    <w:rsid w:val="007525E4"/>
    <w:rsid w:val="00756789"/>
    <w:rsid w:val="00757F0D"/>
    <w:rsid w:val="007827CD"/>
    <w:rsid w:val="00790972"/>
    <w:rsid w:val="00790AF3"/>
    <w:rsid w:val="00797EEE"/>
    <w:rsid w:val="007D3EC4"/>
    <w:rsid w:val="007D70A1"/>
    <w:rsid w:val="007E05EC"/>
    <w:rsid w:val="007E34C4"/>
    <w:rsid w:val="007E4A55"/>
    <w:rsid w:val="00801580"/>
    <w:rsid w:val="008041F5"/>
    <w:rsid w:val="008132E8"/>
    <w:rsid w:val="00823407"/>
    <w:rsid w:val="00835797"/>
    <w:rsid w:val="008544DD"/>
    <w:rsid w:val="00872291"/>
    <w:rsid w:val="00893CDE"/>
    <w:rsid w:val="008B0184"/>
    <w:rsid w:val="008B390C"/>
    <w:rsid w:val="008B6592"/>
    <w:rsid w:val="008B6D95"/>
    <w:rsid w:val="008C5D02"/>
    <w:rsid w:val="008D1E3B"/>
    <w:rsid w:val="008D2649"/>
    <w:rsid w:val="008E0534"/>
    <w:rsid w:val="008E085E"/>
    <w:rsid w:val="008E6038"/>
    <w:rsid w:val="008F26A2"/>
    <w:rsid w:val="008F7916"/>
    <w:rsid w:val="0090568D"/>
    <w:rsid w:val="009076AF"/>
    <w:rsid w:val="009125C9"/>
    <w:rsid w:val="00913879"/>
    <w:rsid w:val="00917661"/>
    <w:rsid w:val="0092335E"/>
    <w:rsid w:val="00924E31"/>
    <w:rsid w:val="00937CCF"/>
    <w:rsid w:val="009443BD"/>
    <w:rsid w:val="0095242F"/>
    <w:rsid w:val="00955BD6"/>
    <w:rsid w:val="0096179B"/>
    <w:rsid w:val="0096255A"/>
    <w:rsid w:val="00963F51"/>
    <w:rsid w:val="00970E5D"/>
    <w:rsid w:val="0097497B"/>
    <w:rsid w:val="0097701C"/>
    <w:rsid w:val="00980764"/>
    <w:rsid w:val="00980A65"/>
    <w:rsid w:val="00984768"/>
    <w:rsid w:val="009850FF"/>
    <w:rsid w:val="00991225"/>
    <w:rsid w:val="009A487F"/>
    <w:rsid w:val="009C60EB"/>
    <w:rsid w:val="009E1A31"/>
    <w:rsid w:val="00A0655C"/>
    <w:rsid w:val="00A16094"/>
    <w:rsid w:val="00A25E70"/>
    <w:rsid w:val="00A27244"/>
    <w:rsid w:val="00A33765"/>
    <w:rsid w:val="00A34343"/>
    <w:rsid w:val="00A40B15"/>
    <w:rsid w:val="00A41784"/>
    <w:rsid w:val="00A60457"/>
    <w:rsid w:val="00A63269"/>
    <w:rsid w:val="00A7346F"/>
    <w:rsid w:val="00A92377"/>
    <w:rsid w:val="00A96586"/>
    <w:rsid w:val="00AB29ED"/>
    <w:rsid w:val="00AB6F82"/>
    <w:rsid w:val="00AD2E9B"/>
    <w:rsid w:val="00AD3FF8"/>
    <w:rsid w:val="00AE4571"/>
    <w:rsid w:val="00AE4BD8"/>
    <w:rsid w:val="00AF480B"/>
    <w:rsid w:val="00B24474"/>
    <w:rsid w:val="00B35109"/>
    <w:rsid w:val="00B4388F"/>
    <w:rsid w:val="00B63237"/>
    <w:rsid w:val="00B63BAB"/>
    <w:rsid w:val="00B660AD"/>
    <w:rsid w:val="00B82D86"/>
    <w:rsid w:val="00BB4515"/>
    <w:rsid w:val="00BC4885"/>
    <w:rsid w:val="00BD7035"/>
    <w:rsid w:val="00BE3972"/>
    <w:rsid w:val="00BE7857"/>
    <w:rsid w:val="00BF3C68"/>
    <w:rsid w:val="00C05295"/>
    <w:rsid w:val="00C21107"/>
    <w:rsid w:val="00C253A9"/>
    <w:rsid w:val="00C30B81"/>
    <w:rsid w:val="00C44A81"/>
    <w:rsid w:val="00C50679"/>
    <w:rsid w:val="00C52FFB"/>
    <w:rsid w:val="00C653F5"/>
    <w:rsid w:val="00C960DC"/>
    <w:rsid w:val="00CA0A6B"/>
    <w:rsid w:val="00CA72AD"/>
    <w:rsid w:val="00CB1649"/>
    <w:rsid w:val="00CD03C4"/>
    <w:rsid w:val="00CD1244"/>
    <w:rsid w:val="00D02C75"/>
    <w:rsid w:val="00D06FEC"/>
    <w:rsid w:val="00D079A1"/>
    <w:rsid w:val="00D10E22"/>
    <w:rsid w:val="00D13D2C"/>
    <w:rsid w:val="00D14ECC"/>
    <w:rsid w:val="00D20749"/>
    <w:rsid w:val="00D4736F"/>
    <w:rsid w:val="00D654F5"/>
    <w:rsid w:val="00D76A22"/>
    <w:rsid w:val="00D8393A"/>
    <w:rsid w:val="00D91B8C"/>
    <w:rsid w:val="00DA3746"/>
    <w:rsid w:val="00DC2F94"/>
    <w:rsid w:val="00DD3D9E"/>
    <w:rsid w:val="00DD48A7"/>
    <w:rsid w:val="00DD6394"/>
    <w:rsid w:val="00DD7908"/>
    <w:rsid w:val="00DF2308"/>
    <w:rsid w:val="00E14CF3"/>
    <w:rsid w:val="00E21B2A"/>
    <w:rsid w:val="00E26C3F"/>
    <w:rsid w:val="00E50142"/>
    <w:rsid w:val="00E539DD"/>
    <w:rsid w:val="00E73CE9"/>
    <w:rsid w:val="00E75FA2"/>
    <w:rsid w:val="00E82297"/>
    <w:rsid w:val="00E827B0"/>
    <w:rsid w:val="00E90D2D"/>
    <w:rsid w:val="00E9439C"/>
    <w:rsid w:val="00EF39FD"/>
    <w:rsid w:val="00F01625"/>
    <w:rsid w:val="00F06842"/>
    <w:rsid w:val="00F107FD"/>
    <w:rsid w:val="00F11DD3"/>
    <w:rsid w:val="00F17D55"/>
    <w:rsid w:val="00F23CA9"/>
    <w:rsid w:val="00F247F5"/>
    <w:rsid w:val="00F259FD"/>
    <w:rsid w:val="00F276E2"/>
    <w:rsid w:val="00F31DD4"/>
    <w:rsid w:val="00F32380"/>
    <w:rsid w:val="00F33BDD"/>
    <w:rsid w:val="00F7137D"/>
    <w:rsid w:val="00F73BD5"/>
    <w:rsid w:val="00F8246F"/>
    <w:rsid w:val="00F83F36"/>
    <w:rsid w:val="00F8632F"/>
    <w:rsid w:val="00FA6E98"/>
    <w:rsid w:val="00FB64A8"/>
    <w:rsid w:val="00FD7612"/>
    <w:rsid w:val="00FE0A4F"/>
    <w:rsid w:val="00FF7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4BF3"/>
    <w:pPr>
      <w:jc w:val="both"/>
    </w:pPr>
    <w:rPr>
      <w:lang w:val="en-US" w:eastAsia="en-US"/>
    </w:rPr>
  </w:style>
  <w:style w:type="paragraph" w:styleId="Heading1">
    <w:name w:val="heading 1"/>
    <w:basedOn w:val="Els-1storder-head"/>
    <w:next w:val="Normal"/>
    <w:link w:val="Heading1Char"/>
    <w:qFormat/>
    <w:rsid w:val="005A7131"/>
    <w:pPr>
      <w:outlineLvl w:val="0"/>
    </w:p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rPr>
  </w:style>
  <w:style w:type="character" w:customStyle="1" w:styleId="Heading1Char">
    <w:name w:val="Heading 1 Char"/>
    <w:basedOn w:val="DefaultParagraphFont"/>
    <w:link w:val="Heading1"/>
    <w:rsid w:val="005A7131"/>
    <w:rPr>
      <w:b/>
      <w:sz w:val="22"/>
      <w:lang w:val="en-US" w:eastAsia="en-US"/>
    </w:rPr>
  </w:style>
  <w:style w:type="character" w:styleId="PlaceholderText">
    <w:name w:val="Placeholder Text"/>
    <w:basedOn w:val="DefaultParagraphFont"/>
    <w:uiPriority w:val="99"/>
    <w:semiHidden/>
    <w:rsid w:val="00A16094"/>
    <w:rPr>
      <w:color w:val="808080"/>
    </w:rPr>
  </w:style>
  <w:style w:type="paragraph" w:styleId="NormalWeb">
    <w:name w:val="Normal (Web)"/>
    <w:basedOn w:val="Normal"/>
    <w:uiPriority w:val="99"/>
    <w:semiHidden/>
    <w:unhideWhenUsed/>
    <w:rsid w:val="00801580"/>
    <w:pPr>
      <w:spacing w:before="100" w:beforeAutospacing="1" w:after="100" w:afterAutospacing="1"/>
    </w:pPr>
    <w:rPr>
      <w:sz w:val="24"/>
      <w:szCs w:val="24"/>
      <w:lang w:eastAsia="en-GB"/>
    </w:rPr>
  </w:style>
  <w:style w:type="table" w:styleId="TableGrid">
    <w:name w:val="Table Grid"/>
    <w:basedOn w:val="TableNormal"/>
    <w:uiPriority w:val="39"/>
    <w:rsid w:val="004A4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0D98"/>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885299">
      <w:bodyDiv w:val="1"/>
      <w:marLeft w:val="0"/>
      <w:marRight w:val="0"/>
      <w:marTop w:val="0"/>
      <w:marBottom w:val="0"/>
      <w:divBdr>
        <w:top w:val="none" w:sz="0" w:space="0" w:color="auto"/>
        <w:left w:val="none" w:sz="0" w:space="0" w:color="auto"/>
        <w:bottom w:val="none" w:sz="0" w:space="0" w:color="auto"/>
        <w:right w:val="none" w:sz="0" w:space="0" w:color="auto"/>
      </w:divBdr>
    </w:div>
    <w:div w:id="1608658674">
      <w:bodyDiv w:val="1"/>
      <w:marLeft w:val="0"/>
      <w:marRight w:val="0"/>
      <w:marTop w:val="0"/>
      <w:marBottom w:val="0"/>
      <w:divBdr>
        <w:top w:val="none" w:sz="0" w:space="0" w:color="auto"/>
        <w:left w:val="none" w:sz="0" w:space="0" w:color="auto"/>
        <w:bottom w:val="none" w:sz="0" w:space="0" w:color="auto"/>
        <w:right w:val="none" w:sz="0" w:space="0" w:color="auto"/>
      </w:divBdr>
    </w:div>
    <w:div w:id="205399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C:\Users\marinakisk\KOSTAS-10 July 2017\books\book proposals\Computer Aided Chemical Engineering\Instructions\Chapter.dotx</Template>
  <TotalTime>159</TotalTime>
  <Pages>6</Pages>
  <Words>2605</Words>
  <Characters>14854</Characters>
  <Application>Microsoft Office Word</Application>
  <DocSecurity>0</DocSecurity>
  <Lines>123</Lines>
  <Paragraphs>34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Microsoft Office User</cp:lastModifiedBy>
  <cp:revision>29</cp:revision>
  <cp:lastPrinted>2004-12-17T09:20:00Z</cp:lastPrinted>
  <dcterms:created xsi:type="dcterms:W3CDTF">2023-11-24T15:46:00Z</dcterms:created>
  <dcterms:modified xsi:type="dcterms:W3CDTF">2023-12-15T15:08:00Z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Mendeley Document_1">
    <vt:lpwstr>True</vt:lpwstr>
  </property>
  <property fmtid="{D5CDD505-2E9C-101B-9397-08002B2CF9AE}" pid="11" name="Mendeley Unique User Id_1">
    <vt:lpwstr>fabde788-cc31-32b3-a174-9d6cb8b2f758</vt:lpwstr>
  </property>
  <property fmtid="{D5CDD505-2E9C-101B-9397-08002B2CF9AE}" pid="12" name="Mendeley Citation Style_1">
    <vt:lpwstr>http://www.zotero.org/styles/apa</vt:lpwstr>
  </property>
  <property fmtid="{D5CDD505-2E9C-101B-9397-08002B2CF9AE}" pid="13" name="Mendeley Recent Style Id 0_1">
    <vt:lpwstr>http://csl.mendeley.com/styles/545907451/american-chemical-society</vt:lpwstr>
  </property>
  <property fmtid="{D5CDD505-2E9C-101B-9397-08002B2CF9AE}" pid="14" name="Mendeley Recent Style Name 0_1">
    <vt:lpwstr>American Chemical Society - Jian Hao</vt:lpwstr>
  </property>
  <property fmtid="{D5CDD505-2E9C-101B-9397-08002B2CF9AE}" pid="15" name="Mendeley Recent Style Id 1_1">
    <vt:lpwstr>http://www.zotero.org/styles/american-political-science-association</vt:lpwstr>
  </property>
  <property fmtid="{D5CDD505-2E9C-101B-9397-08002B2CF9AE}" pid="16" name="Mendeley Recent Style Name 1_1">
    <vt:lpwstr>American Political Science Association</vt:lpwstr>
  </property>
  <property fmtid="{D5CDD505-2E9C-101B-9397-08002B2CF9AE}" pid="17" name="Mendeley Recent Style Id 2_1">
    <vt:lpwstr>http://www.zotero.org/styles/apa</vt:lpwstr>
  </property>
  <property fmtid="{D5CDD505-2E9C-101B-9397-08002B2CF9AE}" pid="18" name="Mendeley Recent Style Name 2_1">
    <vt:lpwstr>American Psychological Association 7th edition</vt:lpwstr>
  </property>
  <property fmtid="{D5CDD505-2E9C-101B-9397-08002B2CF9AE}" pid="19" name="Mendeley Recent Style Id 3_1">
    <vt:lpwstr>http://www.zotero.org/styles/american-sociological-association</vt:lpwstr>
  </property>
  <property fmtid="{D5CDD505-2E9C-101B-9397-08002B2CF9AE}" pid="20" name="Mendeley Recent Style Name 3_1">
    <vt:lpwstr>American Sociological Association 6th edition</vt:lpwstr>
  </property>
  <property fmtid="{D5CDD505-2E9C-101B-9397-08002B2CF9AE}" pid="21" name="Mendeley Recent Style Id 4_1">
    <vt:lpwstr>http://www.zotero.org/styles/chicago-author-date</vt:lpwstr>
  </property>
  <property fmtid="{D5CDD505-2E9C-101B-9397-08002B2CF9AE}" pid="22" name="Mendeley Recent Style Name 4_1">
    <vt:lpwstr>Chicago Manual of Style 17th edition (author-date)</vt:lpwstr>
  </property>
  <property fmtid="{D5CDD505-2E9C-101B-9397-08002B2CF9AE}" pid="23" name="Mendeley Recent Style Id 5_1">
    <vt:lpwstr>http://www.zotero.org/styles/ieee</vt:lpwstr>
  </property>
  <property fmtid="{D5CDD505-2E9C-101B-9397-08002B2CF9AE}" pid="24" name="Mendeley Recent Style Name 5_1">
    <vt:lpwstr>IEEE</vt:lpwstr>
  </property>
  <property fmtid="{D5CDD505-2E9C-101B-9397-08002B2CF9AE}" pid="25" name="Mendeley Recent Style Id 6_1">
    <vt:lpwstr>http://www.zotero.org/styles/journal-of-membrane-science</vt:lpwstr>
  </property>
  <property fmtid="{D5CDD505-2E9C-101B-9397-08002B2CF9AE}" pid="26" name="Mendeley Recent Style Name 6_1">
    <vt:lpwstr>Journal of Membrane Science</vt:lpwstr>
  </property>
  <property fmtid="{D5CDD505-2E9C-101B-9397-08002B2CF9AE}" pid="27" name="Mendeley Recent Style Id 7_1">
    <vt:lpwstr>http://www.zotero.org/styles/modern-humanities-research-association</vt:lpwstr>
  </property>
  <property fmtid="{D5CDD505-2E9C-101B-9397-08002B2CF9AE}" pid="28" name="Mendeley Recent Style Name 7_1">
    <vt:lpwstr>Modern Humanities Research Association 3rd edition (note with bibliography)</vt:lpwstr>
  </property>
  <property fmtid="{D5CDD505-2E9C-101B-9397-08002B2CF9AE}" pid="29" name="Mendeley Recent Style Id 8_1">
    <vt:lpwstr>http://www.zotero.org/styles/modern-language-association</vt:lpwstr>
  </property>
  <property fmtid="{D5CDD505-2E9C-101B-9397-08002B2CF9AE}" pid="30" name="Mendeley Recent Style Name 8_1">
    <vt:lpwstr>Modern Language Association 8th edition</vt:lpwstr>
  </property>
  <property fmtid="{D5CDD505-2E9C-101B-9397-08002B2CF9AE}" pid="31" name="Mendeley Recent Style Id 9_1">
    <vt:lpwstr>http://www.zotero.org/styles/nature</vt:lpwstr>
  </property>
  <property fmtid="{D5CDD505-2E9C-101B-9397-08002B2CF9AE}" pid="32" name="Mendeley Recent Style Name 9_1">
    <vt:lpwstr>Nature</vt:lpwstr>
  </property>
</Properties>
</file>