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29163622"/>
            <w:bookmarkEnd w:id="0"/>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6A1BA5B6" w:rsidR="000A03B2" w:rsidRPr="00B57B36" w:rsidRDefault="00A76EFC" w:rsidP="005D668A">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FA5F5F">
              <w:rPr>
                <w:rFonts w:cs="Arial"/>
                <w:b/>
                <w:bCs/>
                <w:i/>
                <w:iCs/>
                <w:color w:val="000066"/>
                <w:sz w:val="22"/>
                <w:szCs w:val="22"/>
                <w:lang w:eastAsia="it-IT"/>
              </w:rPr>
              <w:t>, 20</w:t>
            </w:r>
            <w:r w:rsidR="00DF5072">
              <w:rPr>
                <w:rFonts w:cs="Arial"/>
                <w:b/>
                <w:bCs/>
                <w:i/>
                <w:iCs/>
                <w:color w:val="000066"/>
                <w:sz w:val="22"/>
                <w:szCs w:val="22"/>
                <w:lang w:eastAsia="it-IT"/>
              </w:rPr>
              <w:t>2</w:t>
            </w:r>
            <w:r w:rsidR="00543FE0">
              <w:rPr>
                <w:rFonts w:cs="Arial"/>
                <w:b/>
                <w:bCs/>
                <w:i/>
                <w:iCs/>
                <w:color w:val="000066"/>
                <w:sz w:val="22"/>
                <w:szCs w:val="22"/>
                <w:lang w:eastAsia="it-IT"/>
              </w:rPr>
              <w:t>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0CD871F8" w:rsidR="00300E56" w:rsidRPr="00225738" w:rsidRDefault="00300E56" w:rsidP="007931FA">
            <w:pPr>
              <w:ind w:left="-107"/>
              <w:rPr>
                <w:rFonts w:ascii="Times New Roman" w:hAnsi="Times New Roman"/>
                <w:sz w:val="24"/>
                <w:szCs w:val="24"/>
                <w:lang w:val="en-US" w:eastAsia="it-IT"/>
              </w:rPr>
            </w:pPr>
            <w:r w:rsidRPr="00225738">
              <w:rPr>
                <w:rFonts w:ascii="Tahoma" w:hAnsi="Tahoma" w:cs="Tahoma"/>
                <w:iCs/>
                <w:color w:val="333333"/>
                <w:sz w:val="14"/>
                <w:szCs w:val="14"/>
                <w:lang w:val="en-US" w:eastAsia="it-IT"/>
              </w:rPr>
              <w:t>Guest Editors:</w:t>
            </w:r>
            <w:r w:rsidR="00904C62" w:rsidRPr="00225738">
              <w:rPr>
                <w:rFonts w:ascii="Tahoma" w:hAnsi="Tahoma" w:cs="Tahoma"/>
                <w:iCs/>
                <w:color w:val="333333"/>
                <w:sz w:val="14"/>
                <w:szCs w:val="14"/>
                <w:lang w:val="en-US" w:eastAsia="it-IT"/>
              </w:rPr>
              <w:t xml:space="preserve"> </w:t>
            </w:r>
            <w:r w:rsidR="00225738" w:rsidRPr="00225738">
              <w:rPr>
                <w:rFonts w:ascii="Tahoma" w:hAnsi="Tahoma" w:cs="Tahoma"/>
                <w:iCs/>
                <w:color w:val="333333"/>
                <w:sz w:val="14"/>
                <w:szCs w:val="14"/>
                <w:lang w:val="en-US" w:eastAsia="it-IT"/>
              </w:rPr>
              <w:t xml:space="preserve">Sabrina </w:t>
            </w:r>
            <w:proofErr w:type="spellStart"/>
            <w:r w:rsidR="00225738" w:rsidRPr="00225738">
              <w:rPr>
                <w:rFonts w:ascii="Tahoma" w:hAnsi="Tahoma" w:cs="Tahoma"/>
                <w:iCs/>
                <w:color w:val="333333"/>
                <w:sz w:val="14"/>
                <w:szCs w:val="14"/>
                <w:lang w:val="en-US" w:eastAsia="it-IT"/>
              </w:rPr>
              <w:t>Copelli</w:t>
            </w:r>
            <w:proofErr w:type="spellEnd"/>
            <w:r w:rsidR="00225738" w:rsidRPr="00225738">
              <w:rPr>
                <w:rFonts w:ascii="Tahoma" w:hAnsi="Tahoma" w:cs="Tahoma"/>
                <w:iCs/>
                <w:color w:val="333333"/>
                <w:sz w:val="14"/>
                <w:szCs w:val="14"/>
                <w:lang w:val="en-US" w:eastAsia="it-IT"/>
              </w:rPr>
              <w:t xml:space="preserve">, Richard </w:t>
            </w:r>
            <w:proofErr w:type="spellStart"/>
            <w:r w:rsidR="00225738" w:rsidRPr="00225738">
              <w:rPr>
                <w:rFonts w:ascii="Tahoma" w:hAnsi="Tahoma" w:cs="Tahoma"/>
                <w:iCs/>
                <w:color w:val="333333"/>
                <w:sz w:val="14"/>
                <w:szCs w:val="14"/>
                <w:lang w:val="en-US" w:eastAsia="it-IT"/>
              </w:rPr>
              <w:t>Siw</w:t>
            </w:r>
            <w:r w:rsidR="00225738">
              <w:rPr>
                <w:rFonts w:ascii="Tahoma" w:hAnsi="Tahoma" w:cs="Tahoma"/>
                <w:iCs/>
                <w:color w:val="333333"/>
                <w:sz w:val="14"/>
                <w:szCs w:val="14"/>
                <w:lang w:val="en-US" w:eastAsia="it-IT"/>
              </w:rPr>
              <w:t>ek</w:t>
            </w:r>
            <w:proofErr w:type="spellEnd"/>
          </w:p>
          <w:p w14:paraId="1B0F1814" w14:textId="3BBD1B69" w:rsidR="000A03B2" w:rsidRPr="00B57B36" w:rsidRDefault="00FA5F5F" w:rsidP="005D668A">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543FE0">
              <w:rPr>
                <w:rFonts w:ascii="Tahoma" w:hAnsi="Tahoma" w:cs="Tahoma"/>
                <w:iCs/>
                <w:color w:val="333333"/>
                <w:sz w:val="14"/>
                <w:szCs w:val="14"/>
                <w:lang w:eastAsia="it-IT"/>
              </w:rPr>
              <w:t>3</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300E56"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5545E7A" w14:textId="77777777" w:rsidR="003E62D0" w:rsidRPr="00B57B36" w:rsidRDefault="003E62D0" w:rsidP="003E62D0">
      <w:pPr>
        <w:pStyle w:val="CETTitle"/>
      </w:pPr>
      <w:r w:rsidRPr="000C4430">
        <w:t>Integrating Recursive Operability Analysis with Different Risk Assessment Methods: Analysis of the Historical BP American Refinery Explosion</w:t>
      </w:r>
    </w:p>
    <w:p w14:paraId="30B937AD" w14:textId="77777777" w:rsidR="003E62D0" w:rsidRPr="000C4430" w:rsidRDefault="003E62D0" w:rsidP="003E62D0">
      <w:pPr>
        <w:pStyle w:val="CETAuthors"/>
        <w:rPr>
          <w:lang w:val="it-IT"/>
        </w:rPr>
      </w:pPr>
      <w:r w:rsidRPr="000C4430">
        <w:rPr>
          <w:lang w:val="it-IT"/>
        </w:rPr>
        <w:t>Barozzi Marco</w:t>
      </w:r>
      <w:r w:rsidRPr="000C4430">
        <w:rPr>
          <w:vertAlign w:val="superscript"/>
          <w:lang w:val="it-IT"/>
        </w:rPr>
        <w:t>a</w:t>
      </w:r>
      <w:r w:rsidRPr="000C4430">
        <w:rPr>
          <w:lang w:val="it-IT"/>
        </w:rPr>
        <w:t>, Melchiore Alessandra</w:t>
      </w:r>
      <w:r>
        <w:rPr>
          <w:vertAlign w:val="superscript"/>
          <w:lang w:val="it-IT"/>
        </w:rPr>
        <w:t>a</w:t>
      </w:r>
      <w:r w:rsidRPr="000C4430">
        <w:rPr>
          <w:lang w:val="it-IT"/>
        </w:rPr>
        <w:t>, Derudi Marco</w:t>
      </w:r>
      <w:r w:rsidRPr="000C4430">
        <w:rPr>
          <w:vertAlign w:val="superscript"/>
          <w:lang w:val="it-IT"/>
        </w:rPr>
        <w:t>b</w:t>
      </w:r>
      <w:r w:rsidRPr="000C4430">
        <w:rPr>
          <w:lang w:val="it-IT"/>
        </w:rPr>
        <w:t>, C</w:t>
      </w:r>
      <w:r>
        <w:rPr>
          <w:lang w:val="it-IT"/>
        </w:rPr>
        <w:t>opelli Sabrina</w:t>
      </w:r>
      <w:r w:rsidRPr="000C4430">
        <w:rPr>
          <w:vertAlign w:val="superscript"/>
          <w:lang w:val="it-IT"/>
        </w:rPr>
        <w:t xml:space="preserve"> </w:t>
      </w:r>
      <w:r>
        <w:rPr>
          <w:vertAlign w:val="superscript"/>
          <w:lang w:val="it-IT"/>
        </w:rPr>
        <w:t>a</w:t>
      </w:r>
      <w:r w:rsidRPr="000C4430">
        <w:rPr>
          <w:vertAlign w:val="superscript"/>
          <w:lang w:val="it-IT"/>
        </w:rPr>
        <w:t>,</w:t>
      </w:r>
      <w:r w:rsidRPr="000C4430">
        <w:rPr>
          <w:lang w:val="it-IT"/>
        </w:rPr>
        <w:t>*</w:t>
      </w:r>
    </w:p>
    <w:p w14:paraId="4C99BB05" w14:textId="77777777" w:rsidR="003E62D0" w:rsidRPr="00B57B36" w:rsidRDefault="003E62D0" w:rsidP="003E62D0">
      <w:pPr>
        <w:pStyle w:val="CETAddress"/>
      </w:pPr>
      <w:r w:rsidRPr="00B57B36">
        <w:rPr>
          <w:vertAlign w:val="superscript"/>
        </w:rPr>
        <w:t>a</w:t>
      </w:r>
      <w:r w:rsidRPr="000C4430">
        <w:t xml:space="preserve"> University of Insubria, Department of Science and High Technology, via Valleggio 9, 22100, Como, Italy</w:t>
      </w:r>
      <w:r w:rsidRPr="00B57B36">
        <w:t xml:space="preserve"> </w:t>
      </w:r>
    </w:p>
    <w:p w14:paraId="40A87A1F" w14:textId="77777777" w:rsidR="003E62D0" w:rsidRPr="00B57B36" w:rsidRDefault="003E62D0" w:rsidP="003E62D0">
      <w:pPr>
        <w:pStyle w:val="CETAddress"/>
      </w:pPr>
      <w:r w:rsidRPr="00B57B36">
        <w:rPr>
          <w:vertAlign w:val="superscript"/>
        </w:rPr>
        <w:t>b</w:t>
      </w:r>
      <w:r w:rsidRPr="000C4430">
        <w:t xml:space="preserve"> Politecnico of Milan, Department of Chemistry Materials and Chemical Engineering, Via Luigi Mancinelli 7, 20131,Milan, Italy</w:t>
      </w:r>
      <w:r w:rsidRPr="00B57B36">
        <w:t xml:space="preserve"> </w:t>
      </w:r>
    </w:p>
    <w:p w14:paraId="0A2B00DA" w14:textId="7363964C" w:rsidR="00B03BCB" w:rsidRDefault="009A22D2" w:rsidP="003E62D0">
      <w:pPr>
        <w:pStyle w:val="CETAddress"/>
      </w:pPr>
      <w:r w:rsidRPr="009A22D2">
        <w:rPr>
          <w:color w:val="0070C0"/>
        </w:rPr>
        <w:t>*</w:t>
      </w:r>
      <w:hyperlink r:id="rId10" w:history="1">
        <w:r w:rsidRPr="00443D76">
          <w:rPr>
            <w:rStyle w:val="Collegamentoipertestuale"/>
          </w:rPr>
          <w:t>sabrina.copelli@uninsubria.it</w:t>
        </w:r>
      </w:hyperlink>
    </w:p>
    <w:p w14:paraId="3AE2849A" w14:textId="77777777" w:rsidR="00BF39C5" w:rsidRDefault="00BF39C5" w:rsidP="00BF39C5">
      <w:pPr>
        <w:pStyle w:val="CETBodytext"/>
        <w:rPr>
          <w:lang w:val="en-GB"/>
        </w:rPr>
      </w:pPr>
    </w:p>
    <w:p w14:paraId="7D5A96E7" w14:textId="08F06B74" w:rsidR="00BF39C5" w:rsidRPr="005A6B7B" w:rsidRDefault="00BF39C5" w:rsidP="00BF39C5">
      <w:pPr>
        <w:pStyle w:val="CETBodytext"/>
        <w:rPr>
          <w:lang w:val="en-GB"/>
        </w:rPr>
      </w:pPr>
      <w:r w:rsidRPr="005A6B7B">
        <w:rPr>
          <w:lang w:val="en-GB"/>
        </w:rPr>
        <w:t>The British Petroleum (BP) American Refinery</w:t>
      </w:r>
      <w:r w:rsidR="00971329">
        <w:rPr>
          <w:lang w:val="en-GB"/>
        </w:rPr>
        <w:t xml:space="preserve"> accident</w:t>
      </w:r>
      <w:r w:rsidRPr="005A6B7B">
        <w:rPr>
          <w:lang w:val="en-GB"/>
        </w:rPr>
        <w:t xml:space="preserve">, back in 2005, was one of the most severe explosions recorded in any industrial accident database. According to both the reconstruction and the interviews with the company, it was found that the causes of the accident where both technical, with the failure of a level controller, which was also badly designed for the isomerization unit, and human, with a very stressed and undersized personnel. </w:t>
      </w:r>
    </w:p>
    <w:p w14:paraId="175C24AB" w14:textId="7BF85597" w:rsidR="00BF39C5" w:rsidRPr="005A6B7B" w:rsidRDefault="00BF39C5" w:rsidP="00BF39C5">
      <w:pPr>
        <w:pStyle w:val="CETBodytext"/>
        <w:rPr>
          <w:lang w:val="en-GB"/>
        </w:rPr>
      </w:pPr>
      <w:r w:rsidRPr="005A6B7B">
        <w:rPr>
          <w:lang w:val="en-GB"/>
        </w:rPr>
        <w:t>In this work, a Quantitative Risk Assessment (QRA) based on the Recursive Operability Analysis (ROA)</w:t>
      </w:r>
      <w:r w:rsidR="0066555E">
        <w:rPr>
          <w:lang w:val="en-GB"/>
        </w:rPr>
        <w:t>,</w:t>
      </w:r>
      <w:r w:rsidRPr="005A6B7B">
        <w:rPr>
          <w:lang w:val="en-GB"/>
        </w:rPr>
        <w:t xml:space="preserve"> as hazards and accidental scenarios identification tool</w:t>
      </w:r>
      <w:r w:rsidR="0066555E">
        <w:rPr>
          <w:lang w:val="en-GB"/>
        </w:rPr>
        <w:t>,</w:t>
      </w:r>
      <w:r w:rsidRPr="005A6B7B">
        <w:rPr>
          <w:lang w:val="en-GB"/>
        </w:rPr>
        <w:t xml:space="preserve"> </w:t>
      </w:r>
      <w:r w:rsidR="0066555E">
        <w:rPr>
          <w:lang w:val="en-GB"/>
        </w:rPr>
        <w:t>was</w:t>
      </w:r>
      <w:r w:rsidRPr="005A6B7B">
        <w:rPr>
          <w:lang w:val="en-GB"/>
        </w:rPr>
        <w:t xml:space="preserve"> performed on the unit (BP isomerization unit) </w:t>
      </w:r>
      <w:r w:rsidR="00B9588E" w:rsidRPr="005A6B7B">
        <w:rPr>
          <w:lang w:val="en-GB"/>
        </w:rPr>
        <w:t>in</w:t>
      </w:r>
      <w:r w:rsidR="00B9588E">
        <w:rPr>
          <w:lang w:val="en-GB"/>
        </w:rPr>
        <w:t>volved</w:t>
      </w:r>
      <w:r w:rsidR="00B9588E" w:rsidRPr="005A6B7B">
        <w:rPr>
          <w:lang w:val="en-GB"/>
        </w:rPr>
        <w:t xml:space="preserve"> </w:t>
      </w:r>
      <w:r w:rsidR="00B9588E">
        <w:rPr>
          <w:lang w:val="en-GB"/>
        </w:rPr>
        <w:t>in</w:t>
      </w:r>
      <w:r w:rsidR="00B9588E" w:rsidRPr="005A6B7B">
        <w:rPr>
          <w:lang w:val="en-GB"/>
        </w:rPr>
        <w:t xml:space="preserve"> </w:t>
      </w:r>
      <w:r w:rsidRPr="005A6B7B">
        <w:rPr>
          <w:lang w:val="en-GB"/>
        </w:rPr>
        <w:t xml:space="preserve">the accident. The analysis was carried out exploiting many different techniques, </w:t>
      </w:r>
      <w:r w:rsidR="00B9588E" w:rsidRPr="005A6B7B">
        <w:rPr>
          <w:lang w:val="en-GB"/>
        </w:rPr>
        <w:t>to</w:t>
      </w:r>
      <w:r w:rsidRPr="005A6B7B">
        <w:rPr>
          <w:lang w:val="en-GB"/>
        </w:rPr>
        <w:t xml:space="preserve"> provide a proper assessment. The quantification of all node-deviation-variables (necessary to establish the real behaviour of the system) was performed by implementing the BP plant in </w:t>
      </w:r>
      <w:proofErr w:type="spellStart"/>
      <w:r>
        <w:rPr>
          <w:lang w:val="en-GB"/>
        </w:rPr>
        <w:t>CoCo</w:t>
      </w:r>
      <w:proofErr w:type="spellEnd"/>
      <w:r>
        <w:rPr>
          <w:lang w:val="en-GB"/>
        </w:rPr>
        <w:t xml:space="preserve"> simulator</w:t>
      </w:r>
      <w:r w:rsidRPr="005A6B7B">
        <w:rPr>
          <w:lang w:val="en-GB"/>
        </w:rPr>
        <w:t xml:space="preserve">. </w:t>
      </w:r>
    </w:p>
    <w:p w14:paraId="44F75FCE" w14:textId="0FBCFC30" w:rsidR="00BF39C5" w:rsidRDefault="00BF39C5" w:rsidP="00BF39C5">
      <w:pPr>
        <w:pStyle w:val="CETBodytext"/>
        <w:rPr>
          <w:lang w:val="en-GB"/>
        </w:rPr>
      </w:pPr>
      <w:r w:rsidRPr="005A6B7B">
        <w:rPr>
          <w:lang w:val="en-GB"/>
        </w:rPr>
        <w:t xml:space="preserve">Basic events were identified using a simplified Failure Mode and Effects Analysis (FMEA). Then, the magnitude of fire and explosion was estimated basing on the simulation results provided by the ALOHA software. Finally, a Fault Tree Analysis for the BP isomerization unit was performed, quantifying the probability of occurrence of all the most credible scenarios. Probabilities, </w:t>
      </w:r>
      <w:r w:rsidR="00B9588E" w:rsidRPr="005A6B7B">
        <w:rPr>
          <w:lang w:val="en-GB"/>
        </w:rPr>
        <w:t>magnitudes,</w:t>
      </w:r>
      <w:r w:rsidRPr="005A6B7B">
        <w:rPr>
          <w:lang w:val="en-GB"/>
        </w:rPr>
        <w:t xml:space="preserve"> and risk indexes (function of the distance with respect to the source point) were also estimated. From the analysis, the importance of redundant measurements of the most crucial variables, such as liquid level, and the impact of human errors was </w:t>
      </w:r>
      <w:r>
        <w:rPr>
          <w:lang w:val="en-GB"/>
        </w:rPr>
        <w:t>highlighted.</w:t>
      </w:r>
    </w:p>
    <w:p w14:paraId="2B13B8D2" w14:textId="77777777" w:rsidR="00E751EC" w:rsidRPr="00B57B36" w:rsidRDefault="00E751EC" w:rsidP="00E751EC">
      <w:pPr>
        <w:pStyle w:val="CETHeading1"/>
        <w:rPr>
          <w:lang w:val="en-GB"/>
        </w:rPr>
      </w:pPr>
      <w:r w:rsidRPr="00B57B36">
        <w:rPr>
          <w:lang w:val="en-GB"/>
        </w:rPr>
        <w:t>Introduction</w:t>
      </w:r>
    </w:p>
    <w:p w14:paraId="2EA61D2B" w14:textId="4D60A59D" w:rsidR="00E751EC" w:rsidRDefault="006B2C98" w:rsidP="00E751EC">
      <w:pPr>
        <w:pStyle w:val="CETBodytext"/>
        <w:rPr>
          <w:lang w:val="en-GB"/>
        </w:rPr>
      </w:pPr>
      <w:r>
        <w:rPr>
          <w:lang w:val="en-GB"/>
        </w:rPr>
        <w:t>In the framework of process industry, t</w:t>
      </w:r>
      <w:r w:rsidR="00E751EC">
        <w:rPr>
          <w:lang w:val="en-GB"/>
        </w:rPr>
        <w:t xml:space="preserve">he Oil &amp; Gas sector is the greatest in terms of </w:t>
      </w:r>
      <w:r w:rsidR="00F16E5A">
        <w:rPr>
          <w:lang w:val="en-GB"/>
        </w:rPr>
        <w:t xml:space="preserve">both production </w:t>
      </w:r>
      <w:r w:rsidR="00E751EC">
        <w:rPr>
          <w:lang w:val="en-GB"/>
        </w:rPr>
        <w:t>volume</w:t>
      </w:r>
      <w:r w:rsidR="00F16E5A">
        <w:rPr>
          <w:lang w:val="en-GB"/>
        </w:rPr>
        <w:t>s</w:t>
      </w:r>
      <w:r w:rsidR="00E751EC">
        <w:rPr>
          <w:lang w:val="en-GB"/>
        </w:rPr>
        <w:t xml:space="preserve"> and raw materials. Since most of the substances involved in this field are flammable and toxic (hydrocarbons, solvents</w:t>
      </w:r>
      <w:r>
        <w:rPr>
          <w:lang w:val="en-GB"/>
        </w:rPr>
        <w:t>,</w:t>
      </w:r>
      <w:r w:rsidR="00E751EC">
        <w:rPr>
          <w:lang w:val="en-GB"/>
        </w:rPr>
        <w:t xml:space="preserve"> etc…), Oil &amp; Gas has to deal with significantly higher risks when compared to other chemical industries. In a recent study </w:t>
      </w:r>
      <w:r w:rsidR="00E751EC">
        <w:rPr>
          <w:lang w:val="en-GB"/>
        </w:rPr>
        <w:fldChar w:fldCharType="begin"/>
      </w:r>
      <w:r w:rsidR="00E751EC">
        <w:rPr>
          <w:lang w:val="en-GB"/>
        </w:rPr>
        <w:instrText xml:space="preserve"> ADDIN ZOTERO_ITEM CSL_CITATION {"citationID":"275tYmfi","properties":{"formattedCitation":"(Arun et al., 2022)","plainCitation":"(Arun et al., 2022)","noteIndex":0},"citationItems":[{"id":59,"uris":["http://zotero.org/users/local/mDzd7GNh/items/M5HKLBCC"],"itemData":{"id":59,"type":"article-journal","abstract":"Received: 14 May 2022 | Revised: 31 May 2022 | Accepted: 6 June 2022 | Online: 13 June 2022Corresponding author: P. A. Arun","container-title":"Engineering, Technology &amp; Applied Science Research","DOI":"10.48084/etasr.5079","ISSN":"1792-8036","issue":"4","language":"en","page":"8922-8927","source":"etasr.com","title":"Comparison of Accident Databases and Analysis of Past Industrial Accidents in the Chemical Process Industry","volume":"12","author":[{"family":"Arun","given":"P. A."},{"family":"Tauseef","given":"S. M."},{"family":"Uniyal","given":"U."}],"issued":{"date-parts":[["2022",8,7]]}}}],"schema":"https://github.com/citation-style-language/schema/raw/master/csl-citation.json"} </w:instrText>
      </w:r>
      <w:r w:rsidR="00E751EC">
        <w:rPr>
          <w:lang w:val="en-GB"/>
        </w:rPr>
        <w:fldChar w:fldCharType="separate"/>
      </w:r>
      <w:r w:rsidR="00E751EC" w:rsidRPr="001F3611">
        <w:rPr>
          <w:rFonts w:cs="Arial"/>
        </w:rPr>
        <w:t>(Arun et al., 2022)</w:t>
      </w:r>
      <w:r w:rsidR="00E751EC">
        <w:rPr>
          <w:lang w:val="en-GB"/>
        </w:rPr>
        <w:fldChar w:fldCharType="end"/>
      </w:r>
      <w:r w:rsidR="00E751EC">
        <w:rPr>
          <w:lang w:val="en-GB"/>
        </w:rPr>
        <w:t xml:space="preserve">, a Past Accident Analysis was performed using the </w:t>
      </w:r>
      <w:proofErr w:type="spellStart"/>
      <w:r w:rsidR="00E751EC">
        <w:rPr>
          <w:lang w:val="en-GB"/>
        </w:rPr>
        <w:t>eMars</w:t>
      </w:r>
      <w:proofErr w:type="spellEnd"/>
      <w:r w:rsidR="00E751EC">
        <w:rPr>
          <w:lang w:val="en-GB"/>
        </w:rPr>
        <w:t xml:space="preserve"> database over the period 2010-2021, a total number of 495 accidents were identified in the Eurozone, with more than 90 in the Oil &amp; Gas sector only. </w:t>
      </w:r>
      <w:r w:rsidR="00E751EC" w:rsidRPr="00EE2155">
        <w:rPr>
          <w:lang w:val="en-GB"/>
        </w:rPr>
        <w:t xml:space="preserve">Large accidents can disrupt </w:t>
      </w:r>
      <w:r w:rsidR="00421D3D">
        <w:rPr>
          <w:lang w:val="en-GB"/>
        </w:rPr>
        <w:t xml:space="preserve">either </w:t>
      </w:r>
      <w:r w:rsidR="00E751EC" w:rsidRPr="00EE2155">
        <w:rPr>
          <w:lang w:val="en-GB"/>
        </w:rPr>
        <w:t xml:space="preserve">the local or regional oil market, </w:t>
      </w:r>
      <w:r w:rsidR="00421D3D">
        <w:rPr>
          <w:lang w:val="en-GB"/>
        </w:rPr>
        <w:t>also</w:t>
      </w:r>
      <w:r w:rsidR="00421D3D" w:rsidRPr="00EE2155">
        <w:rPr>
          <w:lang w:val="en-GB"/>
        </w:rPr>
        <w:t xml:space="preserve"> </w:t>
      </w:r>
      <w:r w:rsidR="00E751EC" w:rsidRPr="00EE2155">
        <w:rPr>
          <w:lang w:val="en-GB"/>
        </w:rPr>
        <w:t>caus</w:t>
      </w:r>
      <w:r w:rsidR="00421D3D">
        <w:rPr>
          <w:lang w:val="en-GB"/>
        </w:rPr>
        <w:t>ing</w:t>
      </w:r>
      <w:r w:rsidR="00E751EC" w:rsidRPr="00EE2155">
        <w:rPr>
          <w:lang w:val="en-GB"/>
        </w:rPr>
        <w:t xml:space="preserve"> health concerns for thousands of nearby residents, </w:t>
      </w:r>
      <w:r w:rsidR="00DE7043">
        <w:rPr>
          <w:lang w:val="en-GB"/>
        </w:rPr>
        <w:t xml:space="preserve">and </w:t>
      </w:r>
      <w:r w:rsidR="00E751EC" w:rsidRPr="00EE2155">
        <w:rPr>
          <w:lang w:val="en-GB"/>
        </w:rPr>
        <w:t>bring</w:t>
      </w:r>
      <w:r w:rsidR="00DE7043">
        <w:rPr>
          <w:lang w:val="en-GB"/>
        </w:rPr>
        <w:t>ing</w:t>
      </w:r>
      <w:r w:rsidR="00E751EC" w:rsidRPr="00EE2155">
        <w:rPr>
          <w:lang w:val="en-GB"/>
        </w:rPr>
        <w:t xml:space="preserve"> direct and indirect job losses</w:t>
      </w:r>
      <w:r w:rsidR="00E751EC">
        <w:rPr>
          <w:lang w:val="en-GB"/>
        </w:rPr>
        <w:t xml:space="preserve"> </w:t>
      </w:r>
      <w:r w:rsidR="00E751EC">
        <w:rPr>
          <w:lang w:val="en-GB"/>
        </w:rPr>
        <w:fldChar w:fldCharType="begin"/>
      </w:r>
      <w:r w:rsidR="00E751EC">
        <w:rPr>
          <w:lang w:val="en-GB"/>
        </w:rPr>
        <w:instrText xml:space="preserve"> ADDIN ZOTERO_ITEM CSL_CITATION {"citationID":"e3tv7xqV","properties":{"formattedCitation":"(Mkrtchyan et al., 2022)","plainCitation":"(Mkrtchyan et al., 2022)","noteIndex":0},"citationItems":[{"id":81,"uris":["http://zotero.org/users/local/mDzd7GNh/items/REG3FQAH"],"itemData":{"id":81,"type":"article-journal","abstract":"Refineries are highly complex installations and a potential source of major hazards. Due to the large volumes of flammable and toxic substances present, an accident in a refinery may have multidimensional consequences. This includes severe property damages, injuries to personnel, toxic releases of chemicals causing adverse health effects on nearby residents and the environment, and large business interruption losses that may lead to company bankruptcy. This paper looks at the risk profile of refineries from an insurers’ perspective. A top down approach is employed to derive key performance indicators (KPIs) for two types of events historically known as main causes of major accidents in refineries, i.e. fire and vapor cloud explosion. Bayesian Belief Networks (BBNs) are used to develop a probabilistic model for quantifying risk indication of refineries for fire and explosion events via a structured approach to elicit and synthesize available knowledge from domain experts. Three types of KPIs are modelled as BBN nodes: quantitative, qualitative and directional indicators linked to technical, human and change trend factors, respectively. The approach proposed has a twofold practical use: i) to support insurers to assess which plants have low potential risk exposures; and ii) to inform the refineries about their own risk profile, thus supporting them with the assessment and the implementation of risk reduction measures. To ensure applicability across the industry, the systematic development of the BBN is detailed and extension via the inclusion of modules accounting for further KPIs is discussed.","container-title":"Journal of Loss Prevention in the Process Industries","DOI":"10.1016/j.jlp.2021.104673","ISSN":"0950-4230","journalAbbreviation":"Journal of Loss Prevention in the Process Industries","language":"en","page":"104673","source":"ScienceDirect","title":"Insurability risk assessment of oil refineries using Bayesian Belief Networks","volume":"74","author":[{"family":"Mkrtchyan","given":"Lusine"},{"family":"Straub","given":"Ulrich"},{"family":"Giachino","given":"Massimo"},{"family":"Kocher","given":"Thomas"},{"family":"Sansavini","given":"Giovanni"}],"issued":{"date-parts":[["2022",1,1]]}}}],"schema":"https://github.com/citation-style-language/schema/raw/master/csl-citation.json"} </w:instrText>
      </w:r>
      <w:r w:rsidR="00E751EC">
        <w:rPr>
          <w:lang w:val="en-GB"/>
        </w:rPr>
        <w:fldChar w:fldCharType="separate"/>
      </w:r>
      <w:r w:rsidR="00E751EC" w:rsidRPr="00D44EBD">
        <w:rPr>
          <w:rFonts w:cs="Arial"/>
        </w:rPr>
        <w:t>(Mkrtchyan et al., 2022)</w:t>
      </w:r>
      <w:r w:rsidR="00E751EC">
        <w:rPr>
          <w:lang w:val="en-GB"/>
        </w:rPr>
        <w:fldChar w:fldCharType="end"/>
      </w:r>
      <w:r w:rsidR="00E751EC" w:rsidRPr="00EE2155">
        <w:rPr>
          <w:lang w:val="en-GB"/>
        </w:rPr>
        <w:t>. For instance, consumers in California paid an estimated 2.4 billion$ more for gasoline after the ExxonMobil Torrance Refinery accident in 2015</w:t>
      </w:r>
      <w:r w:rsidR="00E751EC">
        <w:rPr>
          <w:lang w:val="en-GB"/>
        </w:rPr>
        <w:t xml:space="preserve"> </w:t>
      </w:r>
      <w:r w:rsidR="00E751EC">
        <w:rPr>
          <w:lang w:val="en-GB"/>
        </w:rPr>
        <w:fldChar w:fldCharType="begin"/>
      </w:r>
      <w:r w:rsidR="00E751EC">
        <w:rPr>
          <w:lang w:val="en-GB"/>
        </w:rPr>
        <w:instrText xml:space="preserve"> ADDIN ZOTERO_ITEM CSL_CITATION {"citationID":"ioKBJcq0","properties":{"formattedCitation":"(Gonzales et al., 2016)","plainCitation":"(Gonzales et al., 2016)","noteIndex":0},"citationItems":[{"id":84,"uris":["http://zotero.org/users/local/mDzd7GNh/items/V8GTEIPW"],"itemData":{"id":84,"type":"report","abstract":"Researchers found that the number of major oil and gas refinery incidents in California might be reduced under new California process safety management (PSM) and Accidental Release Prevention regulations, which could provide safety and health benefits to the public and savings to California consumers. They found that, to be worth their cost, the new PSM regulations would have to produce only modest improvements in safety.","language":"en","publisher":"RAND Corporation","source":"www.rand.org","title":"Cost–Benefit Analysis of Proposed California Oil and Gas Refinery Regulations","URL":"https://www.rand.org/pubs/research_reports/RR1421.html","author":[{"family":"Gonzales","given":"Daniel"},{"family":"Gulden","given":"Timothy R."},{"family":"Strong","given":"Aaron"},{"family":"Hoyle","given":"William"}],"accessed":{"date-parts":[["2023",5,3]]},"issued":{"date-parts":[["2016",3,16]]}}}],"schema":"https://github.com/citation-style-language/schema/raw/master/csl-citation.json"} </w:instrText>
      </w:r>
      <w:r w:rsidR="00E751EC">
        <w:rPr>
          <w:lang w:val="en-GB"/>
        </w:rPr>
        <w:fldChar w:fldCharType="separate"/>
      </w:r>
      <w:r w:rsidR="00E751EC" w:rsidRPr="00D44EBD">
        <w:rPr>
          <w:rFonts w:cs="Arial"/>
        </w:rPr>
        <w:t>(Gonzales et al., 2016)</w:t>
      </w:r>
      <w:r w:rsidR="00E751EC">
        <w:rPr>
          <w:lang w:val="en-GB"/>
        </w:rPr>
        <w:fldChar w:fldCharType="end"/>
      </w:r>
      <w:r w:rsidR="00E751EC" w:rsidRPr="00EE2155">
        <w:rPr>
          <w:lang w:val="en-GB"/>
        </w:rPr>
        <w:t xml:space="preserve">. The Chevron Richmond Refinery, affected by </w:t>
      </w:r>
      <w:r w:rsidR="002E3FA3">
        <w:rPr>
          <w:lang w:val="en-GB"/>
        </w:rPr>
        <w:t>an</w:t>
      </w:r>
      <w:r w:rsidR="002E3FA3" w:rsidRPr="00EE2155">
        <w:rPr>
          <w:lang w:val="en-GB"/>
        </w:rPr>
        <w:t xml:space="preserve"> </w:t>
      </w:r>
      <w:r w:rsidR="002E3FA3">
        <w:rPr>
          <w:lang w:val="en-GB"/>
        </w:rPr>
        <w:t>ac</w:t>
      </w:r>
      <w:r w:rsidR="002E3FA3" w:rsidRPr="00EE2155">
        <w:rPr>
          <w:lang w:val="en-GB"/>
        </w:rPr>
        <w:t xml:space="preserve">cident </w:t>
      </w:r>
      <w:r w:rsidR="00E751EC" w:rsidRPr="00EE2155">
        <w:rPr>
          <w:lang w:val="en-GB"/>
        </w:rPr>
        <w:t>in 2012, was required to pay 10 million$ as a compensation for the affected community members</w:t>
      </w:r>
      <w:r w:rsidR="00E751EC">
        <w:rPr>
          <w:lang w:val="en-GB"/>
        </w:rPr>
        <w:t>.</w:t>
      </w:r>
      <w:r w:rsidR="00E751EC" w:rsidRPr="00EE2155">
        <w:rPr>
          <w:lang w:val="en-GB"/>
        </w:rPr>
        <w:t xml:space="preserve"> After one of the biggest refinery accidents in Texas City in 2005, which killed 15 contract employees and injured more than 180, British Petroleum (BP) had to pay around 50 million$ for environmental fines</w:t>
      </w:r>
      <w:r w:rsidR="00E751EC">
        <w:rPr>
          <w:lang w:val="en-GB"/>
        </w:rPr>
        <w:t xml:space="preserve"> </w:t>
      </w:r>
      <w:r w:rsidR="00E751EC">
        <w:rPr>
          <w:lang w:val="en-GB"/>
        </w:rPr>
        <w:fldChar w:fldCharType="begin"/>
      </w:r>
      <w:r w:rsidR="00E751EC">
        <w:rPr>
          <w:lang w:val="en-GB"/>
        </w:rPr>
        <w:instrText xml:space="preserve"> ADDIN ZOTERO_ITEM CSL_CITATION {"citationID":"h35i74IJ","properties":{"formattedCitation":"(\\uc0\\u8220{}The Environmental Case,\\uc0\\u8221{} 2023)","plainCitation":"(“The Environmental Case,” 2023)","noteIndex":0},"citationItems":[{"id":86,"uris":["http://zotero.org/users/local/mDzd7GNh/items/LPMPLRJA"],"itemData":{"id":86,"type":"webpage","abstract":"Translating Values Into Policy","container-title":"Sage Publications Inc","language":"en","title":"The Environmental Case","URL":"https://us.sagepub.com/en-us/nam/the-environmental-case/book258485","accessed":{"date-parts":[["2023",5,3]]},"issued":{"date-parts":[["2023",4,7]]}}}],"schema":"https://github.com/citation-style-language/schema/raw/master/csl-citation.json"} </w:instrText>
      </w:r>
      <w:r w:rsidR="00E751EC">
        <w:rPr>
          <w:lang w:val="en-GB"/>
        </w:rPr>
        <w:fldChar w:fldCharType="separate"/>
      </w:r>
      <w:r w:rsidR="00E751EC" w:rsidRPr="00D44EBD">
        <w:rPr>
          <w:rFonts w:cs="Arial"/>
          <w:szCs w:val="24"/>
        </w:rPr>
        <w:t>(“The Environmental Case,” 2023)</w:t>
      </w:r>
      <w:r w:rsidR="00E751EC">
        <w:rPr>
          <w:lang w:val="en-GB"/>
        </w:rPr>
        <w:fldChar w:fldCharType="end"/>
      </w:r>
      <w:r w:rsidR="00E751EC" w:rsidRPr="00EE2155">
        <w:rPr>
          <w:lang w:val="en-GB"/>
        </w:rPr>
        <w:t xml:space="preserve">. </w:t>
      </w:r>
      <w:r w:rsidR="00E751EC">
        <w:rPr>
          <w:lang w:val="en-GB"/>
        </w:rPr>
        <w:t>Oil and Gas plants are particularly big, and they involve a very high number of workers, causing the human factor to be one of the most important aspects to be handled for a proper process safety management</w:t>
      </w:r>
      <w:r w:rsidR="00E751EC" w:rsidRPr="00EE2155">
        <w:rPr>
          <w:lang w:val="en-GB"/>
        </w:rPr>
        <w:t>. In this study</w:t>
      </w:r>
      <w:r w:rsidR="00E751EC">
        <w:rPr>
          <w:lang w:val="en-GB"/>
        </w:rPr>
        <w:t>,</w:t>
      </w:r>
      <w:r w:rsidR="00E751EC" w:rsidRPr="00EE2155">
        <w:rPr>
          <w:lang w:val="en-GB"/>
        </w:rPr>
        <w:t xml:space="preserve"> </w:t>
      </w:r>
      <w:r w:rsidR="00E751EC">
        <w:rPr>
          <w:lang w:val="en-GB"/>
        </w:rPr>
        <w:t xml:space="preserve">a risk assessment </w:t>
      </w:r>
      <w:r w:rsidR="006760CE">
        <w:rPr>
          <w:lang w:val="en-GB"/>
        </w:rPr>
        <w:t xml:space="preserve">was </w:t>
      </w:r>
      <w:r w:rsidR="00E751EC">
        <w:rPr>
          <w:lang w:val="en-GB"/>
        </w:rPr>
        <w:t xml:space="preserve">carried out on the raffinate splitter tower of the </w:t>
      </w:r>
      <w:r w:rsidR="00E751EC" w:rsidRPr="00EE2155">
        <w:rPr>
          <w:lang w:val="en-GB"/>
        </w:rPr>
        <w:t xml:space="preserve">British Petroleum (BP) in Texas </w:t>
      </w:r>
      <w:r w:rsidR="00E751EC">
        <w:rPr>
          <w:lang w:val="en-GB"/>
        </w:rPr>
        <w:t>C</w:t>
      </w:r>
      <w:r w:rsidR="00E751EC" w:rsidRPr="00EE2155">
        <w:rPr>
          <w:lang w:val="en-GB"/>
        </w:rPr>
        <w:t>ity</w:t>
      </w:r>
      <w:r w:rsidR="00E751EC">
        <w:rPr>
          <w:lang w:val="en-GB"/>
        </w:rPr>
        <w:t xml:space="preserve"> (US)</w:t>
      </w:r>
      <w:r w:rsidR="00E751EC" w:rsidRPr="00EE2155">
        <w:rPr>
          <w:lang w:val="en-GB"/>
        </w:rPr>
        <w:t>,</w:t>
      </w:r>
      <w:r w:rsidR="00E751EC">
        <w:rPr>
          <w:lang w:val="en-GB"/>
        </w:rPr>
        <w:t xml:space="preserve"> that witnessed one of the most severe explosions recorded in the history. In </w:t>
      </w:r>
      <w:r w:rsidR="00E751EC">
        <w:rPr>
          <w:lang w:val="en-GB"/>
        </w:rPr>
        <w:lastRenderedPageBreak/>
        <w:t>2005</w:t>
      </w:r>
      <w:r w:rsidR="00E751EC" w:rsidRPr="00EE2155">
        <w:rPr>
          <w:lang w:val="en-GB"/>
        </w:rPr>
        <w:t>, during the start-up of the raffinate splitter section of the ISOM unit</w:t>
      </w:r>
      <w:r w:rsidR="00E751EC">
        <w:rPr>
          <w:lang w:val="en-GB"/>
        </w:rPr>
        <w:t>,</w:t>
      </w:r>
      <w:r w:rsidR="00E751EC" w:rsidRPr="00EE2155">
        <w:rPr>
          <w:lang w:val="en-GB"/>
        </w:rPr>
        <w:t xml:space="preserve"> </w:t>
      </w:r>
      <w:r w:rsidR="00E751EC">
        <w:rPr>
          <w:lang w:val="en-GB"/>
        </w:rPr>
        <w:t>the tower was completely filled with liquid</w:t>
      </w:r>
      <w:r w:rsidR="00E751EC" w:rsidRPr="00EE2155">
        <w:rPr>
          <w:lang w:val="en-GB"/>
        </w:rPr>
        <w:t xml:space="preserve">. Flammable liquid was released, vaporized, and ignited, resulting in a huge explosion and fire. </w:t>
      </w:r>
    </w:p>
    <w:p w14:paraId="35B9BC09" w14:textId="01573554" w:rsidR="00E751EC" w:rsidRPr="006C60B8" w:rsidRDefault="00E751EC" w:rsidP="00E751EC">
      <w:pPr>
        <w:pStyle w:val="CETBodytext"/>
        <w:rPr>
          <w:lang w:val="en-GB"/>
        </w:rPr>
      </w:pPr>
      <w:r>
        <w:rPr>
          <w:lang w:val="en-GB"/>
        </w:rPr>
        <w:t xml:space="preserve">This accident was investigated by many associations and scholars </w:t>
      </w:r>
      <w:r>
        <w:rPr>
          <w:lang w:val="en-GB"/>
        </w:rPr>
        <w:fldChar w:fldCharType="begin"/>
      </w:r>
      <w:r>
        <w:rPr>
          <w:lang w:val="en-GB"/>
        </w:rPr>
        <w:instrText xml:space="preserve"> ADDIN ZOTERO_ITEM CSL_CITATION {"citationID":"BlpmPL9l","properties":{"formattedCitation":"(CSB, 2007; Khan and Amyotte, 2007; Manca and Brambilla, 2012)","plainCitation":"(CSB, 2007; Khan and Amyotte, 2007; Manca and Brambilla, 2012)","noteIndex":0},"citationItems":[{"id":69,"uris":["http://zotero.org/users/local/mDzd7GNh/items/ZEULBK3D"],"itemData":{"id":69,"type":"document","title":"BP America (Texas City) Refinery Explosion","URL":"https://www.csb.gov/bp-america-texas-city-refinery-explosion/","author":[{"family":"CSB","given":""}],"issued":{"date-parts":[["2007"]]}}},{"id":67,"uris":["http://zotero.org/users/local/mDzd7GNh/items/NZATR8FM"],"itemData":{"id":67,"type":"article-journal","abstract":"This paper presents detailed modeling results of the BP Texas City refinery incident. Three different approaches and explosion modeling tools were used to study the event. The results predicted by all three approaches are similar and all approaches identified a hazard potential comparable to what was witnessed on March 23, 2005. This confirms that quantitative risk assessment (QRA) has the ability to model a realistic scenario, and is therefore useful in safety measure design and emergency preparedness decision making to improve overall safety performance. Had QRA been conducted during a management of change (MOC) decision-making process, personnel trailers likely would not have been sited in such close proximity to the process units. The resulting severe consequences would then not have occurred. This work also aims to emphasize the importance of QRA in process safety management. The paper presents the authors’ perception of the sequence of events involved in the incident based on the published literature available at the time of writing. It also assesses potential consequences for the perceived sequence of events using a variety of consequence assessment tools. In doing so, the analysis illustrates how this incident could have been prevented in spite of many operational difficulties. The observations and commentary presented in this paper are intended solely for the purpose of process safety enhancement on the basis of the lessons learned. BP has published its own detailed report; the incident is also the subject of a recent investigation by the US Chemical Safety and Hazard Investigation Board, with the CSB's final report being available at http://www.csb.gov/index.cfm?folder=completed_investigations&amp;page=info&amp;INV_ID=52 (as of April 2007).","collection-title":"Selected Papers Presented at the Sixth International Symposium on Hazards, Prevention and Mitigation of Industrial Explosions","container-title":"Journal of Loss Prevention in the Process Industries","DOI":"10.1016/j.jlp.2007.04.037","ISSN":"0950-4230","issue":"4","journalAbbreviation":"Journal of Loss Prevention in the Process Industries","language":"en","page":"387-395","source":"ScienceDirect","title":"Modeling of BP Texas City refinery incident","volume":"20","author":[{"family":"Khan","given":"Faisal I."},{"family":"Amyotte","given":"Paul R."}],"issued":{"date-parts":[["2007",7,1]]}}},{"id":65,"uris":["http://zotero.org/users/local/mDzd7GNh/items/AMJEFXZ5"],"itemData":{"id":65,"type":"article-journal","abstract":"The paper investigates the causes and simulates the dynamics of the events that led to the catastrophic explosion on March 23, 2005 at the British Petroleum (BP) refinery in Texas City (USA) where 15 people died and 180 were injured. The paper follows the timeline of the accident, investigates the premises that characterized its phenomenology, and performs a critical analysis to fill the gaps that can be found in the scientific literature concerning the accident. In particular, a commercial dynamic process simulator (UNISIM) was adopted and integrated with ad hoc models to explain the column flooding and overfilling, the opening of the relief valves, and the flow of a two-phase mixture into the pipe connected to the blowdown system. The main findings are: (1) that the mass balance and the liquid thermal expansion cannot explain the complete flooding and overflow of the isomerization column; (2) the vapor cap used to explain the column overflow is unrealistic in our opinion; (3) the overflow can be explained by the partial vaporization of the feed stream after 1:00 PM and the consequent dispersion of vapor bubbles into the liquid holdup above the feed tray. In particular, tray holes smaller than 8 mm could cause the overflow; (4) there is a significant change in the thermodynamic conditions of the mixture emitted by the column head (temperature, pressure, vapor/liquid fractions) along the 270 m pipeline that connects the relief valves to the blowdown system; (5) the HEM model, together with the initial conditions we applied cannot explain the blowdown drum filling and release, therefore further studies are necessary.","container-title":"Journal of Loss Prevention in the Process Industries","DOI":"10.1016/j.jlp.2012.05.008","ISSN":"0950-4230","issue":"6","journalAbbreviation":"Journal of Loss Prevention in the Process Industries","language":"en","page":"950-957","source":"ScienceDirect","title":"Dynamic simulation of the BP Texas City refinery accident","volume":"25","author":[{"family":"Manca","given":"Davide"},{"family":"Brambilla","given":"Sara"}],"issued":{"date-parts":[["2012",11,1]]}}}],"schema":"https://github.com/citation-style-language/schema/raw/master/csl-citation.json"} </w:instrText>
      </w:r>
      <w:r>
        <w:rPr>
          <w:lang w:val="en-GB"/>
        </w:rPr>
        <w:fldChar w:fldCharType="separate"/>
      </w:r>
      <w:r w:rsidRPr="006C60B8">
        <w:rPr>
          <w:rFonts w:cs="Arial"/>
        </w:rPr>
        <w:t>(CSB, 2007; Khan and Amyotte, 2007; Manca and Brambilla, 2012)</w:t>
      </w:r>
      <w:r>
        <w:rPr>
          <w:lang w:val="en-GB"/>
        </w:rPr>
        <w:fldChar w:fldCharType="end"/>
      </w:r>
      <w:r>
        <w:rPr>
          <w:lang w:val="en-GB"/>
        </w:rPr>
        <w:t xml:space="preserve">, due to the severity of the explosion itself. However, most of the works are focused on </w:t>
      </w:r>
      <w:r w:rsidR="00AD77C6">
        <w:rPr>
          <w:lang w:val="en-GB"/>
        </w:rPr>
        <w:t xml:space="preserve">both </w:t>
      </w:r>
      <w:r w:rsidR="00100E2D">
        <w:rPr>
          <w:lang w:val="en-GB"/>
        </w:rPr>
        <w:t xml:space="preserve">the </w:t>
      </w:r>
      <w:r>
        <w:rPr>
          <w:lang w:val="en-GB"/>
        </w:rPr>
        <w:t>detect</w:t>
      </w:r>
      <w:r w:rsidR="00100E2D">
        <w:rPr>
          <w:lang w:val="en-GB"/>
        </w:rPr>
        <w:t>ion of</w:t>
      </w:r>
      <w:r>
        <w:rPr>
          <w:lang w:val="en-GB"/>
        </w:rPr>
        <w:t xml:space="preserve"> the root causes that lead to the event and</w:t>
      </w:r>
      <w:r w:rsidR="00100E2D">
        <w:rPr>
          <w:lang w:val="en-GB"/>
        </w:rPr>
        <w:t xml:space="preserve"> the</w:t>
      </w:r>
      <w:r>
        <w:rPr>
          <w:lang w:val="en-GB"/>
        </w:rPr>
        <w:t xml:space="preserve"> modelling of the overfill and release from the blowdown system. The scope of this work is to find whether the dynamics of the accident would have been foreseeable within a risk assessment framework. It </w:t>
      </w:r>
      <w:r w:rsidR="003A74A4">
        <w:rPr>
          <w:lang w:val="en-GB"/>
        </w:rPr>
        <w:t xml:space="preserve">was </w:t>
      </w:r>
      <w:r>
        <w:rPr>
          <w:lang w:val="en-GB"/>
        </w:rPr>
        <w:t xml:space="preserve">also investigated </w:t>
      </w:r>
      <w:r w:rsidR="006958CB">
        <w:rPr>
          <w:lang w:val="en-GB"/>
        </w:rPr>
        <w:t xml:space="preserve">whether </w:t>
      </w:r>
      <w:r>
        <w:rPr>
          <w:lang w:val="en-GB"/>
        </w:rPr>
        <w:t>the BP plant was, at least in theory, designed correctly</w:t>
      </w:r>
      <w:r w:rsidR="00A64D85">
        <w:rPr>
          <w:lang w:val="en-GB"/>
        </w:rPr>
        <w:t xml:space="preserve"> in terms of </w:t>
      </w:r>
      <w:r w:rsidR="00F01675">
        <w:rPr>
          <w:lang w:val="en-GB"/>
        </w:rPr>
        <w:t xml:space="preserve">equipped </w:t>
      </w:r>
      <w:r w:rsidR="00A64D85">
        <w:rPr>
          <w:lang w:val="en-GB"/>
        </w:rPr>
        <w:t>protective devices</w:t>
      </w:r>
      <w:r>
        <w:rPr>
          <w:lang w:val="en-GB"/>
        </w:rPr>
        <w:t xml:space="preserve">. The analysis </w:t>
      </w:r>
      <w:r w:rsidR="00F01675">
        <w:rPr>
          <w:lang w:val="en-GB"/>
        </w:rPr>
        <w:t xml:space="preserve">was </w:t>
      </w:r>
      <w:r>
        <w:rPr>
          <w:lang w:val="en-GB"/>
        </w:rPr>
        <w:t>carried out with the Recursive Operability Analysis</w:t>
      </w:r>
      <w:r w:rsidR="007A39F2">
        <w:rPr>
          <w:lang w:val="en-GB"/>
        </w:rPr>
        <w:t xml:space="preserve"> (ROA)</w:t>
      </w:r>
      <w:r>
        <w:rPr>
          <w:lang w:val="en-GB"/>
        </w:rPr>
        <w:t xml:space="preserve">, a </w:t>
      </w:r>
      <w:proofErr w:type="spellStart"/>
      <w:r>
        <w:rPr>
          <w:lang w:val="en-GB"/>
        </w:rPr>
        <w:t>HazOp</w:t>
      </w:r>
      <w:proofErr w:type="spellEnd"/>
      <w:r>
        <w:rPr>
          <w:lang w:val="en-GB"/>
        </w:rPr>
        <w:t xml:space="preserve"> like method, with the support of additional tools, namely Failure Mode and Effect Analysis and Fault Tree Analysis. Variable deviations </w:t>
      </w:r>
      <w:r w:rsidR="00F01675">
        <w:rPr>
          <w:lang w:val="en-GB"/>
        </w:rPr>
        <w:t xml:space="preserve">were </w:t>
      </w:r>
      <w:r>
        <w:rPr>
          <w:lang w:val="en-GB"/>
        </w:rPr>
        <w:t xml:space="preserve">furtherly investigated with the support of a freeware process simulator and the magnitude of the event </w:t>
      </w:r>
      <w:r w:rsidR="00F01675">
        <w:rPr>
          <w:lang w:val="en-GB"/>
        </w:rPr>
        <w:t xml:space="preserve">were </w:t>
      </w:r>
      <w:r>
        <w:rPr>
          <w:lang w:val="en-GB"/>
        </w:rPr>
        <w:t>found with a simple simulation performed with the well-known free software ALOHA.</w:t>
      </w:r>
    </w:p>
    <w:p w14:paraId="316F6EB3" w14:textId="77777777" w:rsidR="00E751EC" w:rsidRDefault="00E751EC" w:rsidP="00E751EC">
      <w:pPr>
        <w:pStyle w:val="CETHeading1"/>
      </w:pPr>
      <w:r>
        <w:t>Case study and methods</w:t>
      </w:r>
    </w:p>
    <w:p w14:paraId="1AF6A32B" w14:textId="59A67E4C" w:rsidR="00E751EC" w:rsidRDefault="00E751EC" w:rsidP="00E751EC">
      <w:pPr>
        <w:pStyle w:val="CETBodytext"/>
      </w:pPr>
      <w:r>
        <w:t xml:space="preserve">Plant P&amp;ID and procedures </w:t>
      </w:r>
      <w:r w:rsidR="0074093E">
        <w:t>were</w:t>
      </w:r>
      <w:r>
        <w:t xml:space="preserve"> recovered by combining several sources, including the well-known </w:t>
      </w:r>
      <w:proofErr w:type="spellStart"/>
      <w:r>
        <w:t>Mogford</w:t>
      </w:r>
      <w:proofErr w:type="spellEnd"/>
      <w:r>
        <w:t xml:space="preserve"> reconstruction </w:t>
      </w:r>
      <w:r>
        <w:fldChar w:fldCharType="begin"/>
      </w:r>
      <w:r>
        <w:instrText xml:space="preserve"> ADDIN ZOTERO_ITEM CSL_CITATION {"citationID":"QfDERhzD","properties":{"formattedCitation":"(Mogford, 2005)","plainCitation":"(Mogford, 2005)","noteIndex":0},"citationItems":[{"id":68,"uris":["http://zotero.org/users/local/mDzd7GNh/items/C5KK335A"],"itemData":{"id":68,"type":"document","title":"Fatal accident investigation report","URL":"http://cip.management.dal.ca/publications/final_report.pdf","author":[{"family":"Mogford","given":"J."}],"accessed":{"date-parts":[["2023",4,27]]},"issued":{"date-parts":[["2005"]]}}}],"schema":"https://github.com/citation-style-language/schema/raw/master/csl-citation.json"} </w:instrText>
      </w:r>
      <w:r>
        <w:fldChar w:fldCharType="separate"/>
      </w:r>
      <w:r w:rsidRPr="00066740">
        <w:rPr>
          <w:rFonts w:cs="Arial"/>
        </w:rPr>
        <w:t>(</w:t>
      </w:r>
      <w:proofErr w:type="spellStart"/>
      <w:r w:rsidRPr="00066740">
        <w:rPr>
          <w:rFonts w:cs="Arial"/>
        </w:rPr>
        <w:t>Mogford</w:t>
      </w:r>
      <w:proofErr w:type="spellEnd"/>
      <w:r w:rsidRPr="00066740">
        <w:rPr>
          <w:rFonts w:cs="Arial"/>
        </w:rPr>
        <w:t>, 2005)</w:t>
      </w:r>
      <w:r>
        <w:fldChar w:fldCharType="end"/>
      </w:r>
      <w:r>
        <w:t xml:space="preserve">, the reconstruction carried out by the Chemical Safety Board </w:t>
      </w:r>
      <w:r>
        <w:fldChar w:fldCharType="begin"/>
      </w:r>
      <w:r>
        <w:instrText xml:space="preserve"> ADDIN ZOTERO_ITEM CSL_CITATION {"citationID":"HVuPhDXR","properties":{"formattedCitation":"(CSB, 2007)","plainCitation":"(CSB, 2007)","noteIndex":0},"citationItems":[{"id":69,"uris":["http://zotero.org/users/local/mDzd7GNh/items/ZEULBK3D"],"itemData":{"id":69,"type":"document","title":"BP America (Texas City) Refinery Explosion","URL":"https://www.csb.gov/bp-america-texas-city-refinery-explosion/","author":[{"family":"CSB","given":""}],"issued":{"date-parts":[["2007"]]}}}],"schema":"https://github.com/citation-style-language/schema/raw/master/csl-citation.json"} </w:instrText>
      </w:r>
      <w:r>
        <w:fldChar w:fldCharType="separate"/>
      </w:r>
      <w:r w:rsidRPr="00066740">
        <w:rPr>
          <w:rFonts w:cs="Arial"/>
        </w:rPr>
        <w:t>(CSB, 2007)</w:t>
      </w:r>
      <w:r>
        <w:fldChar w:fldCharType="end"/>
      </w:r>
      <w:r>
        <w:t xml:space="preserve">, and different accident simulations </w:t>
      </w:r>
      <w:r>
        <w:fldChar w:fldCharType="begin"/>
      </w:r>
      <w:r>
        <w:instrText xml:space="preserve"> ADDIN ZOTERO_ITEM CSL_CITATION {"citationID":"FSjhJ4n6","properties":{"formattedCitation":"(Khan and Amyotte, 2007; Manca and Brambilla, 2012)","plainCitation":"(Khan and Amyotte, 2007; Manca and Brambilla, 2012)","noteIndex":0},"citationItems":[{"id":67,"uris":["http://zotero.org/users/local/mDzd7GNh/items/NZATR8FM"],"itemData":{"id":67,"type":"article-journal","abstract":"This paper presents detailed modeling results of the BP Texas City refinery incident. Three different approaches and explosion modeling tools were used to study the event. The results predicted by all three approaches are similar and all approaches identified a hazard potential comparable to what was witnessed on March 23, 2005. This confirms that quantitative risk assessment (QRA) has the ability to model a realistic scenario, and is therefore useful in safety measure design and emergency preparedness decision making to improve overall safety performance. Had QRA been conducted during a management of change (MOC) decision-making process, personnel trailers likely would not have been sited in such close proximity to the process units. The resulting severe consequences would then not have occurred. This work also aims to emphasize the importance of QRA in process safety management. The paper presents the authors’ perception of the sequence of events involved in the incident based on the published literature available at the time of writing. It also assesses potential consequences for the perceived sequence of events using a variety of consequence assessment tools. In doing so, the analysis illustrates how this incident could have been prevented in spite of many operational difficulties. The observations and commentary presented in this paper are intended solely for the purpose of process safety enhancement on the basis of the lessons learned. BP has published its own detailed report; the incident is also the subject of a recent investigation by the US Chemical Safety and Hazard Investigation Board, with the CSB's final report being available at http://www.csb.gov/index.cfm?folder=completed_investigations&amp;page=info&amp;INV_ID=52 (as of April 2007).","collection-title":"Selected Papers Presented at the Sixth International Symposium on Hazards, Prevention and Mitigation of Industrial Explosions","container-title":"Journal of Loss Prevention in the Process Industries","DOI":"10.1016/j.jlp.2007.04.037","ISSN":"0950-4230","issue":"4","journalAbbreviation":"Journal of Loss Prevention in the Process Industries","language":"en","page":"387-395","source":"ScienceDirect","title":"Modeling of BP Texas City refinery incident","volume":"20","author":[{"family":"Khan","given":"Faisal I."},{"family":"Amyotte","given":"Paul R."}],"issued":{"date-parts":[["2007",7,1]]}}},{"id":65,"uris":["http://zotero.org/users/local/mDzd7GNh/items/AMJEFXZ5"],"itemData":{"id":65,"type":"article-journal","abstract":"The paper investigates the causes and simulates the dynamics of the events that led to the catastrophic explosion on March 23, 2005 at the British Petroleum (BP) refinery in Texas City (USA) where 15 people died and 180 were injured. The paper follows the timeline of the accident, investigates the premises that characterized its phenomenology, and performs a critical analysis to fill the gaps that can be found in the scientific literature concerning the accident. In particular, a commercial dynamic process simulator (UNISIM) was adopted and integrated with ad hoc models to explain the column flooding and overfilling, the opening of the relief valves, and the flow of a two-phase mixture into the pipe connected to the blowdown system. The main findings are: (1) that the mass balance and the liquid thermal expansion cannot explain the complete flooding and overflow of the isomerization column; (2) the vapor cap used to explain the column overflow is unrealistic in our opinion; (3) the overflow can be explained by the partial vaporization of the feed stream after 1:00 PM and the consequent dispersion of vapor bubbles into the liquid holdup above the feed tray. In particular, tray holes smaller than 8 mm could cause the overflow; (4) there is a significant change in the thermodynamic conditions of the mixture emitted by the column head (temperature, pressure, vapor/liquid fractions) along the 270 m pipeline that connects the relief valves to the blowdown system; (5) the HEM model, together with the initial conditions we applied cannot explain the blowdown drum filling and release, therefore further studies are necessary.","container-title":"Journal of Loss Prevention in the Process Industries","DOI":"10.1016/j.jlp.2012.05.008","ISSN":"0950-4230","issue":"6","journalAbbreviation":"Journal of Loss Prevention in the Process Industries","language":"en","page":"950-957","source":"ScienceDirect","title":"Dynamic simulation of the BP Texas City refinery accident","volume":"25","author":[{"family":"Manca","given":"Davide"},{"family":"Brambilla","given":"Sara"}],"issued":{"date-parts":[["2012",11,1]]}}}],"schema":"https://github.com/citation-style-language/schema/raw/master/csl-citation.json"} </w:instrText>
      </w:r>
      <w:r>
        <w:fldChar w:fldCharType="separate"/>
      </w:r>
      <w:r w:rsidRPr="00066740">
        <w:rPr>
          <w:rFonts w:cs="Arial"/>
        </w:rPr>
        <w:t>(Khan and Amyotte, 2007; Manca and Brambilla, 2012)</w:t>
      </w:r>
      <w:r>
        <w:fldChar w:fldCharType="end"/>
      </w:r>
      <w:r>
        <w:t>. Based on the information retrieved on these references</w:t>
      </w:r>
      <w:r w:rsidR="0074093E">
        <w:t>,</w:t>
      </w:r>
      <w:r>
        <w:t xml:space="preserve"> </w:t>
      </w:r>
      <w:r w:rsidR="0074093E">
        <w:t xml:space="preserve">a </w:t>
      </w:r>
      <w:r>
        <w:t xml:space="preserve">P&amp;ID was reconstructed from the plant, including the loading of Aromatic Recovery Units, the raffinate splitter column E-1101, the bottom and top distillates to storage, and the blowdown drum, used for emergency releases. The analysis was carried out for the regular distillation procedure. Figure 1 reports the P&amp;ID reconstructed: the process </w:t>
      </w:r>
      <w:r w:rsidR="00990923">
        <w:t xml:space="preserve">was </w:t>
      </w:r>
      <w:r>
        <w:t>composed of storage tanks (feed, light and heavy fractions), the raffinate splitter column E-1101, the reboiler furnace (B-1101), heat exchangers (C-1104/6/7), drums (F-1102/2), condenser CA-1101, pumps (J-1101/2/3), temperature transmitters and indicators (identified with TT and TI), flow transmitters and controllers, valves (identified with LCV,PCV, LCV, RV and HV, depending on their functioning), low and high level alarms (LAL, LALL, LAH and LAHH), level indicators (identified as LI), and the blowdown drum F-20.</w:t>
      </w:r>
    </w:p>
    <w:p w14:paraId="02DE6FCF" w14:textId="77777777" w:rsidR="00E751EC" w:rsidRDefault="00E751EC" w:rsidP="00E751EC">
      <w:pPr>
        <w:pStyle w:val="CETBodytext"/>
      </w:pPr>
      <w:r>
        <w:rPr>
          <w:noProof/>
        </w:rPr>
        <w:drawing>
          <wp:inline distT="0" distB="0" distL="0" distR="0" wp14:anchorId="6CAA64E5" wp14:editId="5FEDA53E">
            <wp:extent cx="5727191" cy="4350327"/>
            <wp:effectExtent l="0" t="0" r="6985" b="0"/>
            <wp:docPr id="1215939389"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emento grafico 9"/>
                    <pic:cNvPicPr/>
                  </pic:nvPicPr>
                  <pic:blipFill rotWithShape="1">
                    <a:blip r:embed="rId11">
                      <a:extLst>
                        <a:ext uri="{96DAC541-7B7A-43D3-8B79-37D633B846F1}">
                          <asvg:svgBlip xmlns:asvg="http://schemas.microsoft.com/office/drawing/2016/SVG/main" r:embed="rId12"/>
                        </a:ext>
                      </a:extLst>
                    </a:blip>
                    <a:srcRect l="2634" t="2204" r="9757" b="3830"/>
                    <a:stretch/>
                  </pic:blipFill>
                  <pic:spPr bwMode="auto">
                    <a:xfrm>
                      <a:off x="0" y="0"/>
                      <a:ext cx="5736564" cy="4357447"/>
                    </a:xfrm>
                    <a:prstGeom prst="rect">
                      <a:avLst/>
                    </a:prstGeom>
                    <a:ln>
                      <a:noFill/>
                    </a:ln>
                    <a:extLst>
                      <a:ext uri="{53640926-AAD7-44D8-BBD7-CCE9431645EC}">
                        <a14:shadowObscured xmlns:a14="http://schemas.microsoft.com/office/drawing/2010/main"/>
                      </a:ext>
                    </a:extLst>
                  </pic:spPr>
                </pic:pic>
              </a:graphicData>
            </a:graphic>
          </wp:inline>
        </w:drawing>
      </w:r>
    </w:p>
    <w:p w14:paraId="2A73FABE" w14:textId="63480EFC" w:rsidR="00E751EC" w:rsidRDefault="00E751EC" w:rsidP="00E751EC">
      <w:pPr>
        <w:pStyle w:val="CETBodytext"/>
      </w:pPr>
      <w:r w:rsidRPr="00BD077D">
        <w:rPr>
          <w:rStyle w:val="CETCaptionCarattere"/>
        </w:rPr>
        <w:t xml:space="preserve">Figure </w:t>
      </w:r>
      <w:r w:rsidR="00FC12D9">
        <w:rPr>
          <w:rStyle w:val="CETCaptionCarattere"/>
        </w:rPr>
        <w:t>1</w:t>
      </w:r>
      <w:r w:rsidRPr="00BD077D">
        <w:rPr>
          <w:rStyle w:val="CETCaptionCarattere"/>
        </w:rPr>
        <w:t xml:space="preserve">: </w:t>
      </w:r>
      <w:r>
        <w:rPr>
          <w:rStyle w:val="CETCaptionCarattere"/>
        </w:rPr>
        <w:t>Reconstructed P&amp;ID for the BP plant</w:t>
      </w:r>
    </w:p>
    <w:p w14:paraId="3E671AC0" w14:textId="77777777" w:rsidR="00E751EC" w:rsidRDefault="00E751EC" w:rsidP="00D210B0">
      <w:pPr>
        <w:pStyle w:val="CETheadingx"/>
      </w:pPr>
      <w:r>
        <w:lastRenderedPageBreak/>
        <w:t>FMEA analysis</w:t>
      </w:r>
    </w:p>
    <w:p w14:paraId="293B4874" w14:textId="40F86413" w:rsidR="00E751EC" w:rsidRPr="00CF73DF" w:rsidRDefault="00E751EC" w:rsidP="00E751EC">
      <w:pPr>
        <w:pStyle w:val="CETBodytext"/>
      </w:pPr>
      <w:r>
        <w:t xml:space="preserve">The identification of components failure was performed by executing a Failure Mode and Effect Analysis, a tool to describe failure modes and effects of each component (controllers, valves, sensors…). Failure rates for the determination of </w:t>
      </w:r>
      <w:r w:rsidR="005D3D9B">
        <w:t xml:space="preserve">each plant component </w:t>
      </w:r>
      <w:r w:rsidR="006C23C9">
        <w:t xml:space="preserve">unavailability </w:t>
      </w:r>
      <w:r>
        <w:t xml:space="preserve">were found by using literature data </w:t>
      </w:r>
      <w:r>
        <w:fldChar w:fldCharType="begin"/>
      </w:r>
      <w:r>
        <w:instrText xml:space="preserve"> ADDIN ZOTERO_ITEM CSL_CITATION {"citationID":"gfAnO8YB","properties":{"formattedCitation":"(Mannan, 2005; Smith, 2011)","plainCitation":"(Mannan, 2005; Smith, 2011)","noteIndex":0},"citationItems":[{"id":92,"uris":["http://zotero.org/users/local/mDzd7GNh/items/ZWWA25DG"],"itemData":{"id":92,"type":"book","edition":"3rd","number-of-volumes":"3","publisher":"Butterworth-Heinemann","title":"Lees' Loss Prevention in the Process Industry","URL":"https://app.knovel.com/kn/resources/kpLLPPIVH2/toc","volume":"3","author":[{"family":"Mannan","given":"Sam"}],"accessed":{"date-parts":[["2023",5,8]]},"issued":{"date-parts":[["2005"]]}}},{"id":90,"uris":["http://zotero.org/users/local/mDzd7GNh/items/569TBGRQ"],"itemData":{"id":90,"type":"book","publisher":"Butterworth-Heinemann","title":"Reliability, Maintainability and Risk - 8th Edition","URL":"https://www.elsevier.com/books/reliability-maintainability-and-risk/smith/978-0-08-096902-2","author":[{"family":"Smith","given":"D."}],"accessed":{"date-parts":[["2023",5,8]]},"issued":{"date-parts":[["2011"]]}}}],"schema":"https://github.com/citation-style-language/schema/raw/master/csl-citation.json"} </w:instrText>
      </w:r>
      <w:r>
        <w:fldChar w:fldCharType="separate"/>
      </w:r>
      <w:r w:rsidRPr="00970C0D">
        <w:rPr>
          <w:rFonts w:cs="Arial"/>
        </w:rPr>
        <w:t>(Mannan, 2005; Smith, 2011)</w:t>
      </w:r>
      <w:r>
        <w:fldChar w:fldCharType="end"/>
      </w:r>
      <w:r>
        <w:t>.</w:t>
      </w:r>
      <w:r w:rsidR="005D3D9B">
        <w:t xml:space="preserve"> </w:t>
      </w:r>
      <w:r>
        <w:t xml:space="preserve">Human errors were also identified with the support of a literature database </w:t>
      </w:r>
      <w:r>
        <w:fldChar w:fldCharType="begin"/>
      </w:r>
      <w:r>
        <w:instrText xml:space="preserve"> ADDIN ZOTERO_ITEM CSL_CITATION {"citationID":"Y5byYtTd","properties":{"formattedCitation":"(Bello and Colombari, 1980)","plainCitation":"(Bello and Colombari, 1980)","noteIndex":0},"citationItems":[{"id":79,"uris":["http://zotero.org/users/local/mDzd7GNh/items/BF4TI2JS"],"itemData":{"id":79,"type":"article-journal","abstract":"The ability to make mistakes is an innate human trait; however, until recently, the ability to spread death and destruction through one's own mistakes has been mainly limited to political men and Generals. Nowadays, there are other individuals capable, when carrying out their work, of making mistakes with exceptionally grave consequences. This is caused by the construction of increasingly larger plant (with consequently higher destructive potentials), to the centralization of controls in one single, or a few, control rooms, and to the fact that many important decisions are concentrated on a few operators. Recent surveys seem to reveal that at least 40% of the total of disastrous events in industrial activities derive from human error. It therefore appears evident that each risk analysis made on systems in which man plays a part, must take possible human error into consideration. This report is an attempt to suggest data, methodologies and programs for an analysis of human factors in process industries.","container-title":"Reliability Engineering","DOI":"10.1016/0143-8174(80)90010-4","ISSN":"0143-8174","issue":"1","journalAbbreviation":"Reliability Engineering","language":"en","page":"3-14","source":"ScienceDirect","title":"The human factors in risk analyses of process plants: The control room operator model ‘TESEO’","title-short":"The human factors in risk analyses of process plants","volume":"1","author":[{"family":"Bello","given":"G. C."},{"family":"Colombari","given":"V."}],"issued":{"date-parts":[["1980",7,1]]}}}],"schema":"https://github.com/citation-style-language/schema/raw/master/csl-citation.json"} </w:instrText>
      </w:r>
      <w:r>
        <w:fldChar w:fldCharType="separate"/>
      </w:r>
      <w:r w:rsidRPr="0080087F">
        <w:rPr>
          <w:rFonts w:cs="Arial"/>
        </w:rPr>
        <w:t>(Bello and Colombari, 1980)</w:t>
      </w:r>
      <w:r>
        <w:fldChar w:fldCharType="end"/>
      </w:r>
      <w:r>
        <w:t>.</w:t>
      </w:r>
    </w:p>
    <w:p w14:paraId="62574CFA" w14:textId="77777777" w:rsidR="00E751EC" w:rsidRDefault="00E751EC" w:rsidP="00D210B0">
      <w:pPr>
        <w:pStyle w:val="CETheadingx"/>
      </w:pPr>
      <w:r>
        <w:t>ROA Analysis</w:t>
      </w:r>
    </w:p>
    <w:p w14:paraId="4A30ED8F" w14:textId="5178B6B2" w:rsidR="00E751EC" w:rsidRDefault="00E751EC" w:rsidP="00E751EC">
      <w:pPr>
        <w:pStyle w:val="CETBodytext"/>
      </w:pPr>
      <w:r w:rsidRPr="00DE4611">
        <w:t>The Recursive Operability Analys</w:t>
      </w:r>
      <w:r>
        <w:t xml:space="preserve">is is a tool that can be used to identify </w:t>
      </w:r>
      <w:r w:rsidR="004977BF">
        <w:t xml:space="preserve">both hazards and </w:t>
      </w:r>
      <w:r>
        <w:t xml:space="preserve">accidental scenarios </w:t>
      </w:r>
      <w:r w:rsidR="004977BF">
        <w:t xml:space="preserve">also </w:t>
      </w:r>
      <w:r w:rsidR="002813C0">
        <w:t>arranging</w:t>
      </w:r>
      <w:r w:rsidR="004977BF">
        <w:t xml:space="preserve"> </w:t>
      </w:r>
      <w:r w:rsidR="002813C0">
        <w:t xml:space="preserve">a </w:t>
      </w:r>
      <w:r>
        <w:t xml:space="preserve">probability analysis </w:t>
      </w:r>
      <w:r>
        <w:fldChar w:fldCharType="begin"/>
      </w:r>
      <w:r>
        <w:instrText xml:space="preserve"> ADDIN ZOTERO_ITEM CSL_CITATION {"citationID":"ioIczw7i","properties":{"formattedCitation":"(Barozzi et al., 2020)","plainCitation":"(Barozzi et al., 2020)","noteIndex":0},"citationItems":[{"id":78,"uris":["http://zotero.org/users/local/mDzd7GNh/items/FU4T28E4"],"itemData":{"id":78,"type":"article-journal","abstract":"Organic dust explosions were and are still today a critical issue in the food, pharmaceutical, and fine chemical industry. Materials such as flour, corn starch, sugar and APIs represent a cause of severe accidents. In this framework, we investigated a modified version of Recursive Operability Analysis&amp;minus;Incidental Sequence Diagrams (ROA&amp;ndash;ISD), called ROA Plus&amp;minus;ISD, specifically tailored to describe industrial processes involving organic combustible dusts. Compared to more classical techniques such as Hazard and Operability (HazOp), ROA&amp;minus;ISD allows for a direct generation of fault trees, providing a useful tool to connect Qualitative with Quantitative Risk Analysis (QRA). ROA Plus&amp;minus;ISD is very similar to ROA&amp;minus;Cause Consequence Diagrams (CCD), which has already proven to be an effective tool to perform both risk assessment on existing plants and reconstructing already occurred accidents, given its logical structure and width of the application fields. In this work, we modified specific parts of the standard ROA&amp;minus;CCD method: (1) the Failure Mode and Operability Analysis (FMEA) database has been structured in order to retrieve the well-known explosion pentagon (for dusts) and all the instruments, devices, apparatuses and controllers typical of industries which process organic dusts; (2) a new comprehensive list of process variables has been compiled. In this way, it is possible to tailor the information required for the generation of the fault trees concerning top events involving mainly dust explosions and fires. This method has been implemented in order to reconstruct the dynamics of the February 2008 Imperial Sugar refinery plant accident (Port Wentworth, GA, USA). Results demonstrated the applicability of the enhanced method by highlighting the criticalities of the process already showed by a previously detailed reconstruction performed by the Chemical Safety Board.","container-title":"International Journal of Environmental Research and Public Health","DOI":"10.3390/ijerph17093078","ISSN":"1660-4601","issue":"9","title":"Application of an Enhanced Version of Recursive Operability Analysis for Combustible Dusts Risk Assessment","volume":"17","author":[{"family":"Barozzi","given":"Marco"},{"family":"Copelli","given":"Sabrina"},{"family":"Scotton","given":"Martina S."},{"family":"Torretta","given":"Vincenzo"}],"issued":{"date-parts":[["2020"]]}}}],"schema":"https://github.com/citation-style-language/schema/raw/master/csl-citation.json"} </w:instrText>
      </w:r>
      <w:r>
        <w:fldChar w:fldCharType="separate"/>
      </w:r>
      <w:r w:rsidRPr="00817682">
        <w:rPr>
          <w:rFonts w:cs="Arial"/>
        </w:rPr>
        <w:t>(Barozzi et al., 2020)</w:t>
      </w:r>
      <w:r>
        <w:fldChar w:fldCharType="end"/>
      </w:r>
      <w:r>
        <w:t xml:space="preserve">. The main advantage consists in the possibility of generating Fault Trees in an automatic way </w:t>
      </w:r>
      <w:r>
        <w:fldChar w:fldCharType="begin"/>
      </w:r>
      <w:r>
        <w:instrText xml:space="preserve"> ADDIN ZOTERO_ITEM CSL_CITATION {"citationID":"EGfzg3dH","properties":{"formattedCitation":"(Barozzi et al., 2021)","plainCitation":"(Barozzi et al., 2021)","noteIndex":0},"citationItems":[{"id":70,"uris":["http://zotero.org/users/local/mDzd7GNh/items/REHIGEB2"],"itemData":{"id":70,"type":"article-journal","abstract":"With more than 350 GWh per year and thousands of installations around the world, biogas is an appealing strategy in the field of energy production and industrial waste optimization. In this sense, it is of paramount importance to address the risk associated with such plants, as an increasing trend of accidents have been recorded in the last 20 years. In this work, a representative biogas production plant was considered, and a risk assessment was carried out through the combination of Recursive Operability Analysis and Failure Mode and Effects Criticality Analysis. The methodology is rigorous and allows for both the identification and the quantification of accidental scenarios due to procedural errors and equipment failures, which miss in the literature for the case of biogas. The analysis allows the automatic generation of the Fault Trees for the identified Top Events, which can be numerically solved. Results show that the most critical accidental scenario in the biogas plant here considered is the formation of an explosive air-biogas mixture, which can occur in both anaerobic digester and condensate trap. The calculated probabilities agree with the results available in literature on similar plants. Pumps and Distributed Control System were found to be the most critical components.","container-title":"Journal of Loss Prevention in the Process Industries","DOI":"10.1016/j.jlp.2021.104468","ISSN":"0950-4230","journalAbbreviation":"Journal of Loss Prevention in the Process Industries","language":"en","page":"104468","source":"ScienceDirect","title":"Integration of Recursive Operability Analysis, FMECA and FTA for the Quantitative Risk Assessment in biogas plants: Role of procedural errors and components failures","title-short":"Integration of Recursive Operability Analysis, FMECA and FTA for the Quantitative Risk Assessment in biogas plants","volume":"71","author":[{"family":"Barozzi","given":"Marco"},{"family":"Contini","given":"Sergio"},{"family":"Raboni","given":"Massimo"},{"family":"Torretta","given":"Vincenzo"},{"family":"Casson Moreno","given":"Valeria"},{"family":"Copelli","given":"Sabrina"}],"issued":{"date-parts":[["2021",7,1]]}}}],"schema":"https://github.com/citation-style-language/schema/raw/master/csl-citation.json"} </w:instrText>
      </w:r>
      <w:r>
        <w:fldChar w:fldCharType="separate"/>
      </w:r>
      <w:r w:rsidRPr="0080087F">
        <w:rPr>
          <w:rFonts w:cs="Arial"/>
        </w:rPr>
        <w:t>(Barozzi et al., 2021)</w:t>
      </w:r>
      <w:r>
        <w:fldChar w:fldCharType="end"/>
      </w:r>
      <w:r>
        <w:t>. Usually, when performing such an analysis, the combination between variable deviations and consequences is led to the analyst’s knowledge and experience. In this study, due to the complexity of a multi-component distillation column, it is proposed to analyze process deviations with the support of a simulator.</w:t>
      </w:r>
      <w:r w:rsidRPr="002022AB">
        <w:t xml:space="preserve"> </w:t>
      </w:r>
      <w:r>
        <w:t>ROA was carried out with the support of a CAPE-OPEN simulator (</w:t>
      </w:r>
      <w:proofErr w:type="spellStart"/>
      <w:r>
        <w:t>CoCo</w:t>
      </w:r>
      <w:proofErr w:type="spellEnd"/>
      <w:r>
        <w:t xml:space="preserve"> simulator, </w:t>
      </w:r>
      <w:r w:rsidRPr="004F24F8">
        <w:t>https://www.cocosimulator.org/</w:t>
      </w:r>
      <w:r>
        <w:t xml:space="preserve">). The column was represented as a simple distillation column. Peng Robinson was chosen as Equation of State, since it generally finds good application for hydrocarbons. The column </w:t>
      </w:r>
      <w:r w:rsidR="009A3C44">
        <w:t>ha</w:t>
      </w:r>
      <w:r w:rsidR="00515000">
        <w:t>s</w:t>
      </w:r>
      <w:r w:rsidR="009A3C44">
        <w:t xml:space="preserve"> </w:t>
      </w:r>
      <w:r>
        <w:t xml:space="preserve">73 plates, where the first </w:t>
      </w:r>
      <w:r w:rsidR="00515000">
        <w:t>i</w:t>
      </w:r>
      <w:r w:rsidR="009A3C44">
        <w:t>s</w:t>
      </w:r>
      <w:r>
        <w:t xml:space="preserve"> the condenser and the last </w:t>
      </w:r>
      <w:r w:rsidR="00515000">
        <w:t>i</w:t>
      </w:r>
      <w:r w:rsidR="009A3C44">
        <w:t>s</w:t>
      </w:r>
      <w:r>
        <w:t xml:space="preserve"> the reboiler. Feed </w:t>
      </w:r>
      <w:r w:rsidR="00515000">
        <w:t>occurs</w:t>
      </w:r>
      <w:r w:rsidR="009A3C44">
        <w:t xml:space="preserve"> </w:t>
      </w:r>
      <w:r>
        <w:t xml:space="preserve">on tray number 32 </w:t>
      </w:r>
      <w:r>
        <w:fldChar w:fldCharType="begin"/>
      </w:r>
      <w:r>
        <w:instrText xml:space="preserve"> ADDIN ZOTERO_ITEM CSL_CITATION {"citationID":"tJiecMA0","properties":{"formattedCitation":"(Mogford, 2005)","plainCitation":"(Mogford, 2005)","noteIndex":0},"citationItems":[{"id":68,"uris":["http://zotero.org/users/local/mDzd7GNh/items/C5KK335A"],"itemData":{"id":68,"type":"document","title":"Fatal accident investigation report","URL":"http://cip.management.dal.ca/publications/final_report.pdf","author":[{"family":"Mogford","given":"J."}],"accessed":{"date-parts":[["2023",4,27]]},"issued":{"date-parts":[["2005"]]}}}],"schema":"https://github.com/citation-style-language/schema/raw/master/csl-citation.json"} </w:instrText>
      </w:r>
      <w:r>
        <w:fldChar w:fldCharType="separate"/>
      </w:r>
      <w:r w:rsidRPr="00CD5456">
        <w:rPr>
          <w:rFonts w:cs="Arial"/>
        </w:rPr>
        <w:t>(Mogford, 2005)</w:t>
      </w:r>
      <w:r>
        <w:fldChar w:fldCharType="end"/>
      </w:r>
      <w:r>
        <w:t>. The composition of the feed is shown in Table 1.</w:t>
      </w:r>
    </w:p>
    <w:p w14:paraId="52165F84" w14:textId="77777777" w:rsidR="00E751EC" w:rsidRPr="00B57B36" w:rsidRDefault="00E751EC" w:rsidP="00E751EC">
      <w:pPr>
        <w:pStyle w:val="CETTabletitle"/>
      </w:pPr>
      <w:r w:rsidRPr="00B57B36">
        <w:t xml:space="preserve">Table 1: </w:t>
      </w:r>
      <w:r>
        <w:t xml:space="preserve">Composition of the feed </w:t>
      </w:r>
      <w:r>
        <w:fldChar w:fldCharType="begin"/>
      </w:r>
      <w:r>
        <w:instrText xml:space="preserve"> ADDIN ZOTERO_ITEM CSL_CITATION {"citationID":"6zyFuLCY","properties":{"formattedCitation":"(CSB, 2007)","plainCitation":"(CSB, 2007)","noteIndex":0},"citationItems":[{"id":69,"uris":["http://zotero.org/users/local/mDzd7GNh/items/ZEULBK3D"],"itemData":{"id":69,"type":"document","title":"BP America (Texas City) Refinery Explosion","URL":"https://www.csb.gov/bp-america-texas-city-refinery-explosion/","author":[{"family":"CSB","given":""}],"issued":{"date-parts":[["2007"]]}}}],"schema":"https://github.com/citation-style-language/schema/raw/master/csl-citation.json"} </w:instrText>
      </w:r>
      <w:r>
        <w:fldChar w:fldCharType="separate"/>
      </w:r>
      <w:r w:rsidRPr="001C005E">
        <w:rPr>
          <w:rFonts w:cs="Arial"/>
        </w:rPr>
        <w:t>(CSB, 2007)</w:t>
      </w:r>
      <w:r>
        <w:fldChar w:fldCharType="end"/>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79"/>
        <w:gridCol w:w="1451"/>
        <w:gridCol w:w="1479"/>
        <w:gridCol w:w="1450"/>
        <w:gridCol w:w="1478"/>
        <w:gridCol w:w="1450"/>
      </w:tblGrid>
      <w:tr w:rsidR="00E751EC" w:rsidRPr="00B57B36" w14:paraId="1D26CC11" w14:textId="77777777" w:rsidTr="00A23F24">
        <w:tc>
          <w:tcPr>
            <w:tcW w:w="841" w:type="pct"/>
            <w:tcBorders>
              <w:top w:val="single" w:sz="12" w:space="0" w:color="008000"/>
              <w:bottom w:val="single" w:sz="6" w:space="0" w:color="008000"/>
            </w:tcBorders>
            <w:shd w:val="clear" w:color="auto" w:fill="FFFFFF"/>
          </w:tcPr>
          <w:p w14:paraId="3F5B1941" w14:textId="77777777" w:rsidR="00E751EC" w:rsidRPr="00B57B36" w:rsidRDefault="00E751EC" w:rsidP="00A23F24">
            <w:pPr>
              <w:pStyle w:val="CETBodytext"/>
              <w:rPr>
                <w:lang w:val="en-GB"/>
              </w:rPr>
            </w:pPr>
            <w:r>
              <w:rPr>
                <w:lang w:val="en-GB"/>
              </w:rPr>
              <w:t>Component</w:t>
            </w:r>
          </w:p>
        </w:tc>
        <w:tc>
          <w:tcPr>
            <w:tcW w:w="825" w:type="pct"/>
            <w:tcBorders>
              <w:top w:val="single" w:sz="12" w:space="0" w:color="008000"/>
              <w:bottom w:val="single" w:sz="6" w:space="0" w:color="008000"/>
            </w:tcBorders>
            <w:shd w:val="clear" w:color="auto" w:fill="FFFFFF"/>
          </w:tcPr>
          <w:p w14:paraId="24E4A556" w14:textId="77777777" w:rsidR="00E751EC" w:rsidRPr="00B57B36" w:rsidRDefault="00E751EC" w:rsidP="00A23F24">
            <w:pPr>
              <w:pStyle w:val="CETBodytext"/>
              <w:rPr>
                <w:lang w:val="en-GB"/>
              </w:rPr>
            </w:pPr>
            <w:r>
              <w:rPr>
                <w:lang w:val="en-GB"/>
              </w:rPr>
              <w:t>Mass fraction</w:t>
            </w:r>
          </w:p>
        </w:tc>
        <w:tc>
          <w:tcPr>
            <w:tcW w:w="841" w:type="pct"/>
            <w:tcBorders>
              <w:top w:val="single" w:sz="12" w:space="0" w:color="008000"/>
              <w:bottom w:val="single" w:sz="6" w:space="0" w:color="008000"/>
            </w:tcBorders>
            <w:shd w:val="clear" w:color="auto" w:fill="FFFFFF"/>
          </w:tcPr>
          <w:p w14:paraId="72A79C18" w14:textId="77777777" w:rsidR="00E751EC" w:rsidRPr="00B57B36" w:rsidRDefault="00E751EC" w:rsidP="00A23F24">
            <w:pPr>
              <w:pStyle w:val="CETBodytext"/>
              <w:rPr>
                <w:lang w:val="en-GB"/>
              </w:rPr>
            </w:pPr>
            <w:r>
              <w:rPr>
                <w:lang w:val="en-GB"/>
              </w:rPr>
              <w:t>Component</w:t>
            </w:r>
          </w:p>
        </w:tc>
        <w:tc>
          <w:tcPr>
            <w:tcW w:w="825" w:type="pct"/>
            <w:tcBorders>
              <w:top w:val="single" w:sz="12" w:space="0" w:color="008000"/>
              <w:bottom w:val="single" w:sz="6" w:space="0" w:color="008000"/>
            </w:tcBorders>
            <w:shd w:val="clear" w:color="auto" w:fill="FFFFFF"/>
          </w:tcPr>
          <w:p w14:paraId="231C4C57" w14:textId="77777777" w:rsidR="00E751EC" w:rsidRPr="00B57B36" w:rsidRDefault="00E751EC" w:rsidP="00A23F24">
            <w:pPr>
              <w:pStyle w:val="CETBodytext"/>
              <w:ind w:right="-1"/>
              <w:rPr>
                <w:rFonts w:cs="Arial"/>
                <w:szCs w:val="18"/>
                <w:lang w:val="en-GB"/>
              </w:rPr>
            </w:pPr>
            <w:r>
              <w:rPr>
                <w:lang w:val="en-GB"/>
              </w:rPr>
              <w:t>Mass fraction</w:t>
            </w:r>
          </w:p>
        </w:tc>
        <w:tc>
          <w:tcPr>
            <w:tcW w:w="841" w:type="pct"/>
            <w:tcBorders>
              <w:top w:val="single" w:sz="12" w:space="0" w:color="008000"/>
              <w:bottom w:val="single" w:sz="6" w:space="0" w:color="008000"/>
            </w:tcBorders>
            <w:shd w:val="clear" w:color="auto" w:fill="FFFFFF"/>
          </w:tcPr>
          <w:p w14:paraId="0FA976C2" w14:textId="77777777" w:rsidR="00E751EC" w:rsidRPr="00B57B36" w:rsidRDefault="00E751EC" w:rsidP="00A23F24">
            <w:pPr>
              <w:pStyle w:val="CETBodytext"/>
              <w:ind w:right="-1"/>
              <w:rPr>
                <w:rFonts w:cs="Arial"/>
                <w:szCs w:val="18"/>
                <w:lang w:val="en-GB"/>
              </w:rPr>
            </w:pPr>
            <w:r>
              <w:rPr>
                <w:lang w:val="en-GB"/>
              </w:rPr>
              <w:t>Component</w:t>
            </w:r>
          </w:p>
        </w:tc>
        <w:tc>
          <w:tcPr>
            <w:tcW w:w="825" w:type="pct"/>
            <w:tcBorders>
              <w:top w:val="single" w:sz="12" w:space="0" w:color="008000"/>
              <w:bottom w:val="single" w:sz="6" w:space="0" w:color="008000"/>
            </w:tcBorders>
            <w:shd w:val="clear" w:color="auto" w:fill="FFFFFF"/>
          </w:tcPr>
          <w:p w14:paraId="733D9916" w14:textId="77777777" w:rsidR="00E751EC" w:rsidRPr="00B57B36" w:rsidRDefault="00E751EC" w:rsidP="00A23F24">
            <w:pPr>
              <w:pStyle w:val="CETBodytext"/>
              <w:ind w:right="-1"/>
              <w:rPr>
                <w:rFonts w:cs="Arial"/>
                <w:szCs w:val="18"/>
                <w:lang w:val="en-GB"/>
              </w:rPr>
            </w:pPr>
            <w:r>
              <w:rPr>
                <w:lang w:val="en-GB"/>
              </w:rPr>
              <w:t>Mass fraction</w:t>
            </w:r>
          </w:p>
        </w:tc>
      </w:tr>
      <w:tr w:rsidR="00E751EC" w:rsidRPr="00B57B36" w14:paraId="6540D60B" w14:textId="77777777" w:rsidTr="00A23F24">
        <w:tc>
          <w:tcPr>
            <w:tcW w:w="841" w:type="pct"/>
            <w:shd w:val="clear" w:color="auto" w:fill="FFFFFF"/>
          </w:tcPr>
          <w:p w14:paraId="746F7161" w14:textId="77777777" w:rsidR="00E751EC" w:rsidRPr="00B57B36" w:rsidRDefault="00E751EC" w:rsidP="00A23F24">
            <w:pPr>
              <w:pStyle w:val="CETBodytext"/>
              <w:rPr>
                <w:lang w:val="en-GB"/>
              </w:rPr>
            </w:pPr>
            <w:r>
              <w:rPr>
                <w:lang w:val="en-GB"/>
              </w:rPr>
              <w:t>n-pentane</w:t>
            </w:r>
          </w:p>
        </w:tc>
        <w:tc>
          <w:tcPr>
            <w:tcW w:w="825" w:type="pct"/>
            <w:shd w:val="clear" w:color="auto" w:fill="FFFFFF"/>
          </w:tcPr>
          <w:p w14:paraId="725D81D5" w14:textId="77777777" w:rsidR="00E751EC" w:rsidRPr="00B57B36" w:rsidRDefault="00E751EC" w:rsidP="00A23F24">
            <w:pPr>
              <w:pStyle w:val="CETBodytext"/>
              <w:rPr>
                <w:lang w:val="en-GB"/>
              </w:rPr>
            </w:pPr>
            <w:r w:rsidRPr="000E03D9">
              <w:t>0.0383</w:t>
            </w:r>
          </w:p>
        </w:tc>
        <w:tc>
          <w:tcPr>
            <w:tcW w:w="841" w:type="pct"/>
            <w:shd w:val="clear" w:color="auto" w:fill="FFFFFF"/>
          </w:tcPr>
          <w:p w14:paraId="084AC24A" w14:textId="77777777" w:rsidR="00E751EC" w:rsidRPr="001C005E" w:rsidRDefault="00E751EC" w:rsidP="00A23F24">
            <w:pPr>
              <w:pStyle w:val="CETBodytext"/>
              <w:rPr>
                <w:lang w:val="en-GB"/>
              </w:rPr>
            </w:pPr>
            <w:r w:rsidRPr="001C005E">
              <w:rPr>
                <w:lang w:val="en-GB"/>
              </w:rPr>
              <w:t>2-methyl pentane</w:t>
            </w:r>
          </w:p>
          <w:p w14:paraId="370C58BD" w14:textId="77777777" w:rsidR="00E751EC" w:rsidRPr="00B57B36" w:rsidRDefault="00E751EC" w:rsidP="00A23F24">
            <w:pPr>
              <w:pStyle w:val="CETBodytext"/>
              <w:rPr>
                <w:lang w:val="en-GB"/>
              </w:rPr>
            </w:pPr>
          </w:p>
        </w:tc>
        <w:tc>
          <w:tcPr>
            <w:tcW w:w="825" w:type="pct"/>
            <w:shd w:val="clear" w:color="auto" w:fill="FFFFFF"/>
          </w:tcPr>
          <w:p w14:paraId="6FB52BEA" w14:textId="77777777" w:rsidR="00E751EC" w:rsidRPr="00B57B36" w:rsidRDefault="00E751EC" w:rsidP="00A23F24">
            <w:pPr>
              <w:pStyle w:val="CETBodytext"/>
              <w:ind w:right="-1"/>
              <w:rPr>
                <w:rFonts w:cs="Arial"/>
                <w:szCs w:val="18"/>
                <w:lang w:val="en-GB"/>
              </w:rPr>
            </w:pPr>
            <w:r w:rsidRPr="00C7256F">
              <w:t>0.2950</w:t>
            </w:r>
          </w:p>
        </w:tc>
        <w:tc>
          <w:tcPr>
            <w:tcW w:w="841" w:type="pct"/>
            <w:shd w:val="clear" w:color="auto" w:fill="FFFFFF"/>
          </w:tcPr>
          <w:p w14:paraId="1462A75F" w14:textId="77777777" w:rsidR="00E751EC" w:rsidRPr="00B57B36" w:rsidRDefault="00E751EC" w:rsidP="00A23F24">
            <w:pPr>
              <w:pStyle w:val="CETBodytext"/>
              <w:ind w:right="-1"/>
              <w:rPr>
                <w:rFonts w:cs="Arial"/>
                <w:szCs w:val="18"/>
                <w:lang w:val="en-GB"/>
              </w:rPr>
            </w:pPr>
            <w:r w:rsidRPr="00FF4BFC">
              <w:t>n-nonane</w:t>
            </w:r>
          </w:p>
        </w:tc>
        <w:tc>
          <w:tcPr>
            <w:tcW w:w="825" w:type="pct"/>
            <w:shd w:val="clear" w:color="auto" w:fill="FFFFFF"/>
          </w:tcPr>
          <w:p w14:paraId="27BBA8A0" w14:textId="77777777" w:rsidR="00E751EC" w:rsidRPr="00B57B36" w:rsidRDefault="00E751EC" w:rsidP="00A23F24">
            <w:pPr>
              <w:pStyle w:val="CETBodytext"/>
              <w:ind w:right="-1"/>
              <w:rPr>
                <w:rFonts w:cs="Arial"/>
                <w:szCs w:val="18"/>
                <w:lang w:val="en-GB"/>
              </w:rPr>
            </w:pPr>
            <w:r w:rsidRPr="00DE1006">
              <w:t>0.0409</w:t>
            </w:r>
          </w:p>
        </w:tc>
      </w:tr>
      <w:tr w:rsidR="00E751EC" w:rsidRPr="00B57B36" w14:paraId="20E802A1" w14:textId="77777777" w:rsidTr="00A23F24">
        <w:tc>
          <w:tcPr>
            <w:tcW w:w="841" w:type="pct"/>
            <w:shd w:val="clear" w:color="auto" w:fill="FFFFFF"/>
          </w:tcPr>
          <w:p w14:paraId="03604EA0" w14:textId="77777777" w:rsidR="00E751EC" w:rsidRPr="00B57B36" w:rsidRDefault="00E751EC" w:rsidP="00A23F24">
            <w:pPr>
              <w:pStyle w:val="CETBodytext"/>
              <w:ind w:right="-1"/>
              <w:rPr>
                <w:rFonts w:cs="Arial"/>
                <w:szCs w:val="18"/>
                <w:lang w:val="en-GB"/>
              </w:rPr>
            </w:pPr>
            <w:r>
              <w:rPr>
                <w:rFonts w:cs="Arial"/>
                <w:szCs w:val="18"/>
                <w:lang w:val="en-GB"/>
              </w:rPr>
              <w:t>2-methyl butane</w:t>
            </w:r>
          </w:p>
        </w:tc>
        <w:tc>
          <w:tcPr>
            <w:tcW w:w="825" w:type="pct"/>
            <w:shd w:val="clear" w:color="auto" w:fill="FFFFFF"/>
          </w:tcPr>
          <w:p w14:paraId="20B4EF73" w14:textId="77777777" w:rsidR="00E751EC" w:rsidRPr="00B57B36" w:rsidRDefault="00E751EC" w:rsidP="00A23F24">
            <w:pPr>
              <w:pStyle w:val="CETBodytext"/>
              <w:ind w:right="-1"/>
              <w:rPr>
                <w:rFonts w:cs="Arial"/>
                <w:szCs w:val="18"/>
                <w:lang w:val="en-GB"/>
              </w:rPr>
            </w:pPr>
            <w:r w:rsidRPr="000E03D9">
              <w:t>0.0263</w:t>
            </w:r>
          </w:p>
        </w:tc>
        <w:tc>
          <w:tcPr>
            <w:tcW w:w="841" w:type="pct"/>
            <w:shd w:val="clear" w:color="auto" w:fill="FFFFFF"/>
          </w:tcPr>
          <w:p w14:paraId="5852BF68" w14:textId="77777777" w:rsidR="00E751EC" w:rsidRPr="001C005E" w:rsidRDefault="00E751EC" w:rsidP="00A23F24">
            <w:pPr>
              <w:pStyle w:val="CETBodytext"/>
              <w:rPr>
                <w:lang w:val="en-GB"/>
              </w:rPr>
            </w:pPr>
            <w:r w:rsidRPr="001C005E">
              <w:rPr>
                <w:lang w:val="en-GB"/>
              </w:rPr>
              <w:t>n-heptane</w:t>
            </w:r>
          </w:p>
          <w:p w14:paraId="7985CE32" w14:textId="77777777" w:rsidR="00E751EC" w:rsidRPr="00B57B36" w:rsidRDefault="00E751EC" w:rsidP="00A23F24">
            <w:pPr>
              <w:pStyle w:val="CETBodytext"/>
              <w:ind w:right="-1"/>
              <w:rPr>
                <w:rFonts w:cs="Arial"/>
                <w:szCs w:val="18"/>
                <w:lang w:val="en-GB"/>
              </w:rPr>
            </w:pPr>
          </w:p>
        </w:tc>
        <w:tc>
          <w:tcPr>
            <w:tcW w:w="825" w:type="pct"/>
            <w:shd w:val="clear" w:color="auto" w:fill="FFFFFF"/>
          </w:tcPr>
          <w:p w14:paraId="1D445711" w14:textId="77777777" w:rsidR="00E751EC" w:rsidRPr="00B57B36" w:rsidRDefault="00E751EC" w:rsidP="00A23F24">
            <w:pPr>
              <w:pStyle w:val="CETBodytext"/>
              <w:ind w:right="-1"/>
              <w:rPr>
                <w:rFonts w:cs="Arial"/>
                <w:szCs w:val="18"/>
                <w:lang w:val="en-GB"/>
              </w:rPr>
            </w:pPr>
            <w:r w:rsidRPr="00C7256F">
              <w:t>0.3072</w:t>
            </w:r>
          </w:p>
        </w:tc>
        <w:tc>
          <w:tcPr>
            <w:tcW w:w="841" w:type="pct"/>
            <w:shd w:val="clear" w:color="auto" w:fill="FFFFFF"/>
          </w:tcPr>
          <w:p w14:paraId="61CCE73D" w14:textId="77777777" w:rsidR="00E751EC" w:rsidRPr="00B57B36" w:rsidRDefault="00E751EC" w:rsidP="00A23F24">
            <w:pPr>
              <w:pStyle w:val="CETBodytext"/>
              <w:ind w:right="-1"/>
              <w:rPr>
                <w:rFonts w:cs="Arial"/>
                <w:szCs w:val="18"/>
                <w:lang w:val="en-GB"/>
              </w:rPr>
            </w:pPr>
            <w:r w:rsidRPr="00FF4BFC">
              <w:t>n-</w:t>
            </w:r>
            <w:proofErr w:type="spellStart"/>
            <w:r w:rsidRPr="00FF4BFC">
              <w:t>decane</w:t>
            </w:r>
            <w:proofErr w:type="spellEnd"/>
          </w:p>
        </w:tc>
        <w:tc>
          <w:tcPr>
            <w:tcW w:w="825" w:type="pct"/>
            <w:shd w:val="clear" w:color="auto" w:fill="FFFFFF"/>
          </w:tcPr>
          <w:p w14:paraId="0CCFF49E" w14:textId="77777777" w:rsidR="00E751EC" w:rsidRPr="00B57B36" w:rsidRDefault="00E751EC" w:rsidP="00A23F24">
            <w:pPr>
              <w:pStyle w:val="CETBodytext"/>
              <w:ind w:right="-1"/>
              <w:rPr>
                <w:rFonts w:cs="Arial"/>
                <w:szCs w:val="18"/>
                <w:lang w:val="en-GB"/>
              </w:rPr>
            </w:pPr>
            <w:r w:rsidRPr="00DE1006">
              <w:t>0.0104</w:t>
            </w:r>
          </w:p>
        </w:tc>
      </w:tr>
      <w:tr w:rsidR="00E751EC" w:rsidRPr="00B57B36" w14:paraId="31444775" w14:textId="77777777" w:rsidTr="00A23F24">
        <w:tc>
          <w:tcPr>
            <w:tcW w:w="841" w:type="pct"/>
            <w:shd w:val="clear" w:color="auto" w:fill="FFFFFF"/>
          </w:tcPr>
          <w:p w14:paraId="7FB99AEC" w14:textId="77777777" w:rsidR="00E751EC" w:rsidRDefault="00E751EC" w:rsidP="00A23F24">
            <w:pPr>
              <w:pStyle w:val="CETBodytext"/>
              <w:ind w:right="-1"/>
              <w:rPr>
                <w:rFonts w:cs="Arial"/>
                <w:szCs w:val="18"/>
                <w:lang w:val="en-GB"/>
              </w:rPr>
            </w:pPr>
            <w:r>
              <w:rPr>
                <w:rFonts w:cs="Arial"/>
                <w:szCs w:val="18"/>
                <w:lang w:val="en-GB"/>
              </w:rPr>
              <w:t>m-hexane</w:t>
            </w:r>
          </w:p>
        </w:tc>
        <w:tc>
          <w:tcPr>
            <w:tcW w:w="825" w:type="pct"/>
            <w:shd w:val="clear" w:color="auto" w:fill="FFFFFF"/>
          </w:tcPr>
          <w:p w14:paraId="0E795808" w14:textId="77777777" w:rsidR="00E751EC" w:rsidRPr="00B57B36" w:rsidRDefault="00E751EC" w:rsidP="00A23F24">
            <w:pPr>
              <w:pStyle w:val="CETBodytext"/>
              <w:ind w:right="-1"/>
              <w:rPr>
                <w:rFonts w:cs="Arial"/>
                <w:szCs w:val="18"/>
                <w:lang w:val="en-GB"/>
              </w:rPr>
            </w:pPr>
            <w:r w:rsidRPr="000E03D9">
              <w:t>0.1519</w:t>
            </w:r>
          </w:p>
        </w:tc>
        <w:tc>
          <w:tcPr>
            <w:tcW w:w="841" w:type="pct"/>
            <w:shd w:val="clear" w:color="auto" w:fill="FFFFFF"/>
          </w:tcPr>
          <w:p w14:paraId="6032EDF7" w14:textId="77777777" w:rsidR="00E751EC" w:rsidRPr="00B57B36" w:rsidRDefault="00E751EC" w:rsidP="00A23F24">
            <w:pPr>
              <w:pStyle w:val="CETBodytext"/>
              <w:ind w:right="-1"/>
              <w:rPr>
                <w:rFonts w:cs="Arial"/>
                <w:szCs w:val="18"/>
                <w:lang w:val="en-GB"/>
              </w:rPr>
            </w:pPr>
            <w:r w:rsidRPr="001C005E">
              <w:rPr>
                <w:lang w:val="en-GB"/>
              </w:rPr>
              <w:t>n-octane</w:t>
            </w:r>
          </w:p>
        </w:tc>
        <w:tc>
          <w:tcPr>
            <w:tcW w:w="825" w:type="pct"/>
            <w:shd w:val="clear" w:color="auto" w:fill="FFFFFF"/>
          </w:tcPr>
          <w:p w14:paraId="1CE00C60" w14:textId="77777777" w:rsidR="00E751EC" w:rsidRPr="00B57B36" w:rsidRDefault="00E751EC" w:rsidP="00A23F24">
            <w:pPr>
              <w:pStyle w:val="CETBodytext"/>
              <w:ind w:right="-1"/>
              <w:rPr>
                <w:rFonts w:cs="Arial"/>
                <w:szCs w:val="18"/>
                <w:lang w:val="en-GB"/>
              </w:rPr>
            </w:pPr>
            <w:r w:rsidRPr="00C7256F">
              <w:t>0.1300</w:t>
            </w:r>
          </w:p>
        </w:tc>
        <w:tc>
          <w:tcPr>
            <w:tcW w:w="841" w:type="pct"/>
            <w:shd w:val="clear" w:color="auto" w:fill="FFFFFF"/>
          </w:tcPr>
          <w:p w14:paraId="5A478B13" w14:textId="77777777" w:rsidR="00E751EC" w:rsidRPr="00B57B36" w:rsidRDefault="00E751EC" w:rsidP="00A23F24">
            <w:pPr>
              <w:pStyle w:val="CETBodytext"/>
              <w:ind w:right="-1"/>
              <w:rPr>
                <w:rFonts w:cs="Arial"/>
                <w:szCs w:val="18"/>
                <w:lang w:val="en-GB"/>
              </w:rPr>
            </w:pPr>
          </w:p>
        </w:tc>
        <w:tc>
          <w:tcPr>
            <w:tcW w:w="825" w:type="pct"/>
            <w:shd w:val="clear" w:color="auto" w:fill="FFFFFF"/>
          </w:tcPr>
          <w:p w14:paraId="05AF4DB2" w14:textId="77777777" w:rsidR="00E751EC" w:rsidRPr="00B57B36" w:rsidRDefault="00E751EC" w:rsidP="00A23F24">
            <w:pPr>
              <w:pStyle w:val="CETBodytext"/>
              <w:ind w:right="-1"/>
              <w:rPr>
                <w:rFonts w:cs="Arial"/>
                <w:szCs w:val="18"/>
                <w:lang w:val="en-GB"/>
              </w:rPr>
            </w:pPr>
          </w:p>
        </w:tc>
      </w:tr>
    </w:tbl>
    <w:p w14:paraId="07407FF2" w14:textId="0D8BE7C1" w:rsidR="00E751EC" w:rsidRDefault="00E751EC" w:rsidP="00D210B0">
      <w:pPr>
        <w:pStyle w:val="CETBodytext"/>
        <w:spacing w:before="240"/>
      </w:pPr>
      <w:r>
        <w:t>Given the working conditions found in the literature, it was not possible to directly close the equation</w:t>
      </w:r>
      <w:r w:rsidR="009A3C44">
        <w:t>s</w:t>
      </w:r>
      <w:r>
        <w:t xml:space="preserve"> system. To achieve this goal, it was necessary to combine information reported and make assumptions</w:t>
      </w:r>
      <w:r w:rsidR="009A3C44">
        <w:t>.</w:t>
      </w:r>
      <w:r>
        <w:t xml:space="preserve"> </w:t>
      </w:r>
      <w:r w:rsidR="009A3C44">
        <w:t xml:space="preserve">According </w:t>
      </w:r>
      <w:r>
        <w:t xml:space="preserve">to </w:t>
      </w:r>
      <w:proofErr w:type="spellStart"/>
      <w:r>
        <w:t>Mogford</w:t>
      </w:r>
      <w:proofErr w:type="spellEnd"/>
      <w:r>
        <w:t xml:space="preserve"> report, the working pressure of the column </w:t>
      </w:r>
      <w:r w:rsidR="009A3C44">
        <w:t xml:space="preserve">was </w:t>
      </w:r>
      <w:r>
        <w:t>238000 N/m</w:t>
      </w:r>
      <w:r w:rsidRPr="0083547E">
        <w:rPr>
          <w:vertAlign w:val="superscript"/>
        </w:rPr>
        <w:t>2</w:t>
      </w:r>
      <w:r>
        <w:t xml:space="preserve">, and it was kept constant. The reboiler temperature </w:t>
      </w:r>
      <w:r w:rsidR="009A3C44">
        <w:t xml:space="preserve">was </w:t>
      </w:r>
      <w:r>
        <w:t xml:space="preserve">fixed at 408 K, as indicated in the </w:t>
      </w:r>
      <w:proofErr w:type="spellStart"/>
      <w:r>
        <w:t>Mogford</w:t>
      </w:r>
      <w:proofErr w:type="spellEnd"/>
      <w:r>
        <w:t xml:space="preserve"> report. To close the equation system, a reflux ratio equal to 2 was hypothesized. </w:t>
      </w:r>
    </w:p>
    <w:p w14:paraId="50792973" w14:textId="77777777" w:rsidR="00E751EC" w:rsidRDefault="00E751EC" w:rsidP="00D210B0">
      <w:pPr>
        <w:pStyle w:val="CETheadingx"/>
      </w:pPr>
      <w:r>
        <w:t>FTA Analysis</w:t>
      </w:r>
    </w:p>
    <w:p w14:paraId="53380601" w14:textId="1D4F85DD" w:rsidR="00E751EC" w:rsidRPr="00CF73DF" w:rsidRDefault="00E751EC" w:rsidP="00E751EC">
      <w:pPr>
        <w:pStyle w:val="CETBodytext"/>
      </w:pPr>
      <w:r>
        <w:t xml:space="preserve">The fault trees found </w:t>
      </w:r>
      <w:r w:rsidR="009A3C44">
        <w:t>were</w:t>
      </w:r>
      <w:r>
        <w:t xml:space="preserve"> analyzed with the freeware software </w:t>
      </w:r>
      <w:proofErr w:type="spellStart"/>
      <w:r>
        <w:t>OpenFTA</w:t>
      </w:r>
      <w:proofErr w:type="spellEnd"/>
      <w:r>
        <w:t xml:space="preserve"> 1.0 (</w:t>
      </w:r>
      <w:r w:rsidRPr="006431B3">
        <w:t>Formal Software Construction Ltd., Cardiff, UK</w:t>
      </w:r>
      <w:r>
        <w:t xml:space="preserve">), from which </w:t>
      </w:r>
      <w:r w:rsidR="009A3C44">
        <w:t>Minimal Cut S</w:t>
      </w:r>
      <w:r>
        <w:t xml:space="preserve">ets </w:t>
      </w:r>
      <w:r w:rsidR="009A3C44">
        <w:t xml:space="preserve">(MCS) </w:t>
      </w:r>
      <w:r>
        <w:t>and probability analysis are performed.</w:t>
      </w:r>
    </w:p>
    <w:p w14:paraId="274B3D6A" w14:textId="77777777" w:rsidR="00E751EC" w:rsidRDefault="00E751EC" w:rsidP="00D210B0">
      <w:pPr>
        <w:pStyle w:val="CETheadingx"/>
      </w:pPr>
      <w:r>
        <w:t>Accident simulation</w:t>
      </w:r>
    </w:p>
    <w:p w14:paraId="0C7FD850" w14:textId="47DA3F5B" w:rsidR="00E751EC" w:rsidRDefault="00E751EC" w:rsidP="00E751EC">
      <w:pPr>
        <w:pStyle w:val="CETBodytext"/>
      </w:pPr>
      <w:r>
        <w:t xml:space="preserve">From the Top Events, one of the most critical </w:t>
      </w:r>
      <w:r w:rsidR="00977E5D">
        <w:t>scenarios</w:t>
      </w:r>
      <w:r>
        <w:t xml:space="preserve"> found </w:t>
      </w:r>
      <w:r w:rsidR="00977E5D">
        <w:t xml:space="preserve">was </w:t>
      </w:r>
      <w:r>
        <w:t xml:space="preserve">a flammable hydrocarbon release from the column. The magnitude of dispersion </w:t>
      </w:r>
      <w:r w:rsidR="00977E5D">
        <w:t xml:space="preserve">was </w:t>
      </w:r>
      <w:r>
        <w:t>assessed with the help of the freeware software ALOHA.</w:t>
      </w:r>
    </w:p>
    <w:p w14:paraId="1F9A2F82" w14:textId="77777777" w:rsidR="00E751EC" w:rsidRDefault="00E751EC" w:rsidP="00E751EC">
      <w:pPr>
        <w:pStyle w:val="CETHeading1"/>
        <w:tabs>
          <w:tab w:val="clear" w:pos="360"/>
          <w:tab w:val="right" w:pos="7100"/>
        </w:tabs>
        <w:jc w:val="both"/>
        <w:rPr>
          <w:lang w:val="en-GB"/>
        </w:rPr>
      </w:pPr>
      <w:r>
        <w:rPr>
          <w:lang w:val="en-GB"/>
        </w:rPr>
        <w:t>Results</w:t>
      </w:r>
    </w:p>
    <w:p w14:paraId="791D5BC6" w14:textId="3D4D336F" w:rsidR="00E751EC" w:rsidRPr="00F41B83" w:rsidRDefault="00E751EC" w:rsidP="00E751EC">
      <w:pPr>
        <w:pStyle w:val="CETBodytext"/>
        <w:rPr>
          <w:lang w:val="en-GB"/>
        </w:rPr>
      </w:pPr>
      <w:r>
        <w:rPr>
          <w:lang w:val="en-GB"/>
        </w:rPr>
        <w:t xml:space="preserve">The plant was divided into 4 nodes. </w:t>
      </w:r>
      <w:r w:rsidRPr="00615ECF">
        <w:t>Node 1 describes th</w:t>
      </w:r>
      <w:r>
        <w:t>e feed line, and it includes</w:t>
      </w:r>
      <w:r w:rsidRPr="00615ECF">
        <w:t>: F-1101, LI-5007, LT-5007,</w:t>
      </w:r>
      <w:r>
        <w:t xml:space="preserve"> </w:t>
      </w:r>
      <w:r w:rsidRPr="00615ECF">
        <w:t>LAH-5007,</w:t>
      </w:r>
      <w:r>
        <w:t xml:space="preserve"> </w:t>
      </w:r>
      <w:r w:rsidRPr="00615ECF">
        <w:t>PIC-5013,</w:t>
      </w:r>
      <w:r>
        <w:t xml:space="preserve"> </w:t>
      </w:r>
      <w:r w:rsidRPr="00615ECF">
        <w:t>5001A/B,</w:t>
      </w:r>
      <w:r>
        <w:t xml:space="preserve"> </w:t>
      </w:r>
      <w:r w:rsidRPr="00615ECF">
        <w:t>FCV-5001, FVC-5003, FCV-5000</w:t>
      </w:r>
      <w:r>
        <w:t>,</w:t>
      </w:r>
      <w:r w:rsidRPr="00615ECF">
        <w:rPr>
          <w:lang w:val="en-GB"/>
        </w:rPr>
        <w:t xml:space="preserve"> J-1101</w:t>
      </w:r>
      <w:r>
        <w:rPr>
          <w:lang w:val="en-GB"/>
        </w:rPr>
        <w:t xml:space="preserve">, </w:t>
      </w:r>
      <w:r w:rsidRPr="00615ECF">
        <w:rPr>
          <w:lang w:val="en-GB"/>
        </w:rPr>
        <w:t>FT-5001, FIC-5001, FT-1001, FIC-1001, FT-5000</w:t>
      </w:r>
      <w:r>
        <w:rPr>
          <w:lang w:val="en-GB"/>
        </w:rPr>
        <w:t>,</w:t>
      </w:r>
      <w:r w:rsidRPr="00615ECF">
        <w:rPr>
          <w:lang w:val="en-GB"/>
        </w:rPr>
        <w:t xml:space="preserve"> FIC-5000</w:t>
      </w:r>
      <w:r>
        <w:rPr>
          <w:lang w:val="en-GB"/>
        </w:rPr>
        <w:t>. To characterize the different lines, the following sub</w:t>
      </w:r>
      <w:r w:rsidR="00977E5D">
        <w:rPr>
          <w:lang w:val="en-GB"/>
        </w:rPr>
        <w:t>-</w:t>
      </w:r>
      <w:r>
        <w:rPr>
          <w:lang w:val="en-GB"/>
        </w:rPr>
        <w:t>nodes were defined. 1A, south feed line, 1B, north feed line, 1C, drum and line to reboiler. Node 2 contains the furnace, and it includes:</w:t>
      </w:r>
      <w:r w:rsidRPr="00615ECF">
        <w:rPr>
          <w:lang w:val="en-GB"/>
        </w:rPr>
        <w:t xml:space="preserve"> B-1101, C-1104</w:t>
      </w:r>
      <w:r>
        <w:rPr>
          <w:lang w:val="en-GB"/>
        </w:rPr>
        <w:t xml:space="preserve">, </w:t>
      </w:r>
      <w:r w:rsidRPr="00615ECF">
        <w:rPr>
          <w:lang w:val="en-GB"/>
        </w:rPr>
        <w:t>FT-1014, FI-1014, FT-1009</w:t>
      </w:r>
      <w:r>
        <w:rPr>
          <w:lang w:val="en-GB"/>
        </w:rPr>
        <w:t xml:space="preserve">, </w:t>
      </w:r>
      <w:r w:rsidRPr="00615ECF">
        <w:rPr>
          <w:lang w:val="en-GB"/>
        </w:rPr>
        <w:t>FIC-1009</w:t>
      </w:r>
      <w:r>
        <w:rPr>
          <w:lang w:val="en-GB"/>
        </w:rPr>
        <w:t>,</w:t>
      </w:r>
      <w:r w:rsidRPr="00615ECF">
        <w:rPr>
          <w:lang w:val="en-GB"/>
        </w:rPr>
        <w:t xml:space="preserve"> TIC-5025, T</w:t>
      </w:r>
      <w:r>
        <w:rPr>
          <w:lang w:val="en-GB"/>
        </w:rPr>
        <w:t>T</w:t>
      </w:r>
      <w:r w:rsidRPr="00615ECF">
        <w:rPr>
          <w:lang w:val="en-GB"/>
        </w:rPr>
        <w:t>-5025</w:t>
      </w:r>
      <w:r>
        <w:rPr>
          <w:lang w:val="en-GB"/>
        </w:rPr>
        <w:t xml:space="preserve">, </w:t>
      </w:r>
      <w:r w:rsidRPr="00615ECF">
        <w:rPr>
          <w:lang w:val="en-GB"/>
        </w:rPr>
        <w:t>PI-5002A-PT-5002A</w:t>
      </w:r>
      <w:r>
        <w:rPr>
          <w:lang w:val="en-GB"/>
        </w:rPr>
        <w:t xml:space="preserve">, </w:t>
      </w:r>
      <w:r w:rsidRPr="00615ECF">
        <w:rPr>
          <w:lang w:val="en-GB"/>
        </w:rPr>
        <w:t>FIC-5008, FT-5008</w:t>
      </w:r>
      <w:r>
        <w:rPr>
          <w:lang w:val="en-GB"/>
        </w:rPr>
        <w:t xml:space="preserve">, </w:t>
      </w:r>
      <w:r w:rsidRPr="00615ECF">
        <w:rPr>
          <w:lang w:val="en-GB"/>
        </w:rPr>
        <w:t>FCV-5008, FCV-5005</w:t>
      </w:r>
      <w:r>
        <w:rPr>
          <w:lang w:val="en-GB"/>
        </w:rPr>
        <w:t>. Sub</w:t>
      </w:r>
      <w:r w:rsidR="00977E5D">
        <w:rPr>
          <w:lang w:val="en-GB"/>
        </w:rPr>
        <w:t>-</w:t>
      </w:r>
      <w:r>
        <w:rPr>
          <w:lang w:val="en-GB"/>
        </w:rPr>
        <w:t xml:space="preserve">nodes: 2A, heat exchanger line, 2B, reboiler line. Node 3 </w:t>
      </w:r>
      <w:r w:rsidR="00441637">
        <w:rPr>
          <w:lang w:val="en-GB"/>
        </w:rPr>
        <w:t>was</w:t>
      </w:r>
      <w:r w:rsidR="0062606D">
        <w:rPr>
          <w:lang w:val="en-GB"/>
        </w:rPr>
        <w:t xml:space="preserve"> </w:t>
      </w:r>
      <w:r>
        <w:rPr>
          <w:lang w:val="en-GB"/>
        </w:rPr>
        <w:t>the splitter column with its blowdown, it involves the following components:</w:t>
      </w:r>
      <w:r w:rsidRPr="00615ECF">
        <w:rPr>
          <w:lang w:val="en-GB"/>
        </w:rPr>
        <w:t xml:space="preserve"> E-1101,</w:t>
      </w:r>
      <w:r>
        <w:rPr>
          <w:lang w:val="en-GB"/>
        </w:rPr>
        <w:t xml:space="preserve"> </w:t>
      </w:r>
      <w:r w:rsidRPr="00615ECF">
        <w:rPr>
          <w:lang w:val="en-GB"/>
        </w:rPr>
        <w:t>LI-5102, LI-5100, LT-5102</w:t>
      </w:r>
      <w:r>
        <w:rPr>
          <w:lang w:val="en-GB"/>
        </w:rPr>
        <w:t xml:space="preserve">, TT-5001/2/4/7/6, TE-5001/2/4/7/6, </w:t>
      </w:r>
      <w:r w:rsidRPr="00615ECF">
        <w:rPr>
          <w:lang w:val="en-GB"/>
        </w:rPr>
        <w:t>LAL-5102</w:t>
      </w:r>
      <w:r>
        <w:rPr>
          <w:lang w:val="en-GB"/>
        </w:rPr>
        <w:t xml:space="preserve">, </w:t>
      </w:r>
      <w:r w:rsidRPr="00615ECF">
        <w:rPr>
          <w:lang w:val="en-GB"/>
        </w:rPr>
        <w:t>LAH-5102</w:t>
      </w:r>
      <w:r>
        <w:rPr>
          <w:lang w:val="en-GB"/>
        </w:rPr>
        <w:t>,</w:t>
      </w:r>
      <w:r w:rsidRPr="00615ECF">
        <w:rPr>
          <w:lang w:val="en-GB"/>
        </w:rPr>
        <w:t xml:space="preserve"> LAHH-5102</w:t>
      </w:r>
      <w:r>
        <w:rPr>
          <w:lang w:val="en-GB"/>
        </w:rPr>
        <w:t>, J</w:t>
      </w:r>
      <w:r w:rsidRPr="00615ECF">
        <w:rPr>
          <w:lang w:val="en-GB"/>
        </w:rPr>
        <w:t>-1103</w:t>
      </w:r>
      <w:r>
        <w:rPr>
          <w:lang w:val="en-GB"/>
        </w:rPr>
        <w:t xml:space="preserve">, </w:t>
      </w:r>
      <w:r w:rsidRPr="00615ECF">
        <w:rPr>
          <w:lang w:val="en-GB"/>
        </w:rPr>
        <w:t>RV-1001 A/B/C</w:t>
      </w:r>
      <w:r>
        <w:rPr>
          <w:lang w:val="en-GB"/>
        </w:rPr>
        <w:t xml:space="preserve">, </w:t>
      </w:r>
      <w:r w:rsidRPr="00615ECF">
        <w:rPr>
          <w:lang w:val="en-GB"/>
        </w:rPr>
        <w:t>F-1102</w:t>
      </w:r>
      <w:r>
        <w:rPr>
          <w:lang w:val="en-GB"/>
        </w:rPr>
        <w:t xml:space="preserve">, </w:t>
      </w:r>
      <w:r w:rsidRPr="00615ECF">
        <w:rPr>
          <w:lang w:val="en-GB"/>
        </w:rPr>
        <w:t>CA-1101</w:t>
      </w:r>
      <w:r>
        <w:rPr>
          <w:lang w:val="en-GB"/>
        </w:rPr>
        <w:t xml:space="preserve">, </w:t>
      </w:r>
      <w:r w:rsidRPr="00615ECF">
        <w:rPr>
          <w:lang w:val="en-GB"/>
        </w:rPr>
        <w:t>PI-5002</w:t>
      </w:r>
      <w:r>
        <w:rPr>
          <w:lang w:val="en-GB"/>
        </w:rPr>
        <w:t>,</w:t>
      </w:r>
      <w:r w:rsidRPr="00615ECF">
        <w:rPr>
          <w:lang w:val="en-GB"/>
        </w:rPr>
        <w:t xml:space="preserve"> PT-5002</w:t>
      </w:r>
      <w:r>
        <w:rPr>
          <w:lang w:val="en-GB"/>
        </w:rPr>
        <w:t xml:space="preserve">, </w:t>
      </w:r>
      <w:r w:rsidRPr="00615ECF">
        <w:rPr>
          <w:lang w:val="en-GB"/>
        </w:rPr>
        <w:t>RV-1002G, RV-1109 G</w:t>
      </w:r>
      <w:r>
        <w:rPr>
          <w:lang w:val="en-GB"/>
        </w:rPr>
        <w:t xml:space="preserve">, </w:t>
      </w:r>
      <w:r w:rsidRPr="00615ECF">
        <w:rPr>
          <w:lang w:val="en-GB"/>
        </w:rPr>
        <w:t>LI-5008, LT-5008</w:t>
      </w:r>
      <w:r>
        <w:rPr>
          <w:lang w:val="en-GB"/>
        </w:rPr>
        <w:t>, LT</w:t>
      </w:r>
      <w:r w:rsidRPr="00615ECF">
        <w:rPr>
          <w:lang w:val="en-GB"/>
        </w:rPr>
        <w:t>-5004</w:t>
      </w:r>
      <w:r>
        <w:rPr>
          <w:lang w:val="en-GB"/>
        </w:rPr>
        <w:t xml:space="preserve">, </w:t>
      </w:r>
      <w:r w:rsidRPr="00615ECF">
        <w:rPr>
          <w:lang w:val="en-GB"/>
        </w:rPr>
        <w:t>LALL-5010</w:t>
      </w:r>
      <w:r>
        <w:rPr>
          <w:lang w:val="en-GB"/>
        </w:rPr>
        <w:t xml:space="preserve">, </w:t>
      </w:r>
      <w:r w:rsidRPr="00615ECF">
        <w:rPr>
          <w:lang w:val="en-GB"/>
        </w:rPr>
        <w:t>J-1102</w:t>
      </w:r>
      <w:r>
        <w:rPr>
          <w:lang w:val="en-GB"/>
        </w:rPr>
        <w:t xml:space="preserve">, </w:t>
      </w:r>
      <w:r w:rsidRPr="00615ECF">
        <w:rPr>
          <w:lang w:val="en-GB"/>
        </w:rPr>
        <w:t>LT-5020, LI-5020</w:t>
      </w:r>
      <w:r>
        <w:rPr>
          <w:lang w:val="en-GB"/>
        </w:rPr>
        <w:t xml:space="preserve">, </w:t>
      </w:r>
      <w:r w:rsidRPr="00615ECF">
        <w:rPr>
          <w:lang w:val="en-GB"/>
        </w:rPr>
        <w:t>LAH-5020</w:t>
      </w:r>
      <w:r>
        <w:rPr>
          <w:lang w:val="en-GB"/>
        </w:rPr>
        <w:t xml:space="preserve">, </w:t>
      </w:r>
      <w:r w:rsidRPr="00615ECF">
        <w:rPr>
          <w:lang w:val="en-GB"/>
        </w:rPr>
        <w:t>HV-5020, HV-5021</w:t>
      </w:r>
      <w:r>
        <w:rPr>
          <w:lang w:val="en-GB"/>
        </w:rPr>
        <w:t xml:space="preserve">, </w:t>
      </w:r>
      <w:r w:rsidRPr="00615ECF">
        <w:rPr>
          <w:lang w:val="en-GB"/>
        </w:rPr>
        <w:t>J-14A</w:t>
      </w:r>
      <w:r>
        <w:rPr>
          <w:lang w:val="en-GB"/>
        </w:rPr>
        <w:t>. Sub</w:t>
      </w:r>
      <w:r w:rsidR="0062606D">
        <w:rPr>
          <w:lang w:val="en-GB"/>
        </w:rPr>
        <w:t>-</w:t>
      </w:r>
      <w:r>
        <w:rPr>
          <w:lang w:val="en-GB"/>
        </w:rPr>
        <w:t xml:space="preserve">nodes: 3A, splitter column, 3B, condenser line, 3C, blowdown line. Node 4 </w:t>
      </w:r>
      <w:r w:rsidR="0062606D">
        <w:rPr>
          <w:lang w:val="en-GB"/>
        </w:rPr>
        <w:t xml:space="preserve">was </w:t>
      </w:r>
      <w:r>
        <w:rPr>
          <w:lang w:val="en-GB"/>
        </w:rPr>
        <w:t xml:space="preserve">the heavy raffinate line, it includes: </w:t>
      </w:r>
      <w:r w:rsidRPr="009D4D9D">
        <w:rPr>
          <w:lang w:val="en-GB"/>
        </w:rPr>
        <w:t>J-1103</w:t>
      </w:r>
      <w:r>
        <w:rPr>
          <w:lang w:val="en-GB"/>
        </w:rPr>
        <w:t xml:space="preserve">, </w:t>
      </w:r>
      <w:r w:rsidRPr="009D4D9D">
        <w:rPr>
          <w:lang w:val="en-GB"/>
        </w:rPr>
        <w:t>C-1104, C-1106</w:t>
      </w:r>
      <w:r>
        <w:rPr>
          <w:lang w:val="en-GB"/>
        </w:rPr>
        <w:t xml:space="preserve">, </w:t>
      </w:r>
      <w:r w:rsidRPr="009D4D9D">
        <w:rPr>
          <w:lang w:val="en-GB"/>
        </w:rPr>
        <w:t>LCV-5100</w:t>
      </w:r>
      <w:r>
        <w:rPr>
          <w:lang w:val="en-GB"/>
        </w:rPr>
        <w:t xml:space="preserve">, </w:t>
      </w:r>
      <w:r w:rsidRPr="009D4D9D">
        <w:rPr>
          <w:lang w:val="en-GB"/>
        </w:rPr>
        <w:t>FIC-5015, FT-5015</w:t>
      </w:r>
      <w:r>
        <w:rPr>
          <w:lang w:val="en-GB"/>
        </w:rPr>
        <w:t xml:space="preserve">, </w:t>
      </w:r>
      <w:r w:rsidRPr="009D4D9D">
        <w:t>TI-5512, T</w:t>
      </w:r>
      <w:r>
        <w:t>T</w:t>
      </w:r>
      <w:r w:rsidRPr="009D4D9D">
        <w:t>-5512</w:t>
      </w:r>
      <w:r>
        <w:t xml:space="preserve">, </w:t>
      </w:r>
      <w:r w:rsidRPr="009D4D9D">
        <w:rPr>
          <w:lang w:val="en-GB"/>
        </w:rPr>
        <w:t>T-538</w:t>
      </w:r>
      <w:r>
        <w:rPr>
          <w:lang w:val="en-GB"/>
        </w:rPr>
        <w:t xml:space="preserve">. The variables investigated </w:t>
      </w:r>
      <w:r w:rsidR="00F9281D">
        <w:rPr>
          <w:lang w:val="en-GB"/>
        </w:rPr>
        <w:t xml:space="preserve">were </w:t>
      </w:r>
      <w:r>
        <w:rPr>
          <w:lang w:val="en-GB"/>
        </w:rPr>
        <w:t xml:space="preserve">the following: liquid level (L), temperature (T), flow (F), and pressure (P). The analysis was applied to the regular continuous distillation. From </w:t>
      </w:r>
      <w:proofErr w:type="spellStart"/>
      <w:r>
        <w:rPr>
          <w:lang w:val="en-GB"/>
        </w:rPr>
        <w:t>CoCo</w:t>
      </w:r>
      <w:proofErr w:type="spellEnd"/>
      <w:r>
        <w:rPr>
          <w:lang w:val="en-GB"/>
        </w:rPr>
        <w:t xml:space="preserve"> simulations, under regular steady-state conditions, the mass fraction of the top </w:t>
      </w:r>
      <w:r w:rsidR="00F9281D">
        <w:rPr>
          <w:lang w:val="en-GB"/>
        </w:rPr>
        <w:t xml:space="preserve">was </w:t>
      </w:r>
      <w:r>
        <w:rPr>
          <w:lang w:val="en-GB"/>
        </w:rPr>
        <w:t xml:space="preserve">found equal to 47%, with almost all of hydrocarbons above C6 on the top. These results </w:t>
      </w:r>
      <w:r w:rsidR="00187571">
        <w:rPr>
          <w:lang w:val="en-GB"/>
        </w:rPr>
        <w:t>are</w:t>
      </w:r>
      <w:r w:rsidR="00F9281D">
        <w:rPr>
          <w:lang w:val="en-GB"/>
        </w:rPr>
        <w:t xml:space="preserve"> </w:t>
      </w:r>
      <w:r>
        <w:rPr>
          <w:lang w:val="en-GB"/>
        </w:rPr>
        <w:t xml:space="preserve">comparable with the information found in the literature </w:t>
      </w:r>
      <w:r>
        <w:rPr>
          <w:lang w:val="en-GB"/>
        </w:rPr>
        <w:fldChar w:fldCharType="begin"/>
      </w:r>
      <w:r>
        <w:rPr>
          <w:lang w:val="en-GB"/>
        </w:rPr>
        <w:instrText xml:space="preserve"> ADDIN ZOTERO_ITEM CSL_CITATION {"citationID":"O6QpQqwr","properties":{"formattedCitation":"(Mogford, 2005)","plainCitation":"(Mogford, 2005)","noteIndex":0},"citationItems":[{"id":68,"uris":["http://zotero.org/users/local/mDzd7GNh/items/C5KK335A"],"itemData":{"id":68,"type":"document","title":"Fatal accident investigation report","URL":"http://cip.management.dal.ca/publications/final_report.pdf","author":[{"family":"Mogford","given":"J."}],"accessed":{"date-parts":[["2023",4,27]]},"issued":{"date-parts":[["2005"]]}}}],"schema":"https://github.com/citation-style-language/schema/raw/master/csl-citation.json"} </w:instrText>
      </w:r>
      <w:r>
        <w:rPr>
          <w:lang w:val="en-GB"/>
        </w:rPr>
        <w:fldChar w:fldCharType="separate"/>
      </w:r>
      <w:r w:rsidRPr="000F7F08">
        <w:rPr>
          <w:rFonts w:cs="Arial"/>
        </w:rPr>
        <w:t>(Mogford, 2005)</w:t>
      </w:r>
      <w:r>
        <w:rPr>
          <w:lang w:val="en-GB"/>
        </w:rPr>
        <w:fldChar w:fldCharType="end"/>
      </w:r>
      <w:r>
        <w:rPr>
          <w:lang w:val="en-GB"/>
        </w:rPr>
        <w:t xml:space="preserve">. The duty to condenser </w:t>
      </w:r>
      <w:r w:rsidR="00792DA8">
        <w:rPr>
          <w:lang w:val="en-GB"/>
        </w:rPr>
        <w:t>is</w:t>
      </w:r>
      <w:r w:rsidR="001B0C96">
        <w:rPr>
          <w:lang w:val="en-GB"/>
        </w:rPr>
        <w:t xml:space="preserve"> </w:t>
      </w:r>
      <w:r>
        <w:rPr>
          <w:lang w:val="en-GB"/>
        </w:rPr>
        <w:t xml:space="preserve">equal to 23.2 MW. </w:t>
      </w:r>
    </w:p>
    <w:p w14:paraId="7656BB0E" w14:textId="77777777" w:rsidR="00E751EC" w:rsidRDefault="00E751EC" w:rsidP="00D210B0">
      <w:pPr>
        <w:pStyle w:val="CETheadingx"/>
      </w:pPr>
      <w:r>
        <w:lastRenderedPageBreak/>
        <w:t>ROA</w:t>
      </w:r>
    </w:p>
    <w:p w14:paraId="7852F94D" w14:textId="77777777" w:rsidR="00E751EC" w:rsidRPr="009840FF" w:rsidRDefault="00E751EC" w:rsidP="00E751EC">
      <w:pPr>
        <w:pStyle w:val="CETBodytext"/>
      </w:pPr>
      <w:r>
        <w:t xml:space="preserve">The Recursive Operability Analysis for regular distillation is shown in Table 2. </w:t>
      </w:r>
    </w:p>
    <w:p w14:paraId="2232EA7F" w14:textId="77777777" w:rsidR="00E751EC" w:rsidRPr="00A31F56" w:rsidRDefault="00E751EC" w:rsidP="00E751EC">
      <w:pPr>
        <w:pStyle w:val="CETTabletitle"/>
      </w:pPr>
      <w:r w:rsidRPr="00B57B36">
        <w:t xml:space="preserve">Table </w:t>
      </w:r>
      <w:r>
        <w:t>2</w:t>
      </w:r>
      <w:r w:rsidRPr="00B57B36">
        <w:t xml:space="preserve">: </w:t>
      </w:r>
      <w:r>
        <w:t>ROA analysis for distillation procedure</w:t>
      </w:r>
    </w:p>
    <w:tbl>
      <w:tblPr>
        <w:tblW w:w="9154"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404"/>
        <w:gridCol w:w="672"/>
        <w:gridCol w:w="808"/>
        <w:gridCol w:w="943"/>
        <w:gridCol w:w="1480"/>
        <w:gridCol w:w="808"/>
        <w:gridCol w:w="1078"/>
        <w:gridCol w:w="807"/>
        <w:gridCol w:w="1079"/>
        <w:gridCol w:w="1075"/>
      </w:tblGrid>
      <w:tr w:rsidR="00E751EC" w:rsidRPr="000A035B" w14:paraId="759DF81A" w14:textId="77777777" w:rsidTr="00A23F24">
        <w:trPr>
          <w:trHeight w:val="191"/>
        </w:trPr>
        <w:tc>
          <w:tcPr>
            <w:tcW w:w="404" w:type="dxa"/>
            <w:vMerge w:val="restart"/>
            <w:tcBorders>
              <w:top w:val="single" w:sz="12" w:space="0" w:color="008000"/>
            </w:tcBorders>
            <w:shd w:val="clear" w:color="auto" w:fill="FFFFFF"/>
          </w:tcPr>
          <w:p w14:paraId="165AD6CB" w14:textId="77777777" w:rsidR="00E751EC" w:rsidRPr="007300FC" w:rsidRDefault="00E751EC" w:rsidP="00A23F24">
            <w:pPr>
              <w:pStyle w:val="CETBodytext"/>
              <w:jc w:val="center"/>
              <w:rPr>
                <w:sz w:val="16"/>
                <w:szCs w:val="16"/>
              </w:rPr>
            </w:pPr>
            <w:r w:rsidRPr="007300FC">
              <w:rPr>
                <w:sz w:val="16"/>
                <w:szCs w:val="16"/>
              </w:rPr>
              <w:t>Rec</w:t>
            </w:r>
          </w:p>
        </w:tc>
        <w:tc>
          <w:tcPr>
            <w:tcW w:w="672" w:type="dxa"/>
            <w:vMerge w:val="restart"/>
            <w:tcBorders>
              <w:top w:val="single" w:sz="12" w:space="0" w:color="008000"/>
            </w:tcBorders>
            <w:shd w:val="clear" w:color="auto" w:fill="FFFFFF"/>
          </w:tcPr>
          <w:p w14:paraId="35EED641" w14:textId="77777777" w:rsidR="00E751EC" w:rsidRPr="007300FC" w:rsidRDefault="00E751EC" w:rsidP="00A23F24">
            <w:pPr>
              <w:pStyle w:val="CETBodytext"/>
              <w:jc w:val="center"/>
              <w:rPr>
                <w:sz w:val="16"/>
                <w:szCs w:val="16"/>
              </w:rPr>
            </w:pPr>
            <w:r w:rsidRPr="007300FC">
              <w:rPr>
                <w:sz w:val="16"/>
                <w:szCs w:val="16"/>
              </w:rPr>
              <w:t>NDV</w:t>
            </w:r>
          </w:p>
        </w:tc>
        <w:tc>
          <w:tcPr>
            <w:tcW w:w="808" w:type="dxa"/>
            <w:vMerge w:val="restart"/>
            <w:tcBorders>
              <w:top w:val="single" w:sz="12" w:space="0" w:color="008000"/>
            </w:tcBorders>
            <w:shd w:val="clear" w:color="auto" w:fill="FFFFFF"/>
          </w:tcPr>
          <w:p w14:paraId="269E5168" w14:textId="77777777" w:rsidR="00E751EC" w:rsidRPr="007300FC" w:rsidRDefault="00E751EC" w:rsidP="00A23F24">
            <w:pPr>
              <w:pStyle w:val="CETBodytext"/>
              <w:jc w:val="center"/>
              <w:rPr>
                <w:sz w:val="16"/>
                <w:szCs w:val="16"/>
              </w:rPr>
            </w:pPr>
            <w:r w:rsidRPr="007300FC">
              <w:rPr>
                <w:sz w:val="16"/>
                <w:szCs w:val="16"/>
              </w:rPr>
              <w:t>Causes</w:t>
            </w:r>
          </w:p>
        </w:tc>
        <w:tc>
          <w:tcPr>
            <w:tcW w:w="943" w:type="dxa"/>
            <w:vMerge w:val="restart"/>
            <w:tcBorders>
              <w:top w:val="single" w:sz="12" w:space="0" w:color="008000"/>
            </w:tcBorders>
            <w:shd w:val="clear" w:color="auto" w:fill="FFFFFF"/>
          </w:tcPr>
          <w:p w14:paraId="22A5DBCC" w14:textId="77777777" w:rsidR="00E751EC" w:rsidRPr="007300FC" w:rsidRDefault="00E751EC" w:rsidP="00A23F24">
            <w:pPr>
              <w:pStyle w:val="CETBodytext"/>
              <w:ind w:right="-1"/>
              <w:jc w:val="center"/>
              <w:rPr>
                <w:rFonts w:cs="Arial"/>
                <w:sz w:val="16"/>
                <w:szCs w:val="16"/>
              </w:rPr>
            </w:pPr>
            <w:r w:rsidRPr="007300FC">
              <w:rPr>
                <w:sz w:val="16"/>
                <w:szCs w:val="16"/>
              </w:rPr>
              <w:t>Cons.</w:t>
            </w:r>
          </w:p>
        </w:tc>
        <w:tc>
          <w:tcPr>
            <w:tcW w:w="1480" w:type="dxa"/>
            <w:vMerge w:val="restart"/>
            <w:tcBorders>
              <w:top w:val="single" w:sz="12" w:space="0" w:color="008000"/>
              <w:right w:val="single" w:sz="12" w:space="0" w:color="FFFFFF" w:themeColor="background1"/>
            </w:tcBorders>
            <w:shd w:val="clear" w:color="auto" w:fill="FFFFFF"/>
          </w:tcPr>
          <w:p w14:paraId="4FEDF2DB" w14:textId="77777777" w:rsidR="00E751EC" w:rsidRPr="007300FC" w:rsidRDefault="00E751EC" w:rsidP="00A23F24">
            <w:pPr>
              <w:pStyle w:val="CETBodytext"/>
              <w:ind w:right="-1"/>
              <w:jc w:val="center"/>
              <w:rPr>
                <w:rFonts w:cs="Arial"/>
                <w:sz w:val="16"/>
                <w:szCs w:val="16"/>
              </w:rPr>
            </w:pPr>
            <w:r w:rsidRPr="007300FC">
              <w:rPr>
                <w:sz w:val="16"/>
                <w:szCs w:val="16"/>
              </w:rPr>
              <w:t xml:space="preserve">Plant state with protections working </w:t>
            </w:r>
          </w:p>
        </w:tc>
        <w:tc>
          <w:tcPr>
            <w:tcW w:w="2693" w:type="dxa"/>
            <w:gridSpan w:val="3"/>
            <w:tcBorders>
              <w:top w:val="single" w:sz="12" w:space="0" w:color="008000"/>
              <w:left w:val="single" w:sz="12" w:space="0" w:color="FFFFFF" w:themeColor="background1"/>
              <w:bottom w:val="single" w:sz="4" w:space="0" w:color="008000"/>
            </w:tcBorders>
            <w:shd w:val="clear" w:color="auto" w:fill="FFFFFF"/>
          </w:tcPr>
          <w:p w14:paraId="768A9BEA" w14:textId="77777777" w:rsidR="00E751EC" w:rsidRPr="007300FC" w:rsidRDefault="00E751EC" w:rsidP="00A23F24">
            <w:pPr>
              <w:pStyle w:val="CETBodytext"/>
              <w:ind w:right="-1"/>
              <w:jc w:val="center"/>
              <w:rPr>
                <w:rFonts w:cs="Arial"/>
                <w:sz w:val="16"/>
                <w:szCs w:val="16"/>
              </w:rPr>
            </w:pPr>
            <w:r w:rsidRPr="007300FC">
              <w:rPr>
                <w:sz w:val="16"/>
                <w:szCs w:val="16"/>
              </w:rPr>
              <w:t>Protections</w:t>
            </w:r>
          </w:p>
        </w:tc>
        <w:tc>
          <w:tcPr>
            <w:tcW w:w="1079" w:type="dxa"/>
            <w:tcBorders>
              <w:top w:val="single" w:sz="12" w:space="0" w:color="008000"/>
              <w:bottom w:val="nil"/>
            </w:tcBorders>
            <w:shd w:val="clear" w:color="auto" w:fill="FFFFFF"/>
          </w:tcPr>
          <w:p w14:paraId="3E8C507A" w14:textId="77777777" w:rsidR="00E751EC" w:rsidRPr="007300FC" w:rsidRDefault="00E751EC" w:rsidP="00A23F24">
            <w:pPr>
              <w:pStyle w:val="CETBodytext"/>
              <w:ind w:right="-1"/>
              <w:jc w:val="center"/>
              <w:rPr>
                <w:rFonts w:cs="Arial"/>
                <w:sz w:val="16"/>
                <w:szCs w:val="16"/>
              </w:rPr>
            </w:pPr>
            <w:r w:rsidRPr="007300FC">
              <w:rPr>
                <w:sz w:val="16"/>
                <w:szCs w:val="16"/>
              </w:rPr>
              <w:t>Notes</w:t>
            </w:r>
          </w:p>
        </w:tc>
        <w:tc>
          <w:tcPr>
            <w:tcW w:w="1075" w:type="dxa"/>
            <w:tcBorders>
              <w:top w:val="single" w:sz="12" w:space="0" w:color="008000"/>
              <w:bottom w:val="nil"/>
            </w:tcBorders>
            <w:shd w:val="clear" w:color="auto" w:fill="FFFFFF"/>
          </w:tcPr>
          <w:p w14:paraId="27F82486" w14:textId="77777777" w:rsidR="00E751EC" w:rsidRPr="007300FC" w:rsidRDefault="00E751EC" w:rsidP="00A23F24">
            <w:pPr>
              <w:pStyle w:val="CETBodytext"/>
              <w:ind w:right="-1"/>
              <w:jc w:val="center"/>
              <w:rPr>
                <w:rFonts w:cs="Arial"/>
                <w:sz w:val="16"/>
                <w:szCs w:val="16"/>
              </w:rPr>
            </w:pPr>
            <w:r w:rsidRPr="007300FC">
              <w:rPr>
                <w:sz w:val="16"/>
                <w:szCs w:val="16"/>
              </w:rPr>
              <w:t>TE</w:t>
            </w:r>
          </w:p>
        </w:tc>
      </w:tr>
      <w:tr w:rsidR="00E751EC" w:rsidRPr="000A035B" w14:paraId="5C061E29" w14:textId="77777777" w:rsidTr="00A23F24">
        <w:trPr>
          <w:trHeight w:val="204"/>
        </w:trPr>
        <w:tc>
          <w:tcPr>
            <w:tcW w:w="404" w:type="dxa"/>
            <w:vMerge/>
            <w:shd w:val="clear" w:color="auto" w:fill="FFFFFF"/>
          </w:tcPr>
          <w:p w14:paraId="4843EBF7" w14:textId="77777777" w:rsidR="00E751EC" w:rsidRPr="007300FC" w:rsidRDefault="00E751EC" w:rsidP="00A23F24">
            <w:pPr>
              <w:pStyle w:val="CETBodytext"/>
              <w:jc w:val="center"/>
              <w:rPr>
                <w:sz w:val="16"/>
                <w:szCs w:val="16"/>
              </w:rPr>
            </w:pPr>
          </w:p>
        </w:tc>
        <w:tc>
          <w:tcPr>
            <w:tcW w:w="672" w:type="dxa"/>
            <w:vMerge/>
            <w:shd w:val="clear" w:color="auto" w:fill="FFFFFF"/>
          </w:tcPr>
          <w:p w14:paraId="70C03992" w14:textId="77777777" w:rsidR="00E751EC" w:rsidRPr="007300FC" w:rsidRDefault="00E751EC" w:rsidP="00A23F24">
            <w:pPr>
              <w:pStyle w:val="CETBodytext"/>
              <w:jc w:val="center"/>
              <w:rPr>
                <w:sz w:val="16"/>
                <w:szCs w:val="16"/>
              </w:rPr>
            </w:pPr>
          </w:p>
        </w:tc>
        <w:tc>
          <w:tcPr>
            <w:tcW w:w="808" w:type="dxa"/>
            <w:vMerge/>
            <w:shd w:val="clear" w:color="auto" w:fill="FFFFFF"/>
          </w:tcPr>
          <w:p w14:paraId="196D83E3" w14:textId="77777777" w:rsidR="00E751EC" w:rsidRPr="007300FC" w:rsidRDefault="00E751EC" w:rsidP="00A23F24">
            <w:pPr>
              <w:pStyle w:val="CETBodytext"/>
              <w:jc w:val="center"/>
              <w:rPr>
                <w:sz w:val="16"/>
                <w:szCs w:val="16"/>
              </w:rPr>
            </w:pPr>
          </w:p>
        </w:tc>
        <w:tc>
          <w:tcPr>
            <w:tcW w:w="943" w:type="dxa"/>
            <w:vMerge/>
            <w:shd w:val="clear" w:color="auto" w:fill="FFFFFF"/>
          </w:tcPr>
          <w:p w14:paraId="19695A08" w14:textId="77777777" w:rsidR="00E751EC" w:rsidRPr="007300FC" w:rsidRDefault="00E751EC" w:rsidP="00A23F24">
            <w:pPr>
              <w:pStyle w:val="CETBodytext"/>
              <w:ind w:right="-1"/>
              <w:jc w:val="center"/>
              <w:rPr>
                <w:sz w:val="16"/>
                <w:szCs w:val="16"/>
              </w:rPr>
            </w:pPr>
          </w:p>
        </w:tc>
        <w:tc>
          <w:tcPr>
            <w:tcW w:w="1480" w:type="dxa"/>
            <w:vMerge/>
            <w:tcBorders>
              <w:right w:val="single" w:sz="12" w:space="0" w:color="FFFFFF" w:themeColor="background1"/>
            </w:tcBorders>
            <w:shd w:val="clear" w:color="auto" w:fill="FFFFFF"/>
          </w:tcPr>
          <w:p w14:paraId="79AFB214" w14:textId="77777777" w:rsidR="00E751EC" w:rsidRPr="007300FC" w:rsidRDefault="00E751EC" w:rsidP="00A23F24">
            <w:pPr>
              <w:pStyle w:val="CETBodytext"/>
              <w:ind w:right="-1"/>
              <w:jc w:val="center"/>
              <w:rPr>
                <w:sz w:val="16"/>
                <w:szCs w:val="16"/>
              </w:rPr>
            </w:pPr>
          </w:p>
        </w:tc>
        <w:tc>
          <w:tcPr>
            <w:tcW w:w="1886" w:type="dxa"/>
            <w:gridSpan w:val="2"/>
            <w:tcBorders>
              <w:top w:val="single" w:sz="4" w:space="0" w:color="008000"/>
              <w:left w:val="single" w:sz="12" w:space="0" w:color="FFFFFF" w:themeColor="background1"/>
              <w:bottom w:val="single" w:sz="4" w:space="0" w:color="008000"/>
            </w:tcBorders>
            <w:shd w:val="clear" w:color="auto" w:fill="FFFFFF"/>
          </w:tcPr>
          <w:p w14:paraId="644FACEA" w14:textId="77777777" w:rsidR="00E751EC" w:rsidRPr="007300FC" w:rsidRDefault="00E751EC" w:rsidP="00A23F24">
            <w:pPr>
              <w:pStyle w:val="CETBodytext"/>
              <w:ind w:right="-1"/>
              <w:jc w:val="center"/>
              <w:rPr>
                <w:sz w:val="16"/>
                <w:szCs w:val="16"/>
              </w:rPr>
            </w:pPr>
            <w:r w:rsidRPr="007300FC">
              <w:rPr>
                <w:sz w:val="16"/>
                <w:szCs w:val="16"/>
              </w:rPr>
              <w:t>Manual</w:t>
            </w:r>
          </w:p>
        </w:tc>
        <w:tc>
          <w:tcPr>
            <w:tcW w:w="807" w:type="dxa"/>
            <w:vMerge w:val="restart"/>
            <w:tcBorders>
              <w:top w:val="single" w:sz="4" w:space="0" w:color="008000"/>
            </w:tcBorders>
            <w:shd w:val="clear" w:color="auto" w:fill="FFFFFF"/>
          </w:tcPr>
          <w:p w14:paraId="5FA96C64" w14:textId="77777777" w:rsidR="00E751EC" w:rsidRPr="007300FC" w:rsidRDefault="00E751EC" w:rsidP="00A23F24">
            <w:pPr>
              <w:pStyle w:val="CETBodytext"/>
              <w:ind w:right="-1"/>
              <w:jc w:val="center"/>
              <w:rPr>
                <w:sz w:val="16"/>
                <w:szCs w:val="16"/>
              </w:rPr>
            </w:pPr>
            <w:r w:rsidRPr="007300FC">
              <w:rPr>
                <w:sz w:val="16"/>
                <w:szCs w:val="16"/>
              </w:rPr>
              <w:t>Automatic safety means</w:t>
            </w:r>
          </w:p>
        </w:tc>
        <w:tc>
          <w:tcPr>
            <w:tcW w:w="2154" w:type="dxa"/>
            <w:gridSpan w:val="2"/>
            <w:vMerge w:val="restart"/>
            <w:tcBorders>
              <w:top w:val="nil"/>
              <w:bottom w:val="single" w:sz="4" w:space="0" w:color="auto"/>
            </w:tcBorders>
            <w:shd w:val="clear" w:color="auto" w:fill="FFFFFF"/>
          </w:tcPr>
          <w:p w14:paraId="01B01AF0" w14:textId="77777777" w:rsidR="00E751EC" w:rsidRPr="007300FC" w:rsidRDefault="00E751EC" w:rsidP="00A23F24">
            <w:pPr>
              <w:pStyle w:val="CETBodytext"/>
              <w:ind w:right="-1"/>
              <w:jc w:val="center"/>
              <w:rPr>
                <w:sz w:val="16"/>
                <w:szCs w:val="16"/>
              </w:rPr>
            </w:pPr>
          </w:p>
        </w:tc>
      </w:tr>
      <w:tr w:rsidR="00E751EC" w:rsidRPr="000A035B" w14:paraId="35C9B2C6" w14:textId="77777777" w:rsidTr="00A23F24">
        <w:trPr>
          <w:trHeight w:val="396"/>
        </w:trPr>
        <w:tc>
          <w:tcPr>
            <w:tcW w:w="404" w:type="dxa"/>
            <w:vMerge/>
            <w:tcBorders>
              <w:bottom w:val="single" w:sz="4" w:space="0" w:color="008000"/>
            </w:tcBorders>
            <w:shd w:val="clear" w:color="auto" w:fill="FFFFFF"/>
          </w:tcPr>
          <w:p w14:paraId="71BFF4D8" w14:textId="77777777" w:rsidR="00E751EC" w:rsidRPr="007300FC" w:rsidRDefault="00E751EC" w:rsidP="00A23F24">
            <w:pPr>
              <w:pStyle w:val="CETBodytext"/>
              <w:jc w:val="center"/>
              <w:rPr>
                <w:sz w:val="16"/>
                <w:szCs w:val="16"/>
              </w:rPr>
            </w:pPr>
          </w:p>
        </w:tc>
        <w:tc>
          <w:tcPr>
            <w:tcW w:w="672" w:type="dxa"/>
            <w:vMerge/>
            <w:tcBorders>
              <w:bottom w:val="single" w:sz="4" w:space="0" w:color="008000"/>
            </w:tcBorders>
            <w:shd w:val="clear" w:color="auto" w:fill="FFFFFF"/>
          </w:tcPr>
          <w:p w14:paraId="6C20ED2A" w14:textId="77777777" w:rsidR="00E751EC" w:rsidRPr="007300FC" w:rsidRDefault="00E751EC" w:rsidP="00A23F24">
            <w:pPr>
              <w:pStyle w:val="CETBodytext"/>
              <w:jc w:val="center"/>
              <w:rPr>
                <w:sz w:val="16"/>
                <w:szCs w:val="16"/>
              </w:rPr>
            </w:pPr>
          </w:p>
        </w:tc>
        <w:tc>
          <w:tcPr>
            <w:tcW w:w="808" w:type="dxa"/>
            <w:vMerge/>
            <w:tcBorders>
              <w:bottom w:val="single" w:sz="4" w:space="0" w:color="008000"/>
            </w:tcBorders>
            <w:shd w:val="clear" w:color="auto" w:fill="FFFFFF"/>
          </w:tcPr>
          <w:p w14:paraId="46375746" w14:textId="77777777" w:rsidR="00E751EC" w:rsidRPr="007300FC" w:rsidRDefault="00E751EC" w:rsidP="00A23F24">
            <w:pPr>
              <w:pStyle w:val="CETBodytext"/>
              <w:jc w:val="center"/>
              <w:rPr>
                <w:sz w:val="16"/>
                <w:szCs w:val="16"/>
              </w:rPr>
            </w:pPr>
          </w:p>
        </w:tc>
        <w:tc>
          <w:tcPr>
            <w:tcW w:w="943" w:type="dxa"/>
            <w:vMerge/>
            <w:tcBorders>
              <w:bottom w:val="single" w:sz="4" w:space="0" w:color="008000"/>
            </w:tcBorders>
            <w:shd w:val="clear" w:color="auto" w:fill="FFFFFF"/>
          </w:tcPr>
          <w:p w14:paraId="541BEB60" w14:textId="77777777" w:rsidR="00E751EC" w:rsidRPr="007300FC" w:rsidRDefault="00E751EC" w:rsidP="00A23F24">
            <w:pPr>
              <w:pStyle w:val="CETBodytext"/>
              <w:ind w:right="-1"/>
              <w:jc w:val="center"/>
              <w:rPr>
                <w:sz w:val="16"/>
                <w:szCs w:val="16"/>
              </w:rPr>
            </w:pPr>
          </w:p>
        </w:tc>
        <w:tc>
          <w:tcPr>
            <w:tcW w:w="1480" w:type="dxa"/>
            <w:vMerge/>
            <w:tcBorders>
              <w:bottom w:val="single" w:sz="4" w:space="0" w:color="008000"/>
              <w:right w:val="single" w:sz="12" w:space="0" w:color="FFFFFF" w:themeColor="background1"/>
            </w:tcBorders>
            <w:shd w:val="clear" w:color="auto" w:fill="FFFFFF"/>
          </w:tcPr>
          <w:p w14:paraId="4E219EA3" w14:textId="77777777" w:rsidR="00E751EC" w:rsidRPr="007300FC" w:rsidRDefault="00E751EC" w:rsidP="00A23F24">
            <w:pPr>
              <w:pStyle w:val="CETBodytext"/>
              <w:ind w:right="-1"/>
              <w:jc w:val="center"/>
              <w:rPr>
                <w:sz w:val="16"/>
                <w:szCs w:val="16"/>
              </w:rPr>
            </w:pPr>
          </w:p>
        </w:tc>
        <w:tc>
          <w:tcPr>
            <w:tcW w:w="808" w:type="dxa"/>
            <w:tcBorders>
              <w:top w:val="single" w:sz="4" w:space="0" w:color="008000"/>
              <w:left w:val="single" w:sz="12" w:space="0" w:color="FFFFFF" w:themeColor="background1"/>
              <w:bottom w:val="single" w:sz="4" w:space="0" w:color="008000"/>
            </w:tcBorders>
            <w:shd w:val="clear" w:color="auto" w:fill="FFFFFF"/>
          </w:tcPr>
          <w:p w14:paraId="7ACFA81B" w14:textId="77777777" w:rsidR="00E751EC" w:rsidRPr="007300FC" w:rsidRDefault="00E751EC" w:rsidP="00A23F24">
            <w:pPr>
              <w:pStyle w:val="CETBodytext"/>
              <w:ind w:right="-1"/>
              <w:jc w:val="center"/>
              <w:rPr>
                <w:sz w:val="16"/>
                <w:szCs w:val="16"/>
              </w:rPr>
            </w:pPr>
            <w:r w:rsidRPr="007300FC">
              <w:rPr>
                <w:sz w:val="16"/>
                <w:szCs w:val="16"/>
              </w:rPr>
              <w:t xml:space="preserve">Alarm </w:t>
            </w:r>
          </w:p>
        </w:tc>
        <w:tc>
          <w:tcPr>
            <w:tcW w:w="1078" w:type="dxa"/>
            <w:tcBorders>
              <w:top w:val="single" w:sz="4" w:space="0" w:color="008000"/>
              <w:bottom w:val="single" w:sz="4" w:space="0" w:color="008000"/>
            </w:tcBorders>
            <w:shd w:val="clear" w:color="auto" w:fill="FFFFFF"/>
          </w:tcPr>
          <w:p w14:paraId="0B710C4C" w14:textId="77777777" w:rsidR="00E751EC" w:rsidRPr="007300FC" w:rsidRDefault="00E751EC" w:rsidP="00A23F24">
            <w:pPr>
              <w:pStyle w:val="CETBodytext"/>
              <w:ind w:right="-1"/>
              <w:jc w:val="center"/>
              <w:rPr>
                <w:sz w:val="16"/>
                <w:szCs w:val="16"/>
              </w:rPr>
            </w:pPr>
            <w:r w:rsidRPr="007300FC">
              <w:rPr>
                <w:sz w:val="16"/>
                <w:szCs w:val="16"/>
              </w:rPr>
              <w:t xml:space="preserve">Operator actions </w:t>
            </w:r>
          </w:p>
        </w:tc>
        <w:tc>
          <w:tcPr>
            <w:tcW w:w="807" w:type="dxa"/>
            <w:vMerge/>
            <w:tcBorders>
              <w:bottom w:val="single" w:sz="4" w:space="0" w:color="008000"/>
            </w:tcBorders>
            <w:shd w:val="clear" w:color="auto" w:fill="FFFFFF"/>
          </w:tcPr>
          <w:p w14:paraId="0AF17616" w14:textId="77777777" w:rsidR="00E751EC" w:rsidRPr="007300FC" w:rsidRDefault="00E751EC" w:rsidP="00A23F24">
            <w:pPr>
              <w:pStyle w:val="CETBodytext"/>
              <w:ind w:right="-1"/>
              <w:jc w:val="center"/>
              <w:rPr>
                <w:sz w:val="16"/>
                <w:szCs w:val="16"/>
              </w:rPr>
            </w:pPr>
          </w:p>
        </w:tc>
        <w:tc>
          <w:tcPr>
            <w:tcW w:w="2154" w:type="dxa"/>
            <w:gridSpan w:val="2"/>
            <w:vMerge/>
            <w:tcBorders>
              <w:top w:val="nil"/>
              <w:bottom w:val="single" w:sz="4" w:space="0" w:color="008000"/>
            </w:tcBorders>
            <w:shd w:val="clear" w:color="auto" w:fill="FFFFFF"/>
          </w:tcPr>
          <w:p w14:paraId="6C4BDF7D" w14:textId="77777777" w:rsidR="00E751EC" w:rsidRPr="007300FC" w:rsidRDefault="00E751EC" w:rsidP="00A23F24">
            <w:pPr>
              <w:pStyle w:val="CETBodytext"/>
              <w:ind w:right="-1"/>
              <w:jc w:val="center"/>
              <w:rPr>
                <w:sz w:val="16"/>
                <w:szCs w:val="16"/>
              </w:rPr>
            </w:pPr>
          </w:p>
        </w:tc>
      </w:tr>
      <w:tr w:rsidR="00E751EC" w:rsidRPr="000A035B" w14:paraId="16DE7E30" w14:textId="77777777" w:rsidTr="00A23F24">
        <w:trPr>
          <w:trHeight w:val="2060"/>
        </w:trPr>
        <w:tc>
          <w:tcPr>
            <w:tcW w:w="404" w:type="dxa"/>
            <w:tcBorders>
              <w:top w:val="single" w:sz="4" w:space="0" w:color="008000"/>
              <w:bottom w:val="single" w:sz="4" w:space="0" w:color="008000"/>
            </w:tcBorders>
            <w:shd w:val="clear" w:color="auto" w:fill="FFFFFF"/>
          </w:tcPr>
          <w:p w14:paraId="15DC3338" w14:textId="77777777" w:rsidR="00E751EC" w:rsidRPr="007300FC" w:rsidRDefault="00E751EC" w:rsidP="00A23F24">
            <w:pPr>
              <w:pStyle w:val="CETBodytext"/>
              <w:ind w:right="-1"/>
              <w:jc w:val="center"/>
              <w:rPr>
                <w:rFonts w:cs="Arial"/>
                <w:sz w:val="16"/>
                <w:szCs w:val="16"/>
              </w:rPr>
            </w:pPr>
            <w:r>
              <w:rPr>
                <w:sz w:val="16"/>
                <w:szCs w:val="16"/>
                <w:lang w:val="en-GB"/>
              </w:rPr>
              <w:t>1.0</w:t>
            </w:r>
          </w:p>
        </w:tc>
        <w:tc>
          <w:tcPr>
            <w:tcW w:w="672" w:type="dxa"/>
            <w:tcBorders>
              <w:top w:val="single" w:sz="4" w:space="0" w:color="008000"/>
              <w:bottom w:val="single" w:sz="4" w:space="0" w:color="008000"/>
            </w:tcBorders>
            <w:shd w:val="clear" w:color="auto" w:fill="FFFFFF"/>
          </w:tcPr>
          <w:p w14:paraId="3BA5A44A" w14:textId="77777777" w:rsidR="00E751EC" w:rsidRDefault="00E751EC" w:rsidP="00A23F24">
            <w:pPr>
              <w:jc w:val="center"/>
              <w:rPr>
                <w:sz w:val="16"/>
                <w:szCs w:val="16"/>
              </w:rPr>
            </w:pPr>
            <w:r>
              <w:rPr>
                <w:sz w:val="16"/>
                <w:szCs w:val="16"/>
              </w:rPr>
              <w:t>2BlT</w:t>
            </w:r>
          </w:p>
          <w:p w14:paraId="5C9C8685" w14:textId="77777777" w:rsidR="00E751EC" w:rsidRPr="007300FC" w:rsidRDefault="00E751EC" w:rsidP="00A23F24">
            <w:pPr>
              <w:pStyle w:val="CETBodytext"/>
              <w:ind w:right="-1"/>
              <w:jc w:val="center"/>
              <w:rPr>
                <w:rFonts w:cs="Arial"/>
                <w:sz w:val="16"/>
                <w:szCs w:val="16"/>
              </w:rPr>
            </w:pPr>
            <w:r>
              <w:rPr>
                <w:sz w:val="16"/>
                <w:szCs w:val="16"/>
                <w:lang w:val="en-GB"/>
              </w:rPr>
              <w:t>(Inlet: 300K)</w:t>
            </w:r>
          </w:p>
        </w:tc>
        <w:tc>
          <w:tcPr>
            <w:tcW w:w="808" w:type="dxa"/>
            <w:tcBorders>
              <w:top w:val="single" w:sz="4" w:space="0" w:color="008000"/>
              <w:bottom w:val="single" w:sz="4" w:space="0" w:color="008000"/>
            </w:tcBorders>
            <w:shd w:val="clear" w:color="auto" w:fill="FFFFFF"/>
          </w:tcPr>
          <w:p w14:paraId="7BE17BC6" w14:textId="77777777" w:rsidR="00E751EC" w:rsidRDefault="00E751EC" w:rsidP="00A23F24">
            <w:pPr>
              <w:jc w:val="center"/>
              <w:rPr>
                <w:sz w:val="16"/>
                <w:szCs w:val="16"/>
              </w:rPr>
            </w:pPr>
            <w:r>
              <w:rPr>
                <w:sz w:val="16"/>
                <w:szCs w:val="16"/>
              </w:rPr>
              <w:t>B-1101</w:t>
            </w:r>
          </w:p>
          <w:p w14:paraId="14564482" w14:textId="77777777" w:rsidR="00E751EC" w:rsidRDefault="00E751EC" w:rsidP="00A23F24">
            <w:pPr>
              <w:jc w:val="center"/>
              <w:rPr>
                <w:sz w:val="16"/>
                <w:szCs w:val="16"/>
              </w:rPr>
            </w:pPr>
            <w:r>
              <w:rPr>
                <w:sz w:val="16"/>
                <w:szCs w:val="16"/>
              </w:rPr>
              <w:t>OR</w:t>
            </w:r>
          </w:p>
          <w:p w14:paraId="4C8EE028" w14:textId="77777777" w:rsidR="00E751EC" w:rsidRDefault="00E751EC" w:rsidP="00A23F24">
            <w:pPr>
              <w:jc w:val="center"/>
              <w:rPr>
                <w:sz w:val="16"/>
                <w:szCs w:val="16"/>
              </w:rPr>
            </w:pPr>
            <w:r>
              <w:rPr>
                <w:sz w:val="16"/>
                <w:szCs w:val="16"/>
              </w:rPr>
              <w:t>C-1104</w:t>
            </w:r>
          </w:p>
          <w:p w14:paraId="203A2976" w14:textId="77777777" w:rsidR="00E751EC" w:rsidRDefault="00E751EC" w:rsidP="00A23F24">
            <w:pPr>
              <w:jc w:val="center"/>
              <w:rPr>
                <w:sz w:val="16"/>
                <w:szCs w:val="16"/>
              </w:rPr>
            </w:pPr>
            <w:r>
              <w:rPr>
                <w:sz w:val="16"/>
                <w:szCs w:val="16"/>
              </w:rPr>
              <w:t>OR</w:t>
            </w:r>
          </w:p>
          <w:p w14:paraId="72555FEB" w14:textId="77777777" w:rsidR="00E751EC" w:rsidRDefault="00E751EC" w:rsidP="00A23F24">
            <w:pPr>
              <w:jc w:val="center"/>
              <w:rPr>
                <w:sz w:val="16"/>
                <w:szCs w:val="16"/>
              </w:rPr>
            </w:pPr>
            <w:r>
              <w:rPr>
                <w:sz w:val="16"/>
                <w:szCs w:val="16"/>
              </w:rPr>
              <w:t>FCV-5008</w:t>
            </w:r>
          </w:p>
          <w:p w14:paraId="504DA239" w14:textId="77777777" w:rsidR="00E751EC" w:rsidRDefault="00E751EC" w:rsidP="00A23F24">
            <w:pPr>
              <w:jc w:val="center"/>
              <w:rPr>
                <w:sz w:val="16"/>
                <w:szCs w:val="16"/>
              </w:rPr>
            </w:pPr>
            <w:r>
              <w:rPr>
                <w:sz w:val="16"/>
                <w:szCs w:val="16"/>
              </w:rPr>
              <w:t>OR</w:t>
            </w:r>
          </w:p>
          <w:p w14:paraId="4D553541" w14:textId="77777777" w:rsidR="00E751EC" w:rsidRDefault="00E751EC" w:rsidP="00A23F24">
            <w:pPr>
              <w:jc w:val="center"/>
              <w:rPr>
                <w:sz w:val="16"/>
                <w:szCs w:val="16"/>
              </w:rPr>
            </w:pPr>
            <w:r>
              <w:rPr>
                <w:sz w:val="16"/>
                <w:szCs w:val="16"/>
              </w:rPr>
              <w:t>FIC-5008</w:t>
            </w:r>
          </w:p>
          <w:p w14:paraId="58E8E291" w14:textId="77777777" w:rsidR="00E751EC" w:rsidRDefault="00E751EC" w:rsidP="00A23F24">
            <w:pPr>
              <w:jc w:val="center"/>
              <w:rPr>
                <w:sz w:val="16"/>
                <w:szCs w:val="16"/>
              </w:rPr>
            </w:pPr>
            <w:r>
              <w:rPr>
                <w:sz w:val="16"/>
                <w:szCs w:val="16"/>
              </w:rPr>
              <w:t>OR</w:t>
            </w:r>
          </w:p>
          <w:p w14:paraId="7948BA5A" w14:textId="77777777" w:rsidR="00E751EC" w:rsidRPr="007300FC" w:rsidRDefault="00E751EC" w:rsidP="00A23F24">
            <w:pPr>
              <w:jc w:val="center"/>
              <w:rPr>
                <w:rFonts w:cs="Arial"/>
                <w:sz w:val="16"/>
                <w:szCs w:val="16"/>
              </w:rPr>
            </w:pPr>
            <w:r>
              <w:rPr>
                <w:sz w:val="16"/>
                <w:szCs w:val="16"/>
              </w:rPr>
              <w:t xml:space="preserve">Human error </w:t>
            </w:r>
          </w:p>
        </w:tc>
        <w:tc>
          <w:tcPr>
            <w:tcW w:w="943" w:type="dxa"/>
            <w:tcBorders>
              <w:top w:val="single" w:sz="4" w:space="0" w:color="008000"/>
              <w:bottom w:val="single" w:sz="4" w:space="0" w:color="008000"/>
            </w:tcBorders>
            <w:shd w:val="clear" w:color="auto" w:fill="FFFFFF"/>
          </w:tcPr>
          <w:p w14:paraId="7621FB30" w14:textId="77777777" w:rsidR="00E751EC" w:rsidRPr="007300FC" w:rsidRDefault="00E751EC" w:rsidP="00A23F24">
            <w:pPr>
              <w:pStyle w:val="CETBodytext"/>
              <w:ind w:right="-1"/>
              <w:jc w:val="center"/>
              <w:rPr>
                <w:rFonts w:cs="Arial"/>
                <w:sz w:val="16"/>
                <w:szCs w:val="16"/>
              </w:rPr>
            </w:pPr>
            <w:r>
              <w:rPr>
                <w:sz w:val="16"/>
                <w:szCs w:val="16"/>
                <w:lang w:val="en-GB"/>
              </w:rPr>
              <w:t>3AhL</w:t>
            </w:r>
          </w:p>
        </w:tc>
        <w:tc>
          <w:tcPr>
            <w:tcW w:w="1480" w:type="dxa"/>
            <w:tcBorders>
              <w:top w:val="single" w:sz="4" w:space="0" w:color="008000"/>
              <w:bottom w:val="single" w:sz="4" w:space="0" w:color="008000"/>
            </w:tcBorders>
            <w:shd w:val="clear" w:color="auto" w:fill="FFFFFF"/>
          </w:tcPr>
          <w:p w14:paraId="10AE613E" w14:textId="77777777" w:rsidR="00E751EC" w:rsidRPr="007300FC" w:rsidRDefault="00E751EC" w:rsidP="00A23F24">
            <w:pPr>
              <w:pStyle w:val="CETBodytext"/>
              <w:ind w:right="-1"/>
              <w:jc w:val="center"/>
              <w:rPr>
                <w:rFonts w:cs="Arial"/>
                <w:sz w:val="16"/>
                <w:szCs w:val="16"/>
              </w:rPr>
            </w:pPr>
            <w:r>
              <w:rPr>
                <w:sz w:val="16"/>
                <w:szCs w:val="16"/>
                <w:lang w:val="en-GB"/>
              </w:rPr>
              <w:t>System is restored</w:t>
            </w:r>
          </w:p>
        </w:tc>
        <w:tc>
          <w:tcPr>
            <w:tcW w:w="808" w:type="dxa"/>
            <w:tcBorders>
              <w:top w:val="single" w:sz="4" w:space="0" w:color="008000"/>
              <w:bottom w:val="single" w:sz="4" w:space="0" w:color="008000"/>
            </w:tcBorders>
            <w:shd w:val="clear" w:color="auto" w:fill="FFFFFF"/>
          </w:tcPr>
          <w:p w14:paraId="0CD5444B" w14:textId="77777777" w:rsidR="00E751EC" w:rsidRPr="007300FC" w:rsidRDefault="00E751EC" w:rsidP="00A23F24">
            <w:pPr>
              <w:pStyle w:val="CETBodytext"/>
              <w:ind w:right="-1"/>
              <w:jc w:val="center"/>
              <w:rPr>
                <w:rFonts w:cs="Arial"/>
                <w:sz w:val="16"/>
                <w:szCs w:val="16"/>
              </w:rPr>
            </w:pPr>
          </w:p>
        </w:tc>
        <w:tc>
          <w:tcPr>
            <w:tcW w:w="1078" w:type="dxa"/>
            <w:tcBorders>
              <w:top w:val="single" w:sz="4" w:space="0" w:color="008000"/>
              <w:bottom w:val="single" w:sz="4" w:space="0" w:color="008000"/>
              <w:right w:val="single" w:sz="12" w:space="0" w:color="FFFFFF" w:themeColor="background1"/>
            </w:tcBorders>
            <w:shd w:val="clear" w:color="auto" w:fill="FFFFFF"/>
          </w:tcPr>
          <w:p w14:paraId="6CA9B0A2" w14:textId="77777777" w:rsidR="00E751EC" w:rsidRPr="007300FC" w:rsidRDefault="00E751EC" w:rsidP="00A23F24">
            <w:pPr>
              <w:pStyle w:val="CETBodytext"/>
              <w:ind w:right="-1"/>
              <w:jc w:val="center"/>
              <w:rPr>
                <w:rFonts w:cs="Arial"/>
                <w:sz w:val="16"/>
                <w:szCs w:val="16"/>
              </w:rPr>
            </w:pPr>
            <w:r>
              <w:rPr>
                <w:sz w:val="16"/>
                <w:szCs w:val="16"/>
                <w:lang w:val="en-GB"/>
              </w:rPr>
              <w:t>Operator can check temperature in control room and adjust furnace input</w:t>
            </w:r>
          </w:p>
        </w:tc>
        <w:tc>
          <w:tcPr>
            <w:tcW w:w="807" w:type="dxa"/>
            <w:tcBorders>
              <w:top w:val="single" w:sz="4" w:space="0" w:color="008000"/>
              <w:left w:val="single" w:sz="12" w:space="0" w:color="FFFFFF" w:themeColor="background1"/>
              <w:bottom w:val="single" w:sz="4" w:space="0" w:color="008000"/>
            </w:tcBorders>
            <w:shd w:val="clear" w:color="auto" w:fill="FFFFFF"/>
          </w:tcPr>
          <w:p w14:paraId="44EA2A51" w14:textId="77777777" w:rsidR="00E751EC" w:rsidRPr="007300FC" w:rsidRDefault="00E751EC" w:rsidP="00A23F24">
            <w:pPr>
              <w:pStyle w:val="CETBodytext"/>
              <w:ind w:right="-1"/>
              <w:jc w:val="center"/>
              <w:rPr>
                <w:rFonts w:cs="Arial"/>
                <w:sz w:val="16"/>
                <w:szCs w:val="16"/>
              </w:rPr>
            </w:pPr>
          </w:p>
        </w:tc>
        <w:tc>
          <w:tcPr>
            <w:tcW w:w="1079" w:type="dxa"/>
            <w:tcBorders>
              <w:top w:val="single" w:sz="4" w:space="0" w:color="008000"/>
              <w:bottom w:val="single" w:sz="4" w:space="0" w:color="008000"/>
            </w:tcBorders>
            <w:shd w:val="clear" w:color="auto" w:fill="FFFFFF"/>
          </w:tcPr>
          <w:p w14:paraId="66663BD1" w14:textId="77777777" w:rsidR="00E751EC" w:rsidRDefault="00E751EC" w:rsidP="00A23F24">
            <w:pPr>
              <w:jc w:val="center"/>
              <w:rPr>
                <w:sz w:val="16"/>
                <w:szCs w:val="16"/>
              </w:rPr>
            </w:pPr>
            <w:r>
              <w:rPr>
                <w:sz w:val="16"/>
                <w:szCs w:val="16"/>
              </w:rPr>
              <w:t>Reboiler duty increases up to 25%</w:t>
            </w:r>
          </w:p>
          <w:p w14:paraId="7B11AB52" w14:textId="77777777" w:rsidR="00E751EC" w:rsidRDefault="00E751EC" w:rsidP="00A23F24">
            <w:pPr>
              <w:jc w:val="center"/>
              <w:rPr>
                <w:sz w:val="16"/>
                <w:szCs w:val="16"/>
              </w:rPr>
            </w:pPr>
            <w:r>
              <w:rPr>
                <w:sz w:val="16"/>
                <w:szCs w:val="16"/>
              </w:rPr>
              <w:t xml:space="preserve">Possible liquid level rise if reboiler does not provide sufficient heat </w:t>
            </w:r>
          </w:p>
          <w:p w14:paraId="6FE6664B" w14:textId="77777777" w:rsidR="00E751EC" w:rsidRPr="007300FC" w:rsidRDefault="00E751EC" w:rsidP="00A23F24">
            <w:pPr>
              <w:pStyle w:val="CETBodytext"/>
              <w:ind w:right="-1"/>
              <w:jc w:val="center"/>
              <w:rPr>
                <w:rFonts w:cs="Arial"/>
                <w:sz w:val="16"/>
                <w:szCs w:val="16"/>
              </w:rPr>
            </w:pPr>
          </w:p>
        </w:tc>
        <w:tc>
          <w:tcPr>
            <w:tcW w:w="1075" w:type="dxa"/>
            <w:tcBorders>
              <w:top w:val="single" w:sz="4" w:space="0" w:color="008000"/>
              <w:bottom w:val="single" w:sz="4" w:space="0" w:color="008000"/>
            </w:tcBorders>
            <w:shd w:val="clear" w:color="auto" w:fill="FFFFFF"/>
          </w:tcPr>
          <w:p w14:paraId="74EF2EAC" w14:textId="77777777" w:rsidR="00E751EC" w:rsidRPr="007300FC" w:rsidRDefault="00E751EC" w:rsidP="00A23F24">
            <w:pPr>
              <w:pStyle w:val="CETBodytext"/>
              <w:ind w:right="-1"/>
              <w:jc w:val="center"/>
              <w:rPr>
                <w:rFonts w:cs="Arial"/>
                <w:sz w:val="16"/>
                <w:szCs w:val="16"/>
              </w:rPr>
            </w:pPr>
          </w:p>
        </w:tc>
      </w:tr>
      <w:tr w:rsidR="00E751EC" w:rsidRPr="000A035B" w14:paraId="33A05C89" w14:textId="77777777" w:rsidTr="00A23F24">
        <w:trPr>
          <w:trHeight w:val="1164"/>
        </w:trPr>
        <w:tc>
          <w:tcPr>
            <w:tcW w:w="404" w:type="dxa"/>
            <w:tcBorders>
              <w:top w:val="single" w:sz="4" w:space="0" w:color="008000"/>
              <w:bottom w:val="single" w:sz="4" w:space="0" w:color="008000"/>
            </w:tcBorders>
            <w:shd w:val="clear" w:color="auto" w:fill="FFFFFF"/>
          </w:tcPr>
          <w:p w14:paraId="709BBB18" w14:textId="77777777" w:rsidR="00E751EC" w:rsidRPr="007300FC" w:rsidRDefault="00E751EC" w:rsidP="00A23F24">
            <w:pPr>
              <w:pStyle w:val="CETBodytext"/>
              <w:ind w:right="-1"/>
              <w:jc w:val="center"/>
              <w:rPr>
                <w:rFonts w:cs="Arial"/>
                <w:sz w:val="16"/>
                <w:szCs w:val="16"/>
              </w:rPr>
            </w:pPr>
            <w:r>
              <w:rPr>
                <w:sz w:val="16"/>
                <w:szCs w:val="16"/>
                <w:lang w:val="en-GB"/>
              </w:rPr>
              <w:t>1.1</w:t>
            </w:r>
          </w:p>
        </w:tc>
        <w:tc>
          <w:tcPr>
            <w:tcW w:w="672" w:type="dxa"/>
            <w:tcBorders>
              <w:top w:val="single" w:sz="4" w:space="0" w:color="008000"/>
              <w:bottom w:val="single" w:sz="4" w:space="0" w:color="008000"/>
            </w:tcBorders>
            <w:shd w:val="clear" w:color="auto" w:fill="FFFFFF"/>
          </w:tcPr>
          <w:p w14:paraId="216588BF" w14:textId="77777777" w:rsidR="00E751EC" w:rsidRDefault="00E751EC" w:rsidP="00A23F24">
            <w:pPr>
              <w:jc w:val="center"/>
              <w:rPr>
                <w:sz w:val="16"/>
                <w:szCs w:val="16"/>
              </w:rPr>
            </w:pPr>
            <w:r>
              <w:rPr>
                <w:sz w:val="16"/>
                <w:szCs w:val="16"/>
              </w:rPr>
              <w:t>2BhT</w:t>
            </w:r>
          </w:p>
          <w:p w14:paraId="4F3BD922" w14:textId="77777777" w:rsidR="00E751EC" w:rsidRPr="007300FC" w:rsidRDefault="00E751EC" w:rsidP="00A23F24">
            <w:pPr>
              <w:pStyle w:val="CETBodytext"/>
              <w:ind w:right="-1"/>
              <w:jc w:val="center"/>
              <w:rPr>
                <w:rFonts w:cs="Arial"/>
                <w:sz w:val="16"/>
                <w:szCs w:val="16"/>
              </w:rPr>
            </w:pPr>
            <w:r>
              <w:rPr>
                <w:sz w:val="16"/>
                <w:szCs w:val="16"/>
                <w:lang w:val="en-GB"/>
              </w:rPr>
              <w:t>(Inlet: 400K)</w:t>
            </w:r>
          </w:p>
        </w:tc>
        <w:tc>
          <w:tcPr>
            <w:tcW w:w="808" w:type="dxa"/>
            <w:tcBorders>
              <w:top w:val="single" w:sz="4" w:space="0" w:color="008000"/>
              <w:bottom w:val="single" w:sz="4" w:space="0" w:color="008000"/>
            </w:tcBorders>
            <w:shd w:val="clear" w:color="auto" w:fill="FFFFFF"/>
          </w:tcPr>
          <w:p w14:paraId="4605CDB6" w14:textId="77777777" w:rsidR="00E751EC" w:rsidRDefault="00E751EC" w:rsidP="00A23F24">
            <w:pPr>
              <w:jc w:val="center"/>
              <w:rPr>
                <w:sz w:val="16"/>
                <w:szCs w:val="16"/>
              </w:rPr>
            </w:pPr>
            <w:r>
              <w:rPr>
                <w:sz w:val="16"/>
                <w:szCs w:val="16"/>
              </w:rPr>
              <w:t>B-1101</w:t>
            </w:r>
          </w:p>
          <w:p w14:paraId="67B18938" w14:textId="77777777" w:rsidR="00E751EC" w:rsidRDefault="00E751EC" w:rsidP="00A23F24">
            <w:pPr>
              <w:jc w:val="center"/>
              <w:rPr>
                <w:sz w:val="16"/>
                <w:szCs w:val="16"/>
              </w:rPr>
            </w:pPr>
            <w:r>
              <w:rPr>
                <w:sz w:val="16"/>
                <w:szCs w:val="16"/>
              </w:rPr>
              <w:t>OR</w:t>
            </w:r>
          </w:p>
          <w:p w14:paraId="20EA1BD6" w14:textId="77777777" w:rsidR="00E751EC" w:rsidRDefault="00E751EC" w:rsidP="00A23F24">
            <w:pPr>
              <w:jc w:val="center"/>
              <w:rPr>
                <w:sz w:val="16"/>
                <w:szCs w:val="16"/>
              </w:rPr>
            </w:pPr>
            <w:r>
              <w:rPr>
                <w:sz w:val="16"/>
                <w:szCs w:val="16"/>
              </w:rPr>
              <w:t>FCV-5008</w:t>
            </w:r>
          </w:p>
          <w:p w14:paraId="503AA932" w14:textId="77777777" w:rsidR="00E751EC" w:rsidRDefault="00E751EC" w:rsidP="00A23F24">
            <w:pPr>
              <w:jc w:val="center"/>
              <w:rPr>
                <w:sz w:val="16"/>
                <w:szCs w:val="16"/>
              </w:rPr>
            </w:pPr>
            <w:r>
              <w:rPr>
                <w:sz w:val="16"/>
                <w:szCs w:val="16"/>
              </w:rPr>
              <w:t>OR</w:t>
            </w:r>
          </w:p>
          <w:p w14:paraId="7579D5CD" w14:textId="77777777" w:rsidR="00E751EC" w:rsidRDefault="00E751EC" w:rsidP="00A23F24">
            <w:pPr>
              <w:jc w:val="center"/>
              <w:rPr>
                <w:sz w:val="16"/>
                <w:szCs w:val="16"/>
              </w:rPr>
            </w:pPr>
            <w:r>
              <w:rPr>
                <w:sz w:val="16"/>
                <w:szCs w:val="16"/>
              </w:rPr>
              <w:t>FIC-5008</w:t>
            </w:r>
          </w:p>
          <w:p w14:paraId="5E0C163A" w14:textId="77777777" w:rsidR="00E751EC" w:rsidRDefault="00E751EC" w:rsidP="00A23F24">
            <w:pPr>
              <w:jc w:val="center"/>
              <w:rPr>
                <w:sz w:val="16"/>
                <w:szCs w:val="16"/>
              </w:rPr>
            </w:pPr>
            <w:r>
              <w:rPr>
                <w:sz w:val="16"/>
                <w:szCs w:val="16"/>
              </w:rPr>
              <w:t>OR</w:t>
            </w:r>
          </w:p>
          <w:p w14:paraId="10BD998C" w14:textId="77777777" w:rsidR="00E751EC" w:rsidRPr="007300FC" w:rsidRDefault="00E751EC" w:rsidP="00A23F24">
            <w:pPr>
              <w:jc w:val="center"/>
              <w:rPr>
                <w:rFonts w:cs="Arial"/>
                <w:sz w:val="16"/>
                <w:szCs w:val="16"/>
              </w:rPr>
            </w:pPr>
            <w:r>
              <w:rPr>
                <w:sz w:val="16"/>
                <w:szCs w:val="16"/>
              </w:rPr>
              <w:t>Human error</w:t>
            </w:r>
          </w:p>
        </w:tc>
        <w:tc>
          <w:tcPr>
            <w:tcW w:w="943" w:type="dxa"/>
            <w:tcBorders>
              <w:top w:val="single" w:sz="4" w:space="0" w:color="008000"/>
              <w:bottom w:val="single" w:sz="4" w:space="0" w:color="008000"/>
            </w:tcBorders>
            <w:shd w:val="clear" w:color="auto" w:fill="FFFFFF"/>
          </w:tcPr>
          <w:p w14:paraId="54B8479B" w14:textId="77777777" w:rsidR="00E751EC" w:rsidRDefault="00E751EC" w:rsidP="00A23F24">
            <w:pPr>
              <w:jc w:val="center"/>
              <w:rPr>
                <w:sz w:val="16"/>
                <w:szCs w:val="16"/>
              </w:rPr>
            </w:pPr>
            <w:r>
              <w:rPr>
                <w:sz w:val="16"/>
                <w:szCs w:val="16"/>
              </w:rPr>
              <w:t xml:space="preserve">Partial feed vaporization </w:t>
            </w:r>
          </w:p>
          <w:p w14:paraId="3C9FE48B" w14:textId="77777777" w:rsidR="00E751EC" w:rsidRPr="007300FC" w:rsidRDefault="00E751EC" w:rsidP="00A23F24">
            <w:pPr>
              <w:pStyle w:val="CETBodytext"/>
              <w:ind w:right="-1"/>
              <w:jc w:val="center"/>
              <w:rPr>
                <w:rFonts w:cs="Arial"/>
                <w:sz w:val="16"/>
                <w:szCs w:val="16"/>
              </w:rPr>
            </w:pPr>
          </w:p>
        </w:tc>
        <w:tc>
          <w:tcPr>
            <w:tcW w:w="1480" w:type="dxa"/>
            <w:tcBorders>
              <w:top w:val="single" w:sz="4" w:space="0" w:color="008000"/>
              <w:bottom w:val="single" w:sz="4" w:space="0" w:color="008000"/>
            </w:tcBorders>
            <w:shd w:val="clear" w:color="auto" w:fill="FFFFFF"/>
          </w:tcPr>
          <w:p w14:paraId="5D0F7D2A" w14:textId="77777777" w:rsidR="00E751EC" w:rsidRDefault="00E751EC" w:rsidP="00A23F24">
            <w:pPr>
              <w:jc w:val="center"/>
              <w:rPr>
                <w:sz w:val="16"/>
                <w:szCs w:val="16"/>
              </w:rPr>
            </w:pPr>
            <w:r>
              <w:rPr>
                <w:sz w:val="16"/>
                <w:szCs w:val="16"/>
              </w:rPr>
              <w:t xml:space="preserve">Partial feed vaporization </w:t>
            </w:r>
          </w:p>
          <w:p w14:paraId="364197D7" w14:textId="77777777" w:rsidR="00E751EC" w:rsidRDefault="00E751EC" w:rsidP="00A23F24">
            <w:pPr>
              <w:jc w:val="center"/>
              <w:rPr>
                <w:sz w:val="16"/>
                <w:szCs w:val="16"/>
              </w:rPr>
            </w:pPr>
          </w:p>
          <w:p w14:paraId="0D6AD5F2" w14:textId="77777777" w:rsidR="00E751EC" w:rsidRPr="007300FC" w:rsidRDefault="00E751EC" w:rsidP="00A23F24">
            <w:pPr>
              <w:pStyle w:val="CETBodytext"/>
              <w:ind w:right="-1"/>
              <w:jc w:val="center"/>
              <w:rPr>
                <w:rFonts w:cs="Arial"/>
                <w:sz w:val="16"/>
                <w:szCs w:val="16"/>
              </w:rPr>
            </w:pPr>
          </w:p>
        </w:tc>
        <w:tc>
          <w:tcPr>
            <w:tcW w:w="808" w:type="dxa"/>
            <w:tcBorders>
              <w:top w:val="single" w:sz="4" w:space="0" w:color="008000"/>
              <w:bottom w:val="single" w:sz="4" w:space="0" w:color="008000"/>
            </w:tcBorders>
            <w:shd w:val="clear" w:color="auto" w:fill="FFFFFF"/>
          </w:tcPr>
          <w:p w14:paraId="569E594A" w14:textId="77777777" w:rsidR="00E751EC" w:rsidRPr="007300FC" w:rsidRDefault="00E751EC" w:rsidP="00A23F24">
            <w:pPr>
              <w:pStyle w:val="CETBodytext"/>
              <w:ind w:right="-1"/>
              <w:jc w:val="center"/>
              <w:rPr>
                <w:rFonts w:cs="Arial"/>
                <w:sz w:val="16"/>
                <w:szCs w:val="16"/>
              </w:rPr>
            </w:pPr>
          </w:p>
        </w:tc>
        <w:tc>
          <w:tcPr>
            <w:tcW w:w="1078" w:type="dxa"/>
            <w:tcBorders>
              <w:top w:val="single" w:sz="4" w:space="0" w:color="008000"/>
              <w:bottom w:val="single" w:sz="4" w:space="0" w:color="008000"/>
              <w:right w:val="single" w:sz="12" w:space="0" w:color="FFFFFF" w:themeColor="background1"/>
            </w:tcBorders>
            <w:shd w:val="clear" w:color="auto" w:fill="FFFFFF"/>
          </w:tcPr>
          <w:p w14:paraId="13D44473" w14:textId="77777777" w:rsidR="00E751EC" w:rsidRPr="007300FC" w:rsidRDefault="00E751EC" w:rsidP="00A23F24">
            <w:pPr>
              <w:pStyle w:val="CETBodytext"/>
              <w:ind w:right="-1"/>
              <w:jc w:val="center"/>
              <w:rPr>
                <w:rFonts w:cs="Arial"/>
                <w:sz w:val="16"/>
                <w:szCs w:val="16"/>
              </w:rPr>
            </w:pPr>
          </w:p>
        </w:tc>
        <w:tc>
          <w:tcPr>
            <w:tcW w:w="807" w:type="dxa"/>
            <w:tcBorders>
              <w:top w:val="single" w:sz="4" w:space="0" w:color="008000"/>
              <w:left w:val="single" w:sz="12" w:space="0" w:color="FFFFFF" w:themeColor="background1"/>
              <w:bottom w:val="single" w:sz="4" w:space="0" w:color="008000"/>
            </w:tcBorders>
            <w:shd w:val="clear" w:color="auto" w:fill="FFFFFF"/>
          </w:tcPr>
          <w:p w14:paraId="5152BE14" w14:textId="77777777" w:rsidR="00E751EC" w:rsidRPr="007300FC" w:rsidRDefault="00E751EC" w:rsidP="00A23F24">
            <w:pPr>
              <w:pStyle w:val="CETBodytext"/>
              <w:ind w:right="-1"/>
              <w:jc w:val="center"/>
              <w:rPr>
                <w:rFonts w:cs="Arial"/>
                <w:sz w:val="16"/>
                <w:szCs w:val="16"/>
              </w:rPr>
            </w:pPr>
          </w:p>
        </w:tc>
        <w:tc>
          <w:tcPr>
            <w:tcW w:w="1079" w:type="dxa"/>
            <w:tcBorders>
              <w:top w:val="single" w:sz="4" w:space="0" w:color="008000"/>
              <w:bottom w:val="single" w:sz="4" w:space="0" w:color="008000"/>
            </w:tcBorders>
            <w:shd w:val="clear" w:color="auto" w:fill="FFFFFF"/>
          </w:tcPr>
          <w:p w14:paraId="6E52D7FC" w14:textId="77777777" w:rsidR="00E751EC" w:rsidRPr="007300FC" w:rsidRDefault="00E751EC" w:rsidP="00A23F24">
            <w:pPr>
              <w:pStyle w:val="CETBodytext"/>
              <w:ind w:right="-1"/>
              <w:jc w:val="center"/>
              <w:rPr>
                <w:rFonts w:cs="Arial"/>
                <w:sz w:val="16"/>
                <w:szCs w:val="16"/>
              </w:rPr>
            </w:pPr>
          </w:p>
        </w:tc>
        <w:tc>
          <w:tcPr>
            <w:tcW w:w="1075" w:type="dxa"/>
            <w:tcBorders>
              <w:top w:val="single" w:sz="4" w:space="0" w:color="008000"/>
              <w:bottom w:val="single" w:sz="4" w:space="0" w:color="008000"/>
            </w:tcBorders>
            <w:shd w:val="clear" w:color="auto" w:fill="FFFFFF"/>
          </w:tcPr>
          <w:p w14:paraId="7B34CCC3" w14:textId="77777777" w:rsidR="00E751EC" w:rsidRPr="007300FC" w:rsidRDefault="00E751EC" w:rsidP="00A23F24">
            <w:pPr>
              <w:pStyle w:val="CETBodytext"/>
              <w:ind w:right="-1"/>
              <w:jc w:val="center"/>
              <w:rPr>
                <w:rFonts w:cs="Arial"/>
                <w:sz w:val="16"/>
                <w:szCs w:val="16"/>
              </w:rPr>
            </w:pPr>
          </w:p>
        </w:tc>
      </w:tr>
      <w:tr w:rsidR="00E751EC" w:rsidRPr="000A035B" w14:paraId="0B0E93C2" w14:textId="77777777" w:rsidTr="00A23F24">
        <w:trPr>
          <w:trHeight w:val="593"/>
        </w:trPr>
        <w:tc>
          <w:tcPr>
            <w:tcW w:w="404" w:type="dxa"/>
            <w:tcBorders>
              <w:top w:val="single" w:sz="4" w:space="0" w:color="008000"/>
              <w:bottom w:val="single" w:sz="12" w:space="0" w:color="008000"/>
            </w:tcBorders>
            <w:shd w:val="clear" w:color="auto" w:fill="FFFFFF"/>
          </w:tcPr>
          <w:p w14:paraId="2A0ACBD0" w14:textId="77777777" w:rsidR="00E751EC" w:rsidRPr="007300FC" w:rsidRDefault="00E751EC" w:rsidP="00A23F24">
            <w:pPr>
              <w:pStyle w:val="CETBodytext"/>
              <w:ind w:right="-1"/>
              <w:jc w:val="center"/>
              <w:rPr>
                <w:rFonts w:cs="Arial"/>
                <w:sz w:val="16"/>
                <w:szCs w:val="16"/>
              </w:rPr>
            </w:pPr>
            <w:r>
              <w:rPr>
                <w:sz w:val="16"/>
                <w:szCs w:val="16"/>
                <w:lang w:val="en-GB"/>
              </w:rPr>
              <w:t>1.2</w:t>
            </w:r>
          </w:p>
        </w:tc>
        <w:tc>
          <w:tcPr>
            <w:tcW w:w="672" w:type="dxa"/>
            <w:tcBorders>
              <w:top w:val="single" w:sz="4" w:space="0" w:color="008000"/>
              <w:bottom w:val="single" w:sz="12" w:space="0" w:color="008000"/>
            </w:tcBorders>
            <w:shd w:val="clear" w:color="auto" w:fill="FFFFFF"/>
          </w:tcPr>
          <w:p w14:paraId="7B39AE72" w14:textId="77777777" w:rsidR="00E751EC" w:rsidRPr="007300FC" w:rsidRDefault="00E751EC" w:rsidP="00A23F24">
            <w:pPr>
              <w:pStyle w:val="CETBodytext"/>
              <w:ind w:right="-1"/>
              <w:jc w:val="center"/>
              <w:rPr>
                <w:rFonts w:cs="Arial"/>
                <w:sz w:val="16"/>
                <w:szCs w:val="16"/>
              </w:rPr>
            </w:pPr>
            <w:r>
              <w:rPr>
                <w:sz w:val="16"/>
                <w:szCs w:val="16"/>
                <w:lang w:val="en-GB"/>
              </w:rPr>
              <w:t>3AhL</w:t>
            </w:r>
          </w:p>
        </w:tc>
        <w:tc>
          <w:tcPr>
            <w:tcW w:w="808" w:type="dxa"/>
            <w:tcBorders>
              <w:top w:val="single" w:sz="4" w:space="0" w:color="008000"/>
              <w:bottom w:val="single" w:sz="12" w:space="0" w:color="008000"/>
            </w:tcBorders>
            <w:shd w:val="clear" w:color="auto" w:fill="FFFFFF"/>
          </w:tcPr>
          <w:p w14:paraId="6EE63AFB" w14:textId="77777777" w:rsidR="00E751EC" w:rsidRDefault="00E751EC" w:rsidP="00A23F24">
            <w:pPr>
              <w:jc w:val="center"/>
              <w:rPr>
                <w:sz w:val="16"/>
                <w:szCs w:val="16"/>
              </w:rPr>
            </w:pPr>
            <w:r>
              <w:rPr>
                <w:sz w:val="16"/>
                <w:szCs w:val="16"/>
              </w:rPr>
              <w:t>2BlT</w:t>
            </w:r>
          </w:p>
          <w:p w14:paraId="11719ADC" w14:textId="77777777" w:rsidR="00E751EC" w:rsidRDefault="00E751EC" w:rsidP="00A23F24">
            <w:pPr>
              <w:jc w:val="center"/>
              <w:rPr>
                <w:sz w:val="16"/>
                <w:szCs w:val="16"/>
              </w:rPr>
            </w:pPr>
            <w:r>
              <w:rPr>
                <w:sz w:val="16"/>
                <w:szCs w:val="16"/>
              </w:rPr>
              <w:t>OR</w:t>
            </w:r>
          </w:p>
          <w:p w14:paraId="4E4E9E25" w14:textId="77777777" w:rsidR="00E751EC" w:rsidRPr="00AD353A" w:rsidRDefault="00E751EC" w:rsidP="00A23F24">
            <w:pPr>
              <w:pStyle w:val="CETBodytext"/>
              <w:ind w:right="-1"/>
              <w:jc w:val="center"/>
              <w:rPr>
                <w:rFonts w:cs="Arial"/>
                <w:sz w:val="16"/>
                <w:szCs w:val="16"/>
              </w:rPr>
            </w:pPr>
            <w:r>
              <w:rPr>
                <w:sz w:val="16"/>
                <w:szCs w:val="16"/>
                <w:lang w:val="en-GB"/>
              </w:rPr>
              <w:t>J-1103</w:t>
            </w:r>
          </w:p>
        </w:tc>
        <w:tc>
          <w:tcPr>
            <w:tcW w:w="943" w:type="dxa"/>
            <w:tcBorders>
              <w:top w:val="single" w:sz="4" w:space="0" w:color="008000"/>
              <w:bottom w:val="single" w:sz="12" w:space="0" w:color="008000"/>
            </w:tcBorders>
            <w:shd w:val="clear" w:color="auto" w:fill="FFFFFF"/>
          </w:tcPr>
          <w:p w14:paraId="3915E26F" w14:textId="77777777" w:rsidR="00E751EC" w:rsidRDefault="00E751EC" w:rsidP="00A23F24">
            <w:pPr>
              <w:jc w:val="center"/>
              <w:rPr>
                <w:sz w:val="16"/>
                <w:szCs w:val="16"/>
              </w:rPr>
            </w:pPr>
            <w:r>
              <w:rPr>
                <w:sz w:val="16"/>
                <w:szCs w:val="16"/>
              </w:rPr>
              <w:t>3AhhL</w:t>
            </w:r>
          </w:p>
          <w:p w14:paraId="179C92DF" w14:textId="77777777" w:rsidR="00E751EC" w:rsidRPr="007300FC" w:rsidRDefault="00E751EC" w:rsidP="00A23F24">
            <w:pPr>
              <w:pStyle w:val="CETBodytext"/>
              <w:ind w:right="-1"/>
              <w:jc w:val="center"/>
              <w:rPr>
                <w:rFonts w:cs="Arial"/>
                <w:sz w:val="16"/>
                <w:szCs w:val="16"/>
              </w:rPr>
            </w:pPr>
          </w:p>
        </w:tc>
        <w:tc>
          <w:tcPr>
            <w:tcW w:w="1480" w:type="dxa"/>
            <w:tcBorders>
              <w:top w:val="single" w:sz="4" w:space="0" w:color="008000"/>
              <w:bottom w:val="single" w:sz="12" w:space="0" w:color="008000"/>
            </w:tcBorders>
            <w:shd w:val="clear" w:color="auto" w:fill="FFFFFF"/>
          </w:tcPr>
          <w:p w14:paraId="6CBB209E" w14:textId="77777777" w:rsidR="00E751EC" w:rsidRPr="007300FC" w:rsidRDefault="00E751EC" w:rsidP="00A23F24">
            <w:pPr>
              <w:pStyle w:val="CETBodytext"/>
              <w:ind w:right="-1"/>
              <w:jc w:val="center"/>
              <w:rPr>
                <w:rFonts w:cs="Arial"/>
                <w:sz w:val="16"/>
                <w:szCs w:val="16"/>
              </w:rPr>
            </w:pPr>
            <w:r>
              <w:rPr>
                <w:sz w:val="16"/>
                <w:szCs w:val="16"/>
                <w:lang w:val="en-GB"/>
              </w:rPr>
              <w:t>System restored automatically</w:t>
            </w:r>
          </w:p>
        </w:tc>
        <w:tc>
          <w:tcPr>
            <w:tcW w:w="808" w:type="dxa"/>
            <w:tcBorders>
              <w:top w:val="single" w:sz="4" w:space="0" w:color="008000"/>
              <w:bottom w:val="single" w:sz="12" w:space="0" w:color="008000"/>
            </w:tcBorders>
            <w:shd w:val="clear" w:color="auto" w:fill="FFFFFF"/>
          </w:tcPr>
          <w:p w14:paraId="61DF42A9" w14:textId="77777777" w:rsidR="00E751EC" w:rsidRPr="007300FC" w:rsidRDefault="00E751EC" w:rsidP="00A23F24">
            <w:pPr>
              <w:pStyle w:val="CETBodytext"/>
              <w:ind w:right="-1"/>
              <w:jc w:val="center"/>
              <w:rPr>
                <w:rFonts w:cs="Arial"/>
                <w:sz w:val="16"/>
                <w:szCs w:val="16"/>
              </w:rPr>
            </w:pPr>
            <w:r>
              <w:rPr>
                <w:sz w:val="16"/>
                <w:szCs w:val="16"/>
                <w:lang w:val="en-GB"/>
              </w:rPr>
              <w:t>LAH-5102</w:t>
            </w:r>
          </w:p>
        </w:tc>
        <w:tc>
          <w:tcPr>
            <w:tcW w:w="1078" w:type="dxa"/>
            <w:tcBorders>
              <w:top w:val="single" w:sz="4" w:space="0" w:color="008000"/>
              <w:bottom w:val="single" w:sz="12" w:space="0" w:color="008000"/>
              <w:right w:val="single" w:sz="12" w:space="0" w:color="FFFFFF" w:themeColor="background1"/>
            </w:tcBorders>
            <w:shd w:val="clear" w:color="auto" w:fill="FFFFFF"/>
          </w:tcPr>
          <w:p w14:paraId="4D0D3193" w14:textId="77777777" w:rsidR="00E751EC" w:rsidRPr="007300FC" w:rsidRDefault="00E751EC" w:rsidP="00A23F24">
            <w:pPr>
              <w:pStyle w:val="CETBodytext"/>
              <w:ind w:right="-1"/>
              <w:jc w:val="center"/>
              <w:rPr>
                <w:rFonts w:cs="Arial"/>
                <w:sz w:val="16"/>
                <w:szCs w:val="16"/>
              </w:rPr>
            </w:pPr>
          </w:p>
        </w:tc>
        <w:tc>
          <w:tcPr>
            <w:tcW w:w="807" w:type="dxa"/>
            <w:tcBorders>
              <w:top w:val="single" w:sz="4" w:space="0" w:color="008000"/>
              <w:left w:val="single" w:sz="12" w:space="0" w:color="FFFFFF" w:themeColor="background1"/>
              <w:bottom w:val="single" w:sz="12" w:space="0" w:color="008000"/>
            </w:tcBorders>
            <w:shd w:val="clear" w:color="auto" w:fill="FFFFFF"/>
          </w:tcPr>
          <w:p w14:paraId="0E33A8A0" w14:textId="77777777" w:rsidR="00E751EC" w:rsidRPr="007300FC" w:rsidRDefault="00E751EC" w:rsidP="00A23F24">
            <w:pPr>
              <w:pStyle w:val="CETBodytext"/>
              <w:ind w:right="-1"/>
              <w:jc w:val="center"/>
              <w:rPr>
                <w:rFonts w:cs="Arial"/>
                <w:sz w:val="16"/>
                <w:szCs w:val="16"/>
              </w:rPr>
            </w:pPr>
            <w:r>
              <w:rPr>
                <w:sz w:val="16"/>
                <w:szCs w:val="16"/>
                <w:lang w:val="en-GB"/>
              </w:rPr>
              <w:t>LCV-5100</w:t>
            </w:r>
          </w:p>
        </w:tc>
        <w:tc>
          <w:tcPr>
            <w:tcW w:w="1079" w:type="dxa"/>
            <w:tcBorders>
              <w:top w:val="single" w:sz="4" w:space="0" w:color="008000"/>
              <w:bottom w:val="single" w:sz="12" w:space="0" w:color="008000"/>
            </w:tcBorders>
            <w:shd w:val="clear" w:color="auto" w:fill="FFFFFF"/>
          </w:tcPr>
          <w:p w14:paraId="6ED8BBE4" w14:textId="77777777" w:rsidR="00E751EC" w:rsidRPr="007300FC" w:rsidRDefault="00E751EC" w:rsidP="00A23F24">
            <w:pPr>
              <w:pStyle w:val="CETBodytext"/>
              <w:ind w:right="-1"/>
              <w:jc w:val="center"/>
              <w:rPr>
                <w:rFonts w:cs="Arial"/>
                <w:sz w:val="16"/>
                <w:szCs w:val="16"/>
              </w:rPr>
            </w:pPr>
          </w:p>
        </w:tc>
        <w:tc>
          <w:tcPr>
            <w:tcW w:w="1075" w:type="dxa"/>
            <w:tcBorders>
              <w:top w:val="single" w:sz="4" w:space="0" w:color="008000"/>
              <w:bottom w:val="single" w:sz="12" w:space="0" w:color="008000"/>
            </w:tcBorders>
            <w:shd w:val="clear" w:color="auto" w:fill="FFFFFF"/>
          </w:tcPr>
          <w:p w14:paraId="0BAD1BC2" w14:textId="77777777" w:rsidR="00E751EC" w:rsidRPr="007300FC" w:rsidRDefault="00E751EC" w:rsidP="00A23F24">
            <w:pPr>
              <w:pStyle w:val="CETBodytext"/>
              <w:ind w:right="-1"/>
              <w:jc w:val="center"/>
              <w:rPr>
                <w:rFonts w:cs="Arial"/>
                <w:sz w:val="16"/>
                <w:szCs w:val="16"/>
              </w:rPr>
            </w:pPr>
          </w:p>
        </w:tc>
      </w:tr>
      <w:tr w:rsidR="00E751EC" w:rsidRPr="000A035B" w14:paraId="2A197406" w14:textId="77777777" w:rsidTr="00A23F24">
        <w:trPr>
          <w:trHeight w:val="1140"/>
        </w:trPr>
        <w:tc>
          <w:tcPr>
            <w:tcW w:w="404" w:type="dxa"/>
            <w:tcBorders>
              <w:top w:val="single" w:sz="4" w:space="0" w:color="008000"/>
              <w:bottom w:val="single" w:sz="12" w:space="0" w:color="008000"/>
            </w:tcBorders>
            <w:shd w:val="clear" w:color="auto" w:fill="FFFFFF"/>
          </w:tcPr>
          <w:p w14:paraId="49472862" w14:textId="77777777" w:rsidR="00E751EC" w:rsidRDefault="00E751EC" w:rsidP="00A23F24">
            <w:pPr>
              <w:pStyle w:val="CETBodytext"/>
              <w:ind w:right="-1"/>
              <w:jc w:val="center"/>
              <w:rPr>
                <w:sz w:val="16"/>
                <w:szCs w:val="16"/>
                <w:lang w:val="en-GB"/>
              </w:rPr>
            </w:pPr>
            <w:r>
              <w:rPr>
                <w:sz w:val="16"/>
                <w:szCs w:val="16"/>
                <w:lang w:val="en-GB"/>
              </w:rPr>
              <w:t>1.3</w:t>
            </w:r>
          </w:p>
        </w:tc>
        <w:tc>
          <w:tcPr>
            <w:tcW w:w="672" w:type="dxa"/>
            <w:tcBorders>
              <w:top w:val="single" w:sz="4" w:space="0" w:color="008000"/>
              <w:bottom w:val="single" w:sz="12" w:space="0" w:color="008000"/>
            </w:tcBorders>
            <w:shd w:val="clear" w:color="auto" w:fill="FFFFFF"/>
          </w:tcPr>
          <w:p w14:paraId="49E50633" w14:textId="77777777" w:rsidR="00E751EC" w:rsidRDefault="00E751EC" w:rsidP="00A23F24">
            <w:pPr>
              <w:pStyle w:val="CETBodytext"/>
              <w:ind w:right="-1"/>
              <w:jc w:val="center"/>
              <w:rPr>
                <w:sz w:val="16"/>
                <w:szCs w:val="16"/>
                <w:lang w:val="en-GB"/>
              </w:rPr>
            </w:pPr>
            <w:r>
              <w:rPr>
                <w:sz w:val="16"/>
                <w:szCs w:val="16"/>
                <w:lang w:val="en-GB"/>
              </w:rPr>
              <w:t>3AhhL</w:t>
            </w:r>
          </w:p>
        </w:tc>
        <w:tc>
          <w:tcPr>
            <w:tcW w:w="808" w:type="dxa"/>
            <w:tcBorders>
              <w:top w:val="single" w:sz="4" w:space="0" w:color="008000"/>
              <w:bottom w:val="single" w:sz="12" w:space="0" w:color="008000"/>
            </w:tcBorders>
            <w:shd w:val="clear" w:color="auto" w:fill="FFFFFF"/>
          </w:tcPr>
          <w:p w14:paraId="722BC11E" w14:textId="77777777" w:rsidR="00E751EC" w:rsidRDefault="00E751EC" w:rsidP="00A23F24">
            <w:pPr>
              <w:jc w:val="center"/>
              <w:rPr>
                <w:sz w:val="16"/>
                <w:szCs w:val="16"/>
              </w:rPr>
            </w:pPr>
            <w:r>
              <w:rPr>
                <w:sz w:val="16"/>
                <w:szCs w:val="16"/>
              </w:rPr>
              <w:t>3AhL</w:t>
            </w:r>
          </w:p>
        </w:tc>
        <w:tc>
          <w:tcPr>
            <w:tcW w:w="943" w:type="dxa"/>
            <w:tcBorders>
              <w:top w:val="single" w:sz="4" w:space="0" w:color="008000"/>
              <w:bottom w:val="single" w:sz="12" w:space="0" w:color="008000"/>
            </w:tcBorders>
            <w:shd w:val="clear" w:color="auto" w:fill="FFFFFF"/>
          </w:tcPr>
          <w:p w14:paraId="139CA000" w14:textId="77777777" w:rsidR="00E751EC" w:rsidRDefault="00E751EC" w:rsidP="00A23F24">
            <w:pPr>
              <w:jc w:val="center"/>
              <w:rPr>
                <w:sz w:val="16"/>
                <w:szCs w:val="16"/>
              </w:rPr>
            </w:pPr>
            <w:r>
              <w:rPr>
                <w:sz w:val="16"/>
                <w:szCs w:val="16"/>
              </w:rPr>
              <w:t xml:space="preserve">Column flooding </w:t>
            </w:r>
          </w:p>
          <w:p w14:paraId="7AB2DC77" w14:textId="77777777" w:rsidR="00E751EC" w:rsidRDefault="00E751EC" w:rsidP="00A23F24">
            <w:pPr>
              <w:jc w:val="center"/>
              <w:rPr>
                <w:sz w:val="16"/>
                <w:szCs w:val="16"/>
              </w:rPr>
            </w:pPr>
            <w:r>
              <w:rPr>
                <w:sz w:val="16"/>
                <w:szCs w:val="16"/>
              </w:rPr>
              <w:t xml:space="preserve">AND </w:t>
            </w:r>
          </w:p>
          <w:p w14:paraId="3AC0B179" w14:textId="77777777" w:rsidR="00E751EC" w:rsidRDefault="00E751EC" w:rsidP="00A23F24">
            <w:pPr>
              <w:jc w:val="center"/>
              <w:rPr>
                <w:sz w:val="16"/>
                <w:szCs w:val="16"/>
              </w:rPr>
            </w:pPr>
            <w:r>
              <w:rPr>
                <w:sz w:val="16"/>
                <w:szCs w:val="16"/>
              </w:rPr>
              <w:t>3AhP</w:t>
            </w:r>
          </w:p>
          <w:p w14:paraId="0D654CB2" w14:textId="77777777" w:rsidR="00E751EC" w:rsidRDefault="00E751EC" w:rsidP="00A23F24">
            <w:pPr>
              <w:jc w:val="center"/>
              <w:rPr>
                <w:sz w:val="16"/>
                <w:szCs w:val="16"/>
              </w:rPr>
            </w:pPr>
            <w:r>
              <w:rPr>
                <w:sz w:val="16"/>
                <w:szCs w:val="16"/>
              </w:rPr>
              <w:t xml:space="preserve">AND </w:t>
            </w:r>
          </w:p>
          <w:p w14:paraId="023C050F" w14:textId="77777777" w:rsidR="00E751EC" w:rsidRDefault="00E751EC" w:rsidP="00A23F24">
            <w:pPr>
              <w:jc w:val="center"/>
              <w:rPr>
                <w:sz w:val="16"/>
                <w:szCs w:val="16"/>
              </w:rPr>
            </w:pPr>
            <w:r>
              <w:rPr>
                <w:sz w:val="16"/>
                <w:szCs w:val="16"/>
              </w:rPr>
              <w:t>3BhP</w:t>
            </w:r>
          </w:p>
        </w:tc>
        <w:tc>
          <w:tcPr>
            <w:tcW w:w="1480" w:type="dxa"/>
            <w:tcBorders>
              <w:top w:val="single" w:sz="4" w:space="0" w:color="008000"/>
              <w:bottom w:val="single" w:sz="12" w:space="0" w:color="008000"/>
            </w:tcBorders>
            <w:shd w:val="clear" w:color="auto" w:fill="FFFFFF"/>
          </w:tcPr>
          <w:p w14:paraId="539AD35C" w14:textId="77777777" w:rsidR="00E751EC" w:rsidRDefault="00E751EC" w:rsidP="00A23F24">
            <w:pPr>
              <w:pStyle w:val="CETBodytext"/>
              <w:ind w:right="-1"/>
              <w:jc w:val="center"/>
              <w:rPr>
                <w:sz w:val="16"/>
                <w:szCs w:val="16"/>
                <w:lang w:val="en-GB"/>
              </w:rPr>
            </w:pPr>
            <w:r>
              <w:rPr>
                <w:sz w:val="16"/>
                <w:szCs w:val="16"/>
                <w:lang w:val="en-GB"/>
              </w:rPr>
              <w:t>Plant shutdown</w:t>
            </w:r>
          </w:p>
        </w:tc>
        <w:tc>
          <w:tcPr>
            <w:tcW w:w="808" w:type="dxa"/>
            <w:tcBorders>
              <w:top w:val="single" w:sz="4" w:space="0" w:color="008000"/>
              <w:bottom w:val="single" w:sz="12" w:space="0" w:color="008000"/>
            </w:tcBorders>
            <w:shd w:val="clear" w:color="auto" w:fill="FFFFFF"/>
          </w:tcPr>
          <w:p w14:paraId="75AB5221" w14:textId="77777777" w:rsidR="00E751EC" w:rsidRDefault="00E751EC" w:rsidP="00A23F24">
            <w:pPr>
              <w:jc w:val="center"/>
              <w:rPr>
                <w:sz w:val="16"/>
                <w:szCs w:val="16"/>
              </w:rPr>
            </w:pPr>
            <w:r>
              <w:rPr>
                <w:sz w:val="16"/>
                <w:szCs w:val="16"/>
              </w:rPr>
              <w:t>LAHH-5102</w:t>
            </w:r>
          </w:p>
          <w:p w14:paraId="487AA76F" w14:textId="77777777" w:rsidR="00E751EC" w:rsidRDefault="00E751EC" w:rsidP="00A23F24">
            <w:pPr>
              <w:pStyle w:val="CETBodytext"/>
              <w:ind w:right="-1"/>
              <w:jc w:val="center"/>
              <w:rPr>
                <w:sz w:val="16"/>
                <w:szCs w:val="16"/>
                <w:lang w:val="en-GB"/>
              </w:rPr>
            </w:pPr>
          </w:p>
        </w:tc>
        <w:tc>
          <w:tcPr>
            <w:tcW w:w="1078" w:type="dxa"/>
            <w:tcBorders>
              <w:top w:val="single" w:sz="4" w:space="0" w:color="008000"/>
              <w:bottom w:val="single" w:sz="12" w:space="0" w:color="008000"/>
              <w:right w:val="single" w:sz="12" w:space="0" w:color="FFFFFF" w:themeColor="background1"/>
            </w:tcBorders>
            <w:shd w:val="clear" w:color="auto" w:fill="FFFFFF"/>
          </w:tcPr>
          <w:p w14:paraId="24763973" w14:textId="77777777" w:rsidR="00E751EC" w:rsidRPr="007300FC" w:rsidRDefault="00E751EC" w:rsidP="00A23F24">
            <w:pPr>
              <w:pStyle w:val="CETBodytext"/>
              <w:ind w:right="-1"/>
              <w:jc w:val="center"/>
              <w:rPr>
                <w:rFonts w:cs="Arial"/>
                <w:sz w:val="16"/>
                <w:szCs w:val="16"/>
              </w:rPr>
            </w:pPr>
            <w:r>
              <w:rPr>
                <w:sz w:val="16"/>
                <w:szCs w:val="16"/>
                <w:lang w:val="en-GB"/>
              </w:rPr>
              <w:t>Operators call for assistant</w:t>
            </w:r>
          </w:p>
        </w:tc>
        <w:tc>
          <w:tcPr>
            <w:tcW w:w="807" w:type="dxa"/>
            <w:tcBorders>
              <w:top w:val="single" w:sz="4" w:space="0" w:color="008000"/>
              <w:left w:val="single" w:sz="12" w:space="0" w:color="FFFFFF" w:themeColor="background1"/>
              <w:bottom w:val="single" w:sz="12" w:space="0" w:color="008000"/>
            </w:tcBorders>
            <w:shd w:val="clear" w:color="auto" w:fill="FFFFFF"/>
          </w:tcPr>
          <w:p w14:paraId="6686A85F" w14:textId="77777777" w:rsidR="00E751EC" w:rsidRDefault="00E751EC" w:rsidP="00A23F24">
            <w:pPr>
              <w:pStyle w:val="CETBodytext"/>
              <w:ind w:right="-1"/>
              <w:jc w:val="center"/>
              <w:rPr>
                <w:sz w:val="16"/>
                <w:szCs w:val="16"/>
                <w:lang w:val="en-GB"/>
              </w:rPr>
            </w:pPr>
          </w:p>
        </w:tc>
        <w:tc>
          <w:tcPr>
            <w:tcW w:w="1079" w:type="dxa"/>
            <w:tcBorders>
              <w:top w:val="single" w:sz="4" w:space="0" w:color="008000"/>
              <w:bottom w:val="single" w:sz="12" w:space="0" w:color="008000"/>
            </w:tcBorders>
            <w:shd w:val="clear" w:color="auto" w:fill="FFFFFF"/>
          </w:tcPr>
          <w:p w14:paraId="56F63C2C" w14:textId="77777777" w:rsidR="00E751EC" w:rsidRPr="007300FC" w:rsidRDefault="00E751EC" w:rsidP="00A23F24">
            <w:pPr>
              <w:pStyle w:val="CETBodytext"/>
              <w:ind w:right="-1"/>
              <w:jc w:val="center"/>
              <w:rPr>
                <w:rFonts w:cs="Arial"/>
                <w:sz w:val="16"/>
                <w:szCs w:val="16"/>
              </w:rPr>
            </w:pPr>
            <w:r>
              <w:rPr>
                <w:sz w:val="16"/>
                <w:szCs w:val="16"/>
                <w:lang w:val="en-GB"/>
              </w:rPr>
              <w:t xml:space="preserve">There not any device for check the actual level above </w:t>
            </w:r>
          </w:p>
        </w:tc>
        <w:tc>
          <w:tcPr>
            <w:tcW w:w="1075" w:type="dxa"/>
            <w:tcBorders>
              <w:top w:val="single" w:sz="4" w:space="0" w:color="008000"/>
              <w:bottom w:val="single" w:sz="12" w:space="0" w:color="008000"/>
            </w:tcBorders>
            <w:shd w:val="clear" w:color="auto" w:fill="FFFFFF"/>
          </w:tcPr>
          <w:p w14:paraId="3F6F40E5" w14:textId="77777777" w:rsidR="00E751EC" w:rsidRPr="007300FC" w:rsidRDefault="00E751EC" w:rsidP="00A23F24">
            <w:pPr>
              <w:pStyle w:val="CETBodytext"/>
              <w:ind w:right="-1"/>
              <w:jc w:val="center"/>
              <w:rPr>
                <w:rFonts w:cs="Arial"/>
                <w:sz w:val="16"/>
                <w:szCs w:val="16"/>
              </w:rPr>
            </w:pPr>
            <w:r>
              <w:rPr>
                <w:sz w:val="16"/>
                <w:szCs w:val="16"/>
                <w:lang w:val="en-GB"/>
              </w:rPr>
              <w:t>TE1</w:t>
            </w:r>
          </w:p>
        </w:tc>
      </w:tr>
      <w:tr w:rsidR="00E751EC" w:rsidRPr="000A035B" w14:paraId="028C949A" w14:textId="77777777" w:rsidTr="00A23F24">
        <w:trPr>
          <w:trHeight w:val="1356"/>
        </w:trPr>
        <w:tc>
          <w:tcPr>
            <w:tcW w:w="404" w:type="dxa"/>
            <w:tcBorders>
              <w:top w:val="single" w:sz="4" w:space="0" w:color="008000"/>
              <w:bottom w:val="single" w:sz="12" w:space="0" w:color="008000"/>
            </w:tcBorders>
            <w:shd w:val="clear" w:color="auto" w:fill="FFFFFF"/>
          </w:tcPr>
          <w:p w14:paraId="2D84D40F" w14:textId="77777777" w:rsidR="00E751EC" w:rsidRDefault="00E751EC" w:rsidP="00A23F24">
            <w:pPr>
              <w:pStyle w:val="CETBodytext"/>
              <w:ind w:right="-1"/>
              <w:jc w:val="center"/>
              <w:rPr>
                <w:sz w:val="16"/>
                <w:szCs w:val="16"/>
                <w:lang w:val="en-GB"/>
              </w:rPr>
            </w:pPr>
            <w:r>
              <w:rPr>
                <w:sz w:val="16"/>
                <w:szCs w:val="16"/>
                <w:lang w:val="en-GB"/>
              </w:rPr>
              <w:t>1.4</w:t>
            </w:r>
          </w:p>
        </w:tc>
        <w:tc>
          <w:tcPr>
            <w:tcW w:w="672" w:type="dxa"/>
            <w:tcBorders>
              <w:top w:val="single" w:sz="4" w:space="0" w:color="008000"/>
              <w:bottom w:val="single" w:sz="12" w:space="0" w:color="008000"/>
            </w:tcBorders>
            <w:shd w:val="clear" w:color="auto" w:fill="FFFFFF"/>
          </w:tcPr>
          <w:p w14:paraId="5BC82109" w14:textId="77777777" w:rsidR="00E751EC" w:rsidRDefault="00E751EC" w:rsidP="00A23F24">
            <w:pPr>
              <w:pStyle w:val="CETBodytext"/>
              <w:ind w:right="-1"/>
              <w:jc w:val="center"/>
              <w:rPr>
                <w:sz w:val="16"/>
                <w:szCs w:val="16"/>
                <w:lang w:val="en-GB"/>
              </w:rPr>
            </w:pPr>
            <w:r>
              <w:rPr>
                <w:sz w:val="16"/>
                <w:szCs w:val="16"/>
                <w:lang w:val="en-GB"/>
              </w:rPr>
              <w:t>3AhP</w:t>
            </w:r>
          </w:p>
        </w:tc>
        <w:tc>
          <w:tcPr>
            <w:tcW w:w="808" w:type="dxa"/>
            <w:tcBorders>
              <w:top w:val="single" w:sz="4" w:space="0" w:color="008000"/>
              <w:bottom w:val="single" w:sz="12" w:space="0" w:color="008000"/>
            </w:tcBorders>
            <w:shd w:val="clear" w:color="auto" w:fill="FFFFFF"/>
          </w:tcPr>
          <w:p w14:paraId="27A82B17" w14:textId="77777777" w:rsidR="00E751EC" w:rsidRDefault="00E751EC" w:rsidP="00A23F24">
            <w:pPr>
              <w:jc w:val="center"/>
              <w:rPr>
                <w:sz w:val="16"/>
                <w:szCs w:val="16"/>
              </w:rPr>
            </w:pPr>
            <w:r>
              <w:rPr>
                <w:sz w:val="16"/>
                <w:szCs w:val="16"/>
              </w:rPr>
              <w:t>3AhhL</w:t>
            </w:r>
          </w:p>
          <w:p w14:paraId="7989DC81" w14:textId="77777777" w:rsidR="00E751EC" w:rsidRDefault="00E751EC" w:rsidP="00A23F24">
            <w:pPr>
              <w:jc w:val="center"/>
              <w:rPr>
                <w:sz w:val="16"/>
                <w:szCs w:val="16"/>
              </w:rPr>
            </w:pPr>
            <w:r>
              <w:rPr>
                <w:sz w:val="16"/>
                <w:szCs w:val="16"/>
              </w:rPr>
              <w:t>OR</w:t>
            </w:r>
          </w:p>
          <w:p w14:paraId="38DD482F" w14:textId="77777777" w:rsidR="00E751EC" w:rsidRDefault="00E751EC" w:rsidP="00A23F24">
            <w:pPr>
              <w:jc w:val="center"/>
              <w:rPr>
                <w:sz w:val="16"/>
                <w:szCs w:val="16"/>
              </w:rPr>
            </w:pPr>
            <w:r>
              <w:rPr>
                <w:sz w:val="16"/>
                <w:szCs w:val="16"/>
              </w:rPr>
              <w:t>CA-1101</w:t>
            </w:r>
          </w:p>
          <w:p w14:paraId="1C270EB7" w14:textId="77777777" w:rsidR="00E751EC" w:rsidRDefault="00E751EC" w:rsidP="00A23F24">
            <w:pPr>
              <w:jc w:val="center"/>
              <w:rPr>
                <w:sz w:val="16"/>
                <w:szCs w:val="16"/>
              </w:rPr>
            </w:pPr>
            <w:r>
              <w:rPr>
                <w:sz w:val="16"/>
                <w:szCs w:val="16"/>
              </w:rPr>
              <w:t>OR</w:t>
            </w:r>
          </w:p>
          <w:p w14:paraId="216C3B94" w14:textId="77777777" w:rsidR="00E751EC" w:rsidRDefault="00E751EC" w:rsidP="00A23F24">
            <w:pPr>
              <w:jc w:val="center"/>
              <w:rPr>
                <w:sz w:val="16"/>
                <w:szCs w:val="16"/>
              </w:rPr>
            </w:pPr>
            <w:r>
              <w:rPr>
                <w:sz w:val="16"/>
                <w:szCs w:val="16"/>
              </w:rPr>
              <w:t>J-1102</w:t>
            </w:r>
          </w:p>
          <w:p w14:paraId="50365FFA" w14:textId="77777777" w:rsidR="00E751EC" w:rsidRDefault="00E751EC" w:rsidP="00A23F24">
            <w:pPr>
              <w:jc w:val="center"/>
              <w:rPr>
                <w:sz w:val="16"/>
                <w:szCs w:val="16"/>
              </w:rPr>
            </w:pPr>
            <w:r>
              <w:rPr>
                <w:sz w:val="16"/>
                <w:szCs w:val="16"/>
              </w:rPr>
              <w:t>OR</w:t>
            </w:r>
          </w:p>
          <w:p w14:paraId="510CD109" w14:textId="77777777" w:rsidR="00E751EC" w:rsidRDefault="00E751EC" w:rsidP="00A23F24">
            <w:pPr>
              <w:jc w:val="center"/>
              <w:rPr>
                <w:sz w:val="16"/>
                <w:szCs w:val="16"/>
              </w:rPr>
            </w:pPr>
            <w:r>
              <w:rPr>
                <w:sz w:val="16"/>
                <w:szCs w:val="16"/>
              </w:rPr>
              <w:t xml:space="preserve">FCV-5106 </w:t>
            </w:r>
          </w:p>
        </w:tc>
        <w:tc>
          <w:tcPr>
            <w:tcW w:w="943" w:type="dxa"/>
            <w:tcBorders>
              <w:top w:val="single" w:sz="4" w:space="0" w:color="008000"/>
              <w:bottom w:val="single" w:sz="12" w:space="0" w:color="008000"/>
            </w:tcBorders>
            <w:shd w:val="clear" w:color="auto" w:fill="FFFFFF"/>
          </w:tcPr>
          <w:p w14:paraId="73BC3097" w14:textId="77777777" w:rsidR="00E751EC" w:rsidRDefault="00E751EC" w:rsidP="00A23F24">
            <w:pPr>
              <w:jc w:val="center"/>
              <w:rPr>
                <w:sz w:val="16"/>
                <w:szCs w:val="16"/>
              </w:rPr>
            </w:pPr>
            <w:r>
              <w:rPr>
                <w:sz w:val="16"/>
                <w:szCs w:val="16"/>
              </w:rPr>
              <w:t>3AhhP</w:t>
            </w:r>
          </w:p>
        </w:tc>
        <w:tc>
          <w:tcPr>
            <w:tcW w:w="1480" w:type="dxa"/>
            <w:tcBorders>
              <w:top w:val="single" w:sz="4" w:space="0" w:color="008000"/>
              <w:bottom w:val="single" w:sz="12" w:space="0" w:color="008000"/>
            </w:tcBorders>
            <w:shd w:val="clear" w:color="auto" w:fill="FFFFFF"/>
          </w:tcPr>
          <w:p w14:paraId="15A10765" w14:textId="77777777" w:rsidR="00E751EC" w:rsidRDefault="00E751EC" w:rsidP="00A23F24">
            <w:pPr>
              <w:pStyle w:val="CETBodytext"/>
              <w:ind w:right="-1"/>
              <w:jc w:val="center"/>
              <w:rPr>
                <w:sz w:val="16"/>
                <w:szCs w:val="16"/>
                <w:lang w:val="en-GB"/>
              </w:rPr>
            </w:pPr>
            <w:r>
              <w:rPr>
                <w:sz w:val="16"/>
                <w:szCs w:val="16"/>
                <w:lang w:val="en-GB"/>
              </w:rPr>
              <w:t>Pressure increases inside F-20</w:t>
            </w:r>
          </w:p>
        </w:tc>
        <w:tc>
          <w:tcPr>
            <w:tcW w:w="808" w:type="dxa"/>
            <w:tcBorders>
              <w:top w:val="single" w:sz="4" w:space="0" w:color="008000"/>
              <w:bottom w:val="single" w:sz="12" w:space="0" w:color="008000"/>
            </w:tcBorders>
            <w:shd w:val="clear" w:color="auto" w:fill="FFFFFF"/>
          </w:tcPr>
          <w:p w14:paraId="5DA56EF4" w14:textId="77777777" w:rsidR="00E751EC" w:rsidRDefault="00E751EC" w:rsidP="00A23F24">
            <w:pPr>
              <w:jc w:val="center"/>
              <w:rPr>
                <w:sz w:val="16"/>
                <w:szCs w:val="16"/>
              </w:rPr>
            </w:pPr>
          </w:p>
        </w:tc>
        <w:tc>
          <w:tcPr>
            <w:tcW w:w="1078" w:type="dxa"/>
            <w:tcBorders>
              <w:top w:val="single" w:sz="4" w:space="0" w:color="008000"/>
              <w:bottom w:val="single" w:sz="12" w:space="0" w:color="008000"/>
              <w:right w:val="single" w:sz="12" w:space="0" w:color="FFFFFF" w:themeColor="background1"/>
            </w:tcBorders>
            <w:shd w:val="clear" w:color="auto" w:fill="FFFFFF"/>
          </w:tcPr>
          <w:p w14:paraId="2E9E6880" w14:textId="77777777" w:rsidR="00E751EC" w:rsidRDefault="00E751EC" w:rsidP="00A23F24">
            <w:pPr>
              <w:pStyle w:val="CETBodytext"/>
              <w:ind w:right="-1"/>
              <w:jc w:val="center"/>
              <w:rPr>
                <w:sz w:val="16"/>
                <w:szCs w:val="16"/>
                <w:lang w:val="en-GB"/>
              </w:rPr>
            </w:pPr>
            <w:r>
              <w:rPr>
                <w:sz w:val="16"/>
                <w:szCs w:val="16"/>
                <w:lang w:val="en-GB"/>
              </w:rPr>
              <w:t>The operator open PCV-5002</w:t>
            </w:r>
          </w:p>
        </w:tc>
        <w:tc>
          <w:tcPr>
            <w:tcW w:w="807" w:type="dxa"/>
            <w:tcBorders>
              <w:top w:val="single" w:sz="4" w:space="0" w:color="008000"/>
              <w:left w:val="single" w:sz="12" w:space="0" w:color="FFFFFF" w:themeColor="background1"/>
              <w:bottom w:val="single" w:sz="12" w:space="0" w:color="008000"/>
            </w:tcBorders>
            <w:shd w:val="clear" w:color="auto" w:fill="FFFFFF"/>
          </w:tcPr>
          <w:p w14:paraId="0E1BB285" w14:textId="77777777" w:rsidR="00E751EC" w:rsidRDefault="00E751EC" w:rsidP="00A23F24">
            <w:pPr>
              <w:pStyle w:val="CETBodytext"/>
              <w:ind w:right="-1"/>
              <w:jc w:val="center"/>
              <w:rPr>
                <w:sz w:val="16"/>
                <w:szCs w:val="16"/>
                <w:lang w:val="en-GB"/>
              </w:rPr>
            </w:pPr>
          </w:p>
        </w:tc>
        <w:tc>
          <w:tcPr>
            <w:tcW w:w="1079" w:type="dxa"/>
            <w:tcBorders>
              <w:top w:val="single" w:sz="4" w:space="0" w:color="008000"/>
              <w:bottom w:val="single" w:sz="12" w:space="0" w:color="008000"/>
            </w:tcBorders>
            <w:shd w:val="clear" w:color="auto" w:fill="FFFFFF"/>
          </w:tcPr>
          <w:p w14:paraId="579C5EBF" w14:textId="77777777" w:rsidR="00E751EC" w:rsidRPr="007300FC" w:rsidRDefault="00E751EC" w:rsidP="00A23F24">
            <w:pPr>
              <w:pStyle w:val="CETBodytext"/>
              <w:ind w:right="-1"/>
              <w:jc w:val="center"/>
              <w:rPr>
                <w:rFonts w:cs="Arial"/>
                <w:sz w:val="16"/>
                <w:szCs w:val="16"/>
              </w:rPr>
            </w:pPr>
          </w:p>
        </w:tc>
        <w:tc>
          <w:tcPr>
            <w:tcW w:w="1075" w:type="dxa"/>
            <w:tcBorders>
              <w:top w:val="single" w:sz="4" w:space="0" w:color="008000"/>
              <w:bottom w:val="single" w:sz="12" w:space="0" w:color="008000"/>
            </w:tcBorders>
            <w:shd w:val="clear" w:color="auto" w:fill="FFFFFF"/>
          </w:tcPr>
          <w:p w14:paraId="24EBBBB3" w14:textId="77777777" w:rsidR="00E751EC" w:rsidRDefault="00E751EC" w:rsidP="00A23F24">
            <w:pPr>
              <w:pStyle w:val="CETBodytext"/>
              <w:ind w:right="-1"/>
              <w:jc w:val="center"/>
              <w:rPr>
                <w:sz w:val="16"/>
                <w:szCs w:val="16"/>
                <w:lang w:val="en-GB"/>
              </w:rPr>
            </w:pPr>
          </w:p>
        </w:tc>
      </w:tr>
      <w:tr w:rsidR="00E751EC" w:rsidRPr="000A035B" w14:paraId="317A2847" w14:textId="77777777" w:rsidTr="00A23F24">
        <w:trPr>
          <w:trHeight w:val="780"/>
        </w:trPr>
        <w:tc>
          <w:tcPr>
            <w:tcW w:w="404" w:type="dxa"/>
            <w:tcBorders>
              <w:top w:val="single" w:sz="4" w:space="0" w:color="008000"/>
              <w:bottom w:val="single" w:sz="12" w:space="0" w:color="008000"/>
            </w:tcBorders>
            <w:shd w:val="clear" w:color="auto" w:fill="FFFFFF"/>
          </w:tcPr>
          <w:p w14:paraId="662D91DD" w14:textId="77777777" w:rsidR="00E751EC" w:rsidRDefault="00E751EC" w:rsidP="00A23F24">
            <w:pPr>
              <w:pStyle w:val="CETBodytext"/>
              <w:ind w:right="-1"/>
              <w:jc w:val="center"/>
              <w:rPr>
                <w:sz w:val="16"/>
                <w:szCs w:val="16"/>
                <w:lang w:val="en-GB"/>
              </w:rPr>
            </w:pPr>
            <w:r>
              <w:rPr>
                <w:sz w:val="16"/>
                <w:szCs w:val="16"/>
                <w:lang w:val="en-GB"/>
              </w:rPr>
              <w:t>1.5</w:t>
            </w:r>
          </w:p>
        </w:tc>
        <w:tc>
          <w:tcPr>
            <w:tcW w:w="672" w:type="dxa"/>
            <w:tcBorders>
              <w:top w:val="single" w:sz="4" w:space="0" w:color="008000"/>
              <w:bottom w:val="single" w:sz="12" w:space="0" w:color="008000"/>
            </w:tcBorders>
            <w:shd w:val="clear" w:color="auto" w:fill="FFFFFF"/>
          </w:tcPr>
          <w:p w14:paraId="7D41B4C8" w14:textId="77777777" w:rsidR="00E751EC" w:rsidRDefault="00E751EC" w:rsidP="00A23F24">
            <w:pPr>
              <w:jc w:val="center"/>
              <w:rPr>
                <w:sz w:val="16"/>
                <w:szCs w:val="16"/>
              </w:rPr>
            </w:pPr>
            <w:r>
              <w:rPr>
                <w:sz w:val="16"/>
                <w:szCs w:val="16"/>
              </w:rPr>
              <w:t>3AhhP</w:t>
            </w:r>
          </w:p>
          <w:p w14:paraId="5CC16A45" w14:textId="77777777" w:rsidR="00E751EC" w:rsidRDefault="00E751EC" w:rsidP="00A23F24">
            <w:pPr>
              <w:pStyle w:val="CETBodytext"/>
              <w:ind w:right="-1"/>
              <w:jc w:val="center"/>
              <w:rPr>
                <w:sz w:val="16"/>
                <w:szCs w:val="16"/>
                <w:lang w:val="en-GB"/>
              </w:rPr>
            </w:pPr>
          </w:p>
        </w:tc>
        <w:tc>
          <w:tcPr>
            <w:tcW w:w="808" w:type="dxa"/>
            <w:tcBorders>
              <w:top w:val="single" w:sz="4" w:space="0" w:color="008000"/>
              <w:bottom w:val="single" w:sz="12" w:space="0" w:color="008000"/>
            </w:tcBorders>
            <w:shd w:val="clear" w:color="auto" w:fill="FFFFFF"/>
          </w:tcPr>
          <w:p w14:paraId="0316BE99" w14:textId="77777777" w:rsidR="00E751EC" w:rsidRDefault="00E751EC" w:rsidP="00A23F24">
            <w:pPr>
              <w:jc w:val="center"/>
              <w:rPr>
                <w:sz w:val="16"/>
                <w:szCs w:val="16"/>
              </w:rPr>
            </w:pPr>
            <w:r>
              <w:rPr>
                <w:sz w:val="16"/>
                <w:szCs w:val="16"/>
              </w:rPr>
              <w:t>3AhP</w:t>
            </w:r>
          </w:p>
        </w:tc>
        <w:tc>
          <w:tcPr>
            <w:tcW w:w="943" w:type="dxa"/>
            <w:tcBorders>
              <w:top w:val="single" w:sz="4" w:space="0" w:color="008000"/>
              <w:bottom w:val="single" w:sz="12" w:space="0" w:color="008000"/>
            </w:tcBorders>
            <w:shd w:val="clear" w:color="auto" w:fill="FFFFFF"/>
          </w:tcPr>
          <w:p w14:paraId="1A9AABC8" w14:textId="77777777" w:rsidR="00E751EC" w:rsidRDefault="00E751EC" w:rsidP="00A23F24">
            <w:pPr>
              <w:jc w:val="center"/>
              <w:rPr>
                <w:sz w:val="16"/>
                <w:szCs w:val="16"/>
              </w:rPr>
            </w:pPr>
            <w:r>
              <w:rPr>
                <w:sz w:val="16"/>
                <w:szCs w:val="16"/>
              </w:rPr>
              <w:t xml:space="preserve">Release from cracks generated by overpressure </w:t>
            </w:r>
          </w:p>
        </w:tc>
        <w:tc>
          <w:tcPr>
            <w:tcW w:w="1480" w:type="dxa"/>
            <w:tcBorders>
              <w:top w:val="single" w:sz="4" w:space="0" w:color="008000"/>
              <w:bottom w:val="single" w:sz="12" w:space="0" w:color="008000"/>
            </w:tcBorders>
            <w:shd w:val="clear" w:color="auto" w:fill="FFFFFF"/>
          </w:tcPr>
          <w:p w14:paraId="3ABCD3FA" w14:textId="77777777" w:rsidR="00E751EC" w:rsidRDefault="00E751EC" w:rsidP="00A23F24">
            <w:pPr>
              <w:pStyle w:val="CETBodytext"/>
              <w:ind w:right="-1"/>
              <w:jc w:val="center"/>
              <w:rPr>
                <w:sz w:val="16"/>
                <w:szCs w:val="16"/>
                <w:lang w:val="en-GB"/>
              </w:rPr>
            </w:pPr>
            <w:r>
              <w:rPr>
                <w:sz w:val="16"/>
                <w:szCs w:val="16"/>
                <w:lang w:val="en-GB"/>
              </w:rPr>
              <w:t>Release from F-20</w:t>
            </w:r>
          </w:p>
        </w:tc>
        <w:tc>
          <w:tcPr>
            <w:tcW w:w="808" w:type="dxa"/>
            <w:tcBorders>
              <w:top w:val="single" w:sz="4" w:space="0" w:color="008000"/>
              <w:bottom w:val="single" w:sz="12" w:space="0" w:color="008000"/>
            </w:tcBorders>
            <w:shd w:val="clear" w:color="auto" w:fill="FFFFFF"/>
          </w:tcPr>
          <w:p w14:paraId="791CF0C3" w14:textId="77777777" w:rsidR="00E751EC" w:rsidRDefault="00E751EC" w:rsidP="00A23F24">
            <w:pPr>
              <w:jc w:val="center"/>
              <w:rPr>
                <w:sz w:val="16"/>
                <w:szCs w:val="16"/>
              </w:rPr>
            </w:pPr>
          </w:p>
        </w:tc>
        <w:tc>
          <w:tcPr>
            <w:tcW w:w="1078" w:type="dxa"/>
            <w:tcBorders>
              <w:top w:val="single" w:sz="4" w:space="0" w:color="008000"/>
              <w:bottom w:val="single" w:sz="12" w:space="0" w:color="008000"/>
              <w:right w:val="single" w:sz="12" w:space="0" w:color="FFFFFF" w:themeColor="background1"/>
            </w:tcBorders>
            <w:shd w:val="clear" w:color="auto" w:fill="FFFFFF"/>
          </w:tcPr>
          <w:p w14:paraId="664D6BF6" w14:textId="77777777" w:rsidR="00E751EC" w:rsidRDefault="00E751EC" w:rsidP="00A23F24">
            <w:pPr>
              <w:pStyle w:val="CETBodytext"/>
              <w:ind w:right="-1"/>
              <w:jc w:val="center"/>
              <w:rPr>
                <w:sz w:val="16"/>
                <w:szCs w:val="16"/>
                <w:lang w:val="en-GB"/>
              </w:rPr>
            </w:pPr>
          </w:p>
        </w:tc>
        <w:tc>
          <w:tcPr>
            <w:tcW w:w="807" w:type="dxa"/>
            <w:tcBorders>
              <w:top w:val="single" w:sz="4" w:space="0" w:color="008000"/>
              <w:left w:val="single" w:sz="12" w:space="0" w:color="FFFFFF" w:themeColor="background1"/>
              <w:bottom w:val="single" w:sz="12" w:space="0" w:color="008000"/>
            </w:tcBorders>
            <w:shd w:val="clear" w:color="auto" w:fill="FFFFFF"/>
          </w:tcPr>
          <w:p w14:paraId="4333B7C6" w14:textId="77777777" w:rsidR="00E751EC" w:rsidRDefault="00E751EC" w:rsidP="00A23F24">
            <w:pPr>
              <w:jc w:val="center"/>
              <w:rPr>
                <w:sz w:val="16"/>
                <w:szCs w:val="16"/>
              </w:rPr>
            </w:pPr>
            <w:r>
              <w:rPr>
                <w:sz w:val="16"/>
                <w:szCs w:val="16"/>
              </w:rPr>
              <w:t>RV-1001 A/B/C</w:t>
            </w:r>
          </w:p>
          <w:p w14:paraId="321E06FD" w14:textId="77777777" w:rsidR="00E751EC" w:rsidRDefault="00E751EC" w:rsidP="00A23F24">
            <w:pPr>
              <w:pStyle w:val="CETBodytext"/>
              <w:ind w:right="-1"/>
              <w:jc w:val="center"/>
              <w:rPr>
                <w:sz w:val="16"/>
                <w:szCs w:val="16"/>
                <w:lang w:val="en-GB"/>
              </w:rPr>
            </w:pPr>
          </w:p>
        </w:tc>
        <w:tc>
          <w:tcPr>
            <w:tcW w:w="1079" w:type="dxa"/>
            <w:tcBorders>
              <w:top w:val="single" w:sz="4" w:space="0" w:color="008000"/>
              <w:bottom w:val="single" w:sz="12" w:space="0" w:color="008000"/>
            </w:tcBorders>
            <w:shd w:val="clear" w:color="auto" w:fill="FFFFFF"/>
          </w:tcPr>
          <w:p w14:paraId="44FEEC81" w14:textId="77777777" w:rsidR="00E751EC" w:rsidRPr="007300FC" w:rsidRDefault="00E751EC" w:rsidP="00A23F24">
            <w:pPr>
              <w:pStyle w:val="CETBodytext"/>
              <w:ind w:right="-1"/>
              <w:jc w:val="center"/>
              <w:rPr>
                <w:rFonts w:cs="Arial"/>
                <w:sz w:val="16"/>
                <w:szCs w:val="16"/>
              </w:rPr>
            </w:pPr>
          </w:p>
        </w:tc>
        <w:tc>
          <w:tcPr>
            <w:tcW w:w="1075" w:type="dxa"/>
            <w:tcBorders>
              <w:top w:val="single" w:sz="4" w:space="0" w:color="008000"/>
              <w:bottom w:val="single" w:sz="12" w:space="0" w:color="008000"/>
            </w:tcBorders>
            <w:shd w:val="clear" w:color="auto" w:fill="FFFFFF"/>
          </w:tcPr>
          <w:p w14:paraId="02C3ED7B" w14:textId="77777777" w:rsidR="00E751EC" w:rsidRDefault="00E751EC" w:rsidP="00A23F24">
            <w:pPr>
              <w:pStyle w:val="CETBodytext"/>
              <w:ind w:right="-1"/>
              <w:jc w:val="center"/>
              <w:rPr>
                <w:sz w:val="16"/>
                <w:szCs w:val="16"/>
                <w:lang w:val="en-GB"/>
              </w:rPr>
            </w:pPr>
            <w:r>
              <w:rPr>
                <w:sz w:val="16"/>
                <w:szCs w:val="16"/>
                <w:lang w:val="en-GB"/>
              </w:rPr>
              <w:t>TE2</w:t>
            </w:r>
          </w:p>
        </w:tc>
      </w:tr>
      <w:tr w:rsidR="00E751EC" w:rsidRPr="000A035B" w14:paraId="5E901C48" w14:textId="77777777" w:rsidTr="00A23F24">
        <w:trPr>
          <w:trHeight w:val="1689"/>
        </w:trPr>
        <w:tc>
          <w:tcPr>
            <w:tcW w:w="404" w:type="dxa"/>
            <w:tcBorders>
              <w:top w:val="single" w:sz="4" w:space="0" w:color="008000"/>
              <w:bottom w:val="single" w:sz="12" w:space="0" w:color="008000"/>
            </w:tcBorders>
            <w:shd w:val="clear" w:color="auto" w:fill="FFFFFF"/>
          </w:tcPr>
          <w:p w14:paraId="36680629" w14:textId="77777777" w:rsidR="00E751EC" w:rsidRDefault="00E751EC" w:rsidP="00A23F24">
            <w:pPr>
              <w:pStyle w:val="CETBodytext"/>
              <w:ind w:right="-1"/>
              <w:jc w:val="center"/>
              <w:rPr>
                <w:sz w:val="16"/>
                <w:szCs w:val="16"/>
                <w:lang w:val="en-GB"/>
              </w:rPr>
            </w:pPr>
            <w:r>
              <w:rPr>
                <w:sz w:val="16"/>
                <w:szCs w:val="16"/>
                <w:lang w:val="en-GB"/>
              </w:rPr>
              <w:t>1.6</w:t>
            </w:r>
          </w:p>
        </w:tc>
        <w:tc>
          <w:tcPr>
            <w:tcW w:w="672" w:type="dxa"/>
            <w:tcBorders>
              <w:top w:val="single" w:sz="4" w:space="0" w:color="008000"/>
              <w:bottom w:val="single" w:sz="12" w:space="0" w:color="008000"/>
            </w:tcBorders>
            <w:shd w:val="clear" w:color="auto" w:fill="FFFFFF"/>
          </w:tcPr>
          <w:p w14:paraId="4FC11F9F" w14:textId="77777777" w:rsidR="00E751EC" w:rsidRDefault="00E751EC" w:rsidP="00A23F24">
            <w:pPr>
              <w:jc w:val="center"/>
              <w:rPr>
                <w:sz w:val="16"/>
                <w:szCs w:val="16"/>
              </w:rPr>
            </w:pPr>
            <w:r>
              <w:rPr>
                <w:sz w:val="16"/>
                <w:szCs w:val="16"/>
              </w:rPr>
              <w:t>3AlT</w:t>
            </w:r>
          </w:p>
        </w:tc>
        <w:tc>
          <w:tcPr>
            <w:tcW w:w="808" w:type="dxa"/>
            <w:tcBorders>
              <w:top w:val="single" w:sz="4" w:space="0" w:color="008000"/>
              <w:bottom w:val="single" w:sz="12" w:space="0" w:color="008000"/>
            </w:tcBorders>
            <w:shd w:val="clear" w:color="auto" w:fill="FFFFFF"/>
          </w:tcPr>
          <w:p w14:paraId="3EE6F09A" w14:textId="77777777" w:rsidR="00E751EC" w:rsidRDefault="00E751EC" w:rsidP="00A23F24">
            <w:pPr>
              <w:jc w:val="center"/>
              <w:rPr>
                <w:sz w:val="16"/>
                <w:szCs w:val="16"/>
              </w:rPr>
            </w:pPr>
            <w:r>
              <w:rPr>
                <w:sz w:val="16"/>
                <w:szCs w:val="16"/>
              </w:rPr>
              <w:t>FIC-1009</w:t>
            </w:r>
          </w:p>
          <w:p w14:paraId="3CA9159E" w14:textId="77777777" w:rsidR="00E751EC" w:rsidRDefault="00E751EC" w:rsidP="00A23F24">
            <w:pPr>
              <w:jc w:val="center"/>
              <w:rPr>
                <w:sz w:val="16"/>
                <w:szCs w:val="16"/>
              </w:rPr>
            </w:pPr>
            <w:r>
              <w:rPr>
                <w:sz w:val="16"/>
                <w:szCs w:val="16"/>
              </w:rPr>
              <w:t>OR</w:t>
            </w:r>
          </w:p>
          <w:p w14:paraId="3DAF27CA" w14:textId="77777777" w:rsidR="00E751EC" w:rsidRDefault="00E751EC" w:rsidP="00A23F24">
            <w:pPr>
              <w:jc w:val="center"/>
              <w:rPr>
                <w:sz w:val="16"/>
                <w:szCs w:val="16"/>
              </w:rPr>
            </w:pPr>
            <w:r>
              <w:rPr>
                <w:sz w:val="16"/>
                <w:szCs w:val="16"/>
              </w:rPr>
              <w:t>B-1101</w:t>
            </w:r>
          </w:p>
          <w:p w14:paraId="03963E9D" w14:textId="77777777" w:rsidR="00E751EC" w:rsidRDefault="00E751EC" w:rsidP="00A23F24">
            <w:pPr>
              <w:jc w:val="center"/>
              <w:rPr>
                <w:sz w:val="16"/>
                <w:szCs w:val="16"/>
              </w:rPr>
            </w:pPr>
            <w:r>
              <w:rPr>
                <w:sz w:val="16"/>
                <w:szCs w:val="16"/>
              </w:rPr>
              <w:t>OR</w:t>
            </w:r>
          </w:p>
          <w:p w14:paraId="35ECB26D" w14:textId="77777777" w:rsidR="00E751EC" w:rsidRDefault="00E751EC" w:rsidP="00A23F24">
            <w:pPr>
              <w:jc w:val="center"/>
              <w:rPr>
                <w:sz w:val="16"/>
                <w:szCs w:val="16"/>
              </w:rPr>
            </w:pPr>
            <w:r>
              <w:rPr>
                <w:sz w:val="16"/>
                <w:szCs w:val="16"/>
              </w:rPr>
              <w:t>J-1103</w:t>
            </w:r>
          </w:p>
          <w:p w14:paraId="5485CB93" w14:textId="77777777" w:rsidR="00E751EC" w:rsidRDefault="00E751EC" w:rsidP="00A23F24">
            <w:pPr>
              <w:jc w:val="center"/>
              <w:rPr>
                <w:sz w:val="16"/>
                <w:szCs w:val="16"/>
              </w:rPr>
            </w:pPr>
            <w:r>
              <w:rPr>
                <w:sz w:val="16"/>
                <w:szCs w:val="16"/>
              </w:rPr>
              <w:t>OR</w:t>
            </w:r>
          </w:p>
          <w:p w14:paraId="2BDFA749" w14:textId="77777777" w:rsidR="00E751EC" w:rsidRDefault="00E751EC" w:rsidP="00A23F24">
            <w:pPr>
              <w:jc w:val="center"/>
              <w:rPr>
                <w:sz w:val="16"/>
                <w:szCs w:val="16"/>
              </w:rPr>
            </w:pPr>
            <w:r>
              <w:rPr>
                <w:sz w:val="16"/>
                <w:szCs w:val="16"/>
              </w:rPr>
              <w:t>Human error)</w:t>
            </w:r>
          </w:p>
        </w:tc>
        <w:tc>
          <w:tcPr>
            <w:tcW w:w="943" w:type="dxa"/>
            <w:tcBorders>
              <w:top w:val="single" w:sz="4" w:space="0" w:color="008000"/>
              <w:bottom w:val="single" w:sz="12" w:space="0" w:color="008000"/>
            </w:tcBorders>
            <w:shd w:val="clear" w:color="auto" w:fill="FFFFFF"/>
          </w:tcPr>
          <w:p w14:paraId="3E21700A" w14:textId="77777777" w:rsidR="00E751EC" w:rsidRDefault="00E751EC" w:rsidP="00A23F24">
            <w:pPr>
              <w:jc w:val="center"/>
              <w:rPr>
                <w:sz w:val="16"/>
                <w:szCs w:val="16"/>
              </w:rPr>
            </w:pPr>
            <w:r>
              <w:rPr>
                <w:sz w:val="16"/>
                <w:szCs w:val="16"/>
              </w:rPr>
              <w:t>3AhL</w:t>
            </w:r>
          </w:p>
        </w:tc>
        <w:tc>
          <w:tcPr>
            <w:tcW w:w="1480" w:type="dxa"/>
            <w:tcBorders>
              <w:top w:val="single" w:sz="4" w:space="0" w:color="008000"/>
              <w:bottom w:val="single" w:sz="12" w:space="0" w:color="008000"/>
            </w:tcBorders>
            <w:shd w:val="clear" w:color="auto" w:fill="FFFFFF"/>
          </w:tcPr>
          <w:p w14:paraId="23D40547" w14:textId="77777777" w:rsidR="00E751EC" w:rsidRDefault="00E751EC" w:rsidP="00A23F24">
            <w:pPr>
              <w:pStyle w:val="CETBodytext"/>
              <w:ind w:right="-1"/>
              <w:jc w:val="center"/>
              <w:rPr>
                <w:sz w:val="16"/>
                <w:szCs w:val="16"/>
                <w:lang w:val="en-GB"/>
              </w:rPr>
            </w:pPr>
            <w:r>
              <w:rPr>
                <w:sz w:val="16"/>
                <w:szCs w:val="16"/>
                <w:lang w:val="en-GB"/>
              </w:rPr>
              <w:t>Plant Shutdown</w:t>
            </w:r>
          </w:p>
        </w:tc>
        <w:tc>
          <w:tcPr>
            <w:tcW w:w="808" w:type="dxa"/>
            <w:tcBorders>
              <w:top w:val="single" w:sz="4" w:space="0" w:color="008000"/>
              <w:bottom w:val="single" w:sz="12" w:space="0" w:color="008000"/>
            </w:tcBorders>
            <w:shd w:val="clear" w:color="auto" w:fill="FFFFFF"/>
          </w:tcPr>
          <w:p w14:paraId="17DB3FE0" w14:textId="77777777" w:rsidR="00E751EC" w:rsidRDefault="00E751EC" w:rsidP="00A23F24">
            <w:pPr>
              <w:jc w:val="center"/>
              <w:rPr>
                <w:sz w:val="16"/>
                <w:szCs w:val="16"/>
              </w:rPr>
            </w:pPr>
          </w:p>
        </w:tc>
        <w:tc>
          <w:tcPr>
            <w:tcW w:w="1078" w:type="dxa"/>
            <w:tcBorders>
              <w:top w:val="single" w:sz="4" w:space="0" w:color="008000"/>
              <w:bottom w:val="single" w:sz="12" w:space="0" w:color="008000"/>
              <w:right w:val="single" w:sz="12" w:space="0" w:color="FFFFFF" w:themeColor="background1"/>
            </w:tcBorders>
            <w:shd w:val="clear" w:color="auto" w:fill="FFFFFF"/>
          </w:tcPr>
          <w:p w14:paraId="512E2800" w14:textId="77777777" w:rsidR="00E751EC" w:rsidRDefault="00E751EC" w:rsidP="00A23F24">
            <w:pPr>
              <w:pStyle w:val="CETBodytext"/>
              <w:ind w:right="-1"/>
              <w:jc w:val="center"/>
              <w:rPr>
                <w:sz w:val="16"/>
                <w:szCs w:val="16"/>
                <w:lang w:val="en-GB"/>
              </w:rPr>
            </w:pPr>
          </w:p>
        </w:tc>
        <w:tc>
          <w:tcPr>
            <w:tcW w:w="807" w:type="dxa"/>
            <w:tcBorders>
              <w:top w:val="single" w:sz="4" w:space="0" w:color="008000"/>
              <w:left w:val="single" w:sz="12" w:space="0" w:color="FFFFFF" w:themeColor="background1"/>
              <w:bottom w:val="single" w:sz="12" w:space="0" w:color="008000"/>
            </w:tcBorders>
            <w:shd w:val="clear" w:color="auto" w:fill="FFFFFF"/>
          </w:tcPr>
          <w:p w14:paraId="72C1679B" w14:textId="77777777" w:rsidR="00E751EC" w:rsidRDefault="00E751EC" w:rsidP="00A23F24">
            <w:pPr>
              <w:jc w:val="center"/>
              <w:rPr>
                <w:sz w:val="16"/>
                <w:szCs w:val="16"/>
              </w:rPr>
            </w:pPr>
          </w:p>
        </w:tc>
        <w:tc>
          <w:tcPr>
            <w:tcW w:w="1079" w:type="dxa"/>
            <w:tcBorders>
              <w:top w:val="single" w:sz="4" w:space="0" w:color="008000"/>
              <w:bottom w:val="single" w:sz="12" w:space="0" w:color="008000"/>
            </w:tcBorders>
            <w:shd w:val="clear" w:color="auto" w:fill="FFFFFF"/>
          </w:tcPr>
          <w:p w14:paraId="00B09CD3" w14:textId="77777777" w:rsidR="00E751EC" w:rsidRPr="007300FC" w:rsidRDefault="00E751EC" w:rsidP="00A23F24">
            <w:pPr>
              <w:pStyle w:val="CETBodytext"/>
              <w:ind w:right="-1"/>
              <w:jc w:val="center"/>
              <w:rPr>
                <w:rFonts w:cs="Arial"/>
                <w:sz w:val="16"/>
                <w:szCs w:val="16"/>
              </w:rPr>
            </w:pPr>
          </w:p>
        </w:tc>
        <w:tc>
          <w:tcPr>
            <w:tcW w:w="1075" w:type="dxa"/>
            <w:tcBorders>
              <w:top w:val="single" w:sz="4" w:space="0" w:color="008000"/>
              <w:bottom w:val="single" w:sz="12" w:space="0" w:color="008000"/>
            </w:tcBorders>
            <w:shd w:val="clear" w:color="auto" w:fill="FFFFFF"/>
          </w:tcPr>
          <w:p w14:paraId="127CF357" w14:textId="77777777" w:rsidR="00E751EC" w:rsidRDefault="00E751EC" w:rsidP="00A23F24">
            <w:pPr>
              <w:pStyle w:val="CETBodytext"/>
              <w:ind w:right="-1"/>
              <w:jc w:val="center"/>
              <w:rPr>
                <w:sz w:val="16"/>
                <w:szCs w:val="16"/>
                <w:lang w:val="en-GB"/>
              </w:rPr>
            </w:pPr>
          </w:p>
        </w:tc>
      </w:tr>
      <w:tr w:rsidR="00E751EC" w:rsidRPr="000A035B" w14:paraId="381A140C" w14:textId="77777777" w:rsidTr="00A23F24">
        <w:trPr>
          <w:trHeight w:val="1590"/>
        </w:trPr>
        <w:tc>
          <w:tcPr>
            <w:tcW w:w="404" w:type="dxa"/>
            <w:tcBorders>
              <w:top w:val="single" w:sz="4" w:space="0" w:color="008000"/>
              <w:bottom w:val="single" w:sz="12" w:space="0" w:color="008000"/>
            </w:tcBorders>
            <w:shd w:val="clear" w:color="auto" w:fill="FFFFFF"/>
          </w:tcPr>
          <w:p w14:paraId="5999ED07" w14:textId="77777777" w:rsidR="00E751EC" w:rsidRDefault="00E751EC" w:rsidP="00A23F24">
            <w:pPr>
              <w:pStyle w:val="CETBodytext"/>
              <w:ind w:right="-1"/>
              <w:jc w:val="center"/>
              <w:rPr>
                <w:sz w:val="16"/>
                <w:szCs w:val="16"/>
                <w:lang w:val="en-GB"/>
              </w:rPr>
            </w:pPr>
            <w:r>
              <w:rPr>
                <w:sz w:val="16"/>
                <w:szCs w:val="16"/>
                <w:lang w:val="en-GB"/>
              </w:rPr>
              <w:t>1.7</w:t>
            </w:r>
          </w:p>
        </w:tc>
        <w:tc>
          <w:tcPr>
            <w:tcW w:w="672" w:type="dxa"/>
            <w:tcBorders>
              <w:top w:val="single" w:sz="4" w:space="0" w:color="008000"/>
              <w:bottom w:val="single" w:sz="12" w:space="0" w:color="008000"/>
            </w:tcBorders>
            <w:shd w:val="clear" w:color="auto" w:fill="FFFFFF"/>
          </w:tcPr>
          <w:p w14:paraId="0127193D" w14:textId="77777777" w:rsidR="00E751EC" w:rsidRDefault="00E751EC" w:rsidP="00A23F24">
            <w:pPr>
              <w:jc w:val="center"/>
              <w:rPr>
                <w:sz w:val="16"/>
                <w:szCs w:val="16"/>
              </w:rPr>
            </w:pPr>
            <w:r>
              <w:rPr>
                <w:sz w:val="16"/>
                <w:szCs w:val="16"/>
              </w:rPr>
              <w:t>3AhT</w:t>
            </w:r>
          </w:p>
        </w:tc>
        <w:tc>
          <w:tcPr>
            <w:tcW w:w="808" w:type="dxa"/>
            <w:tcBorders>
              <w:top w:val="single" w:sz="4" w:space="0" w:color="008000"/>
              <w:bottom w:val="single" w:sz="12" w:space="0" w:color="008000"/>
            </w:tcBorders>
            <w:shd w:val="clear" w:color="auto" w:fill="FFFFFF"/>
          </w:tcPr>
          <w:p w14:paraId="53FFD7A8" w14:textId="77777777" w:rsidR="00E751EC" w:rsidRDefault="00E751EC" w:rsidP="00A23F24">
            <w:pPr>
              <w:jc w:val="center"/>
              <w:rPr>
                <w:sz w:val="16"/>
                <w:szCs w:val="16"/>
              </w:rPr>
            </w:pPr>
            <w:r>
              <w:rPr>
                <w:sz w:val="16"/>
                <w:szCs w:val="16"/>
              </w:rPr>
              <w:t>FIC-1009</w:t>
            </w:r>
          </w:p>
          <w:p w14:paraId="19011F1A" w14:textId="77777777" w:rsidR="00E751EC" w:rsidRDefault="00E751EC" w:rsidP="00A23F24">
            <w:pPr>
              <w:jc w:val="center"/>
              <w:rPr>
                <w:sz w:val="16"/>
                <w:szCs w:val="16"/>
              </w:rPr>
            </w:pPr>
            <w:r>
              <w:rPr>
                <w:sz w:val="16"/>
                <w:szCs w:val="16"/>
              </w:rPr>
              <w:t>OR</w:t>
            </w:r>
          </w:p>
          <w:p w14:paraId="5B12E9EE" w14:textId="77777777" w:rsidR="00E751EC" w:rsidRDefault="00E751EC" w:rsidP="00A23F24">
            <w:pPr>
              <w:jc w:val="center"/>
              <w:rPr>
                <w:sz w:val="16"/>
                <w:szCs w:val="16"/>
              </w:rPr>
            </w:pPr>
            <w:r>
              <w:rPr>
                <w:sz w:val="16"/>
                <w:szCs w:val="16"/>
              </w:rPr>
              <w:t>3AlT</w:t>
            </w:r>
          </w:p>
          <w:p w14:paraId="7FA54638" w14:textId="77777777" w:rsidR="00E751EC" w:rsidRDefault="00E751EC" w:rsidP="00A23F24">
            <w:pPr>
              <w:jc w:val="center"/>
              <w:rPr>
                <w:sz w:val="16"/>
                <w:szCs w:val="16"/>
              </w:rPr>
            </w:pPr>
            <w:r>
              <w:rPr>
                <w:sz w:val="16"/>
                <w:szCs w:val="16"/>
              </w:rPr>
              <w:t>OR</w:t>
            </w:r>
          </w:p>
          <w:p w14:paraId="0283CEBB" w14:textId="77777777" w:rsidR="00E751EC" w:rsidRDefault="00E751EC" w:rsidP="00A23F24">
            <w:pPr>
              <w:jc w:val="center"/>
              <w:rPr>
                <w:sz w:val="16"/>
                <w:szCs w:val="16"/>
              </w:rPr>
            </w:pPr>
            <w:r>
              <w:rPr>
                <w:sz w:val="16"/>
                <w:szCs w:val="16"/>
              </w:rPr>
              <w:t>B-1101</w:t>
            </w:r>
          </w:p>
          <w:p w14:paraId="159E7D21" w14:textId="77777777" w:rsidR="00E751EC" w:rsidRDefault="00E751EC" w:rsidP="00A23F24">
            <w:pPr>
              <w:jc w:val="center"/>
              <w:rPr>
                <w:sz w:val="16"/>
                <w:szCs w:val="16"/>
              </w:rPr>
            </w:pPr>
            <w:r>
              <w:rPr>
                <w:sz w:val="16"/>
                <w:szCs w:val="16"/>
              </w:rPr>
              <w:t>OR</w:t>
            </w:r>
          </w:p>
          <w:p w14:paraId="7C33205F" w14:textId="77777777" w:rsidR="00E751EC" w:rsidRDefault="00E751EC" w:rsidP="00A23F24">
            <w:pPr>
              <w:jc w:val="center"/>
              <w:rPr>
                <w:sz w:val="16"/>
                <w:szCs w:val="16"/>
              </w:rPr>
            </w:pPr>
            <w:r>
              <w:rPr>
                <w:sz w:val="16"/>
                <w:szCs w:val="16"/>
              </w:rPr>
              <w:t xml:space="preserve">Human error </w:t>
            </w:r>
          </w:p>
        </w:tc>
        <w:tc>
          <w:tcPr>
            <w:tcW w:w="943" w:type="dxa"/>
            <w:tcBorders>
              <w:top w:val="single" w:sz="4" w:space="0" w:color="008000"/>
              <w:bottom w:val="single" w:sz="12" w:space="0" w:color="008000"/>
            </w:tcBorders>
            <w:shd w:val="clear" w:color="auto" w:fill="FFFFFF"/>
          </w:tcPr>
          <w:p w14:paraId="506DD4FF" w14:textId="77777777" w:rsidR="00E751EC" w:rsidRDefault="00E751EC" w:rsidP="00A23F24">
            <w:pPr>
              <w:jc w:val="center"/>
              <w:rPr>
                <w:sz w:val="16"/>
                <w:szCs w:val="16"/>
              </w:rPr>
            </w:pPr>
            <w:r>
              <w:rPr>
                <w:sz w:val="16"/>
                <w:szCs w:val="16"/>
              </w:rPr>
              <w:t>4AhF</w:t>
            </w:r>
          </w:p>
          <w:p w14:paraId="2091177A" w14:textId="77777777" w:rsidR="00E751EC" w:rsidRDefault="00E751EC" w:rsidP="00A23F24">
            <w:pPr>
              <w:jc w:val="center"/>
              <w:rPr>
                <w:sz w:val="16"/>
                <w:szCs w:val="16"/>
              </w:rPr>
            </w:pPr>
            <w:r>
              <w:rPr>
                <w:sz w:val="16"/>
                <w:szCs w:val="16"/>
              </w:rPr>
              <w:t>AND</w:t>
            </w:r>
          </w:p>
          <w:p w14:paraId="793E58D1" w14:textId="77777777" w:rsidR="00E751EC" w:rsidRDefault="00E751EC" w:rsidP="00A23F24">
            <w:pPr>
              <w:jc w:val="center"/>
              <w:rPr>
                <w:sz w:val="16"/>
                <w:szCs w:val="16"/>
              </w:rPr>
            </w:pPr>
            <w:r>
              <w:rPr>
                <w:sz w:val="16"/>
                <w:szCs w:val="16"/>
              </w:rPr>
              <w:t>4BlF</w:t>
            </w:r>
          </w:p>
        </w:tc>
        <w:tc>
          <w:tcPr>
            <w:tcW w:w="1480" w:type="dxa"/>
            <w:tcBorders>
              <w:top w:val="single" w:sz="4" w:space="0" w:color="008000"/>
              <w:bottom w:val="single" w:sz="12" w:space="0" w:color="008000"/>
            </w:tcBorders>
            <w:shd w:val="clear" w:color="auto" w:fill="FFFFFF"/>
          </w:tcPr>
          <w:p w14:paraId="67E23E4A" w14:textId="77777777" w:rsidR="00E751EC" w:rsidRDefault="00E751EC" w:rsidP="00A23F24">
            <w:pPr>
              <w:jc w:val="center"/>
              <w:rPr>
                <w:sz w:val="16"/>
                <w:szCs w:val="16"/>
              </w:rPr>
            </w:pPr>
            <w:r>
              <w:rPr>
                <w:sz w:val="16"/>
                <w:szCs w:val="16"/>
              </w:rPr>
              <w:t>4AhF</w:t>
            </w:r>
          </w:p>
          <w:p w14:paraId="6D7C7A2B" w14:textId="77777777" w:rsidR="00E751EC" w:rsidRDefault="00E751EC" w:rsidP="00A23F24">
            <w:pPr>
              <w:jc w:val="center"/>
              <w:rPr>
                <w:sz w:val="16"/>
                <w:szCs w:val="16"/>
              </w:rPr>
            </w:pPr>
            <w:r>
              <w:rPr>
                <w:sz w:val="16"/>
                <w:szCs w:val="16"/>
              </w:rPr>
              <w:t>AND</w:t>
            </w:r>
          </w:p>
          <w:p w14:paraId="5B67A2EE" w14:textId="77777777" w:rsidR="00E751EC" w:rsidRDefault="00E751EC" w:rsidP="00A23F24">
            <w:pPr>
              <w:pStyle w:val="CETBodytext"/>
              <w:ind w:right="-1"/>
              <w:jc w:val="center"/>
              <w:rPr>
                <w:sz w:val="16"/>
                <w:szCs w:val="16"/>
                <w:lang w:val="en-GB"/>
              </w:rPr>
            </w:pPr>
            <w:r>
              <w:rPr>
                <w:sz w:val="16"/>
                <w:szCs w:val="16"/>
                <w:lang w:val="en-GB"/>
              </w:rPr>
              <w:t>4BlF</w:t>
            </w:r>
          </w:p>
        </w:tc>
        <w:tc>
          <w:tcPr>
            <w:tcW w:w="808" w:type="dxa"/>
            <w:tcBorders>
              <w:top w:val="single" w:sz="4" w:space="0" w:color="008000"/>
              <w:bottom w:val="single" w:sz="12" w:space="0" w:color="008000"/>
            </w:tcBorders>
            <w:shd w:val="clear" w:color="auto" w:fill="FFFFFF"/>
          </w:tcPr>
          <w:p w14:paraId="31E26019" w14:textId="77777777" w:rsidR="00E751EC" w:rsidRDefault="00E751EC" w:rsidP="00A23F24">
            <w:pPr>
              <w:jc w:val="center"/>
              <w:rPr>
                <w:sz w:val="16"/>
                <w:szCs w:val="16"/>
              </w:rPr>
            </w:pPr>
          </w:p>
        </w:tc>
        <w:tc>
          <w:tcPr>
            <w:tcW w:w="1078" w:type="dxa"/>
            <w:tcBorders>
              <w:top w:val="single" w:sz="4" w:space="0" w:color="008000"/>
              <w:bottom w:val="single" w:sz="12" w:space="0" w:color="008000"/>
              <w:right w:val="single" w:sz="12" w:space="0" w:color="FFFFFF" w:themeColor="background1"/>
            </w:tcBorders>
            <w:shd w:val="clear" w:color="auto" w:fill="FFFFFF"/>
          </w:tcPr>
          <w:p w14:paraId="548D7E8A" w14:textId="77777777" w:rsidR="00E751EC" w:rsidRDefault="00E751EC" w:rsidP="00A23F24">
            <w:pPr>
              <w:pStyle w:val="CETBodytext"/>
              <w:ind w:right="-1"/>
              <w:jc w:val="center"/>
              <w:rPr>
                <w:sz w:val="16"/>
                <w:szCs w:val="16"/>
                <w:lang w:val="en-GB"/>
              </w:rPr>
            </w:pPr>
          </w:p>
        </w:tc>
        <w:tc>
          <w:tcPr>
            <w:tcW w:w="807" w:type="dxa"/>
            <w:tcBorders>
              <w:top w:val="single" w:sz="4" w:space="0" w:color="008000"/>
              <w:left w:val="single" w:sz="12" w:space="0" w:color="FFFFFF" w:themeColor="background1"/>
              <w:bottom w:val="single" w:sz="12" w:space="0" w:color="008000"/>
            </w:tcBorders>
            <w:shd w:val="clear" w:color="auto" w:fill="FFFFFF"/>
          </w:tcPr>
          <w:p w14:paraId="533C5DB5" w14:textId="77777777" w:rsidR="00E751EC" w:rsidRDefault="00E751EC" w:rsidP="00A23F24">
            <w:pPr>
              <w:jc w:val="center"/>
              <w:rPr>
                <w:sz w:val="16"/>
                <w:szCs w:val="16"/>
              </w:rPr>
            </w:pPr>
          </w:p>
        </w:tc>
        <w:tc>
          <w:tcPr>
            <w:tcW w:w="1079" w:type="dxa"/>
            <w:tcBorders>
              <w:top w:val="single" w:sz="4" w:space="0" w:color="008000"/>
              <w:bottom w:val="single" w:sz="12" w:space="0" w:color="008000"/>
            </w:tcBorders>
            <w:shd w:val="clear" w:color="auto" w:fill="FFFFFF"/>
          </w:tcPr>
          <w:p w14:paraId="4DE3BFF8" w14:textId="77777777" w:rsidR="00E751EC" w:rsidRPr="007300FC" w:rsidRDefault="00E751EC" w:rsidP="00A23F24">
            <w:pPr>
              <w:pStyle w:val="CETBodytext"/>
              <w:ind w:right="-1"/>
              <w:jc w:val="center"/>
              <w:rPr>
                <w:rFonts w:cs="Arial"/>
                <w:sz w:val="16"/>
                <w:szCs w:val="16"/>
              </w:rPr>
            </w:pPr>
            <w:r>
              <w:rPr>
                <w:sz w:val="16"/>
                <w:szCs w:val="16"/>
                <w:lang w:val="en-GB"/>
              </w:rPr>
              <w:t xml:space="preserve">Higher temperature implicates more flow rate to the top </w:t>
            </w:r>
          </w:p>
        </w:tc>
        <w:tc>
          <w:tcPr>
            <w:tcW w:w="1075" w:type="dxa"/>
            <w:tcBorders>
              <w:top w:val="single" w:sz="4" w:space="0" w:color="008000"/>
              <w:bottom w:val="single" w:sz="12" w:space="0" w:color="008000"/>
            </w:tcBorders>
            <w:shd w:val="clear" w:color="auto" w:fill="FFFFFF"/>
          </w:tcPr>
          <w:p w14:paraId="3548776B" w14:textId="77777777" w:rsidR="00E751EC" w:rsidRDefault="00E751EC" w:rsidP="00A23F24">
            <w:pPr>
              <w:pStyle w:val="CETBodytext"/>
              <w:ind w:right="-1"/>
              <w:jc w:val="center"/>
              <w:rPr>
                <w:sz w:val="16"/>
                <w:szCs w:val="16"/>
                <w:lang w:val="en-GB"/>
              </w:rPr>
            </w:pPr>
          </w:p>
        </w:tc>
      </w:tr>
      <w:tr w:rsidR="00E751EC" w:rsidRPr="000A035B" w14:paraId="5B544802" w14:textId="77777777" w:rsidTr="00A23F24">
        <w:trPr>
          <w:trHeight w:val="1572"/>
        </w:trPr>
        <w:tc>
          <w:tcPr>
            <w:tcW w:w="404" w:type="dxa"/>
            <w:tcBorders>
              <w:top w:val="single" w:sz="4" w:space="0" w:color="008000"/>
              <w:bottom w:val="single" w:sz="12" w:space="0" w:color="008000"/>
            </w:tcBorders>
            <w:shd w:val="clear" w:color="auto" w:fill="FFFFFF"/>
          </w:tcPr>
          <w:p w14:paraId="5B7FD179" w14:textId="77777777" w:rsidR="00E751EC" w:rsidRDefault="00E751EC" w:rsidP="00A23F24">
            <w:pPr>
              <w:pStyle w:val="CETBodytext"/>
              <w:ind w:right="-1"/>
              <w:jc w:val="center"/>
              <w:rPr>
                <w:sz w:val="16"/>
                <w:szCs w:val="16"/>
                <w:lang w:val="en-GB"/>
              </w:rPr>
            </w:pPr>
            <w:r>
              <w:rPr>
                <w:sz w:val="16"/>
                <w:szCs w:val="16"/>
                <w:lang w:val="en-GB"/>
              </w:rPr>
              <w:lastRenderedPageBreak/>
              <w:t>1.8</w:t>
            </w:r>
          </w:p>
        </w:tc>
        <w:tc>
          <w:tcPr>
            <w:tcW w:w="672" w:type="dxa"/>
            <w:tcBorders>
              <w:top w:val="single" w:sz="4" w:space="0" w:color="008000"/>
              <w:bottom w:val="single" w:sz="12" w:space="0" w:color="008000"/>
            </w:tcBorders>
            <w:shd w:val="clear" w:color="auto" w:fill="FFFFFF"/>
          </w:tcPr>
          <w:p w14:paraId="5193E2E0" w14:textId="77777777" w:rsidR="00E751EC" w:rsidRDefault="00E751EC" w:rsidP="00A23F24">
            <w:pPr>
              <w:jc w:val="center"/>
              <w:rPr>
                <w:sz w:val="16"/>
                <w:szCs w:val="16"/>
              </w:rPr>
            </w:pPr>
            <w:r>
              <w:rPr>
                <w:sz w:val="16"/>
                <w:szCs w:val="16"/>
              </w:rPr>
              <w:t>3BhP</w:t>
            </w:r>
          </w:p>
        </w:tc>
        <w:tc>
          <w:tcPr>
            <w:tcW w:w="808" w:type="dxa"/>
            <w:tcBorders>
              <w:top w:val="single" w:sz="4" w:space="0" w:color="008000"/>
              <w:bottom w:val="single" w:sz="12" w:space="0" w:color="008000"/>
            </w:tcBorders>
            <w:shd w:val="clear" w:color="auto" w:fill="FFFFFF"/>
          </w:tcPr>
          <w:p w14:paraId="31739600" w14:textId="77777777" w:rsidR="00E751EC" w:rsidRDefault="00E751EC" w:rsidP="00A23F24">
            <w:pPr>
              <w:jc w:val="center"/>
              <w:rPr>
                <w:sz w:val="16"/>
                <w:szCs w:val="16"/>
              </w:rPr>
            </w:pPr>
            <w:r>
              <w:rPr>
                <w:sz w:val="16"/>
                <w:szCs w:val="16"/>
              </w:rPr>
              <w:t>3AhhL</w:t>
            </w:r>
          </w:p>
          <w:p w14:paraId="3A4E43AF" w14:textId="77777777" w:rsidR="00E751EC" w:rsidRDefault="00E751EC" w:rsidP="00A23F24">
            <w:pPr>
              <w:jc w:val="center"/>
              <w:rPr>
                <w:sz w:val="16"/>
                <w:szCs w:val="16"/>
              </w:rPr>
            </w:pPr>
            <w:r>
              <w:rPr>
                <w:sz w:val="16"/>
                <w:szCs w:val="16"/>
              </w:rPr>
              <w:t>OR</w:t>
            </w:r>
          </w:p>
          <w:p w14:paraId="67876790" w14:textId="77777777" w:rsidR="00E751EC" w:rsidRDefault="00E751EC" w:rsidP="00A23F24">
            <w:pPr>
              <w:jc w:val="center"/>
              <w:rPr>
                <w:sz w:val="16"/>
                <w:szCs w:val="16"/>
              </w:rPr>
            </w:pPr>
            <w:r>
              <w:rPr>
                <w:sz w:val="16"/>
                <w:szCs w:val="16"/>
              </w:rPr>
              <w:t>CA-1101</w:t>
            </w:r>
          </w:p>
          <w:p w14:paraId="509CFB18" w14:textId="77777777" w:rsidR="00E751EC" w:rsidRDefault="00E751EC" w:rsidP="00A23F24">
            <w:pPr>
              <w:jc w:val="center"/>
              <w:rPr>
                <w:sz w:val="16"/>
                <w:szCs w:val="16"/>
              </w:rPr>
            </w:pPr>
            <w:r>
              <w:rPr>
                <w:sz w:val="16"/>
                <w:szCs w:val="16"/>
              </w:rPr>
              <w:t>OR</w:t>
            </w:r>
          </w:p>
          <w:p w14:paraId="3159A442" w14:textId="77777777" w:rsidR="00E751EC" w:rsidRDefault="00E751EC" w:rsidP="00A23F24">
            <w:pPr>
              <w:jc w:val="center"/>
              <w:rPr>
                <w:sz w:val="16"/>
                <w:szCs w:val="16"/>
              </w:rPr>
            </w:pPr>
            <w:r>
              <w:rPr>
                <w:sz w:val="16"/>
                <w:szCs w:val="16"/>
              </w:rPr>
              <w:t>J-1102</w:t>
            </w:r>
          </w:p>
          <w:p w14:paraId="56FF37F7" w14:textId="77777777" w:rsidR="00E751EC" w:rsidRDefault="00E751EC" w:rsidP="00A23F24">
            <w:pPr>
              <w:jc w:val="center"/>
              <w:rPr>
                <w:sz w:val="16"/>
                <w:szCs w:val="16"/>
              </w:rPr>
            </w:pPr>
            <w:r>
              <w:rPr>
                <w:sz w:val="16"/>
                <w:szCs w:val="16"/>
              </w:rPr>
              <w:t>OR</w:t>
            </w:r>
          </w:p>
          <w:p w14:paraId="1812DD38" w14:textId="77777777" w:rsidR="00E751EC" w:rsidRDefault="00E751EC" w:rsidP="00A23F24">
            <w:pPr>
              <w:jc w:val="center"/>
              <w:rPr>
                <w:sz w:val="16"/>
                <w:szCs w:val="16"/>
              </w:rPr>
            </w:pPr>
            <w:r>
              <w:rPr>
                <w:sz w:val="16"/>
                <w:szCs w:val="16"/>
              </w:rPr>
              <w:t>FCV-5106 closed</w:t>
            </w:r>
          </w:p>
        </w:tc>
        <w:tc>
          <w:tcPr>
            <w:tcW w:w="943" w:type="dxa"/>
            <w:tcBorders>
              <w:top w:val="single" w:sz="4" w:space="0" w:color="008000"/>
              <w:bottom w:val="single" w:sz="12" w:space="0" w:color="008000"/>
            </w:tcBorders>
            <w:shd w:val="clear" w:color="auto" w:fill="FFFFFF"/>
          </w:tcPr>
          <w:p w14:paraId="26BD62B2" w14:textId="77777777" w:rsidR="00E751EC" w:rsidRDefault="00E751EC" w:rsidP="00A23F24">
            <w:pPr>
              <w:jc w:val="center"/>
              <w:rPr>
                <w:sz w:val="16"/>
                <w:szCs w:val="16"/>
              </w:rPr>
            </w:pPr>
            <w:r>
              <w:rPr>
                <w:sz w:val="16"/>
                <w:szCs w:val="16"/>
              </w:rPr>
              <w:t>3BhhP</w:t>
            </w:r>
          </w:p>
        </w:tc>
        <w:tc>
          <w:tcPr>
            <w:tcW w:w="1480" w:type="dxa"/>
            <w:tcBorders>
              <w:top w:val="single" w:sz="4" w:space="0" w:color="008000"/>
              <w:bottom w:val="single" w:sz="12" w:space="0" w:color="008000"/>
            </w:tcBorders>
            <w:shd w:val="clear" w:color="auto" w:fill="FFFFFF"/>
          </w:tcPr>
          <w:p w14:paraId="4A8006BA" w14:textId="77777777" w:rsidR="00E751EC" w:rsidRDefault="00E751EC" w:rsidP="00A23F24">
            <w:pPr>
              <w:jc w:val="center"/>
              <w:rPr>
                <w:sz w:val="16"/>
                <w:szCs w:val="16"/>
              </w:rPr>
            </w:pPr>
            <w:r>
              <w:rPr>
                <w:sz w:val="16"/>
                <w:szCs w:val="16"/>
              </w:rPr>
              <w:t>Release from F-20</w:t>
            </w:r>
          </w:p>
        </w:tc>
        <w:tc>
          <w:tcPr>
            <w:tcW w:w="808" w:type="dxa"/>
            <w:tcBorders>
              <w:top w:val="single" w:sz="4" w:space="0" w:color="008000"/>
              <w:bottom w:val="single" w:sz="12" w:space="0" w:color="008000"/>
            </w:tcBorders>
            <w:shd w:val="clear" w:color="auto" w:fill="FFFFFF"/>
          </w:tcPr>
          <w:p w14:paraId="2C8EF306" w14:textId="77777777" w:rsidR="00E751EC" w:rsidRDefault="00E751EC" w:rsidP="00A23F24">
            <w:pPr>
              <w:jc w:val="center"/>
              <w:rPr>
                <w:sz w:val="16"/>
                <w:szCs w:val="16"/>
              </w:rPr>
            </w:pPr>
          </w:p>
        </w:tc>
        <w:tc>
          <w:tcPr>
            <w:tcW w:w="1078" w:type="dxa"/>
            <w:tcBorders>
              <w:top w:val="single" w:sz="4" w:space="0" w:color="008000"/>
              <w:bottom w:val="single" w:sz="12" w:space="0" w:color="008000"/>
              <w:right w:val="single" w:sz="12" w:space="0" w:color="FFFFFF" w:themeColor="background1"/>
            </w:tcBorders>
            <w:shd w:val="clear" w:color="auto" w:fill="FFFFFF"/>
          </w:tcPr>
          <w:p w14:paraId="030E04C6" w14:textId="77777777" w:rsidR="00E751EC" w:rsidRDefault="00E751EC" w:rsidP="00A23F24">
            <w:pPr>
              <w:pStyle w:val="CETBodytext"/>
              <w:ind w:right="-1"/>
              <w:jc w:val="center"/>
              <w:rPr>
                <w:sz w:val="16"/>
                <w:szCs w:val="16"/>
                <w:lang w:val="en-GB"/>
              </w:rPr>
            </w:pPr>
            <w:r>
              <w:rPr>
                <w:sz w:val="16"/>
                <w:szCs w:val="16"/>
                <w:lang w:val="en-GB"/>
              </w:rPr>
              <w:t>Operator opens PCV-5003</w:t>
            </w:r>
          </w:p>
        </w:tc>
        <w:tc>
          <w:tcPr>
            <w:tcW w:w="807" w:type="dxa"/>
            <w:tcBorders>
              <w:top w:val="single" w:sz="4" w:space="0" w:color="008000"/>
              <w:left w:val="single" w:sz="12" w:space="0" w:color="FFFFFF" w:themeColor="background1"/>
              <w:bottom w:val="single" w:sz="12" w:space="0" w:color="008000"/>
            </w:tcBorders>
            <w:shd w:val="clear" w:color="auto" w:fill="FFFFFF"/>
          </w:tcPr>
          <w:p w14:paraId="4BD9E05E" w14:textId="77777777" w:rsidR="00E751EC" w:rsidRDefault="00E751EC" w:rsidP="00A23F24">
            <w:pPr>
              <w:jc w:val="center"/>
              <w:rPr>
                <w:sz w:val="16"/>
                <w:szCs w:val="16"/>
              </w:rPr>
            </w:pPr>
          </w:p>
        </w:tc>
        <w:tc>
          <w:tcPr>
            <w:tcW w:w="1079" w:type="dxa"/>
            <w:tcBorders>
              <w:top w:val="single" w:sz="4" w:space="0" w:color="008000"/>
              <w:bottom w:val="single" w:sz="12" w:space="0" w:color="008000"/>
            </w:tcBorders>
            <w:shd w:val="clear" w:color="auto" w:fill="FFFFFF"/>
          </w:tcPr>
          <w:p w14:paraId="00815816" w14:textId="77777777" w:rsidR="00E751EC" w:rsidRPr="007300FC" w:rsidRDefault="00E751EC" w:rsidP="00A23F24">
            <w:pPr>
              <w:pStyle w:val="CETBodytext"/>
              <w:ind w:right="-1"/>
              <w:jc w:val="center"/>
              <w:rPr>
                <w:rFonts w:cs="Arial"/>
                <w:sz w:val="16"/>
                <w:szCs w:val="16"/>
              </w:rPr>
            </w:pPr>
          </w:p>
        </w:tc>
        <w:tc>
          <w:tcPr>
            <w:tcW w:w="1075" w:type="dxa"/>
            <w:tcBorders>
              <w:top w:val="single" w:sz="4" w:space="0" w:color="008000"/>
              <w:bottom w:val="single" w:sz="12" w:space="0" w:color="008000"/>
            </w:tcBorders>
            <w:shd w:val="clear" w:color="auto" w:fill="FFFFFF"/>
          </w:tcPr>
          <w:p w14:paraId="7D1CF79D" w14:textId="77777777" w:rsidR="00E751EC" w:rsidRDefault="00E751EC" w:rsidP="00A23F24">
            <w:pPr>
              <w:pStyle w:val="CETBodytext"/>
              <w:ind w:right="-1"/>
              <w:jc w:val="center"/>
              <w:rPr>
                <w:sz w:val="16"/>
                <w:szCs w:val="16"/>
                <w:lang w:val="en-GB"/>
              </w:rPr>
            </w:pPr>
          </w:p>
        </w:tc>
      </w:tr>
      <w:tr w:rsidR="00E751EC" w:rsidRPr="000A035B" w14:paraId="254E735E" w14:textId="77777777" w:rsidTr="00A23F24">
        <w:trPr>
          <w:trHeight w:val="771"/>
        </w:trPr>
        <w:tc>
          <w:tcPr>
            <w:tcW w:w="404" w:type="dxa"/>
            <w:tcBorders>
              <w:top w:val="single" w:sz="4" w:space="0" w:color="008000"/>
              <w:bottom w:val="single" w:sz="12" w:space="0" w:color="008000"/>
            </w:tcBorders>
            <w:shd w:val="clear" w:color="auto" w:fill="FFFFFF"/>
          </w:tcPr>
          <w:p w14:paraId="4B5B516A" w14:textId="77777777" w:rsidR="00E751EC" w:rsidRDefault="00E751EC" w:rsidP="00A23F24">
            <w:pPr>
              <w:pStyle w:val="CETBodytext"/>
              <w:ind w:right="-1"/>
              <w:jc w:val="center"/>
              <w:rPr>
                <w:sz w:val="16"/>
                <w:szCs w:val="16"/>
                <w:lang w:val="en-GB"/>
              </w:rPr>
            </w:pPr>
            <w:r>
              <w:rPr>
                <w:sz w:val="16"/>
                <w:szCs w:val="16"/>
                <w:lang w:val="en-GB"/>
              </w:rPr>
              <w:t>1.9</w:t>
            </w:r>
          </w:p>
        </w:tc>
        <w:tc>
          <w:tcPr>
            <w:tcW w:w="672" w:type="dxa"/>
            <w:tcBorders>
              <w:top w:val="single" w:sz="4" w:space="0" w:color="008000"/>
              <w:bottom w:val="single" w:sz="12" w:space="0" w:color="008000"/>
            </w:tcBorders>
            <w:shd w:val="clear" w:color="auto" w:fill="FFFFFF"/>
          </w:tcPr>
          <w:p w14:paraId="094F1D70" w14:textId="77777777" w:rsidR="00E751EC" w:rsidRDefault="00E751EC" w:rsidP="00A23F24">
            <w:pPr>
              <w:jc w:val="center"/>
              <w:rPr>
                <w:sz w:val="16"/>
                <w:szCs w:val="16"/>
              </w:rPr>
            </w:pPr>
            <w:r>
              <w:rPr>
                <w:sz w:val="16"/>
                <w:szCs w:val="16"/>
              </w:rPr>
              <w:t>3BhhP</w:t>
            </w:r>
          </w:p>
        </w:tc>
        <w:tc>
          <w:tcPr>
            <w:tcW w:w="808" w:type="dxa"/>
            <w:tcBorders>
              <w:top w:val="single" w:sz="4" w:space="0" w:color="008000"/>
              <w:bottom w:val="single" w:sz="12" w:space="0" w:color="008000"/>
            </w:tcBorders>
            <w:shd w:val="clear" w:color="auto" w:fill="FFFFFF"/>
          </w:tcPr>
          <w:p w14:paraId="3B290191" w14:textId="77777777" w:rsidR="00E751EC" w:rsidRDefault="00E751EC" w:rsidP="00A23F24">
            <w:pPr>
              <w:jc w:val="center"/>
              <w:rPr>
                <w:sz w:val="16"/>
                <w:szCs w:val="16"/>
              </w:rPr>
            </w:pPr>
            <w:r>
              <w:rPr>
                <w:sz w:val="16"/>
                <w:szCs w:val="16"/>
              </w:rPr>
              <w:t>3BhP</w:t>
            </w:r>
          </w:p>
          <w:p w14:paraId="2F2DF423" w14:textId="77777777" w:rsidR="00E751EC" w:rsidRDefault="00E751EC" w:rsidP="00A23F24">
            <w:pPr>
              <w:jc w:val="center"/>
              <w:rPr>
                <w:sz w:val="16"/>
                <w:szCs w:val="16"/>
              </w:rPr>
            </w:pPr>
          </w:p>
        </w:tc>
        <w:tc>
          <w:tcPr>
            <w:tcW w:w="943" w:type="dxa"/>
            <w:tcBorders>
              <w:top w:val="single" w:sz="4" w:space="0" w:color="008000"/>
              <w:bottom w:val="single" w:sz="12" w:space="0" w:color="008000"/>
            </w:tcBorders>
            <w:shd w:val="clear" w:color="auto" w:fill="FFFFFF"/>
          </w:tcPr>
          <w:p w14:paraId="10FBC21A" w14:textId="77777777" w:rsidR="00E751EC" w:rsidRDefault="00E751EC" w:rsidP="00A23F24">
            <w:pPr>
              <w:jc w:val="center"/>
              <w:rPr>
                <w:sz w:val="16"/>
                <w:szCs w:val="16"/>
              </w:rPr>
            </w:pPr>
            <w:r>
              <w:rPr>
                <w:sz w:val="16"/>
                <w:szCs w:val="16"/>
              </w:rPr>
              <w:t>Release from cracks generated by overpressure</w:t>
            </w:r>
          </w:p>
        </w:tc>
        <w:tc>
          <w:tcPr>
            <w:tcW w:w="1480" w:type="dxa"/>
            <w:tcBorders>
              <w:top w:val="single" w:sz="4" w:space="0" w:color="008000"/>
              <w:bottom w:val="single" w:sz="12" w:space="0" w:color="008000"/>
            </w:tcBorders>
            <w:shd w:val="clear" w:color="auto" w:fill="FFFFFF"/>
          </w:tcPr>
          <w:p w14:paraId="25521BB1" w14:textId="77777777" w:rsidR="00E751EC" w:rsidRDefault="00E751EC" w:rsidP="00A23F24">
            <w:pPr>
              <w:jc w:val="center"/>
              <w:rPr>
                <w:sz w:val="16"/>
                <w:szCs w:val="16"/>
              </w:rPr>
            </w:pPr>
            <w:r>
              <w:rPr>
                <w:sz w:val="16"/>
                <w:szCs w:val="16"/>
              </w:rPr>
              <w:t>Release from F-20</w:t>
            </w:r>
          </w:p>
        </w:tc>
        <w:tc>
          <w:tcPr>
            <w:tcW w:w="808" w:type="dxa"/>
            <w:tcBorders>
              <w:top w:val="single" w:sz="4" w:space="0" w:color="008000"/>
              <w:bottom w:val="single" w:sz="12" w:space="0" w:color="008000"/>
            </w:tcBorders>
            <w:shd w:val="clear" w:color="auto" w:fill="FFFFFF"/>
          </w:tcPr>
          <w:p w14:paraId="59FD0A46" w14:textId="77777777" w:rsidR="00E751EC" w:rsidRDefault="00E751EC" w:rsidP="00A23F24">
            <w:pPr>
              <w:jc w:val="center"/>
              <w:rPr>
                <w:sz w:val="16"/>
                <w:szCs w:val="16"/>
              </w:rPr>
            </w:pPr>
          </w:p>
        </w:tc>
        <w:tc>
          <w:tcPr>
            <w:tcW w:w="1078" w:type="dxa"/>
            <w:tcBorders>
              <w:top w:val="single" w:sz="4" w:space="0" w:color="008000"/>
              <w:bottom w:val="single" w:sz="12" w:space="0" w:color="008000"/>
              <w:right w:val="single" w:sz="12" w:space="0" w:color="FFFFFF" w:themeColor="background1"/>
            </w:tcBorders>
            <w:shd w:val="clear" w:color="auto" w:fill="FFFFFF"/>
          </w:tcPr>
          <w:p w14:paraId="5B800960" w14:textId="77777777" w:rsidR="00E751EC" w:rsidRDefault="00E751EC" w:rsidP="00A23F24">
            <w:pPr>
              <w:pStyle w:val="CETBodytext"/>
              <w:ind w:right="-1"/>
              <w:jc w:val="center"/>
              <w:rPr>
                <w:sz w:val="16"/>
                <w:szCs w:val="16"/>
                <w:lang w:val="en-GB"/>
              </w:rPr>
            </w:pPr>
          </w:p>
        </w:tc>
        <w:tc>
          <w:tcPr>
            <w:tcW w:w="807" w:type="dxa"/>
            <w:tcBorders>
              <w:top w:val="single" w:sz="4" w:space="0" w:color="008000"/>
              <w:left w:val="single" w:sz="12" w:space="0" w:color="FFFFFF" w:themeColor="background1"/>
              <w:bottom w:val="single" w:sz="12" w:space="0" w:color="008000"/>
            </w:tcBorders>
            <w:shd w:val="clear" w:color="auto" w:fill="FFFFFF"/>
          </w:tcPr>
          <w:p w14:paraId="59F4A1EF" w14:textId="77777777" w:rsidR="00E751EC" w:rsidRDefault="00E751EC" w:rsidP="00A23F24">
            <w:pPr>
              <w:jc w:val="center"/>
              <w:rPr>
                <w:sz w:val="16"/>
                <w:szCs w:val="16"/>
              </w:rPr>
            </w:pPr>
            <w:r>
              <w:rPr>
                <w:sz w:val="16"/>
                <w:szCs w:val="16"/>
              </w:rPr>
              <w:t>RC-1002G</w:t>
            </w:r>
          </w:p>
        </w:tc>
        <w:tc>
          <w:tcPr>
            <w:tcW w:w="1079" w:type="dxa"/>
            <w:tcBorders>
              <w:top w:val="single" w:sz="4" w:space="0" w:color="008000"/>
              <w:bottom w:val="single" w:sz="12" w:space="0" w:color="008000"/>
            </w:tcBorders>
            <w:shd w:val="clear" w:color="auto" w:fill="FFFFFF"/>
          </w:tcPr>
          <w:p w14:paraId="18F5238B" w14:textId="77777777" w:rsidR="00E751EC" w:rsidRPr="007300FC" w:rsidRDefault="00E751EC" w:rsidP="00A23F24">
            <w:pPr>
              <w:pStyle w:val="CETBodytext"/>
              <w:ind w:right="-1"/>
              <w:jc w:val="center"/>
              <w:rPr>
                <w:rFonts w:cs="Arial"/>
                <w:sz w:val="16"/>
                <w:szCs w:val="16"/>
              </w:rPr>
            </w:pPr>
          </w:p>
        </w:tc>
        <w:tc>
          <w:tcPr>
            <w:tcW w:w="1075" w:type="dxa"/>
            <w:tcBorders>
              <w:top w:val="single" w:sz="4" w:space="0" w:color="008000"/>
              <w:bottom w:val="single" w:sz="12" w:space="0" w:color="008000"/>
            </w:tcBorders>
            <w:shd w:val="clear" w:color="auto" w:fill="FFFFFF"/>
          </w:tcPr>
          <w:p w14:paraId="0F615D8C" w14:textId="77777777" w:rsidR="00E751EC" w:rsidRDefault="00E751EC" w:rsidP="00A23F24">
            <w:pPr>
              <w:pStyle w:val="CETBodytext"/>
              <w:ind w:right="-1"/>
              <w:jc w:val="center"/>
              <w:rPr>
                <w:sz w:val="16"/>
                <w:szCs w:val="16"/>
                <w:lang w:val="en-GB"/>
              </w:rPr>
            </w:pPr>
            <w:r>
              <w:rPr>
                <w:sz w:val="16"/>
                <w:szCs w:val="16"/>
                <w:lang w:val="en-GB"/>
              </w:rPr>
              <w:t>TE3</w:t>
            </w:r>
          </w:p>
        </w:tc>
      </w:tr>
      <w:tr w:rsidR="00E751EC" w:rsidRPr="000A035B" w14:paraId="2442CF82" w14:textId="77777777" w:rsidTr="00A23F24">
        <w:trPr>
          <w:trHeight w:val="591"/>
        </w:trPr>
        <w:tc>
          <w:tcPr>
            <w:tcW w:w="404" w:type="dxa"/>
            <w:tcBorders>
              <w:top w:val="single" w:sz="4" w:space="0" w:color="008000"/>
              <w:bottom w:val="single" w:sz="12" w:space="0" w:color="008000"/>
            </w:tcBorders>
            <w:shd w:val="clear" w:color="auto" w:fill="FFFFFF"/>
          </w:tcPr>
          <w:p w14:paraId="4DAC96C5" w14:textId="77777777" w:rsidR="00E751EC" w:rsidRDefault="00E751EC" w:rsidP="00A23F24">
            <w:pPr>
              <w:pStyle w:val="CETBodytext"/>
              <w:ind w:right="-1"/>
              <w:jc w:val="center"/>
              <w:rPr>
                <w:sz w:val="16"/>
                <w:szCs w:val="16"/>
                <w:lang w:val="en-GB"/>
              </w:rPr>
            </w:pPr>
            <w:r>
              <w:rPr>
                <w:sz w:val="16"/>
                <w:szCs w:val="16"/>
                <w:lang w:val="en-GB"/>
              </w:rPr>
              <w:t>1.10</w:t>
            </w:r>
          </w:p>
        </w:tc>
        <w:tc>
          <w:tcPr>
            <w:tcW w:w="672" w:type="dxa"/>
            <w:tcBorders>
              <w:top w:val="single" w:sz="4" w:space="0" w:color="008000"/>
              <w:bottom w:val="single" w:sz="12" w:space="0" w:color="008000"/>
            </w:tcBorders>
            <w:shd w:val="clear" w:color="auto" w:fill="FFFFFF"/>
          </w:tcPr>
          <w:p w14:paraId="7120D130" w14:textId="77777777" w:rsidR="00E751EC" w:rsidRDefault="00E751EC" w:rsidP="00A23F24">
            <w:pPr>
              <w:jc w:val="center"/>
              <w:rPr>
                <w:sz w:val="16"/>
                <w:szCs w:val="16"/>
              </w:rPr>
            </w:pPr>
            <w:r>
              <w:rPr>
                <w:sz w:val="16"/>
                <w:szCs w:val="16"/>
              </w:rPr>
              <w:t>4AhF</w:t>
            </w:r>
          </w:p>
        </w:tc>
        <w:tc>
          <w:tcPr>
            <w:tcW w:w="808" w:type="dxa"/>
            <w:tcBorders>
              <w:top w:val="single" w:sz="4" w:space="0" w:color="008000"/>
              <w:bottom w:val="single" w:sz="12" w:space="0" w:color="008000"/>
            </w:tcBorders>
            <w:shd w:val="clear" w:color="auto" w:fill="FFFFFF"/>
          </w:tcPr>
          <w:p w14:paraId="13062589" w14:textId="77777777" w:rsidR="00E751EC" w:rsidRDefault="00E751EC" w:rsidP="00A23F24">
            <w:pPr>
              <w:jc w:val="center"/>
              <w:rPr>
                <w:sz w:val="16"/>
                <w:szCs w:val="16"/>
              </w:rPr>
            </w:pPr>
            <w:r>
              <w:rPr>
                <w:sz w:val="16"/>
                <w:szCs w:val="16"/>
              </w:rPr>
              <w:t>3AhT</w:t>
            </w:r>
          </w:p>
          <w:p w14:paraId="6DDABF6D" w14:textId="77777777" w:rsidR="00E751EC" w:rsidRDefault="00E751EC" w:rsidP="00A23F24">
            <w:pPr>
              <w:jc w:val="center"/>
              <w:rPr>
                <w:sz w:val="16"/>
                <w:szCs w:val="16"/>
              </w:rPr>
            </w:pPr>
          </w:p>
        </w:tc>
        <w:tc>
          <w:tcPr>
            <w:tcW w:w="943" w:type="dxa"/>
            <w:tcBorders>
              <w:top w:val="single" w:sz="4" w:space="0" w:color="008000"/>
              <w:bottom w:val="single" w:sz="12" w:space="0" w:color="008000"/>
            </w:tcBorders>
            <w:shd w:val="clear" w:color="auto" w:fill="FFFFFF"/>
          </w:tcPr>
          <w:p w14:paraId="7BEE9D73" w14:textId="77777777" w:rsidR="00E751EC" w:rsidRDefault="00E751EC" w:rsidP="00A23F24">
            <w:pPr>
              <w:jc w:val="center"/>
              <w:rPr>
                <w:sz w:val="16"/>
                <w:szCs w:val="16"/>
              </w:rPr>
            </w:pPr>
            <w:r>
              <w:rPr>
                <w:sz w:val="16"/>
                <w:szCs w:val="16"/>
              </w:rPr>
              <w:t xml:space="preserve">Heavy fraction on top </w:t>
            </w:r>
          </w:p>
        </w:tc>
        <w:tc>
          <w:tcPr>
            <w:tcW w:w="1480" w:type="dxa"/>
            <w:tcBorders>
              <w:top w:val="single" w:sz="4" w:space="0" w:color="008000"/>
              <w:bottom w:val="single" w:sz="12" w:space="0" w:color="008000"/>
            </w:tcBorders>
            <w:shd w:val="clear" w:color="auto" w:fill="FFFFFF"/>
          </w:tcPr>
          <w:p w14:paraId="0C1B3180" w14:textId="77777777" w:rsidR="00E751EC" w:rsidRDefault="00E751EC" w:rsidP="00A23F24">
            <w:pPr>
              <w:jc w:val="center"/>
              <w:rPr>
                <w:sz w:val="16"/>
                <w:szCs w:val="16"/>
              </w:rPr>
            </w:pPr>
            <w:r>
              <w:rPr>
                <w:sz w:val="16"/>
                <w:szCs w:val="16"/>
              </w:rPr>
              <w:t>Heavy fraction on top</w:t>
            </w:r>
          </w:p>
        </w:tc>
        <w:tc>
          <w:tcPr>
            <w:tcW w:w="808" w:type="dxa"/>
            <w:tcBorders>
              <w:top w:val="single" w:sz="4" w:space="0" w:color="008000"/>
              <w:bottom w:val="single" w:sz="12" w:space="0" w:color="008000"/>
            </w:tcBorders>
            <w:shd w:val="clear" w:color="auto" w:fill="FFFFFF"/>
          </w:tcPr>
          <w:p w14:paraId="0A46C48F" w14:textId="77777777" w:rsidR="00E751EC" w:rsidRDefault="00E751EC" w:rsidP="00A23F24">
            <w:pPr>
              <w:jc w:val="center"/>
              <w:rPr>
                <w:sz w:val="16"/>
                <w:szCs w:val="16"/>
              </w:rPr>
            </w:pPr>
          </w:p>
        </w:tc>
        <w:tc>
          <w:tcPr>
            <w:tcW w:w="1078" w:type="dxa"/>
            <w:tcBorders>
              <w:top w:val="single" w:sz="4" w:space="0" w:color="008000"/>
              <w:bottom w:val="single" w:sz="12" w:space="0" w:color="008000"/>
              <w:right w:val="single" w:sz="12" w:space="0" w:color="FFFFFF" w:themeColor="background1"/>
            </w:tcBorders>
            <w:shd w:val="clear" w:color="auto" w:fill="FFFFFF"/>
          </w:tcPr>
          <w:p w14:paraId="57EF593F" w14:textId="77777777" w:rsidR="00E751EC" w:rsidRDefault="00E751EC" w:rsidP="00A23F24">
            <w:pPr>
              <w:pStyle w:val="CETBodytext"/>
              <w:ind w:right="-1"/>
              <w:jc w:val="center"/>
              <w:rPr>
                <w:sz w:val="16"/>
                <w:szCs w:val="16"/>
                <w:lang w:val="en-GB"/>
              </w:rPr>
            </w:pPr>
          </w:p>
        </w:tc>
        <w:tc>
          <w:tcPr>
            <w:tcW w:w="807" w:type="dxa"/>
            <w:tcBorders>
              <w:top w:val="single" w:sz="4" w:space="0" w:color="008000"/>
              <w:left w:val="single" w:sz="12" w:space="0" w:color="FFFFFF" w:themeColor="background1"/>
              <w:bottom w:val="single" w:sz="12" w:space="0" w:color="008000"/>
            </w:tcBorders>
            <w:shd w:val="clear" w:color="auto" w:fill="FFFFFF"/>
          </w:tcPr>
          <w:p w14:paraId="143FA1AD" w14:textId="77777777" w:rsidR="00E751EC" w:rsidRDefault="00E751EC" w:rsidP="00A23F24">
            <w:pPr>
              <w:jc w:val="center"/>
              <w:rPr>
                <w:sz w:val="16"/>
                <w:szCs w:val="16"/>
              </w:rPr>
            </w:pPr>
          </w:p>
        </w:tc>
        <w:tc>
          <w:tcPr>
            <w:tcW w:w="1079" w:type="dxa"/>
            <w:tcBorders>
              <w:top w:val="single" w:sz="4" w:space="0" w:color="008000"/>
              <w:bottom w:val="single" w:sz="12" w:space="0" w:color="008000"/>
            </w:tcBorders>
            <w:shd w:val="clear" w:color="auto" w:fill="FFFFFF"/>
          </w:tcPr>
          <w:p w14:paraId="682A30E1" w14:textId="77777777" w:rsidR="00E751EC" w:rsidRPr="007300FC" w:rsidRDefault="00E751EC" w:rsidP="00A23F24">
            <w:pPr>
              <w:pStyle w:val="CETBodytext"/>
              <w:ind w:right="-1"/>
              <w:jc w:val="center"/>
              <w:rPr>
                <w:rFonts w:cs="Arial"/>
                <w:sz w:val="16"/>
                <w:szCs w:val="16"/>
              </w:rPr>
            </w:pPr>
          </w:p>
        </w:tc>
        <w:tc>
          <w:tcPr>
            <w:tcW w:w="1075" w:type="dxa"/>
            <w:tcBorders>
              <w:top w:val="single" w:sz="4" w:space="0" w:color="008000"/>
              <w:bottom w:val="single" w:sz="12" w:space="0" w:color="008000"/>
            </w:tcBorders>
            <w:shd w:val="clear" w:color="auto" w:fill="FFFFFF"/>
          </w:tcPr>
          <w:p w14:paraId="35A20912" w14:textId="77777777" w:rsidR="00E751EC" w:rsidRDefault="00E751EC" w:rsidP="00A23F24">
            <w:pPr>
              <w:pStyle w:val="CETBodytext"/>
              <w:ind w:right="-1"/>
              <w:jc w:val="center"/>
              <w:rPr>
                <w:sz w:val="16"/>
                <w:szCs w:val="16"/>
                <w:lang w:val="en-GB"/>
              </w:rPr>
            </w:pPr>
          </w:p>
        </w:tc>
      </w:tr>
      <w:tr w:rsidR="00E751EC" w:rsidRPr="000A035B" w14:paraId="1429890F" w14:textId="77777777" w:rsidTr="00A23F24">
        <w:trPr>
          <w:trHeight w:val="438"/>
        </w:trPr>
        <w:tc>
          <w:tcPr>
            <w:tcW w:w="404" w:type="dxa"/>
            <w:tcBorders>
              <w:top w:val="single" w:sz="4" w:space="0" w:color="008000"/>
              <w:bottom w:val="single" w:sz="12" w:space="0" w:color="008000"/>
            </w:tcBorders>
            <w:shd w:val="clear" w:color="auto" w:fill="FFFFFF"/>
          </w:tcPr>
          <w:p w14:paraId="321F6B25" w14:textId="77777777" w:rsidR="00E751EC" w:rsidRDefault="00E751EC" w:rsidP="00A23F24">
            <w:pPr>
              <w:pStyle w:val="CETBodytext"/>
              <w:ind w:right="-1"/>
              <w:jc w:val="center"/>
              <w:rPr>
                <w:sz w:val="16"/>
                <w:szCs w:val="16"/>
                <w:lang w:val="en-GB"/>
              </w:rPr>
            </w:pPr>
            <w:r>
              <w:rPr>
                <w:sz w:val="16"/>
                <w:szCs w:val="16"/>
                <w:lang w:val="en-GB"/>
              </w:rPr>
              <w:t>1.11</w:t>
            </w:r>
          </w:p>
        </w:tc>
        <w:tc>
          <w:tcPr>
            <w:tcW w:w="672" w:type="dxa"/>
            <w:tcBorders>
              <w:top w:val="single" w:sz="4" w:space="0" w:color="008000"/>
              <w:bottom w:val="single" w:sz="12" w:space="0" w:color="008000"/>
            </w:tcBorders>
            <w:shd w:val="clear" w:color="auto" w:fill="FFFFFF"/>
          </w:tcPr>
          <w:p w14:paraId="7A5E37C4" w14:textId="77777777" w:rsidR="00E751EC" w:rsidRDefault="00E751EC" w:rsidP="00A23F24">
            <w:pPr>
              <w:jc w:val="center"/>
              <w:rPr>
                <w:sz w:val="16"/>
                <w:szCs w:val="16"/>
              </w:rPr>
            </w:pPr>
            <w:r>
              <w:rPr>
                <w:sz w:val="16"/>
                <w:szCs w:val="16"/>
              </w:rPr>
              <w:t>4BlF</w:t>
            </w:r>
          </w:p>
        </w:tc>
        <w:tc>
          <w:tcPr>
            <w:tcW w:w="808" w:type="dxa"/>
            <w:tcBorders>
              <w:top w:val="single" w:sz="4" w:space="0" w:color="008000"/>
              <w:bottom w:val="single" w:sz="12" w:space="0" w:color="008000"/>
            </w:tcBorders>
            <w:shd w:val="clear" w:color="auto" w:fill="FFFFFF"/>
          </w:tcPr>
          <w:p w14:paraId="0B8E456E" w14:textId="77777777" w:rsidR="00E751EC" w:rsidRDefault="00E751EC" w:rsidP="00A23F24">
            <w:pPr>
              <w:jc w:val="center"/>
              <w:rPr>
                <w:sz w:val="16"/>
                <w:szCs w:val="16"/>
              </w:rPr>
            </w:pPr>
            <w:r>
              <w:rPr>
                <w:sz w:val="16"/>
                <w:szCs w:val="16"/>
              </w:rPr>
              <w:t>3AhT</w:t>
            </w:r>
          </w:p>
          <w:p w14:paraId="6C0A3DBD" w14:textId="77777777" w:rsidR="00E751EC" w:rsidRDefault="00E751EC" w:rsidP="00A23F24">
            <w:pPr>
              <w:jc w:val="center"/>
              <w:rPr>
                <w:sz w:val="16"/>
                <w:szCs w:val="16"/>
              </w:rPr>
            </w:pPr>
          </w:p>
        </w:tc>
        <w:tc>
          <w:tcPr>
            <w:tcW w:w="943" w:type="dxa"/>
            <w:tcBorders>
              <w:top w:val="single" w:sz="4" w:space="0" w:color="008000"/>
              <w:bottom w:val="single" w:sz="12" w:space="0" w:color="008000"/>
            </w:tcBorders>
            <w:shd w:val="clear" w:color="auto" w:fill="FFFFFF"/>
          </w:tcPr>
          <w:p w14:paraId="5FEF5F03" w14:textId="77777777" w:rsidR="00E751EC" w:rsidRDefault="00E751EC" w:rsidP="00A23F24">
            <w:pPr>
              <w:jc w:val="center"/>
              <w:rPr>
                <w:sz w:val="16"/>
                <w:szCs w:val="16"/>
              </w:rPr>
            </w:pPr>
            <w:r>
              <w:rPr>
                <w:sz w:val="16"/>
                <w:szCs w:val="16"/>
              </w:rPr>
              <w:t>Light fraction in bottom</w:t>
            </w:r>
          </w:p>
        </w:tc>
        <w:tc>
          <w:tcPr>
            <w:tcW w:w="1480" w:type="dxa"/>
            <w:tcBorders>
              <w:top w:val="single" w:sz="4" w:space="0" w:color="008000"/>
              <w:bottom w:val="single" w:sz="12" w:space="0" w:color="008000"/>
            </w:tcBorders>
            <w:shd w:val="clear" w:color="auto" w:fill="FFFFFF"/>
          </w:tcPr>
          <w:p w14:paraId="7D1CF0E5" w14:textId="77777777" w:rsidR="00E751EC" w:rsidRDefault="00E751EC" w:rsidP="00A23F24">
            <w:pPr>
              <w:jc w:val="center"/>
              <w:rPr>
                <w:sz w:val="16"/>
                <w:szCs w:val="16"/>
              </w:rPr>
            </w:pPr>
            <w:r>
              <w:rPr>
                <w:sz w:val="16"/>
                <w:szCs w:val="16"/>
              </w:rPr>
              <w:t>Light fraction in bottom</w:t>
            </w:r>
          </w:p>
        </w:tc>
        <w:tc>
          <w:tcPr>
            <w:tcW w:w="808" w:type="dxa"/>
            <w:tcBorders>
              <w:top w:val="single" w:sz="4" w:space="0" w:color="008000"/>
              <w:bottom w:val="single" w:sz="12" w:space="0" w:color="008000"/>
            </w:tcBorders>
            <w:shd w:val="clear" w:color="auto" w:fill="FFFFFF"/>
          </w:tcPr>
          <w:p w14:paraId="5A52763A" w14:textId="77777777" w:rsidR="00E751EC" w:rsidRDefault="00E751EC" w:rsidP="00A23F24">
            <w:pPr>
              <w:jc w:val="center"/>
              <w:rPr>
                <w:sz w:val="16"/>
                <w:szCs w:val="16"/>
              </w:rPr>
            </w:pPr>
          </w:p>
        </w:tc>
        <w:tc>
          <w:tcPr>
            <w:tcW w:w="1078" w:type="dxa"/>
            <w:tcBorders>
              <w:top w:val="single" w:sz="4" w:space="0" w:color="008000"/>
              <w:bottom w:val="single" w:sz="12" w:space="0" w:color="008000"/>
              <w:right w:val="single" w:sz="12" w:space="0" w:color="FFFFFF" w:themeColor="background1"/>
            </w:tcBorders>
            <w:shd w:val="clear" w:color="auto" w:fill="FFFFFF"/>
          </w:tcPr>
          <w:p w14:paraId="288E84C9" w14:textId="77777777" w:rsidR="00E751EC" w:rsidRDefault="00E751EC" w:rsidP="00A23F24">
            <w:pPr>
              <w:pStyle w:val="CETBodytext"/>
              <w:ind w:right="-1"/>
              <w:jc w:val="center"/>
              <w:rPr>
                <w:sz w:val="16"/>
                <w:szCs w:val="16"/>
                <w:lang w:val="en-GB"/>
              </w:rPr>
            </w:pPr>
          </w:p>
        </w:tc>
        <w:tc>
          <w:tcPr>
            <w:tcW w:w="807" w:type="dxa"/>
            <w:tcBorders>
              <w:top w:val="single" w:sz="4" w:space="0" w:color="008000"/>
              <w:left w:val="single" w:sz="12" w:space="0" w:color="FFFFFF" w:themeColor="background1"/>
              <w:bottom w:val="single" w:sz="12" w:space="0" w:color="008000"/>
            </w:tcBorders>
            <w:shd w:val="clear" w:color="auto" w:fill="FFFFFF"/>
          </w:tcPr>
          <w:p w14:paraId="7E88D434" w14:textId="77777777" w:rsidR="00E751EC" w:rsidRDefault="00E751EC" w:rsidP="00A23F24">
            <w:pPr>
              <w:jc w:val="center"/>
              <w:rPr>
                <w:sz w:val="16"/>
                <w:szCs w:val="16"/>
              </w:rPr>
            </w:pPr>
          </w:p>
        </w:tc>
        <w:tc>
          <w:tcPr>
            <w:tcW w:w="1079" w:type="dxa"/>
            <w:tcBorders>
              <w:top w:val="single" w:sz="4" w:space="0" w:color="008000"/>
              <w:bottom w:val="single" w:sz="12" w:space="0" w:color="008000"/>
            </w:tcBorders>
            <w:shd w:val="clear" w:color="auto" w:fill="FFFFFF"/>
          </w:tcPr>
          <w:p w14:paraId="6241D024" w14:textId="77777777" w:rsidR="00E751EC" w:rsidRPr="007300FC" w:rsidRDefault="00E751EC" w:rsidP="00A23F24">
            <w:pPr>
              <w:pStyle w:val="CETBodytext"/>
              <w:ind w:right="-1"/>
              <w:jc w:val="center"/>
              <w:rPr>
                <w:rFonts w:cs="Arial"/>
                <w:sz w:val="16"/>
                <w:szCs w:val="16"/>
              </w:rPr>
            </w:pPr>
          </w:p>
        </w:tc>
        <w:tc>
          <w:tcPr>
            <w:tcW w:w="1075" w:type="dxa"/>
            <w:tcBorders>
              <w:top w:val="single" w:sz="4" w:space="0" w:color="008000"/>
              <w:bottom w:val="single" w:sz="12" w:space="0" w:color="008000"/>
            </w:tcBorders>
            <w:shd w:val="clear" w:color="auto" w:fill="FFFFFF"/>
          </w:tcPr>
          <w:p w14:paraId="11DADBA8" w14:textId="77777777" w:rsidR="00E751EC" w:rsidRDefault="00E751EC" w:rsidP="00A23F24">
            <w:pPr>
              <w:pStyle w:val="CETBodytext"/>
              <w:ind w:right="-1"/>
              <w:jc w:val="center"/>
              <w:rPr>
                <w:sz w:val="16"/>
                <w:szCs w:val="16"/>
                <w:lang w:val="en-GB"/>
              </w:rPr>
            </w:pPr>
          </w:p>
        </w:tc>
      </w:tr>
    </w:tbl>
    <w:p w14:paraId="187BD3CD" w14:textId="77777777" w:rsidR="00E751EC" w:rsidRDefault="00E751EC" w:rsidP="00E751EC">
      <w:pPr>
        <w:pStyle w:val="CETBodytext"/>
        <w:rPr>
          <w:lang w:val="en-GB"/>
        </w:rPr>
      </w:pPr>
    </w:p>
    <w:p w14:paraId="617920A9" w14:textId="531DD7B4" w:rsidR="00E751EC" w:rsidRPr="00234F67" w:rsidRDefault="00E751EC" w:rsidP="00E751EC">
      <w:pPr>
        <w:pStyle w:val="CETBodytext"/>
        <w:rPr>
          <w:lang w:val="en-GB"/>
        </w:rPr>
      </w:pPr>
      <w:r>
        <w:rPr>
          <w:lang w:val="en-GB"/>
        </w:rPr>
        <w:t xml:space="preserve">From the analysis, three Top Events </w:t>
      </w:r>
      <w:r w:rsidR="001B0C96">
        <w:rPr>
          <w:lang w:val="en-GB"/>
        </w:rPr>
        <w:t xml:space="preserve">were </w:t>
      </w:r>
      <w:r>
        <w:rPr>
          <w:lang w:val="en-GB"/>
        </w:rPr>
        <w:t xml:space="preserve">identified. TE1 </w:t>
      </w:r>
      <w:r w:rsidR="00D914BA">
        <w:rPr>
          <w:lang w:val="en-GB"/>
        </w:rPr>
        <w:t>i</w:t>
      </w:r>
      <w:r w:rsidR="00503B5A">
        <w:rPr>
          <w:lang w:val="en-GB"/>
        </w:rPr>
        <w:t xml:space="preserve">s </w:t>
      </w:r>
      <w:r>
        <w:rPr>
          <w:lang w:val="en-GB"/>
        </w:rPr>
        <w:t xml:space="preserve">the column flooding, caused by a very high level of liquid. The level may rise due to failure of pumps, flow control valves, temperature control or human error (operators can change operating conditions). This deviation </w:t>
      </w:r>
      <w:r w:rsidR="00503B5A">
        <w:rPr>
          <w:lang w:val="en-GB"/>
        </w:rPr>
        <w:t xml:space="preserve">was </w:t>
      </w:r>
      <w:r>
        <w:rPr>
          <w:lang w:val="en-GB"/>
        </w:rPr>
        <w:t xml:space="preserve">protected by both manual intervention (double level alarm LAH-5102 and LAHH-5102), and automatic valves (LCV-5100). TE2 and TE3 </w:t>
      </w:r>
      <w:r w:rsidR="00D914BA">
        <w:rPr>
          <w:lang w:val="en-GB"/>
        </w:rPr>
        <w:t>are</w:t>
      </w:r>
      <w:r w:rsidR="00503B5A">
        <w:rPr>
          <w:lang w:val="en-GB"/>
        </w:rPr>
        <w:t xml:space="preserve"> </w:t>
      </w:r>
      <w:r>
        <w:rPr>
          <w:lang w:val="en-GB"/>
        </w:rPr>
        <w:t xml:space="preserve">events related to overpressures generated in the column and in the condenser, respectively. Even in this case, several pressure control valves connected with the blowdown system F-20 </w:t>
      </w:r>
      <w:r w:rsidR="00D914BA">
        <w:rPr>
          <w:lang w:val="en-GB"/>
        </w:rPr>
        <w:t>are</w:t>
      </w:r>
      <w:r w:rsidR="00503B5A">
        <w:rPr>
          <w:lang w:val="en-GB"/>
        </w:rPr>
        <w:t xml:space="preserve"> </w:t>
      </w:r>
      <w:r>
        <w:rPr>
          <w:lang w:val="en-GB"/>
        </w:rPr>
        <w:t xml:space="preserve">present. PCV-5002/3 </w:t>
      </w:r>
      <w:r w:rsidR="00D914BA">
        <w:rPr>
          <w:lang w:val="en-GB"/>
        </w:rPr>
        <w:t>are</w:t>
      </w:r>
      <w:r w:rsidR="00503B5A">
        <w:rPr>
          <w:lang w:val="en-GB"/>
        </w:rPr>
        <w:t xml:space="preserve"> </w:t>
      </w:r>
      <w:r>
        <w:rPr>
          <w:lang w:val="en-GB"/>
        </w:rPr>
        <w:t xml:space="preserve">manually operated valves, while RV-1001 A/B/C and RC-1002G </w:t>
      </w:r>
      <w:r w:rsidR="00D914BA">
        <w:rPr>
          <w:lang w:val="en-GB"/>
        </w:rPr>
        <w:t>are</w:t>
      </w:r>
      <w:r w:rsidR="00503B5A">
        <w:rPr>
          <w:lang w:val="en-GB"/>
        </w:rPr>
        <w:t xml:space="preserve"> </w:t>
      </w:r>
      <w:r>
        <w:rPr>
          <w:lang w:val="en-GB"/>
        </w:rPr>
        <w:t>automatic relief valves. When protections work, the lighter fraction is vented to the atmosphere through F-20, while the heavy fraction is sent to both sewer and pumped by J-14A.</w:t>
      </w:r>
      <w:r w:rsidR="00D914BA">
        <w:rPr>
          <w:lang w:val="en-GB"/>
        </w:rPr>
        <w:t xml:space="preserve"> </w:t>
      </w:r>
    </w:p>
    <w:p w14:paraId="7EE6CE47" w14:textId="77777777" w:rsidR="00E751EC" w:rsidRDefault="00E751EC" w:rsidP="00D210B0">
      <w:pPr>
        <w:pStyle w:val="CETheadingx"/>
      </w:pPr>
      <w:r>
        <w:t>FTA</w:t>
      </w:r>
    </w:p>
    <w:p w14:paraId="778486A8" w14:textId="6009FAC0" w:rsidR="00E751EC" w:rsidRDefault="00D914BA" w:rsidP="00E751EC">
      <w:pPr>
        <w:pStyle w:val="CETBodytext"/>
      </w:pPr>
      <w:r>
        <w:t>For what concerns the Fault Tree</w:t>
      </w:r>
      <w:r w:rsidR="00E52610">
        <w:t>s</w:t>
      </w:r>
      <w:r>
        <w:t xml:space="preserve"> developed, it is worth noticing that multiple barriers are always present, highlighting, in theory, a well-designed setup. </w:t>
      </w:r>
      <w:r w:rsidR="00E751EC">
        <w:t xml:space="preserve">From Table 2, Fault Trees </w:t>
      </w:r>
      <w:r w:rsidR="008A227A">
        <w:t>were</w:t>
      </w:r>
      <w:r w:rsidR="00E751EC">
        <w:t xml:space="preserve"> generated and solved with </w:t>
      </w:r>
      <w:proofErr w:type="spellStart"/>
      <w:r w:rsidR="00E751EC">
        <w:t>OpenFTA</w:t>
      </w:r>
      <w:proofErr w:type="spellEnd"/>
      <w:r w:rsidR="00E751EC">
        <w:t xml:space="preserve"> 1.0. Basic events probabilities </w:t>
      </w:r>
      <w:r w:rsidR="008A227A">
        <w:t>were</w:t>
      </w:r>
      <w:r w:rsidR="00E751EC">
        <w:t xml:space="preserve"> found with a Poisson distribution </w:t>
      </w:r>
      <w:r w:rsidR="00E751EC">
        <w:fldChar w:fldCharType="begin"/>
      </w:r>
      <w:r w:rsidR="00E751EC">
        <w:instrText xml:space="preserve"> ADDIN ZOTERO_ITEM CSL_CITATION {"citationID":"RmdMUyGg","properties":{"formattedCitation":"(Crowl and Louvar, 2011)","plainCitation":"(Crowl and Louvar, 2011)","noteIndex":0},"citationItems":[{"id":94,"uris":["http://zotero.org/users/local/mDzd7GNh/items/UCRWIVJH"],"itemData":{"id":94,"type":"book","abstract":"The Leading Guide To Process Safety Now Extensively Updated For Today's Processes And Systems As chemical processes have grown more complex, so have the safety systems required to prevent accidents. Chemical Process Safety, Third Edition, offers students and practitioners a more fundamental understanding of safety and the application required to safely design and manage today's sophisticated processes.  The third edition continues the definitive standard of the previous editions. The content has been extensively updated to today's techniques and procedures, and two new chapters have been added. A new chapter on chemical reactivity provides the information necessary to identify, characterize, control, and manage reactive chemical hazards. A new chapter on safety procedures and designs includes new content on safely management, and specific procedures including hot work permits, lock-tag-try, and vessel entry. Subjects Include  Inherently safer design Toxicology and industrial hygiene Toxic release and dispersion models Fires and explosions, and how to prevent them Reliefs and relief sizing Hazard identification Risk assessment Safe designs and procedures Case histories  Chemical Process Safety, Third Edition, is an ideal reference for professionals. It can be used for both graduate and undergraduate instruction. This edition contains more than 480 end-of-chapter problems. A solutions manual is available for instructors.","ISBN":"978-0-13-278283-8","language":"en","note":"Google-Books-ID: R6iNZwEACAAJ","number-of-pages":"705","publisher":"Pearson Education International","source":"Google Books","title":"Chemical Process Safety: Fundamentals with Applications","title-short":"Chemical Process Safety","author":[{"family":"Crowl","given":"Daniel A."},{"family":"Louvar","given":"Joseph F."}],"issued":{"date-parts":[["2011"]]}}}],"schema":"https://github.com/citation-style-language/schema/raw/master/csl-citation.json"} </w:instrText>
      </w:r>
      <w:r w:rsidR="00E751EC">
        <w:fldChar w:fldCharType="separate"/>
      </w:r>
      <w:r w:rsidR="00E751EC" w:rsidRPr="00475107">
        <w:rPr>
          <w:rFonts w:cs="Arial"/>
        </w:rPr>
        <w:t>(Crowl and Louvar, 2011)</w:t>
      </w:r>
      <w:r w:rsidR="00E751EC">
        <w:fldChar w:fldCharType="end"/>
      </w:r>
      <w:r w:rsidR="00E751EC">
        <w:t xml:space="preserve"> with a mission time of 1 year. Failure rates of single components </w:t>
      </w:r>
      <w:r w:rsidR="008A227A">
        <w:t>were</w:t>
      </w:r>
      <w:r w:rsidR="00E751EC">
        <w:t xml:space="preserve"> recovered from the aforementioned literature database. Table 3 resumes the results found. Every Top Event </w:t>
      </w:r>
      <w:r w:rsidR="008A227A">
        <w:t xml:space="preserve">had </w:t>
      </w:r>
      <w:r w:rsidR="00E751EC">
        <w:t>a probability of occurrence in the range 10</w:t>
      </w:r>
      <w:r w:rsidR="00E751EC" w:rsidRPr="00475107">
        <w:rPr>
          <w:vertAlign w:val="superscript"/>
        </w:rPr>
        <w:t>-5</w:t>
      </w:r>
      <w:r w:rsidR="00E751EC">
        <w:t>-10</w:t>
      </w:r>
      <w:r w:rsidR="00E751EC" w:rsidRPr="00475107">
        <w:rPr>
          <w:vertAlign w:val="superscript"/>
        </w:rPr>
        <w:t>-6</w:t>
      </w:r>
      <w:r w:rsidR="00E751EC">
        <w:t>. While this is close to the negligible range, such values should still rise a level of concern, especially when protections are highly human dependent.</w:t>
      </w:r>
    </w:p>
    <w:p w14:paraId="322EC774" w14:textId="77777777" w:rsidR="00E751EC" w:rsidRPr="00A31F56" w:rsidRDefault="00E751EC" w:rsidP="00E751EC">
      <w:pPr>
        <w:pStyle w:val="CETTabletitle"/>
      </w:pPr>
      <w:r w:rsidRPr="00B57B36">
        <w:t xml:space="preserve">Table </w:t>
      </w:r>
      <w:r>
        <w:t>3</w:t>
      </w:r>
      <w:r w:rsidRPr="00B57B36">
        <w:t xml:space="preserve">: </w:t>
      </w:r>
      <w:r>
        <w:t>Probabilities of Top Events identified</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tblGrid>
      <w:tr w:rsidR="00E751EC" w:rsidRPr="00B57B36" w14:paraId="57B0D39E" w14:textId="77777777" w:rsidTr="00A23F24">
        <w:tc>
          <w:tcPr>
            <w:tcW w:w="1134" w:type="dxa"/>
            <w:tcBorders>
              <w:top w:val="single" w:sz="12" w:space="0" w:color="008000"/>
              <w:bottom w:val="single" w:sz="6" w:space="0" w:color="008000"/>
            </w:tcBorders>
            <w:shd w:val="clear" w:color="auto" w:fill="FFFFFF"/>
          </w:tcPr>
          <w:p w14:paraId="47A680AF" w14:textId="77777777" w:rsidR="00E751EC" w:rsidRPr="00B57B36" w:rsidRDefault="00E751EC" w:rsidP="00A23F24">
            <w:pPr>
              <w:pStyle w:val="CETBodytext"/>
              <w:rPr>
                <w:lang w:val="en-GB"/>
              </w:rPr>
            </w:pPr>
          </w:p>
        </w:tc>
        <w:tc>
          <w:tcPr>
            <w:tcW w:w="1134" w:type="dxa"/>
            <w:tcBorders>
              <w:top w:val="single" w:sz="12" w:space="0" w:color="008000"/>
              <w:bottom w:val="single" w:sz="6" w:space="0" w:color="008000"/>
            </w:tcBorders>
            <w:shd w:val="clear" w:color="auto" w:fill="FFFFFF"/>
          </w:tcPr>
          <w:p w14:paraId="59A3A7B8" w14:textId="77777777" w:rsidR="00E751EC" w:rsidRPr="00B57B36" w:rsidRDefault="00E751EC" w:rsidP="00A23F24">
            <w:pPr>
              <w:pStyle w:val="CETBodytext"/>
              <w:rPr>
                <w:lang w:val="en-GB"/>
              </w:rPr>
            </w:pPr>
            <w:r>
              <w:rPr>
                <w:lang w:val="en-GB"/>
              </w:rPr>
              <w:t>TE1</w:t>
            </w:r>
          </w:p>
        </w:tc>
        <w:tc>
          <w:tcPr>
            <w:tcW w:w="1134" w:type="dxa"/>
            <w:tcBorders>
              <w:top w:val="single" w:sz="12" w:space="0" w:color="008000"/>
              <w:bottom w:val="single" w:sz="6" w:space="0" w:color="008000"/>
            </w:tcBorders>
            <w:shd w:val="clear" w:color="auto" w:fill="FFFFFF"/>
          </w:tcPr>
          <w:p w14:paraId="76661821" w14:textId="77777777" w:rsidR="00E751EC" w:rsidRPr="00B57B36" w:rsidRDefault="00E751EC" w:rsidP="00A23F24">
            <w:pPr>
              <w:pStyle w:val="CETBodytext"/>
              <w:rPr>
                <w:lang w:val="en-GB"/>
              </w:rPr>
            </w:pPr>
            <w:r>
              <w:rPr>
                <w:lang w:val="en-GB"/>
              </w:rPr>
              <w:t>TE2</w:t>
            </w:r>
          </w:p>
        </w:tc>
        <w:tc>
          <w:tcPr>
            <w:tcW w:w="1134" w:type="dxa"/>
            <w:tcBorders>
              <w:top w:val="single" w:sz="12" w:space="0" w:color="008000"/>
              <w:bottom w:val="single" w:sz="6" w:space="0" w:color="008000"/>
            </w:tcBorders>
            <w:shd w:val="clear" w:color="auto" w:fill="FFFFFF"/>
          </w:tcPr>
          <w:p w14:paraId="45B8A578" w14:textId="77777777" w:rsidR="00E751EC" w:rsidRPr="00B57B36" w:rsidRDefault="00E751EC" w:rsidP="00A23F24">
            <w:pPr>
              <w:pStyle w:val="CETBodytext"/>
              <w:ind w:right="-1"/>
              <w:rPr>
                <w:rFonts w:cs="Arial"/>
                <w:szCs w:val="18"/>
                <w:lang w:val="en-GB"/>
              </w:rPr>
            </w:pPr>
            <w:r>
              <w:rPr>
                <w:rFonts w:cs="Arial"/>
                <w:szCs w:val="18"/>
                <w:lang w:val="en-GB"/>
              </w:rPr>
              <w:t>TE3</w:t>
            </w:r>
          </w:p>
        </w:tc>
      </w:tr>
      <w:tr w:rsidR="00E751EC" w:rsidRPr="00B57B36" w14:paraId="327D2D4D" w14:textId="77777777" w:rsidTr="00A23F24">
        <w:tc>
          <w:tcPr>
            <w:tcW w:w="1134" w:type="dxa"/>
            <w:shd w:val="clear" w:color="auto" w:fill="FFFFFF"/>
          </w:tcPr>
          <w:p w14:paraId="35B34B3C" w14:textId="77777777" w:rsidR="00E751EC" w:rsidRPr="00B57B36" w:rsidRDefault="00E751EC" w:rsidP="00A23F24">
            <w:pPr>
              <w:pStyle w:val="CETBodytext"/>
              <w:rPr>
                <w:lang w:val="en-GB"/>
              </w:rPr>
            </w:pPr>
            <w:r>
              <w:rPr>
                <w:lang w:val="en-GB"/>
              </w:rPr>
              <w:t>P [-]</w:t>
            </w:r>
          </w:p>
        </w:tc>
        <w:tc>
          <w:tcPr>
            <w:tcW w:w="1134" w:type="dxa"/>
            <w:shd w:val="clear" w:color="auto" w:fill="FFFFFF"/>
          </w:tcPr>
          <w:p w14:paraId="3A5A19C9" w14:textId="77777777" w:rsidR="00E751EC" w:rsidRPr="00B57B36" w:rsidRDefault="00E751EC" w:rsidP="00A23F24">
            <w:pPr>
              <w:pStyle w:val="CETBodytext"/>
              <w:rPr>
                <w:lang w:val="en-GB"/>
              </w:rPr>
            </w:pPr>
            <w:r>
              <w:rPr>
                <w:lang w:val="en-GB"/>
              </w:rPr>
              <w:t>2.39</w:t>
            </w:r>
            <w:r>
              <w:rPr>
                <w:rFonts w:cs="Arial"/>
                <w:lang w:val="en-GB"/>
              </w:rPr>
              <w:t>∙</w:t>
            </w:r>
            <w:r>
              <w:rPr>
                <w:lang w:val="en-GB"/>
              </w:rPr>
              <w:t>10</w:t>
            </w:r>
            <w:r w:rsidRPr="004F24F8">
              <w:rPr>
                <w:vertAlign w:val="superscript"/>
                <w:lang w:val="en-GB"/>
              </w:rPr>
              <w:t>-5</w:t>
            </w:r>
          </w:p>
        </w:tc>
        <w:tc>
          <w:tcPr>
            <w:tcW w:w="1134" w:type="dxa"/>
            <w:shd w:val="clear" w:color="auto" w:fill="FFFFFF"/>
          </w:tcPr>
          <w:p w14:paraId="2D9BF775" w14:textId="77777777" w:rsidR="00E751EC" w:rsidRPr="00B57B36" w:rsidRDefault="00E751EC" w:rsidP="00A23F24">
            <w:pPr>
              <w:pStyle w:val="CETBodytext"/>
              <w:rPr>
                <w:lang w:val="en-GB"/>
              </w:rPr>
            </w:pPr>
            <w:r>
              <w:rPr>
                <w:lang w:val="en-GB"/>
              </w:rPr>
              <w:t>3.7</w:t>
            </w:r>
            <w:r>
              <w:rPr>
                <w:rFonts w:cs="Arial"/>
                <w:lang w:val="en-GB"/>
              </w:rPr>
              <w:t>∙</w:t>
            </w:r>
            <w:r>
              <w:rPr>
                <w:lang w:val="en-GB"/>
              </w:rPr>
              <w:t>10</w:t>
            </w:r>
            <w:r w:rsidRPr="004F24F8">
              <w:rPr>
                <w:vertAlign w:val="superscript"/>
                <w:lang w:val="en-GB"/>
              </w:rPr>
              <w:t>-5</w:t>
            </w:r>
          </w:p>
        </w:tc>
        <w:tc>
          <w:tcPr>
            <w:tcW w:w="1134" w:type="dxa"/>
            <w:shd w:val="clear" w:color="auto" w:fill="FFFFFF"/>
          </w:tcPr>
          <w:p w14:paraId="53710943" w14:textId="77777777" w:rsidR="00E751EC" w:rsidRPr="00B57B36" w:rsidRDefault="00E751EC" w:rsidP="00A23F24">
            <w:pPr>
              <w:pStyle w:val="CETBodytext"/>
              <w:ind w:right="-1"/>
              <w:rPr>
                <w:rFonts w:cs="Arial"/>
                <w:szCs w:val="18"/>
                <w:lang w:val="en-GB"/>
              </w:rPr>
            </w:pPr>
            <w:r>
              <w:rPr>
                <w:rFonts w:cs="Arial"/>
                <w:szCs w:val="18"/>
                <w:lang w:val="en-GB"/>
              </w:rPr>
              <w:t>3.36</w:t>
            </w:r>
            <w:r>
              <w:rPr>
                <w:rFonts w:cs="Arial"/>
                <w:lang w:val="en-GB"/>
              </w:rPr>
              <w:t>∙</w:t>
            </w:r>
            <w:r>
              <w:rPr>
                <w:lang w:val="en-GB"/>
              </w:rPr>
              <w:t>10</w:t>
            </w:r>
            <w:r w:rsidRPr="004F24F8">
              <w:rPr>
                <w:vertAlign w:val="superscript"/>
                <w:lang w:val="en-GB"/>
              </w:rPr>
              <w:t>-5</w:t>
            </w:r>
          </w:p>
        </w:tc>
      </w:tr>
      <w:tr w:rsidR="00E751EC" w:rsidRPr="00B57B36" w14:paraId="3EB53C72" w14:textId="77777777" w:rsidTr="00A23F24">
        <w:tc>
          <w:tcPr>
            <w:tcW w:w="1134" w:type="dxa"/>
            <w:shd w:val="clear" w:color="auto" w:fill="FFFFFF"/>
          </w:tcPr>
          <w:p w14:paraId="073FB446" w14:textId="5501B784" w:rsidR="00E751EC" w:rsidRPr="00B57B36" w:rsidRDefault="00E751EC" w:rsidP="00A23F24">
            <w:pPr>
              <w:pStyle w:val="CETBodytext"/>
              <w:ind w:right="-1"/>
              <w:rPr>
                <w:rFonts w:cs="Arial"/>
                <w:szCs w:val="18"/>
                <w:lang w:val="en-GB"/>
              </w:rPr>
            </w:pPr>
            <w:r>
              <w:rPr>
                <w:rFonts w:cs="Arial"/>
                <w:szCs w:val="18"/>
                <w:lang w:val="en-GB"/>
              </w:rPr>
              <w:t xml:space="preserve"># of </w:t>
            </w:r>
            <w:r w:rsidR="008A227A">
              <w:rPr>
                <w:rFonts w:cs="Arial"/>
                <w:szCs w:val="18"/>
                <w:lang w:val="en-GB"/>
              </w:rPr>
              <w:t>MCS</w:t>
            </w:r>
          </w:p>
        </w:tc>
        <w:tc>
          <w:tcPr>
            <w:tcW w:w="1134" w:type="dxa"/>
            <w:shd w:val="clear" w:color="auto" w:fill="FFFFFF"/>
          </w:tcPr>
          <w:p w14:paraId="31F397FB" w14:textId="77777777" w:rsidR="00E751EC" w:rsidRPr="00B57B36" w:rsidRDefault="00E751EC" w:rsidP="00A23F24">
            <w:pPr>
              <w:pStyle w:val="CETBodytext"/>
              <w:ind w:right="-1"/>
              <w:rPr>
                <w:rFonts w:cs="Arial"/>
                <w:szCs w:val="18"/>
                <w:lang w:val="en-GB"/>
              </w:rPr>
            </w:pPr>
            <w:r>
              <w:rPr>
                <w:rFonts w:cs="Arial"/>
                <w:szCs w:val="18"/>
                <w:lang w:val="en-GB"/>
              </w:rPr>
              <w:t>17</w:t>
            </w:r>
          </w:p>
        </w:tc>
        <w:tc>
          <w:tcPr>
            <w:tcW w:w="1134" w:type="dxa"/>
            <w:shd w:val="clear" w:color="auto" w:fill="FFFFFF"/>
          </w:tcPr>
          <w:p w14:paraId="691A34A6" w14:textId="77777777" w:rsidR="00E751EC" w:rsidRPr="00B57B36" w:rsidRDefault="00E751EC" w:rsidP="00A23F24">
            <w:pPr>
              <w:pStyle w:val="CETBodytext"/>
              <w:ind w:right="-1"/>
              <w:rPr>
                <w:rFonts w:cs="Arial"/>
                <w:szCs w:val="18"/>
                <w:lang w:val="en-GB"/>
              </w:rPr>
            </w:pPr>
            <w:r>
              <w:rPr>
                <w:rFonts w:cs="Arial"/>
                <w:szCs w:val="18"/>
                <w:lang w:val="en-GB"/>
              </w:rPr>
              <w:t>28</w:t>
            </w:r>
          </w:p>
        </w:tc>
        <w:tc>
          <w:tcPr>
            <w:tcW w:w="1134" w:type="dxa"/>
            <w:shd w:val="clear" w:color="auto" w:fill="FFFFFF"/>
          </w:tcPr>
          <w:p w14:paraId="2D62B48C" w14:textId="77777777" w:rsidR="00E751EC" w:rsidRPr="00B57B36" w:rsidRDefault="00E751EC" w:rsidP="00A23F24">
            <w:pPr>
              <w:pStyle w:val="CETBodytext"/>
              <w:ind w:right="-1"/>
              <w:rPr>
                <w:rFonts w:cs="Arial"/>
                <w:szCs w:val="18"/>
                <w:lang w:val="en-GB"/>
              </w:rPr>
            </w:pPr>
            <w:r>
              <w:rPr>
                <w:rFonts w:cs="Arial"/>
                <w:szCs w:val="18"/>
                <w:lang w:val="en-GB"/>
              </w:rPr>
              <w:t>29</w:t>
            </w:r>
          </w:p>
        </w:tc>
      </w:tr>
    </w:tbl>
    <w:p w14:paraId="49DCB63C" w14:textId="77777777" w:rsidR="00E751EC" w:rsidRPr="00F97B6E" w:rsidRDefault="00E751EC" w:rsidP="00E751EC">
      <w:pPr>
        <w:pStyle w:val="CETBodytext"/>
      </w:pPr>
    </w:p>
    <w:p w14:paraId="3347E6F3" w14:textId="77777777" w:rsidR="00E751EC" w:rsidRPr="00B57B36" w:rsidRDefault="00E751EC" w:rsidP="00D210B0">
      <w:pPr>
        <w:pStyle w:val="CETheadingx"/>
      </w:pPr>
      <w:r>
        <w:t>Accidental scenario</w:t>
      </w:r>
    </w:p>
    <w:p w14:paraId="6873D93B" w14:textId="7C2DE3BC" w:rsidR="00E751EC" w:rsidRDefault="00E751EC" w:rsidP="00E751EC">
      <w:pPr>
        <w:pStyle w:val="CETBodytext"/>
      </w:pPr>
      <w:r>
        <w:t xml:space="preserve">Among the accidents identified, the one closest to what happened to the ISOM unit is the TE2, that </w:t>
      </w:r>
      <w:r w:rsidR="008A227A">
        <w:t xml:space="preserve">was </w:t>
      </w:r>
      <w:r>
        <w:t xml:space="preserve">the pressurization of the column. </w:t>
      </w:r>
      <w:r w:rsidR="00FC77EC">
        <w:t>This event is expected to occur with a probability of 3.7</w:t>
      </w:r>
      <w:r w:rsidR="00FC77EC">
        <w:rPr>
          <w:rFonts w:cs="Arial"/>
          <w:lang w:val="en-GB"/>
        </w:rPr>
        <w:t>∙</w:t>
      </w:r>
      <w:r w:rsidR="00FC77EC">
        <w:rPr>
          <w:lang w:val="en-GB"/>
        </w:rPr>
        <w:t>10</w:t>
      </w:r>
      <w:r w:rsidR="00FC77EC" w:rsidRPr="004F24F8">
        <w:rPr>
          <w:vertAlign w:val="superscript"/>
          <w:lang w:val="en-GB"/>
        </w:rPr>
        <w:t>-5</w:t>
      </w:r>
      <w:r w:rsidR="00FC77EC">
        <w:t xml:space="preserve"> on a year base.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E751EC" w14:paraId="2CA38973" w14:textId="77777777" w:rsidTr="00A23F24">
        <w:tc>
          <w:tcPr>
            <w:tcW w:w="4388" w:type="dxa"/>
            <w:vAlign w:val="center"/>
          </w:tcPr>
          <w:p w14:paraId="3F61AE49" w14:textId="77777777" w:rsidR="00E751EC" w:rsidRDefault="00E751EC" w:rsidP="00A23F24">
            <w:pPr>
              <w:pStyle w:val="CETBodytext"/>
              <w:jc w:val="center"/>
            </w:pPr>
            <w:r>
              <w:rPr>
                <w:noProof/>
              </w:rPr>
              <w:drawing>
                <wp:inline distT="0" distB="0" distL="0" distR="0" wp14:anchorId="3AE925B3" wp14:editId="1D580644">
                  <wp:extent cx="2354580" cy="1152932"/>
                  <wp:effectExtent l="0" t="0" r="7620" b="9525"/>
                  <wp:docPr id="610179667" name="Immagine 2" descr="Immagine che contiene testo, software, computer, Software multimedi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79667" name="Immagine 1" descr="Immagine che contiene testo, software, computer, Software multimediale&#10;&#10;Descrizione generata automaticamente"/>
                          <pic:cNvPicPr/>
                        </pic:nvPicPr>
                        <pic:blipFill rotWithShape="1">
                          <a:blip r:embed="rId13"/>
                          <a:srcRect l="28132" t="29618" r="32264" b="35909"/>
                          <a:stretch/>
                        </pic:blipFill>
                        <pic:spPr bwMode="auto">
                          <a:xfrm>
                            <a:off x="0" y="0"/>
                            <a:ext cx="2358129" cy="1154670"/>
                          </a:xfrm>
                          <a:prstGeom prst="rect">
                            <a:avLst/>
                          </a:prstGeom>
                          <a:ln>
                            <a:noFill/>
                          </a:ln>
                          <a:extLst>
                            <a:ext uri="{53640926-AAD7-44D8-BBD7-CCE9431645EC}">
                              <a14:shadowObscured xmlns:a14="http://schemas.microsoft.com/office/drawing/2010/main"/>
                            </a:ext>
                          </a:extLst>
                        </pic:spPr>
                      </pic:pic>
                    </a:graphicData>
                  </a:graphic>
                </wp:inline>
              </w:drawing>
            </w:r>
            <w:r>
              <w:t>a</w:t>
            </w:r>
          </w:p>
        </w:tc>
        <w:tc>
          <w:tcPr>
            <w:tcW w:w="4389" w:type="dxa"/>
            <w:vAlign w:val="center"/>
          </w:tcPr>
          <w:p w14:paraId="2167F80B" w14:textId="77777777" w:rsidR="00E751EC" w:rsidRDefault="00E751EC" w:rsidP="00A23F24">
            <w:pPr>
              <w:pStyle w:val="CETBodytext"/>
              <w:jc w:val="center"/>
            </w:pPr>
            <w:r>
              <w:rPr>
                <w:noProof/>
              </w:rPr>
              <w:drawing>
                <wp:inline distT="0" distB="0" distL="0" distR="0" wp14:anchorId="54F5280F" wp14:editId="5C0E9A9E">
                  <wp:extent cx="2042160" cy="1586165"/>
                  <wp:effectExtent l="0" t="0" r="0" b="0"/>
                  <wp:docPr id="1742979377" name="Immagine 3" descr="Immagine che contiene schermata,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79377" name="Immagine 1" descr="Immagine che contiene schermata, mappa&#10;&#10;Descrizione generata automaticamente"/>
                          <pic:cNvPicPr/>
                        </pic:nvPicPr>
                        <pic:blipFill rotWithShape="1">
                          <a:blip r:embed="rId14"/>
                          <a:srcRect l="18026" t="9238" r="18061"/>
                          <a:stretch/>
                        </pic:blipFill>
                        <pic:spPr bwMode="auto">
                          <a:xfrm>
                            <a:off x="0" y="0"/>
                            <a:ext cx="2073120" cy="1610212"/>
                          </a:xfrm>
                          <a:prstGeom prst="rect">
                            <a:avLst/>
                          </a:prstGeom>
                          <a:ln>
                            <a:noFill/>
                          </a:ln>
                          <a:extLst>
                            <a:ext uri="{53640926-AAD7-44D8-BBD7-CCE9431645EC}">
                              <a14:shadowObscured xmlns:a14="http://schemas.microsoft.com/office/drawing/2010/main"/>
                            </a:ext>
                          </a:extLst>
                        </pic:spPr>
                      </pic:pic>
                    </a:graphicData>
                  </a:graphic>
                </wp:inline>
              </w:drawing>
            </w:r>
            <w:r>
              <w:t>b</w:t>
            </w:r>
          </w:p>
        </w:tc>
      </w:tr>
    </w:tbl>
    <w:p w14:paraId="6B3A56E3" w14:textId="5A1CB87B" w:rsidR="00E751EC" w:rsidRDefault="00E751EC" w:rsidP="00E751EC">
      <w:pPr>
        <w:pStyle w:val="CETBodytext"/>
        <w:rPr>
          <w:rStyle w:val="CETCaptionCarattere"/>
        </w:rPr>
      </w:pPr>
      <w:r w:rsidRPr="00BD077D">
        <w:rPr>
          <w:rStyle w:val="CETCaptionCarattere"/>
        </w:rPr>
        <w:t xml:space="preserve">Figure </w:t>
      </w:r>
      <w:r>
        <w:rPr>
          <w:rStyle w:val="CETCaptionCarattere"/>
        </w:rPr>
        <w:t>2</w:t>
      </w:r>
      <w:r w:rsidRPr="00BD077D">
        <w:rPr>
          <w:rStyle w:val="CETCaptionCarattere"/>
        </w:rPr>
        <w:t xml:space="preserve">: </w:t>
      </w:r>
      <w:r>
        <w:rPr>
          <w:rStyle w:val="CETCaptionCarattere"/>
        </w:rPr>
        <w:t>Results of the simulation for TE</w:t>
      </w:r>
      <w:r w:rsidR="00FC77EC">
        <w:rPr>
          <w:rStyle w:val="CETCaptionCarattere"/>
        </w:rPr>
        <w:t>2</w:t>
      </w:r>
      <w:r>
        <w:rPr>
          <w:rStyle w:val="CETCaptionCarattere"/>
        </w:rPr>
        <w:t xml:space="preserve">. a) Simulation of the release flowrate of methyl-pentane. b) Threat zones (yellow, concentrations lower than 10% of LEL, red zones are above the LEL) </w:t>
      </w:r>
    </w:p>
    <w:p w14:paraId="6118D78F" w14:textId="792459D7" w:rsidR="00E751EC" w:rsidRDefault="00E751EC" w:rsidP="00E751EC">
      <w:pPr>
        <w:pStyle w:val="CETBodytext"/>
      </w:pPr>
      <w:r>
        <w:lastRenderedPageBreak/>
        <w:t xml:space="preserve">Under these conditions, the raffinate </w:t>
      </w:r>
      <w:r w:rsidR="0083778E">
        <w:t>is</w:t>
      </w:r>
      <w:r w:rsidR="008A227A">
        <w:t xml:space="preserve"> </w:t>
      </w:r>
      <w:r>
        <w:t xml:space="preserve">sent to the blowdown drum, where the heavy fraction is drained to sewer and with pump J-14A, and the light one is vented in atmosphere. TE2 was simulated through ALOHA. The leakage was represented as an emptying of a vertical tank with the same dimensions of the column, filled with iso-hexane. Iso-hexane was chosen as main component in accordance with the results of the simulations: within deviations associated with high pressures in the column, 2-methylpentane is the most present in the light fraction, with a molar fraction greater than 0.6. A 2 cm hole on the column was hypothesized. Figure 2 reports the flowrates from the column and the threat zones drawn in MARPLOT. Under these conditions, the potentially flammable zones </w:t>
      </w:r>
      <w:r w:rsidR="0083778E">
        <w:t xml:space="preserve">were </w:t>
      </w:r>
      <w:r>
        <w:t>between 11 and 10 meters, depending on atmospheric stability (concentrations above the LEL of iso-hexane, that is 12000 ppm), and threat zones with a Level of Concern equal to 10% of the LEL extend up to 33 meters, depending on stability conditions. According to the ALOHA simulation, the threat zones are relatively narrow, and completely confined within the ISOM unit.</w:t>
      </w:r>
    </w:p>
    <w:p w14:paraId="11128017" w14:textId="77777777" w:rsidR="00E751EC" w:rsidRPr="00B57B36" w:rsidRDefault="00E751EC" w:rsidP="00E751EC">
      <w:pPr>
        <w:pStyle w:val="CETHeading1"/>
        <w:rPr>
          <w:lang w:val="en-GB"/>
        </w:rPr>
      </w:pPr>
      <w:r w:rsidRPr="00B57B36">
        <w:rPr>
          <w:lang w:val="en-GB"/>
        </w:rPr>
        <w:t>Conclusions</w:t>
      </w:r>
    </w:p>
    <w:p w14:paraId="0DC89E7E" w14:textId="1372FA04" w:rsidR="00E751EC" w:rsidRDefault="00E751EC" w:rsidP="00E751EC">
      <w:pPr>
        <w:pStyle w:val="CETBodytext"/>
        <w:rPr>
          <w:lang w:val="en-GB"/>
        </w:rPr>
      </w:pPr>
      <w:r>
        <w:rPr>
          <w:lang w:val="en-GB"/>
        </w:rPr>
        <w:t xml:space="preserve">In the current work, a risk assessment on the BP plant was performed. According to the analysis, the most common events </w:t>
      </w:r>
      <w:r w:rsidR="006D553A">
        <w:rPr>
          <w:lang w:val="en-GB"/>
        </w:rPr>
        <w:t>are</w:t>
      </w:r>
      <w:r w:rsidR="00137814">
        <w:rPr>
          <w:lang w:val="en-GB"/>
        </w:rPr>
        <w:t xml:space="preserve"> </w:t>
      </w:r>
      <w:r>
        <w:rPr>
          <w:lang w:val="en-GB"/>
        </w:rPr>
        <w:t xml:space="preserve">releases of flammable hydrocarbons into the environment, mostly related to high pressures in the plant. If protections work correctly, the release </w:t>
      </w:r>
      <w:r w:rsidR="00066C46">
        <w:rPr>
          <w:lang w:val="en-GB"/>
        </w:rPr>
        <w:t>i</w:t>
      </w:r>
      <w:r w:rsidR="00137814">
        <w:rPr>
          <w:lang w:val="en-GB"/>
        </w:rPr>
        <w:t xml:space="preserve">s </w:t>
      </w:r>
      <w:r>
        <w:rPr>
          <w:lang w:val="en-GB"/>
        </w:rPr>
        <w:t xml:space="preserve">handled by the blowdown drum F-20. If protections do not intervene, cracks can develop in the column, causing a leakage from there. However, a total overfill of the column was not found as </w:t>
      </w:r>
      <w:r w:rsidR="00947326">
        <w:rPr>
          <w:lang w:val="en-GB"/>
        </w:rPr>
        <w:t xml:space="preserve">a </w:t>
      </w:r>
      <w:r>
        <w:rPr>
          <w:lang w:val="en-GB"/>
        </w:rPr>
        <w:t>critical accident. Such an event should be so rare that is hardly predictable even in a standard risk assessment, especially when protective means are present. According to the probabilities found, values should rise concern, but they are close to the negligible range (usually acknowledged as 10</w:t>
      </w:r>
      <w:r w:rsidRPr="00AD4A80">
        <w:rPr>
          <w:vertAlign w:val="superscript"/>
          <w:lang w:val="en-GB"/>
        </w:rPr>
        <w:t>-6</w:t>
      </w:r>
      <w:r>
        <w:rPr>
          <w:lang w:val="en-GB"/>
        </w:rPr>
        <w:t>), and this is due to the presence of both human and automatic protections, according to regular plant procedures. The fact that multiple alarms failed, along with an improper personnel management, caused the loss of protective means. This led to new, unforeseen accidents, caused by intentional deviations from regular procedures. In conclusion, the infamous BP accident reminds how critical human factor and protections are for a safer industry.</w:t>
      </w:r>
    </w:p>
    <w:p w14:paraId="6474FAB9" w14:textId="77777777" w:rsidR="00E751EC" w:rsidRPr="00B57B36" w:rsidRDefault="00E751EC" w:rsidP="00E751EC">
      <w:pPr>
        <w:pStyle w:val="CETReference"/>
      </w:pPr>
      <w:r w:rsidRPr="00B57B36">
        <w:t>References</w:t>
      </w:r>
    </w:p>
    <w:p w14:paraId="43FF2CE4" w14:textId="77777777" w:rsidR="00E751EC" w:rsidRPr="00475107" w:rsidRDefault="00E751EC" w:rsidP="00E751EC">
      <w:pPr>
        <w:pStyle w:val="Bibliografia"/>
        <w:rPr>
          <w:rFonts w:cs="Arial"/>
        </w:rPr>
      </w:pPr>
      <w:r>
        <w:fldChar w:fldCharType="begin"/>
      </w:r>
      <w:r>
        <w:instrText xml:space="preserve"> ADDIN ZOTERO_BIBL {"uncited":[],"omitted":[],"custom":[]} CSL_BIBLIOGRAPHY </w:instrText>
      </w:r>
      <w:r>
        <w:fldChar w:fldCharType="separate"/>
      </w:r>
      <w:r w:rsidRPr="00475107">
        <w:rPr>
          <w:rFonts w:cs="Arial"/>
        </w:rPr>
        <w:t>Arun, P.A., Tauseef, S.M., Uniyal, U., 2022. Comparison of Accident Databases and Analysis of Past Industrial Accidents in the Chemical Process Industry. Engineering, Technology &amp; Applied Science Research 12, 8922–8927. https://doi.org/10.48084/etasr.5079</w:t>
      </w:r>
    </w:p>
    <w:p w14:paraId="2F69F295" w14:textId="77777777" w:rsidR="00E751EC" w:rsidRPr="00475107" w:rsidRDefault="00E751EC" w:rsidP="00E751EC">
      <w:pPr>
        <w:pStyle w:val="Bibliografia"/>
        <w:rPr>
          <w:rFonts w:cs="Arial"/>
        </w:rPr>
      </w:pPr>
      <w:r w:rsidRPr="00475107">
        <w:rPr>
          <w:rFonts w:cs="Arial"/>
        </w:rPr>
        <w:t>Barozzi, M., Contini, S., Raboni, M., Torretta, V., Casson Moreno, V., Copelli, S., 2021. Integration of Recursive Operability Analysis, FMECA and FTA for the Quantitative Risk Assessment in biogas plants: Role of procedural errors and components failures. Journal of Loss Prevention in the Process Industries 71, 104468. https://doi.org/10.1016/j.jlp.2021.104468</w:t>
      </w:r>
    </w:p>
    <w:p w14:paraId="0E8C0A1C" w14:textId="77777777" w:rsidR="00E751EC" w:rsidRPr="00475107" w:rsidRDefault="00E751EC" w:rsidP="00E751EC">
      <w:pPr>
        <w:pStyle w:val="Bibliografia"/>
        <w:rPr>
          <w:rFonts w:cs="Arial"/>
        </w:rPr>
      </w:pPr>
      <w:r w:rsidRPr="00475107">
        <w:rPr>
          <w:rFonts w:cs="Arial"/>
          <w:lang w:val="it-IT"/>
        </w:rPr>
        <w:t xml:space="preserve">Barozzi, M., Copelli, S., Scotton, M.S., Torretta, V., 2020. </w:t>
      </w:r>
      <w:r w:rsidRPr="00475107">
        <w:rPr>
          <w:rFonts w:cs="Arial"/>
        </w:rPr>
        <w:t>Application of an Enhanced Version of Recursive Operability Analysis for Combustible Dusts Risk Assessment. International Journal of Environmental Research and Public Health 17. https://doi.org/10.3390/ijerph17093078</w:t>
      </w:r>
    </w:p>
    <w:p w14:paraId="2D6C8EB1" w14:textId="77777777" w:rsidR="00E751EC" w:rsidRPr="00475107" w:rsidRDefault="00E751EC" w:rsidP="00E751EC">
      <w:pPr>
        <w:pStyle w:val="Bibliografia"/>
        <w:rPr>
          <w:rFonts w:cs="Arial"/>
        </w:rPr>
      </w:pPr>
      <w:r w:rsidRPr="00475107">
        <w:rPr>
          <w:rFonts w:cs="Arial"/>
          <w:lang w:val="it-IT"/>
        </w:rPr>
        <w:t xml:space="preserve">Bello, G.C., Colombari, V., 1980. </w:t>
      </w:r>
      <w:r w:rsidRPr="00475107">
        <w:rPr>
          <w:rFonts w:cs="Arial"/>
        </w:rPr>
        <w:t>The human factors in risk analyses of process plants: The control room operator model ‘TESEO.’ Reliability Engineering 1, 3–14. https://doi.org/10.1016/0143-8174(80)90010-4</w:t>
      </w:r>
    </w:p>
    <w:p w14:paraId="38AAF0D2" w14:textId="77777777" w:rsidR="00E751EC" w:rsidRPr="00475107" w:rsidRDefault="00E751EC" w:rsidP="00E751EC">
      <w:pPr>
        <w:pStyle w:val="Bibliografia"/>
        <w:rPr>
          <w:rFonts w:cs="Arial"/>
        </w:rPr>
      </w:pPr>
      <w:r w:rsidRPr="00475107">
        <w:rPr>
          <w:rFonts w:cs="Arial"/>
        </w:rPr>
        <w:t>Crowl, D.A., Louvar, J.F., 2011. Chemical Process Safety: Fundamentals with Applications. Pearson Education International.</w:t>
      </w:r>
    </w:p>
    <w:p w14:paraId="10E57DEF" w14:textId="77777777" w:rsidR="00E751EC" w:rsidRPr="00475107" w:rsidRDefault="00E751EC" w:rsidP="00E751EC">
      <w:pPr>
        <w:pStyle w:val="Bibliografia"/>
        <w:rPr>
          <w:rFonts w:cs="Arial"/>
        </w:rPr>
      </w:pPr>
      <w:r w:rsidRPr="00475107">
        <w:rPr>
          <w:rFonts w:cs="Arial"/>
        </w:rPr>
        <w:t>CSB, 2007. BP America (Texas City) Refinery Explosion.</w:t>
      </w:r>
    </w:p>
    <w:p w14:paraId="4F1D04E7" w14:textId="77777777" w:rsidR="00E751EC" w:rsidRPr="00475107" w:rsidRDefault="00E751EC" w:rsidP="00E751EC">
      <w:pPr>
        <w:pStyle w:val="Bibliografia"/>
        <w:rPr>
          <w:rFonts w:cs="Arial"/>
        </w:rPr>
      </w:pPr>
      <w:r w:rsidRPr="00475107">
        <w:rPr>
          <w:rFonts w:cs="Arial"/>
        </w:rPr>
        <w:t>Gonzales, D., Gulden, T.R., Strong, A., Hoyle, W., 2016. Cost–Benefit Analysis of Proposed California Oil and Gas Refinery Regulations. RAND Corporation.</w:t>
      </w:r>
    </w:p>
    <w:p w14:paraId="2751EBE9" w14:textId="77777777" w:rsidR="00E751EC" w:rsidRPr="00475107" w:rsidRDefault="00E751EC" w:rsidP="00E751EC">
      <w:pPr>
        <w:pStyle w:val="Bibliografia"/>
        <w:rPr>
          <w:rFonts w:cs="Arial"/>
        </w:rPr>
      </w:pPr>
      <w:r w:rsidRPr="00475107">
        <w:rPr>
          <w:rFonts w:cs="Arial"/>
        </w:rPr>
        <w:t>Khan, F.I., Amyotte, P.R., 2007. Modeling of BP Texas City refinery incident. Journal of Loss Prevention in the Process Industries, Selected Papers Presented at the Sixth International Symposium on Hazards, Prevention and Mitigation of Industrial Explosions 20, 387–395. https://doi.org/10.1016/j.jlp.2007.04.037</w:t>
      </w:r>
    </w:p>
    <w:p w14:paraId="0CD402E5" w14:textId="77777777" w:rsidR="00E751EC" w:rsidRPr="00475107" w:rsidRDefault="00E751EC" w:rsidP="00E751EC">
      <w:pPr>
        <w:pStyle w:val="Bibliografia"/>
        <w:rPr>
          <w:rFonts w:cs="Arial"/>
        </w:rPr>
      </w:pPr>
      <w:r w:rsidRPr="00475107">
        <w:rPr>
          <w:rFonts w:cs="Arial"/>
        </w:rPr>
        <w:t>Manca, D., Brambilla, S., 2012. Dynamic simulation of the BP Texas City refinery accident. Journal of Loss Prevention in the Process Industries 25, 950–957. https://doi.org/10.1016/j.jlp.2012.05.008</w:t>
      </w:r>
    </w:p>
    <w:p w14:paraId="3C7FB5FA" w14:textId="77777777" w:rsidR="00E751EC" w:rsidRPr="00475107" w:rsidRDefault="00E751EC" w:rsidP="00E751EC">
      <w:pPr>
        <w:pStyle w:val="Bibliografia"/>
        <w:rPr>
          <w:rFonts w:cs="Arial"/>
        </w:rPr>
      </w:pPr>
      <w:r w:rsidRPr="00475107">
        <w:rPr>
          <w:rFonts w:cs="Arial"/>
        </w:rPr>
        <w:t>Mannan, S., 2005. Lees’ Loss Prevention in the Process Industry, 3rd ed. Butterworth-Heinemann.</w:t>
      </w:r>
    </w:p>
    <w:p w14:paraId="0A7506CC" w14:textId="77777777" w:rsidR="00E751EC" w:rsidRPr="00475107" w:rsidRDefault="00E751EC" w:rsidP="00E751EC">
      <w:pPr>
        <w:pStyle w:val="Bibliografia"/>
        <w:rPr>
          <w:rFonts w:cs="Arial"/>
        </w:rPr>
      </w:pPr>
      <w:r w:rsidRPr="00475107">
        <w:rPr>
          <w:rFonts w:cs="Arial"/>
        </w:rPr>
        <w:t>Mkrtchyan, L., Straub, U., Giachino, M., Kocher, T., Sansavini, G., 2022. Insurability risk assessment of oil refineries using Bayesian Belief Networks. Journal of Loss Prevention in the Process Industries 74, 104673. https://doi.org/10.1016/j.jlp.2021.104673</w:t>
      </w:r>
    </w:p>
    <w:p w14:paraId="469284D2" w14:textId="77777777" w:rsidR="00E751EC" w:rsidRPr="00475107" w:rsidRDefault="00E751EC" w:rsidP="00E751EC">
      <w:pPr>
        <w:pStyle w:val="Bibliografia"/>
        <w:rPr>
          <w:rFonts w:cs="Arial"/>
        </w:rPr>
      </w:pPr>
      <w:r w:rsidRPr="00475107">
        <w:rPr>
          <w:rFonts w:cs="Arial"/>
        </w:rPr>
        <w:t>Mogford, J., 2005. Fatal accident investigation report.</w:t>
      </w:r>
    </w:p>
    <w:p w14:paraId="7DFE356A" w14:textId="77777777" w:rsidR="00E751EC" w:rsidRPr="00475107" w:rsidRDefault="00E751EC" w:rsidP="00E751EC">
      <w:pPr>
        <w:pStyle w:val="Bibliografia"/>
        <w:rPr>
          <w:rFonts w:cs="Arial"/>
        </w:rPr>
      </w:pPr>
      <w:r w:rsidRPr="00475107">
        <w:rPr>
          <w:rFonts w:cs="Arial"/>
        </w:rPr>
        <w:t>Smith, D., 2011. Reliability, Maintainability and Risk - 8th Edition. Butterworth-Heinemann.</w:t>
      </w:r>
    </w:p>
    <w:p w14:paraId="1C542E81" w14:textId="73E7D9BD" w:rsidR="00E751EC" w:rsidRPr="00475107" w:rsidRDefault="00E751EC" w:rsidP="00E751EC">
      <w:pPr>
        <w:pStyle w:val="Bibliografia"/>
        <w:rPr>
          <w:rFonts w:cs="Arial"/>
        </w:rPr>
      </w:pPr>
      <w:r w:rsidRPr="00475107">
        <w:rPr>
          <w:rFonts w:cs="Arial"/>
        </w:rPr>
        <w:t>The Environmental Case [WWW Document], 2023. Sage Publications Inc. URL https://us.sagepub.com/en-us/nam/the-environmental-case/book258485 (accessed 5.3.23).</w:t>
      </w:r>
    </w:p>
    <w:p w14:paraId="089183D4" w14:textId="33CA6248" w:rsidR="00F94E05" w:rsidRPr="005D36D0" w:rsidRDefault="00E751EC" w:rsidP="00F94E05">
      <w:pPr>
        <w:pStyle w:val="CETReferencetext"/>
      </w:pPr>
      <w:r>
        <w:fldChar w:fldCharType="end"/>
      </w:r>
    </w:p>
    <w:sectPr w:rsidR="00F94E05" w:rsidRPr="005D36D0"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82ECC" w14:textId="77777777" w:rsidR="00564CF0" w:rsidRDefault="00564CF0" w:rsidP="004F5E36">
      <w:r>
        <w:separator/>
      </w:r>
    </w:p>
  </w:endnote>
  <w:endnote w:type="continuationSeparator" w:id="0">
    <w:p w14:paraId="7CE88ABC" w14:textId="77777777" w:rsidR="00564CF0" w:rsidRDefault="00564CF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B8211" w14:textId="77777777" w:rsidR="00564CF0" w:rsidRDefault="00564CF0" w:rsidP="004F5E36">
      <w:r>
        <w:separator/>
      </w:r>
    </w:p>
  </w:footnote>
  <w:footnote w:type="continuationSeparator" w:id="0">
    <w:p w14:paraId="4B340051" w14:textId="77777777" w:rsidR="00564CF0" w:rsidRDefault="00564CF0"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8B87DF4"/>
    <w:multiLevelType w:val="hybridMultilevel"/>
    <w:tmpl w:val="960CCE3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2438217E"/>
    <w:multiLevelType w:val="multilevel"/>
    <w:tmpl w:val="8C8C7948"/>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4945C8E"/>
    <w:multiLevelType w:val="hybridMultilevel"/>
    <w:tmpl w:val="EA3EE1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B79483C"/>
    <w:multiLevelType w:val="hybridMultilevel"/>
    <w:tmpl w:val="EDEAE73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F001675"/>
    <w:multiLevelType w:val="hybridMultilevel"/>
    <w:tmpl w:val="5BD8DF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A920CF4"/>
    <w:multiLevelType w:val="hybridMultilevel"/>
    <w:tmpl w:val="23C000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2"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81423352">
    <w:abstractNumId w:val="11"/>
  </w:num>
  <w:num w:numId="2" w16cid:durableId="322437159">
    <w:abstractNumId w:val="8"/>
  </w:num>
  <w:num w:numId="3" w16cid:durableId="834492678">
    <w:abstractNumId w:val="3"/>
  </w:num>
  <w:num w:numId="4" w16cid:durableId="694386076">
    <w:abstractNumId w:val="2"/>
  </w:num>
  <w:num w:numId="5" w16cid:durableId="973676887">
    <w:abstractNumId w:val="1"/>
  </w:num>
  <w:num w:numId="6" w16cid:durableId="1618176024">
    <w:abstractNumId w:val="0"/>
  </w:num>
  <w:num w:numId="7" w16cid:durableId="970134955">
    <w:abstractNumId w:val="9"/>
  </w:num>
  <w:num w:numId="8" w16cid:durableId="1404445691">
    <w:abstractNumId w:val="7"/>
  </w:num>
  <w:num w:numId="9" w16cid:durableId="977610226">
    <w:abstractNumId w:val="6"/>
  </w:num>
  <w:num w:numId="10" w16cid:durableId="1509439027">
    <w:abstractNumId w:val="5"/>
  </w:num>
  <w:num w:numId="11" w16cid:durableId="766465540">
    <w:abstractNumId w:val="4"/>
  </w:num>
  <w:num w:numId="12" w16cid:durableId="1315724144">
    <w:abstractNumId w:val="21"/>
  </w:num>
  <w:num w:numId="13" w16cid:durableId="1350059530">
    <w:abstractNumId w:val="14"/>
  </w:num>
  <w:num w:numId="14" w16cid:durableId="1919091623">
    <w:abstractNumId w:val="22"/>
  </w:num>
  <w:num w:numId="15" w16cid:durableId="189300202">
    <w:abstractNumId w:val="24"/>
  </w:num>
  <w:num w:numId="16" w16cid:durableId="723021461">
    <w:abstractNumId w:val="23"/>
  </w:num>
  <w:num w:numId="17" w16cid:durableId="732965888">
    <w:abstractNumId w:val="12"/>
  </w:num>
  <w:num w:numId="18" w16cid:durableId="1792744392">
    <w:abstractNumId w:val="14"/>
    <w:lvlOverride w:ilvl="0">
      <w:startOverride w:val="1"/>
    </w:lvlOverride>
  </w:num>
  <w:num w:numId="19" w16cid:durableId="400713613">
    <w:abstractNumId w:val="20"/>
  </w:num>
  <w:num w:numId="20" w16cid:durableId="1478034465">
    <w:abstractNumId w:val="19"/>
  </w:num>
  <w:num w:numId="21" w16cid:durableId="1441560384">
    <w:abstractNumId w:val="16"/>
  </w:num>
  <w:num w:numId="22" w16cid:durableId="1288000483">
    <w:abstractNumId w:val="10"/>
  </w:num>
  <w:num w:numId="23" w16cid:durableId="445201442">
    <w:abstractNumId w:val="15"/>
  </w:num>
  <w:num w:numId="24" w16cid:durableId="1335649481">
    <w:abstractNumId w:val="17"/>
  </w:num>
  <w:num w:numId="25" w16cid:durableId="797719153">
    <w:abstractNumId w:val="13"/>
  </w:num>
  <w:num w:numId="26" w16cid:durableId="19033729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04BA"/>
    <w:rsid w:val="000117CB"/>
    <w:rsid w:val="0003148D"/>
    <w:rsid w:val="00051566"/>
    <w:rsid w:val="00062A9A"/>
    <w:rsid w:val="00065058"/>
    <w:rsid w:val="00066C46"/>
    <w:rsid w:val="00086C39"/>
    <w:rsid w:val="000912A3"/>
    <w:rsid w:val="000A03B2"/>
    <w:rsid w:val="000D0268"/>
    <w:rsid w:val="000D1FAB"/>
    <w:rsid w:val="000D34BE"/>
    <w:rsid w:val="000D5939"/>
    <w:rsid w:val="000E102F"/>
    <w:rsid w:val="000E36F1"/>
    <w:rsid w:val="000E3A73"/>
    <w:rsid w:val="000E3F5D"/>
    <w:rsid w:val="000E414A"/>
    <w:rsid w:val="000F093C"/>
    <w:rsid w:val="000F1F3B"/>
    <w:rsid w:val="000F26C8"/>
    <w:rsid w:val="000F787B"/>
    <w:rsid w:val="00100E2D"/>
    <w:rsid w:val="00117DDB"/>
    <w:rsid w:val="0012091F"/>
    <w:rsid w:val="00126BC2"/>
    <w:rsid w:val="001308B6"/>
    <w:rsid w:val="0013121F"/>
    <w:rsid w:val="00131FE6"/>
    <w:rsid w:val="0013263F"/>
    <w:rsid w:val="00134DE4"/>
    <w:rsid w:val="00137814"/>
    <w:rsid w:val="0014034D"/>
    <w:rsid w:val="00150A33"/>
    <w:rsid w:val="00150E59"/>
    <w:rsid w:val="00152DE3"/>
    <w:rsid w:val="00164CF9"/>
    <w:rsid w:val="001667A6"/>
    <w:rsid w:val="00181D52"/>
    <w:rsid w:val="00184AD6"/>
    <w:rsid w:val="00187571"/>
    <w:rsid w:val="00197F6C"/>
    <w:rsid w:val="001A4AF7"/>
    <w:rsid w:val="001B0349"/>
    <w:rsid w:val="001B0C96"/>
    <w:rsid w:val="001B65C1"/>
    <w:rsid w:val="001C684B"/>
    <w:rsid w:val="001D53FC"/>
    <w:rsid w:val="001F42A5"/>
    <w:rsid w:val="001F57FE"/>
    <w:rsid w:val="001F7B9D"/>
    <w:rsid w:val="00217E9B"/>
    <w:rsid w:val="002224B4"/>
    <w:rsid w:val="00225738"/>
    <w:rsid w:val="00230AF6"/>
    <w:rsid w:val="002447EF"/>
    <w:rsid w:val="00251550"/>
    <w:rsid w:val="0025318C"/>
    <w:rsid w:val="00263B05"/>
    <w:rsid w:val="002711AE"/>
    <w:rsid w:val="0027221A"/>
    <w:rsid w:val="00275B61"/>
    <w:rsid w:val="002813C0"/>
    <w:rsid w:val="00282656"/>
    <w:rsid w:val="002949AD"/>
    <w:rsid w:val="00296B83"/>
    <w:rsid w:val="002B78CE"/>
    <w:rsid w:val="002C2FB6"/>
    <w:rsid w:val="002D7C5F"/>
    <w:rsid w:val="002E3FA3"/>
    <w:rsid w:val="002E600E"/>
    <w:rsid w:val="002F1877"/>
    <w:rsid w:val="002F3309"/>
    <w:rsid w:val="003009B7"/>
    <w:rsid w:val="00300E56"/>
    <w:rsid w:val="0030469C"/>
    <w:rsid w:val="00321CA6"/>
    <w:rsid w:val="00323763"/>
    <w:rsid w:val="00323984"/>
    <w:rsid w:val="00334C09"/>
    <w:rsid w:val="00365ADC"/>
    <w:rsid w:val="003723D4"/>
    <w:rsid w:val="00381905"/>
    <w:rsid w:val="00384CC8"/>
    <w:rsid w:val="003871FD"/>
    <w:rsid w:val="003A1E30"/>
    <w:rsid w:val="003A74A4"/>
    <w:rsid w:val="003A7D1C"/>
    <w:rsid w:val="003B304B"/>
    <w:rsid w:val="003B3146"/>
    <w:rsid w:val="003E62D0"/>
    <w:rsid w:val="003F015E"/>
    <w:rsid w:val="00400414"/>
    <w:rsid w:val="00412DFC"/>
    <w:rsid w:val="0041446B"/>
    <w:rsid w:val="00421D3D"/>
    <w:rsid w:val="00441637"/>
    <w:rsid w:val="0044329C"/>
    <w:rsid w:val="004577FE"/>
    <w:rsid w:val="00457B9C"/>
    <w:rsid w:val="0046164A"/>
    <w:rsid w:val="004628D2"/>
    <w:rsid w:val="00462DCD"/>
    <w:rsid w:val="004648AD"/>
    <w:rsid w:val="00465F60"/>
    <w:rsid w:val="004700EF"/>
    <w:rsid w:val="004703A9"/>
    <w:rsid w:val="004760DE"/>
    <w:rsid w:val="004763D7"/>
    <w:rsid w:val="00481DFA"/>
    <w:rsid w:val="00496077"/>
    <w:rsid w:val="004977BF"/>
    <w:rsid w:val="004A004E"/>
    <w:rsid w:val="004A24CF"/>
    <w:rsid w:val="004A5E2D"/>
    <w:rsid w:val="004C3D1D"/>
    <w:rsid w:val="004C7913"/>
    <w:rsid w:val="004E4DD6"/>
    <w:rsid w:val="004E71FB"/>
    <w:rsid w:val="004F5E36"/>
    <w:rsid w:val="00503B5A"/>
    <w:rsid w:val="0050761B"/>
    <w:rsid w:val="00507B47"/>
    <w:rsid w:val="00507BEF"/>
    <w:rsid w:val="00507CC9"/>
    <w:rsid w:val="005119A5"/>
    <w:rsid w:val="00515000"/>
    <w:rsid w:val="005278B7"/>
    <w:rsid w:val="00527B70"/>
    <w:rsid w:val="00532016"/>
    <w:rsid w:val="005346C8"/>
    <w:rsid w:val="00543E7D"/>
    <w:rsid w:val="00543FE0"/>
    <w:rsid w:val="00547A68"/>
    <w:rsid w:val="005530DA"/>
    <w:rsid w:val="005531C9"/>
    <w:rsid w:val="00564BE2"/>
    <w:rsid w:val="00564CF0"/>
    <w:rsid w:val="00570C43"/>
    <w:rsid w:val="0059547B"/>
    <w:rsid w:val="005B2110"/>
    <w:rsid w:val="005B61E6"/>
    <w:rsid w:val="005C77E1"/>
    <w:rsid w:val="005D36D0"/>
    <w:rsid w:val="005D3D9B"/>
    <w:rsid w:val="005D668A"/>
    <w:rsid w:val="005D6A2F"/>
    <w:rsid w:val="005E1A82"/>
    <w:rsid w:val="005E794C"/>
    <w:rsid w:val="005F0A28"/>
    <w:rsid w:val="005F0E5E"/>
    <w:rsid w:val="005F5BEE"/>
    <w:rsid w:val="00600535"/>
    <w:rsid w:val="00610CD6"/>
    <w:rsid w:val="00620DEE"/>
    <w:rsid w:val="00621F92"/>
    <w:rsid w:val="0062280A"/>
    <w:rsid w:val="00625639"/>
    <w:rsid w:val="0062606D"/>
    <w:rsid w:val="00631B33"/>
    <w:rsid w:val="00635AAB"/>
    <w:rsid w:val="0063655B"/>
    <w:rsid w:val="0064184D"/>
    <w:rsid w:val="006422CC"/>
    <w:rsid w:val="00660E3E"/>
    <w:rsid w:val="00662E74"/>
    <w:rsid w:val="006638A3"/>
    <w:rsid w:val="0066555E"/>
    <w:rsid w:val="006760CE"/>
    <w:rsid w:val="00680C23"/>
    <w:rsid w:val="00693766"/>
    <w:rsid w:val="006958CB"/>
    <w:rsid w:val="006A3281"/>
    <w:rsid w:val="006B2C98"/>
    <w:rsid w:val="006B4888"/>
    <w:rsid w:val="006C23C9"/>
    <w:rsid w:val="006C2E45"/>
    <w:rsid w:val="006C359C"/>
    <w:rsid w:val="006C5579"/>
    <w:rsid w:val="006D553A"/>
    <w:rsid w:val="006D6E8B"/>
    <w:rsid w:val="006E737D"/>
    <w:rsid w:val="00720A24"/>
    <w:rsid w:val="00732386"/>
    <w:rsid w:val="0073514D"/>
    <w:rsid w:val="0074093E"/>
    <w:rsid w:val="00742825"/>
    <w:rsid w:val="007447F3"/>
    <w:rsid w:val="0075499F"/>
    <w:rsid w:val="007661C8"/>
    <w:rsid w:val="0077098D"/>
    <w:rsid w:val="00792DA8"/>
    <w:rsid w:val="007931FA"/>
    <w:rsid w:val="007A39F2"/>
    <w:rsid w:val="007A4861"/>
    <w:rsid w:val="007A7BBA"/>
    <w:rsid w:val="007B0C50"/>
    <w:rsid w:val="007B0F34"/>
    <w:rsid w:val="007C1A43"/>
    <w:rsid w:val="0080013E"/>
    <w:rsid w:val="00813288"/>
    <w:rsid w:val="008168FC"/>
    <w:rsid w:val="00830996"/>
    <w:rsid w:val="008345F1"/>
    <w:rsid w:val="0083778E"/>
    <w:rsid w:val="00865B07"/>
    <w:rsid w:val="008667EA"/>
    <w:rsid w:val="0087637F"/>
    <w:rsid w:val="00892AD5"/>
    <w:rsid w:val="008A1512"/>
    <w:rsid w:val="008A227A"/>
    <w:rsid w:val="008D055C"/>
    <w:rsid w:val="008D32B9"/>
    <w:rsid w:val="008D433B"/>
    <w:rsid w:val="008E566E"/>
    <w:rsid w:val="0090161A"/>
    <w:rsid w:val="00901EB6"/>
    <w:rsid w:val="00904C62"/>
    <w:rsid w:val="00922BA8"/>
    <w:rsid w:val="00924DAC"/>
    <w:rsid w:val="00927058"/>
    <w:rsid w:val="00942750"/>
    <w:rsid w:val="009450CE"/>
    <w:rsid w:val="00947179"/>
    <w:rsid w:val="00947326"/>
    <w:rsid w:val="0095164B"/>
    <w:rsid w:val="00954090"/>
    <w:rsid w:val="00954F96"/>
    <w:rsid w:val="009573E7"/>
    <w:rsid w:val="00963E05"/>
    <w:rsid w:val="00965FCA"/>
    <w:rsid w:val="00967843"/>
    <w:rsid w:val="00967D54"/>
    <w:rsid w:val="00971028"/>
    <w:rsid w:val="00971329"/>
    <w:rsid w:val="00977E5D"/>
    <w:rsid w:val="00990923"/>
    <w:rsid w:val="00996483"/>
    <w:rsid w:val="00996F5A"/>
    <w:rsid w:val="009A22D2"/>
    <w:rsid w:val="009A3C44"/>
    <w:rsid w:val="009B041A"/>
    <w:rsid w:val="009C37C3"/>
    <w:rsid w:val="009C7C86"/>
    <w:rsid w:val="009D2C05"/>
    <w:rsid w:val="009D2FF7"/>
    <w:rsid w:val="009E1354"/>
    <w:rsid w:val="009E7884"/>
    <w:rsid w:val="009E788A"/>
    <w:rsid w:val="009F0E08"/>
    <w:rsid w:val="00A1763D"/>
    <w:rsid w:val="00A17CEC"/>
    <w:rsid w:val="00A27EF0"/>
    <w:rsid w:val="00A37F03"/>
    <w:rsid w:val="00A42361"/>
    <w:rsid w:val="00A50B20"/>
    <w:rsid w:val="00A51390"/>
    <w:rsid w:val="00A60D13"/>
    <w:rsid w:val="00A64D85"/>
    <w:rsid w:val="00A72745"/>
    <w:rsid w:val="00A7637D"/>
    <w:rsid w:val="00A76EFC"/>
    <w:rsid w:val="00A90C81"/>
    <w:rsid w:val="00A91010"/>
    <w:rsid w:val="00A97B51"/>
    <w:rsid w:val="00A97F29"/>
    <w:rsid w:val="00AA51A2"/>
    <w:rsid w:val="00AA702E"/>
    <w:rsid w:val="00AB01E1"/>
    <w:rsid w:val="00AB0964"/>
    <w:rsid w:val="00AB5011"/>
    <w:rsid w:val="00AC7368"/>
    <w:rsid w:val="00AD16B9"/>
    <w:rsid w:val="00AD77C6"/>
    <w:rsid w:val="00AE377D"/>
    <w:rsid w:val="00AF0EBA"/>
    <w:rsid w:val="00B02C8A"/>
    <w:rsid w:val="00B03BCB"/>
    <w:rsid w:val="00B17FBD"/>
    <w:rsid w:val="00B315A6"/>
    <w:rsid w:val="00B31813"/>
    <w:rsid w:val="00B33365"/>
    <w:rsid w:val="00B33AF9"/>
    <w:rsid w:val="00B57B36"/>
    <w:rsid w:val="00B8686D"/>
    <w:rsid w:val="00B9588E"/>
    <w:rsid w:val="00BB1DDC"/>
    <w:rsid w:val="00BC30C9"/>
    <w:rsid w:val="00BC69A0"/>
    <w:rsid w:val="00BD073F"/>
    <w:rsid w:val="00BE3E58"/>
    <w:rsid w:val="00BF39C5"/>
    <w:rsid w:val="00C01616"/>
    <w:rsid w:val="00C0162B"/>
    <w:rsid w:val="00C068ED"/>
    <w:rsid w:val="00C1418F"/>
    <w:rsid w:val="00C3126D"/>
    <w:rsid w:val="00C345B1"/>
    <w:rsid w:val="00C40142"/>
    <w:rsid w:val="00C5211C"/>
    <w:rsid w:val="00C57182"/>
    <w:rsid w:val="00C57863"/>
    <w:rsid w:val="00C6344F"/>
    <w:rsid w:val="00C64F30"/>
    <w:rsid w:val="00C655FD"/>
    <w:rsid w:val="00C75407"/>
    <w:rsid w:val="00C870A8"/>
    <w:rsid w:val="00C94434"/>
    <w:rsid w:val="00CA0D75"/>
    <w:rsid w:val="00CA1C95"/>
    <w:rsid w:val="00CA5A9C"/>
    <w:rsid w:val="00CB022B"/>
    <w:rsid w:val="00CC4C20"/>
    <w:rsid w:val="00CD3517"/>
    <w:rsid w:val="00CD5FE2"/>
    <w:rsid w:val="00CE5EE9"/>
    <w:rsid w:val="00CE7C68"/>
    <w:rsid w:val="00D02B4C"/>
    <w:rsid w:val="00D040C4"/>
    <w:rsid w:val="00D210B0"/>
    <w:rsid w:val="00D57C84"/>
    <w:rsid w:val="00D6057D"/>
    <w:rsid w:val="00D71A4F"/>
    <w:rsid w:val="00D836C5"/>
    <w:rsid w:val="00D84576"/>
    <w:rsid w:val="00D914BA"/>
    <w:rsid w:val="00DA1399"/>
    <w:rsid w:val="00DA24C6"/>
    <w:rsid w:val="00DA4D7B"/>
    <w:rsid w:val="00DE264A"/>
    <w:rsid w:val="00DE7043"/>
    <w:rsid w:val="00DF5072"/>
    <w:rsid w:val="00E02D18"/>
    <w:rsid w:val="00E041E7"/>
    <w:rsid w:val="00E23CA1"/>
    <w:rsid w:val="00E336CB"/>
    <w:rsid w:val="00E409A8"/>
    <w:rsid w:val="00E50C12"/>
    <w:rsid w:val="00E52610"/>
    <w:rsid w:val="00E542CB"/>
    <w:rsid w:val="00E65B91"/>
    <w:rsid w:val="00E7209D"/>
    <w:rsid w:val="00E751EC"/>
    <w:rsid w:val="00E77223"/>
    <w:rsid w:val="00E8528B"/>
    <w:rsid w:val="00E85B94"/>
    <w:rsid w:val="00E9749F"/>
    <w:rsid w:val="00E978D0"/>
    <w:rsid w:val="00EA4613"/>
    <w:rsid w:val="00EA7F91"/>
    <w:rsid w:val="00EB1523"/>
    <w:rsid w:val="00EC0E49"/>
    <w:rsid w:val="00EC101F"/>
    <w:rsid w:val="00EC1D9F"/>
    <w:rsid w:val="00EE0131"/>
    <w:rsid w:val="00EE17B0"/>
    <w:rsid w:val="00EF06D9"/>
    <w:rsid w:val="00F01675"/>
    <w:rsid w:val="00F16E5A"/>
    <w:rsid w:val="00F30C64"/>
    <w:rsid w:val="00F32CDB"/>
    <w:rsid w:val="00F565FE"/>
    <w:rsid w:val="00F63A70"/>
    <w:rsid w:val="00F70175"/>
    <w:rsid w:val="00F71B78"/>
    <w:rsid w:val="00F9281D"/>
    <w:rsid w:val="00F94E05"/>
    <w:rsid w:val="00FA21D0"/>
    <w:rsid w:val="00FA5F5F"/>
    <w:rsid w:val="00FB730C"/>
    <w:rsid w:val="00FC12D9"/>
    <w:rsid w:val="00FC2695"/>
    <w:rsid w:val="00FC3E03"/>
    <w:rsid w:val="00FC3FC1"/>
    <w:rsid w:val="00FC77EC"/>
    <w:rsid w:val="00FD531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F1C78656-E49D-4D60-ADB2-2C346A517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CE5EE9"/>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1B0C96"/>
    <w:pPr>
      <w:keepNext/>
      <w:numPr>
        <w:ilvl w:val="2"/>
        <w:numId w:val="1"/>
      </w:numPr>
      <w:suppressAutoHyphens/>
      <w:spacing w:before="120" w:after="120" w:line="240" w:lineRule="auto"/>
    </w:pPr>
    <w:rPr>
      <w:rFonts w:ascii="Arial" w:eastAsia="Times New Roman" w:hAnsi="Arial" w:cs="Arial"/>
      <w:bCs/>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1B0C96"/>
    <w:rPr>
      <w:rFonts w:ascii="Arial" w:eastAsia="Times New Roman" w:hAnsi="Arial" w:cs="Arial"/>
      <w:bCs/>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val="0"/>
      <w:bCs/>
      <w:sz w:val="18"/>
      <w:szCs w:val="20"/>
      <w:lang w:val="en-US"/>
    </w:rPr>
  </w:style>
  <w:style w:type="character" w:styleId="Menzionenonrisolta">
    <w:name w:val="Unresolved Mention"/>
    <w:basedOn w:val="Carpredefinitoparagrafo"/>
    <w:uiPriority w:val="99"/>
    <w:semiHidden/>
    <w:unhideWhenUsed/>
    <w:rsid w:val="00B03BCB"/>
    <w:rPr>
      <w:color w:val="605E5C"/>
      <w:shd w:val="clear" w:color="auto" w:fill="E1DFDD"/>
    </w:rPr>
  </w:style>
  <w:style w:type="paragraph" w:customStyle="1" w:styleId="Text">
    <w:name w:val="Text"/>
    <w:basedOn w:val="Normale"/>
    <w:link w:val="TextChar"/>
    <w:rsid w:val="00412DFC"/>
    <w:pPr>
      <w:tabs>
        <w:tab w:val="clear" w:pos="7100"/>
        <w:tab w:val="right" w:pos="7200"/>
      </w:tabs>
      <w:spacing w:before="240" w:after="120" w:line="260" w:lineRule="exact"/>
      <w:ind w:right="288"/>
    </w:pPr>
    <w:rPr>
      <w:rFonts w:ascii="Times New Roman" w:hAnsi="Times New Roman"/>
      <w:sz w:val="20"/>
      <w:szCs w:val="24"/>
      <w:lang w:val="en-US"/>
    </w:rPr>
  </w:style>
  <w:style w:type="character" w:customStyle="1" w:styleId="TextChar">
    <w:name w:val="Text Char"/>
    <w:basedOn w:val="Carpredefinitoparagrafo"/>
    <w:link w:val="Text"/>
    <w:rsid w:val="00412DFC"/>
    <w:rPr>
      <w:rFonts w:ascii="Times New Roman" w:eastAsia="Times New Roman" w:hAnsi="Times New Roman" w:cs="Times New Roman"/>
      <w:sz w:val="20"/>
      <w:szCs w:val="24"/>
      <w:lang w:val="en-US"/>
    </w:rPr>
  </w:style>
  <w:style w:type="paragraph" w:styleId="Paragrafoelenco">
    <w:name w:val="List Paragraph"/>
    <w:basedOn w:val="Normale"/>
    <w:uiPriority w:val="34"/>
    <w:qFormat/>
    <w:rsid w:val="00CE5EE9"/>
    <w:pPr>
      <w:tabs>
        <w:tab w:val="clear" w:pos="7100"/>
      </w:tabs>
      <w:spacing w:line="240" w:lineRule="auto"/>
      <w:ind w:left="720"/>
      <w:contextualSpacing/>
    </w:pPr>
    <w:rPr>
      <w:rFonts w:ascii="Palatino Linotype" w:eastAsiaTheme="minorHAnsi" w:hAnsi="Palatino Linotype" w:cstheme="minorBidi"/>
      <w:sz w:val="20"/>
      <w:szCs w:val="22"/>
      <w:lang w:val="en-US"/>
    </w:rPr>
  </w:style>
  <w:style w:type="paragraph" w:styleId="Revisione">
    <w:name w:val="Revision"/>
    <w:hidden/>
    <w:uiPriority w:val="99"/>
    <w:semiHidden/>
    <w:rsid w:val="00971329"/>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3994">
      <w:bodyDiv w:val="1"/>
      <w:marLeft w:val="0"/>
      <w:marRight w:val="0"/>
      <w:marTop w:val="0"/>
      <w:marBottom w:val="0"/>
      <w:divBdr>
        <w:top w:val="none" w:sz="0" w:space="0" w:color="auto"/>
        <w:left w:val="none" w:sz="0" w:space="0" w:color="auto"/>
        <w:bottom w:val="none" w:sz="0" w:space="0" w:color="auto"/>
        <w:right w:val="none" w:sz="0" w:space="0" w:color="auto"/>
      </w:divBdr>
    </w:div>
    <w:div w:id="404887211">
      <w:bodyDiv w:val="1"/>
      <w:marLeft w:val="0"/>
      <w:marRight w:val="0"/>
      <w:marTop w:val="0"/>
      <w:marBottom w:val="0"/>
      <w:divBdr>
        <w:top w:val="none" w:sz="0" w:space="0" w:color="auto"/>
        <w:left w:val="none" w:sz="0" w:space="0" w:color="auto"/>
        <w:bottom w:val="none" w:sz="0" w:space="0" w:color="auto"/>
        <w:right w:val="none" w:sz="0" w:space="0" w:color="auto"/>
      </w:divBdr>
    </w:div>
    <w:div w:id="507788684">
      <w:bodyDiv w:val="1"/>
      <w:marLeft w:val="0"/>
      <w:marRight w:val="0"/>
      <w:marTop w:val="0"/>
      <w:marBottom w:val="0"/>
      <w:divBdr>
        <w:top w:val="none" w:sz="0" w:space="0" w:color="auto"/>
        <w:left w:val="none" w:sz="0" w:space="0" w:color="auto"/>
        <w:bottom w:val="none" w:sz="0" w:space="0" w:color="auto"/>
        <w:right w:val="none" w:sz="0" w:space="0" w:color="auto"/>
      </w:divBdr>
    </w:div>
    <w:div w:id="59312990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122355">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796196">
      <w:bodyDiv w:val="1"/>
      <w:marLeft w:val="0"/>
      <w:marRight w:val="0"/>
      <w:marTop w:val="0"/>
      <w:marBottom w:val="0"/>
      <w:divBdr>
        <w:top w:val="none" w:sz="0" w:space="0" w:color="auto"/>
        <w:left w:val="none" w:sz="0" w:space="0" w:color="auto"/>
        <w:bottom w:val="none" w:sz="0" w:space="0" w:color="auto"/>
        <w:right w:val="none" w:sz="0" w:space="0" w:color="auto"/>
      </w:divBdr>
      <w:divsChild>
        <w:div w:id="802625255">
          <w:marLeft w:val="0"/>
          <w:marRight w:val="0"/>
          <w:marTop w:val="0"/>
          <w:marBottom w:val="0"/>
          <w:divBdr>
            <w:top w:val="none" w:sz="0" w:space="0" w:color="auto"/>
            <w:left w:val="none" w:sz="0" w:space="0" w:color="auto"/>
            <w:bottom w:val="none" w:sz="0" w:space="0" w:color="auto"/>
            <w:right w:val="none" w:sz="0" w:space="0" w:color="auto"/>
          </w:divBdr>
        </w:div>
      </w:divsChild>
    </w:div>
    <w:div w:id="1844470591">
      <w:bodyDiv w:val="1"/>
      <w:marLeft w:val="0"/>
      <w:marRight w:val="0"/>
      <w:marTop w:val="0"/>
      <w:marBottom w:val="0"/>
      <w:divBdr>
        <w:top w:val="none" w:sz="0" w:space="0" w:color="auto"/>
        <w:left w:val="none" w:sz="0" w:space="0" w:color="auto"/>
        <w:bottom w:val="none" w:sz="0" w:space="0" w:color="auto"/>
        <w:right w:val="none" w:sz="0" w:space="0" w:color="auto"/>
      </w:divBdr>
    </w:div>
    <w:div w:id="2067757976">
      <w:bodyDiv w:val="1"/>
      <w:marLeft w:val="0"/>
      <w:marRight w:val="0"/>
      <w:marTop w:val="0"/>
      <w:marBottom w:val="0"/>
      <w:divBdr>
        <w:top w:val="none" w:sz="0" w:space="0" w:color="auto"/>
        <w:left w:val="none" w:sz="0" w:space="0" w:color="auto"/>
        <w:bottom w:val="none" w:sz="0" w:space="0" w:color="auto"/>
        <w:right w:val="none" w:sz="0" w:space="0" w:color="auto"/>
      </w:divBdr>
      <w:divsChild>
        <w:div w:id="1011571777">
          <w:marLeft w:val="0"/>
          <w:marRight w:val="0"/>
          <w:marTop w:val="0"/>
          <w:marBottom w:val="0"/>
          <w:divBdr>
            <w:top w:val="none" w:sz="0" w:space="0" w:color="auto"/>
            <w:left w:val="none" w:sz="0" w:space="0" w:color="auto"/>
            <w:bottom w:val="none" w:sz="0" w:space="0" w:color="auto"/>
            <w:right w:val="none" w:sz="0" w:space="0" w:color="auto"/>
          </w:divBdr>
        </w:div>
        <w:div w:id="1412392160">
          <w:marLeft w:val="0"/>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sv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abrina.copelli@uninsubria.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FRM94</b:Tag>
    <b:SourceType>JournalArticle</b:SourceType>
    <b:Guid>{0358CF68-564F-4E9C-A621-6A56680CCA2E}</b:Guid>
    <b:Author>
      <b:Author>
        <b:NameList>
          <b:Person>
            <b:Last>Menter</b:Last>
            <b:First>F.R.</b:First>
          </b:Person>
        </b:NameList>
      </b:Author>
    </b:Author>
    <b:Title>Two-Equation Eddy-Viscosity Turbulence Models for Engineering Applications</b:Title>
    <b:JournalName>NASA Amesh Research Center</b:JournalName>
    <b:Year>1994</b:Year>
    <b:RefOrder>6</b:RefOrder>
  </b:Source>
</b:Sources>
</file>

<file path=customXml/itemProps1.xml><?xml version="1.0" encoding="utf-8"?>
<ds:datastoreItem xmlns:ds="http://schemas.openxmlformats.org/officeDocument/2006/customXml" ds:itemID="{FCB3E232-E8B9-453E-8B14-5CD7C5362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1287</TotalTime>
  <Pages>6</Pages>
  <Words>7481</Words>
  <Characters>42647</Characters>
  <Application>Microsoft Office Word</Application>
  <DocSecurity>0</DocSecurity>
  <Lines>355</Lines>
  <Paragraphs>100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50028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Marco Barozzi</cp:lastModifiedBy>
  <cp:revision>63</cp:revision>
  <cp:lastPrinted>2015-05-12T18:31:00Z</cp:lastPrinted>
  <dcterms:created xsi:type="dcterms:W3CDTF">2023-03-09T17:00:00Z</dcterms:created>
  <dcterms:modified xsi:type="dcterms:W3CDTF">2023-07-12T10:35:00Z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