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D10388"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D10388" w:rsidRDefault="000A03B2" w:rsidP="00DE264A">
            <w:pPr>
              <w:tabs>
                <w:tab w:val="left" w:pos="-108"/>
              </w:tabs>
              <w:ind w:left="-108"/>
              <w:jc w:val="left"/>
              <w:rPr>
                <w:rFonts w:cs="Arial"/>
                <w:b/>
                <w:bCs/>
                <w:i/>
                <w:iCs/>
                <w:color w:val="000066"/>
                <w:sz w:val="12"/>
                <w:szCs w:val="12"/>
                <w:lang w:eastAsia="it-IT"/>
              </w:rPr>
            </w:pPr>
            <w:r w:rsidRPr="00D10388">
              <w:rPr>
                <w:rFonts w:ascii="AdvP6960" w:hAnsi="AdvP6960" w:cs="AdvP6960"/>
                <w:noProof/>
                <w:color w:val="241F20"/>
                <w:szCs w:val="18"/>
              </w:rPr>
              <w:drawing>
                <wp:inline distT="0" distB="0" distL="0" distR="0" wp14:anchorId="02B7C3D3" wp14:editId="5EE03112">
                  <wp:extent cx="640080" cy="373380"/>
                  <wp:effectExtent l="0" t="0" r="7620" b="7620"/>
                  <wp:docPr id="5" name="Image 1"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10388">
              <w:rPr>
                <w:rFonts w:ascii="AdvP6960" w:hAnsi="AdvP6960" w:cs="AdvP6960"/>
                <w:color w:val="241F20"/>
                <w:szCs w:val="18"/>
                <w:lang w:eastAsia="it-IT"/>
              </w:rPr>
              <w:t xml:space="preserve"> </w:t>
            </w:r>
            <w:r w:rsidRPr="00D10388">
              <w:rPr>
                <w:rFonts w:cs="Arial"/>
                <w:b/>
                <w:bCs/>
                <w:i/>
                <w:iCs/>
                <w:color w:val="000066"/>
                <w:sz w:val="24"/>
                <w:szCs w:val="24"/>
                <w:lang w:eastAsia="it-IT"/>
              </w:rPr>
              <w:t>CHEMICAL ENGINEERING</w:t>
            </w:r>
            <w:r w:rsidRPr="00D10388">
              <w:rPr>
                <w:rFonts w:cs="Arial"/>
                <w:b/>
                <w:bCs/>
                <w:i/>
                <w:iCs/>
                <w:color w:val="0033FF"/>
                <w:sz w:val="24"/>
                <w:szCs w:val="24"/>
                <w:lang w:eastAsia="it-IT"/>
              </w:rPr>
              <w:t xml:space="preserve"> </w:t>
            </w:r>
            <w:r w:rsidRPr="00D10388">
              <w:rPr>
                <w:rFonts w:cs="Arial"/>
                <w:b/>
                <w:bCs/>
                <w:i/>
                <w:iCs/>
                <w:color w:val="666666"/>
                <w:sz w:val="24"/>
                <w:szCs w:val="24"/>
                <w:lang w:eastAsia="it-IT"/>
              </w:rPr>
              <w:t>TRANSACTIONS</w:t>
            </w:r>
            <w:r w:rsidRPr="00D10388">
              <w:rPr>
                <w:color w:val="333333"/>
                <w:sz w:val="24"/>
                <w:szCs w:val="24"/>
                <w:lang w:eastAsia="it-IT"/>
              </w:rPr>
              <w:t xml:space="preserve"> </w:t>
            </w:r>
            <w:r w:rsidRPr="00D10388">
              <w:rPr>
                <w:rFonts w:cs="Arial"/>
                <w:b/>
                <w:bCs/>
                <w:i/>
                <w:iCs/>
                <w:color w:val="000066"/>
                <w:sz w:val="27"/>
                <w:szCs w:val="27"/>
                <w:lang w:eastAsia="it-IT"/>
              </w:rPr>
              <w:br/>
            </w:r>
          </w:p>
          <w:p w14:paraId="4B780582" w14:textId="6A1BA5B6" w:rsidR="000A03B2" w:rsidRPr="00D10388" w:rsidRDefault="00A76EFC" w:rsidP="005D668A">
            <w:pPr>
              <w:tabs>
                <w:tab w:val="left" w:pos="-108"/>
              </w:tabs>
              <w:ind w:left="-108"/>
              <w:rPr>
                <w:rFonts w:cs="Arial"/>
                <w:b/>
                <w:bCs/>
                <w:i/>
                <w:iCs/>
                <w:color w:val="000066"/>
                <w:sz w:val="22"/>
                <w:szCs w:val="22"/>
                <w:lang w:eastAsia="it-IT"/>
              </w:rPr>
            </w:pPr>
            <w:r w:rsidRPr="00D10388">
              <w:rPr>
                <w:rFonts w:cs="Arial"/>
                <w:b/>
                <w:bCs/>
                <w:i/>
                <w:iCs/>
                <w:color w:val="000066"/>
                <w:sz w:val="22"/>
                <w:szCs w:val="22"/>
                <w:lang w:eastAsia="it-IT"/>
              </w:rPr>
              <w:t>VOL.</w:t>
            </w:r>
            <w:r w:rsidR="00FA5F5F" w:rsidRPr="00D10388">
              <w:rPr>
                <w:rFonts w:cs="Arial"/>
                <w:b/>
                <w:bCs/>
                <w:i/>
                <w:iCs/>
                <w:color w:val="000066"/>
                <w:sz w:val="22"/>
                <w:szCs w:val="22"/>
                <w:lang w:eastAsia="it-IT"/>
              </w:rPr>
              <w:t>, 20</w:t>
            </w:r>
            <w:r w:rsidR="00DF5072" w:rsidRPr="00D10388">
              <w:rPr>
                <w:rFonts w:cs="Arial"/>
                <w:b/>
                <w:bCs/>
                <w:i/>
                <w:iCs/>
                <w:color w:val="000066"/>
                <w:sz w:val="22"/>
                <w:szCs w:val="22"/>
                <w:lang w:eastAsia="it-IT"/>
              </w:rPr>
              <w:t>2</w:t>
            </w:r>
            <w:r w:rsidR="00543FE0" w:rsidRPr="00D10388">
              <w:rPr>
                <w:rFonts w:cs="Arial"/>
                <w:b/>
                <w:bCs/>
                <w:i/>
                <w:iCs/>
                <w:color w:val="000066"/>
                <w:sz w:val="22"/>
                <w:szCs w:val="22"/>
                <w:lang w:eastAsia="it-IT"/>
              </w:rPr>
              <w:t>3</w:t>
            </w:r>
          </w:p>
        </w:tc>
        <w:tc>
          <w:tcPr>
            <w:tcW w:w="1843" w:type="dxa"/>
            <w:tcBorders>
              <w:left w:val="single" w:sz="4" w:space="0" w:color="auto"/>
              <w:bottom w:val="nil"/>
              <w:right w:val="single" w:sz="4" w:space="0" w:color="auto"/>
            </w:tcBorders>
          </w:tcPr>
          <w:p w14:paraId="56782132" w14:textId="77777777" w:rsidR="000A03B2" w:rsidRPr="00D10388" w:rsidRDefault="000A03B2" w:rsidP="00CD5FE2">
            <w:pPr>
              <w:spacing w:line="140" w:lineRule="atLeast"/>
              <w:jc w:val="right"/>
              <w:rPr>
                <w:rFonts w:cs="Arial"/>
                <w:sz w:val="14"/>
                <w:szCs w:val="14"/>
              </w:rPr>
            </w:pPr>
            <w:r w:rsidRPr="00D10388">
              <w:rPr>
                <w:rFonts w:cs="Arial"/>
                <w:sz w:val="14"/>
                <w:szCs w:val="14"/>
              </w:rPr>
              <w:t>A publication of</w:t>
            </w:r>
          </w:p>
          <w:p w14:paraId="599E5441" w14:textId="77777777" w:rsidR="000A03B2" w:rsidRPr="00D10388" w:rsidRDefault="000A03B2" w:rsidP="00CD5FE2">
            <w:pPr>
              <w:jc w:val="right"/>
            </w:pPr>
            <w:r w:rsidRPr="00D10388">
              <w:rPr>
                <w:noProof/>
              </w:rPr>
              <w:drawing>
                <wp:inline distT="0" distB="0" distL="0" distR="0" wp14:anchorId="59C75AF4" wp14:editId="4FF92432">
                  <wp:extent cx="670560" cy="358140"/>
                  <wp:effectExtent l="0" t="0" r="0" b="3810"/>
                  <wp:docPr id="6" name="Image 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10388" w14:paraId="380FA3CD" w14:textId="77777777" w:rsidTr="00DE264A">
        <w:trPr>
          <w:trHeight w:val="567"/>
          <w:jc w:val="center"/>
        </w:trPr>
        <w:tc>
          <w:tcPr>
            <w:tcW w:w="6946" w:type="dxa"/>
            <w:vMerge/>
            <w:tcBorders>
              <w:right w:val="single" w:sz="4" w:space="0" w:color="auto"/>
            </w:tcBorders>
          </w:tcPr>
          <w:p w14:paraId="39E5E4C1" w14:textId="77777777" w:rsidR="000A03B2" w:rsidRPr="00D10388"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D10388" w:rsidRDefault="000A03B2" w:rsidP="00CD5FE2">
            <w:pPr>
              <w:spacing w:line="140" w:lineRule="atLeast"/>
              <w:jc w:val="right"/>
              <w:rPr>
                <w:rFonts w:cs="Arial"/>
                <w:sz w:val="14"/>
                <w:szCs w:val="14"/>
              </w:rPr>
            </w:pPr>
            <w:r w:rsidRPr="00D10388">
              <w:rPr>
                <w:rFonts w:cs="Arial"/>
                <w:sz w:val="14"/>
                <w:szCs w:val="14"/>
              </w:rPr>
              <w:t>The Italian Association</w:t>
            </w:r>
          </w:p>
          <w:p w14:paraId="7522B1D2" w14:textId="77777777" w:rsidR="000A03B2" w:rsidRPr="00D10388" w:rsidRDefault="000A03B2" w:rsidP="00CD5FE2">
            <w:pPr>
              <w:spacing w:line="140" w:lineRule="atLeast"/>
              <w:jc w:val="right"/>
              <w:rPr>
                <w:rFonts w:cs="Arial"/>
                <w:sz w:val="14"/>
                <w:szCs w:val="14"/>
              </w:rPr>
            </w:pPr>
            <w:r w:rsidRPr="00D10388">
              <w:rPr>
                <w:rFonts w:cs="Arial"/>
                <w:sz w:val="14"/>
                <w:szCs w:val="14"/>
              </w:rPr>
              <w:t>of Chemical Engineering</w:t>
            </w:r>
          </w:p>
          <w:p w14:paraId="4F0CC5DE" w14:textId="47FDB2FC" w:rsidR="000A03B2" w:rsidRPr="00D10388" w:rsidRDefault="000D0268" w:rsidP="00CD5FE2">
            <w:pPr>
              <w:spacing w:line="140" w:lineRule="atLeast"/>
              <w:jc w:val="right"/>
              <w:rPr>
                <w:rFonts w:cs="Arial"/>
                <w:sz w:val="13"/>
                <w:szCs w:val="13"/>
              </w:rPr>
            </w:pPr>
            <w:r w:rsidRPr="00D10388">
              <w:rPr>
                <w:rFonts w:cs="Arial"/>
                <w:sz w:val="13"/>
                <w:szCs w:val="13"/>
              </w:rPr>
              <w:t>Online at www.cetjournal.it</w:t>
            </w:r>
          </w:p>
        </w:tc>
      </w:tr>
      <w:tr w:rsidR="000A03B2" w:rsidRPr="00D10388" w14:paraId="2D1B7169" w14:textId="77777777" w:rsidTr="00DE264A">
        <w:trPr>
          <w:trHeight w:val="68"/>
          <w:jc w:val="center"/>
        </w:trPr>
        <w:tc>
          <w:tcPr>
            <w:tcW w:w="8789" w:type="dxa"/>
            <w:gridSpan w:val="2"/>
          </w:tcPr>
          <w:p w14:paraId="4B0BB442" w14:textId="0CD871F8" w:rsidR="00300E56" w:rsidRPr="00D10388" w:rsidRDefault="00300E56" w:rsidP="007931FA">
            <w:pPr>
              <w:ind w:left="-107"/>
              <w:rPr>
                <w:rFonts w:ascii="Times New Roman" w:hAnsi="Times New Roman"/>
                <w:sz w:val="24"/>
                <w:szCs w:val="24"/>
                <w:lang w:eastAsia="it-IT"/>
              </w:rPr>
            </w:pPr>
            <w:r w:rsidRPr="00D10388">
              <w:rPr>
                <w:rFonts w:ascii="Tahoma" w:hAnsi="Tahoma" w:cs="Tahoma"/>
                <w:iCs/>
                <w:color w:val="333333"/>
                <w:sz w:val="14"/>
                <w:szCs w:val="14"/>
                <w:lang w:eastAsia="it-IT"/>
              </w:rPr>
              <w:t>Guest Editors:</w:t>
            </w:r>
            <w:r w:rsidR="00904C62" w:rsidRPr="00D10388">
              <w:rPr>
                <w:rFonts w:ascii="Tahoma" w:hAnsi="Tahoma" w:cs="Tahoma"/>
                <w:iCs/>
                <w:color w:val="333333"/>
                <w:sz w:val="14"/>
                <w:szCs w:val="14"/>
                <w:lang w:eastAsia="it-IT"/>
              </w:rPr>
              <w:t xml:space="preserve"> </w:t>
            </w:r>
            <w:r w:rsidR="00225738" w:rsidRPr="00D10388">
              <w:rPr>
                <w:rFonts w:ascii="Tahoma" w:hAnsi="Tahoma" w:cs="Tahoma"/>
                <w:iCs/>
                <w:color w:val="333333"/>
                <w:sz w:val="14"/>
                <w:szCs w:val="14"/>
                <w:lang w:eastAsia="it-IT"/>
              </w:rPr>
              <w:t>Sabrina Copelli, Richard Siwek</w:t>
            </w:r>
          </w:p>
          <w:p w14:paraId="1B0F1814" w14:textId="3BBD1B69" w:rsidR="000A03B2" w:rsidRPr="00D10388" w:rsidRDefault="00FA5F5F" w:rsidP="005D668A">
            <w:pPr>
              <w:tabs>
                <w:tab w:val="left" w:pos="-108"/>
              </w:tabs>
              <w:spacing w:line="140" w:lineRule="atLeast"/>
              <w:ind w:left="-107"/>
              <w:jc w:val="left"/>
            </w:pPr>
            <w:r w:rsidRPr="00D10388">
              <w:rPr>
                <w:rFonts w:ascii="Tahoma" w:hAnsi="Tahoma" w:cs="Tahoma"/>
                <w:iCs/>
                <w:color w:val="333333"/>
                <w:sz w:val="14"/>
                <w:szCs w:val="14"/>
                <w:lang w:eastAsia="it-IT"/>
              </w:rPr>
              <w:t>Copyright © 20</w:t>
            </w:r>
            <w:r w:rsidR="00DF5072" w:rsidRPr="00D10388">
              <w:rPr>
                <w:rFonts w:ascii="Tahoma" w:hAnsi="Tahoma" w:cs="Tahoma"/>
                <w:iCs/>
                <w:color w:val="333333"/>
                <w:sz w:val="14"/>
                <w:szCs w:val="14"/>
                <w:lang w:eastAsia="it-IT"/>
              </w:rPr>
              <w:t>2</w:t>
            </w:r>
            <w:r w:rsidR="00543FE0" w:rsidRPr="00D10388">
              <w:rPr>
                <w:rFonts w:ascii="Tahoma" w:hAnsi="Tahoma" w:cs="Tahoma"/>
                <w:iCs/>
                <w:color w:val="333333"/>
                <w:sz w:val="14"/>
                <w:szCs w:val="14"/>
                <w:lang w:eastAsia="it-IT"/>
              </w:rPr>
              <w:t>3</w:t>
            </w:r>
            <w:r w:rsidR="00904C62" w:rsidRPr="00D10388">
              <w:rPr>
                <w:rFonts w:ascii="Tahoma" w:hAnsi="Tahoma" w:cs="Tahoma"/>
                <w:iCs/>
                <w:color w:val="333333"/>
                <w:sz w:val="14"/>
                <w:szCs w:val="14"/>
                <w:lang w:eastAsia="it-IT"/>
              </w:rPr>
              <w:t>, AIDIC Servizi S.r.l.</w:t>
            </w:r>
            <w:r w:rsidR="00300E56" w:rsidRPr="00D10388">
              <w:rPr>
                <w:rFonts w:ascii="Tahoma" w:hAnsi="Tahoma" w:cs="Tahoma"/>
                <w:iCs/>
                <w:color w:val="333333"/>
                <w:sz w:val="14"/>
                <w:szCs w:val="14"/>
                <w:lang w:eastAsia="it-IT"/>
              </w:rPr>
              <w:br/>
            </w:r>
            <w:r w:rsidR="00300E56" w:rsidRPr="00D10388">
              <w:rPr>
                <w:rFonts w:ascii="Tahoma" w:hAnsi="Tahoma" w:cs="Tahoma"/>
                <w:b/>
                <w:iCs/>
                <w:color w:val="000000"/>
                <w:sz w:val="14"/>
                <w:szCs w:val="14"/>
                <w:lang w:eastAsia="it-IT"/>
              </w:rPr>
              <w:t>ISBN</w:t>
            </w:r>
            <w:r w:rsidR="00300E56" w:rsidRPr="00D10388">
              <w:rPr>
                <w:rFonts w:ascii="Tahoma" w:hAnsi="Tahoma" w:cs="Tahoma"/>
                <w:iCs/>
                <w:color w:val="000000"/>
                <w:sz w:val="14"/>
                <w:szCs w:val="14"/>
                <w:lang w:eastAsia="it-IT"/>
              </w:rPr>
              <w:t xml:space="preserve"> </w:t>
            </w:r>
            <w:r w:rsidR="00300E56" w:rsidRPr="00D10388">
              <w:rPr>
                <w:rFonts w:ascii="Tahoma" w:hAnsi="Tahoma" w:cs="Tahoma"/>
                <w:iCs/>
                <w:color w:val="333333"/>
                <w:sz w:val="14"/>
                <w:szCs w:val="14"/>
                <w:lang w:eastAsia="it-IT"/>
              </w:rPr>
              <w:t xml:space="preserve">; </w:t>
            </w:r>
            <w:r w:rsidR="00300E56" w:rsidRPr="00D10388">
              <w:rPr>
                <w:rFonts w:ascii="Tahoma" w:hAnsi="Tahoma" w:cs="Tahoma"/>
                <w:b/>
                <w:iCs/>
                <w:color w:val="333333"/>
                <w:sz w:val="14"/>
                <w:szCs w:val="14"/>
                <w:lang w:eastAsia="it-IT"/>
              </w:rPr>
              <w:t>ISSN</w:t>
            </w:r>
            <w:r w:rsidR="00300E56" w:rsidRPr="00D10388">
              <w:rPr>
                <w:rFonts w:ascii="Tahoma" w:hAnsi="Tahoma" w:cs="Tahoma"/>
                <w:iCs/>
                <w:color w:val="333333"/>
                <w:sz w:val="14"/>
                <w:szCs w:val="14"/>
                <w:lang w:eastAsia="it-IT"/>
              </w:rPr>
              <w:t xml:space="preserve"> 2283-9216</w:t>
            </w:r>
          </w:p>
        </w:tc>
      </w:tr>
    </w:tbl>
    <w:p w14:paraId="2E667253" w14:textId="188AB183" w:rsidR="00E978D0" w:rsidRPr="00D10388" w:rsidRDefault="009D453F" w:rsidP="00E978D0">
      <w:pPr>
        <w:pStyle w:val="CETTitle"/>
      </w:pPr>
      <w:r w:rsidRPr="00D10388">
        <w:t>‘Self-heating is in the air’: the role of oxygen diffusion on the thermal stability of biomass piles</w:t>
      </w:r>
    </w:p>
    <w:p w14:paraId="2B3CA35C" w14:textId="64C860A1" w:rsidR="00E978D0" w:rsidRPr="00D10388" w:rsidRDefault="009D453F" w:rsidP="00AB5011">
      <w:pPr>
        <w:pStyle w:val="CETAuthors"/>
      </w:pPr>
      <w:r w:rsidRPr="00D10388">
        <w:t>Rémi Demol</w:t>
      </w:r>
      <w:r w:rsidR="00600535" w:rsidRPr="00D10388">
        <w:rPr>
          <w:vertAlign w:val="superscript"/>
        </w:rPr>
        <w:t>a</w:t>
      </w:r>
      <w:r w:rsidR="00600535" w:rsidRPr="00D10388">
        <w:t xml:space="preserve">, </w:t>
      </w:r>
      <w:r w:rsidRPr="00D10388">
        <w:t>Agnès</w:t>
      </w:r>
      <w:r w:rsidR="00600535" w:rsidRPr="00D10388">
        <w:t xml:space="preserve"> </w:t>
      </w:r>
      <w:r w:rsidRPr="00D10388">
        <w:t>Janès</w:t>
      </w:r>
      <w:r w:rsidRPr="00D10388">
        <w:rPr>
          <w:vertAlign w:val="superscript"/>
        </w:rPr>
        <w:t>a,b</w:t>
      </w:r>
      <w:r w:rsidR="00600535" w:rsidRPr="00D10388">
        <w:t>,</w:t>
      </w:r>
      <w:r w:rsidRPr="00D10388">
        <w:t xml:space="preserve"> </w:t>
      </w:r>
      <w:r w:rsidR="002B382D" w:rsidRPr="00D10388">
        <w:t>Aimeric Lacourt</w:t>
      </w:r>
      <w:r w:rsidR="002B382D" w:rsidRPr="00D10388">
        <w:rPr>
          <w:vertAlign w:val="superscript"/>
        </w:rPr>
        <w:t>a</w:t>
      </w:r>
      <w:r w:rsidR="002B382D" w:rsidRPr="00D10388">
        <w:t xml:space="preserve">, </w:t>
      </w:r>
      <w:r w:rsidRPr="00D10388">
        <w:t>Anthony Dufour</w:t>
      </w:r>
      <w:r w:rsidRPr="00D10388">
        <w:rPr>
          <w:vertAlign w:val="superscript"/>
        </w:rPr>
        <w:t>a</w:t>
      </w:r>
      <w:r w:rsidRPr="00D10388">
        <w:t>, Olivier Dufaud</w:t>
      </w:r>
      <w:r w:rsidRPr="00D10388">
        <w:rPr>
          <w:vertAlign w:val="superscript"/>
        </w:rPr>
        <w:t>a,*</w:t>
      </w:r>
    </w:p>
    <w:p w14:paraId="5053C5A8" w14:textId="4898111C" w:rsidR="00E978D0" w:rsidRPr="00D10388" w:rsidRDefault="00E978D0" w:rsidP="00E978D0">
      <w:pPr>
        <w:pStyle w:val="CETAddress"/>
      </w:pPr>
      <w:r w:rsidRPr="00D10388">
        <w:rPr>
          <w:vertAlign w:val="superscript"/>
        </w:rPr>
        <w:t>a</w:t>
      </w:r>
      <w:r w:rsidR="009D453F" w:rsidRPr="00D10388">
        <w:t>Université de Lorraine, CNRS, LRGP, F-54000 Nancy, France</w:t>
      </w:r>
      <w:r w:rsidRPr="00D10388">
        <w:t xml:space="preserve"> </w:t>
      </w:r>
    </w:p>
    <w:p w14:paraId="38D29194" w14:textId="5BB232C2" w:rsidR="00E978D0" w:rsidRPr="00D10388" w:rsidRDefault="00E978D0" w:rsidP="00E978D0">
      <w:pPr>
        <w:pStyle w:val="CETAddress"/>
      </w:pPr>
      <w:r w:rsidRPr="00D10388">
        <w:rPr>
          <w:vertAlign w:val="superscript"/>
        </w:rPr>
        <w:t>b</w:t>
      </w:r>
      <w:r w:rsidR="009D453F" w:rsidRPr="00D10388">
        <w:t>Direction Régionale des Risques Professionnels de la Caisse Régionale d’Assurance Maladie d’Ile-de-France, 75019, Paris, France</w:t>
      </w:r>
      <w:r w:rsidRPr="00D10388">
        <w:t xml:space="preserve"> </w:t>
      </w:r>
    </w:p>
    <w:p w14:paraId="0127A28D" w14:textId="3FB69A60" w:rsidR="00E978D0" w:rsidRPr="00D10388" w:rsidRDefault="00AB5011" w:rsidP="00E978D0">
      <w:pPr>
        <w:pStyle w:val="CETemail"/>
      </w:pPr>
      <w:r w:rsidRPr="00D10388">
        <w:t xml:space="preserve"> </w:t>
      </w:r>
      <w:r w:rsidR="009D453F" w:rsidRPr="00D10388">
        <w:t>olivier</w:t>
      </w:r>
      <w:r w:rsidR="00600535" w:rsidRPr="00D10388">
        <w:t>.</w:t>
      </w:r>
      <w:r w:rsidR="009D453F" w:rsidRPr="00D10388">
        <w:t>dufaud</w:t>
      </w:r>
      <w:r w:rsidR="00600535" w:rsidRPr="00D10388">
        <w:t>@</w:t>
      </w:r>
      <w:r w:rsidR="009D453F" w:rsidRPr="00D10388">
        <w:t>univ-lorraine.fr</w:t>
      </w:r>
    </w:p>
    <w:p w14:paraId="358B28ED" w14:textId="014250BC" w:rsidR="00442421" w:rsidRPr="00D10388" w:rsidRDefault="008E7E82" w:rsidP="008E7E82">
      <w:pPr>
        <w:pStyle w:val="CETBodytext"/>
        <w:rPr>
          <w:lang w:val="en-GB"/>
        </w:rPr>
      </w:pPr>
      <w:r w:rsidRPr="00D10388">
        <w:rPr>
          <w:lang w:val="en-GB"/>
        </w:rPr>
        <w:t xml:space="preserve">This study aims to </w:t>
      </w:r>
      <w:r w:rsidR="007A4A11">
        <w:rPr>
          <w:lang w:val="en-GB"/>
        </w:rPr>
        <w:t xml:space="preserve">investigate </w:t>
      </w:r>
      <w:r w:rsidR="007A4A11" w:rsidRPr="00D10388">
        <w:rPr>
          <w:lang w:val="en-GB"/>
        </w:rPr>
        <w:t>the thermal stability of biomass piles</w:t>
      </w:r>
      <w:r w:rsidR="007A4A11">
        <w:rPr>
          <w:lang w:val="en-GB"/>
        </w:rPr>
        <w:t xml:space="preserve"> </w:t>
      </w:r>
      <w:r w:rsidR="00B2389B">
        <w:rPr>
          <w:lang w:val="en-GB"/>
        </w:rPr>
        <w:t>through a combination of</w:t>
      </w:r>
      <w:r w:rsidR="002467E5" w:rsidRPr="00D10388">
        <w:rPr>
          <w:lang w:val="en-GB"/>
        </w:rPr>
        <w:t xml:space="preserve"> experimental and </w:t>
      </w:r>
      <w:bookmarkStart w:id="0" w:name="_GoBack"/>
      <w:bookmarkEnd w:id="0"/>
      <w:r w:rsidR="002467E5" w:rsidRPr="00D10388">
        <w:rPr>
          <w:lang w:val="en-GB"/>
        </w:rPr>
        <w:t>numerical</w:t>
      </w:r>
      <w:r w:rsidR="002467E5">
        <w:rPr>
          <w:lang w:val="en-GB"/>
        </w:rPr>
        <w:t xml:space="preserve"> </w:t>
      </w:r>
      <w:r w:rsidR="002467E5" w:rsidRPr="00D10388">
        <w:rPr>
          <w:lang w:val="en-GB"/>
        </w:rPr>
        <w:t xml:space="preserve">approaches </w:t>
      </w:r>
      <w:r w:rsidR="007A4A11">
        <w:rPr>
          <w:lang w:val="en-GB"/>
        </w:rPr>
        <w:t>and explore</w:t>
      </w:r>
      <w:r w:rsidRPr="00D10388">
        <w:rPr>
          <w:lang w:val="en-GB"/>
        </w:rPr>
        <w:t xml:space="preserve"> </w:t>
      </w:r>
      <w:r w:rsidR="00791ECB" w:rsidRPr="00D10388">
        <w:rPr>
          <w:lang w:val="en-GB"/>
        </w:rPr>
        <w:t xml:space="preserve">the </w:t>
      </w:r>
      <w:r w:rsidR="00B2389B">
        <w:rPr>
          <w:lang w:val="en-GB"/>
        </w:rPr>
        <w:t>impact</w:t>
      </w:r>
      <w:r w:rsidR="00791ECB" w:rsidRPr="00D10388">
        <w:rPr>
          <w:lang w:val="en-GB"/>
        </w:rPr>
        <w:t xml:space="preserve"> of particle size and oxygen diffusion</w:t>
      </w:r>
      <w:r w:rsidRPr="00D10388">
        <w:rPr>
          <w:lang w:val="en-GB"/>
        </w:rPr>
        <w:t xml:space="preserve">. Isothermal basket tests were carried out according to EN-15188:2020 on raw </w:t>
      </w:r>
      <w:r w:rsidR="00E4553C" w:rsidRPr="00D10388">
        <w:rPr>
          <w:lang w:val="en-GB"/>
        </w:rPr>
        <w:t xml:space="preserve">and grinded </w:t>
      </w:r>
      <w:r w:rsidRPr="00D10388">
        <w:rPr>
          <w:lang w:val="en-GB"/>
        </w:rPr>
        <w:t xml:space="preserve">pellets and sieved dust samples. The progression of the thermal wave inside the baskets </w:t>
      </w:r>
      <w:r w:rsidR="00442421" w:rsidRPr="00D10388">
        <w:rPr>
          <w:lang w:val="en-GB"/>
        </w:rPr>
        <w:t>was</w:t>
      </w:r>
      <w:r w:rsidRPr="00D10388">
        <w:rPr>
          <w:lang w:val="en-GB"/>
        </w:rPr>
        <w:t xml:space="preserve"> particularly studied by positioning thermocouples at different depths of the pile. The role of oxygen diffusion in the pile was examined</w:t>
      </w:r>
      <w:r w:rsidR="00E360A5">
        <w:rPr>
          <w:lang w:val="en-GB"/>
        </w:rPr>
        <w:t xml:space="preserve"> </w:t>
      </w:r>
      <w:r w:rsidRPr="00D10388">
        <w:rPr>
          <w:lang w:val="en-GB"/>
        </w:rPr>
        <w:t>by varying the basket size</w:t>
      </w:r>
      <w:r w:rsidR="00E360A5">
        <w:rPr>
          <w:lang w:val="en-GB"/>
        </w:rPr>
        <w:t>,</w:t>
      </w:r>
      <w:r w:rsidRPr="00D10388">
        <w:rPr>
          <w:lang w:val="en-GB"/>
        </w:rPr>
        <w:t xml:space="preserve"> by modifying the particle size distribution</w:t>
      </w:r>
      <w:r w:rsidR="00442421" w:rsidRPr="00D10388">
        <w:rPr>
          <w:lang w:val="en-GB"/>
        </w:rPr>
        <w:t xml:space="preserve"> and</w:t>
      </w:r>
      <w:r w:rsidRPr="00D10388">
        <w:rPr>
          <w:lang w:val="en-GB"/>
        </w:rPr>
        <w:t xml:space="preserve"> by partially wrapping the </w:t>
      </w:r>
      <w:r w:rsidR="00E360A5">
        <w:rPr>
          <w:lang w:val="en-GB"/>
        </w:rPr>
        <w:t>baskets</w:t>
      </w:r>
      <w:r w:rsidRPr="00D10388">
        <w:rPr>
          <w:lang w:val="en-GB"/>
        </w:rPr>
        <w:t xml:space="preserve"> in a </w:t>
      </w:r>
      <w:r w:rsidR="00442421" w:rsidRPr="00D10388">
        <w:rPr>
          <w:lang w:val="en-GB"/>
        </w:rPr>
        <w:t>protective</w:t>
      </w:r>
      <w:r w:rsidRPr="00D10388">
        <w:rPr>
          <w:lang w:val="en-GB"/>
        </w:rPr>
        <w:t xml:space="preserve"> film. The self-heating behaviour of these piles was </w:t>
      </w:r>
      <w:r w:rsidR="002467E5">
        <w:rPr>
          <w:lang w:val="en-GB"/>
        </w:rPr>
        <w:t xml:space="preserve">also </w:t>
      </w:r>
      <w:r w:rsidRPr="00D10388">
        <w:rPr>
          <w:lang w:val="en-GB"/>
        </w:rPr>
        <w:t>assessed by using the crossing point method.</w:t>
      </w:r>
      <w:r w:rsidR="00D4516E" w:rsidRPr="00D10388">
        <w:rPr>
          <w:lang w:val="en-GB"/>
        </w:rPr>
        <w:t xml:space="preserve"> </w:t>
      </w:r>
      <w:r w:rsidR="00442421" w:rsidRPr="00D10388">
        <w:rPr>
          <w:lang w:val="en-GB"/>
        </w:rPr>
        <w:t xml:space="preserve">The </w:t>
      </w:r>
      <w:r w:rsidR="002467E5">
        <w:rPr>
          <w:lang w:val="en-GB"/>
        </w:rPr>
        <w:t>time evolution</w:t>
      </w:r>
      <w:r w:rsidR="00442421" w:rsidRPr="00D10388">
        <w:rPr>
          <w:lang w:val="en-GB"/>
        </w:rPr>
        <w:t xml:space="preserve"> of the gases </w:t>
      </w:r>
      <w:r w:rsidR="002467E5">
        <w:rPr>
          <w:lang w:val="en-GB"/>
        </w:rPr>
        <w:t>generated</w:t>
      </w:r>
      <w:r w:rsidR="00442421" w:rsidRPr="00D10388">
        <w:rPr>
          <w:lang w:val="en-GB"/>
        </w:rPr>
        <w:t xml:space="preserve"> was analysed by micro-gas chromatography, especially around the cross-point.</w:t>
      </w:r>
    </w:p>
    <w:p w14:paraId="298C5F17" w14:textId="41AD34E6" w:rsidR="008E7E82" w:rsidRPr="00D10388" w:rsidRDefault="008E7E82" w:rsidP="008E7E82">
      <w:pPr>
        <w:pStyle w:val="CETBodytext"/>
        <w:rPr>
          <w:lang w:val="en-GB"/>
        </w:rPr>
      </w:pPr>
      <w:r w:rsidRPr="00D10388">
        <w:rPr>
          <w:lang w:val="en-GB"/>
        </w:rPr>
        <w:t xml:space="preserve">In parallel, a </w:t>
      </w:r>
      <w:r w:rsidR="0033403B" w:rsidRPr="00D10388">
        <w:rPr>
          <w:lang w:val="en-GB"/>
        </w:rPr>
        <w:t>t</w:t>
      </w:r>
      <w:r w:rsidR="00E1714D" w:rsidRPr="00D10388">
        <w:rPr>
          <w:lang w:val="en-GB"/>
        </w:rPr>
        <w:t>hree</w:t>
      </w:r>
      <w:r w:rsidRPr="00D10388">
        <w:rPr>
          <w:lang w:val="en-GB"/>
        </w:rPr>
        <w:t xml:space="preserve">-dimensional model was developed to </w:t>
      </w:r>
      <w:r w:rsidR="00B2389B">
        <w:rPr>
          <w:lang w:val="en-GB"/>
        </w:rPr>
        <w:t>simulate</w:t>
      </w:r>
      <w:r w:rsidRPr="00D10388">
        <w:rPr>
          <w:lang w:val="en-GB"/>
        </w:rPr>
        <w:t xml:space="preserve"> the thermal behaviour of a quarter cube. </w:t>
      </w:r>
      <w:r w:rsidR="002B7C3E">
        <w:rPr>
          <w:lang w:val="en-GB"/>
        </w:rPr>
        <w:t xml:space="preserve">The model includes energy balance, considering </w:t>
      </w:r>
      <w:r w:rsidRPr="00D10388">
        <w:rPr>
          <w:lang w:val="en-GB"/>
        </w:rPr>
        <w:t>conductive, convective and radiative heat transfers</w:t>
      </w:r>
      <w:r w:rsidR="0095342D" w:rsidRPr="00D10388">
        <w:rPr>
          <w:lang w:val="en-GB"/>
        </w:rPr>
        <w:t xml:space="preserve"> and</w:t>
      </w:r>
      <w:r w:rsidRPr="00D10388">
        <w:rPr>
          <w:lang w:val="en-GB"/>
        </w:rPr>
        <w:t xml:space="preserve"> a heat-source t</w:t>
      </w:r>
      <w:r w:rsidR="0095342D" w:rsidRPr="00D10388">
        <w:rPr>
          <w:lang w:val="en-GB"/>
        </w:rPr>
        <w:t>erm. Mass balances for particle</w:t>
      </w:r>
      <w:r w:rsidRPr="00D10388">
        <w:rPr>
          <w:lang w:val="en-GB"/>
        </w:rPr>
        <w:t xml:space="preserve"> size and each species are also considered </w:t>
      </w:r>
      <w:r w:rsidR="002B7C3E">
        <w:rPr>
          <w:lang w:val="en-GB"/>
        </w:rPr>
        <w:t>through</w:t>
      </w:r>
      <w:r w:rsidRPr="00D10388">
        <w:rPr>
          <w:lang w:val="en-GB"/>
        </w:rPr>
        <w:t xml:space="preserve"> consumption and diffusion terms. </w:t>
      </w:r>
      <w:r w:rsidR="00442421" w:rsidRPr="00D10388">
        <w:rPr>
          <w:lang w:val="en-GB"/>
        </w:rPr>
        <w:t>S</w:t>
      </w:r>
      <w:r w:rsidRPr="00D10388">
        <w:rPr>
          <w:lang w:val="en-GB"/>
        </w:rPr>
        <w:t xml:space="preserve">hrinking core models were implemented to represent the consumption of reactants. Moreover, </w:t>
      </w:r>
      <w:r w:rsidR="00442421" w:rsidRPr="00D10388">
        <w:rPr>
          <w:lang w:val="en-GB"/>
        </w:rPr>
        <w:t xml:space="preserve">thermogravimetric analyses </w:t>
      </w:r>
      <w:r w:rsidRPr="00D10388">
        <w:rPr>
          <w:lang w:val="en-GB"/>
        </w:rPr>
        <w:t xml:space="preserve">were performed to </w:t>
      </w:r>
      <w:r w:rsidR="00442421" w:rsidRPr="00D10388">
        <w:rPr>
          <w:lang w:val="en-GB"/>
        </w:rPr>
        <w:t xml:space="preserve">identify the various reaction stages and </w:t>
      </w:r>
      <w:r w:rsidRPr="00D10388">
        <w:rPr>
          <w:lang w:val="en-GB"/>
        </w:rPr>
        <w:t xml:space="preserve">determine the </w:t>
      </w:r>
      <w:r w:rsidR="00442421" w:rsidRPr="00D10388">
        <w:rPr>
          <w:lang w:val="en-GB"/>
        </w:rPr>
        <w:t>activation energy</w:t>
      </w:r>
      <w:r w:rsidRPr="00D10388">
        <w:rPr>
          <w:lang w:val="en-GB"/>
        </w:rPr>
        <w:t xml:space="preserve"> </w:t>
      </w:r>
      <w:r w:rsidR="00442421" w:rsidRPr="00D10388">
        <w:rPr>
          <w:lang w:val="en-GB"/>
        </w:rPr>
        <w:t>by</w:t>
      </w:r>
      <w:r w:rsidRPr="00D10388">
        <w:rPr>
          <w:lang w:val="en-GB"/>
        </w:rPr>
        <w:t xml:space="preserve"> using Flynn-Wall-Ozawa</w:t>
      </w:r>
      <w:r w:rsidR="00442421" w:rsidRPr="00D10388">
        <w:rPr>
          <w:lang w:val="en-GB"/>
        </w:rPr>
        <w:t>, Friedman</w:t>
      </w:r>
      <w:r w:rsidRPr="00D10388">
        <w:rPr>
          <w:lang w:val="en-GB"/>
        </w:rPr>
        <w:t xml:space="preserve"> and Kissinger’s methods.</w:t>
      </w:r>
    </w:p>
    <w:p w14:paraId="37A61FCE" w14:textId="1E45650B" w:rsidR="00DA24C6" w:rsidRPr="00D10388" w:rsidRDefault="008E7E82" w:rsidP="008E7E82">
      <w:pPr>
        <w:pStyle w:val="CETBodytext"/>
        <w:rPr>
          <w:lang w:val="en-GB"/>
        </w:rPr>
      </w:pPr>
      <w:r w:rsidRPr="00D10388">
        <w:rPr>
          <w:lang w:val="en-GB"/>
        </w:rPr>
        <w:t xml:space="preserve">This study demonstrates the significant influence of </w:t>
      </w:r>
      <w:r w:rsidR="00442421" w:rsidRPr="00D10388">
        <w:rPr>
          <w:lang w:val="en-GB"/>
        </w:rPr>
        <w:t>bed permeability</w:t>
      </w:r>
      <w:r w:rsidRPr="00D10388">
        <w:rPr>
          <w:lang w:val="en-GB"/>
        </w:rPr>
        <w:t xml:space="preserve">, especially </w:t>
      </w:r>
      <w:r w:rsidR="00442421" w:rsidRPr="00D10388">
        <w:rPr>
          <w:lang w:val="en-GB"/>
        </w:rPr>
        <w:t>related to oxygen accessibili</w:t>
      </w:r>
      <w:r w:rsidRPr="00D10388">
        <w:rPr>
          <w:lang w:val="en-GB"/>
        </w:rPr>
        <w:t xml:space="preserve">ty, on the thermal stability of storage facilities. Finally, </w:t>
      </w:r>
      <w:r w:rsidR="00603A5F">
        <w:rPr>
          <w:lang w:val="en-GB"/>
        </w:rPr>
        <w:t>the predictive model</w:t>
      </w:r>
      <w:r w:rsidRPr="00D10388">
        <w:rPr>
          <w:lang w:val="en-GB"/>
        </w:rPr>
        <w:t xml:space="preserve"> </w:t>
      </w:r>
      <w:r w:rsidR="00442421" w:rsidRPr="00D10388">
        <w:rPr>
          <w:lang w:val="en-GB"/>
        </w:rPr>
        <w:t>develop</w:t>
      </w:r>
      <w:r w:rsidR="00603A5F">
        <w:rPr>
          <w:lang w:val="en-GB"/>
        </w:rPr>
        <w:t>ed</w:t>
      </w:r>
      <w:r w:rsidRPr="00D10388">
        <w:rPr>
          <w:lang w:val="en-GB"/>
        </w:rPr>
        <w:t xml:space="preserve"> </w:t>
      </w:r>
      <w:r w:rsidR="00603A5F">
        <w:rPr>
          <w:lang w:val="en-GB"/>
        </w:rPr>
        <w:t>could be used to</w:t>
      </w:r>
      <w:r w:rsidRPr="00D10388">
        <w:rPr>
          <w:lang w:val="en-GB"/>
        </w:rPr>
        <w:t xml:space="preserve"> </w:t>
      </w:r>
      <w:r w:rsidR="00442421" w:rsidRPr="00D10388">
        <w:rPr>
          <w:lang w:val="en-GB"/>
        </w:rPr>
        <w:t xml:space="preserve">explore the efficiency of </w:t>
      </w:r>
      <w:r w:rsidR="00603A5F">
        <w:rPr>
          <w:lang w:val="en-GB"/>
        </w:rPr>
        <w:t xml:space="preserve">safety measures and </w:t>
      </w:r>
      <w:r w:rsidRPr="00D10388">
        <w:rPr>
          <w:lang w:val="en-GB"/>
        </w:rPr>
        <w:t>technological solutions (compaction, storage size reduction, bagging...).</w:t>
      </w:r>
    </w:p>
    <w:p w14:paraId="476B2F2E" w14:textId="77777777" w:rsidR="00600535" w:rsidRPr="00D10388" w:rsidRDefault="00600535" w:rsidP="00600535">
      <w:pPr>
        <w:pStyle w:val="CETHeading1"/>
        <w:rPr>
          <w:lang w:val="en-GB"/>
        </w:rPr>
      </w:pPr>
      <w:r w:rsidRPr="00D10388">
        <w:rPr>
          <w:lang w:val="en-GB"/>
        </w:rPr>
        <w:t>Introduction</w:t>
      </w:r>
    </w:p>
    <w:p w14:paraId="7DE5019E" w14:textId="791B6E5A" w:rsidR="00F070CC" w:rsidRPr="00D10388" w:rsidRDefault="00361CE0" w:rsidP="00361CE0">
      <w:pPr>
        <w:pStyle w:val="CETBodytext"/>
        <w:rPr>
          <w:lang w:val="en-GB"/>
        </w:rPr>
      </w:pPr>
      <w:r w:rsidRPr="00D10388">
        <w:rPr>
          <w:lang w:val="en-GB"/>
        </w:rPr>
        <w:t xml:space="preserve">In </w:t>
      </w:r>
      <w:r w:rsidR="0095342D" w:rsidRPr="00D10388">
        <w:rPr>
          <w:lang w:val="en-GB"/>
        </w:rPr>
        <w:t>the</w:t>
      </w:r>
      <w:r w:rsidRPr="00D10388">
        <w:rPr>
          <w:lang w:val="en-GB"/>
        </w:rPr>
        <w:t xml:space="preserve"> context of energy savings and limitations of fossil fuels, biomass is increasingly used as an energy carrier.</w:t>
      </w:r>
      <w:r w:rsidR="00AB7DAB" w:rsidRPr="00D10388">
        <w:rPr>
          <w:lang w:val="en-GB"/>
        </w:rPr>
        <w:t xml:space="preserve"> Various sources of biomass can be exploited, including wood, herbaceous plants, algae or, increasingly, solid recovered fuels (SRF). Like coal, whose self-heating phenomena have been studied extensively, biomass is also subject</w:t>
      </w:r>
      <w:r w:rsidR="00C40BA0" w:rsidRPr="00D10388">
        <w:rPr>
          <w:lang w:val="en-GB"/>
        </w:rPr>
        <w:t>ed</w:t>
      </w:r>
      <w:r w:rsidR="00AB7DAB" w:rsidRPr="00D10388">
        <w:rPr>
          <w:lang w:val="en-GB"/>
        </w:rPr>
        <w:t xml:space="preserve"> to this type of accident</w:t>
      </w:r>
      <w:r w:rsidR="00283AE8" w:rsidRPr="00D10388">
        <w:rPr>
          <w:lang w:val="en-GB"/>
        </w:rPr>
        <w:t xml:space="preserve"> (Restuccia et al., 2019)</w:t>
      </w:r>
      <w:r w:rsidR="00AB7DAB" w:rsidRPr="00D10388">
        <w:rPr>
          <w:lang w:val="en-GB"/>
        </w:rPr>
        <w:t xml:space="preserve">. </w:t>
      </w:r>
      <w:r w:rsidR="00C40BA0" w:rsidRPr="00D10388">
        <w:rPr>
          <w:lang w:val="en-GB"/>
        </w:rPr>
        <w:t>Moreover</w:t>
      </w:r>
      <w:r w:rsidR="00AB7DAB" w:rsidRPr="00D10388">
        <w:rPr>
          <w:lang w:val="en-GB"/>
        </w:rPr>
        <w:t xml:space="preserve">, raw materials are found in different forms, e.g., fine dust, sawdust, shells, chips or fibres, which influence their thermal stability. </w:t>
      </w:r>
      <w:r w:rsidRPr="00D10388">
        <w:rPr>
          <w:lang w:val="en-GB"/>
        </w:rPr>
        <w:t>For ease of transport and energy density reasons, it can also be put in the form of pellets of variable size</w:t>
      </w:r>
      <w:r w:rsidR="00AB7DAB" w:rsidRPr="00D10388">
        <w:rPr>
          <w:lang w:val="en-GB"/>
        </w:rPr>
        <w:t xml:space="preserve">. </w:t>
      </w:r>
      <w:r w:rsidR="00E216C0" w:rsidRPr="00D10388">
        <w:rPr>
          <w:lang w:val="en-GB"/>
        </w:rPr>
        <w:t xml:space="preserve">These changes in shape and size can lead to </w:t>
      </w:r>
      <w:r w:rsidR="00F070CC" w:rsidRPr="00D10388">
        <w:rPr>
          <w:lang w:val="en-GB"/>
        </w:rPr>
        <w:t>significant</w:t>
      </w:r>
      <w:r w:rsidR="00E216C0" w:rsidRPr="00D10388">
        <w:rPr>
          <w:lang w:val="en-GB"/>
        </w:rPr>
        <w:t xml:space="preserve"> </w:t>
      </w:r>
      <w:r w:rsidR="00F070CC" w:rsidRPr="00D10388">
        <w:rPr>
          <w:lang w:val="en-GB"/>
        </w:rPr>
        <w:t>variations</w:t>
      </w:r>
      <w:r w:rsidR="00E216C0" w:rsidRPr="00D10388">
        <w:rPr>
          <w:lang w:val="en-GB"/>
        </w:rPr>
        <w:t xml:space="preserve"> in the self-heating behaviour of </w:t>
      </w:r>
      <w:r w:rsidR="00F070CC" w:rsidRPr="00D10388">
        <w:rPr>
          <w:lang w:val="en-GB"/>
        </w:rPr>
        <w:t xml:space="preserve">piles of </w:t>
      </w:r>
      <w:r w:rsidR="00E216C0" w:rsidRPr="00D10388">
        <w:rPr>
          <w:lang w:val="en-GB"/>
        </w:rPr>
        <w:t xml:space="preserve">such </w:t>
      </w:r>
      <w:r w:rsidR="00F070CC" w:rsidRPr="00D10388">
        <w:rPr>
          <w:lang w:val="en-GB"/>
        </w:rPr>
        <w:t>materials</w:t>
      </w:r>
      <w:r w:rsidR="0014501D" w:rsidRPr="00D10388">
        <w:rPr>
          <w:lang w:val="en-GB"/>
        </w:rPr>
        <w:t xml:space="preserve"> (Villacorta et al., 2021)</w:t>
      </w:r>
      <w:r w:rsidR="00F070CC" w:rsidRPr="00D10388">
        <w:rPr>
          <w:lang w:val="en-GB"/>
        </w:rPr>
        <w:t xml:space="preserve">, due to heat and mass transfer modifications. </w:t>
      </w:r>
    </w:p>
    <w:p w14:paraId="1AED3853" w14:textId="0A84F6DC" w:rsidR="00600535" w:rsidRPr="00D10388" w:rsidRDefault="00F070CC" w:rsidP="00283AE8">
      <w:pPr>
        <w:pStyle w:val="CETBodytext"/>
        <w:rPr>
          <w:lang w:val="en-GB"/>
        </w:rPr>
      </w:pPr>
      <w:r w:rsidRPr="00D10388">
        <w:rPr>
          <w:lang w:val="en-GB"/>
        </w:rPr>
        <w:t xml:space="preserve">More generally, is it possible to predict the effect of variations in the porosity and permeability of biomass piles, caused by their compaction or their fragmentation, on their </w:t>
      </w:r>
      <w:r w:rsidR="00361CE0" w:rsidRPr="00D10388">
        <w:rPr>
          <w:lang w:val="en-GB"/>
        </w:rPr>
        <w:t xml:space="preserve">thermal stability? The answer to this question is far from obvious because the effects of porosity and oxygen diffusion can be counterintuitive and antagonist. Several aspects can indeed be affected by a porosity increase, some positively, others negatively: on the one hand, i) the convection within the pile </w:t>
      </w:r>
      <w:r w:rsidR="00283AE8" w:rsidRPr="00D10388">
        <w:rPr>
          <w:lang w:val="en-GB"/>
        </w:rPr>
        <w:t xml:space="preserve">can </w:t>
      </w:r>
      <w:r w:rsidR="00361CE0" w:rsidRPr="00D10388">
        <w:rPr>
          <w:lang w:val="en-GB"/>
        </w:rPr>
        <w:t xml:space="preserve">be enhanced, ii) the particle-particle distance will be increased, iii) the energy density </w:t>
      </w:r>
      <w:r w:rsidR="00283AE8" w:rsidRPr="00D10388">
        <w:rPr>
          <w:lang w:val="en-GB"/>
        </w:rPr>
        <w:t>could</w:t>
      </w:r>
      <w:r w:rsidR="00361CE0" w:rsidRPr="00D10388">
        <w:rPr>
          <w:lang w:val="en-GB"/>
        </w:rPr>
        <w:t xml:space="preserve"> be reduced; on the other hand, iv) the oxygen accessibility will be improved and v) the water vapour will be removed more easily. Furthermore, particle size distribution and porosity can evolve in case of long-term storage due to the mechanical degradation of the pellets</w:t>
      </w:r>
      <w:r w:rsidRPr="00D10388">
        <w:rPr>
          <w:lang w:val="en-GB"/>
        </w:rPr>
        <w:t xml:space="preserve"> or their structural integrity loss as their </w:t>
      </w:r>
      <w:r w:rsidR="009A5AB9" w:rsidRPr="00D10388">
        <w:rPr>
          <w:lang w:val="en-GB"/>
        </w:rPr>
        <w:t>moisture content</w:t>
      </w:r>
      <w:r w:rsidRPr="00D10388">
        <w:rPr>
          <w:lang w:val="en-GB"/>
        </w:rPr>
        <w:t xml:space="preserve"> increases</w:t>
      </w:r>
      <w:r w:rsidR="00361CE0" w:rsidRPr="00D10388">
        <w:rPr>
          <w:lang w:val="en-GB"/>
        </w:rPr>
        <w:t>.</w:t>
      </w:r>
      <w:r w:rsidR="00283AE8" w:rsidRPr="00D10388">
        <w:rPr>
          <w:lang w:val="en-GB"/>
        </w:rPr>
        <w:t xml:space="preserve"> </w:t>
      </w:r>
    </w:p>
    <w:p w14:paraId="40A2A6AE" w14:textId="632E18F3" w:rsidR="00283AE8" w:rsidRPr="00D10388" w:rsidRDefault="00283AE8" w:rsidP="00283AE8">
      <w:pPr>
        <w:pStyle w:val="CETBodytext"/>
        <w:rPr>
          <w:lang w:val="en-GB"/>
        </w:rPr>
      </w:pPr>
      <w:r w:rsidRPr="00D10388">
        <w:rPr>
          <w:lang w:val="en-GB"/>
        </w:rPr>
        <w:lastRenderedPageBreak/>
        <w:t>This study aims to highlight the cross-influences of particle size and oxygen accessibility on the thermal stability of bio</w:t>
      </w:r>
      <w:r w:rsidR="0095342D" w:rsidRPr="00D10388">
        <w:rPr>
          <w:lang w:val="en-GB"/>
        </w:rPr>
        <w:t>mass, more specifically pellets</w:t>
      </w:r>
      <w:r w:rsidRPr="00D10388">
        <w:rPr>
          <w:lang w:val="en-GB"/>
        </w:rPr>
        <w:t xml:space="preserve"> piles. Several experimental approaches were explored in order to modify the oxygen diffusion in the biomass pile was examined in several ways: i) by varying the basket size, ii) by modifying the particle size distribution, iii) by partially wrapping the pellets in a protective film, iv) by varying the porosity by compaction of the bed, or v) by reducing the oxygen concentration in the atmosphere</w:t>
      </w:r>
      <w:r w:rsidR="005826DB" w:rsidRPr="00D10388">
        <w:rPr>
          <w:lang w:val="en-GB"/>
        </w:rPr>
        <w:t xml:space="preserve"> (Schmidt et al., 2003)</w:t>
      </w:r>
      <w:r w:rsidRPr="00D10388">
        <w:rPr>
          <w:lang w:val="en-GB"/>
        </w:rPr>
        <w:t xml:space="preserve">. </w:t>
      </w:r>
      <w:r w:rsidR="0033403B" w:rsidRPr="00D10388">
        <w:rPr>
          <w:lang w:val="en-GB"/>
        </w:rPr>
        <w:t xml:space="preserve">Only the first three will be presented in this article. </w:t>
      </w:r>
      <w:r w:rsidR="0095342D" w:rsidRPr="00D10388">
        <w:rPr>
          <w:lang w:val="en-GB"/>
        </w:rPr>
        <w:t>The d</w:t>
      </w:r>
      <w:r w:rsidRPr="00D10388">
        <w:rPr>
          <w:lang w:val="en-GB"/>
        </w:rPr>
        <w:t>esign of experiments w</w:t>
      </w:r>
      <w:r w:rsidR="0033403B" w:rsidRPr="00D10388">
        <w:rPr>
          <w:lang w:val="en-GB"/>
        </w:rPr>
        <w:t>as</w:t>
      </w:r>
      <w:r w:rsidRPr="00D10388">
        <w:rPr>
          <w:lang w:val="en-GB"/>
        </w:rPr>
        <w:t xml:space="preserve"> </w:t>
      </w:r>
      <w:r w:rsidR="0033403B" w:rsidRPr="00D10388">
        <w:rPr>
          <w:lang w:val="en-GB"/>
        </w:rPr>
        <w:t>used</w:t>
      </w:r>
      <w:r w:rsidRPr="00D10388">
        <w:rPr>
          <w:lang w:val="en-GB"/>
        </w:rPr>
        <w:t xml:space="preserve"> to highlight the impact of selected factors</w:t>
      </w:r>
      <w:r w:rsidR="0033403B" w:rsidRPr="00D10388">
        <w:rPr>
          <w:lang w:val="en-GB"/>
        </w:rPr>
        <w:t xml:space="preserve">. In parallel to the experimental approach, a model was developed to represent the thermal behaviour of a quarter cube. In addition to mass and heat transfer terms, a shrinking core model was implemented to represent the consumption of reactants, based on thermogravimetric analyses. </w:t>
      </w:r>
      <w:r w:rsidR="005826DB" w:rsidRPr="00D10388">
        <w:rPr>
          <w:lang w:val="en-GB"/>
        </w:rPr>
        <w:t>Experiments will also be used to validate the heat transfer modes implemented in the model.</w:t>
      </w:r>
    </w:p>
    <w:p w14:paraId="677EBFF0" w14:textId="7989ADCE" w:rsidR="00600535" w:rsidRPr="00D10388" w:rsidRDefault="0076266C" w:rsidP="00600535">
      <w:pPr>
        <w:pStyle w:val="CETHeading1"/>
        <w:tabs>
          <w:tab w:val="clear" w:pos="360"/>
          <w:tab w:val="right" w:pos="7100"/>
        </w:tabs>
        <w:jc w:val="both"/>
        <w:rPr>
          <w:lang w:val="en-GB"/>
        </w:rPr>
      </w:pPr>
      <w:r w:rsidRPr="00D10388">
        <w:rPr>
          <w:lang w:val="en-GB"/>
        </w:rPr>
        <w:t>Materials and experimental methods</w:t>
      </w:r>
    </w:p>
    <w:p w14:paraId="04963A06" w14:textId="6ADEEF65" w:rsidR="00600535" w:rsidRPr="00D10388" w:rsidRDefault="0076266C" w:rsidP="00FA5F5F">
      <w:pPr>
        <w:pStyle w:val="CETheadingx"/>
        <w:rPr>
          <w:lang w:val="en-GB"/>
        </w:rPr>
      </w:pPr>
      <w:r w:rsidRPr="00D10388">
        <w:rPr>
          <w:lang w:val="en-GB"/>
        </w:rPr>
        <w:t>Pellets and powders preparation</w:t>
      </w:r>
    </w:p>
    <w:p w14:paraId="1864AB61" w14:textId="064F2155" w:rsidR="00D511CC" w:rsidRPr="00D10388" w:rsidRDefault="00D511CC" w:rsidP="00600535">
      <w:pPr>
        <w:pStyle w:val="CETBodytext"/>
        <w:rPr>
          <w:lang w:val="en-GB"/>
        </w:rPr>
      </w:pPr>
      <w:r w:rsidRPr="00D10388">
        <w:rPr>
          <w:lang w:val="en-GB"/>
        </w:rPr>
        <w:t xml:space="preserve">Miscanthus pellets with 6 mm diameter and 10 to </w:t>
      </w:r>
      <w:r w:rsidR="00607F13" w:rsidRPr="00D10388">
        <w:rPr>
          <w:lang w:val="en-GB"/>
        </w:rPr>
        <w:t>3</w:t>
      </w:r>
      <w:r w:rsidRPr="00D10388">
        <w:rPr>
          <w:lang w:val="en-GB"/>
        </w:rPr>
        <w:t xml:space="preserve">0 mm length were used as raw materials. Their moisture content ranges between 8 and 15 wt% and they are composed of approximately 45, 30 and 25 % of cellulose, hemicellulose and lignin, respectively. </w:t>
      </w:r>
    </w:p>
    <w:p w14:paraId="75F4C8D1" w14:textId="13540941" w:rsidR="00607F13" w:rsidRPr="00D10388" w:rsidRDefault="00D511CC" w:rsidP="00600535">
      <w:pPr>
        <w:pStyle w:val="CETBodytext"/>
        <w:rPr>
          <w:lang w:val="en-GB"/>
        </w:rPr>
      </w:pPr>
      <w:r w:rsidRPr="00D10388">
        <w:rPr>
          <w:lang w:val="en-GB"/>
        </w:rPr>
        <w:t xml:space="preserve">To study the influence of the particle size distribution of biomass </w:t>
      </w:r>
      <w:r w:rsidR="0095342D" w:rsidRPr="00D10388">
        <w:rPr>
          <w:lang w:val="en-GB"/>
        </w:rPr>
        <w:t>on</w:t>
      </w:r>
      <w:r w:rsidRPr="00D10388">
        <w:rPr>
          <w:lang w:val="en-GB"/>
        </w:rPr>
        <w:t xml:space="preserve"> its thermal stability, </w:t>
      </w:r>
      <w:r w:rsidR="00607F13" w:rsidRPr="00D10388">
        <w:rPr>
          <w:lang w:val="en-GB"/>
        </w:rPr>
        <w:t xml:space="preserve">the pellets were used </w:t>
      </w:r>
      <w:r w:rsidR="0095011F" w:rsidRPr="00D10388">
        <w:rPr>
          <w:lang w:val="en-GB"/>
        </w:rPr>
        <w:t>in</w:t>
      </w:r>
      <w:r w:rsidR="00607F13" w:rsidRPr="00D10388">
        <w:rPr>
          <w:lang w:val="en-GB"/>
        </w:rPr>
        <w:t xml:space="preserve"> various forms. In addition to the tests performed on a) raw pellets, a few tests were performed on b) the longest pellets, selected by sieving and then sorted manually; pellets were also grinded and sieved to select c) only pieces between 1.19 and 4 mm or d) fine powder with a diameter lower than 1.19 mm; e) a 50/50 mixture of fine powder and raw pellets (called medium) was also used after mixing in a 3D shaker mixer (Turbula).</w:t>
      </w:r>
    </w:p>
    <w:p w14:paraId="633A39AF" w14:textId="554350FD" w:rsidR="0076266C" w:rsidRPr="00D10388" w:rsidRDefault="0076266C" w:rsidP="0076266C">
      <w:pPr>
        <w:pStyle w:val="CETheadingx"/>
        <w:rPr>
          <w:lang w:val="en-GB"/>
        </w:rPr>
      </w:pPr>
      <w:r w:rsidRPr="00D10388">
        <w:rPr>
          <w:lang w:val="en-GB"/>
        </w:rPr>
        <w:t>Thermogravimetric analyses</w:t>
      </w:r>
    </w:p>
    <w:p w14:paraId="4EDC6589" w14:textId="35E625D3" w:rsidR="00607F13" w:rsidRPr="00D10388" w:rsidRDefault="00607F13" w:rsidP="00607F13">
      <w:pPr>
        <w:pStyle w:val="CETBodytext"/>
        <w:rPr>
          <w:lang w:val="en-GB"/>
        </w:rPr>
      </w:pPr>
      <w:r w:rsidRPr="00D10388">
        <w:rPr>
          <w:lang w:val="en-GB"/>
        </w:rPr>
        <w:t xml:space="preserve">Preliminary thermogravimetric analyses </w:t>
      </w:r>
      <w:r w:rsidR="004E3724" w:rsidRPr="00D10388">
        <w:rPr>
          <w:lang w:val="en-GB"/>
        </w:rPr>
        <w:t xml:space="preserve">(TGA) </w:t>
      </w:r>
      <w:r w:rsidRPr="00D10388">
        <w:rPr>
          <w:lang w:val="en-GB"/>
        </w:rPr>
        <w:t>were conducted under air on Miscanthus pellets and their powder in a TGA STARe System (Mettler Toledo). Pellets were broken into small pieces in order to fill the alumina crucible with 10 to 20 mg of biomass. Samples were subjected to constant temperature ramps (β) of 5, 10, 15 and 20 °C/min. Mass variation was recorded as a function of time/temperature from 30°C to 800°C.</w:t>
      </w:r>
    </w:p>
    <w:p w14:paraId="60A5CBA1" w14:textId="2BF3DCAD" w:rsidR="00607F13" w:rsidRPr="00D10388" w:rsidRDefault="00607F13" w:rsidP="00607F13">
      <w:pPr>
        <w:pStyle w:val="CETBodytext"/>
        <w:rPr>
          <w:lang w:val="en-GB"/>
        </w:rPr>
      </w:pPr>
      <w:r w:rsidRPr="00D10388">
        <w:rPr>
          <w:lang w:val="en-GB"/>
        </w:rPr>
        <w:t>Both integral (Flynn-Ozawa-Wall FWO) and differential methods (Friedman and Kissinger) were applied to study the combustion kinetics of biomass and determine the activation energy. Kinetic constants are assumed to follow an Arrhenius law. FWO method consists in representing ln(β) versus 1/T at given conversion rates (</w:t>
      </w:r>
      <w:r w:rsidRPr="00D10388">
        <w:rPr>
          <w:rFonts w:ascii="Cambria Math" w:hAnsi="Cambria Math" w:cs="Cambria Math"/>
          <w:lang w:val="en-GB"/>
        </w:rPr>
        <w:t>𝛼)</w:t>
      </w:r>
      <w:r w:rsidRPr="00D10388">
        <w:rPr>
          <w:lang w:val="en-GB"/>
        </w:rPr>
        <w:t xml:space="preserve">. Friedman method consists in plotting </w:t>
      </w:r>
      <m:oMath>
        <m:r>
          <m:rPr>
            <m:sty m:val="p"/>
          </m:rPr>
          <w:rPr>
            <w:rFonts w:ascii="Cambria Math" w:hAnsi="Cambria Math"/>
            <w:lang w:val="en-GB"/>
          </w:rPr>
          <m:t>ln⁡</m:t>
        </m:r>
        <m:r>
          <w:rPr>
            <w:rFonts w:ascii="Cambria Math" w:hAnsi="Cambria Math"/>
            <w:lang w:val="en-GB"/>
          </w:rPr>
          <m:t>(β.</m:t>
        </m:r>
        <m:f>
          <m:fPr>
            <m:ctrlPr>
              <w:rPr>
                <w:rFonts w:ascii="Cambria Math" w:hAnsi="Cambria Math"/>
                <w:i/>
                <w:lang w:val="en-GB"/>
              </w:rPr>
            </m:ctrlPr>
          </m:fPr>
          <m:num>
            <m:r>
              <w:rPr>
                <w:rFonts w:ascii="Cambria Math" w:hAnsi="Cambria Math"/>
                <w:lang w:val="en-GB"/>
              </w:rPr>
              <m:t>dα</m:t>
            </m:r>
          </m:num>
          <m:den>
            <m:r>
              <w:rPr>
                <w:rFonts w:ascii="Cambria Math" w:hAnsi="Cambria Math"/>
                <w:lang w:val="en-GB"/>
              </w:rPr>
              <m:t>dt</m:t>
            </m:r>
          </m:den>
        </m:f>
        <m:r>
          <w:rPr>
            <w:rFonts w:ascii="Cambria Math" w:hAnsi="Cambria Math"/>
            <w:lang w:val="en-GB"/>
          </w:rPr>
          <m:t xml:space="preserve"> )</m:t>
        </m:r>
      </m:oMath>
      <w:r w:rsidRPr="00D10388">
        <w:rPr>
          <w:lang w:val="en-GB"/>
        </w:rPr>
        <w:t xml:space="preserve"> as a function of 1/T, whereas Kissinger analysis is based not on direct analysis of the time-evolution of the conversion, but on its derivative. The degradation peak is then reached for a temperature noted T</w:t>
      </w:r>
      <w:r w:rsidRPr="00D10388">
        <w:rPr>
          <w:vertAlign w:val="subscript"/>
          <w:lang w:val="en-GB"/>
        </w:rPr>
        <w:t>p</w:t>
      </w:r>
      <w:r w:rsidRPr="00D10388">
        <w:rPr>
          <w:lang w:val="en-GB"/>
        </w:rPr>
        <w:t xml:space="preserve"> and the activation energy is obtained by representing </w:t>
      </w:r>
      <m:oMath>
        <m:r>
          <m:rPr>
            <m:sty m:val="p"/>
          </m:rPr>
          <w:rPr>
            <w:rFonts w:ascii="Cambria Math" w:hAnsi="Cambria Math"/>
            <w:lang w:val="en-GB"/>
          </w:rPr>
          <m:t>ln⁡</m:t>
        </m:r>
        <m:r>
          <w:rPr>
            <w:rFonts w:ascii="Cambria Math" w:hAnsi="Cambria Math"/>
            <w:lang w:val="en-GB"/>
          </w:rPr>
          <m:t>(</m:t>
        </m:r>
        <m:f>
          <m:fPr>
            <m:ctrlPr>
              <w:rPr>
                <w:rFonts w:ascii="Cambria Math" w:hAnsi="Cambria Math"/>
                <w:i/>
                <w:lang w:val="en-GB"/>
              </w:rPr>
            </m:ctrlPr>
          </m:fPr>
          <m:num>
            <m:r>
              <w:rPr>
                <w:rFonts w:ascii="Cambria Math" w:hAnsi="Cambria Math"/>
                <w:lang w:val="en-GB"/>
              </w:rPr>
              <m:t>β</m:t>
            </m:r>
          </m:num>
          <m:den>
            <m:sSubSup>
              <m:sSubSupPr>
                <m:ctrlPr>
                  <w:rPr>
                    <w:rFonts w:ascii="Cambria Math" w:hAnsi="Cambria Math"/>
                    <w:i/>
                    <w:lang w:val="en-GB"/>
                  </w:rPr>
                </m:ctrlPr>
              </m:sSubSupPr>
              <m:e>
                <m:r>
                  <w:rPr>
                    <w:rFonts w:ascii="Cambria Math" w:hAnsi="Cambria Math"/>
                    <w:lang w:val="en-GB"/>
                  </w:rPr>
                  <m:t>T</m:t>
                </m:r>
              </m:e>
              <m:sub>
                <m:r>
                  <w:rPr>
                    <w:rFonts w:ascii="Cambria Math" w:hAnsi="Cambria Math"/>
                    <w:lang w:val="en-GB"/>
                  </w:rPr>
                  <m:t>p</m:t>
                </m:r>
              </m:sub>
              <m:sup>
                <m:r>
                  <w:rPr>
                    <w:rFonts w:ascii="Cambria Math" w:hAnsi="Cambria Math"/>
                    <w:lang w:val="en-GB"/>
                  </w:rPr>
                  <m:t>2</m:t>
                </m:r>
              </m:sup>
            </m:sSubSup>
          </m:den>
        </m:f>
        <m:r>
          <w:rPr>
            <w:rFonts w:ascii="Cambria Math" w:hAnsi="Cambria Math"/>
            <w:lang w:val="en-GB"/>
          </w:rPr>
          <m:t xml:space="preserve"> )</m:t>
        </m:r>
      </m:oMath>
      <w:r w:rsidRPr="00D10388">
        <w:rPr>
          <w:lang w:val="en-GB"/>
        </w:rPr>
        <w:t xml:space="preserve"> as a function of 1/T</w:t>
      </w:r>
      <w:r w:rsidRPr="00D10388">
        <w:rPr>
          <w:vertAlign w:val="subscript"/>
          <w:lang w:val="en-GB"/>
        </w:rPr>
        <w:t>p</w:t>
      </w:r>
      <w:r w:rsidRPr="00D10388">
        <w:rPr>
          <w:lang w:val="en-GB"/>
        </w:rPr>
        <w:t>.</w:t>
      </w:r>
      <w:r w:rsidR="001F5F78" w:rsidRPr="00D10388">
        <w:rPr>
          <w:lang w:val="en-GB"/>
        </w:rPr>
        <w:t xml:space="preserve"> Onset temperatures were also determined.</w:t>
      </w:r>
    </w:p>
    <w:p w14:paraId="56B7D7A5" w14:textId="3597766A" w:rsidR="0076266C" w:rsidRPr="00D10388" w:rsidRDefault="0076266C" w:rsidP="0076266C">
      <w:pPr>
        <w:pStyle w:val="CETheadingx"/>
        <w:rPr>
          <w:lang w:val="en-GB"/>
        </w:rPr>
      </w:pPr>
      <w:r w:rsidRPr="00D10388">
        <w:rPr>
          <w:lang w:val="en-GB"/>
        </w:rPr>
        <w:t>Thermal stability</w:t>
      </w:r>
    </w:p>
    <w:p w14:paraId="4D2FC7E8" w14:textId="2347F8D8" w:rsidR="0068451C" w:rsidRPr="00D10388" w:rsidRDefault="008059E6" w:rsidP="00042DC2">
      <w:pPr>
        <w:pStyle w:val="CETBodytext"/>
        <w:spacing w:after="120"/>
        <w:rPr>
          <w:lang w:val="en-GB"/>
        </w:rPr>
      </w:pPr>
      <w:r w:rsidRPr="00D10388">
        <w:rPr>
          <w:lang w:val="en-GB"/>
        </w:rPr>
        <w:t xml:space="preserve">The self-heating properties of the biomass samples were studied using </w:t>
      </w:r>
      <w:r w:rsidR="0095011F" w:rsidRPr="00D10388">
        <w:rPr>
          <w:lang w:val="en-GB"/>
        </w:rPr>
        <w:t>basket tests</w:t>
      </w:r>
      <w:r w:rsidRPr="00D10388">
        <w:rPr>
          <w:lang w:val="en-GB"/>
        </w:rPr>
        <w:t xml:space="preserve"> as described by ISO/TS 20049-2 (2020) standard. Figure 1a shows an instance of a cubical basket filled with fine powder (&lt; 1.19 mm), placed in an isothermal oven (the spacing of the thermocouples is kept constant by a perforated metal bar).</w:t>
      </w:r>
    </w:p>
    <w:p w14:paraId="3D14FA0E" w14:textId="77777777" w:rsidR="0068451C" w:rsidRPr="00D10388" w:rsidRDefault="0068451C" w:rsidP="0068451C">
      <w:pPr>
        <w:pStyle w:val="CETBodytext"/>
        <w:jc w:val="left"/>
        <w:rPr>
          <w:lang w:val="en-GB"/>
        </w:rPr>
      </w:pPr>
      <w:r w:rsidRPr="00D10388">
        <w:rPr>
          <w:noProof/>
          <w:lang w:val="en-GB"/>
        </w:rPr>
        <w:drawing>
          <wp:inline distT="0" distB="0" distL="0" distR="0" wp14:anchorId="1EA5F482" wp14:editId="53654178">
            <wp:extent cx="2458528" cy="1594243"/>
            <wp:effectExtent l="0" t="0" r="0" b="6350"/>
            <wp:docPr id="13676760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6055" name="Image 1367676055"/>
                    <pic:cNvPicPr/>
                  </pic:nvPicPr>
                  <pic:blipFill rotWithShape="1">
                    <a:blip r:embed="rId10"/>
                    <a:srcRect t="4123"/>
                    <a:stretch/>
                  </pic:blipFill>
                  <pic:spPr bwMode="auto">
                    <a:xfrm>
                      <a:off x="0" y="0"/>
                      <a:ext cx="2494194" cy="1617371"/>
                    </a:xfrm>
                    <a:prstGeom prst="rect">
                      <a:avLst/>
                    </a:prstGeom>
                    <a:ln>
                      <a:noFill/>
                    </a:ln>
                    <a:extLst>
                      <a:ext uri="{53640926-AAD7-44D8-BBD7-CCE9431645EC}">
                        <a14:shadowObscured xmlns:a14="http://schemas.microsoft.com/office/drawing/2010/main"/>
                      </a:ext>
                    </a:extLst>
                  </pic:spPr>
                </pic:pic>
              </a:graphicData>
            </a:graphic>
          </wp:inline>
        </w:drawing>
      </w:r>
    </w:p>
    <w:p w14:paraId="68C9BEB4" w14:textId="3AE8470F" w:rsidR="0068451C" w:rsidRPr="00D10388" w:rsidRDefault="0068451C" w:rsidP="0068451C">
      <w:pPr>
        <w:pStyle w:val="CETCaption"/>
      </w:pPr>
      <w:r w:rsidRPr="00D10388">
        <w:t xml:space="preserve">Figure 1: </w:t>
      </w:r>
      <w:r w:rsidR="008059E6" w:rsidRPr="00D10388">
        <w:t xml:space="preserve">a) </w:t>
      </w:r>
      <w:r w:rsidR="009011AF" w:rsidRPr="00D10388">
        <w:t>Instance of basket test with fine powder, b) wire-basket filled with pellets and wrapped with paper</w:t>
      </w:r>
    </w:p>
    <w:p w14:paraId="0BAA2403" w14:textId="281E8524" w:rsidR="001F5F78" w:rsidRPr="00D10388" w:rsidRDefault="001F5F78" w:rsidP="001F5F78">
      <w:pPr>
        <w:pStyle w:val="CETBodytext"/>
        <w:rPr>
          <w:lang w:val="en-GB"/>
        </w:rPr>
      </w:pPr>
      <w:r w:rsidRPr="00D10388">
        <w:rPr>
          <w:lang w:val="en-GB"/>
        </w:rPr>
        <w:t>H</w:t>
      </w:r>
      <w:r w:rsidR="008F3BE8" w:rsidRPr="00D10388">
        <w:rPr>
          <w:lang w:val="en-GB"/>
        </w:rPr>
        <w:t xml:space="preserve">eating tests were </w:t>
      </w:r>
      <w:r w:rsidR="00870E9A" w:rsidRPr="00D10388">
        <w:rPr>
          <w:lang w:val="en-GB"/>
        </w:rPr>
        <w:t xml:space="preserve">mainly </w:t>
      </w:r>
      <w:r w:rsidR="008F3BE8" w:rsidRPr="00D10388">
        <w:rPr>
          <w:lang w:val="en-GB"/>
        </w:rPr>
        <w:t>performed with three different basket sizes of 125, 1000 and 3375 cm</w:t>
      </w:r>
      <w:r w:rsidR="008F3BE8" w:rsidRPr="00D10388">
        <w:rPr>
          <w:vertAlign w:val="superscript"/>
          <w:lang w:val="en-GB"/>
        </w:rPr>
        <w:t>3</w:t>
      </w:r>
      <w:r w:rsidR="008F3BE8" w:rsidRPr="00D10388">
        <w:rPr>
          <w:lang w:val="en-GB"/>
        </w:rPr>
        <w:t xml:space="preserve"> (Figure 2)</w:t>
      </w:r>
      <w:r w:rsidRPr="00D10388">
        <w:rPr>
          <w:lang w:val="en-GB"/>
        </w:rPr>
        <w:t>, following two methods:</w:t>
      </w:r>
      <w:r w:rsidR="008F3BE8" w:rsidRPr="00D10388">
        <w:rPr>
          <w:lang w:val="en-GB"/>
        </w:rPr>
        <w:t xml:space="preserve"> </w:t>
      </w:r>
      <w:r w:rsidRPr="00D10388">
        <w:rPr>
          <w:lang w:val="en-GB"/>
        </w:rPr>
        <w:t xml:space="preserve">isoperibolic tests </w:t>
      </w:r>
      <w:r w:rsidR="001564FE">
        <w:rPr>
          <w:lang w:val="en-GB"/>
        </w:rPr>
        <w:t xml:space="preserve">(Dufaud, 2022) </w:t>
      </w:r>
      <w:r w:rsidRPr="00D10388">
        <w:rPr>
          <w:lang w:val="en-GB"/>
        </w:rPr>
        <w:t xml:space="preserve">and crossing-point method. </w:t>
      </w:r>
      <w:r w:rsidR="00870E9A" w:rsidRPr="00D10388">
        <w:rPr>
          <w:lang w:val="en-GB"/>
        </w:rPr>
        <w:t>A 15.6 cm</w:t>
      </w:r>
      <w:r w:rsidR="00870E9A" w:rsidRPr="00D10388">
        <w:rPr>
          <w:vertAlign w:val="superscript"/>
          <w:lang w:val="en-GB"/>
        </w:rPr>
        <w:t>3</w:t>
      </w:r>
      <w:r w:rsidR="00870E9A" w:rsidRPr="00D10388">
        <w:rPr>
          <w:lang w:val="en-GB"/>
        </w:rPr>
        <w:t xml:space="preserve"> basket was occasionally used. </w:t>
      </w:r>
      <w:r w:rsidRPr="00D10388">
        <w:rPr>
          <w:lang w:val="en-GB"/>
        </w:rPr>
        <w:t xml:space="preserve">In the first approach, ignition criteria are defined by a sample temperature exceeding the oven temperature by 60 K or by the presence of an </w:t>
      </w:r>
      <w:r w:rsidR="00D10388">
        <w:rPr>
          <w:lang w:val="en-GB"/>
        </w:rPr>
        <w:t>inflexion</w:t>
      </w:r>
      <w:r w:rsidRPr="00D10388">
        <w:rPr>
          <w:lang w:val="en-GB"/>
        </w:rPr>
        <w:t xml:space="preserve"> point </w:t>
      </w:r>
      <w:r w:rsidR="00CE1D87" w:rsidRPr="00D10388">
        <w:rPr>
          <w:lang w:val="en-GB"/>
        </w:rPr>
        <w:t>at</w:t>
      </w:r>
      <w:r w:rsidRPr="00D10388">
        <w:rPr>
          <w:lang w:val="en-GB"/>
        </w:rPr>
        <w:t xml:space="preserve"> temperatures higher than the set temperature. Tests were performed by changing the basket sizes and the set temperatures until the critical temperatures are determined for each basket size. The self-heating behaviour can be modelled using </w:t>
      </w:r>
      <w:r w:rsidR="0095011F" w:rsidRPr="00D10388">
        <w:rPr>
          <w:lang w:val="en-GB"/>
        </w:rPr>
        <w:t xml:space="preserve">the </w:t>
      </w:r>
      <w:r w:rsidRPr="00D10388">
        <w:rPr>
          <w:lang w:val="en-GB"/>
        </w:rPr>
        <w:t>Frank-Kamenetskii theory</w:t>
      </w:r>
      <w:r w:rsidR="00CE1D87" w:rsidRPr="00D10388">
        <w:rPr>
          <w:lang w:val="en-GB"/>
        </w:rPr>
        <w:t xml:space="preserve"> (Janès et al., 2019)</w:t>
      </w:r>
      <w:r w:rsidRPr="00D10388">
        <w:rPr>
          <w:lang w:val="en-GB"/>
        </w:rPr>
        <w:t>. In the crossing-point method, the criterion for validating self-heating is defined by the time t</w:t>
      </w:r>
      <w:r w:rsidRPr="00D10388">
        <w:rPr>
          <w:vertAlign w:val="subscript"/>
          <w:lang w:val="en-GB"/>
        </w:rPr>
        <w:t>cp</w:t>
      </w:r>
      <w:r w:rsidRPr="00D10388">
        <w:rPr>
          <w:lang w:val="en-GB"/>
        </w:rPr>
        <w:t xml:space="preserve"> at which the temperature at the </w:t>
      </w:r>
      <w:r w:rsidR="00870E9A" w:rsidRPr="00D10388">
        <w:rPr>
          <w:lang w:val="en-GB"/>
        </w:rPr>
        <w:t xml:space="preserve">sample </w:t>
      </w:r>
      <w:r w:rsidR="00D10388" w:rsidRPr="00D10388">
        <w:rPr>
          <w:lang w:val="en-GB"/>
        </w:rPr>
        <w:t>centre</w:t>
      </w:r>
      <w:r w:rsidRPr="00D10388">
        <w:rPr>
          <w:lang w:val="en-GB"/>
        </w:rPr>
        <w:t xml:space="preserve"> is higher than the other temperatures measured.</w:t>
      </w:r>
    </w:p>
    <w:p w14:paraId="26AEEF4C" w14:textId="654CC8C9" w:rsidR="001F5F78" w:rsidRPr="00D10388" w:rsidRDefault="001F5F78" w:rsidP="00042DC2">
      <w:pPr>
        <w:pStyle w:val="CETBodytext"/>
        <w:spacing w:after="120"/>
        <w:rPr>
          <w:lang w:val="en-GB"/>
        </w:rPr>
      </w:pPr>
      <w:r w:rsidRPr="00D10388">
        <w:rPr>
          <w:lang w:val="en-GB"/>
        </w:rPr>
        <w:t xml:space="preserve">In order to verify the criterion defined by the previous method and to visualize the propagation of thermal waves within the samples, several thermocouples were placed in them, their positions varying according to the </w:t>
      </w:r>
      <w:r w:rsidR="00D10388" w:rsidRPr="00D10388">
        <w:rPr>
          <w:lang w:val="en-GB"/>
        </w:rPr>
        <w:t xml:space="preserve">basket </w:t>
      </w:r>
      <w:r w:rsidRPr="00D10388">
        <w:rPr>
          <w:lang w:val="en-GB"/>
        </w:rPr>
        <w:t>size (Figure 2).</w:t>
      </w:r>
      <w:r w:rsidR="00F47F2B" w:rsidRPr="00D10388">
        <w:rPr>
          <w:lang w:val="en-GB"/>
        </w:rPr>
        <w:t xml:space="preserve"> Tests to be carried out were chosen using </w:t>
      </w:r>
      <w:r w:rsidR="00D10388" w:rsidRPr="00D10388">
        <w:rPr>
          <w:lang w:val="en-GB"/>
        </w:rPr>
        <w:t xml:space="preserve">the </w:t>
      </w:r>
      <w:r w:rsidR="00F47F2B" w:rsidRPr="00D10388">
        <w:rPr>
          <w:lang w:val="en-GB"/>
        </w:rPr>
        <w:t>design of experiments methodology, either with full factorial design or with response surface modelling (Doehlert).</w:t>
      </w:r>
    </w:p>
    <w:p w14:paraId="66C5CBFE" w14:textId="40A71D5D" w:rsidR="0068451C" w:rsidRPr="00D10388" w:rsidRDefault="001645F1" w:rsidP="0076266C">
      <w:pPr>
        <w:pStyle w:val="CETBodytext"/>
        <w:rPr>
          <w:lang w:val="en-GB"/>
        </w:rPr>
      </w:pPr>
      <w:r w:rsidRPr="001645F1">
        <w:rPr>
          <w:lang w:val="en-GB"/>
        </w:rPr>
        <w:drawing>
          <wp:inline distT="0" distB="0" distL="0" distR="0" wp14:anchorId="661E4788" wp14:editId="66A514E5">
            <wp:extent cx="5488233" cy="1658899"/>
            <wp:effectExtent l="0" t="0" r="0" b="0"/>
            <wp:docPr id="5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8"/>
                    <pic:cNvPicPr>
                      <a:picLocks noChangeAspect="1"/>
                    </pic:cNvPicPr>
                  </pic:nvPicPr>
                  <pic:blipFill>
                    <a:blip r:embed="rId11"/>
                    <a:stretch>
                      <a:fillRect/>
                    </a:stretch>
                  </pic:blipFill>
                  <pic:spPr>
                    <a:xfrm>
                      <a:off x="0" y="0"/>
                      <a:ext cx="5497465" cy="1661689"/>
                    </a:xfrm>
                    <a:prstGeom prst="rect">
                      <a:avLst/>
                    </a:prstGeom>
                  </pic:spPr>
                </pic:pic>
              </a:graphicData>
            </a:graphic>
          </wp:inline>
        </w:drawing>
      </w:r>
    </w:p>
    <w:p w14:paraId="2CB6D76F" w14:textId="0E2C9D44" w:rsidR="008F3BE8" w:rsidRPr="00D10388" w:rsidRDefault="008F3BE8" w:rsidP="008F3BE8">
      <w:pPr>
        <w:pStyle w:val="CETCaption"/>
      </w:pPr>
      <w:r w:rsidRPr="00D10388">
        <w:t>Figure 2</w:t>
      </w:r>
      <w:r w:rsidR="00211DD7" w:rsidRPr="00D10388">
        <w:t>:</w:t>
      </w:r>
      <w:r w:rsidRPr="00D10388">
        <w:t xml:space="preserve"> </w:t>
      </w:r>
      <w:r w:rsidR="00211DD7" w:rsidRPr="00D10388">
        <w:t>Spatial distribution of thermocouples for the three basket sizes</w:t>
      </w:r>
    </w:p>
    <w:p w14:paraId="4B7BFA68" w14:textId="2E65292A" w:rsidR="001F5F78" w:rsidRPr="00D10388" w:rsidRDefault="001F5F78" w:rsidP="0076266C">
      <w:pPr>
        <w:pStyle w:val="CETBodytext"/>
        <w:rPr>
          <w:lang w:val="en-GB"/>
        </w:rPr>
      </w:pPr>
      <w:r w:rsidRPr="00D10388">
        <w:rPr>
          <w:lang w:val="en-GB"/>
        </w:rPr>
        <w:t>The flue gases were collected with a sampling tube placed above the basket at different times: before the crossing point, around t</w:t>
      </w:r>
      <w:r w:rsidRPr="00D10388">
        <w:rPr>
          <w:vertAlign w:val="subscript"/>
          <w:lang w:val="en-GB"/>
        </w:rPr>
        <w:t>cp</w:t>
      </w:r>
      <w:r w:rsidRPr="00D10388">
        <w:rPr>
          <w:lang w:val="en-GB"/>
        </w:rPr>
        <w:t xml:space="preserve"> and after this specific time. They were analysed by micro-gas chromatography (SRA 3000, Agilent).</w:t>
      </w:r>
      <w:r w:rsidR="00D23E0E" w:rsidRPr="00D10388">
        <w:rPr>
          <w:lang w:val="en-GB"/>
        </w:rPr>
        <w:t xml:space="preserve"> A few tests were also performed by wrapping the basket with paper in order to limit oxygen accessibility. It should be noted that this envelope degrades and ignites spontaneously above 220-230</w:t>
      </w:r>
      <w:r w:rsidR="001E4982" w:rsidRPr="00D10388">
        <w:rPr>
          <w:lang w:val="en-GB"/>
        </w:rPr>
        <w:t xml:space="preserve"> </w:t>
      </w:r>
      <w:r w:rsidR="00D23E0E" w:rsidRPr="00D10388">
        <w:rPr>
          <w:lang w:val="en-GB"/>
        </w:rPr>
        <w:t>°C.</w:t>
      </w:r>
    </w:p>
    <w:p w14:paraId="149FFE2B" w14:textId="1967D3B1" w:rsidR="0076266C" w:rsidRPr="00D10388" w:rsidRDefault="0076266C" w:rsidP="0076266C">
      <w:pPr>
        <w:pStyle w:val="CETHeading1"/>
        <w:tabs>
          <w:tab w:val="clear" w:pos="360"/>
          <w:tab w:val="right" w:pos="7100"/>
        </w:tabs>
        <w:jc w:val="both"/>
        <w:rPr>
          <w:lang w:val="en-GB"/>
        </w:rPr>
      </w:pPr>
      <w:r w:rsidRPr="00D10388">
        <w:rPr>
          <w:lang w:val="en-GB"/>
        </w:rPr>
        <w:t>Results and discussion</w:t>
      </w:r>
    </w:p>
    <w:p w14:paraId="49701141" w14:textId="160BEE7A" w:rsidR="001F0C81" w:rsidRPr="00D10388" w:rsidRDefault="004E3724" w:rsidP="0076266C">
      <w:pPr>
        <w:pStyle w:val="CETheadingx"/>
        <w:rPr>
          <w:lang w:val="en-GB"/>
        </w:rPr>
      </w:pPr>
      <w:r w:rsidRPr="00D10388">
        <w:rPr>
          <w:lang w:val="en-GB"/>
        </w:rPr>
        <w:t>Thermogravimetric analyses - combustion kinetics</w:t>
      </w:r>
    </w:p>
    <w:p w14:paraId="270289F8" w14:textId="3471A910" w:rsidR="00647E91" w:rsidRPr="00D10388" w:rsidRDefault="004E3724" w:rsidP="00042DC2">
      <w:pPr>
        <w:pStyle w:val="CETBodytext"/>
        <w:spacing w:after="120"/>
        <w:rPr>
          <w:lang w:val="en-GB"/>
        </w:rPr>
      </w:pPr>
      <w:r w:rsidRPr="00D10388">
        <w:rPr>
          <w:lang w:val="en-GB"/>
        </w:rPr>
        <w:t>Analyses carried out by TGA show three to four steps: water loss up to 100 °C, hemicellulose reaction below 250 °C, and, above 320 °C cellulose and lignin reactions (non-dissociable at high heating rates).</w:t>
      </w:r>
    </w:p>
    <w:p w14:paraId="7B0A28BF" w14:textId="11E29487" w:rsidR="001C4247" w:rsidRPr="00D10388" w:rsidRDefault="006C25A1" w:rsidP="0076266C">
      <w:pPr>
        <w:pStyle w:val="CETBodytext"/>
        <w:rPr>
          <w:lang w:val="en-GB"/>
        </w:rPr>
      </w:pPr>
      <w:r w:rsidRPr="00D10388">
        <w:rPr>
          <w:lang w:val="en-GB"/>
        </w:rPr>
        <w:t>By applying Flynn-Ozawa-Wall method for conversion rates ranging between 15 and 95%, linear relationships are obtained (Figure 3), which confirms the assumption of a</w:t>
      </w:r>
      <w:r w:rsidR="003728E3" w:rsidRPr="00D10388">
        <w:rPr>
          <w:lang w:val="en-GB"/>
        </w:rPr>
        <w:t xml:space="preserve">n Arrhenius law and allows the determination of </w:t>
      </w:r>
      <w:r w:rsidR="004F53DA" w:rsidRPr="00D10388">
        <w:rPr>
          <w:lang w:val="en-GB"/>
        </w:rPr>
        <w:t xml:space="preserve">mean </w:t>
      </w:r>
      <w:r w:rsidR="003728E3" w:rsidRPr="00D10388">
        <w:rPr>
          <w:lang w:val="en-GB"/>
        </w:rPr>
        <w:t>activation energies for both hemicellulose and cellulose/lignin combustion reactions: 50.6</w:t>
      </w:r>
      <w:r w:rsidR="004F53DA" w:rsidRPr="00D10388">
        <w:rPr>
          <w:lang w:val="en-GB"/>
        </w:rPr>
        <w:t xml:space="preserve"> (with a maximum value of 53.1 kJ/mol)</w:t>
      </w:r>
      <w:r w:rsidR="003728E3" w:rsidRPr="00D10388">
        <w:rPr>
          <w:lang w:val="en-GB"/>
        </w:rPr>
        <w:t xml:space="preserve"> and 45.2</w:t>
      </w:r>
      <w:r w:rsidR="004F53DA" w:rsidRPr="00D10388">
        <w:rPr>
          <w:lang w:val="en-GB"/>
        </w:rPr>
        <w:t> </w:t>
      </w:r>
      <w:r w:rsidR="003728E3" w:rsidRPr="00D10388">
        <w:rPr>
          <w:lang w:val="en-GB"/>
        </w:rPr>
        <w:t>kJ/mol, respectively. As a comparison, Friedman method leads to activation energies of 49 kJ/mol for the first reaction</w:t>
      </w:r>
      <w:r w:rsidR="004F53DA" w:rsidRPr="00D10388">
        <w:rPr>
          <w:lang w:val="en-GB"/>
        </w:rPr>
        <w:t xml:space="preserve">, whereas </w:t>
      </w:r>
      <w:r w:rsidR="003728E3" w:rsidRPr="00D10388">
        <w:rPr>
          <w:lang w:val="en-GB"/>
        </w:rPr>
        <w:t xml:space="preserve">47 kJ/mol is obtained by using Kissinger approach. </w:t>
      </w:r>
      <w:r w:rsidR="004F53DA" w:rsidRPr="00D10388">
        <w:rPr>
          <w:lang w:val="en-GB"/>
        </w:rPr>
        <w:t>Although slightly lower than most values of biomass combustion activation energies observed in the literature, these results are consistent with those quoted by Gupta et al. (2021) for Areca, pine bark, sal and pine woods (</w:t>
      </w:r>
      <w:r w:rsidR="008A0BDD" w:rsidRPr="00D10388">
        <w:rPr>
          <w:lang w:val="en-GB"/>
        </w:rPr>
        <w:t>i.e.,</w:t>
      </w:r>
      <w:r w:rsidR="004F53DA" w:rsidRPr="00D10388">
        <w:rPr>
          <w:lang w:val="en-GB"/>
        </w:rPr>
        <w:t xml:space="preserve"> from 48 to 53 kJ/mol). By using isothermal calorimetry on wood pellets, Guo et al. (2014) measured activation energies ranging from 55 to 58 kJ/mol, which confirms the order of magnitude of our results. They will be used as inputs in the numerical model. </w:t>
      </w:r>
    </w:p>
    <w:p w14:paraId="48AFA1EA" w14:textId="1DF088F2" w:rsidR="0076266C" w:rsidRPr="00D10388" w:rsidRDefault="0076266C" w:rsidP="0076266C">
      <w:pPr>
        <w:pStyle w:val="CETheadingx"/>
        <w:rPr>
          <w:lang w:val="en-GB"/>
        </w:rPr>
      </w:pPr>
      <w:r w:rsidRPr="00D10388">
        <w:rPr>
          <w:lang w:val="en-GB"/>
        </w:rPr>
        <w:t>Thermal stab</w:t>
      </w:r>
      <w:r w:rsidR="008A0BDD" w:rsidRPr="00D10388">
        <w:rPr>
          <w:lang w:val="en-GB"/>
        </w:rPr>
        <w:t>ility</w:t>
      </w:r>
      <w:r w:rsidRPr="00D10388">
        <w:rPr>
          <w:lang w:val="en-GB"/>
        </w:rPr>
        <w:t xml:space="preserve">: </w:t>
      </w:r>
      <w:r w:rsidR="008A0BDD" w:rsidRPr="00D10388">
        <w:rPr>
          <w:lang w:val="en-GB"/>
        </w:rPr>
        <w:t>results and evolution of internal temperatures</w:t>
      </w:r>
    </w:p>
    <w:p w14:paraId="45EDA3BF" w14:textId="1588516D" w:rsidR="0076266C" w:rsidRPr="008C4445" w:rsidRDefault="00387C41" w:rsidP="0076266C">
      <w:pPr>
        <w:pStyle w:val="CETBodytext"/>
        <w:rPr>
          <w:lang w:val="en-GB"/>
        </w:rPr>
      </w:pPr>
      <w:r w:rsidRPr="008C4445">
        <w:rPr>
          <w:lang w:val="en-GB"/>
        </w:rPr>
        <w:t xml:space="preserve">The first tests that were carried out were aimed at estimating the repeatability of the tests carried out in a basket oven. Three tests performed at 300 °C, in a 10 cm side basket with a medium sample (50/50) lead to a mean crossing point of 67 </w:t>
      </w:r>
      <w:r w:rsidRPr="008C4445">
        <w:rPr>
          <w:lang w:val="en-GB"/>
        </w:rPr>
        <w:sym w:font="Symbol" w:char="F0B1"/>
      </w:r>
      <w:r w:rsidRPr="008C4445">
        <w:rPr>
          <w:lang w:val="en-GB"/>
        </w:rPr>
        <w:t xml:space="preserve"> 3 min, which corresponds to a satisfactory repeatability even after mechanical mixing. Some of the results obtained by testing the thermal stability of biomass samples are shown in Table 1</w:t>
      </w:r>
      <w:r w:rsidR="007A2262" w:rsidRPr="008C4445">
        <w:rPr>
          <w:lang w:val="en-GB"/>
        </w:rPr>
        <w:t>; when tests were subjected to a design of experiments, coded variables are given. Conversion from real variables A</w:t>
      </w:r>
      <w:r w:rsidR="007A2262" w:rsidRPr="008C4445">
        <w:rPr>
          <w:vertAlign w:val="subscript"/>
          <w:lang w:val="en-GB"/>
        </w:rPr>
        <w:t xml:space="preserve">i </w:t>
      </w:r>
      <w:r w:rsidR="007A2262" w:rsidRPr="008C4445">
        <w:rPr>
          <w:lang w:val="en-GB"/>
        </w:rPr>
        <w:t>and coded variables x</w:t>
      </w:r>
      <w:r w:rsidR="007A2262" w:rsidRPr="008C4445">
        <w:rPr>
          <w:vertAlign w:val="subscript"/>
          <w:lang w:val="en-GB"/>
        </w:rPr>
        <w:t xml:space="preserve">i </w:t>
      </w:r>
      <w:r w:rsidR="007A2262" w:rsidRPr="008C4445">
        <w:rPr>
          <w:lang w:val="en-GB"/>
        </w:rPr>
        <w:t xml:space="preserve">correspond to </w:t>
      </w:r>
      <m:oMath>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A</m:t>
                </m:r>
              </m:e>
            </m:acc>
          </m:num>
          <m:den>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min</m:t>
                </m:r>
              </m:sub>
            </m:sSub>
          </m:den>
        </m:f>
      </m:oMath>
      <w:r w:rsidR="007A2262" w:rsidRPr="008C4445">
        <w:rPr>
          <w:lang w:val="en-GB"/>
        </w:rPr>
        <w:t>.</w:t>
      </w:r>
    </w:p>
    <w:p w14:paraId="602172B0" w14:textId="77777777" w:rsidR="008C4445" w:rsidRPr="008C4445" w:rsidRDefault="008C4445" w:rsidP="008C4445">
      <w:pPr>
        <w:pStyle w:val="CETBodytext"/>
        <w:rPr>
          <w:lang w:val="en-GB"/>
        </w:rPr>
      </w:pPr>
      <w:r w:rsidRPr="008C4445">
        <w:rPr>
          <w:lang w:val="en-GB"/>
        </w:rPr>
        <w:t>During each test, the time evolution of the temperature at various locations in the basket was recorded. Figure 4 shows that the first signs of self-ignition are not necessarily detected at the centre of the basket and that, due to convection movement within the pile, the propagation of the thermal wave is not symmetrical between the vertical and horizontal axes. Calculation of Rayleigh Ra and critical Rayleigh Ra</w:t>
      </w:r>
      <w:r w:rsidRPr="008C4445">
        <w:rPr>
          <w:vertAlign w:val="subscript"/>
          <w:lang w:val="en-GB"/>
        </w:rPr>
        <w:t>c</w:t>
      </w:r>
      <w:r w:rsidRPr="008C4445">
        <w:rPr>
          <w:lang w:val="en-GB"/>
        </w:rPr>
        <w:t xml:space="preserve"> numbers shows that internal convection cannot be neglected as Ra/Ra</w:t>
      </w:r>
      <w:r w:rsidRPr="008C4445">
        <w:rPr>
          <w:vertAlign w:val="subscript"/>
          <w:lang w:val="en-GB"/>
        </w:rPr>
        <w:t>c</w:t>
      </w:r>
      <w:r w:rsidRPr="008C4445">
        <w:rPr>
          <w:lang w:val="en-GB"/>
        </w:rPr>
        <w:t xml:space="preserve"> = 12.6 for such pile, which is not the case for 1.19-4 mm biomass sample as Ra/Ra</w:t>
      </w:r>
      <w:r w:rsidRPr="008C4445">
        <w:rPr>
          <w:vertAlign w:val="subscript"/>
          <w:lang w:val="en-GB"/>
        </w:rPr>
        <w:t>c</w:t>
      </w:r>
      <w:r w:rsidRPr="008C4445">
        <w:rPr>
          <w:lang w:val="en-GB"/>
        </w:rPr>
        <w:t xml:space="preserve"> decreases down to 0.04. It should also be noted that the first areas where the temperature exceeds the oven temperature are located at 3.5 cm and 2 cm (not shown here) and their crossing point difference is about 10 min between these zones and the centre. </w:t>
      </w:r>
    </w:p>
    <w:p w14:paraId="14C18BEB" w14:textId="408DCCD7" w:rsidR="008C4445" w:rsidRPr="008C4445" w:rsidRDefault="008C4445" w:rsidP="0076266C">
      <w:pPr>
        <w:pStyle w:val="CETBodytext"/>
        <w:rPr>
          <w:lang w:val="en-GB"/>
        </w:rPr>
      </w:pPr>
      <w:r w:rsidRPr="008C4445">
        <w:rPr>
          <w:lang w:val="en-GB"/>
        </w:rPr>
        <w:t>Combustion gases were analysed during several tests: it appears that CO/CO</w:t>
      </w:r>
      <w:r w:rsidRPr="008C4445">
        <w:rPr>
          <w:vertAlign w:val="subscript"/>
          <w:lang w:val="en-GB"/>
        </w:rPr>
        <w:t>2</w:t>
      </w:r>
      <w:r w:rsidRPr="008C4445">
        <w:rPr>
          <w:lang w:val="en-GB"/>
        </w:rPr>
        <w:t xml:space="preserve"> ratio remains lower than 0.1 before the crossing point is reached, as it increases to 0.12 and up to 0.3 a few minutes after that point. These experiments demonstrate that it is certainly possible to use such criteria to identify the early occurrence of self-heating of biomass piles.</w:t>
      </w:r>
    </w:p>
    <w:p w14:paraId="0FC6D232" w14:textId="77777777" w:rsidR="008C4445" w:rsidRPr="00D10388" w:rsidRDefault="008C4445" w:rsidP="008C4445">
      <w:pPr>
        <w:pStyle w:val="CETBodytext"/>
        <w:rPr>
          <w:lang w:val="en-GB"/>
        </w:rPr>
      </w:pPr>
      <w:r w:rsidRPr="00D10388">
        <w:rPr>
          <w:noProof/>
          <w:lang w:val="en-GB"/>
        </w:rPr>
        <w:drawing>
          <wp:inline distT="0" distB="0" distL="0" distR="0" wp14:anchorId="4B283146" wp14:editId="5FF73820">
            <wp:extent cx="3915284" cy="2167063"/>
            <wp:effectExtent l="0" t="0" r="0" b="5080"/>
            <wp:docPr id="14596282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28204" name="Image 1459628204"/>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31255" cy="2175903"/>
                    </a:xfrm>
                    <a:prstGeom prst="rect">
                      <a:avLst/>
                    </a:prstGeom>
                    <a:ln>
                      <a:noFill/>
                    </a:ln>
                    <a:extLst>
                      <a:ext uri="{53640926-AAD7-44D8-BBD7-CCE9431645EC}">
                        <a14:shadowObscured xmlns:a14="http://schemas.microsoft.com/office/drawing/2010/main"/>
                      </a:ext>
                    </a:extLst>
                  </pic:spPr>
                </pic:pic>
              </a:graphicData>
            </a:graphic>
          </wp:inline>
        </w:drawing>
      </w:r>
    </w:p>
    <w:p w14:paraId="581A9B5B" w14:textId="34059514" w:rsidR="008C4445" w:rsidRPr="00D10388" w:rsidRDefault="008C4445" w:rsidP="008C4445">
      <w:pPr>
        <w:pStyle w:val="CETCaption"/>
      </w:pPr>
      <w:r w:rsidRPr="00D10388">
        <w:t>Figure 3: Determination of the activation energy according to Flynn-Ozawa-Wall method</w:t>
      </w:r>
    </w:p>
    <w:p w14:paraId="7DBADA1F" w14:textId="7D3F85AC" w:rsidR="00A75F4A" w:rsidRPr="00D10388" w:rsidRDefault="00A75F4A" w:rsidP="00A75F4A">
      <w:pPr>
        <w:pStyle w:val="CETTabletitle"/>
      </w:pPr>
      <w:r w:rsidRPr="00D10388">
        <w:t xml:space="preserve">Table 1: </w:t>
      </w:r>
      <w:r w:rsidR="00387C41" w:rsidRPr="00D10388">
        <w:t>Res</w:t>
      </w:r>
      <w:r w:rsidR="007A2262" w:rsidRPr="00D10388">
        <w:t>ults of thermal stability tests; coded variables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709"/>
        <w:gridCol w:w="709"/>
        <w:gridCol w:w="709"/>
        <w:gridCol w:w="1204"/>
        <w:gridCol w:w="1205"/>
        <w:gridCol w:w="1205"/>
        <w:gridCol w:w="1205"/>
      </w:tblGrid>
      <w:tr w:rsidR="00E40CDE" w:rsidRPr="00D10388" w14:paraId="047E8C52" w14:textId="7B71DB75" w:rsidTr="00C45A5E">
        <w:tc>
          <w:tcPr>
            <w:tcW w:w="1134" w:type="dxa"/>
            <w:tcBorders>
              <w:top w:val="single" w:sz="12" w:space="0" w:color="008000"/>
              <w:bottom w:val="nil"/>
            </w:tcBorders>
            <w:shd w:val="clear" w:color="auto" w:fill="FFFFFF"/>
          </w:tcPr>
          <w:p w14:paraId="044ED4D8" w14:textId="1AB5B3C1" w:rsidR="00E40CDE" w:rsidRPr="00D10388" w:rsidRDefault="00E40CDE" w:rsidP="00A70073">
            <w:pPr>
              <w:pStyle w:val="CETBodytext"/>
              <w:rPr>
                <w:lang w:val="en-GB"/>
              </w:rPr>
            </w:pPr>
            <w:r w:rsidRPr="00D10388">
              <w:rPr>
                <w:lang w:val="en-GB"/>
              </w:rPr>
              <w:t xml:space="preserve">Test </w:t>
            </w:r>
          </w:p>
        </w:tc>
        <w:tc>
          <w:tcPr>
            <w:tcW w:w="2127" w:type="dxa"/>
            <w:gridSpan w:val="3"/>
            <w:tcBorders>
              <w:top w:val="single" w:sz="12" w:space="0" w:color="008000"/>
              <w:bottom w:val="nil"/>
            </w:tcBorders>
            <w:shd w:val="clear" w:color="auto" w:fill="FFFFFF"/>
          </w:tcPr>
          <w:p w14:paraId="47193097" w14:textId="4CC7E590" w:rsidR="00E40CDE" w:rsidRPr="00D10388" w:rsidRDefault="00E40CDE" w:rsidP="00235C48">
            <w:pPr>
              <w:pStyle w:val="CETBodytext"/>
              <w:ind w:right="-1"/>
              <w:jc w:val="center"/>
              <w:rPr>
                <w:rFonts w:cs="Arial"/>
                <w:szCs w:val="18"/>
                <w:lang w:val="en-GB"/>
              </w:rPr>
            </w:pPr>
            <w:r w:rsidRPr="00D10388">
              <w:rPr>
                <w:lang w:val="en-GB"/>
              </w:rPr>
              <w:t>Coded variables</w:t>
            </w:r>
          </w:p>
        </w:tc>
        <w:tc>
          <w:tcPr>
            <w:tcW w:w="3614" w:type="dxa"/>
            <w:gridSpan w:val="3"/>
            <w:tcBorders>
              <w:top w:val="single" w:sz="12" w:space="0" w:color="008000"/>
              <w:bottom w:val="nil"/>
            </w:tcBorders>
            <w:shd w:val="clear" w:color="auto" w:fill="FFFFFF"/>
          </w:tcPr>
          <w:p w14:paraId="47C5A603" w14:textId="5F3F6936" w:rsidR="00E40CDE" w:rsidRPr="00D10388" w:rsidRDefault="00E40CDE" w:rsidP="00235C48">
            <w:pPr>
              <w:pStyle w:val="CETBodytext"/>
              <w:ind w:right="-1"/>
              <w:jc w:val="center"/>
              <w:rPr>
                <w:rFonts w:cs="Arial"/>
                <w:szCs w:val="18"/>
                <w:lang w:val="en-GB"/>
              </w:rPr>
            </w:pPr>
            <w:r w:rsidRPr="00D10388">
              <w:rPr>
                <w:rFonts w:cs="Arial"/>
                <w:szCs w:val="18"/>
                <w:lang w:val="en-GB"/>
              </w:rPr>
              <w:t>Real variables</w:t>
            </w:r>
          </w:p>
        </w:tc>
        <w:tc>
          <w:tcPr>
            <w:tcW w:w="1205" w:type="dxa"/>
            <w:tcBorders>
              <w:top w:val="single" w:sz="12" w:space="0" w:color="008000"/>
              <w:bottom w:val="nil"/>
            </w:tcBorders>
            <w:shd w:val="clear" w:color="auto" w:fill="FFFFFF"/>
          </w:tcPr>
          <w:p w14:paraId="59FD190E" w14:textId="4A279164" w:rsidR="00E40CDE" w:rsidRPr="00D10388" w:rsidRDefault="00E40CDE" w:rsidP="00A70073">
            <w:pPr>
              <w:pStyle w:val="CETBodytext"/>
              <w:ind w:right="-1"/>
              <w:rPr>
                <w:rFonts w:cs="Arial"/>
                <w:szCs w:val="18"/>
                <w:lang w:val="en-GB"/>
              </w:rPr>
            </w:pPr>
            <w:r w:rsidRPr="00D10388">
              <w:rPr>
                <w:rFonts w:cs="Arial"/>
                <w:szCs w:val="18"/>
                <w:lang w:val="en-GB"/>
              </w:rPr>
              <w:t xml:space="preserve">Results </w:t>
            </w:r>
          </w:p>
        </w:tc>
      </w:tr>
      <w:tr w:rsidR="00E40CDE" w:rsidRPr="00D10388" w14:paraId="425E966A" w14:textId="77777777" w:rsidTr="00E40CDE">
        <w:trPr>
          <w:trHeight w:val="49"/>
        </w:trPr>
        <w:tc>
          <w:tcPr>
            <w:tcW w:w="1134" w:type="dxa"/>
            <w:tcBorders>
              <w:top w:val="nil"/>
              <w:bottom w:val="single" w:sz="6" w:space="0" w:color="008000"/>
            </w:tcBorders>
            <w:shd w:val="clear" w:color="auto" w:fill="FFFFFF"/>
          </w:tcPr>
          <w:p w14:paraId="1A6A82AC" w14:textId="237702AC" w:rsidR="00E40CDE" w:rsidRPr="00D10388" w:rsidRDefault="00E40CDE" w:rsidP="00E40CDE">
            <w:pPr>
              <w:pStyle w:val="CETBodytext"/>
              <w:rPr>
                <w:lang w:val="en-GB"/>
              </w:rPr>
            </w:pPr>
            <w:r w:rsidRPr="00D10388">
              <w:rPr>
                <w:lang w:val="en-GB"/>
              </w:rPr>
              <w:t xml:space="preserve">Number </w:t>
            </w:r>
          </w:p>
        </w:tc>
        <w:tc>
          <w:tcPr>
            <w:tcW w:w="709" w:type="dxa"/>
            <w:tcBorders>
              <w:top w:val="nil"/>
              <w:bottom w:val="single" w:sz="6" w:space="0" w:color="008000"/>
            </w:tcBorders>
            <w:shd w:val="clear" w:color="auto" w:fill="FFFFFF"/>
          </w:tcPr>
          <w:p w14:paraId="0323C8DF" w14:textId="0D59FD4C" w:rsidR="00E40CDE" w:rsidRPr="00D10388" w:rsidRDefault="007A2262" w:rsidP="00E40CDE">
            <w:pPr>
              <w:pStyle w:val="CETBodytext"/>
              <w:rPr>
                <w:lang w:val="en-GB"/>
              </w:rPr>
            </w:pPr>
            <w:r w:rsidRPr="00D10388">
              <w:rPr>
                <w:lang w:val="en-GB"/>
              </w:rPr>
              <w:t>x</w:t>
            </w:r>
            <w:r w:rsidRPr="00D10388">
              <w:rPr>
                <w:vertAlign w:val="subscript"/>
                <w:lang w:val="en-GB"/>
              </w:rPr>
              <w:t>1</w:t>
            </w:r>
          </w:p>
        </w:tc>
        <w:tc>
          <w:tcPr>
            <w:tcW w:w="709" w:type="dxa"/>
            <w:tcBorders>
              <w:top w:val="nil"/>
              <w:bottom w:val="single" w:sz="6" w:space="0" w:color="008000"/>
            </w:tcBorders>
            <w:shd w:val="clear" w:color="auto" w:fill="FFFFFF"/>
          </w:tcPr>
          <w:p w14:paraId="0EDDB1F6" w14:textId="5A2D1D65" w:rsidR="00E40CDE" w:rsidRPr="00D10388" w:rsidRDefault="007A2262" w:rsidP="00E40CDE">
            <w:pPr>
              <w:pStyle w:val="CETBodytext"/>
              <w:rPr>
                <w:lang w:val="en-GB"/>
              </w:rPr>
            </w:pPr>
            <w:r w:rsidRPr="00D10388">
              <w:rPr>
                <w:lang w:val="en-GB"/>
              </w:rPr>
              <w:t>x</w:t>
            </w:r>
            <w:r w:rsidRPr="00D10388">
              <w:rPr>
                <w:vertAlign w:val="subscript"/>
                <w:lang w:val="en-GB"/>
              </w:rPr>
              <w:t>2</w:t>
            </w:r>
          </w:p>
        </w:tc>
        <w:tc>
          <w:tcPr>
            <w:tcW w:w="709" w:type="dxa"/>
            <w:tcBorders>
              <w:top w:val="nil"/>
              <w:bottom w:val="single" w:sz="6" w:space="0" w:color="008000"/>
            </w:tcBorders>
            <w:shd w:val="clear" w:color="auto" w:fill="FFFFFF"/>
          </w:tcPr>
          <w:p w14:paraId="6A00DE84" w14:textId="4E988156" w:rsidR="00E40CDE" w:rsidRPr="00D10388" w:rsidRDefault="007A2262" w:rsidP="00E40CDE">
            <w:pPr>
              <w:pStyle w:val="CETBodytext"/>
              <w:ind w:right="-1"/>
              <w:rPr>
                <w:rFonts w:cs="Arial"/>
                <w:szCs w:val="18"/>
                <w:lang w:val="en-GB"/>
              </w:rPr>
            </w:pPr>
            <w:r w:rsidRPr="00D10388">
              <w:rPr>
                <w:lang w:val="en-GB"/>
              </w:rPr>
              <w:t>x</w:t>
            </w:r>
            <w:r w:rsidRPr="00D10388">
              <w:rPr>
                <w:vertAlign w:val="subscript"/>
                <w:lang w:val="en-GB"/>
              </w:rPr>
              <w:t>3</w:t>
            </w:r>
          </w:p>
        </w:tc>
        <w:tc>
          <w:tcPr>
            <w:tcW w:w="1204" w:type="dxa"/>
            <w:tcBorders>
              <w:top w:val="nil"/>
              <w:bottom w:val="single" w:sz="6" w:space="0" w:color="008000"/>
            </w:tcBorders>
            <w:shd w:val="clear" w:color="auto" w:fill="FFFFFF"/>
          </w:tcPr>
          <w:p w14:paraId="3E656EFB" w14:textId="6159830D" w:rsidR="00E40CDE" w:rsidRPr="00D10388" w:rsidRDefault="007A2262" w:rsidP="00E40CDE">
            <w:pPr>
              <w:pStyle w:val="CETBodytext"/>
              <w:ind w:right="-1"/>
              <w:rPr>
                <w:rFonts w:cs="Arial"/>
                <w:szCs w:val="18"/>
                <w:lang w:val="en-GB"/>
              </w:rPr>
            </w:pPr>
            <w:r w:rsidRPr="00D10388">
              <w:rPr>
                <w:rFonts w:cs="Arial"/>
                <w:szCs w:val="18"/>
                <w:lang w:val="en-GB"/>
              </w:rPr>
              <w:t>Fuel size</w:t>
            </w:r>
            <w:r w:rsidR="00235C48" w:rsidRPr="00D10388">
              <w:rPr>
                <w:rFonts w:cs="Arial"/>
                <w:szCs w:val="18"/>
                <w:lang w:val="en-GB"/>
              </w:rPr>
              <w:t xml:space="preserve"> (mm) </w:t>
            </w:r>
          </w:p>
        </w:tc>
        <w:tc>
          <w:tcPr>
            <w:tcW w:w="1205" w:type="dxa"/>
            <w:tcBorders>
              <w:top w:val="nil"/>
              <w:bottom w:val="single" w:sz="6" w:space="0" w:color="008000"/>
            </w:tcBorders>
            <w:shd w:val="clear" w:color="auto" w:fill="FFFFFF"/>
          </w:tcPr>
          <w:p w14:paraId="545F64C8" w14:textId="6C3DF31B" w:rsidR="00E40CDE" w:rsidRPr="00D10388" w:rsidRDefault="00E40CDE" w:rsidP="00235C48">
            <w:pPr>
              <w:pStyle w:val="CETBodytext"/>
              <w:ind w:right="-1"/>
              <w:jc w:val="center"/>
              <w:rPr>
                <w:rFonts w:cs="Arial"/>
                <w:szCs w:val="18"/>
                <w:lang w:val="en-GB"/>
              </w:rPr>
            </w:pPr>
            <w:r w:rsidRPr="00D10388">
              <w:rPr>
                <w:rFonts w:cs="Arial"/>
                <w:szCs w:val="18"/>
                <w:lang w:val="en-GB"/>
              </w:rPr>
              <w:t>T</w:t>
            </w:r>
            <w:r w:rsidR="00235C48" w:rsidRPr="00D10388">
              <w:rPr>
                <w:rFonts w:cs="Arial"/>
                <w:szCs w:val="18"/>
                <w:lang w:val="en-GB"/>
              </w:rPr>
              <w:t>(°C)</w:t>
            </w:r>
          </w:p>
        </w:tc>
        <w:tc>
          <w:tcPr>
            <w:tcW w:w="1205" w:type="dxa"/>
            <w:tcBorders>
              <w:top w:val="nil"/>
              <w:bottom w:val="single" w:sz="6" w:space="0" w:color="008000"/>
            </w:tcBorders>
            <w:shd w:val="clear" w:color="auto" w:fill="FFFFFF"/>
          </w:tcPr>
          <w:p w14:paraId="6AAA1F13" w14:textId="6AF53389" w:rsidR="00E40CDE" w:rsidRPr="00D10388" w:rsidRDefault="00E40CDE" w:rsidP="00E40CDE">
            <w:pPr>
              <w:pStyle w:val="CETBodytext"/>
              <w:ind w:right="-1"/>
              <w:rPr>
                <w:rFonts w:cs="Arial"/>
                <w:szCs w:val="18"/>
                <w:lang w:val="en-GB"/>
              </w:rPr>
            </w:pPr>
            <w:r w:rsidRPr="00D10388">
              <w:rPr>
                <w:rFonts w:cs="Arial"/>
                <w:szCs w:val="18"/>
                <w:lang w:val="en-GB"/>
              </w:rPr>
              <w:t>Bask</w:t>
            </w:r>
            <w:r w:rsidR="00235C48" w:rsidRPr="00D10388">
              <w:rPr>
                <w:rFonts w:cs="Arial"/>
                <w:szCs w:val="18"/>
                <w:lang w:val="en-GB"/>
              </w:rPr>
              <w:t>.</w:t>
            </w:r>
            <w:r w:rsidRPr="00D10388">
              <w:rPr>
                <w:rFonts w:cs="Arial"/>
                <w:szCs w:val="18"/>
                <w:lang w:val="en-GB"/>
              </w:rPr>
              <w:t xml:space="preserve"> size</w:t>
            </w:r>
            <w:r w:rsidR="00235C48" w:rsidRPr="00D10388">
              <w:rPr>
                <w:rFonts w:cs="Arial"/>
                <w:szCs w:val="18"/>
                <w:lang w:val="en-GB"/>
              </w:rPr>
              <w:t>(cm)</w:t>
            </w:r>
          </w:p>
        </w:tc>
        <w:tc>
          <w:tcPr>
            <w:tcW w:w="1205" w:type="dxa"/>
            <w:tcBorders>
              <w:top w:val="nil"/>
              <w:bottom w:val="single" w:sz="6" w:space="0" w:color="008000"/>
            </w:tcBorders>
            <w:shd w:val="clear" w:color="auto" w:fill="FFFFFF"/>
          </w:tcPr>
          <w:p w14:paraId="1B77149D" w14:textId="0B04A7CA" w:rsidR="00E40CDE" w:rsidRPr="00D10388" w:rsidRDefault="00235C48" w:rsidP="00E40CDE">
            <w:pPr>
              <w:pStyle w:val="CETBodytext"/>
              <w:ind w:right="-1"/>
              <w:rPr>
                <w:rFonts w:cs="Arial"/>
                <w:szCs w:val="18"/>
                <w:lang w:val="en-GB"/>
              </w:rPr>
            </w:pPr>
            <w:r w:rsidRPr="00D10388">
              <w:rPr>
                <w:rFonts w:cs="Arial"/>
                <w:szCs w:val="18"/>
                <w:lang w:val="en-GB"/>
              </w:rPr>
              <w:t xml:space="preserve">Ignit. / </w:t>
            </w:r>
            <w:r w:rsidR="00E40CDE" w:rsidRPr="00D10388">
              <w:rPr>
                <w:rFonts w:cs="Arial"/>
                <w:szCs w:val="18"/>
                <w:lang w:val="en-GB"/>
              </w:rPr>
              <w:t>t</w:t>
            </w:r>
            <w:r w:rsidR="00E40CDE" w:rsidRPr="00D10388">
              <w:rPr>
                <w:rFonts w:cs="Arial"/>
                <w:szCs w:val="18"/>
                <w:vertAlign w:val="subscript"/>
                <w:lang w:val="en-GB"/>
              </w:rPr>
              <w:t>cp</w:t>
            </w:r>
            <w:r w:rsidRPr="00D10388">
              <w:rPr>
                <w:rFonts w:cs="Arial"/>
                <w:szCs w:val="18"/>
                <w:lang w:val="en-GB"/>
              </w:rPr>
              <w:t xml:space="preserve"> (min)</w:t>
            </w:r>
          </w:p>
        </w:tc>
      </w:tr>
      <w:tr w:rsidR="00A75F4A" w:rsidRPr="00D10388" w14:paraId="5EE92B5E" w14:textId="5DB70A2C" w:rsidTr="00E40CDE">
        <w:trPr>
          <w:trHeight w:val="49"/>
        </w:trPr>
        <w:tc>
          <w:tcPr>
            <w:tcW w:w="1134" w:type="dxa"/>
            <w:tcBorders>
              <w:top w:val="single" w:sz="6" w:space="0" w:color="008000"/>
            </w:tcBorders>
            <w:shd w:val="clear" w:color="auto" w:fill="FFFFFF"/>
          </w:tcPr>
          <w:p w14:paraId="05D9E75B" w14:textId="4F1A86B7" w:rsidR="00A75F4A" w:rsidRPr="00D10388" w:rsidRDefault="00235C48" w:rsidP="00A70073">
            <w:pPr>
              <w:pStyle w:val="CETBodytext"/>
              <w:rPr>
                <w:lang w:val="en-GB"/>
              </w:rPr>
            </w:pPr>
            <w:r w:rsidRPr="00D10388">
              <w:rPr>
                <w:lang w:val="en-GB"/>
              </w:rPr>
              <w:t>1</w:t>
            </w:r>
          </w:p>
        </w:tc>
        <w:tc>
          <w:tcPr>
            <w:tcW w:w="709" w:type="dxa"/>
            <w:tcBorders>
              <w:top w:val="single" w:sz="6" w:space="0" w:color="008000"/>
            </w:tcBorders>
            <w:shd w:val="clear" w:color="auto" w:fill="FFFFFF"/>
          </w:tcPr>
          <w:p w14:paraId="138D3F11" w14:textId="47AEF1EC" w:rsidR="00A75F4A" w:rsidRPr="00D10388" w:rsidRDefault="00235C48" w:rsidP="00A70073">
            <w:pPr>
              <w:pStyle w:val="CETBodytext"/>
              <w:rPr>
                <w:lang w:val="en-GB"/>
              </w:rPr>
            </w:pPr>
            <w:r w:rsidRPr="00D10388">
              <w:rPr>
                <w:lang w:val="en-GB"/>
              </w:rPr>
              <w:t>0</w:t>
            </w:r>
          </w:p>
        </w:tc>
        <w:tc>
          <w:tcPr>
            <w:tcW w:w="709" w:type="dxa"/>
            <w:tcBorders>
              <w:top w:val="single" w:sz="6" w:space="0" w:color="008000"/>
            </w:tcBorders>
            <w:shd w:val="clear" w:color="auto" w:fill="FFFFFF"/>
          </w:tcPr>
          <w:p w14:paraId="2CB91AB6" w14:textId="1D83C39A" w:rsidR="00A75F4A" w:rsidRPr="00D10388" w:rsidRDefault="00235C48" w:rsidP="00A70073">
            <w:pPr>
              <w:pStyle w:val="CETBodytext"/>
              <w:rPr>
                <w:lang w:val="en-GB"/>
              </w:rPr>
            </w:pPr>
            <w:r w:rsidRPr="00D10388">
              <w:rPr>
                <w:lang w:val="en-GB"/>
              </w:rPr>
              <w:t>0</w:t>
            </w:r>
          </w:p>
        </w:tc>
        <w:tc>
          <w:tcPr>
            <w:tcW w:w="709" w:type="dxa"/>
            <w:tcBorders>
              <w:top w:val="single" w:sz="6" w:space="0" w:color="008000"/>
            </w:tcBorders>
            <w:shd w:val="clear" w:color="auto" w:fill="FFFFFF"/>
          </w:tcPr>
          <w:p w14:paraId="3AA1562C" w14:textId="62F3AEC1" w:rsidR="00A75F4A" w:rsidRPr="00D10388" w:rsidRDefault="00235C48" w:rsidP="00A70073">
            <w:pPr>
              <w:pStyle w:val="CETBodytext"/>
              <w:ind w:right="-1"/>
              <w:rPr>
                <w:rFonts w:cs="Arial"/>
                <w:szCs w:val="18"/>
                <w:lang w:val="en-GB"/>
              </w:rPr>
            </w:pPr>
            <w:r w:rsidRPr="00D10388">
              <w:rPr>
                <w:rFonts w:cs="Arial"/>
                <w:szCs w:val="18"/>
                <w:lang w:val="en-GB"/>
              </w:rPr>
              <w:t>0</w:t>
            </w:r>
          </w:p>
        </w:tc>
        <w:tc>
          <w:tcPr>
            <w:tcW w:w="1204" w:type="dxa"/>
            <w:tcBorders>
              <w:top w:val="single" w:sz="6" w:space="0" w:color="008000"/>
            </w:tcBorders>
            <w:shd w:val="clear" w:color="auto" w:fill="FFFFFF"/>
          </w:tcPr>
          <w:p w14:paraId="5A73B238" w14:textId="75C9426D" w:rsidR="00A75F4A" w:rsidRPr="00D10388" w:rsidRDefault="00235C48" w:rsidP="00A70073">
            <w:pPr>
              <w:pStyle w:val="CETBodytext"/>
              <w:ind w:right="-1"/>
              <w:rPr>
                <w:rFonts w:cs="Arial"/>
                <w:szCs w:val="18"/>
                <w:lang w:val="en-GB"/>
              </w:rPr>
            </w:pPr>
            <w:r w:rsidRPr="00D10388">
              <w:rPr>
                <w:rFonts w:cs="Arial"/>
                <w:szCs w:val="18"/>
                <w:lang w:val="en-GB"/>
              </w:rPr>
              <w:t>Medium (5)</w:t>
            </w:r>
          </w:p>
        </w:tc>
        <w:tc>
          <w:tcPr>
            <w:tcW w:w="1205" w:type="dxa"/>
            <w:tcBorders>
              <w:top w:val="single" w:sz="6" w:space="0" w:color="008000"/>
            </w:tcBorders>
            <w:shd w:val="clear" w:color="auto" w:fill="FFFFFF"/>
          </w:tcPr>
          <w:p w14:paraId="5442800C" w14:textId="028FC625" w:rsidR="00A75F4A" w:rsidRPr="00D10388" w:rsidRDefault="00235C48" w:rsidP="00A70073">
            <w:pPr>
              <w:pStyle w:val="CETBodytext"/>
              <w:ind w:right="-1"/>
              <w:rPr>
                <w:rFonts w:cs="Arial"/>
                <w:szCs w:val="18"/>
                <w:lang w:val="en-GB"/>
              </w:rPr>
            </w:pPr>
            <w:r w:rsidRPr="00D10388">
              <w:rPr>
                <w:rFonts w:cs="Arial"/>
                <w:szCs w:val="18"/>
                <w:lang w:val="en-GB"/>
              </w:rPr>
              <w:t>300</w:t>
            </w:r>
          </w:p>
        </w:tc>
        <w:tc>
          <w:tcPr>
            <w:tcW w:w="1205" w:type="dxa"/>
            <w:tcBorders>
              <w:top w:val="single" w:sz="6" w:space="0" w:color="008000"/>
            </w:tcBorders>
            <w:shd w:val="clear" w:color="auto" w:fill="FFFFFF"/>
          </w:tcPr>
          <w:p w14:paraId="16373496" w14:textId="057FE2CB" w:rsidR="00A75F4A" w:rsidRPr="00D10388" w:rsidRDefault="00235C48" w:rsidP="00A70073">
            <w:pPr>
              <w:pStyle w:val="CETBodytext"/>
              <w:ind w:right="-1"/>
              <w:rPr>
                <w:rFonts w:cs="Arial"/>
                <w:szCs w:val="18"/>
                <w:lang w:val="en-GB"/>
              </w:rPr>
            </w:pPr>
            <w:r w:rsidRPr="00D10388">
              <w:rPr>
                <w:rFonts w:cs="Arial"/>
                <w:szCs w:val="18"/>
                <w:lang w:val="en-GB"/>
              </w:rPr>
              <w:t>10</w:t>
            </w:r>
          </w:p>
        </w:tc>
        <w:tc>
          <w:tcPr>
            <w:tcW w:w="1205" w:type="dxa"/>
            <w:tcBorders>
              <w:top w:val="single" w:sz="6" w:space="0" w:color="008000"/>
            </w:tcBorders>
            <w:shd w:val="clear" w:color="auto" w:fill="FFFFFF"/>
          </w:tcPr>
          <w:p w14:paraId="520E1CE4" w14:textId="19BD3055" w:rsidR="00A75F4A" w:rsidRPr="00D10388" w:rsidRDefault="00235C48" w:rsidP="00A70073">
            <w:pPr>
              <w:pStyle w:val="CETBodytext"/>
              <w:ind w:right="-1"/>
              <w:rPr>
                <w:rFonts w:cs="Arial"/>
                <w:szCs w:val="18"/>
                <w:lang w:val="en-GB"/>
              </w:rPr>
            </w:pPr>
            <w:r w:rsidRPr="00D10388">
              <w:rPr>
                <w:rFonts w:cs="Arial"/>
                <w:szCs w:val="18"/>
                <w:lang w:val="en-GB"/>
              </w:rPr>
              <w:t>68.7</w:t>
            </w:r>
          </w:p>
        </w:tc>
      </w:tr>
      <w:tr w:rsidR="00235C48" w:rsidRPr="00D10388" w14:paraId="4181BDD3" w14:textId="027727AE" w:rsidTr="00A75F4A">
        <w:tc>
          <w:tcPr>
            <w:tcW w:w="1134" w:type="dxa"/>
            <w:shd w:val="clear" w:color="auto" w:fill="FFFFFF"/>
          </w:tcPr>
          <w:p w14:paraId="32319CED" w14:textId="4CA5B64A" w:rsidR="00235C48" w:rsidRPr="00D10388" w:rsidRDefault="00235C48" w:rsidP="00235C48">
            <w:pPr>
              <w:pStyle w:val="CETBodytext"/>
              <w:ind w:right="-1"/>
              <w:rPr>
                <w:rFonts w:cs="Arial"/>
                <w:szCs w:val="18"/>
                <w:lang w:val="en-GB"/>
              </w:rPr>
            </w:pPr>
            <w:r w:rsidRPr="00D10388">
              <w:rPr>
                <w:rFonts w:cs="Arial"/>
                <w:szCs w:val="18"/>
                <w:lang w:val="en-GB"/>
              </w:rPr>
              <w:t>2</w:t>
            </w:r>
          </w:p>
        </w:tc>
        <w:tc>
          <w:tcPr>
            <w:tcW w:w="709" w:type="dxa"/>
            <w:shd w:val="clear" w:color="auto" w:fill="FFFFFF"/>
          </w:tcPr>
          <w:p w14:paraId="345DF987" w14:textId="52A961B6"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709" w:type="dxa"/>
            <w:shd w:val="clear" w:color="auto" w:fill="FFFFFF"/>
          </w:tcPr>
          <w:p w14:paraId="143A8A2F" w14:textId="471660C7"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709" w:type="dxa"/>
            <w:shd w:val="clear" w:color="auto" w:fill="FFFFFF"/>
          </w:tcPr>
          <w:p w14:paraId="59B29D0B" w14:textId="408B8E15"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1204" w:type="dxa"/>
            <w:shd w:val="clear" w:color="auto" w:fill="FFFFFF"/>
          </w:tcPr>
          <w:p w14:paraId="343F8936" w14:textId="5C6F40DF" w:rsidR="00235C48" w:rsidRPr="00D10388" w:rsidRDefault="00235C48" w:rsidP="00235C48">
            <w:pPr>
              <w:pStyle w:val="CETBodytext"/>
              <w:ind w:right="-1"/>
              <w:rPr>
                <w:rFonts w:cs="Arial"/>
                <w:szCs w:val="18"/>
                <w:lang w:val="en-GB"/>
              </w:rPr>
            </w:pPr>
            <w:r w:rsidRPr="00D10388">
              <w:rPr>
                <w:rFonts w:cs="Arial"/>
                <w:szCs w:val="18"/>
                <w:lang w:val="en-GB"/>
              </w:rPr>
              <w:t>Medium (5)</w:t>
            </w:r>
          </w:p>
        </w:tc>
        <w:tc>
          <w:tcPr>
            <w:tcW w:w="1205" w:type="dxa"/>
            <w:shd w:val="clear" w:color="auto" w:fill="FFFFFF"/>
          </w:tcPr>
          <w:p w14:paraId="24D3F442" w14:textId="33188574" w:rsidR="00235C48" w:rsidRPr="00D10388" w:rsidRDefault="00235C48" w:rsidP="00235C48">
            <w:pPr>
              <w:pStyle w:val="CETBodytext"/>
              <w:ind w:right="-1"/>
              <w:rPr>
                <w:rFonts w:cs="Arial"/>
                <w:szCs w:val="18"/>
                <w:lang w:val="en-GB"/>
              </w:rPr>
            </w:pPr>
            <w:r w:rsidRPr="00D10388">
              <w:rPr>
                <w:rFonts w:cs="Arial"/>
                <w:szCs w:val="18"/>
                <w:lang w:val="en-GB"/>
              </w:rPr>
              <w:t>300</w:t>
            </w:r>
          </w:p>
        </w:tc>
        <w:tc>
          <w:tcPr>
            <w:tcW w:w="1205" w:type="dxa"/>
            <w:shd w:val="clear" w:color="auto" w:fill="FFFFFF"/>
          </w:tcPr>
          <w:p w14:paraId="724E50E1" w14:textId="4EC46FD5" w:rsidR="00235C48" w:rsidRPr="00D10388" w:rsidRDefault="00235C48" w:rsidP="00235C48">
            <w:pPr>
              <w:pStyle w:val="CETBodytext"/>
              <w:ind w:right="-1"/>
              <w:rPr>
                <w:rFonts w:cs="Arial"/>
                <w:szCs w:val="18"/>
                <w:lang w:val="en-GB"/>
              </w:rPr>
            </w:pPr>
            <w:r w:rsidRPr="00D10388">
              <w:rPr>
                <w:rFonts w:cs="Arial"/>
                <w:szCs w:val="18"/>
                <w:lang w:val="en-GB"/>
              </w:rPr>
              <w:t>10</w:t>
            </w:r>
          </w:p>
        </w:tc>
        <w:tc>
          <w:tcPr>
            <w:tcW w:w="1205" w:type="dxa"/>
            <w:shd w:val="clear" w:color="auto" w:fill="FFFFFF"/>
          </w:tcPr>
          <w:p w14:paraId="3039F150" w14:textId="1B625437" w:rsidR="00235C48" w:rsidRPr="00D10388" w:rsidRDefault="00235C48" w:rsidP="00235C48">
            <w:pPr>
              <w:pStyle w:val="CETBodytext"/>
              <w:ind w:right="-1"/>
              <w:rPr>
                <w:rFonts w:cs="Arial"/>
                <w:szCs w:val="18"/>
                <w:lang w:val="en-GB"/>
              </w:rPr>
            </w:pPr>
            <w:r w:rsidRPr="00D10388">
              <w:rPr>
                <w:rFonts w:cs="Arial"/>
                <w:szCs w:val="18"/>
                <w:lang w:val="en-GB"/>
              </w:rPr>
              <w:t>62.5</w:t>
            </w:r>
          </w:p>
        </w:tc>
      </w:tr>
      <w:tr w:rsidR="00235C48" w:rsidRPr="00D10388" w14:paraId="3A5D1F4C" w14:textId="77777777" w:rsidTr="00A75F4A">
        <w:tc>
          <w:tcPr>
            <w:tcW w:w="1134" w:type="dxa"/>
            <w:shd w:val="clear" w:color="auto" w:fill="FFFFFF"/>
          </w:tcPr>
          <w:p w14:paraId="274C4C92" w14:textId="0C4F20C8" w:rsidR="00235C48" w:rsidRPr="00D10388" w:rsidRDefault="00235C48" w:rsidP="00235C48">
            <w:pPr>
              <w:pStyle w:val="CETBodytext"/>
              <w:ind w:right="-1"/>
              <w:rPr>
                <w:rFonts w:cs="Arial"/>
                <w:szCs w:val="18"/>
                <w:lang w:val="en-GB"/>
              </w:rPr>
            </w:pPr>
            <w:r w:rsidRPr="00D10388">
              <w:rPr>
                <w:rFonts w:cs="Arial"/>
                <w:szCs w:val="18"/>
                <w:lang w:val="en-GB"/>
              </w:rPr>
              <w:t>3</w:t>
            </w:r>
          </w:p>
        </w:tc>
        <w:tc>
          <w:tcPr>
            <w:tcW w:w="709" w:type="dxa"/>
            <w:shd w:val="clear" w:color="auto" w:fill="FFFFFF"/>
          </w:tcPr>
          <w:p w14:paraId="352236A9" w14:textId="44D682A9"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709" w:type="dxa"/>
            <w:shd w:val="clear" w:color="auto" w:fill="FFFFFF"/>
          </w:tcPr>
          <w:p w14:paraId="7C97BF04" w14:textId="69394432"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709" w:type="dxa"/>
            <w:shd w:val="clear" w:color="auto" w:fill="FFFFFF"/>
          </w:tcPr>
          <w:p w14:paraId="6488038C" w14:textId="54FA33CA"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1204" w:type="dxa"/>
            <w:shd w:val="clear" w:color="auto" w:fill="FFFFFF"/>
          </w:tcPr>
          <w:p w14:paraId="50FCFEE1" w14:textId="2B1122C6" w:rsidR="00235C48" w:rsidRPr="00D10388" w:rsidRDefault="00235C48" w:rsidP="00235C48">
            <w:pPr>
              <w:pStyle w:val="CETBodytext"/>
              <w:ind w:right="-1"/>
              <w:rPr>
                <w:rFonts w:cs="Arial"/>
                <w:szCs w:val="18"/>
                <w:lang w:val="en-GB"/>
              </w:rPr>
            </w:pPr>
            <w:r w:rsidRPr="00D10388">
              <w:rPr>
                <w:rFonts w:cs="Arial"/>
                <w:szCs w:val="18"/>
                <w:lang w:val="en-GB"/>
              </w:rPr>
              <w:t>Medium (5)</w:t>
            </w:r>
          </w:p>
        </w:tc>
        <w:tc>
          <w:tcPr>
            <w:tcW w:w="1205" w:type="dxa"/>
            <w:shd w:val="clear" w:color="auto" w:fill="FFFFFF"/>
          </w:tcPr>
          <w:p w14:paraId="14CAE298" w14:textId="4B6FC0AC" w:rsidR="00235C48" w:rsidRPr="00D10388" w:rsidRDefault="00235C48" w:rsidP="00235C48">
            <w:pPr>
              <w:pStyle w:val="CETBodytext"/>
              <w:ind w:right="-1"/>
              <w:rPr>
                <w:rFonts w:cs="Arial"/>
                <w:szCs w:val="18"/>
                <w:lang w:val="en-GB"/>
              </w:rPr>
            </w:pPr>
            <w:r w:rsidRPr="00D10388">
              <w:rPr>
                <w:rFonts w:cs="Arial"/>
                <w:szCs w:val="18"/>
                <w:lang w:val="en-GB"/>
              </w:rPr>
              <w:t>300</w:t>
            </w:r>
          </w:p>
        </w:tc>
        <w:tc>
          <w:tcPr>
            <w:tcW w:w="1205" w:type="dxa"/>
            <w:shd w:val="clear" w:color="auto" w:fill="FFFFFF"/>
          </w:tcPr>
          <w:p w14:paraId="4663A76D" w14:textId="193F6FE9" w:rsidR="00235C48" w:rsidRPr="00D10388" w:rsidRDefault="00235C48" w:rsidP="00235C48">
            <w:pPr>
              <w:pStyle w:val="CETBodytext"/>
              <w:ind w:right="-1"/>
              <w:rPr>
                <w:rFonts w:cs="Arial"/>
                <w:szCs w:val="18"/>
                <w:lang w:val="en-GB"/>
              </w:rPr>
            </w:pPr>
            <w:r w:rsidRPr="00D10388">
              <w:rPr>
                <w:rFonts w:cs="Arial"/>
                <w:szCs w:val="18"/>
                <w:lang w:val="en-GB"/>
              </w:rPr>
              <w:t>10</w:t>
            </w:r>
          </w:p>
        </w:tc>
        <w:tc>
          <w:tcPr>
            <w:tcW w:w="1205" w:type="dxa"/>
            <w:shd w:val="clear" w:color="auto" w:fill="FFFFFF"/>
          </w:tcPr>
          <w:p w14:paraId="781AE200" w14:textId="1D821693" w:rsidR="00235C48" w:rsidRPr="00D10388" w:rsidRDefault="00235C48" w:rsidP="00235C48">
            <w:pPr>
              <w:pStyle w:val="CETBodytext"/>
              <w:ind w:right="-1"/>
              <w:rPr>
                <w:rFonts w:cs="Arial"/>
                <w:szCs w:val="18"/>
                <w:lang w:val="en-GB"/>
              </w:rPr>
            </w:pPr>
            <w:r w:rsidRPr="00D10388">
              <w:rPr>
                <w:rFonts w:cs="Arial"/>
                <w:szCs w:val="18"/>
                <w:lang w:val="en-GB"/>
              </w:rPr>
              <w:t>70.4</w:t>
            </w:r>
          </w:p>
        </w:tc>
      </w:tr>
      <w:tr w:rsidR="00235C48" w:rsidRPr="00D10388" w14:paraId="6F1E3631" w14:textId="77777777" w:rsidTr="00A75F4A">
        <w:tc>
          <w:tcPr>
            <w:tcW w:w="1134" w:type="dxa"/>
            <w:shd w:val="clear" w:color="auto" w:fill="FFFFFF"/>
          </w:tcPr>
          <w:p w14:paraId="218685D8" w14:textId="22A8C82A" w:rsidR="00235C48" w:rsidRPr="00D10388" w:rsidRDefault="00235C48" w:rsidP="00235C48">
            <w:pPr>
              <w:pStyle w:val="CETBodytext"/>
              <w:ind w:right="-1"/>
              <w:rPr>
                <w:rFonts w:cs="Arial"/>
                <w:szCs w:val="18"/>
                <w:lang w:val="en-GB"/>
              </w:rPr>
            </w:pPr>
            <w:r w:rsidRPr="00D10388">
              <w:rPr>
                <w:rFonts w:cs="Arial"/>
                <w:szCs w:val="18"/>
                <w:lang w:val="en-GB"/>
              </w:rPr>
              <w:t>4</w:t>
            </w:r>
          </w:p>
        </w:tc>
        <w:tc>
          <w:tcPr>
            <w:tcW w:w="709" w:type="dxa"/>
            <w:shd w:val="clear" w:color="auto" w:fill="FFFFFF"/>
          </w:tcPr>
          <w:p w14:paraId="40C98423" w14:textId="2D05C844" w:rsidR="00235C48" w:rsidRPr="00D10388" w:rsidRDefault="00235C48" w:rsidP="00235C48">
            <w:pPr>
              <w:pStyle w:val="CETBodytext"/>
              <w:ind w:right="-1"/>
              <w:rPr>
                <w:rFonts w:cs="Arial"/>
                <w:szCs w:val="18"/>
                <w:lang w:val="en-GB"/>
              </w:rPr>
            </w:pPr>
            <w:r w:rsidRPr="00D10388">
              <w:rPr>
                <w:rFonts w:cs="Arial"/>
                <w:szCs w:val="18"/>
                <w:lang w:val="en-GB"/>
              </w:rPr>
              <w:t>0.5</w:t>
            </w:r>
          </w:p>
        </w:tc>
        <w:tc>
          <w:tcPr>
            <w:tcW w:w="709" w:type="dxa"/>
            <w:shd w:val="clear" w:color="auto" w:fill="FFFFFF"/>
          </w:tcPr>
          <w:p w14:paraId="0DDF164C" w14:textId="60E2D653" w:rsidR="00235C48" w:rsidRPr="00D10388" w:rsidRDefault="00235C48" w:rsidP="00235C48">
            <w:pPr>
              <w:pStyle w:val="CETBodytext"/>
              <w:ind w:right="-1"/>
              <w:rPr>
                <w:rFonts w:cs="Arial"/>
                <w:szCs w:val="18"/>
                <w:lang w:val="en-GB"/>
              </w:rPr>
            </w:pPr>
            <w:r w:rsidRPr="00D10388">
              <w:rPr>
                <w:rFonts w:cs="Arial"/>
                <w:szCs w:val="18"/>
                <w:lang w:val="en-GB"/>
              </w:rPr>
              <w:t>0.866</w:t>
            </w:r>
          </w:p>
        </w:tc>
        <w:tc>
          <w:tcPr>
            <w:tcW w:w="709" w:type="dxa"/>
            <w:shd w:val="clear" w:color="auto" w:fill="FFFFFF"/>
          </w:tcPr>
          <w:p w14:paraId="42672472" w14:textId="071885E3"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1204" w:type="dxa"/>
            <w:shd w:val="clear" w:color="auto" w:fill="FFFFFF"/>
          </w:tcPr>
          <w:p w14:paraId="09EE0428" w14:textId="46C65F60" w:rsidR="00235C48" w:rsidRPr="00D10388" w:rsidRDefault="00235C48" w:rsidP="00235C48">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0B2224BD" w14:textId="056500B0" w:rsidR="00235C48" w:rsidRPr="00D10388" w:rsidRDefault="00235C48" w:rsidP="00235C48">
            <w:pPr>
              <w:pStyle w:val="CETBodytext"/>
              <w:ind w:right="-1"/>
              <w:rPr>
                <w:rFonts w:cs="Arial"/>
                <w:szCs w:val="18"/>
                <w:lang w:val="en-GB"/>
              </w:rPr>
            </w:pPr>
            <w:r w:rsidRPr="00D10388">
              <w:rPr>
                <w:rFonts w:cs="Arial"/>
                <w:szCs w:val="18"/>
                <w:lang w:val="en-GB"/>
              </w:rPr>
              <w:t>400</w:t>
            </w:r>
          </w:p>
        </w:tc>
        <w:tc>
          <w:tcPr>
            <w:tcW w:w="1205" w:type="dxa"/>
            <w:shd w:val="clear" w:color="auto" w:fill="FFFFFF"/>
          </w:tcPr>
          <w:p w14:paraId="37E80E99" w14:textId="6D086A22" w:rsidR="00235C48" w:rsidRPr="00D10388" w:rsidRDefault="00235C48" w:rsidP="00235C48">
            <w:pPr>
              <w:pStyle w:val="CETBodytext"/>
              <w:ind w:right="-1"/>
              <w:rPr>
                <w:rFonts w:cs="Arial"/>
                <w:szCs w:val="18"/>
                <w:lang w:val="en-GB"/>
              </w:rPr>
            </w:pPr>
            <w:r w:rsidRPr="00D10388">
              <w:rPr>
                <w:rFonts w:cs="Arial"/>
                <w:szCs w:val="18"/>
                <w:lang w:val="en-GB"/>
              </w:rPr>
              <w:t>10</w:t>
            </w:r>
          </w:p>
        </w:tc>
        <w:tc>
          <w:tcPr>
            <w:tcW w:w="1205" w:type="dxa"/>
            <w:shd w:val="clear" w:color="auto" w:fill="FFFFFF"/>
          </w:tcPr>
          <w:p w14:paraId="5C84D64D" w14:textId="2464879C" w:rsidR="00235C48" w:rsidRPr="00D10388" w:rsidRDefault="00E37BD0" w:rsidP="00235C48">
            <w:pPr>
              <w:pStyle w:val="CETBodytext"/>
              <w:ind w:right="-1"/>
              <w:rPr>
                <w:rFonts w:cs="Arial"/>
                <w:szCs w:val="18"/>
                <w:lang w:val="en-GB"/>
              </w:rPr>
            </w:pPr>
            <w:r w:rsidRPr="00D10388">
              <w:rPr>
                <w:rFonts w:cs="Arial"/>
                <w:szCs w:val="18"/>
                <w:lang w:val="en-GB"/>
              </w:rPr>
              <w:t>93.2</w:t>
            </w:r>
          </w:p>
        </w:tc>
      </w:tr>
      <w:tr w:rsidR="00235C48" w:rsidRPr="00D10388" w14:paraId="4B3B8A08" w14:textId="77777777" w:rsidTr="00A75F4A">
        <w:tc>
          <w:tcPr>
            <w:tcW w:w="1134" w:type="dxa"/>
            <w:shd w:val="clear" w:color="auto" w:fill="FFFFFF"/>
          </w:tcPr>
          <w:p w14:paraId="3DCE30BB" w14:textId="339F775D" w:rsidR="00235C48" w:rsidRPr="00D10388" w:rsidRDefault="00235C48" w:rsidP="00235C48">
            <w:pPr>
              <w:pStyle w:val="CETBodytext"/>
              <w:ind w:right="-1"/>
              <w:rPr>
                <w:rFonts w:cs="Arial"/>
                <w:szCs w:val="18"/>
                <w:lang w:val="en-GB"/>
              </w:rPr>
            </w:pPr>
            <w:r w:rsidRPr="00D10388">
              <w:rPr>
                <w:rFonts w:cs="Arial"/>
                <w:szCs w:val="18"/>
                <w:lang w:val="en-GB"/>
              </w:rPr>
              <w:t>5</w:t>
            </w:r>
          </w:p>
        </w:tc>
        <w:tc>
          <w:tcPr>
            <w:tcW w:w="709" w:type="dxa"/>
            <w:shd w:val="clear" w:color="auto" w:fill="FFFFFF"/>
          </w:tcPr>
          <w:p w14:paraId="2A304A87" w14:textId="6B2B28B3" w:rsidR="00235C48" w:rsidRPr="00D10388" w:rsidRDefault="00235C48" w:rsidP="00235C48">
            <w:pPr>
              <w:pStyle w:val="CETBodytext"/>
              <w:ind w:right="-1"/>
              <w:rPr>
                <w:rFonts w:cs="Arial"/>
                <w:szCs w:val="18"/>
                <w:lang w:val="en-GB"/>
              </w:rPr>
            </w:pPr>
            <w:r w:rsidRPr="00D10388">
              <w:rPr>
                <w:rFonts w:cs="Arial"/>
                <w:szCs w:val="18"/>
                <w:lang w:val="en-GB"/>
              </w:rPr>
              <w:t>1</w:t>
            </w:r>
          </w:p>
        </w:tc>
        <w:tc>
          <w:tcPr>
            <w:tcW w:w="709" w:type="dxa"/>
            <w:shd w:val="clear" w:color="auto" w:fill="FFFFFF"/>
          </w:tcPr>
          <w:p w14:paraId="19A7F9A8" w14:textId="79451254"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709" w:type="dxa"/>
            <w:shd w:val="clear" w:color="auto" w:fill="FFFFFF"/>
          </w:tcPr>
          <w:p w14:paraId="5C2168FD" w14:textId="52D503FF"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1204" w:type="dxa"/>
            <w:shd w:val="clear" w:color="auto" w:fill="FFFFFF"/>
          </w:tcPr>
          <w:p w14:paraId="08C58C47" w14:textId="7160B839" w:rsidR="00235C48" w:rsidRPr="00D10388" w:rsidRDefault="00235C48" w:rsidP="00235C48">
            <w:pPr>
              <w:pStyle w:val="CETBodytext"/>
              <w:ind w:right="-1"/>
              <w:rPr>
                <w:rFonts w:cs="Arial"/>
                <w:szCs w:val="18"/>
                <w:lang w:val="en-GB"/>
              </w:rPr>
            </w:pPr>
            <w:r w:rsidRPr="00D10388">
              <w:rPr>
                <w:rFonts w:cs="Arial"/>
                <w:szCs w:val="18"/>
                <w:lang w:val="en-GB"/>
              </w:rPr>
              <w:t>Large (9)</w:t>
            </w:r>
          </w:p>
        </w:tc>
        <w:tc>
          <w:tcPr>
            <w:tcW w:w="1205" w:type="dxa"/>
            <w:shd w:val="clear" w:color="auto" w:fill="FFFFFF"/>
          </w:tcPr>
          <w:p w14:paraId="1DA33585" w14:textId="104EBBA8" w:rsidR="00235C48" w:rsidRPr="00D10388" w:rsidRDefault="00235C48" w:rsidP="00235C48">
            <w:pPr>
              <w:pStyle w:val="CETBodytext"/>
              <w:ind w:right="-1"/>
              <w:rPr>
                <w:rFonts w:cs="Arial"/>
                <w:szCs w:val="18"/>
                <w:lang w:val="en-GB"/>
              </w:rPr>
            </w:pPr>
            <w:r w:rsidRPr="00D10388">
              <w:rPr>
                <w:rFonts w:cs="Arial"/>
                <w:szCs w:val="18"/>
                <w:lang w:val="en-GB"/>
              </w:rPr>
              <w:t>300</w:t>
            </w:r>
          </w:p>
        </w:tc>
        <w:tc>
          <w:tcPr>
            <w:tcW w:w="1205" w:type="dxa"/>
            <w:shd w:val="clear" w:color="auto" w:fill="FFFFFF"/>
          </w:tcPr>
          <w:p w14:paraId="1948EBDC" w14:textId="0619C2D2" w:rsidR="00235C48" w:rsidRPr="00D10388" w:rsidRDefault="00235C48" w:rsidP="00235C48">
            <w:pPr>
              <w:pStyle w:val="CETBodytext"/>
              <w:ind w:right="-1"/>
              <w:rPr>
                <w:rFonts w:cs="Arial"/>
                <w:szCs w:val="18"/>
                <w:lang w:val="en-GB"/>
              </w:rPr>
            </w:pPr>
            <w:r w:rsidRPr="00D10388">
              <w:rPr>
                <w:rFonts w:cs="Arial"/>
                <w:szCs w:val="18"/>
                <w:lang w:val="en-GB"/>
              </w:rPr>
              <w:t>10</w:t>
            </w:r>
          </w:p>
        </w:tc>
        <w:tc>
          <w:tcPr>
            <w:tcW w:w="1205" w:type="dxa"/>
            <w:shd w:val="clear" w:color="auto" w:fill="FFFFFF"/>
          </w:tcPr>
          <w:p w14:paraId="1D8D27C6" w14:textId="2F038914" w:rsidR="00235C48" w:rsidRPr="00D10388" w:rsidRDefault="00E37BD0" w:rsidP="00235C48">
            <w:pPr>
              <w:pStyle w:val="CETBodytext"/>
              <w:ind w:right="-1"/>
              <w:rPr>
                <w:rFonts w:cs="Arial"/>
                <w:szCs w:val="18"/>
                <w:lang w:val="en-GB"/>
              </w:rPr>
            </w:pPr>
            <w:r w:rsidRPr="00D10388">
              <w:rPr>
                <w:rFonts w:cs="Arial"/>
                <w:szCs w:val="18"/>
                <w:lang w:val="en-GB"/>
              </w:rPr>
              <w:t>10.8</w:t>
            </w:r>
          </w:p>
        </w:tc>
      </w:tr>
      <w:tr w:rsidR="00235C48" w:rsidRPr="00D10388" w14:paraId="6FAC6289" w14:textId="77777777" w:rsidTr="00A75F4A">
        <w:tc>
          <w:tcPr>
            <w:tcW w:w="1134" w:type="dxa"/>
            <w:shd w:val="clear" w:color="auto" w:fill="FFFFFF"/>
          </w:tcPr>
          <w:p w14:paraId="462B2A1A" w14:textId="07B2FB1D" w:rsidR="00235C48" w:rsidRPr="00D10388" w:rsidRDefault="00235C48" w:rsidP="00235C48">
            <w:pPr>
              <w:pStyle w:val="CETBodytext"/>
              <w:ind w:right="-1"/>
              <w:rPr>
                <w:rFonts w:cs="Arial"/>
                <w:szCs w:val="18"/>
                <w:lang w:val="en-GB"/>
              </w:rPr>
            </w:pPr>
            <w:r w:rsidRPr="00D10388">
              <w:rPr>
                <w:rFonts w:cs="Arial"/>
                <w:szCs w:val="18"/>
                <w:lang w:val="en-GB"/>
              </w:rPr>
              <w:t>6</w:t>
            </w:r>
          </w:p>
        </w:tc>
        <w:tc>
          <w:tcPr>
            <w:tcW w:w="709" w:type="dxa"/>
            <w:shd w:val="clear" w:color="auto" w:fill="FFFFFF"/>
          </w:tcPr>
          <w:p w14:paraId="00FAEF15" w14:textId="3727E7C6" w:rsidR="00235C48" w:rsidRPr="00D10388" w:rsidRDefault="00235C48" w:rsidP="00235C48">
            <w:pPr>
              <w:pStyle w:val="CETBodytext"/>
              <w:ind w:right="-1"/>
              <w:rPr>
                <w:rFonts w:cs="Arial"/>
                <w:szCs w:val="18"/>
                <w:lang w:val="en-GB"/>
              </w:rPr>
            </w:pPr>
            <w:r w:rsidRPr="00D10388">
              <w:rPr>
                <w:rFonts w:cs="Arial"/>
                <w:szCs w:val="18"/>
                <w:lang w:val="en-GB"/>
              </w:rPr>
              <w:t>-1</w:t>
            </w:r>
          </w:p>
        </w:tc>
        <w:tc>
          <w:tcPr>
            <w:tcW w:w="709" w:type="dxa"/>
            <w:shd w:val="clear" w:color="auto" w:fill="FFFFFF"/>
          </w:tcPr>
          <w:p w14:paraId="35B29E9E" w14:textId="69DD1B19"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709" w:type="dxa"/>
            <w:shd w:val="clear" w:color="auto" w:fill="FFFFFF"/>
          </w:tcPr>
          <w:p w14:paraId="207BF0C3" w14:textId="51071FC2"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1204" w:type="dxa"/>
            <w:shd w:val="clear" w:color="auto" w:fill="FFFFFF"/>
          </w:tcPr>
          <w:p w14:paraId="4DD03438" w14:textId="6BCA353A" w:rsidR="00235C48" w:rsidRPr="00D10388" w:rsidRDefault="00235C48" w:rsidP="00235C48">
            <w:pPr>
              <w:pStyle w:val="CETBodytext"/>
              <w:ind w:right="-1"/>
              <w:rPr>
                <w:rFonts w:cs="Arial"/>
                <w:szCs w:val="18"/>
                <w:lang w:val="en-GB"/>
              </w:rPr>
            </w:pPr>
            <w:r w:rsidRPr="00D10388">
              <w:rPr>
                <w:rFonts w:cs="Arial"/>
                <w:szCs w:val="18"/>
                <w:lang w:val="en-GB"/>
              </w:rPr>
              <w:t>Fine (1)</w:t>
            </w:r>
          </w:p>
        </w:tc>
        <w:tc>
          <w:tcPr>
            <w:tcW w:w="1205" w:type="dxa"/>
            <w:shd w:val="clear" w:color="auto" w:fill="FFFFFF"/>
          </w:tcPr>
          <w:p w14:paraId="477017D8" w14:textId="448FBF9C" w:rsidR="00235C48" w:rsidRPr="00D10388" w:rsidRDefault="00235C48" w:rsidP="00235C48">
            <w:pPr>
              <w:pStyle w:val="CETBodytext"/>
              <w:ind w:right="-1"/>
              <w:rPr>
                <w:rFonts w:cs="Arial"/>
                <w:szCs w:val="18"/>
                <w:lang w:val="en-GB"/>
              </w:rPr>
            </w:pPr>
            <w:r w:rsidRPr="00D10388">
              <w:rPr>
                <w:rFonts w:cs="Arial"/>
                <w:szCs w:val="18"/>
                <w:lang w:val="en-GB"/>
              </w:rPr>
              <w:t>300</w:t>
            </w:r>
          </w:p>
        </w:tc>
        <w:tc>
          <w:tcPr>
            <w:tcW w:w="1205" w:type="dxa"/>
            <w:shd w:val="clear" w:color="auto" w:fill="FFFFFF"/>
          </w:tcPr>
          <w:p w14:paraId="324F8898" w14:textId="13E02F54" w:rsidR="00235C48" w:rsidRPr="00D10388" w:rsidRDefault="00235C48" w:rsidP="00235C48">
            <w:pPr>
              <w:pStyle w:val="CETBodytext"/>
              <w:ind w:right="-1"/>
              <w:rPr>
                <w:rFonts w:cs="Arial"/>
                <w:szCs w:val="18"/>
                <w:lang w:val="en-GB"/>
              </w:rPr>
            </w:pPr>
            <w:r w:rsidRPr="00D10388">
              <w:rPr>
                <w:rFonts w:cs="Arial"/>
                <w:szCs w:val="18"/>
                <w:lang w:val="en-GB"/>
              </w:rPr>
              <w:t>10</w:t>
            </w:r>
          </w:p>
        </w:tc>
        <w:tc>
          <w:tcPr>
            <w:tcW w:w="1205" w:type="dxa"/>
            <w:shd w:val="clear" w:color="auto" w:fill="FFFFFF"/>
          </w:tcPr>
          <w:p w14:paraId="303801DE" w14:textId="56C20A75" w:rsidR="00235C48" w:rsidRPr="00D10388" w:rsidRDefault="00E37BD0" w:rsidP="00235C48">
            <w:pPr>
              <w:pStyle w:val="CETBodytext"/>
              <w:ind w:right="-1"/>
              <w:rPr>
                <w:rFonts w:cs="Arial"/>
                <w:szCs w:val="18"/>
                <w:lang w:val="en-GB"/>
              </w:rPr>
            </w:pPr>
            <w:r w:rsidRPr="00D10388">
              <w:rPr>
                <w:rFonts w:cs="Arial"/>
                <w:szCs w:val="18"/>
                <w:lang w:val="en-GB"/>
              </w:rPr>
              <w:t>14.3</w:t>
            </w:r>
          </w:p>
        </w:tc>
      </w:tr>
      <w:tr w:rsidR="00235C48" w:rsidRPr="00D10388" w14:paraId="09B16E2B" w14:textId="77777777" w:rsidTr="00A75F4A">
        <w:tc>
          <w:tcPr>
            <w:tcW w:w="1134" w:type="dxa"/>
            <w:shd w:val="clear" w:color="auto" w:fill="FFFFFF"/>
          </w:tcPr>
          <w:p w14:paraId="7434F536" w14:textId="78584739" w:rsidR="00235C48" w:rsidRPr="00D10388" w:rsidRDefault="00235C48" w:rsidP="00235C48">
            <w:pPr>
              <w:pStyle w:val="CETBodytext"/>
              <w:ind w:right="-1"/>
              <w:rPr>
                <w:rFonts w:cs="Arial"/>
                <w:szCs w:val="18"/>
                <w:lang w:val="en-GB"/>
              </w:rPr>
            </w:pPr>
            <w:r w:rsidRPr="00D10388">
              <w:rPr>
                <w:rFonts w:cs="Arial"/>
                <w:szCs w:val="18"/>
                <w:lang w:val="en-GB"/>
              </w:rPr>
              <w:t>7</w:t>
            </w:r>
          </w:p>
        </w:tc>
        <w:tc>
          <w:tcPr>
            <w:tcW w:w="709" w:type="dxa"/>
            <w:shd w:val="clear" w:color="auto" w:fill="FFFFFF"/>
          </w:tcPr>
          <w:p w14:paraId="2EB00710" w14:textId="1417B8A1" w:rsidR="00235C48" w:rsidRPr="00D10388" w:rsidRDefault="00235C48" w:rsidP="00235C48">
            <w:pPr>
              <w:pStyle w:val="CETBodytext"/>
              <w:ind w:right="-1"/>
              <w:rPr>
                <w:rFonts w:cs="Arial"/>
                <w:szCs w:val="18"/>
                <w:lang w:val="en-GB"/>
              </w:rPr>
            </w:pPr>
            <w:r w:rsidRPr="00D10388">
              <w:rPr>
                <w:rFonts w:cs="Arial"/>
                <w:szCs w:val="18"/>
                <w:lang w:val="en-GB"/>
              </w:rPr>
              <w:t>-0.5</w:t>
            </w:r>
          </w:p>
        </w:tc>
        <w:tc>
          <w:tcPr>
            <w:tcW w:w="709" w:type="dxa"/>
            <w:shd w:val="clear" w:color="auto" w:fill="FFFFFF"/>
          </w:tcPr>
          <w:p w14:paraId="320BC0C3" w14:textId="3D846EA1" w:rsidR="00235C48" w:rsidRPr="00D10388" w:rsidRDefault="00235C48" w:rsidP="00235C48">
            <w:pPr>
              <w:pStyle w:val="CETBodytext"/>
              <w:ind w:right="-1"/>
              <w:rPr>
                <w:rFonts w:cs="Arial"/>
                <w:szCs w:val="18"/>
                <w:lang w:val="en-GB"/>
              </w:rPr>
            </w:pPr>
            <w:r w:rsidRPr="00D10388">
              <w:rPr>
                <w:rFonts w:cs="Arial"/>
                <w:szCs w:val="18"/>
                <w:lang w:val="en-GB"/>
              </w:rPr>
              <w:t>-0.866</w:t>
            </w:r>
          </w:p>
        </w:tc>
        <w:tc>
          <w:tcPr>
            <w:tcW w:w="709" w:type="dxa"/>
            <w:shd w:val="clear" w:color="auto" w:fill="FFFFFF"/>
          </w:tcPr>
          <w:p w14:paraId="07EECB6A" w14:textId="195A3251"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1204" w:type="dxa"/>
            <w:shd w:val="clear" w:color="auto" w:fill="FFFFFF"/>
          </w:tcPr>
          <w:p w14:paraId="6EFE5B6D" w14:textId="44D6FD67" w:rsidR="00235C48" w:rsidRPr="00D10388" w:rsidRDefault="00235C48" w:rsidP="00235C48">
            <w:pPr>
              <w:pStyle w:val="CETBodytext"/>
              <w:ind w:right="-1"/>
              <w:rPr>
                <w:rFonts w:cs="Arial"/>
                <w:szCs w:val="18"/>
                <w:lang w:val="en-GB"/>
              </w:rPr>
            </w:pPr>
            <w:r w:rsidRPr="00D10388">
              <w:rPr>
                <w:rFonts w:cs="Arial"/>
                <w:szCs w:val="18"/>
                <w:lang w:val="en-GB"/>
              </w:rPr>
              <w:t>1.19-4 (3)</w:t>
            </w:r>
          </w:p>
        </w:tc>
        <w:tc>
          <w:tcPr>
            <w:tcW w:w="1205" w:type="dxa"/>
            <w:shd w:val="clear" w:color="auto" w:fill="FFFFFF"/>
          </w:tcPr>
          <w:p w14:paraId="2F064E19" w14:textId="4759DD0D" w:rsidR="00235C48" w:rsidRPr="00D10388" w:rsidRDefault="00235C48" w:rsidP="00235C48">
            <w:pPr>
              <w:pStyle w:val="CETBodytext"/>
              <w:ind w:right="-1"/>
              <w:rPr>
                <w:rFonts w:cs="Arial"/>
                <w:szCs w:val="18"/>
                <w:lang w:val="en-GB"/>
              </w:rPr>
            </w:pPr>
            <w:r w:rsidRPr="00D10388">
              <w:rPr>
                <w:rFonts w:cs="Arial"/>
                <w:szCs w:val="18"/>
                <w:lang w:val="en-GB"/>
              </w:rPr>
              <w:t>200</w:t>
            </w:r>
          </w:p>
        </w:tc>
        <w:tc>
          <w:tcPr>
            <w:tcW w:w="1205" w:type="dxa"/>
            <w:shd w:val="clear" w:color="auto" w:fill="FFFFFF"/>
          </w:tcPr>
          <w:p w14:paraId="1FEEE555" w14:textId="63DC0357" w:rsidR="00235C48" w:rsidRPr="00D10388" w:rsidRDefault="00235C48" w:rsidP="00235C48">
            <w:pPr>
              <w:pStyle w:val="CETBodytext"/>
              <w:ind w:right="-1"/>
              <w:rPr>
                <w:rFonts w:cs="Arial"/>
                <w:szCs w:val="18"/>
                <w:lang w:val="en-GB"/>
              </w:rPr>
            </w:pPr>
            <w:r w:rsidRPr="00D10388">
              <w:rPr>
                <w:rFonts w:cs="Arial"/>
                <w:szCs w:val="18"/>
                <w:lang w:val="en-GB"/>
              </w:rPr>
              <w:t>10</w:t>
            </w:r>
          </w:p>
        </w:tc>
        <w:tc>
          <w:tcPr>
            <w:tcW w:w="1205" w:type="dxa"/>
            <w:shd w:val="clear" w:color="auto" w:fill="FFFFFF"/>
          </w:tcPr>
          <w:p w14:paraId="2AE0B5F6" w14:textId="60B41F09" w:rsidR="00235C48" w:rsidRPr="00D10388" w:rsidRDefault="00E37BD0" w:rsidP="00235C48">
            <w:pPr>
              <w:pStyle w:val="CETBodytext"/>
              <w:ind w:right="-1"/>
              <w:rPr>
                <w:rFonts w:cs="Arial"/>
                <w:szCs w:val="18"/>
                <w:lang w:val="en-GB"/>
              </w:rPr>
            </w:pPr>
            <w:r w:rsidRPr="00D10388">
              <w:rPr>
                <w:rFonts w:cs="Arial"/>
                <w:szCs w:val="18"/>
                <w:lang w:val="en-GB"/>
              </w:rPr>
              <w:t>108.3</w:t>
            </w:r>
          </w:p>
        </w:tc>
      </w:tr>
      <w:tr w:rsidR="00235C48" w:rsidRPr="00D10388" w14:paraId="5B1EA829" w14:textId="77777777" w:rsidTr="00A75F4A">
        <w:tc>
          <w:tcPr>
            <w:tcW w:w="1134" w:type="dxa"/>
            <w:shd w:val="clear" w:color="auto" w:fill="FFFFFF"/>
          </w:tcPr>
          <w:p w14:paraId="76DC2C41" w14:textId="6DB13EAE" w:rsidR="00235C48" w:rsidRPr="00D10388" w:rsidRDefault="00235C48" w:rsidP="00235C48">
            <w:pPr>
              <w:pStyle w:val="CETBodytext"/>
              <w:ind w:right="-1"/>
              <w:rPr>
                <w:rFonts w:cs="Arial"/>
                <w:szCs w:val="18"/>
                <w:lang w:val="en-GB"/>
              </w:rPr>
            </w:pPr>
            <w:r w:rsidRPr="00D10388">
              <w:rPr>
                <w:rFonts w:cs="Arial"/>
                <w:szCs w:val="18"/>
                <w:lang w:val="en-GB"/>
              </w:rPr>
              <w:t>8</w:t>
            </w:r>
          </w:p>
        </w:tc>
        <w:tc>
          <w:tcPr>
            <w:tcW w:w="709" w:type="dxa"/>
            <w:shd w:val="clear" w:color="auto" w:fill="FFFFFF"/>
          </w:tcPr>
          <w:p w14:paraId="779AA223" w14:textId="1D400429" w:rsidR="00235C48" w:rsidRPr="00D10388" w:rsidRDefault="00235C48" w:rsidP="00235C48">
            <w:pPr>
              <w:pStyle w:val="CETBodytext"/>
              <w:ind w:right="-1"/>
              <w:rPr>
                <w:rFonts w:cs="Arial"/>
                <w:szCs w:val="18"/>
                <w:lang w:val="en-GB"/>
              </w:rPr>
            </w:pPr>
            <w:r w:rsidRPr="00D10388">
              <w:rPr>
                <w:rFonts w:cs="Arial"/>
                <w:szCs w:val="18"/>
                <w:lang w:val="en-GB"/>
              </w:rPr>
              <w:t>0.5</w:t>
            </w:r>
          </w:p>
        </w:tc>
        <w:tc>
          <w:tcPr>
            <w:tcW w:w="709" w:type="dxa"/>
            <w:shd w:val="clear" w:color="auto" w:fill="FFFFFF"/>
          </w:tcPr>
          <w:p w14:paraId="024B018B" w14:textId="335D5166" w:rsidR="00235C48" w:rsidRPr="00D10388" w:rsidRDefault="00235C48" w:rsidP="00235C48">
            <w:pPr>
              <w:pStyle w:val="CETBodytext"/>
              <w:ind w:right="-1"/>
              <w:rPr>
                <w:rFonts w:cs="Arial"/>
                <w:szCs w:val="18"/>
                <w:lang w:val="en-GB"/>
              </w:rPr>
            </w:pPr>
            <w:r w:rsidRPr="00D10388">
              <w:rPr>
                <w:rFonts w:cs="Arial"/>
                <w:szCs w:val="18"/>
                <w:lang w:val="en-GB"/>
              </w:rPr>
              <w:t>0.289</w:t>
            </w:r>
          </w:p>
        </w:tc>
        <w:tc>
          <w:tcPr>
            <w:tcW w:w="709" w:type="dxa"/>
            <w:shd w:val="clear" w:color="auto" w:fill="FFFFFF"/>
          </w:tcPr>
          <w:p w14:paraId="1286E978" w14:textId="1AA1B341" w:rsidR="00235C48" w:rsidRPr="00D10388" w:rsidRDefault="00235C48" w:rsidP="00235C48">
            <w:pPr>
              <w:pStyle w:val="CETBodytext"/>
              <w:ind w:right="-1"/>
              <w:rPr>
                <w:rFonts w:cs="Arial"/>
                <w:szCs w:val="18"/>
                <w:lang w:val="en-GB"/>
              </w:rPr>
            </w:pPr>
            <w:r w:rsidRPr="00D10388">
              <w:rPr>
                <w:rFonts w:cs="Arial"/>
                <w:szCs w:val="18"/>
                <w:lang w:val="en-GB"/>
              </w:rPr>
              <w:t>0.816</w:t>
            </w:r>
          </w:p>
        </w:tc>
        <w:tc>
          <w:tcPr>
            <w:tcW w:w="1204" w:type="dxa"/>
            <w:shd w:val="clear" w:color="auto" w:fill="FFFFFF"/>
          </w:tcPr>
          <w:p w14:paraId="5CB76E5F" w14:textId="40CDE3AA" w:rsidR="00235C48" w:rsidRPr="00D10388" w:rsidRDefault="00235C48" w:rsidP="00235C48">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041211D3" w14:textId="5A99C074" w:rsidR="00235C48" w:rsidRPr="00D10388" w:rsidRDefault="00235C48" w:rsidP="00235C48">
            <w:pPr>
              <w:pStyle w:val="CETBodytext"/>
              <w:ind w:right="-1"/>
              <w:rPr>
                <w:rFonts w:cs="Arial"/>
                <w:szCs w:val="18"/>
                <w:lang w:val="en-GB"/>
              </w:rPr>
            </w:pPr>
            <w:r w:rsidRPr="00D10388">
              <w:rPr>
                <w:rFonts w:cs="Arial"/>
                <w:szCs w:val="18"/>
                <w:lang w:val="en-GB"/>
              </w:rPr>
              <w:t>333</w:t>
            </w:r>
          </w:p>
        </w:tc>
        <w:tc>
          <w:tcPr>
            <w:tcW w:w="1205" w:type="dxa"/>
            <w:shd w:val="clear" w:color="auto" w:fill="FFFFFF"/>
          </w:tcPr>
          <w:p w14:paraId="444280ED" w14:textId="5F352D30" w:rsidR="00235C48" w:rsidRPr="00D10388" w:rsidRDefault="00235C48" w:rsidP="00235C48">
            <w:pPr>
              <w:pStyle w:val="CETBodytext"/>
              <w:ind w:right="-1"/>
              <w:rPr>
                <w:rFonts w:cs="Arial"/>
                <w:szCs w:val="18"/>
                <w:lang w:val="en-GB"/>
              </w:rPr>
            </w:pPr>
            <w:r w:rsidRPr="00D10388">
              <w:rPr>
                <w:rFonts w:cs="Arial"/>
                <w:szCs w:val="18"/>
                <w:lang w:val="en-GB"/>
              </w:rPr>
              <w:t>15</w:t>
            </w:r>
          </w:p>
        </w:tc>
        <w:tc>
          <w:tcPr>
            <w:tcW w:w="1205" w:type="dxa"/>
            <w:shd w:val="clear" w:color="auto" w:fill="FFFFFF"/>
          </w:tcPr>
          <w:p w14:paraId="4658E38E" w14:textId="4DE58B24" w:rsidR="00235C48" w:rsidRPr="00D10388" w:rsidRDefault="00E37BD0" w:rsidP="00235C48">
            <w:pPr>
              <w:pStyle w:val="CETBodytext"/>
              <w:ind w:right="-1"/>
              <w:rPr>
                <w:rFonts w:cs="Arial"/>
                <w:szCs w:val="18"/>
                <w:lang w:val="en-GB"/>
              </w:rPr>
            </w:pPr>
            <w:r w:rsidRPr="00D10388">
              <w:rPr>
                <w:rFonts w:cs="Arial"/>
                <w:szCs w:val="18"/>
                <w:lang w:val="en-GB"/>
              </w:rPr>
              <w:t>48.0</w:t>
            </w:r>
          </w:p>
        </w:tc>
      </w:tr>
      <w:tr w:rsidR="00235C48" w:rsidRPr="00D10388" w14:paraId="17FE2CFC" w14:textId="77777777" w:rsidTr="00A75F4A">
        <w:tc>
          <w:tcPr>
            <w:tcW w:w="1134" w:type="dxa"/>
            <w:shd w:val="clear" w:color="auto" w:fill="FFFFFF"/>
          </w:tcPr>
          <w:p w14:paraId="6AEFED0C" w14:textId="43BE857C" w:rsidR="00235C48" w:rsidRPr="00D10388" w:rsidRDefault="00235C48" w:rsidP="00235C48">
            <w:pPr>
              <w:pStyle w:val="CETBodytext"/>
              <w:ind w:right="-1"/>
              <w:rPr>
                <w:rFonts w:cs="Arial"/>
                <w:szCs w:val="18"/>
                <w:lang w:val="en-GB"/>
              </w:rPr>
            </w:pPr>
            <w:r w:rsidRPr="00D10388">
              <w:rPr>
                <w:rFonts w:cs="Arial"/>
                <w:szCs w:val="18"/>
                <w:lang w:val="en-GB"/>
              </w:rPr>
              <w:t>9</w:t>
            </w:r>
          </w:p>
        </w:tc>
        <w:tc>
          <w:tcPr>
            <w:tcW w:w="709" w:type="dxa"/>
            <w:shd w:val="clear" w:color="auto" w:fill="FFFFFF"/>
          </w:tcPr>
          <w:p w14:paraId="1165D681" w14:textId="73446070" w:rsidR="00235C48" w:rsidRPr="00D10388" w:rsidRDefault="00235C48" w:rsidP="00235C48">
            <w:pPr>
              <w:pStyle w:val="CETBodytext"/>
              <w:ind w:right="-1"/>
              <w:rPr>
                <w:rFonts w:cs="Arial"/>
                <w:szCs w:val="18"/>
                <w:lang w:val="en-GB"/>
              </w:rPr>
            </w:pPr>
            <w:r w:rsidRPr="00D10388">
              <w:rPr>
                <w:rFonts w:cs="Arial"/>
                <w:szCs w:val="18"/>
                <w:lang w:val="en-GB"/>
              </w:rPr>
              <w:t>-0.5</w:t>
            </w:r>
          </w:p>
        </w:tc>
        <w:tc>
          <w:tcPr>
            <w:tcW w:w="709" w:type="dxa"/>
            <w:shd w:val="clear" w:color="auto" w:fill="FFFFFF"/>
          </w:tcPr>
          <w:p w14:paraId="0AE2D122" w14:textId="0F989224" w:rsidR="00235C48" w:rsidRPr="00D10388" w:rsidRDefault="00235C48" w:rsidP="00235C48">
            <w:pPr>
              <w:pStyle w:val="CETBodytext"/>
              <w:ind w:right="-1"/>
              <w:rPr>
                <w:rFonts w:cs="Arial"/>
                <w:szCs w:val="18"/>
                <w:lang w:val="en-GB"/>
              </w:rPr>
            </w:pPr>
            <w:r w:rsidRPr="00D10388">
              <w:rPr>
                <w:rFonts w:cs="Arial"/>
                <w:szCs w:val="18"/>
                <w:lang w:val="en-GB"/>
              </w:rPr>
              <w:t>-0.289</w:t>
            </w:r>
          </w:p>
        </w:tc>
        <w:tc>
          <w:tcPr>
            <w:tcW w:w="709" w:type="dxa"/>
            <w:shd w:val="clear" w:color="auto" w:fill="FFFFFF"/>
          </w:tcPr>
          <w:p w14:paraId="3A7DB6A8" w14:textId="670251BF" w:rsidR="00235C48" w:rsidRPr="00D10388" w:rsidRDefault="00235C48" w:rsidP="00235C48">
            <w:pPr>
              <w:pStyle w:val="CETBodytext"/>
              <w:ind w:right="-1"/>
              <w:rPr>
                <w:rFonts w:cs="Arial"/>
                <w:szCs w:val="18"/>
                <w:lang w:val="en-GB"/>
              </w:rPr>
            </w:pPr>
            <w:r w:rsidRPr="00D10388">
              <w:rPr>
                <w:rFonts w:cs="Arial"/>
                <w:szCs w:val="18"/>
                <w:lang w:val="en-GB"/>
              </w:rPr>
              <w:t>-0.816</w:t>
            </w:r>
          </w:p>
        </w:tc>
        <w:tc>
          <w:tcPr>
            <w:tcW w:w="1204" w:type="dxa"/>
            <w:shd w:val="clear" w:color="auto" w:fill="FFFFFF"/>
          </w:tcPr>
          <w:p w14:paraId="03D51271" w14:textId="31866B9B" w:rsidR="00235C48" w:rsidRPr="00D10388" w:rsidRDefault="00235C48" w:rsidP="00235C48">
            <w:pPr>
              <w:pStyle w:val="CETBodytext"/>
              <w:ind w:right="-1"/>
              <w:rPr>
                <w:rFonts w:cs="Arial"/>
                <w:szCs w:val="18"/>
                <w:lang w:val="en-GB"/>
              </w:rPr>
            </w:pPr>
            <w:r w:rsidRPr="00D10388">
              <w:rPr>
                <w:rFonts w:cs="Arial"/>
                <w:szCs w:val="18"/>
                <w:lang w:val="en-GB"/>
              </w:rPr>
              <w:t>1.19-4 (3)</w:t>
            </w:r>
          </w:p>
        </w:tc>
        <w:tc>
          <w:tcPr>
            <w:tcW w:w="1205" w:type="dxa"/>
            <w:shd w:val="clear" w:color="auto" w:fill="FFFFFF"/>
          </w:tcPr>
          <w:p w14:paraId="20313080" w14:textId="46E0627B" w:rsidR="00235C48" w:rsidRPr="00D10388" w:rsidRDefault="00235C48" w:rsidP="00235C48">
            <w:pPr>
              <w:pStyle w:val="CETBodytext"/>
              <w:ind w:right="-1"/>
              <w:rPr>
                <w:rFonts w:cs="Arial"/>
                <w:szCs w:val="18"/>
                <w:lang w:val="en-GB"/>
              </w:rPr>
            </w:pPr>
            <w:r w:rsidRPr="00D10388">
              <w:rPr>
                <w:rFonts w:cs="Arial"/>
                <w:szCs w:val="18"/>
                <w:lang w:val="en-GB"/>
              </w:rPr>
              <w:t>266</w:t>
            </w:r>
          </w:p>
        </w:tc>
        <w:tc>
          <w:tcPr>
            <w:tcW w:w="1205" w:type="dxa"/>
            <w:shd w:val="clear" w:color="auto" w:fill="FFFFFF"/>
          </w:tcPr>
          <w:p w14:paraId="1A1E61DD" w14:textId="16136853" w:rsidR="00235C48" w:rsidRPr="00D10388" w:rsidRDefault="00235C48" w:rsidP="00235C48">
            <w:pPr>
              <w:pStyle w:val="CETBodytext"/>
              <w:ind w:right="-1"/>
              <w:rPr>
                <w:rFonts w:cs="Arial"/>
                <w:szCs w:val="18"/>
                <w:lang w:val="en-GB"/>
              </w:rPr>
            </w:pPr>
            <w:r w:rsidRPr="00D10388">
              <w:rPr>
                <w:rFonts w:cs="Arial"/>
                <w:szCs w:val="18"/>
                <w:lang w:val="en-GB"/>
              </w:rPr>
              <w:t>5</w:t>
            </w:r>
          </w:p>
        </w:tc>
        <w:tc>
          <w:tcPr>
            <w:tcW w:w="1205" w:type="dxa"/>
            <w:shd w:val="clear" w:color="auto" w:fill="FFFFFF"/>
          </w:tcPr>
          <w:p w14:paraId="1A9D1A14" w14:textId="3726CEFB" w:rsidR="00235C48" w:rsidRPr="00D10388" w:rsidRDefault="00E37BD0" w:rsidP="00235C48">
            <w:pPr>
              <w:pStyle w:val="CETBodytext"/>
              <w:ind w:right="-1"/>
              <w:rPr>
                <w:rFonts w:cs="Arial"/>
                <w:szCs w:val="18"/>
                <w:lang w:val="en-GB"/>
              </w:rPr>
            </w:pPr>
            <w:r w:rsidRPr="00D10388">
              <w:rPr>
                <w:rFonts w:cs="Arial"/>
                <w:szCs w:val="18"/>
                <w:lang w:val="en-GB"/>
              </w:rPr>
              <w:t>10.7</w:t>
            </w:r>
          </w:p>
        </w:tc>
      </w:tr>
      <w:tr w:rsidR="00235C48" w:rsidRPr="00D10388" w14:paraId="2AC3C91D" w14:textId="77777777" w:rsidTr="00A75F4A">
        <w:tc>
          <w:tcPr>
            <w:tcW w:w="1134" w:type="dxa"/>
            <w:shd w:val="clear" w:color="auto" w:fill="FFFFFF"/>
          </w:tcPr>
          <w:p w14:paraId="0D109079" w14:textId="30AD1C0E" w:rsidR="00235C48" w:rsidRPr="00D10388" w:rsidRDefault="00235C48" w:rsidP="00235C48">
            <w:pPr>
              <w:pStyle w:val="CETBodytext"/>
              <w:ind w:right="-1"/>
              <w:rPr>
                <w:rFonts w:cs="Arial"/>
                <w:szCs w:val="18"/>
                <w:lang w:val="en-GB"/>
              </w:rPr>
            </w:pPr>
            <w:r w:rsidRPr="00D10388">
              <w:rPr>
                <w:rFonts w:cs="Arial"/>
                <w:szCs w:val="18"/>
                <w:lang w:val="en-GB"/>
              </w:rPr>
              <w:t>10</w:t>
            </w:r>
          </w:p>
        </w:tc>
        <w:tc>
          <w:tcPr>
            <w:tcW w:w="709" w:type="dxa"/>
            <w:shd w:val="clear" w:color="auto" w:fill="FFFFFF"/>
          </w:tcPr>
          <w:p w14:paraId="4F832C07" w14:textId="7DECAC7D" w:rsidR="00235C48" w:rsidRPr="00D10388" w:rsidRDefault="00235C48" w:rsidP="00235C48">
            <w:pPr>
              <w:pStyle w:val="CETBodytext"/>
              <w:ind w:right="-1"/>
              <w:rPr>
                <w:rFonts w:cs="Arial"/>
                <w:szCs w:val="18"/>
                <w:lang w:val="en-GB"/>
              </w:rPr>
            </w:pPr>
            <w:r w:rsidRPr="00D10388">
              <w:rPr>
                <w:rFonts w:cs="Arial"/>
                <w:szCs w:val="18"/>
                <w:lang w:val="en-GB"/>
              </w:rPr>
              <w:t>0.5</w:t>
            </w:r>
          </w:p>
        </w:tc>
        <w:tc>
          <w:tcPr>
            <w:tcW w:w="709" w:type="dxa"/>
            <w:shd w:val="clear" w:color="auto" w:fill="FFFFFF"/>
          </w:tcPr>
          <w:p w14:paraId="763CD99D" w14:textId="53B1195B" w:rsidR="00235C48" w:rsidRPr="00D10388" w:rsidRDefault="00235C48" w:rsidP="00235C48">
            <w:pPr>
              <w:pStyle w:val="CETBodytext"/>
              <w:ind w:right="-1"/>
              <w:rPr>
                <w:rFonts w:cs="Arial"/>
                <w:szCs w:val="18"/>
                <w:lang w:val="en-GB"/>
              </w:rPr>
            </w:pPr>
            <w:r w:rsidRPr="00D10388">
              <w:rPr>
                <w:rFonts w:cs="Arial"/>
                <w:szCs w:val="18"/>
                <w:lang w:val="en-GB"/>
              </w:rPr>
              <w:t>-0.866</w:t>
            </w:r>
          </w:p>
        </w:tc>
        <w:tc>
          <w:tcPr>
            <w:tcW w:w="709" w:type="dxa"/>
            <w:shd w:val="clear" w:color="auto" w:fill="FFFFFF"/>
          </w:tcPr>
          <w:p w14:paraId="17754A68" w14:textId="5F06FD4D"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1204" w:type="dxa"/>
            <w:shd w:val="clear" w:color="auto" w:fill="FFFFFF"/>
          </w:tcPr>
          <w:p w14:paraId="09B440B1" w14:textId="35A3CC9F" w:rsidR="00235C48" w:rsidRPr="00D10388" w:rsidRDefault="00235C48" w:rsidP="00235C48">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63226FA9" w14:textId="54FCA1B2" w:rsidR="00235C48" w:rsidRPr="00D10388" w:rsidRDefault="00235C48" w:rsidP="00235C48">
            <w:pPr>
              <w:pStyle w:val="CETBodytext"/>
              <w:ind w:right="-1"/>
              <w:rPr>
                <w:rFonts w:cs="Arial"/>
                <w:szCs w:val="18"/>
                <w:lang w:val="en-GB"/>
              </w:rPr>
            </w:pPr>
            <w:r w:rsidRPr="00D10388">
              <w:rPr>
                <w:rFonts w:cs="Arial"/>
                <w:szCs w:val="18"/>
                <w:lang w:val="en-GB"/>
              </w:rPr>
              <w:t>200</w:t>
            </w:r>
          </w:p>
        </w:tc>
        <w:tc>
          <w:tcPr>
            <w:tcW w:w="1205" w:type="dxa"/>
            <w:shd w:val="clear" w:color="auto" w:fill="FFFFFF"/>
          </w:tcPr>
          <w:p w14:paraId="3B228A6D" w14:textId="72EA09B7" w:rsidR="00235C48" w:rsidRPr="00D10388" w:rsidRDefault="00235C48" w:rsidP="00235C48">
            <w:pPr>
              <w:pStyle w:val="CETBodytext"/>
              <w:ind w:right="-1"/>
              <w:rPr>
                <w:rFonts w:cs="Arial"/>
                <w:szCs w:val="18"/>
                <w:lang w:val="en-GB"/>
              </w:rPr>
            </w:pPr>
            <w:r w:rsidRPr="00D10388">
              <w:rPr>
                <w:rFonts w:cs="Arial"/>
                <w:szCs w:val="18"/>
                <w:lang w:val="en-GB"/>
              </w:rPr>
              <w:t>10</w:t>
            </w:r>
          </w:p>
        </w:tc>
        <w:tc>
          <w:tcPr>
            <w:tcW w:w="1205" w:type="dxa"/>
            <w:shd w:val="clear" w:color="auto" w:fill="FFFFFF"/>
          </w:tcPr>
          <w:p w14:paraId="37253DE2" w14:textId="36CFB685" w:rsidR="00235C48" w:rsidRPr="00D10388" w:rsidRDefault="00E37BD0" w:rsidP="00235C48">
            <w:pPr>
              <w:pStyle w:val="CETBodytext"/>
              <w:ind w:right="-1"/>
              <w:rPr>
                <w:rFonts w:cs="Arial"/>
                <w:szCs w:val="18"/>
                <w:lang w:val="en-GB"/>
              </w:rPr>
            </w:pPr>
            <w:r w:rsidRPr="00D10388">
              <w:rPr>
                <w:rFonts w:cs="Arial"/>
                <w:szCs w:val="18"/>
                <w:lang w:val="en-GB"/>
              </w:rPr>
              <w:t>103.8</w:t>
            </w:r>
          </w:p>
        </w:tc>
      </w:tr>
      <w:tr w:rsidR="00235C48" w:rsidRPr="00D10388" w14:paraId="215C6BEF" w14:textId="77777777" w:rsidTr="00A75F4A">
        <w:tc>
          <w:tcPr>
            <w:tcW w:w="1134" w:type="dxa"/>
            <w:shd w:val="clear" w:color="auto" w:fill="FFFFFF"/>
          </w:tcPr>
          <w:p w14:paraId="48ABAD10" w14:textId="1115BC4A" w:rsidR="00235C48" w:rsidRPr="00D10388" w:rsidRDefault="00235C48" w:rsidP="00235C48">
            <w:pPr>
              <w:pStyle w:val="CETBodytext"/>
              <w:ind w:right="-1"/>
              <w:rPr>
                <w:rFonts w:cs="Arial"/>
                <w:szCs w:val="18"/>
                <w:lang w:val="en-GB"/>
              </w:rPr>
            </w:pPr>
            <w:r w:rsidRPr="00D10388">
              <w:rPr>
                <w:rFonts w:cs="Arial"/>
                <w:szCs w:val="18"/>
                <w:lang w:val="en-GB"/>
              </w:rPr>
              <w:t>11</w:t>
            </w:r>
          </w:p>
        </w:tc>
        <w:tc>
          <w:tcPr>
            <w:tcW w:w="709" w:type="dxa"/>
            <w:shd w:val="clear" w:color="auto" w:fill="FFFFFF"/>
          </w:tcPr>
          <w:p w14:paraId="7D1B10EE" w14:textId="2AB36B27" w:rsidR="00235C48" w:rsidRPr="00D10388" w:rsidRDefault="00235C48" w:rsidP="00235C48">
            <w:pPr>
              <w:pStyle w:val="CETBodytext"/>
              <w:ind w:right="-1"/>
              <w:rPr>
                <w:rFonts w:cs="Arial"/>
                <w:szCs w:val="18"/>
                <w:lang w:val="en-GB"/>
              </w:rPr>
            </w:pPr>
            <w:r w:rsidRPr="00D10388">
              <w:rPr>
                <w:rFonts w:cs="Arial"/>
                <w:szCs w:val="18"/>
                <w:lang w:val="en-GB"/>
              </w:rPr>
              <w:t>0.5</w:t>
            </w:r>
          </w:p>
        </w:tc>
        <w:tc>
          <w:tcPr>
            <w:tcW w:w="709" w:type="dxa"/>
            <w:shd w:val="clear" w:color="auto" w:fill="FFFFFF"/>
          </w:tcPr>
          <w:p w14:paraId="12657DAA" w14:textId="1D47F06E" w:rsidR="00235C48" w:rsidRPr="00D10388" w:rsidRDefault="00235C48" w:rsidP="00235C48">
            <w:pPr>
              <w:pStyle w:val="CETBodytext"/>
              <w:ind w:right="-1"/>
              <w:rPr>
                <w:rFonts w:cs="Arial"/>
                <w:szCs w:val="18"/>
                <w:lang w:val="en-GB"/>
              </w:rPr>
            </w:pPr>
            <w:r w:rsidRPr="00D10388">
              <w:rPr>
                <w:rFonts w:cs="Arial"/>
                <w:szCs w:val="18"/>
                <w:lang w:val="en-GB"/>
              </w:rPr>
              <w:t>-0.289</w:t>
            </w:r>
          </w:p>
        </w:tc>
        <w:tc>
          <w:tcPr>
            <w:tcW w:w="709" w:type="dxa"/>
            <w:shd w:val="clear" w:color="auto" w:fill="FFFFFF"/>
          </w:tcPr>
          <w:p w14:paraId="5A929855" w14:textId="77A7D37B" w:rsidR="00235C48" w:rsidRPr="00D10388" w:rsidRDefault="00235C48" w:rsidP="00235C48">
            <w:pPr>
              <w:pStyle w:val="CETBodytext"/>
              <w:ind w:right="-1"/>
              <w:rPr>
                <w:rFonts w:cs="Arial"/>
                <w:szCs w:val="18"/>
                <w:lang w:val="en-GB"/>
              </w:rPr>
            </w:pPr>
            <w:r w:rsidRPr="00D10388">
              <w:rPr>
                <w:rFonts w:cs="Arial"/>
                <w:szCs w:val="18"/>
                <w:lang w:val="en-GB"/>
              </w:rPr>
              <w:t>-0.816</w:t>
            </w:r>
          </w:p>
        </w:tc>
        <w:tc>
          <w:tcPr>
            <w:tcW w:w="1204" w:type="dxa"/>
            <w:shd w:val="clear" w:color="auto" w:fill="FFFFFF"/>
          </w:tcPr>
          <w:p w14:paraId="44EAC9D9" w14:textId="67EDC939" w:rsidR="00235C48" w:rsidRPr="00D10388" w:rsidRDefault="00235C48" w:rsidP="00235C48">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7E4E62EB" w14:textId="4724E752" w:rsidR="00235C48" w:rsidRPr="00D10388" w:rsidRDefault="00235C48" w:rsidP="00235C48">
            <w:pPr>
              <w:pStyle w:val="CETBodytext"/>
              <w:ind w:right="-1"/>
              <w:rPr>
                <w:rFonts w:cs="Arial"/>
                <w:szCs w:val="18"/>
                <w:lang w:val="en-GB"/>
              </w:rPr>
            </w:pPr>
            <w:r w:rsidRPr="00D10388">
              <w:rPr>
                <w:rFonts w:cs="Arial"/>
                <w:szCs w:val="18"/>
                <w:lang w:val="en-GB"/>
              </w:rPr>
              <w:t>266</w:t>
            </w:r>
          </w:p>
        </w:tc>
        <w:tc>
          <w:tcPr>
            <w:tcW w:w="1205" w:type="dxa"/>
            <w:shd w:val="clear" w:color="auto" w:fill="FFFFFF"/>
          </w:tcPr>
          <w:p w14:paraId="2035D074" w14:textId="178393F1" w:rsidR="00235C48" w:rsidRPr="00D10388" w:rsidRDefault="00235C48" w:rsidP="00235C48">
            <w:pPr>
              <w:pStyle w:val="CETBodytext"/>
              <w:ind w:right="-1"/>
              <w:rPr>
                <w:rFonts w:cs="Arial"/>
                <w:szCs w:val="18"/>
                <w:lang w:val="en-GB"/>
              </w:rPr>
            </w:pPr>
            <w:r w:rsidRPr="00D10388">
              <w:rPr>
                <w:rFonts w:cs="Arial"/>
                <w:szCs w:val="18"/>
                <w:lang w:val="en-GB"/>
              </w:rPr>
              <w:t>5</w:t>
            </w:r>
          </w:p>
        </w:tc>
        <w:tc>
          <w:tcPr>
            <w:tcW w:w="1205" w:type="dxa"/>
            <w:shd w:val="clear" w:color="auto" w:fill="FFFFFF"/>
          </w:tcPr>
          <w:p w14:paraId="4B8AA804" w14:textId="6249E216" w:rsidR="00235C48" w:rsidRPr="00D10388" w:rsidRDefault="00E37BD0" w:rsidP="00235C48">
            <w:pPr>
              <w:pStyle w:val="CETBodytext"/>
              <w:ind w:right="-1"/>
              <w:rPr>
                <w:rFonts w:cs="Arial"/>
                <w:szCs w:val="18"/>
                <w:lang w:val="en-GB"/>
              </w:rPr>
            </w:pPr>
            <w:r w:rsidRPr="00D10388">
              <w:rPr>
                <w:rFonts w:cs="Arial"/>
                <w:szCs w:val="18"/>
                <w:lang w:val="en-GB"/>
              </w:rPr>
              <w:t>14.3</w:t>
            </w:r>
          </w:p>
        </w:tc>
      </w:tr>
      <w:tr w:rsidR="00235C48" w:rsidRPr="00D10388" w14:paraId="6A5795BE" w14:textId="77777777" w:rsidTr="00A75F4A">
        <w:tc>
          <w:tcPr>
            <w:tcW w:w="1134" w:type="dxa"/>
            <w:shd w:val="clear" w:color="auto" w:fill="FFFFFF"/>
          </w:tcPr>
          <w:p w14:paraId="71A5786D" w14:textId="37047D29" w:rsidR="00235C48" w:rsidRPr="00D10388" w:rsidRDefault="00235C48" w:rsidP="00235C48">
            <w:pPr>
              <w:pStyle w:val="CETBodytext"/>
              <w:ind w:right="-1"/>
              <w:rPr>
                <w:rFonts w:cs="Arial"/>
                <w:szCs w:val="18"/>
                <w:lang w:val="en-GB"/>
              </w:rPr>
            </w:pPr>
            <w:r w:rsidRPr="00D10388">
              <w:rPr>
                <w:rFonts w:cs="Arial"/>
                <w:szCs w:val="18"/>
                <w:lang w:val="en-GB"/>
              </w:rPr>
              <w:t>12</w:t>
            </w:r>
          </w:p>
        </w:tc>
        <w:tc>
          <w:tcPr>
            <w:tcW w:w="709" w:type="dxa"/>
            <w:shd w:val="clear" w:color="auto" w:fill="FFFFFF"/>
          </w:tcPr>
          <w:p w14:paraId="7409EE2C" w14:textId="40227DC0"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709" w:type="dxa"/>
            <w:shd w:val="clear" w:color="auto" w:fill="FFFFFF"/>
          </w:tcPr>
          <w:p w14:paraId="3C030280" w14:textId="7BFC4E2B" w:rsidR="00235C48" w:rsidRPr="00D10388" w:rsidRDefault="00235C48" w:rsidP="00235C48">
            <w:pPr>
              <w:pStyle w:val="CETBodytext"/>
              <w:ind w:right="-1"/>
              <w:rPr>
                <w:rFonts w:cs="Arial"/>
                <w:szCs w:val="18"/>
                <w:lang w:val="en-GB"/>
              </w:rPr>
            </w:pPr>
            <w:r w:rsidRPr="00D10388">
              <w:rPr>
                <w:rFonts w:cs="Arial"/>
                <w:szCs w:val="18"/>
                <w:lang w:val="en-GB"/>
              </w:rPr>
              <w:t>0.577</w:t>
            </w:r>
          </w:p>
        </w:tc>
        <w:tc>
          <w:tcPr>
            <w:tcW w:w="709" w:type="dxa"/>
            <w:shd w:val="clear" w:color="auto" w:fill="FFFFFF"/>
          </w:tcPr>
          <w:p w14:paraId="5A83AD5C" w14:textId="2A66E412" w:rsidR="00235C48" w:rsidRPr="00D10388" w:rsidRDefault="00235C48" w:rsidP="00235C48">
            <w:pPr>
              <w:pStyle w:val="CETBodytext"/>
              <w:ind w:right="-1"/>
              <w:rPr>
                <w:rFonts w:cs="Arial"/>
                <w:szCs w:val="18"/>
                <w:lang w:val="en-GB"/>
              </w:rPr>
            </w:pPr>
            <w:r w:rsidRPr="00D10388">
              <w:rPr>
                <w:rFonts w:cs="Arial"/>
                <w:szCs w:val="18"/>
                <w:lang w:val="en-GB"/>
              </w:rPr>
              <w:t>-0.816</w:t>
            </w:r>
          </w:p>
        </w:tc>
        <w:tc>
          <w:tcPr>
            <w:tcW w:w="1204" w:type="dxa"/>
            <w:shd w:val="clear" w:color="auto" w:fill="FFFFFF"/>
          </w:tcPr>
          <w:p w14:paraId="089E797E" w14:textId="74C2EA97" w:rsidR="00235C48" w:rsidRPr="00D10388" w:rsidRDefault="00235C48" w:rsidP="00235C48">
            <w:pPr>
              <w:pStyle w:val="CETBodytext"/>
              <w:ind w:right="-1"/>
              <w:rPr>
                <w:rFonts w:cs="Arial"/>
                <w:szCs w:val="18"/>
                <w:lang w:val="en-GB"/>
              </w:rPr>
            </w:pPr>
            <w:r w:rsidRPr="00D10388">
              <w:rPr>
                <w:rFonts w:cs="Arial"/>
                <w:szCs w:val="18"/>
                <w:lang w:val="en-GB"/>
              </w:rPr>
              <w:t>Medium (5)</w:t>
            </w:r>
          </w:p>
        </w:tc>
        <w:tc>
          <w:tcPr>
            <w:tcW w:w="1205" w:type="dxa"/>
            <w:shd w:val="clear" w:color="auto" w:fill="FFFFFF"/>
          </w:tcPr>
          <w:p w14:paraId="42A78CCC" w14:textId="6F5031F8" w:rsidR="00235C48" w:rsidRPr="00D10388" w:rsidRDefault="00235C48" w:rsidP="00235C48">
            <w:pPr>
              <w:pStyle w:val="CETBodytext"/>
              <w:ind w:right="-1"/>
              <w:rPr>
                <w:rFonts w:cs="Arial"/>
                <w:szCs w:val="18"/>
                <w:lang w:val="en-GB"/>
              </w:rPr>
            </w:pPr>
            <w:r w:rsidRPr="00D10388">
              <w:rPr>
                <w:rFonts w:cs="Arial"/>
                <w:szCs w:val="18"/>
                <w:lang w:val="en-GB"/>
              </w:rPr>
              <w:t>366</w:t>
            </w:r>
          </w:p>
        </w:tc>
        <w:tc>
          <w:tcPr>
            <w:tcW w:w="1205" w:type="dxa"/>
            <w:shd w:val="clear" w:color="auto" w:fill="FFFFFF"/>
          </w:tcPr>
          <w:p w14:paraId="30D14687" w14:textId="2DCF3721" w:rsidR="00235C48" w:rsidRPr="00D10388" w:rsidRDefault="00235C48" w:rsidP="00235C48">
            <w:pPr>
              <w:pStyle w:val="CETBodytext"/>
              <w:ind w:right="-1"/>
              <w:rPr>
                <w:rFonts w:cs="Arial"/>
                <w:szCs w:val="18"/>
                <w:lang w:val="en-GB"/>
              </w:rPr>
            </w:pPr>
            <w:r w:rsidRPr="00D10388">
              <w:rPr>
                <w:rFonts w:cs="Arial"/>
                <w:szCs w:val="18"/>
                <w:lang w:val="en-GB"/>
              </w:rPr>
              <w:t>5</w:t>
            </w:r>
          </w:p>
        </w:tc>
        <w:tc>
          <w:tcPr>
            <w:tcW w:w="1205" w:type="dxa"/>
            <w:shd w:val="clear" w:color="auto" w:fill="FFFFFF"/>
          </w:tcPr>
          <w:p w14:paraId="678B6967" w14:textId="56CFAB24" w:rsidR="00235C48" w:rsidRPr="00D10388" w:rsidRDefault="00E37BD0" w:rsidP="00235C48">
            <w:pPr>
              <w:pStyle w:val="CETBodytext"/>
              <w:ind w:right="-1"/>
              <w:rPr>
                <w:rFonts w:cs="Arial"/>
                <w:szCs w:val="18"/>
                <w:lang w:val="en-GB"/>
              </w:rPr>
            </w:pPr>
            <w:r w:rsidRPr="00D10388">
              <w:rPr>
                <w:rFonts w:cs="Arial"/>
                <w:szCs w:val="18"/>
                <w:lang w:val="en-GB"/>
              </w:rPr>
              <w:t>5.6</w:t>
            </w:r>
          </w:p>
        </w:tc>
      </w:tr>
      <w:tr w:rsidR="00235C48" w:rsidRPr="00D10388" w14:paraId="3EBECECD" w14:textId="77777777" w:rsidTr="00A75F4A">
        <w:tc>
          <w:tcPr>
            <w:tcW w:w="1134" w:type="dxa"/>
            <w:shd w:val="clear" w:color="auto" w:fill="FFFFFF"/>
          </w:tcPr>
          <w:p w14:paraId="451D63B8" w14:textId="67ADABF7" w:rsidR="00235C48" w:rsidRPr="00D10388" w:rsidRDefault="00235C48" w:rsidP="00235C48">
            <w:pPr>
              <w:pStyle w:val="CETBodytext"/>
              <w:ind w:right="-1"/>
              <w:rPr>
                <w:rFonts w:cs="Arial"/>
                <w:szCs w:val="18"/>
                <w:lang w:val="en-GB"/>
              </w:rPr>
            </w:pPr>
            <w:r w:rsidRPr="00D10388">
              <w:rPr>
                <w:rFonts w:cs="Arial"/>
                <w:szCs w:val="18"/>
                <w:lang w:val="en-GB"/>
              </w:rPr>
              <w:t>13</w:t>
            </w:r>
          </w:p>
        </w:tc>
        <w:tc>
          <w:tcPr>
            <w:tcW w:w="709" w:type="dxa"/>
            <w:shd w:val="clear" w:color="auto" w:fill="FFFFFF"/>
          </w:tcPr>
          <w:p w14:paraId="13876735" w14:textId="0EAC4981" w:rsidR="00235C48" w:rsidRPr="00D10388" w:rsidRDefault="00235C48" w:rsidP="00235C48">
            <w:pPr>
              <w:pStyle w:val="CETBodytext"/>
              <w:ind w:right="-1"/>
              <w:rPr>
                <w:rFonts w:cs="Arial"/>
                <w:szCs w:val="18"/>
                <w:lang w:val="en-GB"/>
              </w:rPr>
            </w:pPr>
            <w:r w:rsidRPr="00D10388">
              <w:rPr>
                <w:rFonts w:cs="Arial"/>
                <w:szCs w:val="18"/>
                <w:lang w:val="en-GB"/>
              </w:rPr>
              <w:t>-0.5</w:t>
            </w:r>
          </w:p>
        </w:tc>
        <w:tc>
          <w:tcPr>
            <w:tcW w:w="709" w:type="dxa"/>
            <w:shd w:val="clear" w:color="auto" w:fill="FFFFFF"/>
          </w:tcPr>
          <w:p w14:paraId="4C8F1C2B" w14:textId="213BE827" w:rsidR="00235C48" w:rsidRPr="00D10388" w:rsidRDefault="00235C48" w:rsidP="00235C48">
            <w:pPr>
              <w:pStyle w:val="CETBodytext"/>
              <w:ind w:right="-1"/>
              <w:rPr>
                <w:rFonts w:cs="Arial"/>
                <w:szCs w:val="18"/>
                <w:lang w:val="en-GB"/>
              </w:rPr>
            </w:pPr>
            <w:r w:rsidRPr="00D10388">
              <w:rPr>
                <w:rFonts w:cs="Arial"/>
                <w:szCs w:val="18"/>
                <w:lang w:val="en-GB"/>
              </w:rPr>
              <w:t>0.866</w:t>
            </w:r>
          </w:p>
        </w:tc>
        <w:tc>
          <w:tcPr>
            <w:tcW w:w="709" w:type="dxa"/>
            <w:shd w:val="clear" w:color="auto" w:fill="FFFFFF"/>
          </w:tcPr>
          <w:p w14:paraId="29387524" w14:textId="4848513E"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1204" w:type="dxa"/>
            <w:shd w:val="clear" w:color="auto" w:fill="FFFFFF"/>
          </w:tcPr>
          <w:p w14:paraId="75F29F8C" w14:textId="0CDAD9C0" w:rsidR="00235C48" w:rsidRPr="00D10388" w:rsidRDefault="00235C48" w:rsidP="00235C48">
            <w:pPr>
              <w:pStyle w:val="CETBodytext"/>
              <w:ind w:right="-1"/>
              <w:rPr>
                <w:rFonts w:cs="Arial"/>
                <w:szCs w:val="18"/>
                <w:lang w:val="en-GB"/>
              </w:rPr>
            </w:pPr>
            <w:r w:rsidRPr="00D10388">
              <w:rPr>
                <w:rFonts w:cs="Arial"/>
                <w:szCs w:val="18"/>
                <w:lang w:val="en-GB"/>
              </w:rPr>
              <w:t>1.19-4 (3)</w:t>
            </w:r>
          </w:p>
        </w:tc>
        <w:tc>
          <w:tcPr>
            <w:tcW w:w="1205" w:type="dxa"/>
            <w:shd w:val="clear" w:color="auto" w:fill="FFFFFF"/>
          </w:tcPr>
          <w:p w14:paraId="77DFA3E9" w14:textId="54C3E072" w:rsidR="00235C48" w:rsidRPr="00D10388" w:rsidRDefault="00235C48" w:rsidP="00235C48">
            <w:pPr>
              <w:pStyle w:val="CETBodytext"/>
              <w:ind w:right="-1"/>
              <w:rPr>
                <w:rFonts w:cs="Arial"/>
                <w:szCs w:val="18"/>
                <w:lang w:val="en-GB"/>
              </w:rPr>
            </w:pPr>
            <w:r w:rsidRPr="00D10388">
              <w:rPr>
                <w:rFonts w:cs="Arial"/>
                <w:szCs w:val="18"/>
                <w:lang w:val="en-GB"/>
              </w:rPr>
              <w:t>400</w:t>
            </w:r>
          </w:p>
        </w:tc>
        <w:tc>
          <w:tcPr>
            <w:tcW w:w="1205" w:type="dxa"/>
            <w:shd w:val="clear" w:color="auto" w:fill="FFFFFF"/>
          </w:tcPr>
          <w:p w14:paraId="59A00AC5" w14:textId="0ED0BEAF" w:rsidR="00235C48" w:rsidRPr="00D10388" w:rsidRDefault="00235C48" w:rsidP="00235C48">
            <w:pPr>
              <w:pStyle w:val="CETBodytext"/>
              <w:ind w:right="-1"/>
              <w:rPr>
                <w:rFonts w:cs="Arial"/>
                <w:szCs w:val="18"/>
                <w:lang w:val="en-GB"/>
              </w:rPr>
            </w:pPr>
            <w:r w:rsidRPr="00D10388">
              <w:rPr>
                <w:rFonts w:cs="Arial"/>
                <w:szCs w:val="18"/>
                <w:lang w:val="en-GB"/>
              </w:rPr>
              <w:t>10</w:t>
            </w:r>
          </w:p>
        </w:tc>
        <w:tc>
          <w:tcPr>
            <w:tcW w:w="1205" w:type="dxa"/>
            <w:shd w:val="clear" w:color="auto" w:fill="FFFFFF"/>
          </w:tcPr>
          <w:p w14:paraId="6BC9FB69" w14:textId="227B0AA1" w:rsidR="00235C48" w:rsidRPr="00D10388" w:rsidRDefault="00E37BD0" w:rsidP="00235C48">
            <w:pPr>
              <w:pStyle w:val="CETBodytext"/>
              <w:ind w:right="-1"/>
              <w:rPr>
                <w:rFonts w:cs="Arial"/>
                <w:szCs w:val="18"/>
                <w:lang w:val="en-GB"/>
              </w:rPr>
            </w:pPr>
            <w:r w:rsidRPr="00D10388">
              <w:rPr>
                <w:rFonts w:cs="Arial"/>
                <w:szCs w:val="18"/>
                <w:lang w:val="en-GB"/>
              </w:rPr>
              <w:t>9.6</w:t>
            </w:r>
          </w:p>
        </w:tc>
      </w:tr>
      <w:tr w:rsidR="00235C48" w:rsidRPr="00D10388" w14:paraId="70447177" w14:textId="77777777" w:rsidTr="00A75F4A">
        <w:tc>
          <w:tcPr>
            <w:tcW w:w="1134" w:type="dxa"/>
            <w:shd w:val="clear" w:color="auto" w:fill="FFFFFF"/>
          </w:tcPr>
          <w:p w14:paraId="3910586D" w14:textId="1ADB4E58" w:rsidR="00235C48" w:rsidRPr="00D10388" w:rsidRDefault="00235C48" w:rsidP="00235C48">
            <w:pPr>
              <w:pStyle w:val="CETBodytext"/>
              <w:ind w:right="-1"/>
              <w:rPr>
                <w:rFonts w:cs="Arial"/>
                <w:szCs w:val="18"/>
                <w:lang w:val="en-GB"/>
              </w:rPr>
            </w:pPr>
            <w:r w:rsidRPr="00D10388">
              <w:rPr>
                <w:rFonts w:cs="Arial"/>
                <w:szCs w:val="18"/>
                <w:lang w:val="en-GB"/>
              </w:rPr>
              <w:t>14</w:t>
            </w:r>
          </w:p>
        </w:tc>
        <w:tc>
          <w:tcPr>
            <w:tcW w:w="709" w:type="dxa"/>
            <w:shd w:val="clear" w:color="auto" w:fill="FFFFFF"/>
          </w:tcPr>
          <w:p w14:paraId="431D3227" w14:textId="22AD75B9" w:rsidR="00235C48" w:rsidRPr="00D10388" w:rsidRDefault="00235C48" w:rsidP="00235C48">
            <w:pPr>
              <w:pStyle w:val="CETBodytext"/>
              <w:ind w:right="-1"/>
              <w:rPr>
                <w:rFonts w:cs="Arial"/>
                <w:szCs w:val="18"/>
                <w:lang w:val="en-GB"/>
              </w:rPr>
            </w:pPr>
            <w:r w:rsidRPr="00D10388">
              <w:rPr>
                <w:rFonts w:cs="Arial"/>
                <w:szCs w:val="18"/>
                <w:lang w:val="en-GB"/>
              </w:rPr>
              <w:t>-0.5</w:t>
            </w:r>
          </w:p>
        </w:tc>
        <w:tc>
          <w:tcPr>
            <w:tcW w:w="709" w:type="dxa"/>
            <w:shd w:val="clear" w:color="auto" w:fill="FFFFFF"/>
          </w:tcPr>
          <w:p w14:paraId="5219D2DD" w14:textId="5E309D0B" w:rsidR="00235C48" w:rsidRPr="00D10388" w:rsidRDefault="00235C48" w:rsidP="00235C48">
            <w:pPr>
              <w:pStyle w:val="CETBodytext"/>
              <w:ind w:right="-1"/>
              <w:rPr>
                <w:rFonts w:cs="Arial"/>
                <w:szCs w:val="18"/>
                <w:lang w:val="en-GB"/>
              </w:rPr>
            </w:pPr>
            <w:r w:rsidRPr="00D10388">
              <w:rPr>
                <w:rFonts w:cs="Arial"/>
                <w:szCs w:val="18"/>
                <w:lang w:val="en-GB"/>
              </w:rPr>
              <w:t>0.289</w:t>
            </w:r>
          </w:p>
        </w:tc>
        <w:tc>
          <w:tcPr>
            <w:tcW w:w="709" w:type="dxa"/>
            <w:shd w:val="clear" w:color="auto" w:fill="FFFFFF"/>
          </w:tcPr>
          <w:p w14:paraId="43BB5A2D" w14:textId="71619FB4" w:rsidR="00235C48" w:rsidRPr="00D10388" w:rsidRDefault="00235C48" w:rsidP="00235C48">
            <w:pPr>
              <w:pStyle w:val="CETBodytext"/>
              <w:ind w:right="-1"/>
              <w:rPr>
                <w:rFonts w:cs="Arial"/>
                <w:szCs w:val="18"/>
                <w:lang w:val="en-GB"/>
              </w:rPr>
            </w:pPr>
            <w:r w:rsidRPr="00D10388">
              <w:rPr>
                <w:rFonts w:cs="Arial"/>
                <w:szCs w:val="18"/>
                <w:lang w:val="en-GB"/>
              </w:rPr>
              <w:t>0.816</w:t>
            </w:r>
          </w:p>
        </w:tc>
        <w:tc>
          <w:tcPr>
            <w:tcW w:w="1204" w:type="dxa"/>
            <w:shd w:val="clear" w:color="auto" w:fill="FFFFFF"/>
          </w:tcPr>
          <w:p w14:paraId="057F4DCA" w14:textId="42E05651" w:rsidR="00235C48" w:rsidRPr="00D10388" w:rsidRDefault="00235C48" w:rsidP="00235C48">
            <w:pPr>
              <w:pStyle w:val="CETBodytext"/>
              <w:ind w:right="-1"/>
              <w:rPr>
                <w:rFonts w:cs="Arial"/>
                <w:szCs w:val="18"/>
                <w:lang w:val="en-GB"/>
              </w:rPr>
            </w:pPr>
            <w:r w:rsidRPr="00D10388">
              <w:rPr>
                <w:rFonts w:cs="Arial"/>
                <w:szCs w:val="18"/>
                <w:lang w:val="en-GB"/>
              </w:rPr>
              <w:t>1.19-4 (3)</w:t>
            </w:r>
          </w:p>
        </w:tc>
        <w:tc>
          <w:tcPr>
            <w:tcW w:w="1205" w:type="dxa"/>
            <w:shd w:val="clear" w:color="auto" w:fill="FFFFFF"/>
          </w:tcPr>
          <w:p w14:paraId="7FD7DEE6" w14:textId="6CEA26E7" w:rsidR="00235C48" w:rsidRPr="00D10388" w:rsidRDefault="00235C48" w:rsidP="00235C48">
            <w:pPr>
              <w:pStyle w:val="CETBodytext"/>
              <w:ind w:right="-1"/>
              <w:rPr>
                <w:rFonts w:cs="Arial"/>
                <w:szCs w:val="18"/>
                <w:lang w:val="en-GB"/>
              </w:rPr>
            </w:pPr>
            <w:r w:rsidRPr="00D10388">
              <w:rPr>
                <w:rFonts w:cs="Arial"/>
                <w:szCs w:val="18"/>
                <w:lang w:val="en-GB"/>
              </w:rPr>
              <w:t>333</w:t>
            </w:r>
          </w:p>
        </w:tc>
        <w:tc>
          <w:tcPr>
            <w:tcW w:w="1205" w:type="dxa"/>
            <w:shd w:val="clear" w:color="auto" w:fill="FFFFFF"/>
          </w:tcPr>
          <w:p w14:paraId="178F1751" w14:textId="0C7BFD1A" w:rsidR="00235C48" w:rsidRPr="00D10388" w:rsidRDefault="00235C48" w:rsidP="00235C48">
            <w:pPr>
              <w:pStyle w:val="CETBodytext"/>
              <w:ind w:right="-1"/>
              <w:rPr>
                <w:rFonts w:cs="Arial"/>
                <w:szCs w:val="18"/>
                <w:lang w:val="en-GB"/>
              </w:rPr>
            </w:pPr>
            <w:r w:rsidRPr="00D10388">
              <w:rPr>
                <w:rFonts w:cs="Arial"/>
                <w:szCs w:val="18"/>
                <w:lang w:val="en-GB"/>
              </w:rPr>
              <w:t>15</w:t>
            </w:r>
          </w:p>
        </w:tc>
        <w:tc>
          <w:tcPr>
            <w:tcW w:w="1205" w:type="dxa"/>
            <w:shd w:val="clear" w:color="auto" w:fill="FFFFFF"/>
          </w:tcPr>
          <w:p w14:paraId="677E3858" w14:textId="53129CBE" w:rsidR="00235C48" w:rsidRPr="00D10388" w:rsidRDefault="00E37BD0" w:rsidP="00235C48">
            <w:pPr>
              <w:pStyle w:val="CETBodytext"/>
              <w:ind w:right="-1"/>
              <w:rPr>
                <w:rFonts w:cs="Arial"/>
                <w:szCs w:val="18"/>
                <w:lang w:val="en-GB"/>
              </w:rPr>
            </w:pPr>
            <w:r w:rsidRPr="00D10388">
              <w:rPr>
                <w:rFonts w:cs="Arial"/>
                <w:szCs w:val="18"/>
                <w:lang w:val="en-GB"/>
              </w:rPr>
              <w:t>54.8</w:t>
            </w:r>
          </w:p>
        </w:tc>
      </w:tr>
      <w:tr w:rsidR="00235C48" w:rsidRPr="00D10388" w14:paraId="01563934" w14:textId="77777777" w:rsidTr="00A75F4A">
        <w:tc>
          <w:tcPr>
            <w:tcW w:w="1134" w:type="dxa"/>
            <w:shd w:val="clear" w:color="auto" w:fill="FFFFFF"/>
          </w:tcPr>
          <w:p w14:paraId="409BB3DE" w14:textId="00A9664A" w:rsidR="00235C48" w:rsidRPr="00D10388" w:rsidRDefault="00235C48" w:rsidP="00235C48">
            <w:pPr>
              <w:pStyle w:val="CETBodytext"/>
              <w:ind w:right="-1"/>
              <w:rPr>
                <w:rFonts w:cs="Arial"/>
                <w:szCs w:val="18"/>
                <w:lang w:val="en-GB"/>
              </w:rPr>
            </w:pPr>
            <w:r w:rsidRPr="00D10388">
              <w:rPr>
                <w:rFonts w:cs="Arial"/>
                <w:szCs w:val="18"/>
                <w:lang w:val="en-GB"/>
              </w:rPr>
              <w:t>15</w:t>
            </w:r>
          </w:p>
        </w:tc>
        <w:tc>
          <w:tcPr>
            <w:tcW w:w="709" w:type="dxa"/>
            <w:shd w:val="clear" w:color="auto" w:fill="FFFFFF"/>
          </w:tcPr>
          <w:p w14:paraId="305028DC" w14:textId="738A1145" w:rsidR="00235C48" w:rsidRPr="00D10388" w:rsidRDefault="00235C48" w:rsidP="00235C48">
            <w:pPr>
              <w:pStyle w:val="CETBodytext"/>
              <w:ind w:right="-1"/>
              <w:rPr>
                <w:rFonts w:cs="Arial"/>
                <w:szCs w:val="18"/>
                <w:lang w:val="en-GB"/>
              </w:rPr>
            </w:pPr>
            <w:r w:rsidRPr="00D10388">
              <w:rPr>
                <w:rFonts w:cs="Arial"/>
                <w:szCs w:val="18"/>
                <w:lang w:val="en-GB"/>
              </w:rPr>
              <w:t>0</w:t>
            </w:r>
          </w:p>
        </w:tc>
        <w:tc>
          <w:tcPr>
            <w:tcW w:w="709" w:type="dxa"/>
            <w:shd w:val="clear" w:color="auto" w:fill="FFFFFF"/>
          </w:tcPr>
          <w:p w14:paraId="0E3C5844" w14:textId="011C334B" w:rsidR="00235C48" w:rsidRPr="00D10388" w:rsidRDefault="00235C48" w:rsidP="00235C48">
            <w:pPr>
              <w:pStyle w:val="CETBodytext"/>
              <w:ind w:right="-1"/>
              <w:rPr>
                <w:rFonts w:cs="Arial"/>
                <w:szCs w:val="18"/>
                <w:lang w:val="en-GB"/>
              </w:rPr>
            </w:pPr>
            <w:r w:rsidRPr="00D10388">
              <w:rPr>
                <w:rFonts w:cs="Arial"/>
                <w:szCs w:val="18"/>
                <w:lang w:val="en-GB"/>
              </w:rPr>
              <w:t>-0.577</w:t>
            </w:r>
          </w:p>
        </w:tc>
        <w:tc>
          <w:tcPr>
            <w:tcW w:w="709" w:type="dxa"/>
            <w:shd w:val="clear" w:color="auto" w:fill="FFFFFF"/>
          </w:tcPr>
          <w:p w14:paraId="3C12E219" w14:textId="5B2EFAA8" w:rsidR="00235C48" w:rsidRPr="00D10388" w:rsidRDefault="00235C48" w:rsidP="00235C48">
            <w:pPr>
              <w:pStyle w:val="CETBodytext"/>
              <w:ind w:right="-1"/>
              <w:rPr>
                <w:rFonts w:cs="Arial"/>
                <w:szCs w:val="18"/>
                <w:lang w:val="en-GB"/>
              </w:rPr>
            </w:pPr>
            <w:r w:rsidRPr="00D10388">
              <w:rPr>
                <w:rFonts w:cs="Arial"/>
                <w:szCs w:val="18"/>
                <w:lang w:val="en-GB"/>
              </w:rPr>
              <w:t>0.816</w:t>
            </w:r>
          </w:p>
        </w:tc>
        <w:tc>
          <w:tcPr>
            <w:tcW w:w="1204" w:type="dxa"/>
            <w:shd w:val="clear" w:color="auto" w:fill="FFFFFF"/>
          </w:tcPr>
          <w:p w14:paraId="3B78B82B" w14:textId="74AEA694" w:rsidR="00235C48" w:rsidRPr="00D10388" w:rsidRDefault="00235C48" w:rsidP="00235C48">
            <w:pPr>
              <w:pStyle w:val="CETBodytext"/>
              <w:ind w:right="-1"/>
              <w:rPr>
                <w:rFonts w:cs="Arial"/>
                <w:szCs w:val="18"/>
                <w:lang w:val="en-GB"/>
              </w:rPr>
            </w:pPr>
            <w:r w:rsidRPr="00D10388">
              <w:rPr>
                <w:rFonts w:cs="Arial"/>
                <w:szCs w:val="18"/>
                <w:lang w:val="en-GB"/>
              </w:rPr>
              <w:t>Medium (5)</w:t>
            </w:r>
          </w:p>
        </w:tc>
        <w:tc>
          <w:tcPr>
            <w:tcW w:w="1205" w:type="dxa"/>
            <w:shd w:val="clear" w:color="auto" w:fill="FFFFFF"/>
          </w:tcPr>
          <w:p w14:paraId="213E105B" w14:textId="29679DAC" w:rsidR="00235C48" w:rsidRPr="00D10388" w:rsidRDefault="00235C48" w:rsidP="00235C48">
            <w:pPr>
              <w:pStyle w:val="CETBodytext"/>
              <w:ind w:right="-1"/>
              <w:rPr>
                <w:rFonts w:cs="Arial"/>
                <w:szCs w:val="18"/>
                <w:lang w:val="en-GB"/>
              </w:rPr>
            </w:pPr>
            <w:r w:rsidRPr="00D10388">
              <w:rPr>
                <w:rFonts w:cs="Arial"/>
                <w:szCs w:val="18"/>
                <w:lang w:val="en-GB"/>
              </w:rPr>
              <w:t>233</w:t>
            </w:r>
          </w:p>
        </w:tc>
        <w:tc>
          <w:tcPr>
            <w:tcW w:w="1205" w:type="dxa"/>
            <w:shd w:val="clear" w:color="auto" w:fill="FFFFFF"/>
          </w:tcPr>
          <w:p w14:paraId="65063884" w14:textId="02207E71" w:rsidR="00235C48" w:rsidRPr="00D10388" w:rsidRDefault="00235C48" w:rsidP="00235C48">
            <w:pPr>
              <w:pStyle w:val="CETBodytext"/>
              <w:ind w:right="-1"/>
              <w:rPr>
                <w:rFonts w:cs="Arial"/>
                <w:szCs w:val="18"/>
                <w:lang w:val="en-GB"/>
              </w:rPr>
            </w:pPr>
            <w:r w:rsidRPr="00D10388">
              <w:rPr>
                <w:rFonts w:cs="Arial"/>
                <w:szCs w:val="18"/>
                <w:lang w:val="en-GB"/>
              </w:rPr>
              <w:t>15</w:t>
            </w:r>
          </w:p>
        </w:tc>
        <w:tc>
          <w:tcPr>
            <w:tcW w:w="1205" w:type="dxa"/>
            <w:shd w:val="clear" w:color="auto" w:fill="FFFFFF"/>
          </w:tcPr>
          <w:p w14:paraId="3AB30867" w14:textId="04129435" w:rsidR="00235C48" w:rsidRPr="00D10388" w:rsidRDefault="00E37BD0" w:rsidP="00235C48">
            <w:pPr>
              <w:pStyle w:val="CETBodytext"/>
              <w:ind w:right="-1"/>
              <w:rPr>
                <w:rFonts w:cs="Arial"/>
                <w:szCs w:val="18"/>
                <w:lang w:val="en-GB"/>
              </w:rPr>
            </w:pPr>
            <w:r w:rsidRPr="00D10388">
              <w:rPr>
                <w:rFonts w:cs="Arial"/>
                <w:szCs w:val="18"/>
                <w:lang w:val="en-GB"/>
              </w:rPr>
              <w:t>60.5</w:t>
            </w:r>
          </w:p>
        </w:tc>
      </w:tr>
      <w:tr w:rsidR="00235C48" w:rsidRPr="00D10388" w14:paraId="56410C09" w14:textId="77777777" w:rsidTr="00A75F4A">
        <w:tc>
          <w:tcPr>
            <w:tcW w:w="1134" w:type="dxa"/>
            <w:shd w:val="clear" w:color="auto" w:fill="FFFFFF"/>
          </w:tcPr>
          <w:p w14:paraId="2C35F3CD" w14:textId="2BC4BF2E" w:rsidR="00235C48" w:rsidRPr="00D10388" w:rsidRDefault="00235C48" w:rsidP="00235C48">
            <w:pPr>
              <w:pStyle w:val="CETBodytext"/>
              <w:ind w:right="-1"/>
              <w:rPr>
                <w:rFonts w:cs="Arial"/>
                <w:szCs w:val="18"/>
                <w:lang w:val="en-GB"/>
              </w:rPr>
            </w:pPr>
            <w:r w:rsidRPr="00D10388">
              <w:rPr>
                <w:rFonts w:cs="Arial"/>
                <w:szCs w:val="18"/>
                <w:lang w:val="en-GB"/>
              </w:rPr>
              <w:t>16</w:t>
            </w:r>
          </w:p>
        </w:tc>
        <w:tc>
          <w:tcPr>
            <w:tcW w:w="709" w:type="dxa"/>
            <w:shd w:val="clear" w:color="auto" w:fill="FFFFFF"/>
          </w:tcPr>
          <w:p w14:paraId="2CD6C2D6" w14:textId="69DD5ADC" w:rsidR="00235C48" w:rsidRPr="00D10388" w:rsidRDefault="00870E9A" w:rsidP="00235C48">
            <w:pPr>
              <w:pStyle w:val="CETBodytext"/>
              <w:ind w:right="-1"/>
              <w:rPr>
                <w:rFonts w:cs="Arial"/>
                <w:szCs w:val="18"/>
                <w:lang w:val="en-GB"/>
              </w:rPr>
            </w:pPr>
            <w:r w:rsidRPr="00D10388">
              <w:rPr>
                <w:rFonts w:cs="Arial"/>
                <w:szCs w:val="18"/>
                <w:lang w:val="en-GB"/>
              </w:rPr>
              <w:t>-</w:t>
            </w:r>
          </w:p>
        </w:tc>
        <w:tc>
          <w:tcPr>
            <w:tcW w:w="709" w:type="dxa"/>
            <w:shd w:val="clear" w:color="auto" w:fill="FFFFFF"/>
          </w:tcPr>
          <w:p w14:paraId="45FD4A88" w14:textId="6BF38E79" w:rsidR="00235C48" w:rsidRPr="00D10388" w:rsidRDefault="00870E9A" w:rsidP="00235C48">
            <w:pPr>
              <w:pStyle w:val="CETBodytext"/>
              <w:ind w:right="-1"/>
              <w:rPr>
                <w:rFonts w:cs="Arial"/>
                <w:szCs w:val="18"/>
                <w:lang w:val="en-GB"/>
              </w:rPr>
            </w:pPr>
            <w:r w:rsidRPr="00D10388">
              <w:rPr>
                <w:rFonts w:cs="Arial"/>
                <w:szCs w:val="18"/>
                <w:lang w:val="en-GB"/>
              </w:rPr>
              <w:t>-</w:t>
            </w:r>
          </w:p>
        </w:tc>
        <w:tc>
          <w:tcPr>
            <w:tcW w:w="709" w:type="dxa"/>
            <w:shd w:val="clear" w:color="auto" w:fill="FFFFFF"/>
          </w:tcPr>
          <w:p w14:paraId="2121257D" w14:textId="79ADAF04" w:rsidR="00235C48" w:rsidRPr="00D10388" w:rsidRDefault="00870E9A" w:rsidP="00235C48">
            <w:pPr>
              <w:pStyle w:val="CETBodytext"/>
              <w:ind w:right="-1"/>
              <w:rPr>
                <w:rFonts w:cs="Arial"/>
                <w:szCs w:val="18"/>
                <w:lang w:val="en-GB"/>
              </w:rPr>
            </w:pPr>
            <w:r w:rsidRPr="00D10388">
              <w:rPr>
                <w:rFonts w:cs="Arial"/>
                <w:szCs w:val="18"/>
                <w:lang w:val="en-GB"/>
              </w:rPr>
              <w:t>-</w:t>
            </w:r>
          </w:p>
        </w:tc>
        <w:tc>
          <w:tcPr>
            <w:tcW w:w="1204" w:type="dxa"/>
            <w:shd w:val="clear" w:color="auto" w:fill="FFFFFF"/>
          </w:tcPr>
          <w:p w14:paraId="0FA7FD56" w14:textId="75587585" w:rsidR="00235C48" w:rsidRPr="00D10388" w:rsidRDefault="00870E9A" w:rsidP="00235C48">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3AAE8650" w14:textId="309E000B" w:rsidR="00235C48" w:rsidRPr="00D10388" w:rsidRDefault="00870E9A" w:rsidP="00235C48">
            <w:pPr>
              <w:pStyle w:val="CETBodytext"/>
              <w:ind w:right="-1"/>
              <w:rPr>
                <w:rFonts w:cs="Arial"/>
                <w:szCs w:val="18"/>
                <w:lang w:val="en-GB"/>
              </w:rPr>
            </w:pPr>
            <w:r w:rsidRPr="00D10388">
              <w:rPr>
                <w:rFonts w:cs="Arial"/>
                <w:szCs w:val="18"/>
                <w:lang w:val="en-GB"/>
              </w:rPr>
              <w:t>200</w:t>
            </w:r>
          </w:p>
        </w:tc>
        <w:tc>
          <w:tcPr>
            <w:tcW w:w="1205" w:type="dxa"/>
            <w:shd w:val="clear" w:color="auto" w:fill="FFFFFF"/>
          </w:tcPr>
          <w:p w14:paraId="54637C22" w14:textId="677A1C20" w:rsidR="00235C48" w:rsidRPr="00D10388" w:rsidRDefault="00870E9A" w:rsidP="00235C48">
            <w:pPr>
              <w:pStyle w:val="CETBodytext"/>
              <w:ind w:right="-1"/>
              <w:rPr>
                <w:rFonts w:cs="Arial"/>
                <w:szCs w:val="18"/>
                <w:lang w:val="en-GB"/>
              </w:rPr>
            </w:pPr>
            <w:r w:rsidRPr="00D10388">
              <w:rPr>
                <w:rFonts w:cs="Arial"/>
                <w:szCs w:val="18"/>
                <w:lang w:val="en-GB"/>
              </w:rPr>
              <w:t>5</w:t>
            </w:r>
          </w:p>
        </w:tc>
        <w:tc>
          <w:tcPr>
            <w:tcW w:w="1205" w:type="dxa"/>
            <w:shd w:val="clear" w:color="auto" w:fill="FFFFFF"/>
          </w:tcPr>
          <w:p w14:paraId="079E12BA" w14:textId="4C854CBE" w:rsidR="00235C48" w:rsidRPr="00D10388" w:rsidRDefault="00870E9A" w:rsidP="00235C48">
            <w:pPr>
              <w:pStyle w:val="CETBodytext"/>
              <w:ind w:right="-1"/>
              <w:rPr>
                <w:rFonts w:cs="Arial"/>
                <w:szCs w:val="18"/>
                <w:lang w:val="en-GB"/>
              </w:rPr>
            </w:pPr>
            <w:r w:rsidRPr="00D10388">
              <w:rPr>
                <w:rFonts w:cs="Arial"/>
                <w:szCs w:val="18"/>
                <w:lang w:val="en-GB"/>
              </w:rPr>
              <w:t>Ignition</w:t>
            </w:r>
          </w:p>
        </w:tc>
      </w:tr>
      <w:tr w:rsidR="00870E9A" w:rsidRPr="00D10388" w14:paraId="5DC6539E" w14:textId="77777777" w:rsidTr="00A75F4A">
        <w:tc>
          <w:tcPr>
            <w:tcW w:w="1134" w:type="dxa"/>
            <w:shd w:val="clear" w:color="auto" w:fill="FFFFFF"/>
          </w:tcPr>
          <w:p w14:paraId="1877A464" w14:textId="7D8940B4" w:rsidR="00870E9A" w:rsidRPr="00D10388" w:rsidRDefault="00870E9A" w:rsidP="00870E9A">
            <w:pPr>
              <w:pStyle w:val="CETBodytext"/>
              <w:ind w:right="-1"/>
              <w:rPr>
                <w:rFonts w:cs="Arial"/>
                <w:szCs w:val="18"/>
                <w:lang w:val="en-GB"/>
              </w:rPr>
            </w:pPr>
            <w:r w:rsidRPr="00D10388">
              <w:rPr>
                <w:rFonts w:cs="Arial"/>
                <w:szCs w:val="18"/>
                <w:lang w:val="en-GB"/>
              </w:rPr>
              <w:t>17</w:t>
            </w:r>
          </w:p>
        </w:tc>
        <w:tc>
          <w:tcPr>
            <w:tcW w:w="709" w:type="dxa"/>
            <w:shd w:val="clear" w:color="auto" w:fill="FFFFFF"/>
          </w:tcPr>
          <w:p w14:paraId="40EA521E" w14:textId="5DFC9994"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785D0ECE" w14:textId="3E9CA479"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250DE0BC" w14:textId="1A5E8A67" w:rsidR="00870E9A" w:rsidRPr="00D10388" w:rsidRDefault="00870E9A" w:rsidP="00870E9A">
            <w:pPr>
              <w:pStyle w:val="CETBodytext"/>
              <w:ind w:right="-1"/>
              <w:rPr>
                <w:rFonts w:cs="Arial"/>
                <w:szCs w:val="18"/>
                <w:lang w:val="en-GB"/>
              </w:rPr>
            </w:pPr>
            <w:r w:rsidRPr="00D10388">
              <w:rPr>
                <w:rFonts w:cs="Arial"/>
                <w:szCs w:val="18"/>
                <w:lang w:val="en-GB"/>
              </w:rPr>
              <w:t>-</w:t>
            </w:r>
          </w:p>
        </w:tc>
        <w:tc>
          <w:tcPr>
            <w:tcW w:w="1204" w:type="dxa"/>
            <w:shd w:val="clear" w:color="auto" w:fill="FFFFFF"/>
          </w:tcPr>
          <w:p w14:paraId="2073555B" w14:textId="5DA172E4" w:rsidR="00870E9A" w:rsidRPr="00D10388" w:rsidRDefault="00870E9A" w:rsidP="00870E9A">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039E3B5C" w14:textId="3A4DFA5B" w:rsidR="00870E9A" w:rsidRPr="00D10388" w:rsidRDefault="00870E9A" w:rsidP="00870E9A">
            <w:pPr>
              <w:pStyle w:val="CETBodytext"/>
              <w:ind w:right="-1"/>
              <w:rPr>
                <w:rFonts w:cs="Arial"/>
                <w:szCs w:val="18"/>
                <w:lang w:val="en-GB"/>
              </w:rPr>
            </w:pPr>
            <w:r w:rsidRPr="00D10388">
              <w:rPr>
                <w:rFonts w:cs="Arial"/>
                <w:szCs w:val="18"/>
                <w:lang w:val="en-GB"/>
              </w:rPr>
              <w:t>190</w:t>
            </w:r>
          </w:p>
        </w:tc>
        <w:tc>
          <w:tcPr>
            <w:tcW w:w="1205" w:type="dxa"/>
            <w:shd w:val="clear" w:color="auto" w:fill="FFFFFF"/>
          </w:tcPr>
          <w:p w14:paraId="6857EDD8" w14:textId="5C8A4C59" w:rsidR="00870E9A" w:rsidRPr="00D10388" w:rsidRDefault="00870E9A" w:rsidP="00870E9A">
            <w:pPr>
              <w:pStyle w:val="CETBodytext"/>
              <w:ind w:right="-1"/>
              <w:rPr>
                <w:rFonts w:cs="Arial"/>
                <w:szCs w:val="18"/>
                <w:lang w:val="en-GB"/>
              </w:rPr>
            </w:pPr>
            <w:r w:rsidRPr="00D10388">
              <w:rPr>
                <w:rFonts w:cs="Arial"/>
                <w:szCs w:val="18"/>
                <w:lang w:val="en-GB"/>
              </w:rPr>
              <w:t>5</w:t>
            </w:r>
          </w:p>
        </w:tc>
        <w:tc>
          <w:tcPr>
            <w:tcW w:w="1205" w:type="dxa"/>
            <w:shd w:val="clear" w:color="auto" w:fill="FFFFFF"/>
          </w:tcPr>
          <w:p w14:paraId="104C64DE" w14:textId="5226A57F" w:rsidR="00870E9A" w:rsidRPr="00D10388" w:rsidRDefault="00870E9A" w:rsidP="00870E9A">
            <w:pPr>
              <w:pStyle w:val="CETBodytext"/>
              <w:ind w:right="-1"/>
              <w:rPr>
                <w:rFonts w:cs="Arial"/>
                <w:szCs w:val="18"/>
                <w:lang w:val="en-GB"/>
              </w:rPr>
            </w:pPr>
            <w:r w:rsidRPr="00D10388">
              <w:rPr>
                <w:rFonts w:cs="Arial"/>
                <w:szCs w:val="18"/>
                <w:lang w:val="en-GB"/>
              </w:rPr>
              <w:t>No ignition</w:t>
            </w:r>
          </w:p>
        </w:tc>
      </w:tr>
      <w:tr w:rsidR="00870E9A" w:rsidRPr="00D10388" w14:paraId="7082F0CF" w14:textId="77777777" w:rsidTr="00A75F4A">
        <w:tc>
          <w:tcPr>
            <w:tcW w:w="1134" w:type="dxa"/>
            <w:shd w:val="clear" w:color="auto" w:fill="FFFFFF"/>
          </w:tcPr>
          <w:p w14:paraId="3086C7C3" w14:textId="0C5D5113" w:rsidR="00870E9A" w:rsidRPr="00D10388" w:rsidRDefault="00870E9A" w:rsidP="00870E9A">
            <w:pPr>
              <w:pStyle w:val="CETBodytext"/>
              <w:ind w:right="-1"/>
              <w:rPr>
                <w:rFonts w:cs="Arial"/>
                <w:szCs w:val="18"/>
                <w:lang w:val="en-GB"/>
              </w:rPr>
            </w:pPr>
            <w:r w:rsidRPr="00D10388">
              <w:rPr>
                <w:rFonts w:cs="Arial"/>
                <w:szCs w:val="18"/>
                <w:lang w:val="en-GB"/>
              </w:rPr>
              <w:t>18</w:t>
            </w:r>
          </w:p>
        </w:tc>
        <w:tc>
          <w:tcPr>
            <w:tcW w:w="709" w:type="dxa"/>
            <w:shd w:val="clear" w:color="auto" w:fill="FFFFFF"/>
          </w:tcPr>
          <w:p w14:paraId="3DAA409B" w14:textId="64661399"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477D6010" w14:textId="3B0AC80C"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2FDB12EA" w14:textId="27A94AAE" w:rsidR="00870E9A" w:rsidRPr="00D10388" w:rsidRDefault="00870E9A" w:rsidP="00870E9A">
            <w:pPr>
              <w:pStyle w:val="CETBodytext"/>
              <w:ind w:right="-1"/>
              <w:rPr>
                <w:rFonts w:cs="Arial"/>
                <w:szCs w:val="18"/>
                <w:lang w:val="en-GB"/>
              </w:rPr>
            </w:pPr>
            <w:r w:rsidRPr="00D10388">
              <w:rPr>
                <w:rFonts w:cs="Arial"/>
                <w:szCs w:val="18"/>
                <w:lang w:val="en-GB"/>
              </w:rPr>
              <w:t>-</w:t>
            </w:r>
          </w:p>
        </w:tc>
        <w:tc>
          <w:tcPr>
            <w:tcW w:w="1204" w:type="dxa"/>
            <w:shd w:val="clear" w:color="auto" w:fill="FFFFFF"/>
          </w:tcPr>
          <w:p w14:paraId="02717154" w14:textId="15C16D2C" w:rsidR="00870E9A" w:rsidRPr="00D10388" w:rsidRDefault="00870E9A" w:rsidP="00870E9A">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55156095" w14:textId="098E41AE" w:rsidR="00870E9A" w:rsidRPr="00D10388" w:rsidRDefault="00870E9A" w:rsidP="00870E9A">
            <w:pPr>
              <w:pStyle w:val="CETBodytext"/>
              <w:ind w:right="-1"/>
              <w:rPr>
                <w:rFonts w:cs="Arial"/>
                <w:szCs w:val="18"/>
                <w:lang w:val="en-GB"/>
              </w:rPr>
            </w:pPr>
            <w:r w:rsidRPr="00D10388">
              <w:rPr>
                <w:rFonts w:cs="Arial"/>
                <w:szCs w:val="18"/>
                <w:lang w:val="en-GB"/>
              </w:rPr>
              <w:t>180</w:t>
            </w:r>
          </w:p>
        </w:tc>
        <w:tc>
          <w:tcPr>
            <w:tcW w:w="1205" w:type="dxa"/>
            <w:shd w:val="clear" w:color="auto" w:fill="FFFFFF"/>
          </w:tcPr>
          <w:p w14:paraId="30270F65" w14:textId="4206C950" w:rsidR="00870E9A" w:rsidRPr="00D10388" w:rsidRDefault="00870E9A" w:rsidP="00870E9A">
            <w:pPr>
              <w:pStyle w:val="CETBodytext"/>
              <w:ind w:right="-1"/>
              <w:rPr>
                <w:rFonts w:cs="Arial"/>
                <w:szCs w:val="18"/>
                <w:lang w:val="en-GB"/>
              </w:rPr>
            </w:pPr>
            <w:r w:rsidRPr="00D10388">
              <w:rPr>
                <w:rFonts w:cs="Arial"/>
                <w:szCs w:val="18"/>
                <w:lang w:val="en-GB"/>
              </w:rPr>
              <w:t>10</w:t>
            </w:r>
          </w:p>
        </w:tc>
        <w:tc>
          <w:tcPr>
            <w:tcW w:w="1205" w:type="dxa"/>
            <w:shd w:val="clear" w:color="auto" w:fill="FFFFFF"/>
          </w:tcPr>
          <w:p w14:paraId="6586694F" w14:textId="2B09A409" w:rsidR="00870E9A" w:rsidRPr="00D10388" w:rsidRDefault="00870E9A" w:rsidP="00870E9A">
            <w:pPr>
              <w:pStyle w:val="CETBodytext"/>
              <w:ind w:right="-1"/>
              <w:rPr>
                <w:rFonts w:cs="Arial"/>
                <w:szCs w:val="18"/>
                <w:lang w:val="en-GB"/>
              </w:rPr>
            </w:pPr>
            <w:r w:rsidRPr="00D10388">
              <w:rPr>
                <w:rFonts w:cs="Arial"/>
                <w:szCs w:val="18"/>
                <w:lang w:val="en-GB"/>
              </w:rPr>
              <w:t>Ignition</w:t>
            </w:r>
          </w:p>
        </w:tc>
      </w:tr>
      <w:tr w:rsidR="00870E9A" w:rsidRPr="00D10388" w14:paraId="6DE45FB1" w14:textId="77777777" w:rsidTr="00A75F4A">
        <w:tc>
          <w:tcPr>
            <w:tcW w:w="1134" w:type="dxa"/>
            <w:shd w:val="clear" w:color="auto" w:fill="FFFFFF"/>
          </w:tcPr>
          <w:p w14:paraId="6A5D31BA" w14:textId="46280098" w:rsidR="00870E9A" w:rsidRPr="00D10388" w:rsidRDefault="00870E9A" w:rsidP="00870E9A">
            <w:pPr>
              <w:pStyle w:val="CETBodytext"/>
              <w:ind w:right="-1"/>
              <w:rPr>
                <w:rFonts w:cs="Arial"/>
                <w:szCs w:val="18"/>
                <w:lang w:val="en-GB"/>
              </w:rPr>
            </w:pPr>
            <w:r w:rsidRPr="00D10388">
              <w:rPr>
                <w:rFonts w:cs="Arial"/>
                <w:szCs w:val="18"/>
                <w:lang w:val="en-GB"/>
              </w:rPr>
              <w:t>19</w:t>
            </w:r>
          </w:p>
        </w:tc>
        <w:tc>
          <w:tcPr>
            <w:tcW w:w="709" w:type="dxa"/>
            <w:shd w:val="clear" w:color="auto" w:fill="FFFFFF"/>
          </w:tcPr>
          <w:p w14:paraId="1449A894" w14:textId="396A859E"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68D500D7" w14:textId="4694D3F7"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4E8E3875" w14:textId="56949534" w:rsidR="00870E9A" w:rsidRPr="00D10388" w:rsidRDefault="00870E9A" w:rsidP="00870E9A">
            <w:pPr>
              <w:pStyle w:val="CETBodytext"/>
              <w:ind w:right="-1"/>
              <w:rPr>
                <w:rFonts w:cs="Arial"/>
                <w:szCs w:val="18"/>
                <w:lang w:val="en-GB"/>
              </w:rPr>
            </w:pPr>
            <w:r w:rsidRPr="00D10388">
              <w:rPr>
                <w:rFonts w:cs="Arial"/>
                <w:szCs w:val="18"/>
                <w:lang w:val="en-GB"/>
              </w:rPr>
              <w:t>-</w:t>
            </w:r>
          </w:p>
        </w:tc>
        <w:tc>
          <w:tcPr>
            <w:tcW w:w="1204" w:type="dxa"/>
            <w:shd w:val="clear" w:color="auto" w:fill="FFFFFF"/>
          </w:tcPr>
          <w:p w14:paraId="4118C01D" w14:textId="3885EA61" w:rsidR="00870E9A" w:rsidRPr="00D10388" w:rsidRDefault="00870E9A" w:rsidP="00870E9A">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6D8EE9AE" w14:textId="57910A7B" w:rsidR="00870E9A" w:rsidRPr="00D10388" w:rsidRDefault="00870E9A" w:rsidP="00870E9A">
            <w:pPr>
              <w:pStyle w:val="CETBodytext"/>
              <w:ind w:right="-1"/>
              <w:rPr>
                <w:rFonts w:cs="Arial"/>
                <w:szCs w:val="18"/>
                <w:lang w:val="en-GB"/>
              </w:rPr>
            </w:pPr>
            <w:r w:rsidRPr="00D10388">
              <w:rPr>
                <w:rFonts w:cs="Arial"/>
                <w:szCs w:val="18"/>
                <w:lang w:val="en-GB"/>
              </w:rPr>
              <w:t>170</w:t>
            </w:r>
          </w:p>
        </w:tc>
        <w:tc>
          <w:tcPr>
            <w:tcW w:w="1205" w:type="dxa"/>
            <w:shd w:val="clear" w:color="auto" w:fill="FFFFFF"/>
          </w:tcPr>
          <w:p w14:paraId="1EA7AD8D" w14:textId="66739CB6" w:rsidR="00870E9A" w:rsidRPr="00D10388" w:rsidRDefault="00870E9A" w:rsidP="00870E9A">
            <w:pPr>
              <w:pStyle w:val="CETBodytext"/>
              <w:ind w:right="-1"/>
              <w:rPr>
                <w:rFonts w:cs="Arial"/>
                <w:szCs w:val="18"/>
                <w:lang w:val="en-GB"/>
              </w:rPr>
            </w:pPr>
            <w:r w:rsidRPr="00D10388">
              <w:rPr>
                <w:rFonts w:cs="Arial"/>
                <w:szCs w:val="18"/>
                <w:lang w:val="en-GB"/>
              </w:rPr>
              <w:t>10</w:t>
            </w:r>
          </w:p>
        </w:tc>
        <w:tc>
          <w:tcPr>
            <w:tcW w:w="1205" w:type="dxa"/>
            <w:shd w:val="clear" w:color="auto" w:fill="FFFFFF"/>
          </w:tcPr>
          <w:p w14:paraId="21B9BF15" w14:textId="1837D23D" w:rsidR="00870E9A" w:rsidRPr="00D10388" w:rsidRDefault="00870E9A" w:rsidP="00870E9A">
            <w:pPr>
              <w:pStyle w:val="CETBodytext"/>
              <w:ind w:right="-1"/>
              <w:rPr>
                <w:rFonts w:cs="Arial"/>
                <w:szCs w:val="18"/>
                <w:lang w:val="en-GB"/>
              </w:rPr>
            </w:pPr>
            <w:r w:rsidRPr="00D10388">
              <w:rPr>
                <w:rFonts w:cs="Arial"/>
                <w:szCs w:val="18"/>
                <w:lang w:val="en-GB"/>
              </w:rPr>
              <w:t>No ignition</w:t>
            </w:r>
          </w:p>
        </w:tc>
      </w:tr>
      <w:tr w:rsidR="00870E9A" w:rsidRPr="00D10388" w14:paraId="4CBCE477" w14:textId="77777777" w:rsidTr="00A75F4A">
        <w:tc>
          <w:tcPr>
            <w:tcW w:w="1134" w:type="dxa"/>
            <w:shd w:val="clear" w:color="auto" w:fill="FFFFFF"/>
          </w:tcPr>
          <w:p w14:paraId="58F398B3" w14:textId="399670EE" w:rsidR="00870E9A" w:rsidRPr="00D10388" w:rsidRDefault="00870E9A" w:rsidP="00870E9A">
            <w:pPr>
              <w:pStyle w:val="CETBodytext"/>
              <w:ind w:right="-1"/>
              <w:rPr>
                <w:rFonts w:cs="Arial"/>
                <w:szCs w:val="18"/>
                <w:lang w:val="en-GB"/>
              </w:rPr>
            </w:pPr>
            <w:r w:rsidRPr="00D10388">
              <w:rPr>
                <w:rFonts w:cs="Arial"/>
                <w:szCs w:val="18"/>
                <w:lang w:val="en-GB"/>
              </w:rPr>
              <w:t>20</w:t>
            </w:r>
          </w:p>
        </w:tc>
        <w:tc>
          <w:tcPr>
            <w:tcW w:w="709" w:type="dxa"/>
            <w:shd w:val="clear" w:color="auto" w:fill="FFFFFF"/>
          </w:tcPr>
          <w:p w14:paraId="1435F6B4" w14:textId="0C1FED67"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75460B8A" w14:textId="3FE33CCB"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1B359729" w14:textId="0BA01051" w:rsidR="00870E9A" w:rsidRPr="00D10388" w:rsidRDefault="00870E9A" w:rsidP="00870E9A">
            <w:pPr>
              <w:pStyle w:val="CETBodytext"/>
              <w:ind w:right="-1"/>
              <w:rPr>
                <w:rFonts w:cs="Arial"/>
                <w:szCs w:val="18"/>
                <w:lang w:val="en-GB"/>
              </w:rPr>
            </w:pPr>
            <w:r w:rsidRPr="00D10388">
              <w:rPr>
                <w:rFonts w:cs="Arial"/>
                <w:szCs w:val="18"/>
                <w:lang w:val="en-GB"/>
              </w:rPr>
              <w:t>-</w:t>
            </w:r>
          </w:p>
        </w:tc>
        <w:tc>
          <w:tcPr>
            <w:tcW w:w="1204" w:type="dxa"/>
            <w:shd w:val="clear" w:color="auto" w:fill="FFFFFF"/>
          </w:tcPr>
          <w:p w14:paraId="71F4B444" w14:textId="047D6A54" w:rsidR="00870E9A" w:rsidRPr="00D10388" w:rsidRDefault="00870E9A" w:rsidP="00870E9A">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53B493A1" w14:textId="728F6CD6" w:rsidR="00870E9A" w:rsidRPr="00D10388" w:rsidRDefault="00870E9A" w:rsidP="00870E9A">
            <w:pPr>
              <w:pStyle w:val="CETBodytext"/>
              <w:ind w:right="-1"/>
              <w:rPr>
                <w:rFonts w:cs="Arial"/>
                <w:szCs w:val="18"/>
                <w:lang w:val="en-GB"/>
              </w:rPr>
            </w:pPr>
            <w:r w:rsidRPr="00D10388">
              <w:rPr>
                <w:rFonts w:cs="Arial"/>
                <w:szCs w:val="18"/>
                <w:lang w:val="en-GB"/>
              </w:rPr>
              <w:t>220</w:t>
            </w:r>
          </w:p>
        </w:tc>
        <w:tc>
          <w:tcPr>
            <w:tcW w:w="1205" w:type="dxa"/>
            <w:shd w:val="clear" w:color="auto" w:fill="FFFFFF"/>
          </w:tcPr>
          <w:p w14:paraId="51907C4D" w14:textId="7C6AF13F" w:rsidR="00870E9A" w:rsidRPr="00D10388" w:rsidRDefault="00870E9A" w:rsidP="00870E9A">
            <w:pPr>
              <w:pStyle w:val="CETBodytext"/>
              <w:ind w:right="-1"/>
              <w:rPr>
                <w:rFonts w:cs="Arial"/>
                <w:szCs w:val="18"/>
                <w:lang w:val="en-GB"/>
              </w:rPr>
            </w:pPr>
            <w:r w:rsidRPr="00D10388">
              <w:rPr>
                <w:rFonts w:cs="Arial"/>
                <w:szCs w:val="18"/>
                <w:lang w:val="en-GB"/>
              </w:rPr>
              <w:t>2.5</w:t>
            </w:r>
          </w:p>
        </w:tc>
        <w:tc>
          <w:tcPr>
            <w:tcW w:w="1205" w:type="dxa"/>
            <w:shd w:val="clear" w:color="auto" w:fill="FFFFFF"/>
          </w:tcPr>
          <w:p w14:paraId="2EFD76A2" w14:textId="1367AB69" w:rsidR="00870E9A" w:rsidRPr="00D10388" w:rsidRDefault="00870E9A" w:rsidP="00870E9A">
            <w:pPr>
              <w:pStyle w:val="CETBodytext"/>
              <w:ind w:right="-1"/>
              <w:rPr>
                <w:rFonts w:cs="Arial"/>
                <w:szCs w:val="18"/>
                <w:lang w:val="en-GB"/>
              </w:rPr>
            </w:pPr>
            <w:r w:rsidRPr="00D10388">
              <w:rPr>
                <w:rFonts w:cs="Arial"/>
                <w:szCs w:val="18"/>
                <w:lang w:val="en-GB"/>
              </w:rPr>
              <w:t>Ignition</w:t>
            </w:r>
          </w:p>
        </w:tc>
      </w:tr>
      <w:tr w:rsidR="00870E9A" w:rsidRPr="00D10388" w14:paraId="36793AB5" w14:textId="77777777" w:rsidTr="00A75F4A">
        <w:tc>
          <w:tcPr>
            <w:tcW w:w="1134" w:type="dxa"/>
            <w:shd w:val="clear" w:color="auto" w:fill="FFFFFF"/>
          </w:tcPr>
          <w:p w14:paraId="05958B3E" w14:textId="080FB4C9" w:rsidR="00870E9A" w:rsidRPr="00D10388" w:rsidRDefault="00870E9A" w:rsidP="00870E9A">
            <w:pPr>
              <w:pStyle w:val="CETBodytext"/>
              <w:ind w:right="-1"/>
              <w:rPr>
                <w:rFonts w:cs="Arial"/>
                <w:szCs w:val="18"/>
                <w:lang w:val="en-GB"/>
              </w:rPr>
            </w:pPr>
            <w:r w:rsidRPr="00D10388">
              <w:rPr>
                <w:rFonts w:cs="Arial"/>
                <w:szCs w:val="18"/>
                <w:lang w:val="en-GB"/>
              </w:rPr>
              <w:t>21</w:t>
            </w:r>
          </w:p>
        </w:tc>
        <w:tc>
          <w:tcPr>
            <w:tcW w:w="709" w:type="dxa"/>
            <w:shd w:val="clear" w:color="auto" w:fill="FFFFFF"/>
          </w:tcPr>
          <w:p w14:paraId="550B6D1D" w14:textId="689FF39C"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3265D617" w14:textId="5B519D02"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07D3010F" w14:textId="650140CC" w:rsidR="00870E9A" w:rsidRPr="00D10388" w:rsidRDefault="00870E9A" w:rsidP="00870E9A">
            <w:pPr>
              <w:pStyle w:val="CETBodytext"/>
              <w:ind w:right="-1"/>
              <w:rPr>
                <w:rFonts w:cs="Arial"/>
                <w:szCs w:val="18"/>
                <w:lang w:val="en-GB"/>
              </w:rPr>
            </w:pPr>
            <w:r w:rsidRPr="00D10388">
              <w:rPr>
                <w:rFonts w:cs="Arial"/>
                <w:szCs w:val="18"/>
                <w:lang w:val="en-GB"/>
              </w:rPr>
              <w:t>-</w:t>
            </w:r>
          </w:p>
        </w:tc>
        <w:tc>
          <w:tcPr>
            <w:tcW w:w="1204" w:type="dxa"/>
            <w:shd w:val="clear" w:color="auto" w:fill="FFFFFF"/>
          </w:tcPr>
          <w:p w14:paraId="44DC419D" w14:textId="5A64B8E2" w:rsidR="00870E9A" w:rsidRPr="00D10388" w:rsidRDefault="00870E9A" w:rsidP="00870E9A">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50CE0178" w14:textId="6B7E6F0E" w:rsidR="00870E9A" w:rsidRPr="00D10388" w:rsidRDefault="00870E9A" w:rsidP="00870E9A">
            <w:pPr>
              <w:pStyle w:val="CETBodytext"/>
              <w:ind w:right="-1"/>
              <w:rPr>
                <w:rFonts w:cs="Arial"/>
                <w:szCs w:val="18"/>
                <w:lang w:val="en-GB"/>
              </w:rPr>
            </w:pPr>
            <w:r w:rsidRPr="00D10388">
              <w:rPr>
                <w:rFonts w:cs="Arial"/>
                <w:szCs w:val="18"/>
                <w:lang w:val="en-GB"/>
              </w:rPr>
              <w:t>210</w:t>
            </w:r>
          </w:p>
        </w:tc>
        <w:tc>
          <w:tcPr>
            <w:tcW w:w="1205" w:type="dxa"/>
            <w:shd w:val="clear" w:color="auto" w:fill="FFFFFF"/>
          </w:tcPr>
          <w:p w14:paraId="0A1B45D8" w14:textId="4650BA19" w:rsidR="00870E9A" w:rsidRPr="00D10388" w:rsidRDefault="00870E9A" w:rsidP="00870E9A">
            <w:pPr>
              <w:pStyle w:val="CETBodytext"/>
              <w:ind w:right="-1"/>
              <w:rPr>
                <w:rFonts w:cs="Arial"/>
                <w:szCs w:val="18"/>
                <w:lang w:val="en-GB"/>
              </w:rPr>
            </w:pPr>
            <w:r w:rsidRPr="00D10388">
              <w:rPr>
                <w:rFonts w:cs="Arial"/>
                <w:szCs w:val="18"/>
                <w:lang w:val="en-GB"/>
              </w:rPr>
              <w:t>2.5</w:t>
            </w:r>
          </w:p>
        </w:tc>
        <w:tc>
          <w:tcPr>
            <w:tcW w:w="1205" w:type="dxa"/>
            <w:shd w:val="clear" w:color="auto" w:fill="FFFFFF"/>
          </w:tcPr>
          <w:p w14:paraId="53531C80" w14:textId="0B27A600" w:rsidR="00870E9A" w:rsidRPr="00D10388" w:rsidRDefault="00870E9A" w:rsidP="00870E9A">
            <w:pPr>
              <w:pStyle w:val="CETBodytext"/>
              <w:ind w:right="-1"/>
              <w:rPr>
                <w:rFonts w:cs="Arial"/>
                <w:szCs w:val="18"/>
                <w:lang w:val="en-GB"/>
              </w:rPr>
            </w:pPr>
            <w:r w:rsidRPr="00D10388">
              <w:rPr>
                <w:rFonts w:cs="Arial"/>
                <w:szCs w:val="18"/>
                <w:lang w:val="en-GB"/>
              </w:rPr>
              <w:t>No ignition</w:t>
            </w:r>
          </w:p>
        </w:tc>
      </w:tr>
      <w:tr w:rsidR="00870E9A" w:rsidRPr="00D10388" w14:paraId="52312AC5" w14:textId="77777777" w:rsidTr="00A75F4A">
        <w:tc>
          <w:tcPr>
            <w:tcW w:w="1134" w:type="dxa"/>
            <w:shd w:val="clear" w:color="auto" w:fill="FFFFFF"/>
          </w:tcPr>
          <w:p w14:paraId="63CE1448" w14:textId="0CDEBA24" w:rsidR="00870E9A" w:rsidRPr="00D10388" w:rsidRDefault="00870E9A" w:rsidP="00870E9A">
            <w:pPr>
              <w:pStyle w:val="CETBodytext"/>
              <w:ind w:right="-1"/>
              <w:rPr>
                <w:rFonts w:cs="Arial"/>
                <w:szCs w:val="18"/>
                <w:lang w:val="en-GB"/>
              </w:rPr>
            </w:pPr>
            <w:r w:rsidRPr="00D10388">
              <w:rPr>
                <w:rFonts w:cs="Arial"/>
                <w:szCs w:val="18"/>
                <w:lang w:val="en-GB"/>
              </w:rPr>
              <w:t>22</w:t>
            </w:r>
          </w:p>
        </w:tc>
        <w:tc>
          <w:tcPr>
            <w:tcW w:w="709" w:type="dxa"/>
            <w:shd w:val="clear" w:color="auto" w:fill="FFFFFF"/>
          </w:tcPr>
          <w:p w14:paraId="73ED08E3" w14:textId="5E18009D"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677ADA88" w14:textId="59DC7122" w:rsidR="00870E9A" w:rsidRPr="00D10388" w:rsidRDefault="00870E9A" w:rsidP="00870E9A">
            <w:pPr>
              <w:pStyle w:val="CETBodytext"/>
              <w:ind w:right="-1"/>
              <w:rPr>
                <w:rFonts w:cs="Arial"/>
                <w:szCs w:val="18"/>
                <w:lang w:val="en-GB"/>
              </w:rPr>
            </w:pPr>
            <w:r w:rsidRPr="00D10388">
              <w:rPr>
                <w:rFonts w:cs="Arial"/>
                <w:szCs w:val="18"/>
                <w:lang w:val="en-GB"/>
              </w:rPr>
              <w:t>-</w:t>
            </w:r>
          </w:p>
        </w:tc>
        <w:tc>
          <w:tcPr>
            <w:tcW w:w="709" w:type="dxa"/>
            <w:shd w:val="clear" w:color="auto" w:fill="FFFFFF"/>
          </w:tcPr>
          <w:p w14:paraId="6F1E8D2A" w14:textId="78ED06FB" w:rsidR="00870E9A" w:rsidRPr="00D10388" w:rsidRDefault="00870E9A" w:rsidP="00870E9A">
            <w:pPr>
              <w:pStyle w:val="CETBodytext"/>
              <w:ind w:right="-1"/>
              <w:rPr>
                <w:rFonts w:cs="Arial"/>
                <w:szCs w:val="18"/>
                <w:lang w:val="en-GB"/>
              </w:rPr>
            </w:pPr>
            <w:r w:rsidRPr="00D10388">
              <w:rPr>
                <w:rFonts w:cs="Arial"/>
                <w:szCs w:val="18"/>
                <w:lang w:val="en-GB"/>
              </w:rPr>
              <w:t>-</w:t>
            </w:r>
          </w:p>
        </w:tc>
        <w:tc>
          <w:tcPr>
            <w:tcW w:w="1204" w:type="dxa"/>
            <w:shd w:val="clear" w:color="auto" w:fill="FFFFFF"/>
          </w:tcPr>
          <w:p w14:paraId="021A6478" w14:textId="6515A1EC" w:rsidR="00870E9A" w:rsidRPr="00D10388" w:rsidRDefault="00870E9A" w:rsidP="00870E9A">
            <w:pPr>
              <w:pStyle w:val="CETBodytext"/>
              <w:ind w:right="-1"/>
              <w:rPr>
                <w:rFonts w:cs="Arial"/>
                <w:szCs w:val="18"/>
                <w:lang w:val="en-GB"/>
              </w:rPr>
            </w:pPr>
            <w:r w:rsidRPr="00D10388">
              <w:rPr>
                <w:rFonts w:cs="Arial"/>
                <w:szCs w:val="18"/>
                <w:lang w:val="en-GB"/>
              </w:rPr>
              <w:t>Raw (7)</w:t>
            </w:r>
          </w:p>
        </w:tc>
        <w:tc>
          <w:tcPr>
            <w:tcW w:w="1205" w:type="dxa"/>
            <w:shd w:val="clear" w:color="auto" w:fill="FFFFFF"/>
          </w:tcPr>
          <w:p w14:paraId="498D0BC3" w14:textId="4F1AEC82" w:rsidR="00870E9A" w:rsidRPr="00D10388" w:rsidRDefault="00870E9A" w:rsidP="00870E9A">
            <w:pPr>
              <w:pStyle w:val="CETBodytext"/>
              <w:ind w:right="-1"/>
              <w:rPr>
                <w:rFonts w:cs="Arial"/>
                <w:szCs w:val="18"/>
                <w:lang w:val="en-GB"/>
              </w:rPr>
            </w:pPr>
            <w:r w:rsidRPr="00D10388">
              <w:rPr>
                <w:rFonts w:cs="Arial"/>
                <w:szCs w:val="18"/>
                <w:lang w:val="en-GB"/>
              </w:rPr>
              <w:t>170</w:t>
            </w:r>
          </w:p>
        </w:tc>
        <w:tc>
          <w:tcPr>
            <w:tcW w:w="1205" w:type="dxa"/>
            <w:shd w:val="clear" w:color="auto" w:fill="FFFFFF"/>
          </w:tcPr>
          <w:p w14:paraId="43090C36" w14:textId="7D4D1C74" w:rsidR="00870E9A" w:rsidRPr="00D10388" w:rsidRDefault="00870E9A" w:rsidP="00870E9A">
            <w:pPr>
              <w:pStyle w:val="CETBodytext"/>
              <w:ind w:right="-1"/>
              <w:rPr>
                <w:rFonts w:cs="Arial"/>
                <w:szCs w:val="18"/>
                <w:lang w:val="en-GB"/>
              </w:rPr>
            </w:pPr>
            <w:r w:rsidRPr="00D10388">
              <w:rPr>
                <w:rFonts w:cs="Arial"/>
                <w:szCs w:val="18"/>
                <w:lang w:val="en-GB"/>
              </w:rPr>
              <w:t>15</w:t>
            </w:r>
          </w:p>
        </w:tc>
        <w:tc>
          <w:tcPr>
            <w:tcW w:w="1205" w:type="dxa"/>
            <w:shd w:val="clear" w:color="auto" w:fill="FFFFFF"/>
          </w:tcPr>
          <w:p w14:paraId="4D265253" w14:textId="22FF8F3C" w:rsidR="00870E9A" w:rsidRPr="00D10388" w:rsidRDefault="00870E9A" w:rsidP="00870E9A">
            <w:pPr>
              <w:pStyle w:val="CETBodytext"/>
              <w:ind w:right="-1"/>
              <w:rPr>
                <w:rFonts w:cs="Arial"/>
                <w:szCs w:val="18"/>
                <w:lang w:val="en-GB"/>
              </w:rPr>
            </w:pPr>
            <w:r w:rsidRPr="00D10388">
              <w:rPr>
                <w:rFonts w:cs="Arial"/>
                <w:szCs w:val="18"/>
                <w:lang w:val="en-GB"/>
              </w:rPr>
              <w:t>Ignition</w:t>
            </w:r>
          </w:p>
        </w:tc>
      </w:tr>
    </w:tbl>
    <w:p w14:paraId="3C0DEFF2" w14:textId="77777777" w:rsidR="00A75F4A" w:rsidRPr="00D10388" w:rsidRDefault="00A75F4A" w:rsidP="0076266C">
      <w:pPr>
        <w:pStyle w:val="CETBodytext"/>
        <w:rPr>
          <w:lang w:val="en-GB"/>
        </w:rPr>
      </w:pPr>
    </w:p>
    <w:p w14:paraId="1FC082D5" w14:textId="77777777" w:rsidR="002F4337" w:rsidRPr="00D10388" w:rsidRDefault="002F4337" w:rsidP="002F4337">
      <w:pPr>
        <w:pStyle w:val="CETheadingx"/>
        <w:rPr>
          <w:lang w:val="en-GB"/>
        </w:rPr>
      </w:pPr>
      <w:r w:rsidRPr="00D10388">
        <w:rPr>
          <w:lang w:val="en-GB"/>
        </w:rPr>
        <w:t>Thermal stability: influences of biomass size, temperature and basket size</w:t>
      </w:r>
    </w:p>
    <w:p w14:paraId="1A7C0F5A" w14:textId="502BED41" w:rsidR="00E40CDE" w:rsidRPr="00D10388" w:rsidRDefault="00E441D4" w:rsidP="00DC06A4">
      <w:pPr>
        <w:pStyle w:val="CETBodytext"/>
        <w:spacing w:after="120"/>
        <w:rPr>
          <w:lang w:val="en-GB"/>
        </w:rPr>
      </w:pPr>
      <w:r w:rsidRPr="00D10388">
        <w:rPr>
          <w:lang w:val="en-GB"/>
        </w:rPr>
        <w:t xml:space="preserve">Preliminary tests to identify cross-influences of powder/pellets size, temperature and basket size on the thermal stability of biomass storage facilities were first performed by introducing the samples into the cold oven. </w:t>
      </w:r>
      <w:r w:rsidR="00DC06A4" w:rsidRPr="00D10388">
        <w:rPr>
          <w:lang w:val="en-GB"/>
        </w:rPr>
        <w:t>A full factorial 2</w:t>
      </w:r>
      <w:r w:rsidR="00DC06A4" w:rsidRPr="00D10388">
        <w:rPr>
          <w:vertAlign w:val="superscript"/>
          <w:lang w:val="en-GB"/>
        </w:rPr>
        <w:t>3</w:t>
      </w:r>
      <w:r w:rsidR="00DC06A4" w:rsidRPr="00D10388">
        <w:rPr>
          <w:lang w:val="en-GB"/>
        </w:rPr>
        <w:t xml:space="preserve"> design was developed and residual analysis clearly shows a parabolic repartition of the </w:t>
      </w:r>
    </w:p>
    <w:p w14:paraId="0D105CA5" w14:textId="05CDB338" w:rsidR="003C3A2E" w:rsidRPr="00D10388" w:rsidRDefault="00E369B9" w:rsidP="00072FB0">
      <w:pPr>
        <w:pStyle w:val="CETBodytext"/>
        <w:jc w:val="left"/>
        <w:rPr>
          <w:lang w:val="en-GB"/>
        </w:rPr>
      </w:pPr>
      <w:r w:rsidRPr="00D10388">
        <w:rPr>
          <w:noProof/>
          <w:lang w:val="en-GB"/>
        </w:rPr>
        <w:drawing>
          <wp:inline distT="0" distB="0" distL="0" distR="0" wp14:anchorId="3F6130E1" wp14:editId="6E8DC0C4">
            <wp:extent cx="3996114" cy="2333727"/>
            <wp:effectExtent l="0" t="0" r="4445" b="9525"/>
            <wp:docPr id="8104034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03404" name="Image 810403404"/>
                    <pic:cNvPicPr/>
                  </pic:nvPicPr>
                  <pic:blipFill rotWithShape="1">
                    <a:blip r:embed="rId13"/>
                    <a:srcRect t="6716"/>
                    <a:stretch/>
                  </pic:blipFill>
                  <pic:spPr bwMode="auto">
                    <a:xfrm>
                      <a:off x="0" y="0"/>
                      <a:ext cx="4024398" cy="2350245"/>
                    </a:xfrm>
                    <a:prstGeom prst="rect">
                      <a:avLst/>
                    </a:prstGeom>
                    <a:ln>
                      <a:noFill/>
                    </a:ln>
                    <a:extLst>
                      <a:ext uri="{53640926-AAD7-44D8-BBD7-CCE9431645EC}">
                        <a14:shadowObscured xmlns:a14="http://schemas.microsoft.com/office/drawing/2010/main"/>
                      </a:ext>
                    </a:extLst>
                  </pic:spPr>
                </pic:pic>
              </a:graphicData>
            </a:graphic>
          </wp:inline>
        </w:drawing>
      </w:r>
    </w:p>
    <w:p w14:paraId="5DC38FB8" w14:textId="4AA96BD3" w:rsidR="003C3A2E" w:rsidRPr="00D10388" w:rsidRDefault="00072FB0" w:rsidP="00C27688">
      <w:pPr>
        <w:pStyle w:val="CETCaption"/>
      </w:pPr>
      <w:r w:rsidRPr="00D10388">
        <w:t xml:space="preserve">Figure </w:t>
      </w:r>
      <w:r w:rsidR="00DC06A4" w:rsidRPr="00D10388">
        <w:t>4</w:t>
      </w:r>
      <w:r w:rsidRPr="00D10388">
        <w:t xml:space="preserve">: </w:t>
      </w:r>
      <w:r w:rsidR="00E369B9" w:rsidRPr="00D10388">
        <w:t xml:space="preserve">Self-ignition test performed on </w:t>
      </w:r>
      <w:r w:rsidR="006849EE" w:rsidRPr="00D10388">
        <w:t xml:space="preserve">raw </w:t>
      </w:r>
      <w:r w:rsidR="00E369B9" w:rsidRPr="00D10388">
        <w:t>Miscanthus pellets in 10 cm side basket at 200 °C</w:t>
      </w:r>
    </w:p>
    <w:p w14:paraId="2A670676" w14:textId="77777777" w:rsidR="008A0BDD" w:rsidRPr="00D10388" w:rsidRDefault="008A0BDD" w:rsidP="008A0BDD">
      <w:pPr>
        <w:pStyle w:val="CETBodytext"/>
        <w:rPr>
          <w:lang w:val="en-GB"/>
        </w:rPr>
      </w:pPr>
      <w:r w:rsidRPr="00D10388">
        <w:rPr>
          <w:noProof/>
          <w:lang w:val="en-GB"/>
        </w:rPr>
        <w:drawing>
          <wp:inline distT="0" distB="0" distL="0" distR="0" wp14:anchorId="4E4BB742" wp14:editId="44CCAE6F">
            <wp:extent cx="4938584" cy="2685651"/>
            <wp:effectExtent l="0" t="0" r="0" b="635"/>
            <wp:docPr id="115032799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27996" name="Image 1150327996"/>
                    <pic:cNvPicPr/>
                  </pic:nvPicPr>
                  <pic:blipFill rotWithShape="1">
                    <a:blip r:embed="rId14"/>
                    <a:srcRect l="6850" t="3561" r="2076" b="2828"/>
                    <a:stretch/>
                  </pic:blipFill>
                  <pic:spPr bwMode="auto">
                    <a:xfrm>
                      <a:off x="0" y="0"/>
                      <a:ext cx="5006711" cy="2722699"/>
                    </a:xfrm>
                    <a:prstGeom prst="rect">
                      <a:avLst/>
                    </a:prstGeom>
                    <a:ln>
                      <a:noFill/>
                    </a:ln>
                    <a:extLst>
                      <a:ext uri="{53640926-AAD7-44D8-BBD7-CCE9431645EC}">
                        <a14:shadowObscured xmlns:a14="http://schemas.microsoft.com/office/drawing/2010/main"/>
                      </a:ext>
                    </a:extLst>
                  </pic:spPr>
                </pic:pic>
              </a:graphicData>
            </a:graphic>
          </wp:inline>
        </w:drawing>
      </w:r>
    </w:p>
    <w:p w14:paraId="4D6F9FA1" w14:textId="4AEE9122" w:rsidR="008A0BDD" w:rsidRPr="00D10388" w:rsidRDefault="008A0BDD" w:rsidP="008A0BDD">
      <w:pPr>
        <w:pStyle w:val="CETCaption"/>
      </w:pPr>
      <w:r w:rsidRPr="00D10388">
        <w:t xml:space="preserve">Figure </w:t>
      </w:r>
      <w:r w:rsidR="00DC06A4" w:rsidRPr="00D10388">
        <w:t>5</w:t>
      </w:r>
      <w:r w:rsidR="00015674" w:rsidRPr="00D10388">
        <w:t>: Cross-influences of the temperature, biomass size and basket size on the thermal stability</w:t>
      </w:r>
    </w:p>
    <w:p w14:paraId="48A066F9" w14:textId="77777777" w:rsidR="00AE628C" w:rsidRDefault="00AE628C" w:rsidP="00DC06A4">
      <w:pPr>
        <w:pStyle w:val="CETBodytext"/>
        <w:rPr>
          <w:lang w:val="en-GB"/>
        </w:rPr>
      </w:pPr>
      <w:r w:rsidRPr="00D10388">
        <w:rPr>
          <w:lang w:val="en-GB"/>
        </w:rPr>
        <w:t>errors, which implies that the trends are not linear and that the use of a surface response design is mandatory. Experiments #1-15 (Table 1) were done according to a Doehlert design; results are presented in Figure 5.</w:t>
      </w:r>
    </w:p>
    <w:p w14:paraId="21322F28" w14:textId="01BCF219" w:rsidR="00D4516E" w:rsidRPr="00D10388" w:rsidRDefault="00D4516E" w:rsidP="00DC06A4">
      <w:pPr>
        <w:pStyle w:val="CETBodytext"/>
        <w:rPr>
          <w:lang w:val="en-GB"/>
        </w:rPr>
      </w:pPr>
      <w:r w:rsidRPr="00D10388">
        <w:rPr>
          <w:lang w:val="en-GB"/>
        </w:rPr>
        <w:t xml:space="preserve">Figure 5 confirms the non-linear behavior predicted </w:t>
      </w:r>
      <w:r w:rsidR="0005391F" w:rsidRPr="00D10388">
        <w:rPr>
          <w:lang w:val="en-GB"/>
        </w:rPr>
        <w:t>from</w:t>
      </w:r>
      <w:r w:rsidRPr="00D10388">
        <w:rPr>
          <w:lang w:val="en-GB"/>
        </w:rPr>
        <w:t xml:space="preserve"> the factorial design: there is an optimal biomass size for which the storage is more stable. It demonstrates the significant impact of bed permeability </w:t>
      </w:r>
      <w:r w:rsidR="00CE1D87" w:rsidRPr="00D10388">
        <w:rPr>
          <w:lang w:val="en-GB"/>
        </w:rPr>
        <w:t xml:space="preserve">(Yazdanpanah et al., 2010) </w:t>
      </w:r>
      <w:r w:rsidRPr="00D10388">
        <w:rPr>
          <w:lang w:val="en-GB"/>
        </w:rPr>
        <w:t xml:space="preserve">and oxygen accessibility on the thermal stability of </w:t>
      </w:r>
      <w:r w:rsidR="0005391F" w:rsidRPr="00D10388">
        <w:rPr>
          <w:lang w:val="en-GB"/>
        </w:rPr>
        <w:t xml:space="preserve">biomass piles: for pellets, the convection within the pile cannot be neglected but the energy density is maximum; whereas for powders, the air diffusion </w:t>
      </w:r>
      <w:r w:rsidR="00CE1D87" w:rsidRPr="00D10388">
        <w:rPr>
          <w:lang w:val="en-GB"/>
        </w:rPr>
        <w:t>towards</w:t>
      </w:r>
      <w:r w:rsidR="0005391F" w:rsidRPr="00D10388">
        <w:rPr>
          <w:lang w:val="en-GB"/>
        </w:rPr>
        <w:t xml:space="preserve"> the </w:t>
      </w:r>
      <w:r w:rsidR="00CE1D87" w:rsidRPr="00D10388">
        <w:rPr>
          <w:lang w:val="en-GB"/>
        </w:rPr>
        <w:t xml:space="preserve">pile </w:t>
      </w:r>
      <w:r w:rsidR="0005391F" w:rsidRPr="00D10388">
        <w:rPr>
          <w:lang w:val="en-GB"/>
        </w:rPr>
        <w:t>centre is limited.</w:t>
      </w:r>
    </w:p>
    <w:p w14:paraId="698B4FC0" w14:textId="3D832A5A" w:rsidR="0076266C" w:rsidRPr="00D10388" w:rsidRDefault="0076266C" w:rsidP="0076266C">
      <w:pPr>
        <w:pStyle w:val="CETheadingx"/>
        <w:rPr>
          <w:lang w:val="en-GB"/>
        </w:rPr>
      </w:pPr>
      <w:r w:rsidRPr="00D10388">
        <w:rPr>
          <w:lang w:val="en-GB"/>
        </w:rPr>
        <w:t>Thermal stab: influence of wrap</w:t>
      </w:r>
    </w:p>
    <w:p w14:paraId="47535017" w14:textId="1C2BE6FB" w:rsidR="00113BB6" w:rsidRPr="00D10388" w:rsidRDefault="001E4982" w:rsidP="00420B43">
      <w:pPr>
        <w:pStyle w:val="CETBodytext"/>
        <w:widowControl w:val="0"/>
        <w:rPr>
          <w:lang w:val="en-GB"/>
        </w:rPr>
      </w:pPr>
      <w:r w:rsidRPr="00D10388">
        <w:rPr>
          <w:lang w:val="en-GB"/>
        </w:rPr>
        <w:t>For 10 cm side basket, bagging increases their thermal stability, but only for temperatures lower than 220 °C. By limiting the access of oxygen, the crossing point time can be increased by almost 60% (pellets at 180 °C).</w:t>
      </w:r>
    </w:p>
    <w:p w14:paraId="12B15CB3" w14:textId="528F1A92" w:rsidR="0076266C" w:rsidRPr="00D10388" w:rsidRDefault="00E1714D" w:rsidP="0076266C">
      <w:pPr>
        <w:pStyle w:val="CETheadingx"/>
        <w:rPr>
          <w:lang w:val="en-GB"/>
        </w:rPr>
      </w:pPr>
      <w:r w:rsidRPr="00D10388">
        <w:rPr>
          <w:lang w:val="en-GB"/>
        </w:rPr>
        <w:t>3</w:t>
      </w:r>
      <w:r w:rsidR="0076266C" w:rsidRPr="00D10388">
        <w:rPr>
          <w:lang w:val="en-GB"/>
        </w:rPr>
        <w:t>D-model</w:t>
      </w:r>
    </w:p>
    <w:p w14:paraId="4977AB04" w14:textId="06BDC470" w:rsidR="00FD596F" w:rsidRPr="00D10388" w:rsidRDefault="00136BB2" w:rsidP="00C71122">
      <w:pPr>
        <w:pStyle w:val="CETBodytext"/>
        <w:spacing w:after="120"/>
        <w:rPr>
          <w:lang w:val="en-GB"/>
        </w:rPr>
      </w:pPr>
      <w:r w:rsidRPr="00D10388">
        <w:rPr>
          <w:lang w:val="en-GB"/>
        </w:rPr>
        <w:t xml:space="preserve">The previous results were used as a basis to develop a </w:t>
      </w:r>
      <w:r w:rsidR="003A0E05">
        <w:rPr>
          <w:lang w:val="en-GB"/>
        </w:rPr>
        <w:t>3D model</w:t>
      </w:r>
      <w:r w:rsidRPr="00D10388">
        <w:rPr>
          <w:lang w:val="en-GB"/>
        </w:rPr>
        <w:t xml:space="preserve"> for a quarter basket (10 x 5 x 5 cm</w:t>
      </w:r>
      <w:r w:rsidRPr="00D10388">
        <w:rPr>
          <w:vertAlign w:val="superscript"/>
          <w:lang w:val="en-GB"/>
        </w:rPr>
        <w:t>3</w:t>
      </w:r>
      <w:r w:rsidRPr="00D10388">
        <w:rPr>
          <w:lang w:val="en-GB"/>
        </w:rPr>
        <w:t>) with 6</w:t>
      </w:r>
      <w:r w:rsidRPr="00D10388">
        <w:rPr>
          <w:vertAlign w:val="superscript"/>
          <w:lang w:val="en-GB"/>
        </w:rPr>
        <w:t>3</w:t>
      </w:r>
      <w:r w:rsidRPr="00D10388">
        <w:rPr>
          <w:lang w:val="en-GB"/>
        </w:rPr>
        <w:t xml:space="preserve"> cells. </w:t>
      </w:r>
      <w:r w:rsidR="00E1714D" w:rsidRPr="00D10388">
        <w:rPr>
          <w:lang w:val="en-GB"/>
        </w:rPr>
        <w:t>A</w:t>
      </w:r>
      <w:r w:rsidR="00FD596F" w:rsidRPr="00D10388">
        <w:rPr>
          <w:lang w:val="en-GB"/>
        </w:rPr>
        <w:t xml:space="preserve"> finite volume method </w:t>
      </w:r>
      <w:r w:rsidR="00C71122" w:rsidRPr="00D10388">
        <w:rPr>
          <w:lang w:val="en-GB"/>
        </w:rPr>
        <w:t>was</w:t>
      </w:r>
      <w:r w:rsidR="00A95DBA" w:rsidRPr="00D10388">
        <w:rPr>
          <w:lang w:val="en-GB"/>
        </w:rPr>
        <w:t xml:space="preserve"> implemented</w:t>
      </w:r>
      <w:r w:rsidR="00C71122" w:rsidRPr="00D10388">
        <w:rPr>
          <w:lang w:val="en-GB"/>
        </w:rPr>
        <w:t xml:space="preserve"> in M</w:t>
      </w:r>
      <w:r w:rsidR="00113BB6" w:rsidRPr="00D10388">
        <w:rPr>
          <w:lang w:val="en-GB"/>
        </w:rPr>
        <w:t>ATLAB®</w:t>
      </w:r>
      <w:r w:rsidR="00C71122" w:rsidRPr="00D10388">
        <w:rPr>
          <w:lang w:val="en-GB"/>
        </w:rPr>
        <w:t xml:space="preserve"> to solve mass and energy balances, including conductive, convective and radiative heat transfers. </w:t>
      </w:r>
      <w:r w:rsidR="003A0E05">
        <w:rPr>
          <w:lang w:val="en-GB"/>
        </w:rPr>
        <w:t xml:space="preserve">The main equations and hypothesis of this model can be found in </w:t>
      </w:r>
      <w:r w:rsidR="009F5CA6">
        <w:rPr>
          <w:lang w:val="en-GB"/>
        </w:rPr>
        <w:t>Bideau et al. (2011)</w:t>
      </w:r>
      <w:r w:rsidR="003A0E05">
        <w:rPr>
          <w:lang w:val="en-GB"/>
        </w:rPr>
        <w:t xml:space="preserve">. </w:t>
      </w:r>
      <w:r w:rsidR="00C71122" w:rsidRPr="00D10388">
        <w:rPr>
          <w:lang w:val="en-GB"/>
        </w:rPr>
        <w:t xml:space="preserve">A particle size distribution ranging between 10 µm to 2.5 cm was considered and the consumption of reactants was represented by a shrinking core model, whose activation energy was determined by TGA. </w:t>
      </w:r>
      <w:r w:rsidR="005826DB" w:rsidRPr="00D10388">
        <w:rPr>
          <w:lang w:val="en-GB"/>
        </w:rPr>
        <w:t xml:space="preserve">It should be stressed that heat release kinetics seems to be a crucial parameter (Schwarzer et al., 2021). </w:t>
      </w:r>
      <w:r w:rsidR="00C71122" w:rsidRPr="00D10388">
        <w:rPr>
          <w:lang w:val="en-GB"/>
        </w:rPr>
        <w:t>Pellets conductivity and heat capacity were taken from Gupta et al. (2021). Experiments allowed to validate the heat transfer within the biomass piles (Figure 6).</w:t>
      </w:r>
      <w:r w:rsidR="00113BB6" w:rsidRPr="00D10388">
        <w:rPr>
          <w:lang w:val="en-GB"/>
        </w:rPr>
        <w:t xml:space="preserve"> To predict self-heating satisfactorily, considering the porosity variation during the first reaction phases is still to be developed.</w:t>
      </w:r>
      <w:r w:rsidR="00C71122" w:rsidRPr="00D10388">
        <w:rPr>
          <w:lang w:val="en-GB"/>
        </w:rPr>
        <w:t xml:space="preserve"> </w:t>
      </w:r>
    </w:p>
    <w:p w14:paraId="761AAD79" w14:textId="36FFFD34" w:rsidR="0076266C" w:rsidRPr="00D10388" w:rsidRDefault="008B1959" w:rsidP="0076266C">
      <w:pPr>
        <w:pStyle w:val="CETBodytext"/>
        <w:rPr>
          <w:lang w:val="en-GB"/>
        </w:rPr>
      </w:pPr>
      <w:r w:rsidRPr="00D10388">
        <w:rPr>
          <w:noProof/>
          <w:lang w:val="en-GB"/>
        </w:rPr>
        <w:drawing>
          <wp:inline distT="0" distB="0" distL="0" distR="0" wp14:anchorId="3D5AB3FB" wp14:editId="50E2C876">
            <wp:extent cx="2991893" cy="2342751"/>
            <wp:effectExtent l="0" t="0" r="0" b="635"/>
            <wp:docPr id="777744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44264" name=""/>
                    <pic:cNvPicPr/>
                  </pic:nvPicPr>
                  <pic:blipFill rotWithShape="1">
                    <a:blip r:embed="rId15"/>
                    <a:srcRect t="6372" b="1549"/>
                    <a:stretch/>
                  </pic:blipFill>
                  <pic:spPr bwMode="auto">
                    <a:xfrm>
                      <a:off x="0" y="0"/>
                      <a:ext cx="3030811" cy="2373225"/>
                    </a:xfrm>
                    <a:prstGeom prst="rect">
                      <a:avLst/>
                    </a:prstGeom>
                    <a:ln>
                      <a:noFill/>
                    </a:ln>
                    <a:extLst>
                      <a:ext uri="{53640926-AAD7-44D8-BBD7-CCE9431645EC}">
                        <a14:shadowObscured xmlns:a14="http://schemas.microsoft.com/office/drawing/2010/main"/>
                      </a:ext>
                    </a:extLst>
                  </pic:spPr>
                </pic:pic>
              </a:graphicData>
            </a:graphic>
          </wp:inline>
        </w:drawing>
      </w:r>
    </w:p>
    <w:p w14:paraId="03443E89" w14:textId="4B122A40" w:rsidR="008B1959" w:rsidRPr="00D10388" w:rsidRDefault="008B1959" w:rsidP="008B1959">
      <w:pPr>
        <w:pStyle w:val="CETCaption"/>
      </w:pPr>
      <w:r w:rsidRPr="00D10388">
        <w:t xml:space="preserve">Figure </w:t>
      </w:r>
      <w:r w:rsidR="00015674" w:rsidRPr="00D10388">
        <w:t>6</w:t>
      </w:r>
      <w:r w:rsidRPr="00D10388">
        <w:t xml:space="preserve">: </w:t>
      </w:r>
      <w:r w:rsidR="00532AEA" w:rsidRPr="00D10388">
        <w:t>T</w:t>
      </w:r>
      <w:r w:rsidR="00015674" w:rsidRPr="00D10388">
        <w:t>ime-evolution of the temperature in the central cut section of the pile</w:t>
      </w:r>
      <w:r w:rsidR="00532AEA" w:rsidRPr="00D10388">
        <w:t>: model and experiments</w:t>
      </w:r>
    </w:p>
    <w:p w14:paraId="68D26B83" w14:textId="77777777" w:rsidR="00600535" w:rsidRPr="00D10388" w:rsidRDefault="00600535" w:rsidP="00600535">
      <w:pPr>
        <w:pStyle w:val="CETHeading1"/>
        <w:rPr>
          <w:lang w:val="en-GB"/>
        </w:rPr>
      </w:pPr>
      <w:r w:rsidRPr="00D10388">
        <w:rPr>
          <w:lang w:val="en-GB"/>
        </w:rPr>
        <w:t>Conclusions</w:t>
      </w:r>
    </w:p>
    <w:p w14:paraId="16BA1D57" w14:textId="675F0E88" w:rsidR="00493243" w:rsidRPr="00D10388" w:rsidRDefault="00493243" w:rsidP="00493243">
      <w:pPr>
        <w:pStyle w:val="CETBodytext"/>
        <w:rPr>
          <w:lang w:val="en-GB"/>
        </w:rPr>
      </w:pPr>
      <w:r w:rsidRPr="00D10388">
        <w:rPr>
          <w:lang w:val="en-GB"/>
        </w:rPr>
        <w:t>The influence of the size of the pellets or biomass powders on the thermal stability of stockpiles is far from being monotonous. Such behaviour is due to changes in pile permeability and especially to a competition between oxygen accessibility and energy density. Experiments, notably the determination of activation energy by TGA, allow both the development of a 3D model and can guide the choice of efficient and practical technological solutions based on e.g., storage size reduction, pellet size selection, bagging or compaction.</w:t>
      </w:r>
    </w:p>
    <w:p w14:paraId="7D679475" w14:textId="6CF3C8E7" w:rsidR="00E216C0" w:rsidRPr="00D10388" w:rsidRDefault="00600535" w:rsidP="0076266C">
      <w:pPr>
        <w:pStyle w:val="CETReference"/>
      </w:pPr>
      <w:r w:rsidRPr="00D10388">
        <w:t>References</w:t>
      </w:r>
    </w:p>
    <w:p w14:paraId="53F67CF9" w14:textId="77777777" w:rsidR="001564FE" w:rsidRDefault="00B60B52" w:rsidP="001564FE">
      <w:pPr>
        <w:pStyle w:val="CETReferencetext"/>
        <w:rPr>
          <w:lang w:val="en-US"/>
        </w:rPr>
      </w:pPr>
      <w:r w:rsidRPr="002B4612">
        <w:rPr>
          <w:lang w:val="en-US"/>
        </w:rPr>
        <w:t>Bideau D</w:t>
      </w:r>
      <w:r>
        <w:rPr>
          <w:lang w:val="en-US"/>
        </w:rPr>
        <w:t>.</w:t>
      </w:r>
      <w:r w:rsidRPr="002B4612">
        <w:rPr>
          <w:lang w:val="en-US"/>
        </w:rPr>
        <w:t>, Dufaud O</w:t>
      </w:r>
      <w:r>
        <w:rPr>
          <w:lang w:val="en-US"/>
        </w:rPr>
        <w:t>.</w:t>
      </w:r>
      <w:r w:rsidRPr="002B4612">
        <w:rPr>
          <w:lang w:val="en-US"/>
        </w:rPr>
        <w:t>, Le Guyadec F</w:t>
      </w:r>
      <w:r>
        <w:rPr>
          <w:lang w:val="en-US"/>
        </w:rPr>
        <w:t>.</w:t>
      </w:r>
      <w:r w:rsidRPr="002B4612">
        <w:rPr>
          <w:lang w:val="en-US"/>
        </w:rPr>
        <w:t>, Perrin L</w:t>
      </w:r>
      <w:r>
        <w:rPr>
          <w:lang w:val="en-US"/>
        </w:rPr>
        <w:t>.</w:t>
      </w:r>
      <w:r w:rsidRPr="002B4612">
        <w:rPr>
          <w:lang w:val="en-US"/>
        </w:rPr>
        <w:t>, Genin X</w:t>
      </w:r>
      <w:r>
        <w:rPr>
          <w:lang w:val="en-US"/>
        </w:rPr>
        <w:t>.</w:t>
      </w:r>
      <w:r w:rsidRPr="002B4612">
        <w:rPr>
          <w:lang w:val="en-US"/>
        </w:rPr>
        <w:t>, Corriou J</w:t>
      </w:r>
      <w:r>
        <w:rPr>
          <w:lang w:val="en-US"/>
        </w:rPr>
        <w:t>.</w:t>
      </w:r>
      <w:r w:rsidRPr="002B4612">
        <w:rPr>
          <w:lang w:val="en-US"/>
        </w:rPr>
        <w:t>-P</w:t>
      </w:r>
      <w:r>
        <w:rPr>
          <w:lang w:val="en-US"/>
        </w:rPr>
        <w:t>.</w:t>
      </w:r>
      <w:r w:rsidRPr="002B4612">
        <w:rPr>
          <w:lang w:val="en-US"/>
        </w:rPr>
        <w:t>, Caleyron A</w:t>
      </w:r>
      <w:r>
        <w:rPr>
          <w:lang w:val="en-US"/>
        </w:rPr>
        <w:t>.</w:t>
      </w:r>
      <w:r w:rsidRPr="002B4612">
        <w:rPr>
          <w:lang w:val="en-US"/>
        </w:rPr>
        <w:t xml:space="preserve">, </w:t>
      </w:r>
      <w:r>
        <w:rPr>
          <w:lang w:val="en-US"/>
        </w:rPr>
        <w:t xml:space="preserve">2011, </w:t>
      </w:r>
      <w:r w:rsidR="001564FE" w:rsidRPr="002B4612">
        <w:rPr>
          <w:lang w:val="en-US"/>
        </w:rPr>
        <w:t>Self-ignition</w:t>
      </w:r>
      <w:r w:rsidRPr="002B4612">
        <w:rPr>
          <w:lang w:val="en-US"/>
        </w:rPr>
        <w:t xml:space="preserve"> of layers of powder mixture: Effect of s</w:t>
      </w:r>
      <w:r>
        <w:rPr>
          <w:lang w:val="en-US"/>
        </w:rPr>
        <w:t>olid inertants</w:t>
      </w:r>
      <w:r>
        <w:rPr>
          <w:lang w:val="en-US"/>
        </w:rPr>
        <w:t>,</w:t>
      </w:r>
      <w:r>
        <w:rPr>
          <w:lang w:val="en-US"/>
        </w:rPr>
        <w:t xml:space="preserve"> Powder Technology, 209, 81-91</w:t>
      </w:r>
    </w:p>
    <w:p w14:paraId="71951C3F" w14:textId="179E9B33" w:rsidR="001564FE" w:rsidRPr="001564FE" w:rsidRDefault="001564FE" w:rsidP="001564FE">
      <w:pPr>
        <w:pStyle w:val="CETReferencetext"/>
        <w:rPr>
          <w:lang w:val="en-US"/>
        </w:rPr>
      </w:pPr>
      <w:r>
        <w:t>Dufaud</w:t>
      </w:r>
      <w:r w:rsidR="00702E76">
        <w:t xml:space="preserve"> O.</w:t>
      </w:r>
      <w:r w:rsidRPr="00392381">
        <w:t>, Janès</w:t>
      </w:r>
      <w:r w:rsidR="00702E76">
        <w:t xml:space="preserve"> A.</w:t>
      </w:r>
      <w:r w:rsidRPr="00392381">
        <w:t>, Henrion</w:t>
      </w:r>
      <w:r w:rsidR="00702E76">
        <w:t xml:space="preserve"> J.</w:t>
      </w:r>
      <w:r w:rsidRPr="00392381">
        <w:t>, Sigot</w:t>
      </w:r>
      <w:r w:rsidR="00702E76">
        <w:t xml:space="preserve"> L.</w:t>
      </w:r>
      <w:r w:rsidRPr="00392381">
        <w:t>, Laubie</w:t>
      </w:r>
      <w:r w:rsidR="00702E76">
        <w:t xml:space="preserve"> B.</w:t>
      </w:r>
      <w:r w:rsidRPr="00392381">
        <w:t>, Simonnot</w:t>
      </w:r>
      <w:r w:rsidR="00702E76">
        <w:t xml:space="preserve"> M.-O.</w:t>
      </w:r>
      <w:r>
        <w:t xml:space="preserve">, 2022, </w:t>
      </w:r>
      <w:r>
        <w:t>Ignition and Self-heating Risk Assessment of Hydrocarbon Polluted Soils</w:t>
      </w:r>
      <w:r w:rsidR="00702E76">
        <w:t>, Chemical Engineering Transactions, 90, 73-78</w:t>
      </w:r>
    </w:p>
    <w:p w14:paraId="32527AC3" w14:textId="7BCB3822" w:rsidR="00BA03F9" w:rsidRPr="00D10388" w:rsidRDefault="00BA03F9" w:rsidP="00BA03F9">
      <w:pPr>
        <w:pStyle w:val="CETReferencetext"/>
      </w:pPr>
      <w:r w:rsidRPr="00D10388">
        <w:t>Gupta A., Siddiqui H., Rathi S., Mahajani S., 2021, Intra-pellet transport limitations in the pyrolysis of raintree leaves litter, Energy, 216, 119267.</w:t>
      </w:r>
    </w:p>
    <w:p w14:paraId="756FADFE" w14:textId="6D41F81B" w:rsidR="00AB7DAB" w:rsidRPr="00D10388" w:rsidRDefault="00AB7DAB" w:rsidP="00AB7DAB">
      <w:pPr>
        <w:pStyle w:val="CETReferencetext"/>
      </w:pPr>
      <w:r w:rsidRPr="00D10388">
        <w:t xml:space="preserve">Guo W., Trischuk K., Bi X., Lim C.J., Sokhansanj S., 2014, Measurements of wood pellets self-heating kinetic parameters using isothermal calorimetry, Biomass and Bioenergy, 63, 1-9. </w:t>
      </w:r>
    </w:p>
    <w:p w14:paraId="18F4E32F" w14:textId="65CAAA5A" w:rsidR="008B1959" w:rsidRPr="00D10388" w:rsidRDefault="008B1959" w:rsidP="008B1959">
      <w:pPr>
        <w:pStyle w:val="CETReferencetext"/>
      </w:pPr>
      <w:r w:rsidRPr="00D10388">
        <w:t>ISO/TS 20049-2, 2020, Solid biofuels - Determination of self-heating of pelletized biofuels - Part 2: Basket heating tests, International Organization for Standardization.</w:t>
      </w:r>
    </w:p>
    <w:p w14:paraId="2D8D1516" w14:textId="77777777" w:rsidR="00AB7DAB" w:rsidRPr="00D10388" w:rsidRDefault="00AB7DAB" w:rsidP="00AB7DAB">
      <w:pPr>
        <w:pStyle w:val="CETReferencetext"/>
      </w:pPr>
      <w:r w:rsidRPr="00D10388">
        <w:t>Janès, A., Vignes, A., Dufaud, O., 2019, Ignition temperatures of dust layers and bulk storages in hot environments, Journal of Loss Prevention in the Process Industries, 59, 106-117.</w:t>
      </w:r>
    </w:p>
    <w:p w14:paraId="43CF54DB" w14:textId="35617BAF" w:rsidR="00AB7DAB" w:rsidRPr="00D10388" w:rsidRDefault="00AB7DAB" w:rsidP="00AB7DAB">
      <w:pPr>
        <w:pStyle w:val="CETReferencetext"/>
      </w:pPr>
      <w:r w:rsidRPr="00D10388">
        <w:t>Restuccia F., Fernandez-Anez N., Rein G., 2019, Experimental measurement of particle size effects on the self-heating ignition of biomass piles: Homogeneous samples of dust and pellets, Fuel, 256, 115838.</w:t>
      </w:r>
    </w:p>
    <w:p w14:paraId="5A13856B" w14:textId="34441E09" w:rsidR="006B4888" w:rsidRPr="00D10388" w:rsidRDefault="00AB7DAB" w:rsidP="00AB7DAB">
      <w:pPr>
        <w:pStyle w:val="CETReferencetext"/>
      </w:pPr>
      <w:r w:rsidRPr="00D10388">
        <w:t>Schmidt M., Lohrer C., Krause U., 2003, Self-ignition of dust at reduced volume fractions of ambient oxygen Journal of Loss Prevention in the Process Industries, 16 (2), 141-147.</w:t>
      </w:r>
    </w:p>
    <w:p w14:paraId="54A0955E" w14:textId="0FD10A4C" w:rsidR="00AB7DAB" w:rsidRPr="00D10388" w:rsidRDefault="00AB7DAB" w:rsidP="00AB7DAB">
      <w:pPr>
        <w:pStyle w:val="CETReferencetext"/>
      </w:pPr>
      <w:r w:rsidRPr="00D10388">
        <w:t>Schwarzer L., Jensen P.A., Wedel S., Glarborg P., Karlström O., Holm J.K., Dam-Johansen, K., 2021, Self-heating and thermal runaway of biomass – Lab-scale experiments and modeling for conditions resembling power plant mills, Fuel, 294, 120281.</w:t>
      </w:r>
    </w:p>
    <w:p w14:paraId="2F8F0959" w14:textId="2A988DAD" w:rsidR="00AB7DAB" w:rsidRPr="00D10388" w:rsidRDefault="00AB7DAB" w:rsidP="00AB7DAB">
      <w:pPr>
        <w:pStyle w:val="CETReferencetext"/>
      </w:pPr>
      <w:r w:rsidRPr="00D10388">
        <w:t>Villacorta E., Haraldseid I., Mikalsen R.F., Hagen B.C., Erland S., Kleppe G., Krause U., Frette V., 2021, Onset of smoldering fires in storage silos: Susceptibility to design, scenario, and material parameters, Fuel, 284, 118964.</w:t>
      </w:r>
    </w:p>
    <w:p w14:paraId="19C4FC68" w14:textId="606F0583" w:rsidR="004628D2" w:rsidRPr="00D10388" w:rsidRDefault="00041359" w:rsidP="00BA03F9">
      <w:pPr>
        <w:pStyle w:val="CETReferencetext"/>
      </w:pPr>
      <w:r w:rsidRPr="00D10388">
        <w:t>Yazdanpanah, F., Sokhansanj, S., Lau, A.K., Lim, C.J., Bi, X., Melin, S., Afzal, M., 2010, Permeability of wood pellets in the presence of fines, Bioresource Technology, 101 (14), 5565-5570.</w:t>
      </w:r>
    </w:p>
    <w:sectPr w:rsidR="004628D2" w:rsidRPr="00D10388"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CBE8C" w14:textId="77777777" w:rsidR="000D474A" w:rsidRDefault="000D474A" w:rsidP="004F5E36">
      <w:r>
        <w:separator/>
      </w:r>
    </w:p>
  </w:endnote>
  <w:endnote w:type="continuationSeparator" w:id="0">
    <w:p w14:paraId="1898D8D4" w14:textId="77777777" w:rsidR="000D474A" w:rsidRDefault="000D474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0A29E" w14:textId="77777777" w:rsidR="000D474A" w:rsidRDefault="000D474A" w:rsidP="004F5E36">
      <w:r>
        <w:separator/>
      </w:r>
    </w:p>
  </w:footnote>
  <w:footnote w:type="continuationSeparator" w:id="0">
    <w:p w14:paraId="719365A3" w14:textId="77777777" w:rsidR="000D474A" w:rsidRDefault="000D474A"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5674"/>
    <w:rsid w:val="0003148D"/>
    <w:rsid w:val="00041359"/>
    <w:rsid w:val="00042DC2"/>
    <w:rsid w:val="00051566"/>
    <w:rsid w:val="0005391F"/>
    <w:rsid w:val="00062A9A"/>
    <w:rsid w:val="00065058"/>
    <w:rsid w:val="00072FB0"/>
    <w:rsid w:val="00086C39"/>
    <w:rsid w:val="0009174B"/>
    <w:rsid w:val="000A03B2"/>
    <w:rsid w:val="000D0268"/>
    <w:rsid w:val="000D34BE"/>
    <w:rsid w:val="000D474A"/>
    <w:rsid w:val="000E102F"/>
    <w:rsid w:val="000E36F1"/>
    <w:rsid w:val="000E3A73"/>
    <w:rsid w:val="000E414A"/>
    <w:rsid w:val="000F093C"/>
    <w:rsid w:val="000F787B"/>
    <w:rsid w:val="00113BB6"/>
    <w:rsid w:val="0012091F"/>
    <w:rsid w:val="00126BC2"/>
    <w:rsid w:val="001308B6"/>
    <w:rsid w:val="0013121F"/>
    <w:rsid w:val="00131FE6"/>
    <w:rsid w:val="0013263F"/>
    <w:rsid w:val="00133159"/>
    <w:rsid w:val="00134DE4"/>
    <w:rsid w:val="00136BB2"/>
    <w:rsid w:val="0014034D"/>
    <w:rsid w:val="0014501D"/>
    <w:rsid w:val="00150E59"/>
    <w:rsid w:val="00152DE3"/>
    <w:rsid w:val="001564FE"/>
    <w:rsid w:val="001645F1"/>
    <w:rsid w:val="00164CF9"/>
    <w:rsid w:val="001667A6"/>
    <w:rsid w:val="00184AD6"/>
    <w:rsid w:val="00197F6C"/>
    <w:rsid w:val="001A436B"/>
    <w:rsid w:val="001A4AF7"/>
    <w:rsid w:val="001B0349"/>
    <w:rsid w:val="001B65C1"/>
    <w:rsid w:val="001C4247"/>
    <w:rsid w:val="001C684B"/>
    <w:rsid w:val="001D53FC"/>
    <w:rsid w:val="001E4982"/>
    <w:rsid w:val="001F0C81"/>
    <w:rsid w:val="001F2153"/>
    <w:rsid w:val="001F42A5"/>
    <w:rsid w:val="001F5F78"/>
    <w:rsid w:val="001F6338"/>
    <w:rsid w:val="001F7B9D"/>
    <w:rsid w:val="00204BD6"/>
    <w:rsid w:val="00211DD7"/>
    <w:rsid w:val="002224B4"/>
    <w:rsid w:val="00225738"/>
    <w:rsid w:val="00235C48"/>
    <w:rsid w:val="002447EF"/>
    <w:rsid w:val="002467E5"/>
    <w:rsid w:val="00251550"/>
    <w:rsid w:val="00263B05"/>
    <w:rsid w:val="0027221A"/>
    <w:rsid w:val="00275B61"/>
    <w:rsid w:val="00282656"/>
    <w:rsid w:val="00283AE8"/>
    <w:rsid w:val="00296B83"/>
    <w:rsid w:val="002B382D"/>
    <w:rsid w:val="002B78CE"/>
    <w:rsid w:val="002B7C3E"/>
    <w:rsid w:val="002C2FB6"/>
    <w:rsid w:val="002D7C5F"/>
    <w:rsid w:val="002F3309"/>
    <w:rsid w:val="002F4337"/>
    <w:rsid w:val="003009B7"/>
    <w:rsid w:val="00300E56"/>
    <w:rsid w:val="0030469C"/>
    <w:rsid w:val="00321CA6"/>
    <w:rsid w:val="00323763"/>
    <w:rsid w:val="0033403B"/>
    <w:rsid w:val="00334C09"/>
    <w:rsid w:val="00344528"/>
    <w:rsid w:val="00361CE0"/>
    <w:rsid w:val="003723D4"/>
    <w:rsid w:val="003728E3"/>
    <w:rsid w:val="00381905"/>
    <w:rsid w:val="00384CC8"/>
    <w:rsid w:val="003871FD"/>
    <w:rsid w:val="00387C41"/>
    <w:rsid w:val="003A0E05"/>
    <w:rsid w:val="003A1E30"/>
    <w:rsid w:val="003A7D1C"/>
    <w:rsid w:val="003B304B"/>
    <w:rsid w:val="003B3146"/>
    <w:rsid w:val="003C3A2E"/>
    <w:rsid w:val="003F015E"/>
    <w:rsid w:val="00400414"/>
    <w:rsid w:val="0041446B"/>
    <w:rsid w:val="00420B43"/>
    <w:rsid w:val="00442421"/>
    <w:rsid w:val="0044329C"/>
    <w:rsid w:val="004577FE"/>
    <w:rsid w:val="00457B9C"/>
    <w:rsid w:val="0046164A"/>
    <w:rsid w:val="004628D2"/>
    <w:rsid w:val="00462DCD"/>
    <w:rsid w:val="004648AD"/>
    <w:rsid w:val="004703A9"/>
    <w:rsid w:val="004760DE"/>
    <w:rsid w:val="004763D7"/>
    <w:rsid w:val="00493243"/>
    <w:rsid w:val="004A004E"/>
    <w:rsid w:val="004A24CF"/>
    <w:rsid w:val="004C3D1D"/>
    <w:rsid w:val="004C7913"/>
    <w:rsid w:val="004E3724"/>
    <w:rsid w:val="004E4DD6"/>
    <w:rsid w:val="004F53DA"/>
    <w:rsid w:val="004F5E36"/>
    <w:rsid w:val="004F7546"/>
    <w:rsid w:val="00507B47"/>
    <w:rsid w:val="00507BEF"/>
    <w:rsid w:val="00507CC9"/>
    <w:rsid w:val="005119A5"/>
    <w:rsid w:val="0052033A"/>
    <w:rsid w:val="005278B7"/>
    <w:rsid w:val="00532016"/>
    <w:rsid w:val="00532AEA"/>
    <w:rsid w:val="005346C8"/>
    <w:rsid w:val="00543E7D"/>
    <w:rsid w:val="00543FE0"/>
    <w:rsid w:val="00547A68"/>
    <w:rsid w:val="005531C9"/>
    <w:rsid w:val="005645A2"/>
    <w:rsid w:val="00570C43"/>
    <w:rsid w:val="00573CE5"/>
    <w:rsid w:val="005826DB"/>
    <w:rsid w:val="00586F67"/>
    <w:rsid w:val="005B2110"/>
    <w:rsid w:val="005B61E6"/>
    <w:rsid w:val="005C77E1"/>
    <w:rsid w:val="005D668A"/>
    <w:rsid w:val="005D6A2F"/>
    <w:rsid w:val="005E1A82"/>
    <w:rsid w:val="005E794C"/>
    <w:rsid w:val="005F0A28"/>
    <w:rsid w:val="005F0E5E"/>
    <w:rsid w:val="005F5BEE"/>
    <w:rsid w:val="00600535"/>
    <w:rsid w:val="00603A5F"/>
    <w:rsid w:val="00607F13"/>
    <w:rsid w:val="00610CD6"/>
    <w:rsid w:val="00620DEE"/>
    <w:rsid w:val="00621F92"/>
    <w:rsid w:val="0062280A"/>
    <w:rsid w:val="00625639"/>
    <w:rsid w:val="00631B33"/>
    <w:rsid w:val="0064184D"/>
    <w:rsid w:val="006422CC"/>
    <w:rsid w:val="00647E91"/>
    <w:rsid w:val="00660E3E"/>
    <w:rsid w:val="00662E74"/>
    <w:rsid w:val="00680C23"/>
    <w:rsid w:val="0068451C"/>
    <w:rsid w:val="006849EE"/>
    <w:rsid w:val="00693766"/>
    <w:rsid w:val="006A3281"/>
    <w:rsid w:val="006B4888"/>
    <w:rsid w:val="006C25A1"/>
    <w:rsid w:val="006C2E45"/>
    <w:rsid w:val="006C359C"/>
    <w:rsid w:val="006C5579"/>
    <w:rsid w:val="006D6E8B"/>
    <w:rsid w:val="006E737D"/>
    <w:rsid w:val="00702E76"/>
    <w:rsid w:val="00720A24"/>
    <w:rsid w:val="00732386"/>
    <w:rsid w:val="0073514D"/>
    <w:rsid w:val="007447F3"/>
    <w:rsid w:val="0075499F"/>
    <w:rsid w:val="0076266C"/>
    <w:rsid w:val="007661C8"/>
    <w:rsid w:val="0077098D"/>
    <w:rsid w:val="00791ECB"/>
    <w:rsid w:val="007931FA"/>
    <w:rsid w:val="007A2262"/>
    <w:rsid w:val="007A4861"/>
    <w:rsid w:val="007A4A11"/>
    <w:rsid w:val="007A7BBA"/>
    <w:rsid w:val="007B0C50"/>
    <w:rsid w:val="007C1A43"/>
    <w:rsid w:val="0080013E"/>
    <w:rsid w:val="008059E6"/>
    <w:rsid w:val="00813288"/>
    <w:rsid w:val="008168FC"/>
    <w:rsid w:val="00830996"/>
    <w:rsid w:val="008345F1"/>
    <w:rsid w:val="00857392"/>
    <w:rsid w:val="00865B07"/>
    <w:rsid w:val="008667EA"/>
    <w:rsid w:val="00870E9A"/>
    <w:rsid w:val="0087637F"/>
    <w:rsid w:val="00892AD5"/>
    <w:rsid w:val="008A0BDD"/>
    <w:rsid w:val="008A1512"/>
    <w:rsid w:val="008B1959"/>
    <w:rsid w:val="008B73CC"/>
    <w:rsid w:val="008C1636"/>
    <w:rsid w:val="008C4445"/>
    <w:rsid w:val="008D32B9"/>
    <w:rsid w:val="008D433B"/>
    <w:rsid w:val="008E566E"/>
    <w:rsid w:val="008E7E82"/>
    <w:rsid w:val="008F3BE8"/>
    <w:rsid w:val="009011AF"/>
    <w:rsid w:val="0090161A"/>
    <w:rsid w:val="00901EB6"/>
    <w:rsid w:val="00904C62"/>
    <w:rsid w:val="00922BA8"/>
    <w:rsid w:val="00924DAC"/>
    <w:rsid w:val="00927058"/>
    <w:rsid w:val="00933464"/>
    <w:rsid w:val="00942750"/>
    <w:rsid w:val="00943167"/>
    <w:rsid w:val="009450CE"/>
    <w:rsid w:val="00947179"/>
    <w:rsid w:val="0095011F"/>
    <w:rsid w:val="0095164B"/>
    <w:rsid w:val="0095342D"/>
    <w:rsid w:val="00954090"/>
    <w:rsid w:val="009573E7"/>
    <w:rsid w:val="00963E05"/>
    <w:rsid w:val="00967843"/>
    <w:rsid w:val="00967D54"/>
    <w:rsid w:val="00971028"/>
    <w:rsid w:val="009806DA"/>
    <w:rsid w:val="00996483"/>
    <w:rsid w:val="00996F5A"/>
    <w:rsid w:val="009A5AB9"/>
    <w:rsid w:val="009B041A"/>
    <w:rsid w:val="009B6E41"/>
    <w:rsid w:val="009C37C3"/>
    <w:rsid w:val="009C7C86"/>
    <w:rsid w:val="009D2FF7"/>
    <w:rsid w:val="009D453F"/>
    <w:rsid w:val="009E7884"/>
    <w:rsid w:val="009E788A"/>
    <w:rsid w:val="009F0E08"/>
    <w:rsid w:val="009F5CA6"/>
    <w:rsid w:val="009F6886"/>
    <w:rsid w:val="00A1763D"/>
    <w:rsid w:val="00A17CEC"/>
    <w:rsid w:val="00A27EF0"/>
    <w:rsid w:val="00A42361"/>
    <w:rsid w:val="00A50B20"/>
    <w:rsid w:val="00A51390"/>
    <w:rsid w:val="00A60D13"/>
    <w:rsid w:val="00A72745"/>
    <w:rsid w:val="00A75F4A"/>
    <w:rsid w:val="00A76EFC"/>
    <w:rsid w:val="00A85717"/>
    <w:rsid w:val="00A91010"/>
    <w:rsid w:val="00A95DBA"/>
    <w:rsid w:val="00A97F29"/>
    <w:rsid w:val="00AA702E"/>
    <w:rsid w:val="00AA78FE"/>
    <w:rsid w:val="00AB0964"/>
    <w:rsid w:val="00AB5011"/>
    <w:rsid w:val="00AB7DAB"/>
    <w:rsid w:val="00AC7368"/>
    <w:rsid w:val="00AD16B9"/>
    <w:rsid w:val="00AE377D"/>
    <w:rsid w:val="00AE628C"/>
    <w:rsid w:val="00AF0EBA"/>
    <w:rsid w:val="00B02C8A"/>
    <w:rsid w:val="00B17FBD"/>
    <w:rsid w:val="00B2389B"/>
    <w:rsid w:val="00B315A6"/>
    <w:rsid w:val="00B31813"/>
    <w:rsid w:val="00B33365"/>
    <w:rsid w:val="00B576D2"/>
    <w:rsid w:val="00B57B36"/>
    <w:rsid w:val="00B60B52"/>
    <w:rsid w:val="00B8686D"/>
    <w:rsid w:val="00BA03F9"/>
    <w:rsid w:val="00BB1DDC"/>
    <w:rsid w:val="00BB48A4"/>
    <w:rsid w:val="00BC30C9"/>
    <w:rsid w:val="00BD5FBB"/>
    <w:rsid w:val="00BE3E58"/>
    <w:rsid w:val="00C01616"/>
    <w:rsid w:val="00C0162B"/>
    <w:rsid w:val="00C068ED"/>
    <w:rsid w:val="00C27688"/>
    <w:rsid w:val="00C345B1"/>
    <w:rsid w:val="00C40142"/>
    <w:rsid w:val="00C40BA0"/>
    <w:rsid w:val="00C57182"/>
    <w:rsid w:val="00C57863"/>
    <w:rsid w:val="00C655FD"/>
    <w:rsid w:val="00C71122"/>
    <w:rsid w:val="00C75407"/>
    <w:rsid w:val="00C870A8"/>
    <w:rsid w:val="00C94434"/>
    <w:rsid w:val="00CA0D75"/>
    <w:rsid w:val="00CA1C95"/>
    <w:rsid w:val="00CA5A9C"/>
    <w:rsid w:val="00CB5D7B"/>
    <w:rsid w:val="00CC4C20"/>
    <w:rsid w:val="00CD3517"/>
    <w:rsid w:val="00CD5FE2"/>
    <w:rsid w:val="00CE1D87"/>
    <w:rsid w:val="00CE7C68"/>
    <w:rsid w:val="00D02B4C"/>
    <w:rsid w:val="00D040C4"/>
    <w:rsid w:val="00D10388"/>
    <w:rsid w:val="00D23E0E"/>
    <w:rsid w:val="00D4516E"/>
    <w:rsid w:val="00D511CC"/>
    <w:rsid w:val="00D57C84"/>
    <w:rsid w:val="00D6057D"/>
    <w:rsid w:val="00D836C5"/>
    <w:rsid w:val="00D84576"/>
    <w:rsid w:val="00DA1399"/>
    <w:rsid w:val="00DA24C6"/>
    <w:rsid w:val="00DA4D7B"/>
    <w:rsid w:val="00DC06A4"/>
    <w:rsid w:val="00DE264A"/>
    <w:rsid w:val="00DF5072"/>
    <w:rsid w:val="00E02D18"/>
    <w:rsid w:val="00E041E7"/>
    <w:rsid w:val="00E1714D"/>
    <w:rsid w:val="00E216C0"/>
    <w:rsid w:val="00E23CA1"/>
    <w:rsid w:val="00E360A5"/>
    <w:rsid w:val="00E369B9"/>
    <w:rsid w:val="00E37BD0"/>
    <w:rsid w:val="00E409A8"/>
    <w:rsid w:val="00E40CDE"/>
    <w:rsid w:val="00E441D4"/>
    <w:rsid w:val="00E4553C"/>
    <w:rsid w:val="00E50C12"/>
    <w:rsid w:val="00E65B91"/>
    <w:rsid w:val="00E7209D"/>
    <w:rsid w:val="00E77223"/>
    <w:rsid w:val="00E8528B"/>
    <w:rsid w:val="00E85B94"/>
    <w:rsid w:val="00E978D0"/>
    <w:rsid w:val="00EA4613"/>
    <w:rsid w:val="00EA7F91"/>
    <w:rsid w:val="00EB1523"/>
    <w:rsid w:val="00EC0E49"/>
    <w:rsid w:val="00EC101F"/>
    <w:rsid w:val="00EC1D9F"/>
    <w:rsid w:val="00EE0131"/>
    <w:rsid w:val="00EE17B0"/>
    <w:rsid w:val="00EF06D9"/>
    <w:rsid w:val="00F070CC"/>
    <w:rsid w:val="00F30C64"/>
    <w:rsid w:val="00F32CDB"/>
    <w:rsid w:val="00F47F2B"/>
    <w:rsid w:val="00F565FE"/>
    <w:rsid w:val="00F63A70"/>
    <w:rsid w:val="00F86985"/>
    <w:rsid w:val="00FA21D0"/>
    <w:rsid w:val="00FA5F5F"/>
    <w:rsid w:val="00FB730C"/>
    <w:rsid w:val="00FC2695"/>
    <w:rsid w:val="00FC3E03"/>
    <w:rsid w:val="00FC3FC1"/>
    <w:rsid w:val="00FD596F"/>
    <w:rsid w:val="00FD777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F1C78656-E49D-4D60-ADB2-2C346A51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D511CC"/>
    <w:pPr>
      <w:ind w:left="720"/>
      <w:contextualSpacing/>
    </w:pPr>
  </w:style>
  <w:style w:type="character" w:styleId="Textedelespacerserv">
    <w:name w:val="Placeholder Text"/>
    <w:basedOn w:val="Policepardfaut"/>
    <w:uiPriority w:val="99"/>
    <w:semiHidden/>
    <w:rsid w:val="00607F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87896">
      <w:bodyDiv w:val="1"/>
      <w:marLeft w:val="0"/>
      <w:marRight w:val="0"/>
      <w:marTop w:val="0"/>
      <w:marBottom w:val="0"/>
      <w:divBdr>
        <w:top w:val="none" w:sz="0" w:space="0" w:color="auto"/>
        <w:left w:val="none" w:sz="0" w:space="0" w:color="auto"/>
        <w:bottom w:val="none" w:sz="0" w:space="0" w:color="auto"/>
        <w:right w:val="none" w:sz="0" w:space="0" w:color="auto"/>
      </w:divBdr>
    </w:div>
    <w:div w:id="458299486">
      <w:bodyDiv w:val="1"/>
      <w:marLeft w:val="0"/>
      <w:marRight w:val="0"/>
      <w:marTop w:val="0"/>
      <w:marBottom w:val="0"/>
      <w:divBdr>
        <w:top w:val="none" w:sz="0" w:space="0" w:color="auto"/>
        <w:left w:val="none" w:sz="0" w:space="0" w:color="auto"/>
        <w:bottom w:val="none" w:sz="0" w:space="0" w:color="auto"/>
        <w:right w:val="none" w:sz="0" w:space="0" w:color="auto"/>
      </w:divBdr>
    </w:div>
    <w:div w:id="580452511">
      <w:bodyDiv w:val="1"/>
      <w:marLeft w:val="0"/>
      <w:marRight w:val="0"/>
      <w:marTop w:val="0"/>
      <w:marBottom w:val="0"/>
      <w:divBdr>
        <w:top w:val="none" w:sz="0" w:space="0" w:color="auto"/>
        <w:left w:val="none" w:sz="0" w:space="0" w:color="auto"/>
        <w:bottom w:val="none" w:sz="0" w:space="0" w:color="auto"/>
        <w:right w:val="none" w:sz="0" w:space="0" w:color="auto"/>
      </w:divBdr>
    </w:div>
    <w:div w:id="66914287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11065">
      <w:bodyDiv w:val="1"/>
      <w:marLeft w:val="0"/>
      <w:marRight w:val="0"/>
      <w:marTop w:val="0"/>
      <w:marBottom w:val="0"/>
      <w:divBdr>
        <w:top w:val="none" w:sz="0" w:space="0" w:color="auto"/>
        <w:left w:val="none" w:sz="0" w:space="0" w:color="auto"/>
        <w:bottom w:val="none" w:sz="0" w:space="0" w:color="auto"/>
        <w:right w:val="none" w:sz="0" w:space="0" w:color="auto"/>
      </w:divBdr>
    </w:div>
    <w:div w:id="1073967614">
      <w:bodyDiv w:val="1"/>
      <w:marLeft w:val="0"/>
      <w:marRight w:val="0"/>
      <w:marTop w:val="0"/>
      <w:marBottom w:val="0"/>
      <w:divBdr>
        <w:top w:val="none" w:sz="0" w:space="0" w:color="auto"/>
        <w:left w:val="none" w:sz="0" w:space="0" w:color="auto"/>
        <w:bottom w:val="none" w:sz="0" w:space="0" w:color="auto"/>
        <w:right w:val="none" w:sz="0" w:space="0" w:color="auto"/>
      </w:divBdr>
      <w:divsChild>
        <w:div w:id="1969314987">
          <w:marLeft w:val="0"/>
          <w:marRight w:val="0"/>
          <w:marTop w:val="0"/>
          <w:marBottom w:val="0"/>
          <w:divBdr>
            <w:top w:val="none" w:sz="0" w:space="0" w:color="auto"/>
            <w:left w:val="none" w:sz="0" w:space="0" w:color="auto"/>
            <w:bottom w:val="none" w:sz="0" w:space="0" w:color="auto"/>
            <w:right w:val="none" w:sz="0" w:space="0" w:color="auto"/>
          </w:divBdr>
          <w:divsChild>
            <w:div w:id="1011764626">
              <w:marLeft w:val="0"/>
              <w:marRight w:val="0"/>
              <w:marTop w:val="0"/>
              <w:marBottom w:val="0"/>
              <w:divBdr>
                <w:top w:val="none" w:sz="0" w:space="0" w:color="auto"/>
                <w:left w:val="none" w:sz="0" w:space="0" w:color="auto"/>
                <w:bottom w:val="none" w:sz="0" w:space="0" w:color="auto"/>
                <w:right w:val="none" w:sz="0" w:space="0" w:color="auto"/>
              </w:divBdr>
              <w:divsChild>
                <w:div w:id="19738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9231">
      <w:bodyDiv w:val="1"/>
      <w:marLeft w:val="0"/>
      <w:marRight w:val="0"/>
      <w:marTop w:val="0"/>
      <w:marBottom w:val="0"/>
      <w:divBdr>
        <w:top w:val="none" w:sz="0" w:space="0" w:color="auto"/>
        <w:left w:val="none" w:sz="0" w:space="0" w:color="auto"/>
        <w:bottom w:val="none" w:sz="0" w:space="0" w:color="auto"/>
        <w:right w:val="none" w:sz="0" w:space="0" w:color="auto"/>
      </w:divBdr>
      <w:divsChild>
        <w:div w:id="655106676">
          <w:marLeft w:val="0"/>
          <w:marRight w:val="0"/>
          <w:marTop w:val="0"/>
          <w:marBottom w:val="0"/>
          <w:divBdr>
            <w:top w:val="none" w:sz="0" w:space="0" w:color="auto"/>
            <w:left w:val="none" w:sz="0" w:space="0" w:color="auto"/>
            <w:bottom w:val="none" w:sz="0" w:space="0" w:color="auto"/>
            <w:right w:val="none" w:sz="0" w:space="0" w:color="auto"/>
          </w:divBdr>
          <w:divsChild>
            <w:div w:id="1231386156">
              <w:marLeft w:val="0"/>
              <w:marRight w:val="0"/>
              <w:marTop w:val="0"/>
              <w:marBottom w:val="0"/>
              <w:divBdr>
                <w:top w:val="none" w:sz="0" w:space="0" w:color="auto"/>
                <w:left w:val="none" w:sz="0" w:space="0" w:color="auto"/>
                <w:bottom w:val="none" w:sz="0" w:space="0" w:color="auto"/>
                <w:right w:val="none" w:sz="0" w:space="0" w:color="auto"/>
              </w:divBdr>
              <w:divsChild>
                <w:div w:id="16590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3595">
      <w:bodyDiv w:val="1"/>
      <w:marLeft w:val="0"/>
      <w:marRight w:val="0"/>
      <w:marTop w:val="0"/>
      <w:marBottom w:val="0"/>
      <w:divBdr>
        <w:top w:val="none" w:sz="0" w:space="0" w:color="auto"/>
        <w:left w:val="none" w:sz="0" w:space="0" w:color="auto"/>
        <w:bottom w:val="none" w:sz="0" w:space="0" w:color="auto"/>
        <w:right w:val="none" w:sz="0" w:space="0" w:color="auto"/>
      </w:divBdr>
      <w:divsChild>
        <w:div w:id="1734308741">
          <w:marLeft w:val="0"/>
          <w:marRight w:val="0"/>
          <w:marTop w:val="0"/>
          <w:marBottom w:val="0"/>
          <w:divBdr>
            <w:top w:val="none" w:sz="0" w:space="0" w:color="auto"/>
            <w:left w:val="none" w:sz="0" w:space="0" w:color="auto"/>
            <w:bottom w:val="none" w:sz="0" w:space="0" w:color="auto"/>
            <w:right w:val="none" w:sz="0" w:space="0" w:color="auto"/>
          </w:divBdr>
          <w:divsChild>
            <w:div w:id="67118238">
              <w:marLeft w:val="0"/>
              <w:marRight w:val="0"/>
              <w:marTop w:val="0"/>
              <w:marBottom w:val="0"/>
              <w:divBdr>
                <w:top w:val="none" w:sz="0" w:space="0" w:color="auto"/>
                <w:left w:val="none" w:sz="0" w:space="0" w:color="auto"/>
                <w:bottom w:val="none" w:sz="0" w:space="0" w:color="auto"/>
                <w:right w:val="none" w:sz="0" w:space="0" w:color="auto"/>
              </w:divBdr>
              <w:divsChild>
                <w:div w:id="16542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5912">
      <w:bodyDiv w:val="1"/>
      <w:marLeft w:val="0"/>
      <w:marRight w:val="0"/>
      <w:marTop w:val="0"/>
      <w:marBottom w:val="0"/>
      <w:divBdr>
        <w:top w:val="none" w:sz="0" w:space="0" w:color="auto"/>
        <w:left w:val="none" w:sz="0" w:space="0" w:color="auto"/>
        <w:bottom w:val="none" w:sz="0" w:space="0" w:color="auto"/>
        <w:right w:val="none" w:sz="0" w:space="0" w:color="auto"/>
      </w:divBdr>
    </w:div>
    <w:div w:id="1452439588">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87044">
      <w:bodyDiv w:val="1"/>
      <w:marLeft w:val="0"/>
      <w:marRight w:val="0"/>
      <w:marTop w:val="0"/>
      <w:marBottom w:val="0"/>
      <w:divBdr>
        <w:top w:val="none" w:sz="0" w:space="0" w:color="auto"/>
        <w:left w:val="none" w:sz="0" w:space="0" w:color="auto"/>
        <w:bottom w:val="none" w:sz="0" w:space="0" w:color="auto"/>
        <w:right w:val="none" w:sz="0" w:space="0" w:color="auto"/>
      </w:divBdr>
      <w:divsChild>
        <w:div w:id="140928320">
          <w:marLeft w:val="0"/>
          <w:marRight w:val="0"/>
          <w:marTop w:val="0"/>
          <w:marBottom w:val="0"/>
          <w:divBdr>
            <w:top w:val="none" w:sz="0" w:space="0" w:color="auto"/>
            <w:left w:val="none" w:sz="0" w:space="0" w:color="auto"/>
            <w:bottom w:val="none" w:sz="0" w:space="0" w:color="auto"/>
            <w:right w:val="none" w:sz="0" w:space="0" w:color="auto"/>
          </w:divBdr>
          <w:divsChild>
            <w:div w:id="1893037301">
              <w:marLeft w:val="0"/>
              <w:marRight w:val="0"/>
              <w:marTop w:val="0"/>
              <w:marBottom w:val="0"/>
              <w:divBdr>
                <w:top w:val="none" w:sz="0" w:space="0" w:color="auto"/>
                <w:left w:val="none" w:sz="0" w:space="0" w:color="auto"/>
                <w:bottom w:val="none" w:sz="0" w:space="0" w:color="auto"/>
                <w:right w:val="none" w:sz="0" w:space="0" w:color="auto"/>
              </w:divBdr>
              <w:divsChild>
                <w:div w:id="35496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7610">
      <w:bodyDiv w:val="1"/>
      <w:marLeft w:val="0"/>
      <w:marRight w:val="0"/>
      <w:marTop w:val="0"/>
      <w:marBottom w:val="0"/>
      <w:divBdr>
        <w:top w:val="none" w:sz="0" w:space="0" w:color="auto"/>
        <w:left w:val="none" w:sz="0" w:space="0" w:color="auto"/>
        <w:bottom w:val="none" w:sz="0" w:space="0" w:color="auto"/>
        <w:right w:val="none" w:sz="0" w:space="0" w:color="auto"/>
      </w:divBdr>
      <w:divsChild>
        <w:div w:id="1716392280">
          <w:marLeft w:val="0"/>
          <w:marRight w:val="0"/>
          <w:marTop w:val="0"/>
          <w:marBottom w:val="0"/>
          <w:divBdr>
            <w:top w:val="none" w:sz="0" w:space="0" w:color="auto"/>
            <w:left w:val="none" w:sz="0" w:space="0" w:color="auto"/>
            <w:bottom w:val="none" w:sz="0" w:space="0" w:color="auto"/>
            <w:right w:val="none" w:sz="0" w:space="0" w:color="auto"/>
          </w:divBdr>
          <w:divsChild>
            <w:div w:id="2129808775">
              <w:marLeft w:val="0"/>
              <w:marRight w:val="0"/>
              <w:marTop w:val="0"/>
              <w:marBottom w:val="0"/>
              <w:divBdr>
                <w:top w:val="none" w:sz="0" w:space="0" w:color="auto"/>
                <w:left w:val="none" w:sz="0" w:space="0" w:color="auto"/>
                <w:bottom w:val="none" w:sz="0" w:space="0" w:color="auto"/>
                <w:right w:val="none" w:sz="0" w:space="0" w:color="auto"/>
              </w:divBdr>
              <w:divsChild>
                <w:div w:id="20502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570031">
      <w:bodyDiv w:val="1"/>
      <w:marLeft w:val="0"/>
      <w:marRight w:val="0"/>
      <w:marTop w:val="0"/>
      <w:marBottom w:val="0"/>
      <w:divBdr>
        <w:top w:val="none" w:sz="0" w:space="0" w:color="auto"/>
        <w:left w:val="none" w:sz="0" w:space="0" w:color="auto"/>
        <w:bottom w:val="none" w:sz="0" w:space="0" w:color="auto"/>
        <w:right w:val="none" w:sz="0" w:space="0" w:color="auto"/>
      </w:divBdr>
    </w:div>
    <w:div w:id="206290270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33498-9369-48DB-A262-346A5E293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3055</Words>
  <Characters>16162</Characters>
  <Application>Microsoft Office Word</Application>
  <DocSecurity>0</DocSecurity>
  <Lines>414</Lines>
  <Paragraphs>305</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Rémi D.</cp:lastModifiedBy>
  <cp:revision>3</cp:revision>
  <cp:lastPrinted>2015-05-12T18:31:00Z</cp:lastPrinted>
  <dcterms:created xsi:type="dcterms:W3CDTF">2023-07-10T10:07:00Z</dcterms:created>
  <dcterms:modified xsi:type="dcterms:W3CDTF">2023-07-10T10:08:00Z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80a4195ce310f3a2e9d5969ce42a55df9588e54fafb238d09c132c4ff03d2381</vt:lpwstr>
  </property>
</Properties>
</file>