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702E43A3" w:rsidR="00DA51A3" w:rsidRPr="00C573D8" w:rsidRDefault="00C573D8" w:rsidP="00DA51A3">
      <w:pPr>
        <w:snapToGrid w:val="0"/>
        <w:jc w:val="center"/>
        <w:rPr>
          <w:rFonts w:ascii="Times New Roman" w:eastAsia="MS PGothic" w:hAnsi="Times New Roman"/>
          <w:b/>
          <w:bCs/>
          <w:sz w:val="24"/>
          <w:szCs w:val="24"/>
          <w:lang w:val="en-GB"/>
        </w:rPr>
      </w:pPr>
      <w:r w:rsidRPr="00C573D8">
        <w:rPr>
          <w:rFonts w:ascii="Times New Roman" w:eastAsia="MS PGothic" w:hAnsi="Times New Roman"/>
          <w:b/>
          <w:bCs/>
          <w:sz w:val="24"/>
          <w:szCs w:val="24"/>
          <w:lang w:val="en-GB"/>
        </w:rPr>
        <w:t xml:space="preserve">Simulation of a </w:t>
      </w:r>
      <w:r>
        <w:rPr>
          <w:rFonts w:ascii="Times New Roman" w:eastAsia="MS PGothic" w:hAnsi="Times New Roman"/>
          <w:b/>
          <w:bCs/>
          <w:sz w:val="24"/>
          <w:szCs w:val="24"/>
          <w:lang w:val="en-GB"/>
        </w:rPr>
        <w:t>methane-based Poly(3-hydroxybutyrate) production process: the effect of internal gas recycling</w:t>
      </w:r>
    </w:p>
    <w:p w14:paraId="5DC330F9" w14:textId="77777777" w:rsidR="00DA51A3" w:rsidRPr="00C573D8" w:rsidRDefault="00DA51A3" w:rsidP="00DA51A3">
      <w:pPr>
        <w:snapToGrid w:val="0"/>
        <w:jc w:val="center"/>
        <w:rPr>
          <w:rFonts w:ascii="Times New Roman" w:eastAsia="MS PGothic" w:hAnsi="Times New Roman"/>
          <w:b/>
          <w:bCs/>
          <w:sz w:val="24"/>
          <w:szCs w:val="24"/>
          <w:lang w:val="en-GB" w:eastAsia="ko-KR"/>
        </w:rPr>
      </w:pPr>
    </w:p>
    <w:p w14:paraId="243AAF34" w14:textId="1B016B00" w:rsidR="00DA51A3" w:rsidRPr="00AA27FD" w:rsidRDefault="00880D04" w:rsidP="00DA51A3">
      <w:pPr>
        <w:snapToGrid w:val="0"/>
        <w:jc w:val="center"/>
        <w:rPr>
          <w:rFonts w:ascii="Times New Roman" w:eastAsia="MS PGothic" w:hAnsi="Times New Roman"/>
          <w:sz w:val="24"/>
          <w:szCs w:val="24"/>
          <w:u w:val="single"/>
        </w:rPr>
      </w:pPr>
      <w:r w:rsidRPr="00AA27FD">
        <w:rPr>
          <w:rFonts w:ascii="Times New Roman" w:eastAsia="SimSun" w:hAnsi="Times New Roman"/>
          <w:sz w:val="24"/>
          <w:szCs w:val="24"/>
          <w:u w:val="single"/>
          <w:lang w:eastAsia="zh-CN"/>
        </w:rPr>
        <w:t>Claudia Amabile</w:t>
      </w:r>
      <w:r w:rsidR="00DA51A3" w:rsidRPr="00AA27FD">
        <w:rPr>
          <w:rFonts w:ascii="Times New Roman" w:eastAsia="SimSun" w:hAnsi="Times New Roman"/>
          <w:sz w:val="24"/>
          <w:szCs w:val="24"/>
          <w:u w:val="single"/>
          <w:vertAlign w:val="superscript"/>
          <w:lang w:eastAsia="zh-CN"/>
        </w:rPr>
        <w:t>1</w:t>
      </w:r>
      <w:r w:rsidR="00DA51A3" w:rsidRPr="00AA27FD">
        <w:rPr>
          <w:rFonts w:ascii="Times New Roman" w:eastAsia="SimSun" w:hAnsi="Times New Roman"/>
          <w:sz w:val="24"/>
          <w:szCs w:val="24"/>
          <w:u w:val="single"/>
          <w:lang w:eastAsia="zh-CN"/>
        </w:rPr>
        <w:t>,</w:t>
      </w:r>
      <w:r w:rsidRPr="00AA27FD">
        <w:rPr>
          <w:rFonts w:ascii="Times New Roman" w:eastAsia="SimSun" w:hAnsi="Times New Roman"/>
          <w:sz w:val="24"/>
          <w:szCs w:val="24"/>
          <w:u w:val="single"/>
          <w:lang w:eastAsia="zh-CN"/>
        </w:rPr>
        <w:t xml:space="preserve"> Teresa Abate</w:t>
      </w:r>
      <w:r w:rsidRPr="00AA27FD">
        <w:rPr>
          <w:rFonts w:ascii="Times New Roman" w:eastAsia="SimSun" w:hAnsi="Times New Roman"/>
          <w:sz w:val="24"/>
          <w:szCs w:val="24"/>
          <w:u w:val="single"/>
          <w:vertAlign w:val="superscript"/>
          <w:lang w:eastAsia="zh-CN"/>
        </w:rPr>
        <w:t>1</w:t>
      </w:r>
      <w:r w:rsidRPr="00AA27FD">
        <w:rPr>
          <w:rFonts w:ascii="Times New Roman" w:eastAsia="SimSun" w:hAnsi="Times New Roman"/>
          <w:sz w:val="24"/>
          <w:szCs w:val="24"/>
          <w:u w:val="single"/>
          <w:lang w:eastAsia="zh-CN"/>
        </w:rPr>
        <w:t>, Simeone Chianese</w:t>
      </w:r>
      <w:r w:rsidRPr="00AA27FD">
        <w:rPr>
          <w:rFonts w:ascii="Times New Roman" w:eastAsia="SimSun" w:hAnsi="Times New Roman"/>
          <w:sz w:val="24"/>
          <w:szCs w:val="24"/>
          <w:u w:val="single"/>
          <w:vertAlign w:val="superscript"/>
          <w:lang w:eastAsia="zh-CN"/>
        </w:rPr>
        <w:t>1</w:t>
      </w:r>
      <w:r w:rsidR="00CF281E">
        <w:rPr>
          <w:rFonts w:ascii="Times New Roman" w:eastAsia="SimSun" w:hAnsi="Times New Roman"/>
          <w:sz w:val="24"/>
          <w:szCs w:val="24"/>
          <w:u w:val="single"/>
          <w:vertAlign w:val="superscript"/>
          <w:lang w:eastAsia="zh-CN"/>
        </w:rPr>
        <w:t>*</w:t>
      </w:r>
      <w:r w:rsidRPr="00AA27FD">
        <w:rPr>
          <w:rFonts w:ascii="Times New Roman" w:eastAsia="SimSun" w:hAnsi="Times New Roman"/>
          <w:sz w:val="24"/>
          <w:szCs w:val="24"/>
          <w:u w:val="single"/>
          <w:lang w:eastAsia="zh-CN"/>
        </w:rPr>
        <w:t>, Dino Musmarra</w:t>
      </w:r>
      <w:r w:rsidRPr="00AA27FD">
        <w:rPr>
          <w:rFonts w:ascii="Times New Roman" w:eastAsia="SimSun" w:hAnsi="Times New Roman"/>
          <w:sz w:val="24"/>
          <w:szCs w:val="24"/>
          <w:u w:val="single"/>
          <w:vertAlign w:val="superscript"/>
          <w:lang w:eastAsia="zh-CN"/>
        </w:rPr>
        <w:t>1</w:t>
      </w:r>
    </w:p>
    <w:p w14:paraId="7A602332" w14:textId="65F59FD4" w:rsidR="00DA51A3" w:rsidRPr="00CF281E" w:rsidRDefault="00DA51A3" w:rsidP="00CF281E">
      <w:pPr>
        <w:snapToGrid w:val="0"/>
        <w:spacing w:after="120"/>
        <w:jc w:val="center"/>
        <w:rPr>
          <w:rFonts w:ascii="Times New Roman" w:eastAsia="MS PGothic" w:hAnsi="Times New Roman"/>
          <w:i/>
          <w:iCs/>
          <w:sz w:val="20"/>
          <w:lang w:val="en-US"/>
        </w:rPr>
      </w:pPr>
      <w:r w:rsidRPr="00466FFD">
        <w:rPr>
          <w:rFonts w:ascii="Times New Roman" w:eastAsia="MS PGothic" w:hAnsi="Times New Roman"/>
          <w:i/>
          <w:iCs/>
          <w:sz w:val="20"/>
          <w:lang w:val="en-US"/>
        </w:rPr>
        <w:t xml:space="preserve">1 </w:t>
      </w:r>
      <w:r w:rsidR="007A41EE">
        <w:rPr>
          <w:rFonts w:ascii="Times New Roman" w:eastAsia="MS PGothic" w:hAnsi="Times New Roman"/>
          <w:i/>
          <w:iCs/>
          <w:sz w:val="20"/>
          <w:lang w:val="en-US"/>
        </w:rPr>
        <w:t xml:space="preserve">Department of engineering, University of Campania “Luigi </w:t>
      </w:r>
      <w:proofErr w:type="spellStart"/>
      <w:r w:rsidR="007A41EE">
        <w:rPr>
          <w:rFonts w:ascii="Times New Roman" w:eastAsia="MS PGothic" w:hAnsi="Times New Roman"/>
          <w:i/>
          <w:iCs/>
          <w:sz w:val="20"/>
          <w:lang w:val="en-US"/>
        </w:rPr>
        <w:t>Vanvitelli</w:t>
      </w:r>
      <w:proofErr w:type="spellEnd"/>
      <w:r w:rsidR="007A41EE">
        <w:rPr>
          <w:rFonts w:ascii="Times New Roman" w:eastAsia="MS PGothic" w:hAnsi="Times New Roman"/>
          <w:i/>
          <w:iCs/>
          <w:sz w:val="20"/>
          <w:lang w:val="en-US"/>
        </w:rPr>
        <w:t>”, Via Roma 29, 81031,</w:t>
      </w:r>
      <w:r w:rsidR="00B4243B">
        <w:rPr>
          <w:rFonts w:ascii="Times New Roman" w:eastAsia="MS PGothic" w:hAnsi="Times New Roman"/>
          <w:i/>
          <w:iCs/>
          <w:sz w:val="20"/>
          <w:lang w:val="en-US"/>
        </w:rPr>
        <w:t xml:space="preserve"> </w:t>
      </w:r>
      <w:proofErr w:type="gramStart"/>
      <w:r w:rsidR="007A41EE">
        <w:rPr>
          <w:rFonts w:ascii="Times New Roman" w:eastAsia="MS PGothic" w:hAnsi="Times New Roman"/>
          <w:i/>
          <w:iCs/>
          <w:sz w:val="20"/>
          <w:lang w:val="en-US"/>
        </w:rPr>
        <w:t>Aversa</w:t>
      </w:r>
      <w:r w:rsidRPr="00466FFD">
        <w:rPr>
          <w:rFonts w:ascii="Times New Roman" w:eastAsia="MS PGothic" w:hAnsi="Times New Roman"/>
          <w:i/>
          <w:iCs/>
          <w:sz w:val="20"/>
          <w:lang w:val="en-US"/>
        </w:rPr>
        <w:t>;</w:t>
      </w:r>
      <w:proofErr w:type="gramEnd"/>
      <w:r w:rsidRPr="00466FFD">
        <w:rPr>
          <w:rFonts w:ascii="Times New Roman" w:eastAsia="MS PGothic" w:hAnsi="Times New Roman"/>
          <w:i/>
          <w:iCs/>
          <w:sz w:val="20"/>
          <w:lang w:val="en-US"/>
        </w:rPr>
        <w:t xml:space="preserve"> </w:t>
      </w:r>
    </w:p>
    <w:p w14:paraId="5533360A" w14:textId="42179BBF"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CF281E">
        <w:rPr>
          <w:rFonts w:ascii="Times New Roman" w:eastAsia="MS PGothic" w:hAnsi="Times New Roman"/>
          <w:bCs/>
          <w:i/>
          <w:iCs/>
          <w:sz w:val="20"/>
          <w:lang w:val="en-US"/>
        </w:rPr>
        <w:t>simeone.chianese@unicampania.it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4FD89DA9" w14:textId="0F21062C" w:rsidR="00CA1041" w:rsidRDefault="00C573D8" w:rsidP="00C573D8">
      <w:pPr>
        <w:snapToGrid w:val="0"/>
        <w:spacing w:after="120"/>
        <w:rPr>
          <w:rFonts w:ascii="Times New Roman" w:eastAsia="MS PGothic" w:hAnsi="Times New Roman"/>
          <w:lang w:val="en-US"/>
        </w:rPr>
      </w:pPr>
      <w:r>
        <w:rPr>
          <w:rFonts w:ascii="Times New Roman" w:eastAsia="MS PGothic" w:hAnsi="Times New Roman"/>
          <w:lang w:val="en-US"/>
        </w:rPr>
        <w:t xml:space="preserve">Poly(3-hydroxybutyrate) (PHB) is a thermoplastic polyester belonging to the family of </w:t>
      </w:r>
      <w:proofErr w:type="spellStart"/>
      <w:r>
        <w:rPr>
          <w:rFonts w:ascii="Times New Roman" w:eastAsia="MS PGothic" w:hAnsi="Times New Roman"/>
          <w:lang w:val="en-US"/>
        </w:rPr>
        <w:t>Polyhydroxyalkanoates</w:t>
      </w:r>
      <w:proofErr w:type="spellEnd"/>
      <w:r>
        <w:rPr>
          <w:rFonts w:ascii="Times New Roman" w:eastAsia="MS PGothic" w:hAnsi="Times New Roman"/>
          <w:lang w:val="en-US"/>
        </w:rPr>
        <w:t xml:space="preserve"> (PHAs), which are well-known biobased and biodegradable biopolymers</w:t>
      </w:r>
      <w:r w:rsidR="00AC541A">
        <w:rPr>
          <w:rFonts w:ascii="Times New Roman" w:eastAsia="MS PGothic" w:hAnsi="Times New Roman"/>
          <w:lang w:val="en-US"/>
        </w:rPr>
        <w:t xml:space="preserve"> </w:t>
      </w:r>
      <w:r w:rsidR="00AC541A">
        <w:rPr>
          <w:rFonts w:ascii="Times New Roman" w:eastAsia="MS PGothic" w:hAnsi="Times New Roman"/>
          <w:lang w:val="en-US"/>
        </w:rPr>
        <w:fldChar w:fldCharType="begin" w:fldLock="1"/>
      </w:r>
      <w:r w:rsidR="003977BB">
        <w:rPr>
          <w:rFonts w:ascii="Times New Roman" w:eastAsia="MS PGothic" w:hAnsi="Times New Roman"/>
          <w:lang w:val="en-US"/>
        </w:rPr>
        <w:instrText>ADDIN CSL_CITATION {"citationItems":[{"id":"ITEM-1","itemData":{"DOI":"10.1016/S0960-8524(02)00212-2","ISSN":"09608524","PMID":"12765352","abstract":"Polyhydroxyalkanoates have gained major importance due to their structural diversity and close analogy to plastics. These are gaining more and more importance world over. Different sources (natural isolates, recombinant bacteria, plants) and other methods are being investigated to exert more control over the quality, quantity and economics of poly(3-hydroxybutyrate) (PHB) production. Their biodegradability makes them extremely desirable substitutes for synthetic plastics. The PHB biosynthetic genes phbA, phbB and phbC are clustered and organized in one phbCAB operon. The PHB pathway is highly divergent in the bacterial genera with regard to orientation and clustering of genes involved. Inspite of this the enzymes display a high degree of sequence conservation. But how similar are the mechanisms of regulation of these divergent operons is as yet unknown. Structural studies will further improve our understanding of the mechanism of action of these enzymes and aid us in improving and selecting better candidates for increased production. Metabolic engineering thereafter promises to bring a feasible solution for the production of \"green plastic\". © 2002 Elsevier Science Ltd. All rights reserved.","author":[{"dropping-particle":"","family":"Reddy","given":"C. S.K.","non-dropping-particle":"","parse-names":false,"suffix":""},{"dropping-particle":"","family":"Ghai","given":"R.","non-dropping-particle":"","parse-names":false,"suffix":""},{"dropping-particle":"","family":"Rashmi","given":"","non-dropping-particle":"","parse-names":false,"suffix":""},{"dropping-particle":"","family":"Kalia","given":"V. C.","non-dropping-particle":"","parse-names":false,"suffix":""}],"container-title":"Bioresource Technology","id":"ITEM-1","issue":"2","issued":{"date-parts":[["2003"]]},"page":"137-146","title":"Polyhydroxyalkanoates: An overview","type":"article-journal","volume":"87"},"uris":["http://www.mendeley.com/documents/?uuid=505a180f-7fda-41f4-b2d9-7f626f17dc66"]}],"mendeley":{"formattedCitation":"[1]","plainTextFormattedCitation":"[1]","previouslyFormattedCitation":"(Reddy et al., 2003)"},"properties":{"noteIndex":0},"schema":"https://github.com/citation-style-language/schema/raw/master/csl-citation.json"}</w:instrText>
      </w:r>
      <w:r w:rsidR="00AC541A">
        <w:rPr>
          <w:rFonts w:ascii="Times New Roman" w:eastAsia="MS PGothic" w:hAnsi="Times New Roman"/>
          <w:lang w:val="en-US"/>
        </w:rPr>
        <w:fldChar w:fldCharType="separate"/>
      </w:r>
      <w:r w:rsidR="003977BB" w:rsidRPr="003977BB">
        <w:rPr>
          <w:rFonts w:ascii="Times New Roman" w:eastAsia="MS PGothic" w:hAnsi="Times New Roman"/>
          <w:noProof/>
          <w:lang w:val="en-US"/>
        </w:rPr>
        <w:t>[1]</w:t>
      </w:r>
      <w:r w:rsidR="00AC541A">
        <w:rPr>
          <w:rFonts w:ascii="Times New Roman" w:eastAsia="MS PGothic" w:hAnsi="Times New Roman"/>
          <w:lang w:val="en-US"/>
        </w:rPr>
        <w:fldChar w:fldCharType="end"/>
      </w:r>
      <w:r>
        <w:rPr>
          <w:rFonts w:ascii="Times New Roman" w:eastAsia="MS PGothic" w:hAnsi="Times New Roman"/>
          <w:lang w:val="en-US"/>
        </w:rPr>
        <w:t xml:space="preserve">. </w:t>
      </w:r>
      <w:r w:rsidR="00373DE3">
        <w:rPr>
          <w:rFonts w:ascii="Times New Roman" w:eastAsia="MS PGothic" w:hAnsi="Times New Roman"/>
          <w:lang w:val="en-US"/>
        </w:rPr>
        <w:t xml:space="preserve">Many microorganisms, mainly type II methanotrophs, are capable to grow on methane and oxygen and to accumulate granules of PHB into the cell structure when a </w:t>
      </w:r>
      <w:r w:rsidR="00113416">
        <w:rPr>
          <w:rFonts w:ascii="Times New Roman" w:eastAsia="MS PGothic" w:hAnsi="Times New Roman"/>
          <w:lang w:val="en-US"/>
        </w:rPr>
        <w:t>metabolic</w:t>
      </w:r>
      <w:r w:rsidR="00373DE3">
        <w:rPr>
          <w:rFonts w:ascii="Times New Roman" w:eastAsia="MS PGothic" w:hAnsi="Times New Roman"/>
          <w:lang w:val="en-US"/>
        </w:rPr>
        <w:t xml:space="preserve"> stress due to the lack of nutrients in the medium is induced</w:t>
      </w:r>
      <w:r w:rsidR="00CA1041">
        <w:rPr>
          <w:rFonts w:ascii="Times New Roman" w:eastAsia="MS PGothic" w:hAnsi="Times New Roman"/>
          <w:lang w:val="en-US"/>
        </w:rPr>
        <w:t xml:space="preserve"> (Figure 1)</w:t>
      </w:r>
      <w:r w:rsidR="00AC541A">
        <w:rPr>
          <w:rFonts w:ascii="Times New Roman" w:eastAsia="MS PGothic" w:hAnsi="Times New Roman"/>
          <w:lang w:val="en-US"/>
        </w:rPr>
        <w:t xml:space="preserve"> </w:t>
      </w:r>
      <w:r w:rsidR="00AC541A">
        <w:rPr>
          <w:rFonts w:ascii="Times New Roman" w:eastAsia="MS PGothic" w:hAnsi="Times New Roman"/>
          <w:lang w:val="en-US"/>
        </w:rPr>
        <w:fldChar w:fldCharType="begin" w:fldLock="1"/>
      </w:r>
      <w:r w:rsidR="003977BB">
        <w:rPr>
          <w:rFonts w:ascii="Times New Roman" w:eastAsia="MS PGothic" w:hAnsi="Times New Roman"/>
          <w:lang w:val="en-US"/>
        </w:rPr>
        <w:instrText>ADDIN CSL_CITATION {"citationItems":[{"id":"ITEM-1","itemData":{"DOI":"10.1016/j.ese.2020.100029","ISSN":"26664984","abstract":"This is a PDF file of an article that has undergone enhancements after acceptance, such as the addition of a cover page and metadata, and formatting for readability, but it is not yet the definitive version of record. This version will undergo additional copyediting, typesetting and review before it is published in its final form, but we are providing this version to give early visibility of the article. Please note that, during the production process, errors may be discovered which could affect the content, and all legal disclaimers that apply to the journal pertain.","author":[{"dropping-particle":"","family":"Liu","given":"Lu-Yao","non-dropping-particle":"","parse-names":false,"suffix":""},{"dropping-particle":"","family":"Xie","given":"Guo-Jun","non-dropping-particle":"","parse-names":false,"suffix":""},{"dropping-particle":"","family":"Xing","given":"De-Feng","non-dropping-particle":"","parse-names":false,"suffix":""},{"dropping-particle":"","family":"Liu","given":"Bing-Feng","non-dropping-particle":"","parse-names":false,"suffix":""},{"dropping-particle":"","family":"Ding","given":"Jie","non-dropping-particle":"","parse-names":false,"suffix":""},{"dropping-particle":"","family":"Ren","given":"Nan-Qi","non-dropping-particle":"","parse-names":false,"suffix":""}],"container-title":"Environmental Science and Ecotechnology","id":"ITEM-1","issued":{"date-parts":[["2020"]]},"page":"100029","publisher":"Elsevier Ltd","title":"Biological conversion of methane to polyhydroxyalkanoates: Current advances, challenges, and perspectives","type":"article-journal","volume":"2"},"uris":["http://www.mendeley.com/documents/?uuid=3bdf5ef6-77bc-424b-bb3d-80af8027c828"]}],"mendeley":{"formattedCitation":"[2]","plainTextFormattedCitation":"[2]","previouslyFormattedCitation":"(Liu et al., 2020)"},"properties":{"noteIndex":0},"schema":"https://github.com/citation-style-language/schema/raw/master/csl-citation.json"}</w:instrText>
      </w:r>
      <w:r w:rsidR="00AC541A">
        <w:rPr>
          <w:rFonts w:ascii="Times New Roman" w:eastAsia="MS PGothic" w:hAnsi="Times New Roman"/>
          <w:lang w:val="en-US"/>
        </w:rPr>
        <w:fldChar w:fldCharType="separate"/>
      </w:r>
      <w:r w:rsidR="003977BB" w:rsidRPr="003977BB">
        <w:rPr>
          <w:rFonts w:ascii="Times New Roman" w:eastAsia="MS PGothic" w:hAnsi="Times New Roman"/>
          <w:noProof/>
          <w:lang w:val="en-US"/>
        </w:rPr>
        <w:t>[2]</w:t>
      </w:r>
      <w:r w:rsidR="00AC541A">
        <w:rPr>
          <w:rFonts w:ascii="Times New Roman" w:eastAsia="MS PGothic" w:hAnsi="Times New Roman"/>
          <w:lang w:val="en-US"/>
        </w:rPr>
        <w:fldChar w:fldCharType="end"/>
      </w:r>
      <w:r w:rsidR="00373DE3">
        <w:rPr>
          <w:rFonts w:ascii="Times New Roman" w:eastAsia="MS PGothic" w:hAnsi="Times New Roman"/>
          <w:lang w:val="en-US"/>
        </w:rPr>
        <w:t>.</w:t>
      </w:r>
      <w:r w:rsidR="00113416">
        <w:rPr>
          <w:rFonts w:ascii="Times New Roman" w:eastAsia="MS PGothic" w:hAnsi="Times New Roman"/>
          <w:lang w:val="en-US"/>
        </w:rPr>
        <w:t xml:space="preserve"> These granules can then be extracted from the cells, processed, and used to produce several products</w:t>
      </w:r>
      <w:r w:rsidR="00721CEF">
        <w:rPr>
          <w:rFonts w:ascii="Times New Roman" w:eastAsia="MS PGothic" w:hAnsi="Times New Roman"/>
          <w:lang w:val="en-US"/>
        </w:rPr>
        <w:t xml:space="preserve"> </w:t>
      </w:r>
      <w:r w:rsidR="00721CEF">
        <w:rPr>
          <w:rFonts w:ascii="Times New Roman" w:eastAsia="MS PGothic" w:hAnsi="Times New Roman"/>
          <w:lang w:val="en-US"/>
        </w:rPr>
        <w:fldChar w:fldCharType="begin" w:fldLock="1"/>
      </w:r>
      <w:r w:rsidR="003977BB">
        <w:rPr>
          <w:rFonts w:ascii="Times New Roman" w:eastAsia="MS PGothic" w:hAnsi="Times New Roman"/>
          <w:lang w:val="en-US"/>
        </w:rPr>
        <w:instrText>ADDIN CSL_CITATION {"citationItems":[{"id":"ITEM-1","itemData":{"DOI":"10.1128/mmbr.63.1.21-53.1999","ISSN":"1092-2172","PMID":"10066830","abstract":"Poly(3-hydroxyalkanoates) (PHAs) are a class of microbially produced polyesters that have potential applications as conventional plastics, specifically thermoplastic elastomers. A wealth of biological diversity in PHA formation exists, with at least 100 different PHA constituents and at least five different dedicated PHA biosynthetic pathways. This diversity, in combination with classical microbial physiology and modern molecular biology, has now opened up this area for genetic and metabolic engineering to develop optimal PHA-producing organisms. Commercial processes for PHA production were initially developed by W. R. Grace in the 1960s and later developed by Imperial Chemical Industries, Ltd., in the United Kingdom in the 1970s and 1980s. Since the early 1990s, Metabolix Inc. and Monsanto have been the driving forces behind the commercial exploitation of PHA polymers in the United States. The gram-negative bacterium Ralstonia eutropha, formerly known as Alcaligenes eutrophus, has generally been used as the production organism of choice, and intracellular accumulation of PHA of over 90% of the cell dry weight have been reported. The advent of molecular biological techniques and a developing environmental awareness initiated a renewed scientific interest in PHAs, and the biosynthetic machinery for PHA metabolism has been studied in great detail over the last two decades. Because the structure and monomeric composition of PHAs determine the applications for each type of polymer, a variety of polymers have been synthesized by cofeeding of various substrates or by metabolic engineering of the production organism. Classical microbiology and modern molecular bacterial physiology have been brought together to decipher the intricacies of PHA metabolism both for production purposes and for the unraveling of the natural role of PHAs. This review provides an overview of the different PHA biosynthetic systems and their genetic background, followed by a detailed summation of how this natural diversity is being used to develop commercially attractive, recombinant processes for the large-scale production of PHAs.","author":[{"dropping-particle":"","family":"Madison","given":"Lara L.","non-dropping-particle":"","parse-names":false,"suffix":""},{"dropping-particle":"","family":"Huisman","given":"Gjalt W.","non-dropping-particle":"","parse-names":false,"suffix":""}],"container-title":"Microbiology and Molecular Biology Reviews","id":"ITEM-1","issue":"1","issued":{"date-parts":[["1999"]]},"page":"21-53","title":"Metabolic Engineering of Poly(3-Hydroxyalkanoates): From DNA to Plastic","type":"article-journal","volume":"63"},"uris":["http://www.mendeley.com/documents/?uuid=9fe05653-959c-40e6-9875-55f0c7fe0398"]}],"mendeley":{"formattedCitation":"[3]","plainTextFormattedCitation":"[3]","previouslyFormattedCitation":"(Madison and Huisman, 1999)"},"properties":{"noteIndex":0},"schema":"https://github.com/citation-style-language/schema/raw/master/csl-citation.json"}</w:instrText>
      </w:r>
      <w:r w:rsidR="00721CEF">
        <w:rPr>
          <w:rFonts w:ascii="Times New Roman" w:eastAsia="MS PGothic" w:hAnsi="Times New Roman"/>
          <w:lang w:val="en-US"/>
        </w:rPr>
        <w:fldChar w:fldCharType="separate"/>
      </w:r>
      <w:r w:rsidR="003977BB" w:rsidRPr="003977BB">
        <w:rPr>
          <w:rFonts w:ascii="Times New Roman" w:eastAsia="MS PGothic" w:hAnsi="Times New Roman"/>
          <w:noProof/>
          <w:lang w:val="en-US"/>
        </w:rPr>
        <w:t>[3]</w:t>
      </w:r>
      <w:r w:rsidR="00721CEF">
        <w:rPr>
          <w:rFonts w:ascii="Times New Roman" w:eastAsia="MS PGothic" w:hAnsi="Times New Roman"/>
          <w:lang w:val="en-US"/>
        </w:rPr>
        <w:fldChar w:fldCharType="end"/>
      </w:r>
      <w:r w:rsidR="00721CEF">
        <w:rPr>
          <w:rFonts w:ascii="Times New Roman" w:eastAsia="MS PGothic" w:hAnsi="Times New Roman"/>
          <w:lang w:val="en-US"/>
        </w:rPr>
        <w:fldChar w:fldCharType="begin" w:fldLock="1"/>
      </w:r>
      <w:r w:rsidR="003977BB">
        <w:rPr>
          <w:rFonts w:ascii="Times New Roman" w:eastAsia="MS PGothic" w:hAnsi="Times New Roman"/>
          <w:lang w:val="en-US"/>
        </w:rPr>
        <w:instrText>ADDIN CSL_CITATION {"citationItems":[{"id":"ITEM-1","itemData":{"DOI":"10.1007/978-3-642-03287-5_6","ISBN":"9783642032875","abstract":"Many years of research efforts have led to the large-scale production of poly[(R)-3-hydroxybutyrate], copolymers of (R)-3-hydroxybutyrate and (R)-3- hydroxyvalerate, copolymers of (R)-3-hydroxybutyrate and 4-hydroxybutyrate, as well as copolymers of (R)-3-hydroxybutyrate and (R)-3-hydroxyhexanoate. A small amount of medium-chain-length polyhydroxyalkanoate (PHA) has also been reported to have been produced. Worldwide, 24 companies are known to be engaged in PHA production and applications. Beginning from 2009, more than 10,000 PHA will be available on the market, and new applications are expected to be developed when large amounts of PHA are available for exploitation. In the future, the large scale of PHA applications will be dependent on the production cost. Therefore, it is very urgent to develop low-cost PHA production technology, including those of continuous and nonsterile processes based on mixed cultures and mixed substrates.","author":[{"dropping-particle":"","family":"Chen","given":"Guo-Qiang","non-dropping-particle":"","parse-names":false,"suffix":""}],"id":"ITEM-1","issue":"January","issued":{"date-parts":[["2010"]]},"page":"121-132","title":"Industrial Production of PHA","type":"article-journal"},"uris":["http://www.mendeley.com/documents/?uuid=0ddf3eb9-717b-4a09-90b9-5b59a43d6b63"]}],"mendeley":{"formattedCitation":"[4]","plainTextFormattedCitation":"[4]","previouslyFormattedCitation":"(Chen, 2010)"},"properties":{"noteIndex":0},"schema":"https://github.com/citation-style-language/schema/raw/master/csl-citation.json"}</w:instrText>
      </w:r>
      <w:r w:rsidR="00721CEF">
        <w:rPr>
          <w:rFonts w:ascii="Times New Roman" w:eastAsia="MS PGothic" w:hAnsi="Times New Roman"/>
          <w:lang w:val="en-US"/>
        </w:rPr>
        <w:fldChar w:fldCharType="separate"/>
      </w:r>
      <w:r w:rsidR="003977BB" w:rsidRPr="003977BB">
        <w:rPr>
          <w:rFonts w:ascii="Times New Roman" w:eastAsia="MS PGothic" w:hAnsi="Times New Roman"/>
          <w:noProof/>
          <w:lang w:val="en-US"/>
        </w:rPr>
        <w:t>[4]</w:t>
      </w:r>
      <w:r w:rsidR="00721CEF">
        <w:rPr>
          <w:rFonts w:ascii="Times New Roman" w:eastAsia="MS PGothic" w:hAnsi="Times New Roman"/>
          <w:lang w:val="en-US"/>
        </w:rPr>
        <w:fldChar w:fldCharType="end"/>
      </w:r>
      <w:r w:rsidR="00113416">
        <w:rPr>
          <w:rFonts w:ascii="Times New Roman" w:eastAsia="MS PGothic" w:hAnsi="Times New Roman"/>
          <w:lang w:val="en-US"/>
        </w:rPr>
        <w:t xml:space="preserve">. </w:t>
      </w:r>
    </w:p>
    <w:p w14:paraId="648FB718" w14:textId="3AE879BB" w:rsidR="00CA1041" w:rsidRDefault="00094BFF" w:rsidP="00094BFF">
      <w:pPr>
        <w:snapToGrid w:val="0"/>
        <w:spacing w:after="120"/>
        <w:jc w:val="center"/>
        <w:rPr>
          <w:rFonts w:ascii="Times New Roman" w:eastAsia="MS PGothic" w:hAnsi="Times New Roman"/>
          <w:lang w:val="en-US"/>
        </w:rPr>
      </w:pPr>
      <w:r w:rsidRPr="00BA695D">
        <w:rPr>
          <w:noProof/>
          <w:lang w:eastAsia="en-GB"/>
        </w:rPr>
        <w:drawing>
          <wp:inline distT="0" distB="0" distL="0" distR="0" wp14:anchorId="499A1BBB" wp14:editId="0EEFC6BE">
            <wp:extent cx="2086528" cy="1780626"/>
            <wp:effectExtent l="19050" t="19050" r="28575" b="10160"/>
            <wp:docPr id="16" name="Immagine 15" descr="p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jpg"/>
                    <pic:cNvPicPr/>
                  </pic:nvPicPr>
                  <pic:blipFill>
                    <a:blip r:embed="rId8"/>
                    <a:srcRect l="57182" t="51734" r="1168" b="1505"/>
                    <a:stretch>
                      <a:fillRect/>
                    </a:stretch>
                  </pic:blipFill>
                  <pic:spPr>
                    <a:xfrm>
                      <a:off x="0" y="0"/>
                      <a:ext cx="2086528" cy="1780626"/>
                    </a:xfrm>
                    <a:prstGeom prst="rect">
                      <a:avLst/>
                    </a:prstGeom>
                    <a:ln>
                      <a:solidFill>
                        <a:schemeClr val="tx1"/>
                      </a:solidFill>
                    </a:ln>
                  </pic:spPr>
                </pic:pic>
              </a:graphicData>
            </a:graphic>
          </wp:inline>
        </w:drawing>
      </w:r>
    </w:p>
    <w:p w14:paraId="0392D095" w14:textId="5E5EC91D" w:rsidR="00A34314" w:rsidRPr="00A34314" w:rsidRDefault="00A34314" w:rsidP="00A34314">
      <w:pPr>
        <w:snapToGrid w:val="0"/>
        <w:spacing w:after="120"/>
        <w:jc w:val="center"/>
        <w:rPr>
          <w:rFonts w:ascii="Times New Roman" w:eastAsia="MS PGothic" w:hAnsi="Times New Roman"/>
          <w:szCs w:val="18"/>
          <w:lang w:val="en-US"/>
        </w:rPr>
      </w:pPr>
      <w:r w:rsidRPr="00466FFD">
        <w:rPr>
          <w:rFonts w:ascii="Times New Roman" w:eastAsia="MS PGothic" w:hAnsi="Times New Roman"/>
          <w:b/>
          <w:szCs w:val="18"/>
          <w:lang w:val="en-US"/>
        </w:rPr>
        <w:t>Figure 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F0696D">
        <w:rPr>
          <w:rFonts w:ascii="Times New Roman" w:eastAsia="MS PGothic" w:hAnsi="Times New Roman"/>
          <w:szCs w:val="18"/>
          <w:lang w:val="en-US"/>
        </w:rPr>
        <w:t>Granules of PHB</w:t>
      </w:r>
      <w:r w:rsidRPr="00466FFD">
        <w:rPr>
          <w:rFonts w:ascii="Times New Roman" w:eastAsia="MS PGothic" w:hAnsi="Times New Roman"/>
          <w:szCs w:val="18"/>
          <w:lang w:val="en-US"/>
        </w:rPr>
        <w:t xml:space="preserve"> </w:t>
      </w:r>
    </w:p>
    <w:p w14:paraId="6A28850D" w14:textId="4FCDF95D" w:rsidR="00A34314" w:rsidRDefault="00C573D8" w:rsidP="00C573D8">
      <w:pPr>
        <w:snapToGrid w:val="0"/>
        <w:spacing w:after="120"/>
        <w:rPr>
          <w:rFonts w:ascii="Times New Roman" w:eastAsia="MS PGothic" w:hAnsi="Times New Roman"/>
          <w:lang w:val="en-US"/>
        </w:rPr>
      </w:pPr>
      <w:r>
        <w:rPr>
          <w:rFonts w:ascii="Times New Roman" w:eastAsia="MS PGothic" w:hAnsi="Times New Roman"/>
          <w:lang w:val="en-US"/>
        </w:rPr>
        <w:t xml:space="preserve">The properties of PHB make it a potential substitute for conventional plastics, </w:t>
      </w:r>
      <w:r w:rsidR="001A6AF3">
        <w:rPr>
          <w:rFonts w:ascii="Times New Roman" w:eastAsia="MS PGothic" w:hAnsi="Times New Roman"/>
          <w:lang w:val="en-US"/>
        </w:rPr>
        <w:t>which</w:t>
      </w:r>
      <w:r>
        <w:rPr>
          <w:rFonts w:ascii="Times New Roman" w:eastAsia="MS PGothic" w:hAnsi="Times New Roman"/>
          <w:lang w:val="en-US"/>
        </w:rPr>
        <w:t xml:space="preserve"> nowadays represent one of the </w:t>
      </w:r>
      <w:r w:rsidR="00F6439C">
        <w:rPr>
          <w:rFonts w:ascii="Times New Roman" w:eastAsia="MS PGothic" w:hAnsi="Times New Roman"/>
          <w:lang w:val="en-US"/>
        </w:rPr>
        <w:t>main</w:t>
      </w:r>
      <w:r>
        <w:rPr>
          <w:rFonts w:ascii="Times New Roman" w:eastAsia="MS PGothic" w:hAnsi="Times New Roman"/>
          <w:lang w:val="en-US"/>
        </w:rPr>
        <w:t xml:space="preserve"> </w:t>
      </w:r>
      <w:r w:rsidR="00F6439C">
        <w:rPr>
          <w:rFonts w:ascii="Times New Roman" w:eastAsia="MS PGothic" w:hAnsi="Times New Roman"/>
          <w:lang w:val="en-US"/>
        </w:rPr>
        <w:t>causes of</w:t>
      </w:r>
      <w:r>
        <w:rPr>
          <w:rFonts w:ascii="Times New Roman" w:eastAsia="MS PGothic" w:hAnsi="Times New Roman"/>
          <w:lang w:val="en-US"/>
        </w:rPr>
        <w:t xml:space="preserve"> environmental pollution</w:t>
      </w:r>
      <w:r w:rsidR="00AC541A">
        <w:rPr>
          <w:rFonts w:ascii="Times New Roman" w:eastAsia="MS PGothic" w:hAnsi="Times New Roman"/>
          <w:lang w:val="en-US"/>
        </w:rPr>
        <w:t xml:space="preserve"> </w:t>
      </w:r>
      <w:r w:rsidR="00AC541A">
        <w:rPr>
          <w:rFonts w:ascii="Times New Roman" w:eastAsia="MS PGothic" w:hAnsi="Times New Roman"/>
          <w:lang w:val="en-US"/>
        </w:rPr>
        <w:fldChar w:fldCharType="begin" w:fldLock="1"/>
      </w:r>
      <w:r w:rsidR="003977BB">
        <w:rPr>
          <w:rFonts w:ascii="Times New Roman" w:eastAsia="MS PGothic" w:hAnsi="Times New Roman"/>
          <w:lang w:val="en-US"/>
        </w:rPr>
        <w:instrText>ADDIN CSL_CITATION {"citationItems":[{"id":"ITEM-1","itemData":{"abstract":"Dependence on conventional plastics and their boundless usage have resulted in waste accumulation and greenhouse gas emissions. Recent technologies are directed towards the development of bio-green materials that exert negligible side- effects on the environment. A biologically-synthesized plastic, polyhydroxyalkanoate (PHA), has been attracting major interests due to its similar physical properties to synthetic plastics. Unlike synthetic plastics, PHA is produced from renewable resources and is degraded aerobically by microorganisms to CO2 and H2O upon disposal. The selections of suitable bacterial strains, inexpensive carbon sources, efficient fermentation and recovery processes are important aspects that should be taken into consideration for the commercialization of PHA. This chapter discusses economical strategies to reduce production costs of PHA as well as its applications in various fields.","author":[{"dropping-particle":"","family":"Chee","given":"Jiun-yee","non-dropping-particle":"","parse-names":false,"suffix":""},{"dropping-particle":"","family":"Yoga","given":"Sugama-salim","non-dropping-particle":"","parse-names":false,"suffix":""},{"dropping-particle":"","family":"Lau","given":"Nyok-sean","non-dropping-particle":"","parse-names":false,"suffix":""},{"dropping-particle":"","family":"Ling","given":"Siew-chen","non-dropping-particle":"","parse-names":false,"suffix":""},{"dropping-particle":"","family":"Abed","given":"Raeid M M","non-dropping-particle":"","parse-names":false,"suffix":""}],"id":"ITEM-1","issue":"May 2014","issued":{"date-parts":[["2010"]]},"page":"1395-1404","title":"Bacterially Produced Polyhydroxyalkanoate ( PHA ): Converting Renewable Resources into Bioplastics","type":"article-journal"},"uris":["http://www.mendeley.com/documents/?uuid=7d98bde7-3fb9-4e6c-822b-6e91a3163fac"]}],"mendeley":{"formattedCitation":"[5]","plainTextFormattedCitation":"[5]","previouslyFormattedCitation":"(Chee et al., 2010)"},"properties":{"noteIndex":0},"schema":"https://github.com/citation-style-language/schema/raw/master/csl-citation.json"}</w:instrText>
      </w:r>
      <w:r w:rsidR="00AC541A">
        <w:rPr>
          <w:rFonts w:ascii="Times New Roman" w:eastAsia="MS PGothic" w:hAnsi="Times New Roman"/>
          <w:lang w:val="en-US"/>
        </w:rPr>
        <w:fldChar w:fldCharType="separate"/>
      </w:r>
      <w:r w:rsidR="003977BB" w:rsidRPr="003977BB">
        <w:rPr>
          <w:rFonts w:ascii="Times New Roman" w:eastAsia="MS PGothic" w:hAnsi="Times New Roman"/>
          <w:noProof/>
          <w:lang w:val="en-US"/>
        </w:rPr>
        <w:t>[5]</w:t>
      </w:r>
      <w:r w:rsidR="00AC541A">
        <w:rPr>
          <w:rFonts w:ascii="Times New Roman" w:eastAsia="MS PGothic" w:hAnsi="Times New Roman"/>
          <w:lang w:val="en-US"/>
        </w:rPr>
        <w:fldChar w:fldCharType="end"/>
      </w:r>
      <w:r>
        <w:rPr>
          <w:rFonts w:ascii="Times New Roman" w:eastAsia="MS PGothic" w:hAnsi="Times New Roman"/>
          <w:lang w:val="en-US"/>
        </w:rPr>
        <w:t>. Anyway</w:t>
      </w:r>
      <w:r w:rsidR="00373DE3">
        <w:rPr>
          <w:rFonts w:ascii="Times New Roman" w:eastAsia="MS PGothic" w:hAnsi="Times New Roman"/>
          <w:lang w:val="en-US"/>
        </w:rPr>
        <w:t xml:space="preserve">, </w:t>
      </w:r>
      <w:r w:rsidR="001A6AF3">
        <w:rPr>
          <w:rFonts w:ascii="Times New Roman" w:eastAsia="MS PGothic" w:hAnsi="Times New Roman"/>
          <w:lang w:val="en-US"/>
        </w:rPr>
        <w:t>the high market price</w:t>
      </w:r>
      <w:r w:rsidR="00373DE3">
        <w:rPr>
          <w:rFonts w:ascii="Times New Roman" w:eastAsia="MS PGothic" w:hAnsi="Times New Roman"/>
          <w:lang w:val="en-US"/>
        </w:rPr>
        <w:t xml:space="preserve"> of these polymers and </w:t>
      </w:r>
      <w:r>
        <w:rPr>
          <w:rFonts w:ascii="Times New Roman" w:eastAsia="MS PGothic" w:hAnsi="Times New Roman"/>
          <w:lang w:val="en-US"/>
        </w:rPr>
        <w:t xml:space="preserve">the </w:t>
      </w:r>
      <w:r w:rsidR="001A6AF3">
        <w:rPr>
          <w:rFonts w:ascii="Times New Roman" w:eastAsia="MS PGothic" w:hAnsi="Times New Roman"/>
          <w:lang w:val="en-US"/>
        </w:rPr>
        <w:t>poor</w:t>
      </w:r>
      <w:r>
        <w:rPr>
          <w:rFonts w:ascii="Times New Roman" w:eastAsia="MS PGothic" w:hAnsi="Times New Roman"/>
          <w:lang w:val="en-US"/>
        </w:rPr>
        <w:t xml:space="preserve"> scalability of the process</w:t>
      </w:r>
      <w:r w:rsidR="001A6AF3">
        <w:rPr>
          <w:rFonts w:ascii="Times New Roman" w:eastAsia="MS PGothic" w:hAnsi="Times New Roman"/>
          <w:lang w:val="en-US"/>
        </w:rPr>
        <w:t xml:space="preserve"> </w:t>
      </w:r>
      <w:r w:rsidR="00113416">
        <w:rPr>
          <w:rFonts w:ascii="Times New Roman" w:eastAsia="MS PGothic" w:hAnsi="Times New Roman"/>
          <w:lang w:val="en-US"/>
        </w:rPr>
        <w:t xml:space="preserve">result in </w:t>
      </w:r>
      <w:r w:rsidR="002E1A4F">
        <w:rPr>
          <w:rFonts w:ascii="Times New Roman" w:eastAsia="MS PGothic" w:hAnsi="Times New Roman"/>
          <w:lang w:val="en-US"/>
        </w:rPr>
        <w:t>in</w:t>
      </w:r>
      <w:r w:rsidR="00113416">
        <w:rPr>
          <w:rFonts w:ascii="Times New Roman" w:eastAsia="MS PGothic" w:hAnsi="Times New Roman"/>
          <w:lang w:val="en-US"/>
        </w:rPr>
        <w:t>efficient</w:t>
      </w:r>
      <w:r w:rsidR="00373DE3">
        <w:rPr>
          <w:rFonts w:ascii="Times New Roman" w:eastAsia="MS PGothic" w:hAnsi="Times New Roman"/>
          <w:lang w:val="en-US"/>
        </w:rPr>
        <w:t xml:space="preserve"> PHB</w:t>
      </w:r>
      <w:r w:rsidR="00113416">
        <w:rPr>
          <w:rFonts w:ascii="Times New Roman" w:eastAsia="MS PGothic" w:hAnsi="Times New Roman"/>
          <w:lang w:val="en-US"/>
        </w:rPr>
        <w:t xml:space="preserve"> production</w:t>
      </w:r>
      <w:r w:rsidR="001A6AF3">
        <w:rPr>
          <w:rFonts w:ascii="Times New Roman" w:eastAsia="MS PGothic" w:hAnsi="Times New Roman"/>
          <w:lang w:val="en-US"/>
        </w:rPr>
        <w:t xml:space="preserve">. </w:t>
      </w:r>
      <w:r w:rsidR="00373DE3">
        <w:rPr>
          <w:rFonts w:ascii="Times New Roman" w:eastAsia="MS PGothic" w:hAnsi="Times New Roman"/>
          <w:lang w:val="en-US"/>
        </w:rPr>
        <w:t xml:space="preserve">Moreover, the low productivities, which have been largely estimated </w:t>
      </w:r>
      <w:r w:rsidR="00AC541A">
        <w:rPr>
          <w:rFonts w:ascii="Times New Roman" w:eastAsia="MS PGothic" w:hAnsi="Times New Roman"/>
          <w:lang w:val="en-US"/>
        </w:rPr>
        <w:t xml:space="preserve">using </w:t>
      </w:r>
      <w:r w:rsidR="008B2D40">
        <w:rPr>
          <w:rFonts w:ascii="Times New Roman" w:eastAsia="MS PGothic" w:hAnsi="Times New Roman"/>
          <w:lang w:val="en-US"/>
        </w:rPr>
        <w:t xml:space="preserve">continuous </w:t>
      </w:r>
      <w:r w:rsidR="00AC541A">
        <w:rPr>
          <w:rFonts w:ascii="Times New Roman" w:eastAsia="MS PGothic" w:hAnsi="Times New Roman"/>
          <w:lang w:val="en-US"/>
        </w:rPr>
        <w:t xml:space="preserve">bioreactors </w:t>
      </w:r>
      <w:r w:rsidR="00373DE3">
        <w:rPr>
          <w:rFonts w:ascii="Times New Roman" w:eastAsia="MS PGothic" w:hAnsi="Times New Roman"/>
          <w:lang w:val="en-US"/>
        </w:rPr>
        <w:t>at a lab</w:t>
      </w:r>
      <w:r w:rsidR="00113416">
        <w:rPr>
          <w:rFonts w:ascii="Times New Roman" w:eastAsia="MS PGothic" w:hAnsi="Times New Roman"/>
          <w:lang w:val="en-US"/>
        </w:rPr>
        <w:t>oratory</w:t>
      </w:r>
      <w:r w:rsidR="00373DE3">
        <w:rPr>
          <w:rFonts w:ascii="Times New Roman" w:eastAsia="MS PGothic" w:hAnsi="Times New Roman"/>
          <w:lang w:val="en-US"/>
        </w:rPr>
        <w:t xml:space="preserve"> scale, r</w:t>
      </w:r>
      <w:r w:rsidR="008B2D40">
        <w:rPr>
          <w:rFonts w:ascii="Times New Roman" w:eastAsia="MS PGothic" w:hAnsi="Times New Roman"/>
          <w:lang w:val="en-US"/>
        </w:rPr>
        <w:t>emain at</w:t>
      </w:r>
      <w:r w:rsidR="000A058F">
        <w:rPr>
          <w:rFonts w:ascii="Times New Roman" w:eastAsia="MS PGothic" w:hAnsi="Times New Roman"/>
          <w:lang w:val="en-US"/>
        </w:rPr>
        <w:t xml:space="preserve"> approximately</w:t>
      </w:r>
      <w:r w:rsidR="008B2D40">
        <w:rPr>
          <w:rFonts w:ascii="Times New Roman" w:eastAsia="MS PGothic" w:hAnsi="Times New Roman"/>
          <w:lang w:val="en-US"/>
        </w:rPr>
        <w:t xml:space="preserve"> </w:t>
      </w:r>
      <w:r w:rsidR="008B2D40">
        <w:rPr>
          <w:rFonts w:ascii="Times New Roman" w:eastAsia="MS PGothic" w:hAnsi="Times New Roman" w:cs="Times New Roman"/>
          <w:lang w:val="en-US"/>
        </w:rPr>
        <w:t>≈</w:t>
      </w:r>
      <w:r w:rsidR="008B2D40">
        <w:rPr>
          <w:rFonts w:ascii="Times New Roman" w:eastAsia="MS PGothic" w:hAnsi="Times New Roman"/>
          <w:lang w:val="en-US"/>
        </w:rPr>
        <w:t xml:space="preserve">0.03 </w:t>
      </w:r>
      <w:r w:rsidR="00373DE3">
        <w:rPr>
          <w:rFonts w:ascii="Times New Roman" w:eastAsia="MS PGothic" w:hAnsi="Times New Roman"/>
          <w:lang w:val="en-US"/>
        </w:rPr>
        <w:t>kg m</w:t>
      </w:r>
      <w:r w:rsidR="00373DE3" w:rsidRPr="00113416">
        <w:rPr>
          <w:rFonts w:ascii="Times New Roman" w:eastAsia="MS PGothic" w:hAnsi="Times New Roman"/>
          <w:vertAlign w:val="superscript"/>
          <w:lang w:val="en-US"/>
        </w:rPr>
        <w:t>-3</w:t>
      </w:r>
      <w:r w:rsidR="00373DE3">
        <w:rPr>
          <w:rFonts w:ascii="Times New Roman" w:eastAsia="MS PGothic" w:hAnsi="Times New Roman"/>
          <w:lang w:val="en-US"/>
        </w:rPr>
        <w:t>d</w:t>
      </w:r>
      <w:r w:rsidR="00373DE3" w:rsidRPr="00113416">
        <w:rPr>
          <w:rFonts w:ascii="Times New Roman" w:eastAsia="MS PGothic" w:hAnsi="Times New Roman"/>
          <w:vertAlign w:val="superscript"/>
          <w:lang w:val="en-US"/>
        </w:rPr>
        <w:t>-1</w:t>
      </w:r>
      <w:r w:rsidR="008B2D40">
        <w:rPr>
          <w:rFonts w:ascii="Times New Roman" w:eastAsia="MS PGothic" w:hAnsi="Times New Roman"/>
          <w:vertAlign w:val="superscript"/>
          <w:lang w:val="en-US"/>
        </w:rPr>
        <w:t xml:space="preserve"> </w:t>
      </w:r>
      <w:r w:rsidR="008B2D40">
        <w:rPr>
          <w:rFonts w:ascii="Times New Roman" w:eastAsia="MS PGothic" w:hAnsi="Times New Roman"/>
          <w:vertAlign w:val="superscript"/>
          <w:lang w:val="en-US"/>
        </w:rPr>
        <w:fldChar w:fldCharType="begin" w:fldLock="1"/>
      </w:r>
      <w:r w:rsidR="003977BB">
        <w:rPr>
          <w:rFonts w:ascii="Times New Roman" w:eastAsia="MS PGothic" w:hAnsi="Times New Roman"/>
          <w:vertAlign w:val="superscript"/>
          <w:lang w:val="en-US"/>
        </w:rPr>
        <w:instrText>ADDIN CSL_CITATION {"citationItems":[{"id":"ITEM-1","itemData":{"author":[{"dropping-particle":"","family":"García-Pérez Teresa, C.López Juan, Passos Fabiana, Lebrero Raquel, Revah Sergio","given":"Muñoz Raul","non-dropping-particle":"","parse-names":false,"suffix":""}],"container-title":"Chemical Engineering Journal","id":"ITEM-1","issued":{"date-parts":[["2018"]]},"page":"691-697","title":"Simultaneous methane abatement and PHB production by Methylocystis hirsuta in a novel gas-recycling bubble column bioreactor","type":"article-journal","volume":"334"},"uris":["http://www.mendeley.com/documents/?uuid=612dd36a-3279-47e4-bddf-67a9c12ad4b2"]}],"mendeley":{"formattedCitation":"[6]","plainTextFormattedCitation":"[6]","previouslyFormattedCitation":"(García-Pérez Teresa, C.López Juan, Passos Fabiana, Lebrero Raquel, Revah Sergio, 2018)"},"properties":{"noteIndex":0},"schema":"https://github.com/citation-style-language/schema/raw/master/csl-citation.json"}</w:instrText>
      </w:r>
      <w:r w:rsidR="008B2D40">
        <w:rPr>
          <w:rFonts w:ascii="Times New Roman" w:eastAsia="MS PGothic" w:hAnsi="Times New Roman"/>
          <w:vertAlign w:val="superscript"/>
          <w:lang w:val="en-US"/>
        </w:rPr>
        <w:fldChar w:fldCharType="separate"/>
      </w:r>
      <w:r w:rsidR="003977BB" w:rsidRPr="003977BB">
        <w:rPr>
          <w:rFonts w:ascii="Times New Roman" w:eastAsia="MS PGothic" w:hAnsi="Times New Roman"/>
          <w:noProof/>
          <w:lang w:val="en-US"/>
        </w:rPr>
        <w:t>[6]</w:t>
      </w:r>
      <w:r w:rsidR="008B2D40">
        <w:rPr>
          <w:rFonts w:ascii="Times New Roman" w:eastAsia="MS PGothic" w:hAnsi="Times New Roman"/>
          <w:vertAlign w:val="superscript"/>
          <w:lang w:val="en-US"/>
        </w:rPr>
        <w:fldChar w:fldCharType="end"/>
      </w:r>
      <w:r w:rsidR="00373DE3">
        <w:rPr>
          <w:rFonts w:ascii="Times New Roman" w:eastAsia="MS PGothic" w:hAnsi="Times New Roman"/>
          <w:lang w:val="en-US"/>
        </w:rPr>
        <w:t xml:space="preserve">. In this context, among the several factors that affect </w:t>
      </w:r>
      <w:r w:rsidR="00113416">
        <w:rPr>
          <w:rFonts w:ascii="Times New Roman" w:eastAsia="MS PGothic" w:hAnsi="Times New Roman"/>
          <w:lang w:val="en-US"/>
        </w:rPr>
        <w:t xml:space="preserve">the </w:t>
      </w:r>
      <w:r w:rsidR="00373DE3">
        <w:rPr>
          <w:rFonts w:ascii="Times New Roman" w:eastAsia="MS PGothic" w:hAnsi="Times New Roman"/>
          <w:lang w:val="en-US"/>
        </w:rPr>
        <w:t xml:space="preserve">process </w:t>
      </w:r>
      <w:r w:rsidR="001A6AF3">
        <w:rPr>
          <w:rFonts w:ascii="Times New Roman" w:eastAsia="MS PGothic" w:hAnsi="Times New Roman"/>
          <w:lang w:val="en-US"/>
        </w:rPr>
        <w:t xml:space="preserve">yields, mass transfer from the gas </w:t>
      </w:r>
      <w:r w:rsidR="00373DE3">
        <w:rPr>
          <w:rFonts w:ascii="Times New Roman" w:eastAsia="MS PGothic" w:hAnsi="Times New Roman"/>
          <w:lang w:val="en-US"/>
        </w:rPr>
        <w:t>to</w:t>
      </w:r>
      <w:r w:rsidR="001A6AF3">
        <w:rPr>
          <w:rFonts w:ascii="Times New Roman" w:eastAsia="MS PGothic" w:hAnsi="Times New Roman"/>
          <w:lang w:val="en-US"/>
        </w:rPr>
        <w:t xml:space="preserve"> the liquid </w:t>
      </w:r>
      <w:r w:rsidR="00373DE3">
        <w:rPr>
          <w:rFonts w:ascii="Times New Roman" w:eastAsia="MS PGothic" w:hAnsi="Times New Roman"/>
          <w:lang w:val="en-US"/>
        </w:rPr>
        <w:t>represent</w:t>
      </w:r>
      <w:r w:rsidR="001A6AF3">
        <w:rPr>
          <w:rFonts w:ascii="Times New Roman" w:eastAsia="MS PGothic" w:hAnsi="Times New Roman"/>
          <w:lang w:val="en-US"/>
        </w:rPr>
        <w:t xml:space="preserve"> a key aspect</w:t>
      </w:r>
      <w:r w:rsidR="008B2D40">
        <w:rPr>
          <w:rFonts w:ascii="Times New Roman" w:eastAsia="MS PGothic" w:hAnsi="Times New Roman"/>
          <w:lang w:val="en-US"/>
        </w:rPr>
        <w:t xml:space="preserve"> </w:t>
      </w:r>
      <w:r w:rsidR="008B2D40">
        <w:rPr>
          <w:rFonts w:ascii="Times New Roman" w:eastAsia="MS PGothic" w:hAnsi="Times New Roman"/>
          <w:lang w:val="en-US"/>
        </w:rPr>
        <w:fldChar w:fldCharType="begin" w:fldLock="1"/>
      </w:r>
      <w:r w:rsidR="003977BB">
        <w:rPr>
          <w:rFonts w:ascii="Times New Roman" w:eastAsia="MS PGothic" w:hAnsi="Times New Roman"/>
          <w:lang w:val="en-US"/>
        </w:rPr>
        <w:instrText>ADDIN CSL_CITATION {"citationItems":[{"id":"ITEM-1","itemData":{"author":[{"dropping-particle":"","family":"García-Pérez Teresa, C.López Juan, Passos Fabiana, Lebrero Raquel, Revah Sergio","given":"Muñoz Raul","non-dropping-particle":"","parse-names":false,"suffix":""}],"container-title":"Chemical Engineering Journal","id":"ITEM-1","issued":{"date-parts":[["2018"]]},"page":"691-697","title":"Simultaneous methane abatement and PHB production by Methylocystis hirsuta in a novel gas-recycling bubble column bioreactor","type":"article-journal","volume":"334"},"uris":["http://www.mendeley.com/documents/?uuid=612dd36a-3279-47e4-bddf-67a9c12ad4b2"]}],"mendeley":{"formattedCitation":"[6]","plainTextFormattedCitation":"[6]","previouslyFormattedCitation":"(García-Pérez Teresa, C.López Juan, Passos Fabiana, Lebrero Raquel, Revah Sergio, 2018)"},"properties":{"noteIndex":0},"schema":"https://github.com/citation-style-language/schema/raw/master/csl-citation.json"}</w:instrText>
      </w:r>
      <w:r w:rsidR="008B2D40">
        <w:rPr>
          <w:rFonts w:ascii="Times New Roman" w:eastAsia="MS PGothic" w:hAnsi="Times New Roman"/>
          <w:lang w:val="en-US"/>
        </w:rPr>
        <w:fldChar w:fldCharType="separate"/>
      </w:r>
      <w:r w:rsidR="003977BB" w:rsidRPr="003977BB">
        <w:rPr>
          <w:rFonts w:ascii="Times New Roman" w:eastAsia="MS PGothic" w:hAnsi="Times New Roman"/>
          <w:noProof/>
          <w:lang w:val="en-US"/>
        </w:rPr>
        <w:t>[6]</w:t>
      </w:r>
      <w:r w:rsidR="008B2D40">
        <w:rPr>
          <w:rFonts w:ascii="Times New Roman" w:eastAsia="MS PGothic" w:hAnsi="Times New Roman"/>
          <w:lang w:val="en-US"/>
        </w:rPr>
        <w:fldChar w:fldCharType="end"/>
      </w:r>
      <w:r w:rsidR="001A6AF3">
        <w:rPr>
          <w:rFonts w:ascii="Times New Roman" w:eastAsia="MS PGothic" w:hAnsi="Times New Roman"/>
          <w:lang w:val="en-US"/>
        </w:rPr>
        <w:t xml:space="preserve">. </w:t>
      </w:r>
      <w:r w:rsidR="00373DE3">
        <w:rPr>
          <w:rFonts w:ascii="Times New Roman" w:eastAsia="MS PGothic" w:hAnsi="Times New Roman"/>
          <w:lang w:val="en-US"/>
        </w:rPr>
        <w:t xml:space="preserve">Normally, </w:t>
      </w:r>
      <w:r w:rsidR="00094BFF">
        <w:rPr>
          <w:rFonts w:ascii="Times New Roman" w:eastAsia="MS PGothic" w:hAnsi="Times New Roman"/>
          <w:lang w:val="en-US"/>
        </w:rPr>
        <w:t>methanotrophs</w:t>
      </w:r>
      <w:r w:rsidR="00113416">
        <w:rPr>
          <w:rFonts w:ascii="Times New Roman" w:eastAsia="MS PGothic" w:hAnsi="Times New Roman"/>
          <w:lang w:val="en-US"/>
        </w:rPr>
        <w:t xml:space="preserve"> </w:t>
      </w:r>
      <w:r w:rsidR="00AD40F8">
        <w:rPr>
          <w:rFonts w:ascii="Times New Roman" w:eastAsia="MS PGothic" w:hAnsi="Times New Roman"/>
          <w:lang w:val="en-US"/>
        </w:rPr>
        <w:t>use</w:t>
      </w:r>
      <w:r w:rsidR="00373DE3">
        <w:rPr>
          <w:rFonts w:ascii="Times New Roman" w:eastAsia="MS PGothic" w:hAnsi="Times New Roman"/>
          <w:lang w:val="en-US"/>
        </w:rPr>
        <w:t xml:space="preserve"> oxygen and methane for growing </w:t>
      </w:r>
      <w:r w:rsidR="00094BFF">
        <w:rPr>
          <w:rFonts w:ascii="Times New Roman" w:eastAsia="MS PGothic" w:hAnsi="Times New Roman"/>
          <w:lang w:val="en-US"/>
        </w:rPr>
        <w:t xml:space="preserve">in presence of nutrients </w:t>
      </w:r>
      <w:r w:rsidR="00373DE3">
        <w:rPr>
          <w:rFonts w:ascii="Times New Roman" w:eastAsia="MS PGothic" w:hAnsi="Times New Roman"/>
          <w:lang w:val="en-US"/>
        </w:rPr>
        <w:t>and accumulating the polymer into the cell structure</w:t>
      </w:r>
      <w:r w:rsidR="00094BFF">
        <w:rPr>
          <w:rFonts w:ascii="Times New Roman" w:eastAsia="MS PGothic" w:hAnsi="Times New Roman"/>
          <w:lang w:val="en-US"/>
        </w:rPr>
        <w:t xml:space="preserve"> under an induced metabolic stress</w:t>
      </w:r>
      <w:r w:rsidR="00113416">
        <w:rPr>
          <w:rFonts w:ascii="Times New Roman" w:eastAsia="MS PGothic" w:hAnsi="Times New Roman"/>
          <w:lang w:val="en-US"/>
        </w:rPr>
        <w:t>, but the low solubility of methane often limits the availability of these</w:t>
      </w:r>
      <w:r w:rsidR="00094BFF">
        <w:rPr>
          <w:rFonts w:ascii="Times New Roman" w:eastAsia="MS PGothic" w:hAnsi="Times New Roman"/>
          <w:lang w:val="en-US"/>
        </w:rPr>
        <w:t xml:space="preserve"> gaseous</w:t>
      </w:r>
      <w:r w:rsidR="00113416">
        <w:rPr>
          <w:rFonts w:ascii="Times New Roman" w:eastAsia="MS PGothic" w:hAnsi="Times New Roman"/>
          <w:lang w:val="en-US"/>
        </w:rPr>
        <w:t xml:space="preserve"> </w:t>
      </w:r>
      <w:r w:rsidR="00094BFF">
        <w:rPr>
          <w:rFonts w:ascii="Times New Roman" w:eastAsia="MS PGothic" w:hAnsi="Times New Roman"/>
          <w:lang w:val="en-US"/>
        </w:rPr>
        <w:t>reactants</w:t>
      </w:r>
      <w:r w:rsidR="00113416">
        <w:rPr>
          <w:rFonts w:ascii="Times New Roman" w:eastAsia="MS PGothic" w:hAnsi="Times New Roman"/>
          <w:lang w:val="en-US"/>
        </w:rPr>
        <w:t xml:space="preserve"> in</w:t>
      </w:r>
      <w:r w:rsidR="00AD40F8">
        <w:rPr>
          <w:rFonts w:ascii="Times New Roman" w:eastAsia="MS PGothic" w:hAnsi="Times New Roman"/>
          <w:lang w:val="en-US"/>
        </w:rPr>
        <w:t xml:space="preserve">to </w:t>
      </w:r>
      <w:r w:rsidR="00113416">
        <w:rPr>
          <w:rFonts w:ascii="Times New Roman" w:eastAsia="MS PGothic" w:hAnsi="Times New Roman"/>
          <w:lang w:val="en-US"/>
        </w:rPr>
        <w:t>the liquid phase</w:t>
      </w:r>
      <w:r w:rsidR="00AD40F8">
        <w:rPr>
          <w:rFonts w:ascii="Times New Roman" w:eastAsia="MS PGothic" w:hAnsi="Times New Roman"/>
          <w:lang w:val="en-US"/>
        </w:rPr>
        <w:t xml:space="preserve">. Many strategies for improving </w:t>
      </w:r>
      <w:r w:rsidR="000A058F">
        <w:rPr>
          <w:rFonts w:ascii="Times New Roman" w:eastAsia="MS PGothic" w:hAnsi="Times New Roman"/>
          <w:lang w:val="en-US"/>
        </w:rPr>
        <w:t>gas-liquid</w:t>
      </w:r>
      <w:r w:rsidR="00AD40F8">
        <w:rPr>
          <w:rFonts w:ascii="Times New Roman" w:eastAsia="MS PGothic" w:hAnsi="Times New Roman"/>
          <w:lang w:val="en-US"/>
        </w:rPr>
        <w:t xml:space="preserve"> mass transfer </w:t>
      </w:r>
      <w:r w:rsidR="004A75DE">
        <w:rPr>
          <w:rFonts w:ascii="Times New Roman" w:eastAsia="MS PGothic" w:hAnsi="Times New Roman"/>
          <w:lang w:val="en-US"/>
        </w:rPr>
        <w:t xml:space="preserve">and saving methane </w:t>
      </w:r>
      <w:r w:rsidR="00AD40F8">
        <w:rPr>
          <w:rFonts w:ascii="Times New Roman" w:eastAsia="MS PGothic" w:hAnsi="Times New Roman"/>
          <w:lang w:val="en-US"/>
        </w:rPr>
        <w:t xml:space="preserve">have been studied in the literature, some of them reporting interesting results in terms of PHB </w:t>
      </w:r>
      <w:r w:rsidR="00A34314">
        <w:rPr>
          <w:rFonts w:ascii="Times New Roman" w:eastAsia="MS PGothic" w:hAnsi="Times New Roman"/>
          <w:lang w:val="en-US"/>
        </w:rPr>
        <w:t>productivity</w:t>
      </w:r>
      <w:r w:rsidR="008B2D40">
        <w:rPr>
          <w:rFonts w:ascii="Times New Roman" w:eastAsia="MS PGothic" w:hAnsi="Times New Roman"/>
          <w:lang w:val="en-US"/>
        </w:rPr>
        <w:t xml:space="preserve"> </w:t>
      </w:r>
      <w:r w:rsidR="008B2D40">
        <w:rPr>
          <w:rFonts w:ascii="Times New Roman" w:eastAsia="MS PGothic" w:hAnsi="Times New Roman"/>
          <w:lang w:val="en-US"/>
        </w:rPr>
        <w:fldChar w:fldCharType="begin" w:fldLock="1"/>
      </w:r>
      <w:r w:rsidR="003977BB">
        <w:rPr>
          <w:rFonts w:ascii="Times New Roman" w:eastAsia="MS PGothic" w:hAnsi="Times New Roman"/>
          <w:lang w:val="en-US"/>
        </w:rPr>
        <w:instrText>ADDIN CSL_CITATION {"citationItems":[{"id":"ITEM-1","itemData":{"author":[{"dropping-particle":"","family":"García-Pérez Teresa, C.López Juan, Passos Fabiana, Lebrero Raquel, Revah Sergio","given":"Muñoz Raul","non-dropping-particle":"","parse-names":false,"suffix":""}],"container-title":"Chemical Engineering Journal","id":"ITEM-1","issued":{"date-parts":[["2018"]]},"page":"691-697","title":"Simultaneous methane abatement and PHB production by Methylocystis hirsuta in a novel gas-recycling bubble column bioreactor","type":"article-journal","volume":"334"},"uris":["http://www.mendeley.com/documents/?uuid=612dd36a-3279-47e4-bddf-67a9c12ad4b2"]}],"mendeley":{"formattedCitation":"[6]","plainTextFormattedCitation":"[6]","previouslyFormattedCitation":"(García-Pérez Teresa, C.López Juan, Passos Fabiana, Lebrero Raquel, Revah Sergio, 2018)"},"properties":{"noteIndex":0},"schema":"https://github.com/citation-style-language/schema/raw/master/csl-citation.json"}</w:instrText>
      </w:r>
      <w:r w:rsidR="008B2D40">
        <w:rPr>
          <w:rFonts w:ascii="Times New Roman" w:eastAsia="MS PGothic" w:hAnsi="Times New Roman"/>
          <w:lang w:val="en-US"/>
        </w:rPr>
        <w:fldChar w:fldCharType="separate"/>
      </w:r>
      <w:r w:rsidR="003977BB" w:rsidRPr="003977BB">
        <w:rPr>
          <w:rFonts w:ascii="Times New Roman" w:eastAsia="MS PGothic" w:hAnsi="Times New Roman"/>
          <w:noProof/>
          <w:lang w:val="en-US"/>
        </w:rPr>
        <w:t>[6]</w:t>
      </w:r>
      <w:r w:rsidR="008B2D40">
        <w:rPr>
          <w:rFonts w:ascii="Times New Roman" w:eastAsia="MS PGothic" w:hAnsi="Times New Roman"/>
          <w:lang w:val="en-US"/>
        </w:rPr>
        <w:fldChar w:fldCharType="end"/>
      </w:r>
      <w:r w:rsidR="00AD40F8">
        <w:rPr>
          <w:rFonts w:ascii="Times New Roman" w:eastAsia="MS PGothic" w:hAnsi="Times New Roman"/>
          <w:lang w:val="en-US"/>
        </w:rPr>
        <w:t xml:space="preserve">. For example, the use of </w:t>
      </w:r>
      <w:r w:rsidR="002E1A4F">
        <w:rPr>
          <w:rFonts w:ascii="Times New Roman" w:eastAsia="MS PGothic" w:hAnsi="Times New Roman"/>
          <w:lang w:val="en-US"/>
        </w:rPr>
        <w:t>an internal</w:t>
      </w:r>
      <w:r w:rsidR="00AD40F8">
        <w:rPr>
          <w:rFonts w:ascii="Times New Roman" w:eastAsia="MS PGothic" w:hAnsi="Times New Roman"/>
          <w:lang w:val="en-US"/>
        </w:rPr>
        <w:t xml:space="preserve"> gas recycling strategy in a bubble column bioreactor operating in a continuous mode to produce Poly(3-hydroxybutyrate) from methane, resulted in a higher </w:t>
      </w:r>
      <w:r w:rsidR="002E1A4F">
        <w:rPr>
          <w:rFonts w:ascii="Times New Roman" w:eastAsia="MS PGothic" w:hAnsi="Times New Roman"/>
          <w:lang w:val="en-US"/>
        </w:rPr>
        <w:t>productivity</w:t>
      </w:r>
      <w:r w:rsidR="00AD40F8">
        <w:rPr>
          <w:rFonts w:ascii="Times New Roman" w:eastAsia="MS PGothic" w:hAnsi="Times New Roman"/>
          <w:lang w:val="en-US"/>
        </w:rPr>
        <w:t xml:space="preserve"> of 1.4 kg m</w:t>
      </w:r>
      <w:r w:rsidR="00AD40F8" w:rsidRPr="00AD40F8">
        <w:rPr>
          <w:rFonts w:ascii="Times New Roman" w:eastAsia="MS PGothic" w:hAnsi="Times New Roman"/>
          <w:vertAlign w:val="superscript"/>
          <w:lang w:val="en-US"/>
        </w:rPr>
        <w:t>-3</w:t>
      </w:r>
      <w:r w:rsidR="00AD40F8">
        <w:rPr>
          <w:rFonts w:ascii="Times New Roman" w:eastAsia="MS PGothic" w:hAnsi="Times New Roman"/>
          <w:lang w:val="en-US"/>
        </w:rPr>
        <w:t>d</w:t>
      </w:r>
      <w:r w:rsidR="00AD40F8" w:rsidRPr="00AD40F8">
        <w:rPr>
          <w:rFonts w:ascii="Times New Roman" w:eastAsia="MS PGothic" w:hAnsi="Times New Roman"/>
          <w:vertAlign w:val="superscript"/>
          <w:lang w:val="en-US"/>
        </w:rPr>
        <w:t>-1</w:t>
      </w:r>
      <w:r w:rsidR="00AD40F8">
        <w:rPr>
          <w:rFonts w:ascii="Times New Roman" w:eastAsia="MS PGothic" w:hAnsi="Times New Roman"/>
          <w:lang w:val="en-US"/>
        </w:rPr>
        <w:t xml:space="preserve">. </w:t>
      </w:r>
    </w:p>
    <w:p w14:paraId="300344C3" w14:textId="744B5E88" w:rsidR="00DA51A3" w:rsidRPr="00AD40F8" w:rsidRDefault="00AD40F8" w:rsidP="00C573D8">
      <w:pPr>
        <w:snapToGrid w:val="0"/>
        <w:spacing w:after="120"/>
        <w:rPr>
          <w:rFonts w:ascii="Times New Roman" w:eastAsia="MS PGothic" w:hAnsi="Times New Roman"/>
          <w:b/>
          <w:u w:val="single"/>
          <w:lang w:val="en-US"/>
        </w:rPr>
      </w:pPr>
      <w:r>
        <w:rPr>
          <w:rFonts w:ascii="Times New Roman" w:eastAsia="MS PGothic" w:hAnsi="Times New Roman"/>
          <w:lang w:val="en-US"/>
        </w:rPr>
        <w:t xml:space="preserve">In this work, a double step process was simulated to grow </w:t>
      </w:r>
      <w:proofErr w:type="spellStart"/>
      <w:r w:rsidRPr="00AA27FD">
        <w:rPr>
          <w:rFonts w:ascii="Times New Roman" w:eastAsia="MS PGothic" w:hAnsi="Times New Roman"/>
          <w:i/>
          <w:iCs/>
          <w:lang w:val="en-US"/>
        </w:rPr>
        <w:t>Methylocystis</w:t>
      </w:r>
      <w:proofErr w:type="spellEnd"/>
      <w:r w:rsidRPr="00AA27FD">
        <w:rPr>
          <w:rFonts w:ascii="Times New Roman" w:eastAsia="MS PGothic" w:hAnsi="Times New Roman"/>
          <w:i/>
          <w:iCs/>
          <w:lang w:val="en-US"/>
        </w:rPr>
        <w:t xml:space="preserve"> </w:t>
      </w:r>
      <w:proofErr w:type="spellStart"/>
      <w:r w:rsidRPr="00AA27FD">
        <w:rPr>
          <w:rFonts w:ascii="Times New Roman" w:eastAsia="MS PGothic" w:hAnsi="Times New Roman"/>
          <w:i/>
          <w:iCs/>
          <w:lang w:val="en-US"/>
        </w:rPr>
        <w:t>Hirsuta</w:t>
      </w:r>
      <w:proofErr w:type="spellEnd"/>
      <w:r>
        <w:rPr>
          <w:rFonts w:ascii="Times New Roman" w:eastAsia="MS PGothic" w:hAnsi="Times New Roman"/>
          <w:lang w:val="en-US"/>
        </w:rPr>
        <w:t xml:space="preserve"> and to accumulate PHB in 400L bubble column bioreactors working in series in </w:t>
      </w:r>
      <w:r w:rsidR="00A34314">
        <w:rPr>
          <w:rFonts w:ascii="Times New Roman" w:eastAsia="MS PGothic" w:hAnsi="Times New Roman"/>
          <w:lang w:val="en-US"/>
        </w:rPr>
        <w:t xml:space="preserve">a </w:t>
      </w:r>
      <w:r>
        <w:rPr>
          <w:rFonts w:ascii="Times New Roman" w:eastAsia="MS PGothic" w:hAnsi="Times New Roman"/>
          <w:lang w:val="en-US"/>
        </w:rPr>
        <w:t>semi-continuous mode. The process was simulated twice: first, a process scheme without internal gas recycling was</w:t>
      </w:r>
      <w:r w:rsidR="00AA27FD">
        <w:rPr>
          <w:rFonts w:ascii="Times New Roman" w:eastAsia="MS PGothic" w:hAnsi="Times New Roman"/>
          <w:lang w:val="en-US"/>
        </w:rPr>
        <w:t xml:space="preserve"> considered</w:t>
      </w:r>
      <w:r>
        <w:rPr>
          <w:rFonts w:ascii="Times New Roman" w:eastAsia="MS PGothic" w:hAnsi="Times New Roman"/>
          <w:lang w:val="en-US"/>
        </w:rPr>
        <w:t xml:space="preserve">, then, the same conditions were repeated in </w:t>
      </w:r>
      <w:r w:rsidR="00AA27FD">
        <w:rPr>
          <w:rFonts w:ascii="Times New Roman" w:eastAsia="MS PGothic" w:hAnsi="Times New Roman"/>
          <w:lang w:val="en-US"/>
        </w:rPr>
        <w:t xml:space="preserve">two reactors provided with a </w:t>
      </w:r>
      <w:r w:rsidR="00A34314">
        <w:rPr>
          <w:rFonts w:ascii="Times New Roman" w:eastAsia="MS PGothic" w:hAnsi="Times New Roman"/>
          <w:lang w:val="en-US"/>
        </w:rPr>
        <w:t xml:space="preserve">gas </w:t>
      </w:r>
      <w:r w:rsidR="00AA27FD">
        <w:rPr>
          <w:rFonts w:ascii="Times New Roman" w:eastAsia="MS PGothic" w:hAnsi="Times New Roman"/>
          <w:lang w:val="en-US"/>
        </w:rPr>
        <w:t>recycling unit and working at several recycling rate.</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6DD66C24" w14:textId="7ECB89D7" w:rsidR="00263C00" w:rsidRDefault="00AA27FD" w:rsidP="00DA51A3">
      <w:pPr>
        <w:snapToGrid w:val="0"/>
        <w:spacing w:after="120"/>
        <w:rPr>
          <w:rFonts w:ascii="Cambria Math" w:eastAsia="MS PGothic" w:hAnsi="Cambria Math"/>
          <w:i/>
          <w:lang w:val="en-US"/>
        </w:rPr>
      </w:pPr>
      <w:r>
        <w:rPr>
          <w:rFonts w:ascii="Times New Roman" w:eastAsia="MS PGothic" w:hAnsi="Times New Roman"/>
          <w:lang w:val="en-US"/>
        </w:rPr>
        <w:lastRenderedPageBreak/>
        <w:t xml:space="preserve">The process </w:t>
      </w:r>
      <w:r w:rsidR="00280F57">
        <w:rPr>
          <w:rFonts w:ascii="Times New Roman" w:eastAsia="MS PGothic" w:hAnsi="Times New Roman"/>
          <w:lang w:val="en-US"/>
        </w:rPr>
        <w:t>to produce</w:t>
      </w:r>
      <w:r>
        <w:rPr>
          <w:rFonts w:ascii="Times New Roman" w:eastAsia="MS PGothic" w:hAnsi="Times New Roman"/>
          <w:lang w:val="en-US"/>
        </w:rPr>
        <w:t xml:space="preserve"> Poly(3-hydroxubytyrate) was simulated using two </w:t>
      </w:r>
      <w:r w:rsidR="00280F57">
        <w:rPr>
          <w:rFonts w:ascii="Times New Roman" w:eastAsia="MS PGothic" w:hAnsi="Times New Roman"/>
          <w:lang w:val="en-US"/>
        </w:rPr>
        <w:t>400L</w:t>
      </w:r>
      <w:r w:rsidR="000E443C">
        <w:rPr>
          <w:rFonts w:ascii="Times New Roman" w:eastAsia="MS PGothic" w:hAnsi="Times New Roman"/>
          <w:lang w:val="en-US"/>
        </w:rPr>
        <w:t xml:space="preserve"> semicontinuous </w:t>
      </w:r>
      <w:r>
        <w:rPr>
          <w:rFonts w:ascii="Times New Roman" w:eastAsia="MS PGothic" w:hAnsi="Times New Roman"/>
          <w:lang w:val="en-US"/>
        </w:rPr>
        <w:t xml:space="preserve">bubble column bioreactors working in series. The first step consisted </w:t>
      </w:r>
      <w:r w:rsidR="002E1A4F">
        <w:rPr>
          <w:rFonts w:ascii="Times New Roman" w:eastAsia="MS PGothic" w:hAnsi="Times New Roman"/>
          <w:lang w:val="en-US"/>
        </w:rPr>
        <w:t>in</w:t>
      </w:r>
      <w:r>
        <w:rPr>
          <w:rFonts w:ascii="Times New Roman" w:eastAsia="MS PGothic" w:hAnsi="Times New Roman"/>
          <w:lang w:val="en-US"/>
        </w:rPr>
        <w:t xml:space="preserve"> the growth of a Type II methanotroph in presence of NO</w:t>
      </w:r>
      <w:r w:rsidRPr="00AA27FD">
        <w:rPr>
          <w:rFonts w:ascii="Times New Roman" w:eastAsia="MS PGothic" w:hAnsi="Times New Roman"/>
          <w:vertAlign w:val="subscript"/>
          <w:lang w:val="en-US"/>
        </w:rPr>
        <w:t>3</w:t>
      </w:r>
      <w:r w:rsidRPr="00AA27FD">
        <w:rPr>
          <w:rFonts w:ascii="Times New Roman" w:eastAsia="MS PGothic" w:hAnsi="Times New Roman"/>
          <w:vertAlign w:val="superscript"/>
          <w:lang w:val="en-US"/>
        </w:rPr>
        <w:t>-</w:t>
      </w:r>
      <w:r>
        <w:rPr>
          <w:rFonts w:ascii="Times New Roman" w:eastAsia="MS PGothic" w:hAnsi="Times New Roman"/>
          <w:vertAlign w:val="superscript"/>
          <w:lang w:val="en-US"/>
        </w:rPr>
        <w:t xml:space="preserve"> </w:t>
      </w:r>
      <w:r>
        <w:rPr>
          <w:rFonts w:ascii="Times New Roman" w:eastAsia="MS PGothic" w:hAnsi="Times New Roman"/>
          <w:lang w:val="en-US"/>
        </w:rPr>
        <w:t>and methane as nitrogen and carbon source, respectively;</w:t>
      </w:r>
      <w:r w:rsidR="00280F57">
        <w:rPr>
          <w:rFonts w:ascii="Times New Roman" w:eastAsia="MS PGothic" w:hAnsi="Times New Roman"/>
          <w:lang w:val="en-US"/>
        </w:rPr>
        <w:t xml:space="preserve"> the second phase was aimed at the accumulation of </w:t>
      </w:r>
      <w:r w:rsidR="004A75DE">
        <w:rPr>
          <w:rFonts w:ascii="Times New Roman" w:eastAsia="MS PGothic" w:hAnsi="Times New Roman"/>
          <w:lang w:val="en-US"/>
        </w:rPr>
        <w:t>PHB</w:t>
      </w:r>
      <w:r w:rsidR="00280F57">
        <w:rPr>
          <w:rFonts w:ascii="Times New Roman" w:eastAsia="MS PGothic" w:hAnsi="Times New Roman"/>
          <w:lang w:val="en-US"/>
        </w:rPr>
        <w:t xml:space="preserve"> in absence of nutrients in the medium. The </w:t>
      </w:r>
      <w:r w:rsidR="00A34314">
        <w:rPr>
          <w:rFonts w:ascii="Times New Roman" w:eastAsia="MS PGothic" w:hAnsi="Times New Roman"/>
          <w:lang w:val="en-US"/>
        </w:rPr>
        <w:t>flowsheet was designed both</w:t>
      </w:r>
      <w:r w:rsidR="00280F57">
        <w:rPr>
          <w:rFonts w:ascii="Times New Roman" w:eastAsia="MS PGothic" w:hAnsi="Times New Roman"/>
          <w:lang w:val="en-US"/>
        </w:rPr>
        <w:t xml:space="preserve"> with and without a gas recycling unit (Figure </w:t>
      </w:r>
      <w:r w:rsidR="00F0696D">
        <w:rPr>
          <w:rFonts w:ascii="Times New Roman" w:eastAsia="MS PGothic" w:hAnsi="Times New Roman"/>
          <w:lang w:val="en-US"/>
        </w:rPr>
        <w:t>2</w:t>
      </w:r>
      <w:r w:rsidR="00280F57">
        <w:rPr>
          <w:rFonts w:ascii="Times New Roman" w:eastAsia="MS PGothic" w:hAnsi="Times New Roman"/>
          <w:lang w:val="en-US"/>
        </w:rPr>
        <w:t xml:space="preserve">a and </w:t>
      </w:r>
      <w:r w:rsidR="00F0696D">
        <w:rPr>
          <w:rFonts w:ascii="Times New Roman" w:eastAsia="MS PGothic" w:hAnsi="Times New Roman"/>
          <w:lang w:val="en-US"/>
        </w:rPr>
        <w:t>2</w:t>
      </w:r>
      <w:r w:rsidR="00280F57">
        <w:rPr>
          <w:rFonts w:ascii="Times New Roman" w:eastAsia="MS PGothic" w:hAnsi="Times New Roman"/>
          <w:lang w:val="en-US"/>
        </w:rPr>
        <w:t xml:space="preserve">b) </w:t>
      </w:r>
      <w:r w:rsidR="000E443C">
        <w:rPr>
          <w:rFonts w:ascii="Times New Roman" w:eastAsia="MS PGothic" w:hAnsi="Times New Roman"/>
          <w:lang w:val="en-US"/>
        </w:rPr>
        <w:t>to</w:t>
      </w:r>
      <w:r w:rsidR="00280F57">
        <w:rPr>
          <w:rFonts w:ascii="Times New Roman" w:eastAsia="MS PGothic" w:hAnsi="Times New Roman"/>
          <w:lang w:val="en-US"/>
        </w:rPr>
        <w:t xml:space="preserve"> assess the effects of gas r</w:t>
      </w:r>
      <w:r w:rsidR="004A75DE">
        <w:rPr>
          <w:rFonts w:ascii="Times New Roman" w:eastAsia="MS PGothic" w:hAnsi="Times New Roman"/>
          <w:lang w:val="en-US"/>
        </w:rPr>
        <w:t>ecirculation</w:t>
      </w:r>
      <w:r w:rsidR="00280F57">
        <w:rPr>
          <w:rFonts w:ascii="Times New Roman" w:eastAsia="MS PGothic" w:hAnsi="Times New Roman"/>
          <w:lang w:val="en-US"/>
        </w:rPr>
        <w:t xml:space="preserve"> on </w:t>
      </w:r>
      <w:r w:rsidR="000E443C">
        <w:rPr>
          <w:rFonts w:ascii="Times New Roman" w:eastAsia="MS PGothic" w:hAnsi="Times New Roman"/>
          <w:lang w:val="en-US"/>
        </w:rPr>
        <w:t>PHB yields with respect to the methane fed</w:t>
      </w:r>
      <w:r w:rsidR="00280F57">
        <w:rPr>
          <w:rFonts w:ascii="Times New Roman" w:eastAsia="MS PGothic" w:hAnsi="Times New Roman"/>
          <w:lang w:val="en-US"/>
        </w:rPr>
        <w:t xml:space="preserve">. </w:t>
      </w:r>
      <w:r w:rsidR="000E443C">
        <w:rPr>
          <w:rFonts w:ascii="Times New Roman" w:eastAsia="MS PGothic" w:hAnsi="Times New Roman"/>
          <w:lang w:val="en-US"/>
        </w:rPr>
        <w:t xml:space="preserve">When the recycling unit was not included in the flowsheet, the </w:t>
      </w:r>
      <w:r w:rsidR="00263C00">
        <w:rPr>
          <w:rFonts w:ascii="Times New Roman" w:eastAsia="MS PGothic" w:hAnsi="Times New Roman"/>
          <w:lang w:val="en-US"/>
        </w:rPr>
        <w:t>empty bed residence time (EBRT) (eq.1) was set to 2 min, which corresponded to a superficial gas velocity of 0.027 cm s</w:t>
      </w:r>
      <w:r w:rsidR="00263C00" w:rsidRPr="00280F57">
        <w:rPr>
          <w:rFonts w:ascii="Times New Roman" w:eastAsia="MS PGothic" w:hAnsi="Times New Roman"/>
          <w:vertAlign w:val="superscript"/>
          <w:lang w:val="en-US"/>
        </w:rPr>
        <w:t>-</w:t>
      </w:r>
      <w:r w:rsidR="00263C00" w:rsidRPr="00263C00">
        <w:rPr>
          <w:rFonts w:ascii="Times New Roman" w:eastAsia="MS PGothic" w:hAnsi="Times New Roman"/>
          <w:lang w:val="en-US"/>
        </w:rPr>
        <w:t>1</w:t>
      </w:r>
      <w:r w:rsidR="000A058F">
        <w:rPr>
          <w:rFonts w:ascii="Times New Roman" w:eastAsia="MS PGothic" w:hAnsi="Times New Roman"/>
          <w:lang w:val="en-US"/>
        </w:rPr>
        <w:t>; w</w:t>
      </w:r>
      <w:r w:rsidR="00263C00">
        <w:rPr>
          <w:rFonts w:ascii="Times New Roman" w:eastAsia="MS PGothic" w:hAnsi="Times New Roman"/>
          <w:lang w:val="en-US"/>
        </w:rPr>
        <w:t>hen gas recirculation was considered, the</w:t>
      </w:r>
      <w:r w:rsidR="00280F57">
        <w:rPr>
          <w:rFonts w:ascii="Times New Roman" w:eastAsia="MS PGothic" w:hAnsi="Times New Roman"/>
          <w:lang w:val="en-US"/>
        </w:rPr>
        <w:t xml:space="preserve"> </w:t>
      </w:r>
      <w:r w:rsidR="000E443C">
        <w:rPr>
          <w:rFonts w:ascii="Times New Roman" w:eastAsia="MS PGothic" w:hAnsi="Times New Roman"/>
          <w:lang w:val="en-US"/>
        </w:rPr>
        <w:t>virtual</w:t>
      </w:r>
      <w:r w:rsidR="00280F57">
        <w:rPr>
          <w:rFonts w:ascii="Times New Roman" w:eastAsia="MS PGothic" w:hAnsi="Times New Roman"/>
          <w:lang w:val="en-US"/>
        </w:rPr>
        <w:t xml:space="preserve"> residence time (</w:t>
      </w:r>
      <w:r w:rsidR="000E443C">
        <w:rPr>
          <w:rFonts w:ascii="Times New Roman" w:eastAsia="MS PGothic" w:hAnsi="Times New Roman"/>
          <w:lang w:val="en-US"/>
        </w:rPr>
        <w:t>V</w:t>
      </w:r>
      <w:r w:rsidR="00280F57">
        <w:rPr>
          <w:rFonts w:ascii="Times New Roman" w:eastAsia="MS PGothic" w:hAnsi="Times New Roman"/>
          <w:lang w:val="en-US"/>
        </w:rPr>
        <w:t xml:space="preserve">RT) </w:t>
      </w:r>
      <w:r w:rsidR="000E443C">
        <w:rPr>
          <w:rFonts w:ascii="Times New Roman" w:eastAsia="MS PGothic" w:hAnsi="Times New Roman"/>
          <w:lang w:val="en-US"/>
        </w:rPr>
        <w:t>(eq.</w:t>
      </w:r>
      <w:r w:rsidR="00263C00">
        <w:rPr>
          <w:rFonts w:ascii="Times New Roman" w:eastAsia="MS PGothic" w:hAnsi="Times New Roman"/>
          <w:lang w:val="en-US"/>
        </w:rPr>
        <w:t>2</w:t>
      </w:r>
      <w:r w:rsidR="000E443C">
        <w:rPr>
          <w:rFonts w:ascii="Times New Roman" w:eastAsia="MS PGothic" w:hAnsi="Times New Roman"/>
          <w:lang w:val="en-US"/>
        </w:rPr>
        <w:t xml:space="preserve">) </w:t>
      </w:r>
      <w:r w:rsidR="00280F57">
        <w:rPr>
          <w:rFonts w:ascii="Times New Roman" w:eastAsia="MS PGothic" w:hAnsi="Times New Roman"/>
          <w:lang w:val="en-US"/>
        </w:rPr>
        <w:t xml:space="preserve">was set to 2 min, </w:t>
      </w:r>
      <w:r w:rsidR="00263C00">
        <w:rPr>
          <w:rFonts w:ascii="Times New Roman" w:eastAsia="MS PGothic" w:hAnsi="Times New Roman"/>
          <w:lang w:val="en-US"/>
        </w:rPr>
        <w:t>to have a fixed final velocity of</w:t>
      </w:r>
      <w:r w:rsidR="004A75DE">
        <w:rPr>
          <w:rFonts w:ascii="Times New Roman" w:eastAsia="MS PGothic" w:hAnsi="Times New Roman"/>
          <w:lang w:val="en-US"/>
        </w:rPr>
        <w:t xml:space="preserve"> </w:t>
      </w:r>
      <w:r w:rsidR="00280F57">
        <w:rPr>
          <w:rFonts w:ascii="Times New Roman" w:eastAsia="MS PGothic" w:hAnsi="Times New Roman"/>
          <w:lang w:val="en-US"/>
        </w:rPr>
        <w:t>0.027 cm s</w:t>
      </w:r>
      <w:r w:rsidR="00280F57" w:rsidRPr="00280F57">
        <w:rPr>
          <w:rFonts w:ascii="Times New Roman" w:eastAsia="MS PGothic" w:hAnsi="Times New Roman"/>
          <w:vertAlign w:val="superscript"/>
          <w:lang w:val="en-US"/>
        </w:rPr>
        <w:t>-1</w:t>
      </w:r>
      <w:r w:rsidR="00280F57">
        <w:rPr>
          <w:rFonts w:ascii="Times New Roman" w:eastAsia="MS PGothic" w:hAnsi="Times New Roman"/>
          <w:lang w:val="en-US"/>
        </w:rPr>
        <w:t>.</w:t>
      </w:r>
      <w:r w:rsidR="000E443C">
        <w:rPr>
          <w:rFonts w:ascii="Times New Roman" w:eastAsia="MS PGothic" w:hAnsi="Times New Roman"/>
          <w:lang w:val="en-US"/>
        </w:rPr>
        <w:t xml:space="preserve"> </w:t>
      </w:r>
      <w:r w:rsidR="00263C00">
        <w:rPr>
          <w:rFonts w:ascii="Times New Roman" w:eastAsia="MS PGothic" w:hAnsi="Times New Roman"/>
          <w:lang w:val="en-US"/>
        </w:rPr>
        <w:t>This</w:t>
      </w:r>
      <w:r w:rsidR="000E443C">
        <w:rPr>
          <w:rFonts w:ascii="Times New Roman" w:eastAsia="MS PGothic" w:hAnsi="Times New Roman"/>
          <w:lang w:val="en-US"/>
        </w:rPr>
        <w:t xml:space="preserve"> condition was reached starting from empty bed residence time of 30, 15, 10 </w:t>
      </w:r>
      <w:r w:rsidR="00A34314">
        <w:rPr>
          <w:rFonts w:ascii="Times New Roman" w:eastAsia="MS PGothic" w:hAnsi="Times New Roman"/>
          <w:lang w:val="en-US"/>
        </w:rPr>
        <w:t xml:space="preserve">and </w:t>
      </w:r>
      <w:r w:rsidR="000E443C">
        <w:rPr>
          <w:rFonts w:ascii="Times New Roman" w:eastAsia="MS PGothic" w:hAnsi="Times New Roman"/>
          <w:lang w:val="en-US"/>
        </w:rPr>
        <w:t>5</w:t>
      </w:r>
      <w:r w:rsidR="00A34314">
        <w:rPr>
          <w:rFonts w:ascii="Times New Roman" w:eastAsia="MS PGothic" w:hAnsi="Times New Roman"/>
          <w:lang w:val="en-US"/>
        </w:rPr>
        <w:t xml:space="preserve"> min</w:t>
      </w:r>
      <w:r w:rsidR="000E443C">
        <w:rPr>
          <w:rFonts w:ascii="Times New Roman" w:eastAsia="MS PGothic" w:hAnsi="Times New Roman"/>
          <w:lang w:val="en-US"/>
        </w:rPr>
        <w:t xml:space="preserve"> and increasing the recycling ratio (eq.3) from </w:t>
      </w:r>
      <w:r w:rsidR="00A34314">
        <w:rPr>
          <w:rFonts w:ascii="Times New Roman" w:eastAsia="MS PGothic" w:hAnsi="Times New Roman"/>
          <w:lang w:val="en-US"/>
        </w:rPr>
        <w:t>1.5</w:t>
      </w:r>
      <w:r w:rsidR="000E443C">
        <w:rPr>
          <w:rFonts w:ascii="Times New Roman" w:eastAsia="MS PGothic" w:hAnsi="Times New Roman"/>
          <w:lang w:val="en-US"/>
        </w:rPr>
        <w:t xml:space="preserve"> to 14.</w:t>
      </w:r>
      <w:r w:rsidR="004A75DE">
        <w:rPr>
          <w:rFonts w:ascii="Times New Roman" w:eastAsia="MS PGothic" w:hAnsi="Times New Roman"/>
          <w:lang w:val="en-US"/>
        </w:rPr>
        <w:t xml:space="preserve"> The summary of the scenarios simulated is reported in Table 1.</w:t>
      </w:r>
      <w:r w:rsidR="00263C00" w:rsidRPr="00263C00">
        <w:rPr>
          <w:rFonts w:ascii="Cambria Math" w:eastAsia="MS PGothic" w:hAnsi="Cambria Math"/>
          <w:i/>
          <w:lang w:val="en-US"/>
        </w:rPr>
        <w:t xml:space="preserve"> </w:t>
      </w:r>
    </w:p>
    <w:p w14:paraId="0EC05FD2" w14:textId="088504B3" w:rsidR="00DA51A3" w:rsidRDefault="00263C00" w:rsidP="00DA51A3">
      <w:pPr>
        <w:snapToGrid w:val="0"/>
        <w:spacing w:after="120"/>
        <w:rPr>
          <w:rFonts w:ascii="Times New Roman" w:eastAsia="MS PGothic" w:hAnsi="Times New Roman"/>
          <w:lang w:val="en-US"/>
        </w:rPr>
      </w:pPr>
      <m:oMath>
        <m:r>
          <w:rPr>
            <w:rFonts w:ascii="Cambria Math" w:eastAsia="MS PGothic" w:hAnsi="Cambria Math"/>
            <w:lang w:val="en-US"/>
          </w:rPr>
          <m:t>EBRT=</m:t>
        </m:r>
        <m:f>
          <m:fPr>
            <m:ctrlPr>
              <w:rPr>
                <w:rFonts w:ascii="Cambria Math" w:eastAsia="MS PGothic" w:hAnsi="Cambria Math"/>
                <w:i/>
                <w:lang w:val="en-US"/>
              </w:rPr>
            </m:ctrlPr>
          </m:fPr>
          <m:num>
            <m:sSub>
              <m:sSubPr>
                <m:ctrlPr>
                  <w:rPr>
                    <w:rFonts w:ascii="Cambria Math" w:eastAsia="MS PGothic" w:hAnsi="Cambria Math"/>
                    <w:i/>
                    <w:lang w:val="en-US"/>
                  </w:rPr>
                </m:ctrlPr>
              </m:sSubPr>
              <m:e>
                <m:r>
                  <w:rPr>
                    <w:rFonts w:ascii="Cambria Math" w:eastAsia="MS PGothic" w:hAnsi="Cambria Math"/>
                    <w:lang w:val="en-US"/>
                  </w:rPr>
                  <m:t>V</m:t>
                </m:r>
              </m:e>
              <m:sub>
                <m:r>
                  <w:rPr>
                    <w:rFonts w:ascii="Cambria Math" w:eastAsia="MS PGothic" w:hAnsi="Cambria Math"/>
                    <w:lang w:val="en-US"/>
                  </w:rPr>
                  <m:t>r</m:t>
                </m:r>
              </m:sub>
            </m:sSub>
          </m:num>
          <m:den>
            <m:sSub>
              <m:sSubPr>
                <m:ctrlPr>
                  <w:rPr>
                    <w:rFonts w:ascii="Cambria Math" w:eastAsia="MS PGothic" w:hAnsi="Cambria Math"/>
                    <w:i/>
                    <w:lang w:val="en-US"/>
                  </w:rPr>
                </m:ctrlPr>
              </m:sSubPr>
              <m:e>
                <m:r>
                  <w:rPr>
                    <w:rFonts w:ascii="Cambria Math" w:eastAsia="MS PGothic" w:hAnsi="Cambria Math"/>
                    <w:lang w:val="en-US"/>
                  </w:rPr>
                  <m:t>Q</m:t>
                </m:r>
              </m:e>
              <m:sub>
                <m:r>
                  <w:rPr>
                    <w:rFonts w:ascii="Cambria Math" w:eastAsia="MS PGothic" w:hAnsi="Cambria Math"/>
                    <w:lang w:val="en-US"/>
                  </w:rPr>
                  <m:t>fed</m:t>
                </m:r>
              </m:sub>
            </m:sSub>
          </m:den>
        </m:f>
      </m:oMath>
      <w:r>
        <w:rPr>
          <w:rFonts w:ascii="Times New Roman" w:eastAsia="MS PGothic" w:hAnsi="Times New Roman"/>
          <w:lang w:val="en-US"/>
        </w:rPr>
        <w:t xml:space="preserve">                                                                                                                                                    (1)</w:t>
      </w:r>
    </w:p>
    <w:p w14:paraId="403F11C6" w14:textId="16D4D0B2" w:rsidR="000E443C" w:rsidRDefault="000E443C" w:rsidP="00DA51A3">
      <w:pPr>
        <w:snapToGrid w:val="0"/>
        <w:spacing w:after="120"/>
        <w:rPr>
          <w:rFonts w:ascii="Times New Roman" w:eastAsia="MS PGothic" w:hAnsi="Times New Roman"/>
          <w:i/>
          <w:lang w:val="en-US"/>
        </w:rPr>
      </w:pPr>
      <m:oMath>
        <m:r>
          <w:rPr>
            <w:rFonts w:ascii="Cambria Math" w:eastAsia="MS PGothic" w:hAnsi="Cambria Math"/>
            <w:lang w:val="en-US"/>
          </w:rPr>
          <m:t>VRT=</m:t>
        </m:r>
        <m:f>
          <m:fPr>
            <m:ctrlPr>
              <w:rPr>
                <w:rFonts w:ascii="Cambria Math" w:eastAsia="MS PGothic" w:hAnsi="Cambria Math"/>
                <w:i/>
                <w:lang w:val="en-US"/>
              </w:rPr>
            </m:ctrlPr>
          </m:fPr>
          <m:num>
            <m:sSub>
              <m:sSubPr>
                <m:ctrlPr>
                  <w:rPr>
                    <w:rFonts w:ascii="Cambria Math" w:eastAsia="MS PGothic" w:hAnsi="Cambria Math"/>
                    <w:i/>
                    <w:lang w:val="en-US"/>
                  </w:rPr>
                </m:ctrlPr>
              </m:sSubPr>
              <m:e>
                <m:r>
                  <w:rPr>
                    <w:rFonts w:ascii="Cambria Math" w:eastAsia="MS PGothic" w:hAnsi="Cambria Math"/>
                    <w:lang w:val="en-US"/>
                  </w:rPr>
                  <m:t>V</m:t>
                </m:r>
              </m:e>
              <m:sub>
                <m:r>
                  <w:rPr>
                    <w:rFonts w:ascii="Cambria Math" w:eastAsia="MS PGothic" w:hAnsi="Cambria Math"/>
                    <w:lang w:val="en-US"/>
                  </w:rPr>
                  <m:t>r</m:t>
                </m:r>
              </m:sub>
            </m:sSub>
          </m:num>
          <m:den>
            <m:sSub>
              <m:sSubPr>
                <m:ctrlPr>
                  <w:rPr>
                    <w:rFonts w:ascii="Cambria Math" w:eastAsia="MS PGothic" w:hAnsi="Cambria Math"/>
                    <w:i/>
                    <w:lang w:val="en-US"/>
                  </w:rPr>
                </m:ctrlPr>
              </m:sSubPr>
              <m:e>
                <m:r>
                  <w:rPr>
                    <w:rFonts w:ascii="Cambria Math" w:eastAsia="MS PGothic" w:hAnsi="Cambria Math"/>
                    <w:lang w:val="en-US"/>
                  </w:rPr>
                  <m:t>Q</m:t>
                </m:r>
              </m:e>
              <m:sub>
                <m:r>
                  <w:rPr>
                    <w:rFonts w:ascii="Cambria Math" w:eastAsia="MS PGothic" w:hAnsi="Cambria Math"/>
                    <w:lang w:val="en-US"/>
                  </w:rPr>
                  <m:t>fed</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Q</m:t>
                </m:r>
              </m:e>
              <m:sub>
                <m:r>
                  <w:rPr>
                    <w:rFonts w:ascii="Cambria Math" w:eastAsia="MS PGothic" w:hAnsi="Cambria Math"/>
                    <w:lang w:val="en-US"/>
                  </w:rPr>
                  <m:t>rec</m:t>
                </m:r>
              </m:sub>
            </m:sSub>
          </m:den>
        </m:f>
      </m:oMath>
      <w:r>
        <w:rPr>
          <w:rFonts w:ascii="Times New Roman" w:eastAsia="MS PGothic" w:hAnsi="Times New Roman"/>
          <w:i/>
          <w:lang w:val="en-US"/>
        </w:rPr>
        <w:t xml:space="preserve"> </w:t>
      </w:r>
      <w:r w:rsidR="00263C00">
        <w:rPr>
          <w:rFonts w:ascii="Times New Roman" w:eastAsia="MS PGothic" w:hAnsi="Times New Roman"/>
          <w:i/>
          <w:lang w:val="en-US"/>
        </w:rPr>
        <w:t xml:space="preserve">                                                                                                                                              </w:t>
      </w:r>
      <w:r w:rsidR="00263C00" w:rsidRPr="00263C00">
        <w:rPr>
          <w:rFonts w:ascii="Times New Roman" w:eastAsia="MS PGothic" w:hAnsi="Times New Roman"/>
          <w:iCs/>
          <w:lang w:val="en-US"/>
        </w:rPr>
        <w:t>(2)</w:t>
      </w:r>
    </w:p>
    <w:p w14:paraId="5123E971" w14:textId="36240775" w:rsidR="000E443C" w:rsidRDefault="000E443C" w:rsidP="00DA51A3">
      <w:pPr>
        <w:snapToGrid w:val="0"/>
        <w:spacing w:after="120"/>
        <w:rPr>
          <w:rFonts w:ascii="Times New Roman" w:eastAsia="MS PGothic" w:hAnsi="Times New Roman"/>
          <w:i/>
          <w:lang w:val="en-US"/>
        </w:rPr>
      </w:pPr>
      <m:oMath>
        <m:r>
          <w:rPr>
            <w:rFonts w:ascii="Cambria Math" w:eastAsia="MS PGothic" w:hAnsi="Cambria Math"/>
            <w:lang w:val="en-US"/>
          </w:rPr>
          <m:t>RR=</m:t>
        </m:r>
        <m:f>
          <m:fPr>
            <m:ctrlPr>
              <w:rPr>
                <w:rFonts w:ascii="Cambria Math" w:eastAsia="MS PGothic" w:hAnsi="Cambria Math"/>
                <w:i/>
                <w:lang w:val="en-US"/>
              </w:rPr>
            </m:ctrlPr>
          </m:fPr>
          <m:num>
            <m:sSub>
              <m:sSubPr>
                <m:ctrlPr>
                  <w:rPr>
                    <w:rFonts w:ascii="Cambria Math" w:eastAsia="MS PGothic" w:hAnsi="Cambria Math"/>
                    <w:i/>
                    <w:lang w:val="en-US"/>
                  </w:rPr>
                </m:ctrlPr>
              </m:sSubPr>
              <m:e>
                <m:r>
                  <w:rPr>
                    <w:rFonts w:ascii="Cambria Math" w:eastAsia="MS PGothic" w:hAnsi="Cambria Math"/>
                    <w:lang w:val="en-US"/>
                  </w:rPr>
                  <m:t>Q</m:t>
                </m:r>
              </m:e>
              <m:sub>
                <m:r>
                  <w:rPr>
                    <w:rFonts w:ascii="Cambria Math" w:eastAsia="MS PGothic" w:hAnsi="Cambria Math"/>
                    <w:lang w:val="en-US"/>
                  </w:rPr>
                  <m:t>rec</m:t>
                </m:r>
              </m:sub>
            </m:sSub>
          </m:num>
          <m:den>
            <m:sSub>
              <m:sSubPr>
                <m:ctrlPr>
                  <w:rPr>
                    <w:rFonts w:ascii="Cambria Math" w:eastAsia="MS PGothic" w:hAnsi="Cambria Math"/>
                    <w:i/>
                    <w:lang w:val="en-US"/>
                  </w:rPr>
                </m:ctrlPr>
              </m:sSubPr>
              <m:e>
                <m:r>
                  <w:rPr>
                    <w:rFonts w:ascii="Cambria Math" w:eastAsia="MS PGothic" w:hAnsi="Cambria Math"/>
                    <w:lang w:val="en-US"/>
                  </w:rPr>
                  <m:t>Q</m:t>
                </m:r>
              </m:e>
              <m:sub>
                <m:r>
                  <w:rPr>
                    <w:rFonts w:ascii="Cambria Math" w:eastAsia="MS PGothic" w:hAnsi="Cambria Math"/>
                    <w:lang w:val="en-US"/>
                  </w:rPr>
                  <m:t>fed</m:t>
                </m:r>
              </m:sub>
            </m:sSub>
          </m:den>
        </m:f>
      </m:oMath>
      <w:r>
        <w:rPr>
          <w:rFonts w:ascii="Times New Roman" w:eastAsia="MS PGothic" w:hAnsi="Times New Roman"/>
          <w:i/>
          <w:lang w:val="en-US"/>
        </w:rPr>
        <w:t xml:space="preserve"> </w:t>
      </w:r>
      <w:r w:rsidR="00263C00">
        <w:rPr>
          <w:rFonts w:ascii="Times New Roman" w:eastAsia="MS PGothic" w:hAnsi="Times New Roman"/>
          <w:i/>
          <w:lang w:val="en-US"/>
        </w:rPr>
        <w:t xml:space="preserve">                                                                                                                                                        </w:t>
      </w:r>
      <w:r w:rsidR="00263C00" w:rsidRPr="00263C00">
        <w:rPr>
          <w:rFonts w:ascii="Times New Roman" w:eastAsia="MS PGothic" w:hAnsi="Times New Roman"/>
          <w:iCs/>
          <w:lang w:val="en-US"/>
        </w:rPr>
        <w:t>(3)</w:t>
      </w:r>
    </w:p>
    <w:p w14:paraId="1F3EE5B4" w14:textId="09DDE7B0" w:rsidR="00263C00" w:rsidRDefault="00263C00" w:rsidP="00DA51A3">
      <w:pPr>
        <w:snapToGrid w:val="0"/>
        <w:spacing w:after="120"/>
        <w:rPr>
          <w:rFonts w:ascii="Times New Roman" w:eastAsia="MS PGothic" w:hAnsi="Times New Roman"/>
          <w:iCs/>
          <w:lang w:val="en-US"/>
        </w:rPr>
      </w:pPr>
      <w:r>
        <w:rPr>
          <w:rFonts w:ascii="Times New Roman" w:eastAsia="MS PGothic" w:hAnsi="Times New Roman"/>
          <w:iCs/>
          <w:lang w:val="en-US"/>
        </w:rPr>
        <w:t xml:space="preserve">In the previous equations, </w:t>
      </w:r>
      <w:proofErr w:type="spellStart"/>
      <w:r w:rsidRPr="00263C00">
        <w:rPr>
          <w:rFonts w:ascii="Times New Roman" w:eastAsia="MS PGothic" w:hAnsi="Times New Roman"/>
          <w:i/>
          <w:lang w:val="en-US"/>
        </w:rPr>
        <w:t>V</w:t>
      </w:r>
      <w:r w:rsidRPr="00263C00">
        <w:rPr>
          <w:rFonts w:ascii="Times New Roman" w:eastAsia="MS PGothic" w:hAnsi="Times New Roman"/>
          <w:i/>
          <w:vertAlign w:val="subscript"/>
          <w:lang w:val="en-US"/>
        </w:rPr>
        <w:t>r</w:t>
      </w:r>
      <w:proofErr w:type="spellEnd"/>
      <w:r w:rsidRPr="00263C00">
        <w:rPr>
          <w:rFonts w:ascii="Times New Roman" w:eastAsia="MS PGothic" w:hAnsi="Times New Roman"/>
          <w:i/>
          <w:lang w:val="en-US"/>
        </w:rPr>
        <w:t xml:space="preserve"> </w:t>
      </w:r>
      <w:r>
        <w:rPr>
          <w:rFonts w:ascii="Times New Roman" w:eastAsia="MS PGothic" w:hAnsi="Times New Roman"/>
          <w:iCs/>
          <w:lang w:val="en-US"/>
        </w:rPr>
        <w:t xml:space="preserve">is the volume of the reactors, </w:t>
      </w:r>
      <w:proofErr w:type="spellStart"/>
      <w:r w:rsidRPr="00263C00">
        <w:rPr>
          <w:rFonts w:ascii="Times New Roman" w:eastAsia="MS PGothic" w:hAnsi="Times New Roman"/>
          <w:i/>
          <w:lang w:val="en-US"/>
        </w:rPr>
        <w:t>Q</w:t>
      </w:r>
      <w:r w:rsidRPr="00263C00">
        <w:rPr>
          <w:rFonts w:ascii="Times New Roman" w:eastAsia="MS PGothic" w:hAnsi="Times New Roman"/>
          <w:i/>
          <w:vertAlign w:val="subscript"/>
          <w:lang w:val="en-US"/>
        </w:rPr>
        <w:t>fed</w:t>
      </w:r>
      <w:proofErr w:type="spellEnd"/>
      <w:r>
        <w:rPr>
          <w:rFonts w:ascii="Times New Roman" w:eastAsia="MS PGothic" w:hAnsi="Times New Roman"/>
          <w:iCs/>
          <w:lang w:val="en-US"/>
        </w:rPr>
        <w:t xml:space="preserve"> is the fresh methane fed to the reactors and </w:t>
      </w:r>
      <w:proofErr w:type="spellStart"/>
      <w:r w:rsidRPr="00263C00">
        <w:rPr>
          <w:rFonts w:ascii="Times New Roman" w:eastAsia="MS PGothic" w:hAnsi="Times New Roman"/>
          <w:i/>
          <w:lang w:val="en-US"/>
        </w:rPr>
        <w:t>Q</w:t>
      </w:r>
      <w:r w:rsidRPr="00263C00">
        <w:rPr>
          <w:rFonts w:ascii="Times New Roman" w:eastAsia="MS PGothic" w:hAnsi="Times New Roman"/>
          <w:i/>
          <w:vertAlign w:val="subscript"/>
          <w:lang w:val="en-US"/>
        </w:rPr>
        <w:t>rec</w:t>
      </w:r>
      <w:proofErr w:type="spellEnd"/>
      <w:r>
        <w:rPr>
          <w:rFonts w:ascii="Times New Roman" w:eastAsia="MS PGothic" w:hAnsi="Times New Roman"/>
          <w:iCs/>
          <w:lang w:val="en-US"/>
        </w:rPr>
        <w:t xml:space="preserve"> is the recycled flow.</w:t>
      </w:r>
    </w:p>
    <w:p w14:paraId="210DFEF1" w14:textId="000C28FC" w:rsidR="00FF7224" w:rsidRDefault="00FF7224" w:rsidP="00DA51A3">
      <w:pPr>
        <w:snapToGrid w:val="0"/>
        <w:spacing w:after="120"/>
        <w:rPr>
          <w:rFonts w:ascii="Times New Roman" w:eastAsia="MS PGothic" w:hAnsi="Times New Roman"/>
          <w:iCs/>
          <w:lang w:val="en-US"/>
        </w:rPr>
      </w:pPr>
      <w:r>
        <w:rPr>
          <w:rFonts w:ascii="Times New Roman" w:eastAsia="MS PGothic" w:hAnsi="Times New Roman"/>
          <w:b/>
          <w:szCs w:val="18"/>
          <w:lang w:val="en-US"/>
        </w:rPr>
        <w:t>Table</w:t>
      </w:r>
      <w:r w:rsidRPr="00466FFD">
        <w:rPr>
          <w:rFonts w:ascii="Times New Roman" w:eastAsia="MS PGothic" w:hAnsi="Times New Roman"/>
          <w:b/>
          <w:szCs w:val="18"/>
          <w:lang w:val="en-US"/>
        </w:rPr>
        <w:t xml:space="preserve"> </w:t>
      </w:r>
      <w:r>
        <w:rPr>
          <w:rFonts w:ascii="Times New Roman" w:eastAsia="MS PGothic" w:hAnsi="Times New Roman"/>
          <w:b/>
          <w:szCs w:val="18"/>
          <w:lang w:val="en-US"/>
        </w:rPr>
        <w:t>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Pr>
          <w:rFonts w:ascii="Times New Roman" w:eastAsia="MS PGothic" w:hAnsi="Times New Roman"/>
          <w:szCs w:val="18"/>
          <w:lang w:val="en-US"/>
        </w:rPr>
        <w:t>Details of the scenarios simulated, with and without the internal gas recirculation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2126"/>
        <w:gridCol w:w="2126"/>
        <w:gridCol w:w="851"/>
      </w:tblGrid>
      <w:tr w:rsidR="00263C00" w14:paraId="0E226CF6" w14:textId="77777777" w:rsidTr="00F0696D">
        <w:tc>
          <w:tcPr>
            <w:tcW w:w="1413" w:type="dxa"/>
            <w:tcBorders>
              <w:top w:val="single" w:sz="4" w:space="0" w:color="auto"/>
              <w:bottom w:val="single" w:sz="4" w:space="0" w:color="auto"/>
            </w:tcBorders>
          </w:tcPr>
          <w:p w14:paraId="18066012" w14:textId="14E15F41" w:rsidR="00263C00" w:rsidRDefault="00263C00" w:rsidP="00DA51A3">
            <w:pPr>
              <w:snapToGrid w:val="0"/>
              <w:spacing w:after="120"/>
              <w:rPr>
                <w:rFonts w:ascii="Times New Roman" w:eastAsia="MS PGothic" w:hAnsi="Times New Roman"/>
                <w:iCs/>
                <w:lang w:val="en-US"/>
              </w:rPr>
            </w:pPr>
            <w:r>
              <w:rPr>
                <w:rFonts w:ascii="Times New Roman" w:eastAsia="MS PGothic" w:hAnsi="Times New Roman"/>
                <w:iCs/>
                <w:lang w:val="en-US"/>
              </w:rPr>
              <w:t>EBRT</w:t>
            </w:r>
            <w:r w:rsidR="00DC0E89">
              <w:rPr>
                <w:rFonts w:ascii="Times New Roman" w:eastAsia="MS PGothic" w:hAnsi="Times New Roman"/>
                <w:iCs/>
                <w:lang w:val="en-US"/>
              </w:rPr>
              <w:t xml:space="preserve"> [min]</w:t>
            </w:r>
          </w:p>
        </w:tc>
        <w:tc>
          <w:tcPr>
            <w:tcW w:w="1276" w:type="dxa"/>
            <w:tcBorders>
              <w:top w:val="single" w:sz="4" w:space="0" w:color="auto"/>
              <w:bottom w:val="single" w:sz="4" w:space="0" w:color="auto"/>
            </w:tcBorders>
          </w:tcPr>
          <w:p w14:paraId="47A03E4C" w14:textId="2FDDF425" w:rsidR="00263C00" w:rsidRDefault="00263C00" w:rsidP="00DA51A3">
            <w:pPr>
              <w:snapToGrid w:val="0"/>
              <w:spacing w:after="120"/>
              <w:rPr>
                <w:rFonts w:ascii="Times New Roman" w:eastAsia="MS PGothic" w:hAnsi="Times New Roman"/>
                <w:iCs/>
                <w:lang w:val="en-US"/>
              </w:rPr>
            </w:pPr>
            <w:r>
              <w:rPr>
                <w:rFonts w:ascii="Times New Roman" w:eastAsia="MS PGothic" w:hAnsi="Times New Roman"/>
                <w:iCs/>
                <w:lang w:val="en-US"/>
              </w:rPr>
              <w:t>VRT</w:t>
            </w:r>
            <w:r w:rsidR="00DC0E89">
              <w:rPr>
                <w:rFonts w:ascii="Times New Roman" w:eastAsia="MS PGothic" w:hAnsi="Times New Roman"/>
                <w:iCs/>
                <w:lang w:val="en-US"/>
              </w:rPr>
              <w:t xml:space="preserve"> [min]</w:t>
            </w:r>
          </w:p>
        </w:tc>
        <w:tc>
          <w:tcPr>
            <w:tcW w:w="2126" w:type="dxa"/>
            <w:tcBorders>
              <w:top w:val="single" w:sz="4" w:space="0" w:color="auto"/>
              <w:bottom w:val="single" w:sz="4" w:space="0" w:color="auto"/>
            </w:tcBorders>
          </w:tcPr>
          <w:p w14:paraId="6982C671" w14:textId="72FBDD79" w:rsidR="00263C00" w:rsidRPr="00DC0E89" w:rsidRDefault="00263C00" w:rsidP="00DA51A3">
            <w:pPr>
              <w:snapToGrid w:val="0"/>
              <w:spacing w:after="120"/>
              <w:rPr>
                <w:rFonts w:ascii="Times New Roman" w:eastAsia="MS PGothic" w:hAnsi="Times New Roman"/>
                <w:iCs/>
                <w:lang w:val="en-US"/>
              </w:rPr>
            </w:pPr>
            <w:proofErr w:type="spellStart"/>
            <w:r>
              <w:rPr>
                <w:rFonts w:ascii="Times New Roman" w:eastAsia="MS PGothic" w:hAnsi="Times New Roman"/>
                <w:iCs/>
                <w:lang w:val="en-US"/>
              </w:rPr>
              <w:t>Q</w:t>
            </w:r>
            <w:r w:rsidRPr="00263C00">
              <w:rPr>
                <w:rFonts w:ascii="Times New Roman" w:eastAsia="MS PGothic" w:hAnsi="Times New Roman"/>
                <w:iCs/>
                <w:vertAlign w:val="subscript"/>
                <w:lang w:val="en-US"/>
              </w:rPr>
              <w:t>fed</w:t>
            </w:r>
            <w:proofErr w:type="spellEnd"/>
            <w:r w:rsidR="00DC0E89">
              <w:rPr>
                <w:rFonts w:ascii="Times New Roman" w:eastAsia="MS PGothic" w:hAnsi="Times New Roman"/>
                <w:iCs/>
                <w:vertAlign w:val="subscript"/>
                <w:lang w:val="en-US"/>
              </w:rPr>
              <w:t xml:space="preserve"> </w:t>
            </w:r>
            <w:r w:rsidR="00DC0E89">
              <w:rPr>
                <w:rFonts w:ascii="Times New Roman" w:eastAsia="MS PGothic" w:hAnsi="Times New Roman"/>
                <w:iCs/>
                <w:lang w:val="en-US"/>
              </w:rPr>
              <w:t>[</w:t>
            </w:r>
            <w:r w:rsidR="00AF279C">
              <w:rPr>
                <w:rFonts w:ascii="Times New Roman" w:eastAsia="MS PGothic" w:hAnsi="Times New Roman"/>
                <w:iCs/>
                <w:lang w:val="en-US"/>
              </w:rPr>
              <w:t>m</w:t>
            </w:r>
            <w:r w:rsidR="00AF279C" w:rsidRPr="00AF279C">
              <w:rPr>
                <w:rFonts w:ascii="Times New Roman" w:eastAsia="MS PGothic" w:hAnsi="Times New Roman"/>
                <w:iCs/>
                <w:vertAlign w:val="superscript"/>
                <w:lang w:val="en-US"/>
              </w:rPr>
              <w:t>3</w:t>
            </w:r>
            <w:r w:rsidR="00AF279C" w:rsidRPr="00AF279C">
              <w:rPr>
                <w:rFonts w:ascii="Times New Roman" w:eastAsia="MS PGothic" w:hAnsi="Times New Roman"/>
                <w:iCs/>
                <w:vertAlign w:val="subscript"/>
                <w:lang w:val="en-US"/>
              </w:rPr>
              <w:t>gas</w:t>
            </w:r>
            <w:r w:rsidR="00DC0E89">
              <w:rPr>
                <w:rFonts w:ascii="Times New Roman" w:eastAsia="MS PGothic" w:hAnsi="Times New Roman"/>
                <w:iCs/>
                <w:lang w:val="en-US"/>
              </w:rPr>
              <w:t xml:space="preserve"> </w:t>
            </w:r>
            <w:r w:rsidR="00AF279C">
              <w:rPr>
                <w:rFonts w:ascii="Times New Roman" w:eastAsia="MS PGothic" w:hAnsi="Times New Roman"/>
                <w:iCs/>
                <w:lang w:val="en-US"/>
              </w:rPr>
              <w:t>m</w:t>
            </w:r>
            <w:r w:rsidR="00AF279C" w:rsidRPr="00AF279C">
              <w:rPr>
                <w:rFonts w:ascii="Times New Roman" w:eastAsia="MS PGothic" w:hAnsi="Times New Roman"/>
                <w:iCs/>
                <w:vertAlign w:val="superscript"/>
                <w:lang w:val="en-US"/>
              </w:rPr>
              <w:t>-3</w:t>
            </w:r>
            <w:r w:rsidR="00AF279C" w:rsidRPr="00AF279C">
              <w:rPr>
                <w:rFonts w:ascii="Times New Roman" w:eastAsia="MS PGothic" w:hAnsi="Times New Roman"/>
                <w:iCs/>
                <w:vertAlign w:val="subscript"/>
                <w:lang w:val="en-US"/>
              </w:rPr>
              <w:t>reatt</w:t>
            </w:r>
            <w:r w:rsidR="00DC0E89">
              <w:rPr>
                <w:rFonts w:ascii="Times New Roman" w:eastAsia="MS PGothic" w:hAnsi="Times New Roman"/>
                <w:iCs/>
                <w:lang w:val="en-US"/>
              </w:rPr>
              <w:t>h</w:t>
            </w:r>
            <w:r w:rsidR="00DC0E89" w:rsidRPr="00DC0E89">
              <w:rPr>
                <w:rFonts w:ascii="Times New Roman" w:eastAsia="MS PGothic" w:hAnsi="Times New Roman"/>
                <w:iCs/>
                <w:vertAlign w:val="superscript"/>
                <w:lang w:val="en-US"/>
              </w:rPr>
              <w:t>-1</w:t>
            </w:r>
            <w:r w:rsidR="00DC0E89">
              <w:rPr>
                <w:rFonts w:ascii="Times New Roman" w:eastAsia="MS PGothic" w:hAnsi="Times New Roman"/>
                <w:iCs/>
                <w:lang w:val="en-US"/>
              </w:rPr>
              <w:t>]</w:t>
            </w:r>
          </w:p>
        </w:tc>
        <w:tc>
          <w:tcPr>
            <w:tcW w:w="2126" w:type="dxa"/>
            <w:tcBorders>
              <w:top w:val="single" w:sz="4" w:space="0" w:color="auto"/>
              <w:bottom w:val="single" w:sz="4" w:space="0" w:color="auto"/>
            </w:tcBorders>
          </w:tcPr>
          <w:p w14:paraId="5903DF46" w14:textId="36BD44E5" w:rsidR="00263C00" w:rsidRPr="00DC0E89" w:rsidRDefault="00263C00" w:rsidP="00DA51A3">
            <w:pPr>
              <w:snapToGrid w:val="0"/>
              <w:spacing w:after="120"/>
              <w:rPr>
                <w:rFonts w:ascii="Times New Roman" w:eastAsia="MS PGothic" w:hAnsi="Times New Roman"/>
                <w:iCs/>
                <w:lang w:val="en-US"/>
              </w:rPr>
            </w:pPr>
            <w:proofErr w:type="spellStart"/>
            <w:r>
              <w:rPr>
                <w:rFonts w:ascii="Times New Roman" w:eastAsia="MS PGothic" w:hAnsi="Times New Roman"/>
                <w:iCs/>
                <w:lang w:val="en-US"/>
              </w:rPr>
              <w:t>Q</w:t>
            </w:r>
            <w:r w:rsidRPr="00263C00">
              <w:rPr>
                <w:rFonts w:ascii="Times New Roman" w:eastAsia="MS PGothic" w:hAnsi="Times New Roman"/>
                <w:iCs/>
                <w:vertAlign w:val="subscript"/>
                <w:lang w:val="en-US"/>
              </w:rPr>
              <w:t>rec</w:t>
            </w:r>
            <w:proofErr w:type="spellEnd"/>
            <w:r w:rsidR="00DC0E89">
              <w:rPr>
                <w:rFonts w:ascii="Times New Roman" w:eastAsia="MS PGothic" w:hAnsi="Times New Roman"/>
                <w:iCs/>
                <w:vertAlign w:val="subscript"/>
                <w:lang w:val="en-US"/>
              </w:rPr>
              <w:t xml:space="preserve"> </w:t>
            </w:r>
            <w:r w:rsidR="00AF279C">
              <w:rPr>
                <w:rFonts w:ascii="Times New Roman" w:eastAsia="MS PGothic" w:hAnsi="Times New Roman"/>
                <w:iCs/>
                <w:lang w:val="en-US"/>
              </w:rPr>
              <w:t>[m</w:t>
            </w:r>
            <w:r w:rsidR="00AF279C" w:rsidRPr="00AF279C">
              <w:rPr>
                <w:rFonts w:ascii="Times New Roman" w:eastAsia="MS PGothic" w:hAnsi="Times New Roman"/>
                <w:iCs/>
                <w:vertAlign w:val="superscript"/>
                <w:lang w:val="en-US"/>
              </w:rPr>
              <w:t>3</w:t>
            </w:r>
            <w:r w:rsidR="00AF279C" w:rsidRPr="00AF279C">
              <w:rPr>
                <w:rFonts w:ascii="Times New Roman" w:eastAsia="MS PGothic" w:hAnsi="Times New Roman"/>
                <w:iCs/>
                <w:vertAlign w:val="subscript"/>
                <w:lang w:val="en-US"/>
              </w:rPr>
              <w:t>gas</w:t>
            </w:r>
            <w:r w:rsidR="00AF279C">
              <w:rPr>
                <w:rFonts w:ascii="Times New Roman" w:eastAsia="MS PGothic" w:hAnsi="Times New Roman"/>
                <w:iCs/>
                <w:lang w:val="en-US"/>
              </w:rPr>
              <w:t xml:space="preserve"> m</w:t>
            </w:r>
            <w:r w:rsidR="00AF279C" w:rsidRPr="00AF279C">
              <w:rPr>
                <w:rFonts w:ascii="Times New Roman" w:eastAsia="MS PGothic" w:hAnsi="Times New Roman"/>
                <w:iCs/>
                <w:vertAlign w:val="superscript"/>
                <w:lang w:val="en-US"/>
              </w:rPr>
              <w:t>-3</w:t>
            </w:r>
            <w:r w:rsidR="00AF279C" w:rsidRPr="00AF279C">
              <w:rPr>
                <w:rFonts w:ascii="Times New Roman" w:eastAsia="MS PGothic" w:hAnsi="Times New Roman"/>
                <w:iCs/>
                <w:vertAlign w:val="subscript"/>
                <w:lang w:val="en-US"/>
              </w:rPr>
              <w:t>reatt</w:t>
            </w:r>
            <w:r w:rsidR="00AF279C">
              <w:rPr>
                <w:rFonts w:ascii="Times New Roman" w:eastAsia="MS PGothic" w:hAnsi="Times New Roman"/>
                <w:iCs/>
                <w:lang w:val="en-US"/>
              </w:rPr>
              <w:t>h</w:t>
            </w:r>
            <w:r w:rsidR="00AF279C" w:rsidRPr="00DC0E89">
              <w:rPr>
                <w:rFonts w:ascii="Times New Roman" w:eastAsia="MS PGothic" w:hAnsi="Times New Roman"/>
                <w:iCs/>
                <w:vertAlign w:val="superscript"/>
                <w:lang w:val="en-US"/>
              </w:rPr>
              <w:t>-1</w:t>
            </w:r>
            <w:r w:rsidR="00AF279C">
              <w:rPr>
                <w:rFonts w:ascii="Times New Roman" w:eastAsia="MS PGothic" w:hAnsi="Times New Roman"/>
                <w:iCs/>
                <w:lang w:val="en-US"/>
              </w:rPr>
              <w:t>]</w:t>
            </w:r>
          </w:p>
        </w:tc>
        <w:tc>
          <w:tcPr>
            <w:tcW w:w="851" w:type="dxa"/>
            <w:tcBorders>
              <w:top w:val="single" w:sz="4" w:space="0" w:color="auto"/>
              <w:bottom w:val="single" w:sz="4" w:space="0" w:color="auto"/>
            </w:tcBorders>
          </w:tcPr>
          <w:p w14:paraId="049974CC" w14:textId="4D4C29A8" w:rsidR="00263C00" w:rsidRDefault="00263C00" w:rsidP="00DA51A3">
            <w:pPr>
              <w:snapToGrid w:val="0"/>
              <w:spacing w:after="120"/>
              <w:rPr>
                <w:rFonts w:ascii="Times New Roman" w:eastAsia="MS PGothic" w:hAnsi="Times New Roman"/>
                <w:iCs/>
                <w:lang w:val="en-US"/>
              </w:rPr>
            </w:pPr>
            <w:r>
              <w:rPr>
                <w:rFonts w:ascii="Times New Roman" w:eastAsia="MS PGothic" w:hAnsi="Times New Roman"/>
                <w:iCs/>
                <w:lang w:val="en-US"/>
              </w:rPr>
              <w:t>RR</w:t>
            </w:r>
          </w:p>
        </w:tc>
      </w:tr>
      <w:tr w:rsidR="00263C00" w14:paraId="76D368BB" w14:textId="77777777" w:rsidTr="00F0696D">
        <w:tc>
          <w:tcPr>
            <w:tcW w:w="1413" w:type="dxa"/>
            <w:tcBorders>
              <w:top w:val="single" w:sz="4" w:space="0" w:color="auto"/>
            </w:tcBorders>
          </w:tcPr>
          <w:p w14:paraId="59BACB58" w14:textId="446F79E3" w:rsidR="00263C00" w:rsidRDefault="00263C00" w:rsidP="00DA51A3">
            <w:pPr>
              <w:snapToGrid w:val="0"/>
              <w:spacing w:after="120"/>
              <w:rPr>
                <w:rFonts w:ascii="Times New Roman" w:eastAsia="MS PGothic" w:hAnsi="Times New Roman"/>
                <w:iCs/>
                <w:lang w:val="en-US"/>
              </w:rPr>
            </w:pPr>
            <w:r>
              <w:rPr>
                <w:rFonts w:ascii="Times New Roman" w:eastAsia="MS PGothic" w:hAnsi="Times New Roman"/>
                <w:iCs/>
                <w:lang w:val="en-US"/>
              </w:rPr>
              <w:t>2</w:t>
            </w:r>
          </w:p>
        </w:tc>
        <w:tc>
          <w:tcPr>
            <w:tcW w:w="1276" w:type="dxa"/>
            <w:tcBorders>
              <w:top w:val="single" w:sz="4" w:space="0" w:color="auto"/>
            </w:tcBorders>
          </w:tcPr>
          <w:p w14:paraId="6E17CEBA" w14:textId="03A3E511" w:rsidR="00263C00" w:rsidRDefault="00263C00" w:rsidP="00DA51A3">
            <w:pPr>
              <w:snapToGrid w:val="0"/>
              <w:spacing w:after="120"/>
              <w:rPr>
                <w:rFonts w:ascii="Times New Roman" w:eastAsia="MS PGothic" w:hAnsi="Times New Roman"/>
                <w:iCs/>
                <w:lang w:val="en-US"/>
              </w:rPr>
            </w:pPr>
            <w:r>
              <w:rPr>
                <w:rFonts w:ascii="Times New Roman" w:eastAsia="MS PGothic" w:hAnsi="Times New Roman"/>
                <w:iCs/>
                <w:lang w:val="en-US"/>
              </w:rPr>
              <w:t>2</w:t>
            </w:r>
          </w:p>
        </w:tc>
        <w:tc>
          <w:tcPr>
            <w:tcW w:w="2126" w:type="dxa"/>
            <w:tcBorders>
              <w:top w:val="single" w:sz="4" w:space="0" w:color="auto"/>
            </w:tcBorders>
          </w:tcPr>
          <w:p w14:paraId="226294A8" w14:textId="45237E33" w:rsidR="00263C00" w:rsidRDefault="00AF279C" w:rsidP="00DA51A3">
            <w:pPr>
              <w:snapToGrid w:val="0"/>
              <w:spacing w:after="120"/>
              <w:rPr>
                <w:rFonts w:ascii="Times New Roman" w:eastAsia="MS PGothic" w:hAnsi="Times New Roman"/>
                <w:iCs/>
                <w:lang w:val="en-US"/>
              </w:rPr>
            </w:pPr>
            <w:r>
              <w:rPr>
                <w:rFonts w:ascii="Times New Roman" w:eastAsia="MS PGothic" w:hAnsi="Times New Roman"/>
                <w:iCs/>
                <w:lang w:val="en-US"/>
              </w:rPr>
              <w:t>1.2</w:t>
            </w:r>
          </w:p>
        </w:tc>
        <w:tc>
          <w:tcPr>
            <w:tcW w:w="2126" w:type="dxa"/>
            <w:tcBorders>
              <w:top w:val="single" w:sz="4" w:space="0" w:color="auto"/>
            </w:tcBorders>
          </w:tcPr>
          <w:p w14:paraId="3AEDB7D7" w14:textId="65772C90" w:rsidR="00263C00" w:rsidRDefault="00DC0E89" w:rsidP="00DA51A3">
            <w:pPr>
              <w:snapToGrid w:val="0"/>
              <w:spacing w:after="120"/>
              <w:rPr>
                <w:rFonts w:ascii="Times New Roman" w:eastAsia="MS PGothic" w:hAnsi="Times New Roman"/>
                <w:iCs/>
                <w:lang w:val="en-US"/>
              </w:rPr>
            </w:pPr>
            <w:r>
              <w:rPr>
                <w:rFonts w:ascii="Times New Roman" w:eastAsia="MS PGothic" w:hAnsi="Times New Roman"/>
                <w:iCs/>
                <w:lang w:val="en-US"/>
              </w:rPr>
              <w:t>0</w:t>
            </w:r>
          </w:p>
        </w:tc>
        <w:tc>
          <w:tcPr>
            <w:tcW w:w="851" w:type="dxa"/>
            <w:tcBorders>
              <w:top w:val="single" w:sz="4" w:space="0" w:color="auto"/>
            </w:tcBorders>
          </w:tcPr>
          <w:p w14:paraId="4CB27F88" w14:textId="41976A5C" w:rsidR="00263C00" w:rsidRDefault="00263C00" w:rsidP="00DA51A3">
            <w:pPr>
              <w:snapToGrid w:val="0"/>
              <w:spacing w:after="120"/>
              <w:rPr>
                <w:rFonts w:ascii="Times New Roman" w:eastAsia="MS PGothic" w:hAnsi="Times New Roman"/>
                <w:iCs/>
                <w:lang w:val="en-US"/>
              </w:rPr>
            </w:pPr>
            <w:r>
              <w:rPr>
                <w:rFonts w:ascii="Times New Roman" w:eastAsia="MS PGothic" w:hAnsi="Times New Roman"/>
                <w:iCs/>
                <w:lang w:val="en-US"/>
              </w:rPr>
              <w:t>0</w:t>
            </w:r>
          </w:p>
        </w:tc>
      </w:tr>
      <w:tr w:rsidR="00263C00" w14:paraId="0A6030C3" w14:textId="77777777" w:rsidTr="00F0696D">
        <w:tc>
          <w:tcPr>
            <w:tcW w:w="1413" w:type="dxa"/>
          </w:tcPr>
          <w:p w14:paraId="2765D674" w14:textId="3862DBEE" w:rsidR="00263C00" w:rsidRDefault="009E403A" w:rsidP="00DA51A3">
            <w:pPr>
              <w:snapToGrid w:val="0"/>
              <w:spacing w:after="120"/>
              <w:rPr>
                <w:rFonts w:ascii="Times New Roman" w:eastAsia="MS PGothic" w:hAnsi="Times New Roman"/>
                <w:iCs/>
                <w:lang w:val="en-US"/>
              </w:rPr>
            </w:pPr>
            <w:r>
              <w:rPr>
                <w:rFonts w:ascii="Times New Roman" w:eastAsia="MS PGothic" w:hAnsi="Times New Roman"/>
                <w:iCs/>
                <w:lang w:val="en-US"/>
              </w:rPr>
              <w:t>5</w:t>
            </w:r>
          </w:p>
        </w:tc>
        <w:tc>
          <w:tcPr>
            <w:tcW w:w="1276" w:type="dxa"/>
          </w:tcPr>
          <w:p w14:paraId="08E0F82F" w14:textId="467CD427" w:rsidR="00263C00" w:rsidRDefault="009E403A" w:rsidP="00DA51A3">
            <w:pPr>
              <w:snapToGrid w:val="0"/>
              <w:spacing w:after="120"/>
              <w:rPr>
                <w:rFonts w:ascii="Times New Roman" w:eastAsia="MS PGothic" w:hAnsi="Times New Roman"/>
                <w:iCs/>
                <w:lang w:val="en-US"/>
              </w:rPr>
            </w:pPr>
            <w:r>
              <w:rPr>
                <w:rFonts w:ascii="Times New Roman" w:eastAsia="MS PGothic" w:hAnsi="Times New Roman"/>
                <w:iCs/>
                <w:lang w:val="en-US"/>
              </w:rPr>
              <w:t>2</w:t>
            </w:r>
          </w:p>
        </w:tc>
        <w:tc>
          <w:tcPr>
            <w:tcW w:w="2126" w:type="dxa"/>
          </w:tcPr>
          <w:p w14:paraId="399DE6F6" w14:textId="1E9CAA5D" w:rsidR="00263C00" w:rsidRDefault="00AF279C" w:rsidP="00DA51A3">
            <w:pPr>
              <w:snapToGrid w:val="0"/>
              <w:spacing w:after="120"/>
              <w:rPr>
                <w:rFonts w:ascii="Times New Roman" w:eastAsia="MS PGothic" w:hAnsi="Times New Roman"/>
                <w:iCs/>
                <w:lang w:val="en-US"/>
              </w:rPr>
            </w:pPr>
            <w:r>
              <w:rPr>
                <w:rFonts w:ascii="Times New Roman" w:eastAsia="MS PGothic" w:hAnsi="Times New Roman"/>
                <w:iCs/>
                <w:lang w:val="en-US"/>
              </w:rPr>
              <w:t>0.48</w:t>
            </w:r>
          </w:p>
        </w:tc>
        <w:tc>
          <w:tcPr>
            <w:tcW w:w="2126" w:type="dxa"/>
          </w:tcPr>
          <w:p w14:paraId="79B23492" w14:textId="7F7E177F" w:rsidR="00263C00" w:rsidRDefault="00AF279C" w:rsidP="00DA51A3">
            <w:pPr>
              <w:snapToGrid w:val="0"/>
              <w:spacing w:after="120"/>
              <w:rPr>
                <w:rFonts w:ascii="Times New Roman" w:eastAsia="MS PGothic" w:hAnsi="Times New Roman"/>
                <w:iCs/>
                <w:lang w:val="en-US"/>
              </w:rPr>
            </w:pPr>
            <w:r>
              <w:rPr>
                <w:rFonts w:ascii="Times New Roman" w:eastAsia="MS PGothic" w:hAnsi="Times New Roman"/>
                <w:iCs/>
                <w:lang w:val="en-US"/>
              </w:rPr>
              <w:t>0.72</w:t>
            </w:r>
          </w:p>
        </w:tc>
        <w:tc>
          <w:tcPr>
            <w:tcW w:w="851" w:type="dxa"/>
          </w:tcPr>
          <w:p w14:paraId="4497B0A3" w14:textId="40708C8C" w:rsidR="00263C00" w:rsidRDefault="009E403A" w:rsidP="00DA51A3">
            <w:pPr>
              <w:snapToGrid w:val="0"/>
              <w:spacing w:after="120"/>
              <w:rPr>
                <w:rFonts w:ascii="Times New Roman" w:eastAsia="MS PGothic" w:hAnsi="Times New Roman"/>
                <w:iCs/>
                <w:lang w:val="en-US"/>
              </w:rPr>
            </w:pPr>
            <w:r>
              <w:rPr>
                <w:rFonts w:ascii="Times New Roman" w:eastAsia="MS PGothic" w:hAnsi="Times New Roman"/>
                <w:iCs/>
                <w:lang w:val="en-US"/>
              </w:rPr>
              <w:t>1.5</w:t>
            </w:r>
          </w:p>
        </w:tc>
      </w:tr>
      <w:tr w:rsidR="00263C00" w14:paraId="3B6ABBA4" w14:textId="77777777" w:rsidTr="00F0696D">
        <w:tc>
          <w:tcPr>
            <w:tcW w:w="1413" w:type="dxa"/>
          </w:tcPr>
          <w:p w14:paraId="273B709F" w14:textId="52CEA2FA" w:rsidR="00263C00" w:rsidRDefault="009E403A" w:rsidP="00DA51A3">
            <w:pPr>
              <w:snapToGrid w:val="0"/>
              <w:spacing w:after="120"/>
              <w:rPr>
                <w:rFonts w:ascii="Times New Roman" w:eastAsia="MS PGothic" w:hAnsi="Times New Roman"/>
                <w:iCs/>
                <w:lang w:val="en-US"/>
              </w:rPr>
            </w:pPr>
            <w:r>
              <w:rPr>
                <w:rFonts w:ascii="Times New Roman" w:eastAsia="MS PGothic" w:hAnsi="Times New Roman"/>
                <w:iCs/>
                <w:lang w:val="en-US"/>
              </w:rPr>
              <w:t>10</w:t>
            </w:r>
          </w:p>
        </w:tc>
        <w:tc>
          <w:tcPr>
            <w:tcW w:w="1276" w:type="dxa"/>
          </w:tcPr>
          <w:p w14:paraId="2E5C5E0D" w14:textId="3DE3A6F2" w:rsidR="00263C00" w:rsidRDefault="009E403A" w:rsidP="00DA51A3">
            <w:pPr>
              <w:snapToGrid w:val="0"/>
              <w:spacing w:after="120"/>
              <w:rPr>
                <w:rFonts w:ascii="Times New Roman" w:eastAsia="MS PGothic" w:hAnsi="Times New Roman"/>
                <w:iCs/>
                <w:lang w:val="en-US"/>
              </w:rPr>
            </w:pPr>
            <w:r>
              <w:rPr>
                <w:rFonts w:ascii="Times New Roman" w:eastAsia="MS PGothic" w:hAnsi="Times New Roman"/>
                <w:iCs/>
                <w:lang w:val="en-US"/>
              </w:rPr>
              <w:t>2</w:t>
            </w:r>
          </w:p>
        </w:tc>
        <w:tc>
          <w:tcPr>
            <w:tcW w:w="2126" w:type="dxa"/>
          </w:tcPr>
          <w:p w14:paraId="2890EDD8" w14:textId="63F51718" w:rsidR="00263C00" w:rsidRDefault="00AF279C" w:rsidP="00DA51A3">
            <w:pPr>
              <w:snapToGrid w:val="0"/>
              <w:spacing w:after="120"/>
              <w:rPr>
                <w:rFonts w:ascii="Times New Roman" w:eastAsia="MS PGothic" w:hAnsi="Times New Roman"/>
                <w:iCs/>
                <w:lang w:val="en-US"/>
              </w:rPr>
            </w:pPr>
            <w:r>
              <w:rPr>
                <w:rFonts w:ascii="Times New Roman" w:eastAsia="MS PGothic" w:hAnsi="Times New Roman"/>
                <w:iCs/>
                <w:lang w:val="en-US"/>
              </w:rPr>
              <w:t>0.25</w:t>
            </w:r>
          </w:p>
        </w:tc>
        <w:tc>
          <w:tcPr>
            <w:tcW w:w="2126" w:type="dxa"/>
          </w:tcPr>
          <w:p w14:paraId="5B013821" w14:textId="14201697" w:rsidR="00263C00" w:rsidRDefault="00AF279C" w:rsidP="00DA51A3">
            <w:pPr>
              <w:snapToGrid w:val="0"/>
              <w:spacing w:after="120"/>
              <w:rPr>
                <w:rFonts w:ascii="Times New Roman" w:eastAsia="MS PGothic" w:hAnsi="Times New Roman"/>
                <w:iCs/>
                <w:lang w:val="en-US"/>
              </w:rPr>
            </w:pPr>
            <w:r>
              <w:rPr>
                <w:rFonts w:ascii="Times New Roman" w:eastAsia="MS PGothic" w:hAnsi="Times New Roman"/>
                <w:iCs/>
                <w:lang w:val="en-US"/>
              </w:rPr>
              <w:t>1.02</w:t>
            </w:r>
          </w:p>
        </w:tc>
        <w:tc>
          <w:tcPr>
            <w:tcW w:w="851" w:type="dxa"/>
          </w:tcPr>
          <w:p w14:paraId="58D340D3" w14:textId="38CCBF76" w:rsidR="00263C00" w:rsidRDefault="009E403A" w:rsidP="00DA51A3">
            <w:pPr>
              <w:snapToGrid w:val="0"/>
              <w:spacing w:after="120"/>
              <w:rPr>
                <w:rFonts w:ascii="Times New Roman" w:eastAsia="MS PGothic" w:hAnsi="Times New Roman"/>
                <w:iCs/>
                <w:lang w:val="en-US"/>
              </w:rPr>
            </w:pPr>
            <w:r>
              <w:rPr>
                <w:rFonts w:ascii="Times New Roman" w:eastAsia="MS PGothic" w:hAnsi="Times New Roman"/>
                <w:iCs/>
                <w:lang w:val="en-US"/>
              </w:rPr>
              <w:t>4</w:t>
            </w:r>
          </w:p>
        </w:tc>
      </w:tr>
      <w:tr w:rsidR="00263C00" w14:paraId="7E8FC6D1" w14:textId="77777777" w:rsidTr="00F0696D">
        <w:tc>
          <w:tcPr>
            <w:tcW w:w="1413" w:type="dxa"/>
          </w:tcPr>
          <w:p w14:paraId="08AD4604" w14:textId="633E7169" w:rsidR="00263C00" w:rsidRDefault="009E403A" w:rsidP="00DA51A3">
            <w:pPr>
              <w:snapToGrid w:val="0"/>
              <w:spacing w:after="120"/>
              <w:rPr>
                <w:rFonts w:ascii="Times New Roman" w:eastAsia="MS PGothic" w:hAnsi="Times New Roman"/>
                <w:iCs/>
                <w:lang w:val="en-US"/>
              </w:rPr>
            </w:pPr>
            <w:r>
              <w:rPr>
                <w:rFonts w:ascii="Times New Roman" w:eastAsia="MS PGothic" w:hAnsi="Times New Roman"/>
                <w:iCs/>
                <w:lang w:val="en-US"/>
              </w:rPr>
              <w:t>15</w:t>
            </w:r>
          </w:p>
        </w:tc>
        <w:tc>
          <w:tcPr>
            <w:tcW w:w="1276" w:type="dxa"/>
          </w:tcPr>
          <w:p w14:paraId="7A63CD35" w14:textId="61887664" w:rsidR="00263C00" w:rsidRDefault="009E403A" w:rsidP="00DA51A3">
            <w:pPr>
              <w:snapToGrid w:val="0"/>
              <w:spacing w:after="120"/>
              <w:rPr>
                <w:rFonts w:ascii="Times New Roman" w:eastAsia="MS PGothic" w:hAnsi="Times New Roman"/>
                <w:iCs/>
                <w:lang w:val="en-US"/>
              </w:rPr>
            </w:pPr>
            <w:r>
              <w:rPr>
                <w:rFonts w:ascii="Times New Roman" w:eastAsia="MS PGothic" w:hAnsi="Times New Roman"/>
                <w:iCs/>
                <w:lang w:val="en-US"/>
              </w:rPr>
              <w:t>2</w:t>
            </w:r>
          </w:p>
        </w:tc>
        <w:tc>
          <w:tcPr>
            <w:tcW w:w="2126" w:type="dxa"/>
          </w:tcPr>
          <w:p w14:paraId="61C46E93" w14:textId="37359A27" w:rsidR="00263C00" w:rsidRDefault="00AF279C" w:rsidP="00DA51A3">
            <w:pPr>
              <w:snapToGrid w:val="0"/>
              <w:spacing w:after="120"/>
              <w:rPr>
                <w:rFonts w:ascii="Times New Roman" w:eastAsia="MS PGothic" w:hAnsi="Times New Roman"/>
                <w:iCs/>
                <w:lang w:val="en-US"/>
              </w:rPr>
            </w:pPr>
            <w:r>
              <w:rPr>
                <w:rFonts w:ascii="Times New Roman" w:eastAsia="MS PGothic" w:hAnsi="Times New Roman"/>
                <w:iCs/>
                <w:lang w:val="en-US"/>
              </w:rPr>
              <w:t>0.16</w:t>
            </w:r>
          </w:p>
        </w:tc>
        <w:tc>
          <w:tcPr>
            <w:tcW w:w="2126" w:type="dxa"/>
          </w:tcPr>
          <w:p w14:paraId="47D2F536" w14:textId="47693E42" w:rsidR="00263C00" w:rsidRDefault="00AF279C" w:rsidP="00DA51A3">
            <w:pPr>
              <w:snapToGrid w:val="0"/>
              <w:spacing w:after="120"/>
              <w:rPr>
                <w:rFonts w:ascii="Times New Roman" w:eastAsia="MS PGothic" w:hAnsi="Times New Roman"/>
                <w:iCs/>
                <w:lang w:val="en-US"/>
              </w:rPr>
            </w:pPr>
            <w:r>
              <w:rPr>
                <w:rFonts w:ascii="Times New Roman" w:eastAsia="MS PGothic" w:hAnsi="Times New Roman"/>
                <w:iCs/>
                <w:lang w:val="en-US"/>
              </w:rPr>
              <w:t>1.04</w:t>
            </w:r>
          </w:p>
        </w:tc>
        <w:tc>
          <w:tcPr>
            <w:tcW w:w="851" w:type="dxa"/>
          </w:tcPr>
          <w:p w14:paraId="03160378" w14:textId="74D1FAF0" w:rsidR="00263C00" w:rsidRDefault="009E403A" w:rsidP="00DA51A3">
            <w:pPr>
              <w:snapToGrid w:val="0"/>
              <w:spacing w:after="120"/>
              <w:rPr>
                <w:rFonts w:ascii="Times New Roman" w:eastAsia="MS PGothic" w:hAnsi="Times New Roman"/>
                <w:iCs/>
                <w:lang w:val="en-US"/>
              </w:rPr>
            </w:pPr>
            <w:r>
              <w:rPr>
                <w:rFonts w:ascii="Times New Roman" w:eastAsia="MS PGothic" w:hAnsi="Times New Roman"/>
                <w:iCs/>
                <w:lang w:val="en-US"/>
              </w:rPr>
              <w:t>6.5</w:t>
            </w:r>
          </w:p>
        </w:tc>
      </w:tr>
      <w:tr w:rsidR="00263C00" w14:paraId="63C4EF66" w14:textId="77777777" w:rsidTr="00F0696D">
        <w:tc>
          <w:tcPr>
            <w:tcW w:w="1413" w:type="dxa"/>
            <w:tcBorders>
              <w:bottom w:val="single" w:sz="4" w:space="0" w:color="auto"/>
            </w:tcBorders>
          </w:tcPr>
          <w:p w14:paraId="6CCB30EB" w14:textId="0A7F08AF" w:rsidR="00263C00" w:rsidRDefault="009E403A" w:rsidP="00DA51A3">
            <w:pPr>
              <w:snapToGrid w:val="0"/>
              <w:spacing w:after="120"/>
              <w:rPr>
                <w:rFonts w:ascii="Times New Roman" w:eastAsia="MS PGothic" w:hAnsi="Times New Roman"/>
                <w:iCs/>
                <w:lang w:val="en-US"/>
              </w:rPr>
            </w:pPr>
            <w:r>
              <w:rPr>
                <w:rFonts w:ascii="Times New Roman" w:eastAsia="MS PGothic" w:hAnsi="Times New Roman"/>
                <w:iCs/>
                <w:lang w:val="en-US"/>
              </w:rPr>
              <w:t>30</w:t>
            </w:r>
          </w:p>
        </w:tc>
        <w:tc>
          <w:tcPr>
            <w:tcW w:w="1276" w:type="dxa"/>
            <w:tcBorders>
              <w:bottom w:val="single" w:sz="4" w:space="0" w:color="auto"/>
            </w:tcBorders>
          </w:tcPr>
          <w:p w14:paraId="4A2094FE" w14:textId="4B32CA6C" w:rsidR="00263C00" w:rsidRDefault="009E403A" w:rsidP="00DA51A3">
            <w:pPr>
              <w:snapToGrid w:val="0"/>
              <w:spacing w:after="120"/>
              <w:rPr>
                <w:rFonts w:ascii="Times New Roman" w:eastAsia="MS PGothic" w:hAnsi="Times New Roman"/>
                <w:iCs/>
                <w:lang w:val="en-US"/>
              </w:rPr>
            </w:pPr>
            <w:r>
              <w:rPr>
                <w:rFonts w:ascii="Times New Roman" w:eastAsia="MS PGothic" w:hAnsi="Times New Roman"/>
                <w:iCs/>
                <w:lang w:val="en-US"/>
              </w:rPr>
              <w:t>2</w:t>
            </w:r>
          </w:p>
        </w:tc>
        <w:tc>
          <w:tcPr>
            <w:tcW w:w="2126" w:type="dxa"/>
            <w:tcBorders>
              <w:bottom w:val="single" w:sz="4" w:space="0" w:color="auto"/>
            </w:tcBorders>
          </w:tcPr>
          <w:p w14:paraId="5F00A438" w14:textId="59D6110A" w:rsidR="00263C00" w:rsidRDefault="00AF279C" w:rsidP="00DA51A3">
            <w:pPr>
              <w:snapToGrid w:val="0"/>
              <w:spacing w:after="120"/>
              <w:rPr>
                <w:rFonts w:ascii="Times New Roman" w:eastAsia="MS PGothic" w:hAnsi="Times New Roman"/>
                <w:iCs/>
                <w:lang w:val="en-US"/>
              </w:rPr>
            </w:pPr>
            <w:r>
              <w:rPr>
                <w:rFonts w:ascii="Times New Roman" w:eastAsia="MS PGothic" w:hAnsi="Times New Roman"/>
                <w:iCs/>
                <w:lang w:val="en-US"/>
              </w:rPr>
              <w:t>0.08</w:t>
            </w:r>
          </w:p>
        </w:tc>
        <w:tc>
          <w:tcPr>
            <w:tcW w:w="2126" w:type="dxa"/>
            <w:tcBorders>
              <w:bottom w:val="single" w:sz="4" w:space="0" w:color="auto"/>
            </w:tcBorders>
          </w:tcPr>
          <w:p w14:paraId="36A8F147" w14:textId="27BDCD80" w:rsidR="00263C00" w:rsidRDefault="00AF279C" w:rsidP="00DA51A3">
            <w:pPr>
              <w:snapToGrid w:val="0"/>
              <w:spacing w:after="120"/>
              <w:rPr>
                <w:rFonts w:ascii="Times New Roman" w:eastAsia="MS PGothic" w:hAnsi="Times New Roman"/>
                <w:iCs/>
                <w:lang w:val="en-US"/>
              </w:rPr>
            </w:pPr>
            <w:r>
              <w:rPr>
                <w:rFonts w:ascii="Times New Roman" w:eastAsia="MS PGothic" w:hAnsi="Times New Roman"/>
                <w:iCs/>
                <w:lang w:val="en-US"/>
              </w:rPr>
              <w:t>1.12</w:t>
            </w:r>
          </w:p>
        </w:tc>
        <w:tc>
          <w:tcPr>
            <w:tcW w:w="851" w:type="dxa"/>
            <w:tcBorders>
              <w:bottom w:val="single" w:sz="4" w:space="0" w:color="auto"/>
            </w:tcBorders>
          </w:tcPr>
          <w:p w14:paraId="0A3D1114" w14:textId="04103DBD" w:rsidR="00263C00" w:rsidRDefault="009E403A" w:rsidP="00DA51A3">
            <w:pPr>
              <w:snapToGrid w:val="0"/>
              <w:spacing w:after="120"/>
              <w:rPr>
                <w:rFonts w:ascii="Times New Roman" w:eastAsia="MS PGothic" w:hAnsi="Times New Roman"/>
                <w:iCs/>
                <w:lang w:val="en-US"/>
              </w:rPr>
            </w:pPr>
            <w:r>
              <w:rPr>
                <w:rFonts w:ascii="Times New Roman" w:eastAsia="MS PGothic" w:hAnsi="Times New Roman"/>
                <w:iCs/>
                <w:lang w:val="en-US"/>
              </w:rPr>
              <w:t>14</w:t>
            </w:r>
          </w:p>
        </w:tc>
      </w:tr>
    </w:tbl>
    <w:p w14:paraId="3BD94F8B" w14:textId="6D77968C" w:rsidR="00263C00" w:rsidRDefault="00263C00" w:rsidP="00DA51A3">
      <w:pPr>
        <w:snapToGrid w:val="0"/>
        <w:spacing w:after="120"/>
        <w:rPr>
          <w:rFonts w:ascii="Times New Roman" w:eastAsia="MS PGothic" w:hAnsi="Times New Roman"/>
          <w:iCs/>
          <w:lang w:val="en-US"/>
        </w:rPr>
      </w:pPr>
    </w:p>
    <w:p w14:paraId="1FD7788A" w14:textId="0CC6881E" w:rsidR="00CA1041" w:rsidRDefault="00CA1041" w:rsidP="00DA51A3">
      <w:pPr>
        <w:snapToGrid w:val="0"/>
        <w:spacing w:after="120"/>
        <w:rPr>
          <w:rFonts w:ascii="Times New Roman" w:eastAsia="MS PGothic" w:hAnsi="Times New Roman"/>
          <w:iCs/>
          <w:lang w:val="en-US"/>
        </w:rPr>
      </w:pPr>
      <w:r>
        <w:rPr>
          <w:noProof/>
        </w:rPr>
        <w:drawing>
          <wp:inline distT="0" distB="0" distL="0" distR="0" wp14:anchorId="5E37319D" wp14:editId="1E2CCDF5">
            <wp:extent cx="5920454" cy="3068955"/>
            <wp:effectExtent l="0" t="0" r="444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2481" cy="3075189"/>
                    </a:xfrm>
                    <a:prstGeom prst="rect">
                      <a:avLst/>
                    </a:prstGeom>
                  </pic:spPr>
                </pic:pic>
              </a:graphicData>
            </a:graphic>
          </wp:inline>
        </w:drawing>
      </w:r>
    </w:p>
    <w:p w14:paraId="376091AF" w14:textId="6A4E0C75" w:rsidR="00A34314" w:rsidRPr="00A34314" w:rsidRDefault="00A34314" w:rsidP="00A34314">
      <w:pPr>
        <w:snapToGrid w:val="0"/>
        <w:spacing w:after="120"/>
        <w:jc w:val="center"/>
        <w:rPr>
          <w:rFonts w:ascii="Times New Roman" w:eastAsia="MS PGothic" w:hAnsi="Times New Roman"/>
          <w:szCs w:val="18"/>
          <w:lang w:val="en-US"/>
        </w:rPr>
      </w:pPr>
      <w:r w:rsidRPr="00466FFD">
        <w:rPr>
          <w:rFonts w:ascii="Times New Roman" w:eastAsia="MS PGothic" w:hAnsi="Times New Roman"/>
          <w:b/>
          <w:szCs w:val="18"/>
          <w:lang w:val="en-US"/>
        </w:rPr>
        <w:t xml:space="preserve">Figure </w:t>
      </w:r>
      <w:r w:rsidR="00F0696D">
        <w:rPr>
          <w:rFonts w:ascii="Times New Roman" w:eastAsia="MS PGothic" w:hAnsi="Times New Roman"/>
          <w:b/>
          <w:szCs w:val="18"/>
          <w:lang w:val="en-US"/>
        </w:rPr>
        <w:t>2</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F0696D">
        <w:rPr>
          <w:rFonts w:ascii="Times New Roman" w:eastAsia="MS PGothic" w:hAnsi="Times New Roman"/>
          <w:szCs w:val="18"/>
          <w:lang w:val="en-US"/>
        </w:rPr>
        <w:t>Flowsheet used for the simulations without a recycling unit (a) and with a recirculation system (b)</w:t>
      </w:r>
      <w:r w:rsidRPr="00466FFD">
        <w:rPr>
          <w:rFonts w:ascii="Times New Roman" w:eastAsia="MS PGothic" w:hAnsi="Times New Roman"/>
          <w:szCs w:val="18"/>
          <w:lang w:val="en-US"/>
        </w:rPr>
        <w:t xml:space="preserve"> </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lastRenderedPageBreak/>
        <w:t>3. Results and discussion</w:t>
      </w:r>
    </w:p>
    <w:p w14:paraId="0F4C3794" w14:textId="6D4E1277" w:rsidR="00BB0C0A" w:rsidRDefault="004A75DE" w:rsidP="00BB0C0A">
      <w:pPr>
        <w:spacing w:after="0" w:line="276" w:lineRule="auto"/>
        <w:rPr>
          <w:rFonts w:ascii="Times New Roman" w:eastAsia="MS PGothic" w:hAnsi="Times New Roman" w:cs="Times New Roman"/>
          <w:lang w:val="en-US"/>
        </w:rPr>
      </w:pPr>
      <w:r w:rsidRPr="00BB0C0A">
        <w:rPr>
          <w:rFonts w:ascii="Times New Roman" w:eastAsia="MS PGothic" w:hAnsi="Times New Roman" w:cs="Times New Roman"/>
          <w:lang w:val="en-US"/>
        </w:rPr>
        <w:t xml:space="preserve">The results of the simulations </w:t>
      </w:r>
      <w:r w:rsidR="0017140B">
        <w:rPr>
          <w:rFonts w:ascii="Times New Roman" w:eastAsia="MS PGothic" w:hAnsi="Times New Roman" w:cs="Times New Roman"/>
          <w:lang w:val="en-US"/>
        </w:rPr>
        <w:t>are reported</w:t>
      </w:r>
      <w:r w:rsidRPr="00BB0C0A">
        <w:rPr>
          <w:rFonts w:ascii="Times New Roman" w:eastAsia="MS PGothic" w:hAnsi="Times New Roman" w:cs="Times New Roman"/>
          <w:lang w:val="en-US"/>
        </w:rPr>
        <w:t xml:space="preserve"> in terms of biomass and PHB produced at the end of the cycle, producti</w:t>
      </w:r>
      <w:r w:rsidR="00A34314">
        <w:rPr>
          <w:rFonts w:ascii="Times New Roman" w:eastAsia="MS PGothic" w:hAnsi="Times New Roman" w:cs="Times New Roman"/>
          <w:lang w:val="en-US"/>
        </w:rPr>
        <w:t>on</w:t>
      </w:r>
      <w:r w:rsidRPr="00BB0C0A">
        <w:rPr>
          <w:rFonts w:ascii="Times New Roman" w:eastAsia="MS PGothic" w:hAnsi="Times New Roman" w:cs="Times New Roman"/>
          <w:lang w:val="en-US"/>
        </w:rPr>
        <w:t xml:space="preserve"> of PHB for unit of substrate </w:t>
      </w:r>
      <w:r w:rsidR="00586203">
        <w:rPr>
          <w:rFonts w:ascii="Times New Roman" w:eastAsia="MS PGothic" w:hAnsi="Times New Roman" w:cs="Times New Roman"/>
          <w:lang w:val="en-US"/>
        </w:rPr>
        <w:t>(</w:t>
      </w:r>
      <w:r w:rsidR="000A058F">
        <w:rPr>
          <w:rFonts w:ascii="Times New Roman" w:eastAsia="MS PGothic" w:hAnsi="Times New Roman" w:cs="Times New Roman"/>
          <w:lang w:val="en-US"/>
        </w:rPr>
        <w:t>S</w:t>
      </w:r>
      <w:r w:rsidR="00586203" w:rsidRPr="000A058F">
        <w:rPr>
          <w:rFonts w:ascii="Times New Roman" w:eastAsia="MS PGothic" w:hAnsi="Times New Roman" w:cs="Times New Roman"/>
          <w:vertAlign w:val="subscript"/>
          <w:lang w:val="en-US"/>
        </w:rPr>
        <w:t>PHB</w:t>
      </w:r>
      <w:r w:rsidR="00586203" w:rsidRPr="000A058F">
        <w:rPr>
          <w:rFonts w:ascii="Times New Roman" w:eastAsia="MS PGothic" w:hAnsi="Times New Roman" w:cs="Times New Roman"/>
          <w:lang w:val="en-US"/>
        </w:rPr>
        <w:t>)</w:t>
      </w:r>
      <w:r w:rsidR="00586203">
        <w:rPr>
          <w:rFonts w:ascii="Times New Roman" w:eastAsia="MS PGothic" w:hAnsi="Times New Roman" w:cs="Times New Roman"/>
          <w:lang w:val="en-US"/>
        </w:rPr>
        <w:t xml:space="preserve"> </w:t>
      </w:r>
      <w:r w:rsidRPr="00BB0C0A">
        <w:rPr>
          <w:rFonts w:ascii="Times New Roman" w:eastAsia="MS PGothic" w:hAnsi="Times New Roman" w:cs="Times New Roman"/>
          <w:lang w:val="en-US"/>
        </w:rPr>
        <w:t xml:space="preserve">and </w:t>
      </w:r>
      <w:r w:rsidR="00586203">
        <w:rPr>
          <w:rFonts w:ascii="Times New Roman" w:eastAsia="MS PGothic" w:hAnsi="Times New Roman" w:cs="Times New Roman"/>
          <w:lang w:val="en-US"/>
        </w:rPr>
        <w:t>methane utilization capacity (eq.4)</w:t>
      </w:r>
      <w:r w:rsidRPr="00BB0C0A">
        <w:rPr>
          <w:rFonts w:ascii="Times New Roman" w:eastAsia="MS PGothic" w:hAnsi="Times New Roman" w:cs="Times New Roman"/>
          <w:lang w:val="en-US"/>
        </w:rPr>
        <w:t xml:space="preserve">. </w:t>
      </w:r>
      <w:r w:rsidR="00BB0C0A" w:rsidRPr="00BB0C0A">
        <w:rPr>
          <w:rFonts w:ascii="Times New Roman" w:eastAsia="MS PGothic" w:hAnsi="Times New Roman" w:cs="Times New Roman"/>
          <w:lang w:val="en-US"/>
        </w:rPr>
        <w:t>When</w:t>
      </w:r>
      <w:r w:rsidRPr="00BB0C0A">
        <w:rPr>
          <w:rFonts w:ascii="Times New Roman" w:eastAsia="MS PGothic" w:hAnsi="Times New Roman" w:cs="Times New Roman"/>
          <w:lang w:val="en-US"/>
        </w:rPr>
        <w:t xml:space="preserve"> working with a recycling unit, </w:t>
      </w:r>
      <w:r w:rsidR="00A34314">
        <w:rPr>
          <w:rFonts w:ascii="Times New Roman" w:eastAsia="MS PGothic" w:hAnsi="Times New Roman" w:cs="Times New Roman"/>
          <w:lang w:val="en-US"/>
        </w:rPr>
        <w:t>methane saving was also evaluated</w:t>
      </w:r>
      <w:r w:rsidR="00586203">
        <w:rPr>
          <w:rFonts w:ascii="Times New Roman" w:eastAsia="MS PGothic" w:hAnsi="Times New Roman" w:cs="Times New Roman"/>
          <w:lang w:val="en-US"/>
        </w:rPr>
        <w:t>.</w:t>
      </w:r>
    </w:p>
    <w:p w14:paraId="4DCEB252" w14:textId="4DA4E17E" w:rsidR="00586203" w:rsidRDefault="00586203" w:rsidP="00BB0C0A">
      <w:pPr>
        <w:spacing w:after="0" w:line="276" w:lineRule="auto"/>
        <w:rPr>
          <w:rFonts w:ascii="Times New Roman" w:eastAsiaTheme="minorEastAsia" w:hAnsi="Times New Roman" w:cs="Times New Roman"/>
          <w:lang w:val="en-US"/>
        </w:rPr>
      </w:pPr>
      <m:oMath>
        <m:r>
          <w:rPr>
            <w:rFonts w:ascii="Cambria Math" w:hAnsi="Cambria Math" w:cs="Times New Roman"/>
            <w:lang w:val="en-US"/>
          </w:rPr>
          <m:t>EC-C</m:t>
        </m:r>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4</m:t>
            </m:r>
          </m:sub>
        </m:sSub>
        <m:r>
          <w:rPr>
            <w:rFonts w:ascii="Cambria Math" w:hAnsi="Cambria Math" w:cs="Times New Roman"/>
            <w:lang w:val="en-US"/>
          </w:rPr>
          <m: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gas</m:t>
                </m:r>
              </m:sub>
            </m:sSub>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C</m:t>
                    </m:r>
                    <m:sSub>
                      <m:sSubPr>
                        <m:ctrlPr>
                          <w:rPr>
                            <w:rFonts w:ascii="Cambria Math" w:hAnsi="Cambria Math" w:cs="Times New Roman"/>
                            <w:i/>
                            <w:lang w:val="en-US"/>
                          </w:rPr>
                        </m:ctrlPr>
                      </m:sSubPr>
                      <m:e>
                        <m:r>
                          <w:rPr>
                            <w:rFonts w:ascii="Cambria Math" w:hAnsi="Cambria Math" w:cs="Times New Roman"/>
                            <w:lang w:val="en-US"/>
                          </w:rPr>
                          <m:t>H</m:t>
                        </m:r>
                      </m:e>
                      <m:sub>
                        <m:sSub>
                          <m:sSubPr>
                            <m:ctrlPr>
                              <w:rPr>
                                <w:rFonts w:ascii="Cambria Math" w:hAnsi="Cambria Math" w:cs="Times New Roman"/>
                                <w:i/>
                                <w:lang w:val="en-US"/>
                              </w:rPr>
                            </m:ctrlPr>
                          </m:sSubPr>
                          <m:e>
                            <m:r>
                              <w:rPr>
                                <w:rFonts w:ascii="Cambria Math" w:hAnsi="Cambria Math" w:cs="Times New Roman"/>
                                <w:lang w:val="en-US"/>
                              </w:rPr>
                              <m:t>4</m:t>
                            </m:r>
                          </m:e>
                          <m:sub>
                            <m:r>
                              <w:rPr>
                                <w:rFonts w:ascii="Cambria Math" w:hAnsi="Cambria Math" w:cs="Times New Roman"/>
                                <w:lang w:val="en-US"/>
                              </w:rPr>
                              <m:t>in</m:t>
                            </m:r>
                          </m:sub>
                        </m:sSub>
                      </m:sub>
                    </m:sSub>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C</m:t>
                    </m:r>
                    <m:sSub>
                      <m:sSubPr>
                        <m:ctrlPr>
                          <w:rPr>
                            <w:rFonts w:ascii="Cambria Math" w:hAnsi="Cambria Math" w:cs="Times New Roman"/>
                            <w:i/>
                            <w:lang w:val="en-US"/>
                          </w:rPr>
                        </m:ctrlPr>
                      </m:sSubPr>
                      <m:e>
                        <m:sSub>
                          <m:sSubPr>
                            <m:ctrlPr>
                              <w:rPr>
                                <w:rFonts w:ascii="Cambria Math" w:hAnsi="Cambria Math" w:cs="Times New Roman"/>
                                <w:i/>
                                <w:lang w:val="en-US"/>
                              </w:rPr>
                            </m:ctrlPr>
                          </m:sSubPr>
                          <m:e>
                            <m:r>
                              <w:rPr>
                                <w:rFonts w:ascii="Cambria Math" w:hAnsi="Cambria Math" w:cs="Times New Roman"/>
                                <w:lang w:val="en-US"/>
                              </w:rPr>
                              <m:t>H</m:t>
                            </m:r>
                          </m:e>
                          <m:sub>
                            <m:r>
                              <w:rPr>
                                <w:rFonts w:ascii="Cambria Math" w:hAnsi="Cambria Math" w:cs="Times New Roman"/>
                                <w:lang w:val="en-US"/>
                              </w:rPr>
                              <m:t>4</m:t>
                            </m:r>
                          </m:sub>
                        </m:sSub>
                      </m:e>
                      <m:sub>
                        <m:r>
                          <w:rPr>
                            <w:rFonts w:ascii="Cambria Math" w:hAnsi="Cambria Math" w:cs="Times New Roman"/>
                            <w:lang w:val="en-US"/>
                          </w:rPr>
                          <m:t>out</m:t>
                        </m:r>
                      </m:sub>
                    </m:sSub>
                  </m:sub>
                </m:sSub>
              </m:e>
            </m:d>
          </m:num>
          <m:den>
            <m:r>
              <w:rPr>
                <w:rFonts w:ascii="Cambria Math" w:hAnsi="Cambria Math" w:cs="Times New Roman"/>
                <w:lang w:val="en-US"/>
              </w:rPr>
              <m:t>Vr</m:t>
            </m:r>
          </m:den>
        </m:f>
      </m:oMath>
      <w:r>
        <w:rPr>
          <w:rFonts w:ascii="Times New Roman" w:eastAsiaTheme="minorEastAsia" w:hAnsi="Times New Roman" w:cs="Times New Roman"/>
          <w:lang w:val="en-US"/>
        </w:rPr>
        <w:t xml:space="preserve">                                                                                                                   (4)</w:t>
      </w:r>
    </w:p>
    <w:p w14:paraId="496B705F" w14:textId="1B80B80F" w:rsidR="00586203" w:rsidRDefault="0017140B" w:rsidP="00BB0C0A">
      <w:pPr>
        <w:spacing w:after="0" w:line="276" w:lineRule="auto"/>
        <w:rPr>
          <w:rFonts w:ascii="Times New Roman" w:eastAsiaTheme="minorEastAsia" w:hAnsi="Times New Roman" w:cs="Times New Roman"/>
          <w:lang w:val="en-US"/>
        </w:rPr>
      </w:pPr>
      <w:r>
        <w:rPr>
          <w:rFonts w:ascii="Times New Roman" w:eastAsiaTheme="minorEastAsia" w:hAnsi="Times New Roman" w:cs="Times New Roman"/>
          <w:lang w:val="en-US"/>
        </w:rPr>
        <w:t>In eq.4,</w:t>
      </w:r>
      <w:r w:rsidR="00586203">
        <w:rPr>
          <w:rFonts w:ascii="Times New Roman" w:eastAsiaTheme="minorEastAsia" w:hAnsi="Times New Roman" w:cs="Times New Roman"/>
          <w:lang w:val="en-US"/>
        </w:rPr>
        <w:t xml:space="preserve"> </w:t>
      </w:r>
      <w:proofErr w:type="spellStart"/>
      <w:r w:rsidR="00586203" w:rsidRPr="00586203">
        <w:rPr>
          <w:rFonts w:ascii="Times New Roman" w:eastAsiaTheme="minorEastAsia" w:hAnsi="Times New Roman" w:cs="Times New Roman"/>
          <w:i/>
          <w:iCs/>
          <w:lang w:val="en-US"/>
        </w:rPr>
        <w:t>Q</w:t>
      </w:r>
      <w:r w:rsidR="00586203" w:rsidRPr="00586203">
        <w:rPr>
          <w:rFonts w:ascii="Times New Roman" w:eastAsiaTheme="minorEastAsia" w:hAnsi="Times New Roman" w:cs="Times New Roman"/>
          <w:i/>
          <w:iCs/>
          <w:vertAlign w:val="subscript"/>
          <w:lang w:val="en-US"/>
        </w:rPr>
        <w:t>gas</w:t>
      </w:r>
      <w:proofErr w:type="spellEnd"/>
      <w:r w:rsidR="00586203">
        <w:rPr>
          <w:rFonts w:ascii="Times New Roman" w:eastAsiaTheme="minorEastAsia" w:hAnsi="Times New Roman" w:cs="Times New Roman"/>
          <w:lang w:val="en-US"/>
        </w:rPr>
        <w:t xml:space="preserve"> is the gas fed to the reactor, </w:t>
      </w:r>
      <w:r w:rsidR="00586203" w:rsidRPr="00586203">
        <w:rPr>
          <w:rFonts w:ascii="Times New Roman" w:eastAsiaTheme="minorEastAsia" w:hAnsi="Times New Roman" w:cs="Times New Roman"/>
          <w:i/>
          <w:iCs/>
          <w:lang w:val="en-US"/>
        </w:rPr>
        <w:t>C</w:t>
      </w:r>
      <w:r w:rsidR="00586203" w:rsidRPr="00586203">
        <w:rPr>
          <w:rFonts w:ascii="Times New Roman" w:eastAsiaTheme="minorEastAsia" w:hAnsi="Times New Roman" w:cs="Times New Roman"/>
          <w:i/>
          <w:iCs/>
          <w:vertAlign w:val="subscript"/>
          <w:lang w:val="en-US"/>
        </w:rPr>
        <w:t>CH4in</w:t>
      </w:r>
      <w:r w:rsidR="00586203">
        <w:rPr>
          <w:rFonts w:ascii="Times New Roman" w:eastAsiaTheme="minorEastAsia" w:hAnsi="Times New Roman" w:cs="Times New Roman"/>
          <w:lang w:val="en-US"/>
        </w:rPr>
        <w:t xml:space="preserve"> and </w:t>
      </w:r>
      <w:r w:rsidR="00586203" w:rsidRPr="00586203">
        <w:rPr>
          <w:rFonts w:ascii="Times New Roman" w:eastAsiaTheme="minorEastAsia" w:hAnsi="Times New Roman" w:cs="Times New Roman"/>
          <w:i/>
          <w:iCs/>
          <w:lang w:val="en-US"/>
        </w:rPr>
        <w:t>C</w:t>
      </w:r>
      <w:r w:rsidR="00586203" w:rsidRPr="00586203">
        <w:rPr>
          <w:rFonts w:ascii="Times New Roman" w:eastAsiaTheme="minorEastAsia" w:hAnsi="Times New Roman" w:cs="Times New Roman"/>
          <w:i/>
          <w:iCs/>
          <w:vertAlign w:val="subscript"/>
          <w:lang w:val="en-US"/>
        </w:rPr>
        <w:t>CH4out</w:t>
      </w:r>
      <w:r w:rsidR="00586203">
        <w:rPr>
          <w:rFonts w:ascii="Times New Roman" w:eastAsiaTheme="minorEastAsia" w:hAnsi="Times New Roman" w:cs="Times New Roman"/>
          <w:lang w:val="en-US"/>
        </w:rPr>
        <w:t xml:space="preserve"> are the inlet and outlet methane concentrations, respectively, and </w:t>
      </w:r>
      <w:proofErr w:type="spellStart"/>
      <w:r w:rsidR="00586203" w:rsidRPr="00586203">
        <w:rPr>
          <w:rFonts w:ascii="Times New Roman" w:eastAsiaTheme="minorEastAsia" w:hAnsi="Times New Roman" w:cs="Times New Roman"/>
          <w:i/>
          <w:iCs/>
          <w:lang w:val="en-US"/>
        </w:rPr>
        <w:t>V</w:t>
      </w:r>
      <w:r w:rsidR="00586203" w:rsidRPr="00586203">
        <w:rPr>
          <w:rFonts w:ascii="Times New Roman" w:eastAsiaTheme="minorEastAsia" w:hAnsi="Times New Roman" w:cs="Times New Roman"/>
          <w:i/>
          <w:iCs/>
          <w:vertAlign w:val="subscript"/>
          <w:lang w:val="en-US"/>
        </w:rPr>
        <w:t>r</w:t>
      </w:r>
      <w:proofErr w:type="spellEnd"/>
      <w:r w:rsidR="00586203">
        <w:rPr>
          <w:rFonts w:ascii="Times New Roman" w:eastAsiaTheme="minorEastAsia" w:hAnsi="Times New Roman" w:cs="Times New Roman"/>
          <w:lang w:val="en-US"/>
        </w:rPr>
        <w:t xml:space="preserve"> is the volume of the reactors (400L).</w:t>
      </w:r>
    </w:p>
    <w:p w14:paraId="3421D2DE" w14:textId="77777777" w:rsidR="0017140B" w:rsidRPr="00BB0C0A" w:rsidRDefault="0017140B" w:rsidP="00BB0C0A">
      <w:pPr>
        <w:spacing w:after="0" w:line="276" w:lineRule="auto"/>
        <w:rPr>
          <w:rFonts w:ascii="Times New Roman" w:hAnsi="Times New Roman" w:cs="Times New Roman"/>
          <w:lang w:val="en-US"/>
        </w:rPr>
      </w:pPr>
    </w:p>
    <w:p w14:paraId="35DED346" w14:textId="05C0CB96" w:rsidR="00F0696D" w:rsidRDefault="00586203" w:rsidP="00EF5D7F">
      <w:pPr>
        <w:spacing w:after="0" w:line="276" w:lineRule="auto"/>
        <w:rPr>
          <w:rFonts w:ascii="Times New Roman" w:hAnsi="Times New Roman" w:cs="Times New Roman"/>
          <w:lang w:val="en-US"/>
        </w:rPr>
      </w:pPr>
      <w:r>
        <w:rPr>
          <w:rFonts w:ascii="Times New Roman" w:hAnsi="Times New Roman" w:cs="Times New Roman"/>
          <w:lang w:val="en-US"/>
        </w:rPr>
        <w:t>The total biomass produced at the end of the</w:t>
      </w:r>
      <w:r w:rsidR="008303E7">
        <w:rPr>
          <w:rFonts w:ascii="Times New Roman" w:hAnsi="Times New Roman" w:cs="Times New Roman"/>
          <w:lang w:val="en-US"/>
        </w:rPr>
        <w:t xml:space="preserve"> growth</w:t>
      </w:r>
      <w:r>
        <w:rPr>
          <w:rFonts w:ascii="Times New Roman" w:hAnsi="Times New Roman" w:cs="Times New Roman"/>
          <w:lang w:val="en-US"/>
        </w:rPr>
        <w:t xml:space="preserve"> cycle was 1.22 kg, </w:t>
      </w:r>
      <w:r w:rsidR="00B4644F">
        <w:rPr>
          <w:rFonts w:ascii="Times New Roman" w:hAnsi="Times New Roman" w:cs="Times New Roman"/>
          <w:lang w:val="en-US"/>
        </w:rPr>
        <w:t>the</w:t>
      </w:r>
      <w:r>
        <w:rPr>
          <w:rFonts w:ascii="Times New Roman" w:hAnsi="Times New Roman" w:cs="Times New Roman"/>
          <w:lang w:val="en-US"/>
        </w:rPr>
        <w:t xml:space="preserve"> PHB amounted to </w:t>
      </w:r>
      <w:r w:rsidR="00BB0C0A" w:rsidRPr="00BB0C0A">
        <w:rPr>
          <w:rFonts w:ascii="Times New Roman" w:hAnsi="Times New Roman" w:cs="Times New Roman"/>
          <w:lang w:val="en-US"/>
        </w:rPr>
        <w:t>0.76 kg</w:t>
      </w:r>
      <w:r w:rsidR="000A058F">
        <w:rPr>
          <w:rFonts w:ascii="Times New Roman" w:hAnsi="Times New Roman" w:cs="Times New Roman"/>
          <w:lang w:val="en-US"/>
        </w:rPr>
        <w:t xml:space="preserve"> after 12 days of accumulation</w:t>
      </w:r>
      <w:r w:rsidR="00BB0C0A" w:rsidRPr="00BB0C0A">
        <w:rPr>
          <w:rFonts w:ascii="Times New Roman" w:hAnsi="Times New Roman" w:cs="Times New Roman"/>
          <w:lang w:val="en-US"/>
        </w:rPr>
        <w:t xml:space="preserve">, </w:t>
      </w:r>
      <w:r>
        <w:rPr>
          <w:rFonts w:ascii="Times New Roman" w:hAnsi="Times New Roman" w:cs="Times New Roman"/>
          <w:lang w:val="en-US"/>
        </w:rPr>
        <w:t>thus resulting in</w:t>
      </w:r>
      <w:r w:rsidR="00BB0C0A" w:rsidRPr="00BB0C0A">
        <w:rPr>
          <w:rFonts w:ascii="Times New Roman" w:hAnsi="Times New Roman" w:cs="Times New Roman"/>
          <w:lang w:val="en-US"/>
        </w:rPr>
        <w:t xml:space="preserve"> 38% w/w</w:t>
      </w:r>
      <w:r w:rsidR="000A058F">
        <w:rPr>
          <w:rFonts w:ascii="Times New Roman" w:hAnsi="Times New Roman" w:cs="Times New Roman"/>
          <w:lang w:val="en-US"/>
        </w:rPr>
        <w:t>,</w:t>
      </w:r>
      <w:r w:rsidR="00B4644F">
        <w:rPr>
          <w:rFonts w:ascii="Times New Roman" w:hAnsi="Times New Roman" w:cs="Times New Roman"/>
          <w:lang w:val="en-US"/>
        </w:rPr>
        <w:t xml:space="preserve"> and</w:t>
      </w:r>
      <w:r w:rsidR="00BB0C0A" w:rsidRPr="00BB0C0A">
        <w:rPr>
          <w:rFonts w:ascii="Times New Roman" w:hAnsi="Times New Roman" w:cs="Times New Roman"/>
          <w:lang w:val="en-US"/>
        </w:rPr>
        <w:t xml:space="preserve"> </w:t>
      </w:r>
      <w:r w:rsidR="00B4644F">
        <w:rPr>
          <w:rFonts w:ascii="Times New Roman" w:hAnsi="Times New Roman" w:cs="Times New Roman"/>
          <w:lang w:val="en-US"/>
        </w:rPr>
        <w:t>t</w:t>
      </w:r>
      <w:r w:rsidR="00BB0C0A" w:rsidRPr="00BB0C0A">
        <w:rPr>
          <w:rFonts w:ascii="Times New Roman" w:hAnsi="Times New Roman" w:cs="Times New Roman"/>
          <w:lang w:val="en-US"/>
        </w:rPr>
        <w:t xml:space="preserve">he methane utilization capacity </w:t>
      </w:r>
      <w:r>
        <w:rPr>
          <w:rFonts w:ascii="Times New Roman" w:hAnsi="Times New Roman" w:cs="Times New Roman"/>
          <w:lang w:val="en-US"/>
        </w:rPr>
        <w:t xml:space="preserve">calculated according to eq.4 </w:t>
      </w:r>
      <w:r w:rsidR="00BB0C0A" w:rsidRPr="00BB0C0A">
        <w:rPr>
          <w:rFonts w:ascii="Times New Roman" w:hAnsi="Times New Roman" w:cs="Times New Roman"/>
          <w:lang w:val="en-US"/>
        </w:rPr>
        <w:t>remained constant at 59 gCH</w:t>
      </w:r>
      <w:r w:rsidR="00BB0C0A" w:rsidRPr="00BB0C0A">
        <w:rPr>
          <w:rFonts w:ascii="Times New Roman" w:hAnsi="Times New Roman" w:cs="Times New Roman"/>
          <w:vertAlign w:val="subscript"/>
          <w:lang w:val="en-US"/>
        </w:rPr>
        <w:t>4</w:t>
      </w:r>
      <w:r w:rsidR="00BB0C0A" w:rsidRPr="00BB0C0A">
        <w:rPr>
          <w:rFonts w:ascii="Times New Roman" w:hAnsi="Times New Roman" w:cs="Times New Roman"/>
          <w:lang w:val="en-US"/>
        </w:rPr>
        <w:t xml:space="preserve"> m</w:t>
      </w:r>
      <w:r w:rsidR="00BB0C0A" w:rsidRPr="00BB0C0A">
        <w:rPr>
          <w:rFonts w:ascii="Times New Roman" w:hAnsi="Times New Roman" w:cs="Times New Roman"/>
          <w:vertAlign w:val="superscript"/>
          <w:lang w:val="en-US"/>
        </w:rPr>
        <w:t xml:space="preserve">-3 </w:t>
      </w:r>
      <w:r w:rsidR="00BB0C0A" w:rsidRPr="00BB0C0A">
        <w:rPr>
          <w:rFonts w:ascii="Times New Roman" w:hAnsi="Times New Roman" w:cs="Times New Roman"/>
          <w:lang w:val="en-US"/>
        </w:rPr>
        <w:t>h</w:t>
      </w:r>
      <w:r w:rsidR="00BB0C0A" w:rsidRPr="00BB0C0A">
        <w:rPr>
          <w:rFonts w:ascii="Times New Roman" w:hAnsi="Times New Roman" w:cs="Times New Roman"/>
          <w:vertAlign w:val="superscript"/>
          <w:lang w:val="en-US"/>
        </w:rPr>
        <w:t>-1</w:t>
      </w:r>
      <w:r w:rsidR="00B4644F">
        <w:rPr>
          <w:rFonts w:ascii="Times New Roman" w:hAnsi="Times New Roman" w:cs="Times New Roman"/>
          <w:lang w:val="en-US"/>
        </w:rPr>
        <w:t>. It should be noted that the</w:t>
      </w:r>
      <w:r w:rsidR="0017140B">
        <w:rPr>
          <w:rFonts w:ascii="Times New Roman" w:hAnsi="Times New Roman" w:cs="Times New Roman"/>
          <w:lang w:val="en-US"/>
        </w:rPr>
        <w:t>se</w:t>
      </w:r>
      <w:r w:rsidR="00B4644F">
        <w:rPr>
          <w:rFonts w:ascii="Times New Roman" w:hAnsi="Times New Roman" w:cs="Times New Roman"/>
          <w:lang w:val="en-US"/>
        </w:rPr>
        <w:t xml:space="preserve"> results were </w:t>
      </w:r>
      <w:r w:rsidR="0017140B">
        <w:rPr>
          <w:rFonts w:ascii="Times New Roman" w:hAnsi="Times New Roman" w:cs="Times New Roman"/>
          <w:lang w:val="en-US"/>
        </w:rPr>
        <w:t>the same</w:t>
      </w:r>
      <w:r w:rsidR="00BB0C0A" w:rsidRPr="00BB0C0A">
        <w:rPr>
          <w:rFonts w:ascii="Times New Roman" w:hAnsi="Times New Roman" w:cs="Times New Roman"/>
          <w:lang w:val="en-US"/>
        </w:rPr>
        <w:t xml:space="preserve"> for all cases</w:t>
      </w:r>
      <w:r w:rsidR="00BB0C0A">
        <w:rPr>
          <w:rFonts w:ascii="Times New Roman" w:hAnsi="Times New Roman" w:cs="Times New Roman"/>
          <w:lang w:val="en-US"/>
        </w:rPr>
        <w:t xml:space="preserve">, </w:t>
      </w:r>
      <w:r w:rsidR="00BB0C0A" w:rsidRPr="00BB0C0A">
        <w:rPr>
          <w:rFonts w:ascii="Times New Roman" w:hAnsi="Times New Roman" w:cs="Times New Roman"/>
          <w:lang w:val="en-US"/>
        </w:rPr>
        <w:t xml:space="preserve">since </w:t>
      </w:r>
      <w:r>
        <w:rPr>
          <w:rFonts w:ascii="Times New Roman" w:hAnsi="Times New Roman" w:cs="Times New Roman"/>
          <w:lang w:val="en-US"/>
        </w:rPr>
        <w:t xml:space="preserve">the </w:t>
      </w:r>
      <w:r w:rsidR="00B4644F">
        <w:rPr>
          <w:rFonts w:ascii="Times New Roman" w:hAnsi="Times New Roman" w:cs="Times New Roman"/>
          <w:lang w:val="en-US"/>
        </w:rPr>
        <w:t xml:space="preserve">final operating conditions were </w:t>
      </w:r>
      <w:r w:rsidR="0017140B">
        <w:rPr>
          <w:rFonts w:ascii="Times New Roman" w:hAnsi="Times New Roman" w:cs="Times New Roman"/>
          <w:lang w:val="en-US"/>
        </w:rPr>
        <w:t>fixed</w:t>
      </w:r>
      <w:r w:rsidR="00B4644F">
        <w:rPr>
          <w:rFonts w:ascii="Times New Roman" w:hAnsi="Times New Roman" w:cs="Times New Roman"/>
          <w:lang w:val="en-US"/>
        </w:rPr>
        <w:t xml:space="preserve">: </w:t>
      </w:r>
      <w:r w:rsidR="0017140B">
        <w:rPr>
          <w:rFonts w:ascii="Times New Roman" w:hAnsi="Times New Roman" w:cs="Times New Roman"/>
          <w:lang w:val="en-US"/>
        </w:rPr>
        <w:t xml:space="preserve">the </w:t>
      </w:r>
      <w:r>
        <w:rPr>
          <w:rFonts w:ascii="Times New Roman" w:hAnsi="Times New Roman" w:cs="Times New Roman"/>
          <w:lang w:val="en-US"/>
        </w:rPr>
        <w:t>total methane fed (fresh + recycled) was kept constant at</w:t>
      </w:r>
      <w:r w:rsidR="00BB0C0A" w:rsidRPr="00BB0C0A">
        <w:rPr>
          <w:rFonts w:ascii="Times New Roman" w:hAnsi="Times New Roman" w:cs="Times New Roman"/>
          <w:lang w:val="en-US"/>
        </w:rPr>
        <w:t xml:space="preserve"> 300 g h</w:t>
      </w:r>
      <w:r w:rsidR="00BB0C0A" w:rsidRPr="00BB0C0A">
        <w:rPr>
          <w:rFonts w:ascii="Times New Roman" w:hAnsi="Times New Roman" w:cs="Times New Roman"/>
          <w:vertAlign w:val="superscript"/>
          <w:lang w:val="en-US"/>
        </w:rPr>
        <w:t>-1</w:t>
      </w:r>
      <w:r w:rsidR="00B4644F">
        <w:rPr>
          <w:rFonts w:ascii="Times New Roman" w:hAnsi="Times New Roman" w:cs="Times New Roman"/>
          <w:lang w:val="en-US"/>
        </w:rPr>
        <w:t>,</w:t>
      </w:r>
      <w:r w:rsidR="0017140B">
        <w:rPr>
          <w:rFonts w:ascii="Times New Roman" w:hAnsi="Times New Roman" w:cs="Times New Roman"/>
          <w:lang w:val="en-US"/>
        </w:rPr>
        <w:t xml:space="preserve"> the</w:t>
      </w:r>
      <w:r w:rsidR="00B4644F">
        <w:rPr>
          <w:rFonts w:ascii="Times New Roman" w:hAnsi="Times New Roman" w:cs="Times New Roman"/>
          <w:lang w:val="en-US"/>
        </w:rPr>
        <w:t xml:space="preserve"> superficial gas velocity was set at 0.027 cm s</w:t>
      </w:r>
      <w:r w:rsidR="00B4644F" w:rsidRPr="00B4644F">
        <w:rPr>
          <w:rFonts w:ascii="Times New Roman" w:hAnsi="Times New Roman" w:cs="Times New Roman"/>
          <w:vertAlign w:val="superscript"/>
          <w:lang w:val="en-US"/>
        </w:rPr>
        <w:t>-1</w:t>
      </w:r>
      <w:r w:rsidR="00B4644F">
        <w:rPr>
          <w:rFonts w:ascii="Times New Roman" w:hAnsi="Times New Roman" w:cs="Times New Roman"/>
          <w:lang w:val="en-US"/>
        </w:rPr>
        <w:t xml:space="preserve"> and </w:t>
      </w:r>
      <w:r w:rsidR="0017140B">
        <w:rPr>
          <w:rFonts w:ascii="Times New Roman" w:hAnsi="Times New Roman" w:cs="Times New Roman"/>
          <w:lang w:val="en-US"/>
        </w:rPr>
        <w:t xml:space="preserve">the </w:t>
      </w:r>
      <w:r w:rsidR="00B4644F">
        <w:rPr>
          <w:rFonts w:ascii="Times New Roman" w:hAnsi="Times New Roman" w:cs="Times New Roman"/>
          <w:lang w:val="en-US"/>
        </w:rPr>
        <w:t>VRT at 2 min</w:t>
      </w:r>
      <w:r w:rsidR="00BB0C0A" w:rsidRPr="00BB0C0A">
        <w:rPr>
          <w:rFonts w:ascii="Times New Roman" w:hAnsi="Times New Roman" w:cs="Times New Roman"/>
          <w:lang w:val="en-US"/>
        </w:rPr>
        <w:t xml:space="preserve">. Anyway, </w:t>
      </w:r>
      <w:r>
        <w:rPr>
          <w:rFonts w:ascii="Times New Roman" w:hAnsi="Times New Roman" w:cs="Times New Roman"/>
          <w:lang w:val="en-US"/>
        </w:rPr>
        <w:t>Figure</w:t>
      </w:r>
      <w:r w:rsidR="00B4644F">
        <w:rPr>
          <w:rFonts w:ascii="Times New Roman" w:hAnsi="Times New Roman" w:cs="Times New Roman"/>
          <w:lang w:val="en-US"/>
        </w:rPr>
        <w:t xml:space="preserve"> </w:t>
      </w:r>
      <w:r w:rsidR="00FF7224">
        <w:rPr>
          <w:rFonts w:ascii="Times New Roman" w:hAnsi="Times New Roman" w:cs="Times New Roman"/>
          <w:lang w:val="en-US"/>
        </w:rPr>
        <w:t xml:space="preserve">3 </w:t>
      </w:r>
      <w:r w:rsidR="00B4644F">
        <w:rPr>
          <w:rFonts w:ascii="Times New Roman" w:hAnsi="Times New Roman" w:cs="Times New Roman"/>
          <w:lang w:val="en-US"/>
        </w:rPr>
        <w:t xml:space="preserve">shows </w:t>
      </w:r>
      <w:r w:rsidR="00F0696D">
        <w:rPr>
          <w:rFonts w:ascii="Times New Roman" w:hAnsi="Times New Roman" w:cs="Times New Roman"/>
          <w:lang w:val="en-US"/>
        </w:rPr>
        <w:t>the convenience of using a recycling unit with a high RR: it resulted that,</w:t>
      </w:r>
      <w:r w:rsidR="00B4644F">
        <w:rPr>
          <w:rFonts w:ascii="Times New Roman" w:hAnsi="Times New Roman" w:cs="Times New Roman"/>
          <w:lang w:val="en-US"/>
        </w:rPr>
        <w:t xml:space="preserve"> </w:t>
      </w:r>
      <w:r w:rsidR="006243DA">
        <w:rPr>
          <w:rFonts w:ascii="Times New Roman" w:hAnsi="Times New Roman" w:cs="Times New Roman"/>
          <w:lang w:val="en-US"/>
        </w:rPr>
        <w:t>the higher the EBRT, the higher the recycling ratio and the production of PHB for unit of substrate</w:t>
      </w:r>
      <w:bookmarkStart w:id="0" w:name="_Hlk92454915"/>
      <w:bookmarkStart w:id="1" w:name="_Hlk92294934"/>
      <w:bookmarkStart w:id="2" w:name="_Hlk71280460"/>
      <w:r w:rsidR="0017140B">
        <w:rPr>
          <w:rFonts w:ascii="Times New Roman" w:hAnsi="Times New Roman" w:cs="Times New Roman"/>
          <w:lang w:val="en-US"/>
        </w:rPr>
        <w:t>, with an evident saving of methane</w:t>
      </w:r>
      <w:r w:rsidR="00916174">
        <w:rPr>
          <w:rFonts w:ascii="Times New Roman" w:hAnsi="Times New Roman" w:cs="Times New Roman"/>
          <w:lang w:val="en-US"/>
        </w:rPr>
        <w:t xml:space="preserve"> (93% of methane saved at a RR=14).</w:t>
      </w:r>
    </w:p>
    <w:p w14:paraId="0338B8BA" w14:textId="3DE57CEC" w:rsidR="00DA51A3" w:rsidRPr="00EF5D7F" w:rsidRDefault="00BB0C0A" w:rsidP="00EF5D7F">
      <w:pPr>
        <w:spacing w:after="0" w:line="276" w:lineRule="auto"/>
        <w:rPr>
          <w:rFonts w:ascii="Times New Roman" w:hAnsi="Times New Roman" w:cs="Times New Roman"/>
          <w:lang w:val="en-GB"/>
        </w:rPr>
      </w:pPr>
      <w:r w:rsidRPr="00BB0C0A">
        <w:rPr>
          <w:rFonts w:ascii="Times New Roman" w:hAnsi="Times New Roman" w:cs="Times New Roman"/>
          <w:lang w:val="en-GB"/>
        </w:rPr>
        <w:t xml:space="preserve">The </w:t>
      </w:r>
      <w:r w:rsidR="006243DA">
        <w:rPr>
          <w:rFonts w:ascii="Times New Roman" w:hAnsi="Times New Roman" w:cs="Times New Roman"/>
          <w:lang w:val="en-GB"/>
        </w:rPr>
        <w:t>convenience in using a</w:t>
      </w:r>
      <w:r w:rsidRPr="00BB0C0A">
        <w:rPr>
          <w:rFonts w:ascii="Times New Roman" w:hAnsi="Times New Roman" w:cs="Times New Roman"/>
          <w:lang w:val="en-GB"/>
        </w:rPr>
        <w:t xml:space="preserve"> recycle stream</w:t>
      </w:r>
      <w:r w:rsidR="00F0696D">
        <w:rPr>
          <w:rFonts w:ascii="Times New Roman" w:hAnsi="Times New Roman" w:cs="Times New Roman"/>
          <w:lang w:val="en-GB"/>
        </w:rPr>
        <w:t xml:space="preserve"> for reducing the VRT and saving methane at the same time</w:t>
      </w:r>
      <w:r w:rsidRPr="00BB0C0A">
        <w:rPr>
          <w:rFonts w:ascii="Times New Roman" w:hAnsi="Times New Roman" w:cs="Times New Roman"/>
          <w:lang w:val="en-GB"/>
        </w:rPr>
        <w:t xml:space="preserve"> was previously </w:t>
      </w:r>
      <w:r w:rsidR="006243DA">
        <w:rPr>
          <w:rFonts w:ascii="Times New Roman" w:hAnsi="Times New Roman" w:cs="Times New Roman"/>
          <w:lang w:val="en-GB"/>
        </w:rPr>
        <w:t>stated</w:t>
      </w:r>
      <w:r w:rsidR="00F0696D">
        <w:rPr>
          <w:rFonts w:ascii="Times New Roman" w:hAnsi="Times New Roman" w:cs="Times New Roman"/>
          <w:lang w:val="en-GB"/>
        </w:rPr>
        <w:t>,</w:t>
      </w:r>
      <w:r w:rsidR="006243DA">
        <w:rPr>
          <w:rFonts w:ascii="Times New Roman" w:hAnsi="Times New Roman" w:cs="Times New Roman"/>
          <w:lang w:val="en-GB"/>
        </w:rPr>
        <w:t xml:space="preserve"> </w:t>
      </w:r>
      <w:r w:rsidRPr="00BB0C0A">
        <w:rPr>
          <w:rFonts w:ascii="Times New Roman" w:hAnsi="Times New Roman" w:cs="Times New Roman"/>
          <w:lang w:val="en-GB"/>
        </w:rPr>
        <w:t xml:space="preserve">with an increase of </w:t>
      </w:r>
      <w:r w:rsidRPr="00BB0C0A">
        <w:rPr>
          <w:rFonts w:ascii="Times New Roman" w:hAnsi="Times New Roman" w:cs="Times New Roman"/>
          <w:i/>
          <w:lang w:val="en-GB"/>
        </w:rPr>
        <w:t>EC-CH</w:t>
      </w:r>
      <w:r w:rsidRPr="00BB0C0A">
        <w:rPr>
          <w:rFonts w:ascii="Times New Roman" w:hAnsi="Times New Roman" w:cs="Times New Roman"/>
          <w:i/>
          <w:vertAlign w:val="subscript"/>
          <w:lang w:val="en-GB"/>
        </w:rPr>
        <w:t>4</w:t>
      </w:r>
      <w:r w:rsidRPr="00BB0C0A">
        <w:rPr>
          <w:rFonts w:ascii="Times New Roman" w:hAnsi="Times New Roman" w:cs="Times New Roman"/>
          <w:vertAlign w:val="subscript"/>
          <w:lang w:val="en-GB"/>
        </w:rPr>
        <w:t xml:space="preserve"> </w:t>
      </w:r>
      <w:r w:rsidR="006243DA">
        <w:rPr>
          <w:rFonts w:ascii="Times New Roman" w:hAnsi="Times New Roman" w:cs="Times New Roman"/>
          <w:lang w:val="en-GB"/>
        </w:rPr>
        <w:t>which was function of the</w:t>
      </w:r>
      <w:r w:rsidRPr="00BB0C0A">
        <w:rPr>
          <w:rFonts w:ascii="Times New Roman" w:hAnsi="Times New Roman" w:cs="Times New Roman"/>
          <w:lang w:val="en-GB"/>
        </w:rPr>
        <w:t xml:space="preserve"> </w:t>
      </w:r>
      <w:r w:rsidR="00F0696D">
        <w:rPr>
          <w:rFonts w:ascii="Times New Roman" w:hAnsi="Times New Roman" w:cs="Times New Roman"/>
          <w:lang w:val="en-GB"/>
        </w:rPr>
        <w:t xml:space="preserve">EBRT and of the </w:t>
      </w:r>
      <w:r w:rsidRPr="00BB0C0A">
        <w:rPr>
          <w:rFonts w:ascii="Times New Roman" w:hAnsi="Times New Roman" w:cs="Times New Roman"/>
          <w:lang w:val="en-GB"/>
        </w:rPr>
        <w:t xml:space="preserve">recycling ratio. </w:t>
      </w:r>
      <w:r w:rsidR="006243DA">
        <w:rPr>
          <w:rFonts w:ascii="Times New Roman" w:hAnsi="Times New Roman" w:cs="Times New Roman"/>
          <w:lang w:val="en-GB"/>
        </w:rPr>
        <w:t>For example, an increase of</w:t>
      </w:r>
      <w:r w:rsidRPr="00BB0C0A">
        <w:rPr>
          <w:rFonts w:ascii="Times New Roman" w:hAnsi="Times New Roman" w:cs="Times New Roman"/>
          <w:lang w:val="en-GB"/>
        </w:rPr>
        <w:t xml:space="preserve"> methane utilizing capacity </w:t>
      </w:r>
      <w:r w:rsidR="006243DA">
        <w:rPr>
          <w:rFonts w:ascii="Times New Roman" w:hAnsi="Times New Roman" w:cs="Times New Roman"/>
          <w:lang w:val="en-GB"/>
        </w:rPr>
        <w:t xml:space="preserve">from </w:t>
      </w:r>
      <w:r w:rsidRPr="00BB0C0A">
        <w:rPr>
          <w:rFonts w:ascii="Times New Roman" w:hAnsi="Times New Roman" w:cs="Times New Roman"/>
          <w:lang w:val="en-GB"/>
        </w:rPr>
        <w:t>29.8 ± 2.0 g</w:t>
      </w:r>
      <w:r w:rsidRPr="00BB0C0A">
        <w:rPr>
          <w:rFonts w:ascii="Times New Roman" w:hAnsi="Times New Roman" w:cs="Times New Roman"/>
          <w:lang w:val="en-US"/>
        </w:rPr>
        <w:t xml:space="preserve"> CH</w:t>
      </w:r>
      <w:r w:rsidRPr="00BB0C0A">
        <w:rPr>
          <w:rFonts w:ascii="Times New Roman" w:hAnsi="Times New Roman" w:cs="Times New Roman"/>
          <w:vertAlign w:val="subscript"/>
          <w:lang w:val="en-US"/>
        </w:rPr>
        <w:t xml:space="preserve">4 </w:t>
      </w:r>
      <w:r w:rsidRPr="00BB0C0A">
        <w:rPr>
          <w:rFonts w:ascii="Times New Roman" w:hAnsi="Times New Roman" w:cs="Times New Roman"/>
          <w:lang w:val="en-GB"/>
        </w:rPr>
        <w:t>m</w:t>
      </w:r>
      <w:r w:rsidRPr="00BB0C0A">
        <w:rPr>
          <w:rFonts w:ascii="Times New Roman" w:eastAsia="AdvOT596495f2+22" w:hAnsi="Times New Roman" w:cs="Times New Roman"/>
          <w:vertAlign w:val="superscript"/>
          <w:lang w:val="en-GB"/>
        </w:rPr>
        <w:t>−</w:t>
      </w:r>
      <w:r w:rsidRPr="00BB0C0A">
        <w:rPr>
          <w:rFonts w:ascii="Times New Roman" w:hAnsi="Times New Roman" w:cs="Times New Roman"/>
          <w:vertAlign w:val="superscript"/>
          <w:lang w:val="en-GB"/>
        </w:rPr>
        <w:t>3</w:t>
      </w:r>
      <w:r w:rsidRPr="00BB0C0A">
        <w:rPr>
          <w:rFonts w:ascii="Times New Roman" w:hAnsi="Times New Roman" w:cs="Times New Roman"/>
          <w:lang w:val="en-GB"/>
        </w:rPr>
        <w:t xml:space="preserve"> h</w:t>
      </w:r>
      <w:r w:rsidRPr="00BB0C0A">
        <w:rPr>
          <w:rFonts w:ascii="Times New Roman" w:eastAsia="AdvOT596495f2+22" w:hAnsi="Times New Roman" w:cs="Times New Roman"/>
          <w:vertAlign w:val="superscript"/>
          <w:lang w:val="en-GB"/>
        </w:rPr>
        <w:t>−</w:t>
      </w:r>
      <w:r w:rsidRPr="00BB0C0A">
        <w:rPr>
          <w:rFonts w:ascii="Times New Roman" w:hAnsi="Times New Roman" w:cs="Times New Roman"/>
          <w:vertAlign w:val="superscript"/>
          <w:lang w:val="en-GB"/>
        </w:rPr>
        <w:t>1</w:t>
      </w:r>
      <w:r w:rsidRPr="00BB0C0A">
        <w:rPr>
          <w:rFonts w:ascii="Times New Roman" w:hAnsi="Times New Roman" w:cs="Times New Roman"/>
          <w:lang w:val="en-GB"/>
        </w:rPr>
        <w:t xml:space="preserve"> at </w:t>
      </w:r>
      <w:r w:rsidRPr="00BB0C0A">
        <w:rPr>
          <w:rFonts w:ascii="Times New Roman" w:hAnsi="Times New Roman" w:cs="Times New Roman"/>
          <w:i/>
          <w:lang w:val="en-GB"/>
        </w:rPr>
        <w:t>EBRT</w:t>
      </w:r>
      <w:r w:rsidRPr="00BB0C0A">
        <w:rPr>
          <w:rFonts w:ascii="Times New Roman" w:hAnsi="Times New Roman" w:cs="Times New Roman"/>
          <w:lang w:val="en-GB"/>
        </w:rPr>
        <w:t xml:space="preserve">=30 min with no internal gas recirculation </w:t>
      </w:r>
      <w:r w:rsidR="006243DA">
        <w:rPr>
          <w:rFonts w:ascii="Times New Roman" w:hAnsi="Times New Roman" w:cs="Times New Roman"/>
          <w:lang w:val="en-GB"/>
        </w:rPr>
        <w:t>to</w:t>
      </w:r>
      <w:r w:rsidRPr="00BB0C0A">
        <w:rPr>
          <w:rFonts w:ascii="Times New Roman" w:hAnsi="Times New Roman" w:cs="Times New Roman"/>
          <w:lang w:val="en-GB"/>
        </w:rPr>
        <w:t xml:space="preserve"> 73.8 ± 2.1</w:t>
      </w:r>
      <w:r w:rsidRPr="00BB0C0A">
        <w:rPr>
          <w:rFonts w:ascii="Times New Roman" w:hAnsi="Times New Roman" w:cs="Times New Roman"/>
          <w:sz w:val="16"/>
          <w:szCs w:val="16"/>
          <w:lang w:val="en-GB"/>
        </w:rPr>
        <w:t xml:space="preserve"> </w:t>
      </w:r>
      <w:r w:rsidRPr="00BB0C0A">
        <w:rPr>
          <w:rFonts w:ascii="Times New Roman" w:hAnsi="Times New Roman" w:cs="Times New Roman"/>
          <w:lang w:val="en-GB"/>
        </w:rPr>
        <w:t>g</w:t>
      </w:r>
      <w:r w:rsidRPr="00BB0C0A">
        <w:rPr>
          <w:rFonts w:ascii="Times New Roman" w:hAnsi="Times New Roman" w:cs="Times New Roman"/>
          <w:lang w:val="en-US"/>
        </w:rPr>
        <w:t xml:space="preserve"> CH</w:t>
      </w:r>
      <w:r w:rsidRPr="00BB0C0A">
        <w:rPr>
          <w:rFonts w:ascii="Times New Roman" w:hAnsi="Times New Roman" w:cs="Times New Roman"/>
          <w:vertAlign w:val="subscript"/>
          <w:lang w:val="en-US"/>
        </w:rPr>
        <w:t xml:space="preserve">4 </w:t>
      </w:r>
      <w:r w:rsidRPr="00BB0C0A">
        <w:rPr>
          <w:rFonts w:ascii="Times New Roman" w:hAnsi="Times New Roman" w:cs="Times New Roman"/>
          <w:lang w:val="en-GB"/>
        </w:rPr>
        <w:t>m</w:t>
      </w:r>
      <w:r w:rsidRPr="00BB0C0A">
        <w:rPr>
          <w:rFonts w:ascii="Times New Roman" w:eastAsia="AdvOT596495f2+22" w:hAnsi="Times New Roman" w:cs="Times New Roman"/>
          <w:vertAlign w:val="superscript"/>
          <w:lang w:val="en-GB"/>
        </w:rPr>
        <w:t>−</w:t>
      </w:r>
      <w:r w:rsidRPr="00BB0C0A">
        <w:rPr>
          <w:rFonts w:ascii="Times New Roman" w:hAnsi="Times New Roman" w:cs="Times New Roman"/>
          <w:vertAlign w:val="superscript"/>
          <w:lang w:val="en-GB"/>
        </w:rPr>
        <w:t>3</w:t>
      </w:r>
      <w:r w:rsidRPr="00BB0C0A">
        <w:rPr>
          <w:rFonts w:ascii="Times New Roman" w:hAnsi="Times New Roman" w:cs="Times New Roman"/>
          <w:lang w:val="en-GB"/>
        </w:rPr>
        <w:t xml:space="preserve"> h</w:t>
      </w:r>
      <w:r w:rsidRPr="00BB0C0A">
        <w:rPr>
          <w:rFonts w:ascii="Times New Roman" w:eastAsia="AdvOT596495f2+22" w:hAnsi="Times New Roman" w:cs="Times New Roman"/>
          <w:vertAlign w:val="superscript"/>
          <w:lang w:val="en-GB"/>
        </w:rPr>
        <w:t>−</w:t>
      </w:r>
      <w:r w:rsidRPr="00BB0C0A">
        <w:rPr>
          <w:rFonts w:ascii="Times New Roman" w:hAnsi="Times New Roman" w:cs="Times New Roman"/>
          <w:vertAlign w:val="superscript"/>
          <w:lang w:val="en-GB"/>
        </w:rPr>
        <w:t>1</w:t>
      </w:r>
      <w:r w:rsidRPr="00BB0C0A">
        <w:rPr>
          <w:rFonts w:ascii="Times New Roman" w:hAnsi="Times New Roman" w:cs="Times New Roman"/>
          <w:lang w:val="en-GB"/>
        </w:rPr>
        <w:t xml:space="preserve"> with a final </w:t>
      </w:r>
      <w:r w:rsidRPr="00BB0C0A">
        <w:rPr>
          <w:rFonts w:ascii="Times New Roman" w:hAnsi="Times New Roman" w:cs="Times New Roman"/>
          <w:i/>
          <w:lang w:val="en-GB"/>
        </w:rPr>
        <w:t>VRT</w:t>
      </w:r>
      <w:r w:rsidRPr="00BB0C0A">
        <w:rPr>
          <w:rFonts w:ascii="Times New Roman" w:hAnsi="Times New Roman" w:cs="Times New Roman"/>
          <w:lang w:val="en-GB"/>
        </w:rPr>
        <w:t xml:space="preserve"> of 1 min employing a recycle ratio of 30</w:t>
      </w:r>
      <w:r w:rsidR="00F0696D">
        <w:rPr>
          <w:rFonts w:ascii="Times New Roman" w:hAnsi="Times New Roman" w:cs="Times New Roman"/>
          <w:lang w:val="en-GB"/>
        </w:rPr>
        <w:t>,</w:t>
      </w:r>
      <w:r w:rsidR="006243DA">
        <w:rPr>
          <w:rFonts w:ascii="Times New Roman" w:hAnsi="Times New Roman" w:cs="Times New Roman"/>
          <w:lang w:val="en-GB"/>
        </w:rPr>
        <w:t xml:space="preserve"> was reported</w:t>
      </w:r>
      <w:r w:rsidRPr="00BB0C0A">
        <w:rPr>
          <w:rFonts w:ascii="Times New Roman" w:hAnsi="Times New Roman" w:cs="Times New Roman"/>
          <w:lang w:val="en-GB"/>
        </w:rPr>
        <w:t xml:space="preserve"> </w:t>
      </w:r>
      <w:r w:rsidRPr="00BB0C0A">
        <w:rPr>
          <w:rFonts w:ascii="Times New Roman" w:hAnsi="Times New Roman" w:cs="Times New Roman"/>
        </w:rPr>
        <w:fldChar w:fldCharType="begin" w:fldLock="1"/>
      </w:r>
      <w:r w:rsidR="003977BB">
        <w:rPr>
          <w:rFonts w:ascii="Times New Roman" w:hAnsi="Times New Roman" w:cs="Times New Roman"/>
          <w:lang w:val="en-GB"/>
        </w:rPr>
        <w:instrText>ADDIN CSL_CITATION {"citationItems":[{"id":"ITEM-1","itemData":{"author":[{"dropping-particle":"","family":"García-Pérez Teresa, C.López Juan, Passos Fabiana, Lebrero Raquel, Revah Sergio","given":"Muñoz Raul","non-dropping-particle":"","parse-names":false,"suffix":""}],"container-title":"Chemical Engineering Journal","id":"ITEM-1","issued":{"date-parts":[["2018"]]},"page":"691-697","title":"Simultaneous methane abatement and PHB production by Methylocystis hirsuta in a novel gas-recycling bubble column bioreactor","type":"article-journal","volume":"334"},"uris":["http://www.mendeley.com/documents/?uuid=612dd36a-3279-47e4-bddf-67a9c12ad4b2"]}],"mendeley":{"formattedCitation":"[6]","plainTextFormattedCitation":"[6]","previouslyFormattedCitation":"(García-Pérez Teresa, C.López Juan, Passos Fabiana, Lebrero Raquel, Revah Sergio, 2018)"},"properties":{"noteIndex":0},"schema":"https://github.com/citation-style-language/schema/raw/master/csl-citation.json"}</w:instrText>
      </w:r>
      <w:r w:rsidRPr="00BB0C0A">
        <w:rPr>
          <w:rFonts w:ascii="Times New Roman" w:hAnsi="Times New Roman" w:cs="Times New Roman"/>
        </w:rPr>
        <w:fldChar w:fldCharType="separate"/>
      </w:r>
      <w:r w:rsidR="003977BB" w:rsidRPr="003977BB">
        <w:rPr>
          <w:rFonts w:ascii="Times New Roman" w:hAnsi="Times New Roman" w:cs="Times New Roman"/>
          <w:noProof/>
          <w:lang w:val="en-GB"/>
        </w:rPr>
        <w:t>[6]</w:t>
      </w:r>
      <w:r w:rsidRPr="00BB0C0A">
        <w:rPr>
          <w:rFonts w:ascii="Times New Roman" w:hAnsi="Times New Roman" w:cs="Times New Roman"/>
        </w:rPr>
        <w:fldChar w:fldCharType="end"/>
      </w:r>
      <w:r w:rsidRPr="00BB0C0A">
        <w:rPr>
          <w:rFonts w:ascii="Times New Roman" w:hAnsi="Times New Roman" w:cs="Times New Roman"/>
          <w:lang w:val="en-GB"/>
        </w:rPr>
        <w:t xml:space="preserve">. </w:t>
      </w:r>
      <w:r w:rsidRPr="006243DA">
        <w:rPr>
          <w:rFonts w:ascii="Times New Roman" w:hAnsi="Times New Roman" w:cs="Times New Roman"/>
          <w:lang w:val="en-GB"/>
        </w:rPr>
        <w:t xml:space="preserve">Others </w:t>
      </w:r>
      <w:r w:rsidRPr="00BB0C0A">
        <w:rPr>
          <w:rFonts w:ascii="Times New Roman" w:hAnsi="Times New Roman" w:cs="Times New Roman"/>
          <w:lang w:val="en-US"/>
        </w:rPr>
        <w:fldChar w:fldCharType="begin" w:fldLock="1"/>
      </w:r>
      <w:r w:rsidR="003977BB">
        <w:rPr>
          <w:rFonts w:ascii="Times New Roman" w:hAnsi="Times New Roman" w:cs="Times New Roman"/>
          <w:lang w:val="en-GB"/>
        </w:rPr>
        <w:instrText>ADDIN CSL_CITATION {"citationItems":[{"id":"ITEM-1","itemData":{"DOI":"10.1016/j.wasman.2020.06.009","ISSN":"18792456","PMID":"32585559","abstract":"Creating additional value out of biogas during waste treatment has become a priority in past years. Biogas bioconversion into valuable bioproducts such as biopolymers has emerged as a promising strategy. This work assessed the operational feasibility of a bubble column bioreactor (BCB) implemented with gas recirculation and inoculated with a polyhydroxybutyrate (PHB)-producing strain using biogas as substrate. The BCB was initially operated at empty bed residence times (EBRTs) ranging from 30 to 120 min and gas recirculation ratios (R) from 0 to 30 to assess the gas-to-liquid mass transfer and bioconversion of CH4. Subsequently, the BCB was continuously operated at a R of 30 and an EBRT of 60 min under excess of nitrogen and nitrogen feast-famine cycles of 24 h:24 h to trigger PHB synthesis. Gas recirculation played a major role in CH4 gas–liquid transfer, providing almost fourfold higher CH4 elimination capacities (~41 g CH4 m−3 h−1) at the highest R and EBRT of 60 min. The long-term operation under N excess conditions entailed nitrite accumulation (induced by O2 limiting conditions) and concurrent methanotrophic activity inhibition above ~60 mg N-NO2− L−1. Adjusting the N-NO3− supply to match microbial N demand successfully prevented nitrite accumulation. Finally, the N feast-famine 24 h:24 h strategy supported a stable CH4 conversion with a removal efficiency of 70% along with a continuous PHB production, which yielded PHB accumulations of 14.5 ± 2.9% (mg PHB mg−1 total suspended solids × 100). These outcomes represent the first step towards the integration of biogas biorefineries into conventional anaerobic digestion plants.","author":[{"dropping-particle":"","family":"Rodríguez","given":"Yadira","non-dropping-particle":"","parse-names":false,"suffix":""},{"dropping-particle":"","family":"Firmino","given":"Paulo Igor Milen","non-dropping-particle":"","parse-names":false,"suffix":""},{"dropping-particle":"","family":"Pérez","given":"Víctor","non-dropping-particle":"","parse-names":false,"suffix":""},{"dropping-particle":"","family":"Lebrero","given":"Raquel","non-dropping-particle":"","parse-names":false,"suffix":""},{"dropping-particle":"","family":"Muñoz","given":"Raúl","non-dropping-particle":"","parse-names":false,"suffix":""}],"container-title":"Waste Management","id":"ITEM-1","issued":{"date-parts":[["2020"]]},"page":"395-403","title":"Biogas valorization via continuous polyhydroxybutyrate production by Methylocystis hirsuta in a bubble column bioreactor","type":"article-journal","volume":"113"},"uris":["http://www.mendeley.com/documents/?uuid=707d8c8f-bd01-45a2-af29-f4c1e1948bd4"]}],"mendeley":{"formattedCitation":"[7]","plainTextFormattedCitation":"[7]","previouslyFormattedCitation":"(Rodríguez et al., 2020)"},"properties":{"noteIndex":0},"schema":"https://github.com/citation-style-language/schema/raw/master/csl-citation.json"}</w:instrText>
      </w:r>
      <w:r w:rsidRPr="00BB0C0A">
        <w:rPr>
          <w:rFonts w:ascii="Times New Roman" w:hAnsi="Times New Roman" w:cs="Times New Roman"/>
          <w:lang w:val="en-US"/>
        </w:rPr>
        <w:fldChar w:fldCharType="separate"/>
      </w:r>
      <w:r w:rsidR="003977BB" w:rsidRPr="003977BB">
        <w:rPr>
          <w:rFonts w:ascii="Times New Roman" w:hAnsi="Times New Roman" w:cs="Times New Roman"/>
          <w:noProof/>
          <w:lang w:val="en-GB"/>
        </w:rPr>
        <w:t>[7]</w:t>
      </w:r>
      <w:r w:rsidRPr="00BB0C0A">
        <w:rPr>
          <w:rFonts w:ascii="Times New Roman" w:hAnsi="Times New Roman" w:cs="Times New Roman"/>
          <w:lang w:val="en-US"/>
        </w:rPr>
        <w:fldChar w:fldCharType="end"/>
      </w:r>
      <w:r w:rsidRPr="00BB0C0A">
        <w:rPr>
          <w:rFonts w:ascii="Times New Roman" w:hAnsi="Times New Roman" w:cs="Times New Roman"/>
          <w:lang w:val="en-GB"/>
        </w:rPr>
        <w:t xml:space="preserve"> confirmed the </w:t>
      </w:r>
      <w:r w:rsidR="006243DA">
        <w:rPr>
          <w:rFonts w:ascii="Times New Roman" w:hAnsi="Times New Roman" w:cs="Times New Roman"/>
          <w:lang w:val="en-GB"/>
        </w:rPr>
        <w:t>opportunity of enhancing the methane consumption</w:t>
      </w:r>
      <w:r w:rsidRPr="00BB0C0A">
        <w:rPr>
          <w:rFonts w:ascii="Times New Roman" w:hAnsi="Times New Roman" w:cs="Times New Roman"/>
          <w:lang w:val="en-GB"/>
        </w:rPr>
        <w:t xml:space="preserve"> </w:t>
      </w:r>
      <w:r w:rsidR="006243DA">
        <w:rPr>
          <w:rFonts w:ascii="Times New Roman" w:hAnsi="Times New Roman" w:cs="Times New Roman"/>
          <w:lang w:val="en-GB"/>
        </w:rPr>
        <w:t>by</w:t>
      </w:r>
      <w:r w:rsidRPr="00BB0C0A">
        <w:rPr>
          <w:rFonts w:ascii="Times New Roman" w:hAnsi="Times New Roman" w:cs="Times New Roman"/>
          <w:lang w:val="en-GB"/>
        </w:rPr>
        <w:t xml:space="preserve"> using a recirculation strategy, </w:t>
      </w:r>
      <w:r w:rsidR="00B4644F">
        <w:rPr>
          <w:rFonts w:ascii="Times New Roman" w:hAnsi="Times New Roman" w:cs="Times New Roman"/>
          <w:lang w:val="en-GB"/>
        </w:rPr>
        <w:t>with an increase of EC-CH</w:t>
      </w:r>
      <w:r w:rsidR="00B4644F" w:rsidRPr="00B4644F">
        <w:rPr>
          <w:rFonts w:ascii="Times New Roman" w:hAnsi="Times New Roman" w:cs="Times New Roman"/>
          <w:vertAlign w:val="subscript"/>
          <w:lang w:val="en-GB"/>
        </w:rPr>
        <w:t>4</w:t>
      </w:r>
      <w:r w:rsidR="00B4644F">
        <w:rPr>
          <w:rFonts w:ascii="Times New Roman" w:hAnsi="Times New Roman" w:cs="Times New Roman"/>
          <w:lang w:val="en-GB"/>
        </w:rPr>
        <w:t xml:space="preserve"> from</w:t>
      </w:r>
      <w:r w:rsidRPr="00BB0C0A">
        <w:rPr>
          <w:rFonts w:ascii="Times New Roman" w:hAnsi="Times New Roman" w:cs="Times New Roman"/>
          <w:lang w:val="en-GB"/>
        </w:rPr>
        <w:t xml:space="preserve"> 8.5 ± 0.3 g</w:t>
      </w:r>
      <w:r w:rsidRPr="00BB0C0A">
        <w:rPr>
          <w:rFonts w:ascii="Times New Roman" w:hAnsi="Times New Roman" w:cs="Times New Roman"/>
          <w:lang w:val="en-US"/>
        </w:rPr>
        <w:t>CH</w:t>
      </w:r>
      <w:r w:rsidRPr="00BB0C0A">
        <w:rPr>
          <w:rFonts w:ascii="Times New Roman" w:hAnsi="Times New Roman" w:cs="Times New Roman"/>
          <w:vertAlign w:val="subscript"/>
          <w:lang w:val="en-US"/>
        </w:rPr>
        <w:t xml:space="preserve">4 </w:t>
      </w:r>
      <w:r w:rsidRPr="00BB0C0A">
        <w:rPr>
          <w:rFonts w:ascii="Times New Roman" w:hAnsi="Times New Roman" w:cs="Times New Roman"/>
          <w:lang w:val="en-GB"/>
        </w:rPr>
        <w:t>m</w:t>
      </w:r>
      <w:r w:rsidRPr="00BB0C0A">
        <w:rPr>
          <w:rFonts w:ascii="Times New Roman" w:eastAsia="AdvOT596495f2+22" w:hAnsi="Times New Roman" w:cs="Times New Roman"/>
          <w:vertAlign w:val="superscript"/>
          <w:lang w:val="en-GB"/>
        </w:rPr>
        <w:t>−</w:t>
      </w:r>
      <w:r w:rsidRPr="00BB0C0A">
        <w:rPr>
          <w:rFonts w:ascii="Times New Roman" w:hAnsi="Times New Roman" w:cs="Times New Roman"/>
          <w:vertAlign w:val="superscript"/>
          <w:lang w:val="en-GB"/>
        </w:rPr>
        <w:t>3</w:t>
      </w:r>
      <w:r w:rsidRPr="00BB0C0A">
        <w:rPr>
          <w:rFonts w:ascii="Times New Roman" w:hAnsi="Times New Roman" w:cs="Times New Roman"/>
          <w:lang w:val="en-GB"/>
        </w:rPr>
        <w:t xml:space="preserve"> h</w:t>
      </w:r>
      <w:r w:rsidRPr="00BB0C0A">
        <w:rPr>
          <w:rFonts w:ascii="Times New Roman" w:eastAsia="AdvOT596495f2+22" w:hAnsi="Times New Roman" w:cs="Times New Roman"/>
          <w:vertAlign w:val="superscript"/>
          <w:lang w:val="en-GB"/>
        </w:rPr>
        <w:t>−</w:t>
      </w:r>
      <w:r w:rsidRPr="00BB0C0A">
        <w:rPr>
          <w:rFonts w:ascii="Times New Roman" w:hAnsi="Times New Roman" w:cs="Times New Roman"/>
          <w:vertAlign w:val="superscript"/>
          <w:lang w:val="en-GB"/>
        </w:rPr>
        <w:t>1</w:t>
      </w:r>
      <w:r w:rsidRPr="00BB0C0A">
        <w:rPr>
          <w:rFonts w:ascii="Times New Roman" w:hAnsi="Times New Roman" w:cs="Times New Roman"/>
          <w:lang w:val="en-GB"/>
        </w:rPr>
        <w:t xml:space="preserve"> to 18.7 ± 0.2 g</w:t>
      </w:r>
      <w:r w:rsidRPr="00BB0C0A">
        <w:rPr>
          <w:rFonts w:ascii="Times New Roman" w:hAnsi="Times New Roman" w:cs="Times New Roman"/>
          <w:lang w:val="en-US"/>
        </w:rPr>
        <w:t>CH</w:t>
      </w:r>
      <w:r w:rsidRPr="00BB0C0A">
        <w:rPr>
          <w:rFonts w:ascii="Times New Roman" w:hAnsi="Times New Roman" w:cs="Times New Roman"/>
          <w:vertAlign w:val="subscript"/>
          <w:lang w:val="en-US"/>
        </w:rPr>
        <w:t xml:space="preserve">4 </w:t>
      </w:r>
      <w:r w:rsidRPr="00BB0C0A">
        <w:rPr>
          <w:rFonts w:ascii="Times New Roman" w:hAnsi="Times New Roman" w:cs="Times New Roman"/>
          <w:lang w:val="en-GB"/>
        </w:rPr>
        <w:t>m</w:t>
      </w:r>
      <w:r w:rsidRPr="00BB0C0A">
        <w:rPr>
          <w:rFonts w:ascii="Times New Roman" w:eastAsia="AdvOT596495f2+22" w:hAnsi="Times New Roman" w:cs="Times New Roman"/>
          <w:vertAlign w:val="superscript"/>
          <w:lang w:val="en-GB"/>
        </w:rPr>
        <w:t>−</w:t>
      </w:r>
      <w:r w:rsidRPr="00BB0C0A">
        <w:rPr>
          <w:rFonts w:ascii="Times New Roman" w:hAnsi="Times New Roman" w:cs="Times New Roman"/>
          <w:vertAlign w:val="superscript"/>
          <w:lang w:val="en-GB"/>
        </w:rPr>
        <w:t>3</w:t>
      </w:r>
      <w:r w:rsidRPr="00BB0C0A">
        <w:rPr>
          <w:rFonts w:ascii="Times New Roman" w:hAnsi="Times New Roman" w:cs="Times New Roman"/>
          <w:lang w:val="en-GB"/>
        </w:rPr>
        <w:t xml:space="preserve"> h</w:t>
      </w:r>
      <w:r w:rsidRPr="00BB0C0A">
        <w:rPr>
          <w:rFonts w:ascii="Times New Roman" w:eastAsia="AdvOT596495f2+22" w:hAnsi="Times New Roman" w:cs="Times New Roman"/>
          <w:vertAlign w:val="superscript"/>
          <w:lang w:val="en-GB"/>
        </w:rPr>
        <w:t>−</w:t>
      </w:r>
      <w:r w:rsidRPr="00BB0C0A">
        <w:rPr>
          <w:rFonts w:ascii="Times New Roman" w:hAnsi="Times New Roman" w:cs="Times New Roman"/>
          <w:vertAlign w:val="superscript"/>
          <w:lang w:val="en-GB"/>
        </w:rPr>
        <w:t>1</w:t>
      </w:r>
      <w:r w:rsidRPr="00BB0C0A">
        <w:rPr>
          <w:rFonts w:ascii="Times New Roman" w:hAnsi="Times New Roman" w:cs="Times New Roman"/>
          <w:lang w:val="en-GB"/>
        </w:rPr>
        <w:t xml:space="preserve"> when increasing the recycling rate from 0 m</w:t>
      </w:r>
      <w:r w:rsidRPr="00BB0C0A">
        <w:rPr>
          <w:rFonts w:ascii="Times New Roman" w:hAnsi="Times New Roman" w:cs="Times New Roman"/>
          <w:vertAlign w:val="superscript"/>
          <w:lang w:val="en-GB"/>
        </w:rPr>
        <w:t>3</w:t>
      </w:r>
      <w:r w:rsidRPr="00BB0C0A">
        <w:rPr>
          <w:rFonts w:ascii="Times New Roman" w:hAnsi="Times New Roman" w:cs="Times New Roman"/>
          <w:vertAlign w:val="subscript"/>
          <w:lang w:val="en-GB"/>
        </w:rPr>
        <w:t>gas</w:t>
      </w:r>
      <w:r w:rsidRPr="00BB0C0A">
        <w:rPr>
          <w:rFonts w:ascii="Times New Roman" w:hAnsi="Times New Roman" w:cs="Times New Roman"/>
          <w:lang w:val="en-GB"/>
        </w:rPr>
        <w:t xml:space="preserve"> m</w:t>
      </w:r>
      <w:r w:rsidRPr="00BB0C0A">
        <w:rPr>
          <w:rFonts w:ascii="Times New Roman" w:hAnsi="Times New Roman" w:cs="Times New Roman"/>
          <w:vertAlign w:val="superscript"/>
          <w:lang w:val="en-GB"/>
        </w:rPr>
        <w:t>-3</w:t>
      </w:r>
      <w:r w:rsidRPr="00BB0C0A">
        <w:rPr>
          <w:rFonts w:ascii="Times New Roman" w:hAnsi="Times New Roman" w:cs="Times New Roman"/>
          <w:vertAlign w:val="subscript"/>
          <w:lang w:val="en-GB"/>
        </w:rPr>
        <w:t xml:space="preserve">reatt </w:t>
      </w:r>
      <w:r w:rsidRPr="00BB0C0A">
        <w:rPr>
          <w:rFonts w:ascii="Times New Roman" w:hAnsi="Times New Roman" w:cs="Times New Roman"/>
          <w:lang w:val="en-GB"/>
        </w:rPr>
        <w:t>min</w:t>
      </w:r>
      <w:r w:rsidRPr="00BB0C0A">
        <w:rPr>
          <w:rFonts w:ascii="Times New Roman" w:hAnsi="Times New Roman" w:cs="Times New Roman"/>
          <w:vertAlign w:val="superscript"/>
          <w:lang w:val="en-GB"/>
        </w:rPr>
        <w:t>-1</w:t>
      </w:r>
      <w:r w:rsidRPr="00BB0C0A">
        <w:rPr>
          <w:rFonts w:ascii="Times New Roman" w:hAnsi="Times New Roman" w:cs="Times New Roman"/>
          <w:lang w:val="en-GB"/>
        </w:rPr>
        <w:t xml:space="preserve"> </w:t>
      </w:r>
      <w:r w:rsidR="00B4644F">
        <w:rPr>
          <w:rFonts w:ascii="Times New Roman" w:hAnsi="Times New Roman" w:cs="Times New Roman"/>
          <w:lang w:val="en-GB"/>
        </w:rPr>
        <w:t xml:space="preserve">at </w:t>
      </w:r>
      <w:r w:rsidRPr="00BB0C0A">
        <w:rPr>
          <w:rFonts w:ascii="Times New Roman" w:hAnsi="Times New Roman" w:cs="Times New Roman"/>
          <w:i/>
          <w:lang w:val="en-GB"/>
        </w:rPr>
        <w:t>EBRT</w:t>
      </w:r>
      <w:r w:rsidRPr="00BB0C0A">
        <w:rPr>
          <w:rFonts w:ascii="Times New Roman" w:hAnsi="Times New Roman" w:cs="Times New Roman"/>
          <w:lang w:val="en-GB"/>
        </w:rPr>
        <w:t>= 60min to 0.25 m</w:t>
      </w:r>
      <w:r w:rsidRPr="00BB0C0A">
        <w:rPr>
          <w:rFonts w:ascii="Times New Roman" w:hAnsi="Times New Roman" w:cs="Times New Roman"/>
          <w:vertAlign w:val="superscript"/>
          <w:lang w:val="en-GB"/>
        </w:rPr>
        <w:t>3</w:t>
      </w:r>
      <w:r w:rsidRPr="00BB0C0A">
        <w:rPr>
          <w:rFonts w:ascii="Times New Roman" w:hAnsi="Times New Roman" w:cs="Times New Roman"/>
          <w:vertAlign w:val="subscript"/>
          <w:lang w:val="en-GB"/>
        </w:rPr>
        <w:t xml:space="preserve">gas  </w:t>
      </w:r>
      <w:r w:rsidRPr="00BB0C0A">
        <w:rPr>
          <w:rFonts w:ascii="Times New Roman" w:hAnsi="Times New Roman" w:cs="Times New Roman"/>
          <w:lang w:val="en-GB"/>
        </w:rPr>
        <w:t>m</w:t>
      </w:r>
      <w:r w:rsidRPr="00BB0C0A">
        <w:rPr>
          <w:rFonts w:ascii="Times New Roman" w:hAnsi="Times New Roman" w:cs="Times New Roman"/>
          <w:vertAlign w:val="superscript"/>
          <w:lang w:val="en-GB"/>
        </w:rPr>
        <w:t>-3</w:t>
      </w:r>
      <w:r w:rsidRPr="00BB0C0A">
        <w:rPr>
          <w:rFonts w:ascii="Times New Roman" w:hAnsi="Times New Roman" w:cs="Times New Roman"/>
          <w:vertAlign w:val="subscript"/>
          <w:lang w:val="en-GB"/>
        </w:rPr>
        <w:t xml:space="preserve">reatt </w:t>
      </w:r>
      <w:r w:rsidRPr="00BB0C0A">
        <w:rPr>
          <w:rFonts w:ascii="Times New Roman" w:hAnsi="Times New Roman" w:cs="Times New Roman"/>
          <w:lang w:val="en-GB"/>
        </w:rPr>
        <w:t>min</w:t>
      </w:r>
      <w:r w:rsidRPr="00BB0C0A">
        <w:rPr>
          <w:rFonts w:ascii="Times New Roman" w:hAnsi="Times New Roman" w:cs="Times New Roman"/>
          <w:vertAlign w:val="superscript"/>
          <w:lang w:val="en-GB"/>
        </w:rPr>
        <w:t xml:space="preserve">-1 </w:t>
      </w:r>
      <w:r w:rsidR="00B4644F">
        <w:rPr>
          <w:rFonts w:ascii="Times New Roman" w:hAnsi="Times New Roman" w:cs="Times New Roman"/>
          <w:lang w:val="en-GB"/>
        </w:rPr>
        <w:t xml:space="preserve">at VRT=4 min starting from </w:t>
      </w:r>
      <w:r w:rsidRPr="00BB0C0A">
        <w:rPr>
          <w:rFonts w:ascii="Times New Roman" w:hAnsi="Times New Roman" w:cs="Times New Roman"/>
          <w:i/>
          <w:lang w:val="en-GB"/>
        </w:rPr>
        <w:t>EBRT</w:t>
      </w:r>
      <w:r w:rsidRPr="00BB0C0A">
        <w:rPr>
          <w:rFonts w:ascii="Times New Roman" w:hAnsi="Times New Roman" w:cs="Times New Roman"/>
          <w:lang w:val="en-GB"/>
        </w:rPr>
        <w:t>=60min</w:t>
      </w:r>
      <w:bookmarkEnd w:id="0"/>
      <w:bookmarkEnd w:id="1"/>
      <w:bookmarkEnd w:id="2"/>
      <w:r w:rsidR="00B4644F">
        <w:rPr>
          <w:rFonts w:ascii="Times New Roman" w:hAnsi="Times New Roman" w:cs="Times New Roman"/>
          <w:lang w:val="en-GB"/>
        </w:rPr>
        <w:t>.</w:t>
      </w:r>
    </w:p>
    <w:p w14:paraId="321363DB" w14:textId="3CA734E0" w:rsidR="00DA51A3" w:rsidRPr="008303E7" w:rsidRDefault="00DA51A3" w:rsidP="00DA51A3">
      <w:pPr>
        <w:snapToGrid w:val="0"/>
        <w:spacing w:after="120"/>
        <w:jc w:val="center"/>
        <w:rPr>
          <w:rFonts w:ascii="Times New Roman" w:eastAsia="MS PGothic" w:hAnsi="Times New Roman"/>
          <w:lang w:val="en-GB"/>
        </w:rPr>
      </w:pPr>
    </w:p>
    <w:p w14:paraId="6E0C88E5" w14:textId="68AFF16D" w:rsidR="00EF5D7F" w:rsidRDefault="00916174" w:rsidP="00DA51A3">
      <w:pPr>
        <w:snapToGrid w:val="0"/>
        <w:spacing w:after="120"/>
        <w:jc w:val="center"/>
        <w:rPr>
          <w:rFonts w:ascii="Times New Roman" w:eastAsia="MS PGothic" w:hAnsi="Times New Roman"/>
          <w:szCs w:val="18"/>
          <w:lang w:val="en-US"/>
        </w:rPr>
      </w:pPr>
      <w:r w:rsidRPr="00916174">
        <w:rPr>
          <w:rFonts w:ascii="Times New Roman" w:eastAsia="MS PGothic" w:hAnsi="Times New Roman"/>
          <w:noProof/>
          <w:szCs w:val="18"/>
          <w:lang w:val="en-US"/>
        </w:rPr>
        <w:drawing>
          <wp:inline distT="0" distB="0" distL="0" distR="0" wp14:anchorId="5438AB54" wp14:editId="2760C18D">
            <wp:extent cx="4998398" cy="3479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970"/>
                    <a:stretch/>
                  </pic:blipFill>
                  <pic:spPr bwMode="auto">
                    <a:xfrm>
                      <a:off x="0" y="0"/>
                      <a:ext cx="5005664" cy="3484859"/>
                    </a:xfrm>
                    <a:prstGeom prst="rect">
                      <a:avLst/>
                    </a:prstGeom>
                    <a:noFill/>
                    <a:ln>
                      <a:noFill/>
                    </a:ln>
                    <a:extLst>
                      <a:ext uri="{53640926-AAD7-44D8-BBD7-CCE9431645EC}">
                        <a14:shadowObscured xmlns:a14="http://schemas.microsoft.com/office/drawing/2010/main"/>
                      </a:ext>
                    </a:extLst>
                  </pic:spPr>
                </pic:pic>
              </a:graphicData>
            </a:graphic>
          </wp:inline>
        </w:drawing>
      </w:r>
    </w:p>
    <w:p w14:paraId="69C51082" w14:textId="655FE3F2" w:rsidR="00EF5D7F" w:rsidRDefault="00EF5D7F" w:rsidP="00CA1041">
      <w:pPr>
        <w:snapToGrid w:val="0"/>
        <w:spacing w:after="120"/>
        <w:jc w:val="center"/>
        <w:rPr>
          <w:rFonts w:ascii="Times New Roman" w:eastAsia="MS PGothic" w:hAnsi="Times New Roman"/>
          <w:szCs w:val="18"/>
          <w:lang w:val="en-US"/>
        </w:rPr>
      </w:pPr>
      <w:r w:rsidRPr="00466FFD">
        <w:rPr>
          <w:rFonts w:ascii="Times New Roman" w:eastAsia="MS PGothic" w:hAnsi="Times New Roman"/>
          <w:b/>
          <w:szCs w:val="18"/>
          <w:lang w:val="en-US"/>
        </w:rPr>
        <w:t xml:space="preserve">Figure </w:t>
      </w:r>
      <w:r w:rsidR="00FF7224">
        <w:rPr>
          <w:rFonts w:ascii="Times New Roman" w:eastAsia="MS PGothic" w:hAnsi="Times New Roman"/>
          <w:b/>
          <w:szCs w:val="18"/>
          <w:lang w:val="en-US"/>
        </w:rPr>
        <w:t>3</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FF7224">
        <w:rPr>
          <w:rFonts w:ascii="Times New Roman" w:eastAsia="MS PGothic" w:hAnsi="Times New Roman"/>
          <w:szCs w:val="18"/>
          <w:lang w:val="en-US"/>
        </w:rPr>
        <w:t>Elimination capacity of methane and production of PHB for unit of substrate fed as function of the recycling ratio</w:t>
      </w:r>
      <w:r w:rsidRPr="00466FFD">
        <w:rPr>
          <w:rFonts w:ascii="Times New Roman" w:eastAsia="MS PGothic" w:hAnsi="Times New Roman"/>
          <w:szCs w:val="18"/>
          <w:lang w:val="en-US"/>
        </w:rPr>
        <w:t xml:space="preserve"> </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lastRenderedPageBreak/>
        <w:t>4. Conclusion</w:t>
      </w:r>
      <w:r w:rsidRPr="00466FFD">
        <w:rPr>
          <w:rFonts w:ascii="Times New Roman" w:eastAsia="MS PGothic" w:hAnsi="Times New Roman"/>
          <w:b/>
          <w:bCs/>
          <w:lang w:val="en-US" w:eastAsia="ko-KR"/>
        </w:rPr>
        <w:t>s</w:t>
      </w:r>
    </w:p>
    <w:p w14:paraId="1BE0C082" w14:textId="3F6576D9" w:rsidR="00DA51A3" w:rsidRPr="00466FFD" w:rsidRDefault="00EF5D7F" w:rsidP="00DA51A3">
      <w:pPr>
        <w:snapToGrid w:val="0"/>
        <w:spacing w:after="120"/>
        <w:rPr>
          <w:rFonts w:ascii="Times New Roman" w:eastAsia="MS PGothic" w:hAnsi="Times New Roman"/>
          <w:lang w:val="en-US"/>
        </w:rPr>
      </w:pPr>
      <w:r>
        <w:rPr>
          <w:rFonts w:ascii="Times New Roman" w:eastAsia="MS PGothic" w:hAnsi="Times New Roman"/>
          <w:lang w:val="en-US"/>
        </w:rPr>
        <w:t xml:space="preserve">The process for producing PHB from methane </w:t>
      </w:r>
      <w:r w:rsidR="00916174">
        <w:rPr>
          <w:rFonts w:ascii="Times New Roman" w:eastAsia="MS PGothic" w:hAnsi="Times New Roman"/>
          <w:lang w:val="en-US"/>
        </w:rPr>
        <w:t>through</w:t>
      </w:r>
      <w:r>
        <w:rPr>
          <w:rFonts w:ascii="Times New Roman" w:eastAsia="MS PGothic" w:hAnsi="Times New Roman"/>
          <w:lang w:val="en-US"/>
        </w:rPr>
        <w:t xml:space="preserve"> a double step configuration was simulated in this work. </w:t>
      </w:r>
      <w:proofErr w:type="spellStart"/>
      <w:r w:rsidRPr="00916174">
        <w:rPr>
          <w:rFonts w:ascii="Times New Roman" w:eastAsia="MS PGothic" w:hAnsi="Times New Roman"/>
          <w:i/>
          <w:iCs/>
          <w:lang w:val="en-US"/>
        </w:rPr>
        <w:t>Methylocystis</w:t>
      </w:r>
      <w:proofErr w:type="spellEnd"/>
      <w:r w:rsidRPr="00916174">
        <w:rPr>
          <w:rFonts w:ascii="Times New Roman" w:eastAsia="MS PGothic" w:hAnsi="Times New Roman"/>
          <w:i/>
          <w:iCs/>
          <w:lang w:val="en-US"/>
        </w:rPr>
        <w:t xml:space="preserve"> </w:t>
      </w:r>
      <w:proofErr w:type="spellStart"/>
      <w:r w:rsidRPr="00916174">
        <w:rPr>
          <w:rFonts w:ascii="Times New Roman" w:eastAsia="MS PGothic" w:hAnsi="Times New Roman"/>
          <w:i/>
          <w:iCs/>
          <w:lang w:val="en-US"/>
        </w:rPr>
        <w:t>hirsuta</w:t>
      </w:r>
      <w:proofErr w:type="spellEnd"/>
      <w:r>
        <w:rPr>
          <w:rFonts w:ascii="Times New Roman" w:eastAsia="MS PGothic" w:hAnsi="Times New Roman"/>
          <w:lang w:val="en-US"/>
        </w:rPr>
        <w:t xml:space="preserve"> was grown for 20 days and accumulated PHB in lack of nitrate. The opportunity for enhancing gas-liquid mass transfer and saving methane was evaluated through the addition of a gas recycling unit, with a recycling ratio ranging from 0 to 14. The production of PHB at the end of the cycle was 0.</w:t>
      </w:r>
      <w:r w:rsidR="00FF7224">
        <w:rPr>
          <w:rFonts w:ascii="Times New Roman" w:eastAsia="MS PGothic" w:hAnsi="Times New Roman"/>
          <w:lang w:val="en-US"/>
        </w:rPr>
        <w:t>7</w:t>
      </w:r>
      <w:r w:rsidR="00916174">
        <w:rPr>
          <w:rFonts w:ascii="Times New Roman" w:eastAsia="MS PGothic" w:hAnsi="Times New Roman"/>
          <w:lang w:val="en-US"/>
        </w:rPr>
        <w:t>6</w:t>
      </w:r>
      <w:r>
        <w:rPr>
          <w:rFonts w:ascii="Times New Roman" w:eastAsia="MS PGothic" w:hAnsi="Times New Roman"/>
          <w:lang w:val="en-US"/>
        </w:rPr>
        <w:t xml:space="preserve"> kg, which corresponded to 38%w/w of PHB</w:t>
      </w:r>
      <w:r w:rsidR="00916174">
        <w:rPr>
          <w:rFonts w:ascii="Times New Roman" w:eastAsia="MS PGothic" w:hAnsi="Times New Roman"/>
          <w:lang w:val="en-US"/>
        </w:rPr>
        <w:t xml:space="preserve"> with respect to the total suspended solids</w:t>
      </w:r>
      <w:r>
        <w:rPr>
          <w:rFonts w:ascii="Times New Roman" w:eastAsia="MS PGothic" w:hAnsi="Times New Roman"/>
          <w:lang w:val="en-US"/>
        </w:rPr>
        <w:t xml:space="preserve">. The best condition, in terms of methane saved, was reached at the highest recycling ratio (14), saving </w:t>
      </w:r>
      <w:r w:rsidR="00916174">
        <w:rPr>
          <w:rFonts w:ascii="Times New Roman" w:eastAsia="MS PGothic" w:hAnsi="Times New Roman"/>
          <w:lang w:val="en-US"/>
        </w:rPr>
        <w:t>93%</w:t>
      </w:r>
      <w:r>
        <w:rPr>
          <w:rFonts w:ascii="Times New Roman" w:eastAsia="MS PGothic" w:hAnsi="Times New Roman"/>
          <w:lang w:val="en-US"/>
        </w:rPr>
        <w:t xml:space="preserve"> </w:t>
      </w:r>
      <w:r w:rsidR="00916174">
        <w:rPr>
          <w:rFonts w:ascii="Times New Roman" w:eastAsia="MS PGothic" w:hAnsi="Times New Roman"/>
          <w:lang w:val="en-US"/>
        </w:rPr>
        <w:t xml:space="preserve">of methane compared </w:t>
      </w:r>
      <w:r>
        <w:rPr>
          <w:rFonts w:ascii="Times New Roman" w:eastAsia="MS PGothic" w:hAnsi="Times New Roman"/>
          <w:lang w:val="en-US"/>
        </w:rPr>
        <w:t xml:space="preserve">to the condition in which no gas recycling was considered. </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627E22DB" w14:textId="08EF62E8" w:rsidR="003977BB" w:rsidRPr="00CF281E" w:rsidRDefault="00721CEF" w:rsidP="00DE6C7B">
      <w:pPr>
        <w:widowControl w:val="0"/>
        <w:autoSpaceDE w:val="0"/>
        <w:autoSpaceDN w:val="0"/>
        <w:adjustRightInd w:val="0"/>
        <w:spacing w:after="120" w:line="276" w:lineRule="auto"/>
        <w:ind w:left="640" w:hanging="640"/>
        <w:rPr>
          <w:rFonts w:ascii="Times New Roman" w:hAnsi="Times New Roman" w:cs="Times New Roman"/>
          <w:noProof/>
          <w:sz w:val="20"/>
          <w:szCs w:val="20"/>
          <w:lang w:val="en-GB"/>
        </w:rPr>
      </w:pPr>
      <w:r w:rsidRPr="00DE6C7B">
        <w:rPr>
          <w:rFonts w:ascii="Times New Roman" w:eastAsia="MS PGothic" w:hAnsi="Times New Roman" w:cs="Times New Roman"/>
          <w:sz w:val="20"/>
          <w:szCs w:val="20"/>
        </w:rPr>
        <w:fldChar w:fldCharType="begin" w:fldLock="1"/>
      </w:r>
      <w:r w:rsidRPr="00CF281E">
        <w:rPr>
          <w:rFonts w:ascii="Times New Roman" w:eastAsia="MS PGothic" w:hAnsi="Times New Roman" w:cs="Times New Roman"/>
          <w:sz w:val="20"/>
          <w:szCs w:val="20"/>
          <w:lang w:val="en-GB"/>
        </w:rPr>
        <w:instrText xml:space="preserve">ADDIN Mendeley Bibliography CSL_BIBLIOGRAPHY </w:instrText>
      </w:r>
      <w:r w:rsidRPr="00DE6C7B">
        <w:rPr>
          <w:rFonts w:ascii="Times New Roman" w:eastAsia="MS PGothic" w:hAnsi="Times New Roman" w:cs="Times New Roman"/>
          <w:sz w:val="20"/>
          <w:szCs w:val="20"/>
        </w:rPr>
        <w:fldChar w:fldCharType="separate"/>
      </w:r>
      <w:r w:rsidR="003977BB" w:rsidRPr="00CF281E">
        <w:rPr>
          <w:rFonts w:ascii="Times New Roman" w:hAnsi="Times New Roman" w:cs="Times New Roman"/>
          <w:noProof/>
          <w:sz w:val="20"/>
          <w:szCs w:val="20"/>
          <w:lang w:val="en-GB"/>
        </w:rPr>
        <w:t>[1]</w:t>
      </w:r>
      <w:r w:rsidR="003977BB" w:rsidRPr="00CF281E">
        <w:rPr>
          <w:rFonts w:ascii="Times New Roman" w:hAnsi="Times New Roman" w:cs="Times New Roman"/>
          <w:noProof/>
          <w:sz w:val="20"/>
          <w:szCs w:val="20"/>
          <w:lang w:val="en-GB"/>
        </w:rPr>
        <w:tab/>
        <w:t>C. S. K. Reddy, R. Ghai, Rashmi, and V. C. Kalia, Bioresour. Technol. 87 (2003) 137–146</w:t>
      </w:r>
    </w:p>
    <w:p w14:paraId="1C0C07A6" w14:textId="45D1F204" w:rsidR="003977BB" w:rsidRPr="00CF281E" w:rsidRDefault="003977BB" w:rsidP="00DE6C7B">
      <w:pPr>
        <w:widowControl w:val="0"/>
        <w:autoSpaceDE w:val="0"/>
        <w:autoSpaceDN w:val="0"/>
        <w:adjustRightInd w:val="0"/>
        <w:spacing w:after="120" w:line="276" w:lineRule="auto"/>
        <w:ind w:left="640" w:hanging="640"/>
        <w:rPr>
          <w:rFonts w:ascii="Times New Roman" w:hAnsi="Times New Roman" w:cs="Times New Roman"/>
          <w:noProof/>
          <w:sz w:val="20"/>
          <w:szCs w:val="20"/>
          <w:lang w:val="en-GB"/>
        </w:rPr>
      </w:pPr>
      <w:r w:rsidRPr="00CF281E">
        <w:rPr>
          <w:rFonts w:ascii="Times New Roman" w:hAnsi="Times New Roman" w:cs="Times New Roman"/>
          <w:noProof/>
          <w:sz w:val="20"/>
          <w:szCs w:val="20"/>
          <w:lang w:val="en-GB"/>
        </w:rPr>
        <w:t>[2]</w:t>
      </w:r>
      <w:r w:rsidRPr="00CF281E">
        <w:rPr>
          <w:rFonts w:ascii="Times New Roman" w:hAnsi="Times New Roman" w:cs="Times New Roman"/>
          <w:noProof/>
          <w:sz w:val="20"/>
          <w:szCs w:val="20"/>
          <w:lang w:val="en-GB"/>
        </w:rPr>
        <w:tab/>
        <w:t>L.-Y. Liu, G.-J. Xie, D.-F. Xing, B.-F. Liu, J. Ding, and N.-Q. Ren, Environ. Sci. Ecotechnology 2 (2020) 100029</w:t>
      </w:r>
    </w:p>
    <w:p w14:paraId="148E27DA" w14:textId="0A543A8A" w:rsidR="003977BB" w:rsidRPr="00CF281E" w:rsidRDefault="003977BB" w:rsidP="00DE6C7B">
      <w:pPr>
        <w:widowControl w:val="0"/>
        <w:autoSpaceDE w:val="0"/>
        <w:autoSpaceDN w:val="0"/>
        <w:adjustRightInd w:val="0"/>
        <w:spacing w:after="120" w:line="276" w:lineRule="auto"/>
        <w:ind w:left="640" w:hanging="640"/>
        <w:rPr>
          <w:rFonts w:ascii="Times New Roman" w:hAnsi="Times New Roman" w:cs="Times New Roman"/>
          <w:noProof/>
          <w:sz w:val="20"/>
          <w:szCs w:val="20"/>
          <w:lang w:val="en-GB"/>
        </w:rPr>
      </w:pPr>
      <w:r w:rsidRPr="00CF281E">
        <w:rPr>
          <w:rFonts w:ascii="Times New Roman" w:hAnsi="Times New Roman" w:cs="Times New Roman"/>
          <w:noProof/>
          <w:sz w:val="20"/>
          <w:szCs w:val="20"/>
          <w:lang w:val="en-GB"/>
        </w:rPr>
        <w:t>[3]</w:t>
      </w:r>
      <w:r w:rsidRPr="00CF281E">
        <w:rPr>
          <w:rFonts w:ascii="Times New Roman" w:hAnsi="Times New Roman" w:cs="Times New Roman"/>
          <w:noProof/>
          <w:sz w:val="20"/>
          <w:szCs w:val="20"/>
          <w:lang w:val="en-GB"/>
        </w:rPr>
        <w:tab/>
        <w:t>L. L. Madison and G. W. Huisman, Microbiol. Mol. Biol. Rev. 63 (1999) 21–53</w:t>
      </w:r>
    </w:p>
    <w:p w14:paraId="68150416" w14:textId="5A5F7F01" w:rsidR="00DE6C7B" w:rsidRPr="00DE6C7B" w:rsidRDefault="003977BB" w:rsidP="00DE6C7B">
      <w:pPr>
        <w:spacing w:after="0" w:line="276" w:lineRule="auto"/>
        <w:rPr>
          <w:rFonts w:ascii="Times New Roman" w:hAnsi="Times New Roman" w:cs="Times New Roman"/>
          <w:sz w:val="20"/>
          <w:szCs w:val="20"/>
          <w:lang w:val="en-GB"/>
        </w:rPr>
      </w:pPr>
      <w:r w:rsidRPr="00DE6C7B">
        <w:rPr>
          <w:rFonts w:ascii="Times New Roman" w:hAnsi="Times New Roman" w:cs="Times New Roman"/>
          <w:noProof/>
          <w:sz w:val="20"/>
          <w:szCs w:val="20"/>
          <w:lang w:val="en-GB"/>
        </w:rPr>
        <w:t>[4]</w:t>
      </w:r>
      <w:r w:rsidR="00DE6C7B" w:rsidRPr="00DE6C7B">
        <w:rPr>
          <w:rFonts w:ascii="Times New Roman" w:hAnsi="Times New Roman" w:cs="Times New Roman"/>
          <w:noProof/>
          <w:sz w:val="20"/>
          <w:szCs w:val="20"/>
          <w:lang w:val="en-GB"/>
        </w:rPr>
        <w:t xml:space="preserve">        G.Q. </w:t>
      </w:r>
      <w:r w:rsidR="00DE6C7B" w:rsidRPr="00DE6C7B">
        <w:rPr>
          <w:rFonts w:ascii="Times New Roman" w:hAnsi="Times New Roman" w:cs="Times New Roman"/>
          <w:sz w:val="20"/>
          <w:szCs w:val="20"/>
          <w:lang w:val="en-GB"/>
        </w:rPr>
        <w:t>Chen, China Plastic and Rubber Journal, April Issue, 2010.</w:t>
      </w:r>
    </w:p>
    <w:p w14:paraId="64A46CAC" w14:textId="094ABF00" w:rsidR="003977BB" w:rsidRPr="00CF281E" w:rsidRDefault="003977BB" w:rsidP="00DE6C7B">
      <w:pPr>
        <w:widowControl w:val="0"/>
        <w:autoSpaceDE w:val="0"/>
        <w:autoSpaceDN w:val="0"/>
        <w:adjustRightInd w:val="0"/>
        <w:spacing w:after="120" w:line="276" w:lineRule="auto"/>
        <w:ind w:left="640" w:hanging="640"/>
        <w:rPr>
          <w:rFonts w:ascii="Times New Roman" w:hAnsi="Times New Roman" w:cs="Times New Roman"/>
          <w:noProof/>
          <w:sz w:val="20"/>
          <w:szCs w:val="20"/>
          <w:lang w:val="en-GB"/>
        </w:rPr>
      </w:pPr>
      <w:r w:rsidRPr="00CF281E">
        <w:rPr>
          <w:rFonts w:ascii="Times New Roman" w:hAnsi="Times New Roman" w:cs="Times New Roman"/>
          <w:noProof/>
          <w:sz w:val="20"/>
          <w:szCs w:val="20"/>
          <w:lang w:val="en-GB"/>
        </w:rPr>
        <w:t>[5]</w:t>
      </w:r>
      <w:r w:rsidRPr="00CF281E">
        <w:rPr>
          <w:rFonts w:ascii="Times New Roman" w:hAnsi="Times New Roman" w:cs="Times New Roman"/>
          <w:noProof/>
          <w:sz w:val="20"/>
          <w:szCs w:val="20"/>
          <w:lang w:val="en-GB"/>
        </w:rPr>
        <w:tab/>
        <w:t>J. Chee, S. Yoga, N. Lau, S. Ling, and R. M. M. Abed, (2010) pp. 1395–1404</w:t>
      </w:r>
    </w:p>
    <w:p w14:paraId="12E9FE0B" w14:textId="693A39CF" w:rsidR="003977BB" w:rsidRPr="00CF281E" w:rsidRDefault="003977BB" w:rsidP="00DE6C7B">
      <w:pPr>
        <w:widowControl w:val="0"/>
        <w:autoSpaceDE w:val="0"/>
        <w:autoSpaceDN w:val="0"/>
        <w:adjustRightInd w:val="0"/>
        <w:spacing w:after="120" w:line="276" w:lineRule="auto"/>
        <w:ind w:left="640" w:hanging="640"/>
        <w:rPr>
          <w:rFonts w:ascii="Times New Roman" w:hAnsi="Times New Roman" w:cs="Times New Roman"/>
          <w:noProof/>
          <w:sz w:val="20"/>
          <w:szCs w:val="20"/>
          <w:lang w:val="es-419"/>
        </w:rPr>
      </w:pPr>
      <w:r w:rsidRPr="00CF281E">
        <w:rPr>
          <w:rFonts w:ascii="Times New Roman" w:hAnsi="Times New Roman" w:cs="Times New Roman"/>
          <w:noProof/>
          <w:sz w:val="20"/>
          <w:szCs w:val="20"/>
          <w:lang w:val="es-419"/>
        </w:rPr>
        <w:t>[6]</w:t>
      </w:r>
      <w:r w:rsidRPr="00CF281E">
        <w:rPr>
          <w:rFonts w:ascii="Times New Roman" w:hAnsi="Times New Roman" w:cs="Times New Roman"/>
          <w:noProof/>
          <w:sz w:val="20"/>
          <w:szCs w:val="20"/>
          <w:lang w:val="es-419"/>
        </w:rPr>
        <w:tab/>
        <w:t>M. R. García-Pérez, C.</w:t>
      </w:r>
      <w:r w:rsidR="00DE6C7B" w:rsidRPr="00CF281E">
        <w:rPr>
          <w:rFonts w:ascii="Times New Roman" w:hAnsi="Times New Roman" w:cs="Times New Roman"/>
          <w:noProof/>
          <w:sz w:val="20"/>
          <w:szCs w:val="20"/>
          <w:lang w:val="es-419"/>
        </w:rPr>
        <w:t xml:space="preserve">J. </w:t>
      </w:r>
      <w:r w:rsidRPr="00CF281E">
        <w:rPr>
          <w:rFonts w:ascii="Times New Roman" w:hAnsi="Times New Roman" w:cs="Times New Roman"/>
          <w:noProof/>
          <w:sz w:val="20"/>
          <w:szCs w:val="20"/>
          <w:lang w:val="es-419"/>
        </w:rPr>
        <w:t>López, F. Passos, R. Lebrero, S. Revah, “Chem. Eng. J. 334</w:t>
      </w:r>
      <w:r w:rsidR="00DE6C7B" w:rsidRPr="00CF281E">
        <w:rPr>
          <w:rFonts w:ascii="Times New Roman" w:hAnsi="Times New Roman" w:cs="Times New Roman"/>
          <w:noProof/>
          <w:sz w:val="20"/>
          <w:szCs w:val="20"/>
          <w:lang w:val="es-419"/>
        </w:rPr>
        <w:t xml:space="preserve"> (2018)</w:t>
      </w:r>
      <w:r w:rsidRPr="00CF281E">
        <w:rPr>
          <w:rFonts w:ascii="Times New Roman" w:hAnsi="Times New Roman" w:cs="Times New Roman"/>
          <w:noProof/>
          <w:sz w:val="20"/>
          <w:szCs w:val="20"/>
          <w:lang w:val="es-419"/>
        </w:rPr>
        <w:t xml:space="preserve"> 691–697</w:t>
      </w:r>
    </w:p>
    <w:p w14:paraId="35C3B3A1" w14:textId="0F7C20E0" w:rsidR="003977BB" w:rsidRPr="00DE6C7B" w:rsidRDefault="003977BB" w:rsidP="00DE6C7B">
      <w:pPr>
        <w:widowControl w:val="0"/>
        <w:autoSpaceDE w:val="0"/>
        <w:autoSpaceDN w:val="0"/>
        <w:adjustRightInd w:val="0"/>
        <w:spacing w:after="120" w:line="276" w:lineRule="auto"/>
        <w:ind w:left="640" w:hanging="640"/>
        <w:rPr>
          <w:rFonts w:ascii="Times New Roman" w:hAnsi="Times New Roman" w:cs="Times New Roman"/>
          <w:noProof/>
          <w:sz w:val="20"/>
          <w:szCs w:val="20"/>
        </w:rPr>
      </w:pPr>
      <w:r w:rsidRPr="00CF281E">
        <w:rPr>
          <w:rFonts w:ascii="Times New Roman" w:hAnsi="Times New Roman" w:cs="Times New Roman"/>
          <w:noProof/>
          <w:sz w:val="20"/>
          <w:szCs w:val="20"/>
          <w:lang w:val="es-419"/>
        </w:rPr>
        <w:t>[7]</w:t>
      </w:r>
      <w:r w:rsidRPr="00CF281E">
        <w:rPr>
          <w:rFonts w:ascii="Times New Roman" w:hAnsi="Times New Roman" w:cs="Times New Roman"/>
          <w:noProof/>
          <w:sz w:val="20"/>
          <w:szCs w:val="20"/>
          <w:lang w:val="es-419"/>
        </w:rPr>
        <w:tab/>
        <w:t>Y. Rodríguez, P. I. M. Firmino, V. Pérez, R. Lebrero, and R. Muñoz, Waste Manag.</w:t>
      </w:r>
      <w:r w:rsidR="00DE6C7B" w:rsidRPr="00CF281E">
        <w:rPr>
          <w:rFonts w:ascii="Times New Roman" w:hAnsi="Times New Roman" w:cs="Times New Roman"/>
          <w:noProof/>
          <w:sz w:val="20"/>
          <w:szCs w:val="20"/>
          <w:lang w:val="es-419"/>
        </w:rPr>
        <w:t xml:space="preserve"> </w:t>
      </w:r>
      <w:r w:rsidRPr="00DE6C7B">
        <w:rPr>
          <w:rFonts w:ascii="Times New Roman" w:hAnsi="Times New Roman" w:cs="Times New Roman"/>
          <w:noProof/>
          <w:sz w:val="20"/>
          <w:szCs w:val="20"/>
        </w:rPr>
        <w:t>113</w:t>
      </w:r>
      <w:r w:rsidR="00DE6C7B" w:rsidRPr="00DE6C7B">
        <w:rPr>
          <w:rFonts w:ascii="Times New Roman" w:hAnsi="Times New Roman" w:cs="Times New Roman"/>
          <w:noProof/>
          <w:sz w:val="20"/>
          <w:szCs w:val="20"/>
        </w:rPr>
        <w:t xml:space="preserve"> (2020)</w:t>
      </w:r>
      <w:r w:rsidRPr="00DE6C7B">
        <w:rPr>
          <w:rFonts w:ascii="Times New Roman" w:hAnsi="Times New Roman" w:cs="Times New Roman"/>
          <w:noProof/>
          <w:sz w:val="20"/>
          <w:szCs w:val="20"/>
        </w:rPr>
        <w:t xml:space="preserve"> 395–403</w:t>
      </w:r>
    </w:p>
    <w:p w14:paraId="5A650773" w14:textId="26021A10" w:rsidR="005B71B2" w:rsidRPr="00CA1041" w:rsidRDefault="00721CEF" w:rsidP="00DE6C7B">
      <w:pPr>
        <w:snapToGrid w:val="0"/>
        <w:spacing w:after="120" w:line="276" w:lineRule="auto"/>
        <w:rPr>
          <w:rFonts w:ascii="Times New Roman" w:eastAsia="SimSun" w:hAnsi="Times New Roman"/>
          <w:lang w:eastAsia="zh-CN"/>
        </w:rPr>
      </w:pPr>
      <w:r w:rsidRPr="00DE6C7B">
        <w:rPr>
          <w:rFonts w:ascii="Times New Roman" w:eastAsia="MS PGothic" w:hAnsi="Times New Roman" w:cs="Times New Roman"/>
          <w:sz w:val="20"/>
          <w:szCs w:val="20"/>
        </w:rPr>
        <w:fldChar w:fldCharType="end"/>
      </w:r>
    </w:p>
    <w:sectPr w:rsidR="005B71B2" w:rsidRPr="00CA1041" w:rsidSect="001D0E0C">
      <w:head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1F11" w14:textId="77777777" w:rsidR="009E6D57" w:rsidRDefault="009E6D57" w:rsidP="001D0E0C">
      <w:pPr>
        <w:spacing w:after="0" w:line="240" w:lineRule="auto"/>
      </w:pPr>
      <w:r>
        <w:separator/>
      </w:r>
    </w:p>
  </w:endnote>
  <w:endnote w:type="continuationSeparator" w:id="0">
    <w:p w14:paraId="10661BD3" w14:textId="77777777" w:rsidR="009E6D57" w:rsidRDefault="009E6D57"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dvOT596495f2+22">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E64A" w14:textId="77777777" w:rsidR="009E6D57" w:rsidRDefault="009E6D57" w:rsidP="001D0E0C">
      <w:pPr>
        <w:spacing w:after="0" w:line="240" w:lineRule="auto"/>
      </w:pPr>
      <w:r>
        <w:separator/>
      </w:r>
    </w:p>
  </w:footnote>
  <w:footnote w:type="continuationSeparator" w:id="0">
    <w:p w14:paraId="3829AD43" w14:textId="77777777" w:rsidR="009E6D57" w:rsidRDefault="009E6D57"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4A8062A1" w:rsidR="001D0E0C" w:rsidRDefault="00F44D5C" w:rsidP="001D0E0C">
    <w:pPr>
      <w:pStyle w:val="Intestazione"/>
      <w:jc w:val="center"/>
    </w:pPr>
    <w:r>
      <w:rPr>
        <w:noProof/>
      </w:rPr>
      <mc:AlternateContent>
        <mc:Choice Requires="wps">
          <w:drawing>
            <wp:anchor distT="0" distB="0" distL="114300" distR="114300" simplePos="0" relativeHeight="251659264" behindDoc="0" locked="0" layoutInCell="1" allowOverlap="1" wp14:anchorId="743B6B27" wp14:editId="7BC187B7">
              <wp:simplePos x="0" y="0"/>
              <wp:positionH relativeFrom="column">
                <wp:posOffset>57150</wp:posOffset>
              </wp:positionH>
              <wp:positionV relativeFrom="paragraph">
                <wp:posOffset>103505</wp:posOffset>
              </wp:positionV>
              <wp:extent cx="5631180" cy="7620"/>
              <wp:effectExtent l="0" t="0" r="7620" b="1143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BE55B" id="Connettore dirit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" strokecolor="#0070c0"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59001AA4"/>
    <w:multiLevelType w:val="hybridMultilevel"/>
    <w:tmpl w:val="8806BA56"/>
    <w:lvl w:ilvl="0" w:tplc="0410000B">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053BC3"/>
    <w:rsid w:val="00094BFF"/>
    <w:rsid w:val="000A058F"/>
    <w:rsid w:val="000E443C"/>
    <w:rsid w:val="00113416"/>
    <w:rsid w:val="0017140B"/>
    <w:rsid w:val="0018667F"/>
    <w:rsid w:val="001904EF"/>
    <w:rsid w:val="001A6AF3"/>
    <w:rsid w:val="001B060D"/>
    <w:rsid w:val="001D0E0C"/>
    <w:rsid w:val="00263C00"/>
    <w:rsid w:val="00280F57"/>
    <w:rsid w:val="002E1A4F"/>
    <w:rsid w:val="00373DE3"/>
    <w:rsid w:val="003977BB"/>
    <w:rsid w:val="003F160A"/>
    <w:rsid w:val="00402674"/>
    <w:rsid w:val="004A75DE"/>
    <w:rsid w:val="004C56B4"/>
    <w:rsid w:val="00586203"/>
    <w:rsid w:val="005B71B2"/>
    <w:rsid w:val="005C2A12"/>
    <w:rsid w:val="006243DA"/>
    <w:rsid w:val="00697CD6"/>
    <w:rsid w:val="00721CEF"/>
    <w:rsid w:val="007A41EE"/>
    <w:rsid w:val="00804806"/>
    <w:rsid w:val="008303E7"/>
    <w:rsid w:val="00880D04"/>
    <w:rsid w:val="008871B1"/>
    <w:rsid w:val="008B2D40"/>
    <w:rsid w:val="008C0BDD"/>
    <w:rsid w:val="00916174"/>
    <w:rsid w:val="009437E7"/>
    <w:rsid w:val="00962D8C"/>
    <w:rsid w:val="009E403A"/>
    <w:rsid w:val="009E6D57"/>
    <w:rsid w:val="00A34314"/>
    <w:rsid w:val="00A82B36"/>
    <w:rsid w:val="00AA27FD"/>
    <w:rsid w:val="00AA5492"/>
    <w:rsid w:val="00AB1801"/>
    <w:rsid w:val="00AC541A"/>
    <w:rsid w:val="00AD40F8"/>
    <w:rsid w:val="00AF279C"/>
    <w:rsid w:val="00B15D79"/>
    <w:rsid w:val="00B4243B"/>
    <w:rsid w:val="00B4644F"/>
    <w:rsid w:val="00BB0C0A"/>
    <w:rsid w:val="00C40840"/>
    <w:rsid w:val="00C573D8"/>
    <w:rsid w:val="00CA1041"/>
    <w:rsid w:val="00CF281E"/>
    <w:rsid w:val="00D03DB3"/>
    <w:rsid w:val="00D322F1"/>
    <w:rsid w:val="00D412A9"/>
    <w:rsid w:val="00DA39B0"/>
    <w:rsid w:val="00DA51A3"/>
    <w:rsid w:val="00DC0E89"/>
    <w:rsid w:val="00DD2D8C"/>
    <w:rsid w:val="00DE6C7B"/>
    <w:rsid w:val="00EF5D7F"/>
    <w:rsid w:val="00F0696D"/>
    <w:rsid w:val="00F161F5"/>
    <w:rsid w:val="00F24290"/>
    <w:rsid w:val="00F44D5C"/>
    <w:rsid w:val="00F6439C"/>
    <w:rsid w:val="00FF4ABF"/>
    <w:rsid w:val="00FF7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docId w15:val="{62D63911-10EC-4CCE-A3D5-C138D556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customStyle="1" w:styleId="CETAddress">
    <w:name w:val="CET Address"/>
    <w:link w:val="CETAddressCarattere"/>
    <w:qFormat/>
    <w:rsid w:val="007A41EE"/>
    <w:pPr>
      <w:keepNext/>
      <w:suppressAutoHyphens/>
      <w:spacing w:after="0" w:line="276" w:lineRule="auto"/>
      <w:contextualSpacing/>
    </w:pPr>
    <w:rPr>
      <w:rFonts w:ascii="Arial" w:eastAsia="Times New Roman" w:hAnsi="Arial" w:cs="Times New Roman"/>
      <w:noProof/>
      <w:sz w:val="16"/>
      <w:szCs w:val="20"/>
      <w:lang w:val="en-GB"/>
    </w:rPr>
  </w:style>
  <w:style w:type="paragraph" w:customStyle="1" w:styleId="CETemail">
    <w:name w:val="CET email"/>
    <w:next w:val="Normale"/>
    <w:rsid w:val="007A41EE"/>
    <w:pPr>
      <w:spacing w:after="240" w:line="276" w:lineRule="auto"/>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7A41EE"/>
    <w:rPr>
      <w:rFonts w:ascii="Arial" w:eastAsia="Times New Roman" w:hAnsi="Arial" w:cs="Times New Roman"/>
      <w:noProof/>
      <w:sz w:val="16"/>
      <w:szCs w:val="20"/>
      <w:lang w:val="en-GB"/>
    </w:rPr>
  </w:style>
  <w:style w:type="character" w:styleId="Testosegnaposto">
    <w:name w:val="Placeholder Text"/>
    <w:basedOn w:val="Carpredefinitoparagrafo"/>
    <w:uiPriority w:val="99"/>
    <w:semiHidden/>
    <w:rsid w:val="000E443C"/>
    <w:rPr>
      <w:color w:val="808080"/>
    </w:rPr>
  </w:style>
  <w:style w:type="table" w:styleId="Grigliatabella">
    <w:name w:val="Table Grid"/>
    <w:basedOn w:val="Tabellanormale"/>
    <w:uiPriority w:val="39"/>
    <w:rsid w:val="0026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6C7B"/>
    <w:pPr>
      <w:tabs>
        <w:tab w:val="left" w:pos="425"/>
      </w:tabs>
      <w:spacing w:after="200" w:line="360" w:lineRule="auto"/>
      <w:ind w:left="720" w:firstLine="425"/>
      <w:contextualSpacing/>
      <w:jc w:val="both"/>
    </w:pPr>
    <w:rPr>
      <w:rFonts w:ascii="Times New Roman" w:eastAsiaTheme="minorEastAsia" w:hAnsi="Times New Roman" w:cs="Times New Roman"/>
      <w:sz w:val="24"/>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76CF-1688-446A-9B3D-203F6704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4022</Words>
  <Characters>22932</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Claudia Amabile</cp:lastModifiedBy>
  <cp:revision>4</cp:revision>
  <cp:lastPrinted>2022-01-31T11:56:00Z</cp:lastPrinted>
  <dcterms:created xsi:type="dcterms:W3CDTF">2022-03-08T15:19:00Z</dcterms:created>
  <dcterms:modified xsi:type="dcterms:W3CDTF">2022-03-11T08:21:00Z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94ff78b2-1262-36cb-8649-3925b4fff616</vt:lpwstr>
  </property>
  <property fmtid="{D5CDD505-2E9C-101B-9397-08002B2CF9AE}" pid="4" name="Mendeley Citation Style_1">
    <vt:lpwstr>http://www.zotero.org/styles/ieee</vt:lpwstr>
  </property>
  <property fmtid="{D5CDD505-2E9C-101B-9397-08002B2CF9AE}" pid="5" name="Mendeley Recent Style Id 0_1">
    <vt:lpwstr>http://www.zotero.org/styles/acs-sustainable-chemistry-and-engineering</vt:lpwstr>
  </property>
  <property fmtid="{D5CDD505-2E9C-101B-9397-08002B2CF9AE}" pid="6" name="Mendeley Recent Style Name 0_1">
    <vt:lpwstr>ACS Sustainable Chemistry &amp; Engineering</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http://www.zotero.org/styles/elsevier-harvard</vt:lpwstr>
  </property>
  <property fmtid="{D5CDD505-2E9C-101B-9397-08002B2CF9AE}" pid="16" name="Mendeley Recent Style Name 5_1">
    <vt:lpwstr>Elsevier - Harvard (with titles)</vt:lpwstr>
  </property>
  <property fmtid="{D5CDD505-2E9C-101B-9397-08002B2CF9AE}" pid="17" name="Mendeley Recent Style Id 6_1">
    <vt:lpwstr>http://www.zotero.org/styles/elsevier-harvard-without-titles</vt:lpwstr>
  </property>
  <property fmtid="{D5CDD505-2E9C-101B-9397-08002B2CF9AE}" pid="18" name="Mendeley Recent Style Name 6_1">
    <vt:lpwstr>Elsevier - Harvard (without titles)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http://www.zotero.org/styles/science-without-titles</vt:lpwstr>
  </property>
  <property fmtid="{D5CDD505-2E9C-101B-9397-08002B2CF9AE}" pid="24" name="Mendeley Recent Style Name 9_1">
    <vt:lpwstr>Science (without titles)</vt:lpwstr>
  </property>
</Properties>
</file>