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B33C4" w14:textId="77777777" w:rsidR="00DA51A3" w:rsidRPr="00466FFD" w:rsidRDefault="00A810C9" w:rsidP="00DA51A3">
      <w:pPr>
        <w:snapToGrid w:val="0"/>
        <w:jc w:val="center"/>
        <w:rPr>
          <w:rFonts w:ascii="Times New Roman" w:eastAsia="MS PGothic" w:hAnsi="Times New Roman"/>
          <w:b/>
          <w:bCs/>
          <w:sz w:val="24"/>
          <w:szCs w:val="24"/>
          <w:lang w:val="en-US"/>
        </w:rPr>
      </w:pPr>
      <w:bookmarkStart w:id="0" w:name="_Hlk98168617"/>
      <w:bookmarkEnd w:id="0"/>
      <w:r>
        <w:rPr>
          <w:rFonts w:ascii="Times New Roman" w:eastAsia="MS PGothic" w:hAnsi="Times New Roman"/>
          <w:b/>
          <w:bCs/>
          <w:sz w:val="24"/>
          <w:szCs w:val="24"/>
          <w:lang w:val="en-US"/>
        </w:rPr>
        <w:t xml:space="preserve">Multiscale modeling approaches to describe complex </w:t>
      </w:r>
      <w:r w:rsidR="00CD184C">
        <w:rPr>
          <w:rFonts w:ascii="Times New Roman" w:eastAsia="MS PGothic" w:hAnsi="Times New Roman"/>
          <w:b/>
          <w:bCs/>
          <w:sz w:val="24"/>
          <w:szCs w:val="24"/>
          <w:lang w:val="en-US"/>
        </w:rPr>
        <w:t>chemical engineering</w:t>
      </w:r>
      <w:r>
        <w:rPr>
          <w:rFonts w:ascii="Times New Roman" w:eastAsia="MS PGothic" w:hAnsi="Times New Roman"/>
          <w:b/>
          <w:bCs/>
          <w:sz w:val="24"/>
          <w:szCs w:val="24"/>
          <w:lang w:val="en-US"/>
        </w:rPr>
        <w:t xml:space="preserve"> </w:t>
      </w:r>
      <w:r w:rsidR="00CD184C">
        <w:rPr>
          <w:rFonts w:ascii="Times New Roman" w:eastAsia="MS PGothic" w:hAnsi="Times New Roman"/>
          <w:b/>
          <w:bCs/>
          <w:sz w:val="24"/>
          <w:szCs w:val="24"/>
          <w:lang w:val="en-US"/>
        </w:rPr>
        <w:t>systems</w:t>
      </w:r>
    </w:p>
    <w:p w14:paraId="370DB5C7" w14:textId="77777777" w:rsidR="00DA51A3" w:rsidRPr="00466FFD" w:rsidRDefault="00DA51A3" w:rsidP="00DA51A3">
      <w:pPr>
        <w:snapToGrid w:val="0"/>
        <w:jc w:val="center"/>
        <w:rPr>
          <w:rFonts w:ascii="Times New Roman" w:eastAsia="MS PGothic" w:hAnsi="Times New Roman"/>
          <w:b/>
          <w:bCs/>
          <w:sz w:val="24"/>
          <w:szCs w:val="24"/>
          <w:lang w:val="en-US" w:eastAsia="ko-KR"/>
        </w:rPr>
      </w:pPr>
    </w:p>
    <w:p w14:paraId="24036963" w14:textId="77777777" w:rsidR="00DA51A3" w:rsidRPr="00A810C9" w:rsidRDefault="00A810C9" w:rsidP="00DA51A3">
      <w:pPr>
        <w:snapToGrid w:val="0"/>
        <w:jc w:val="center"/>
        <w:rPr>
          <w:rFonts w:ascii="Times New Roman" w:eastAsia="MS PGothic" w:hAnsi="Times New Roman"/>
          <w:sz w:val="24"/>
          <w:szCs w:val="24"/>
        </w:rPr>
      </w:pPr>
      <w:r w:rsidRPr="00A810C9">
        <w:rPr>
          <w:rFonts w:ascii="Times New Roman" w:eastAsia="SimSun" w:hAnsi="Times New Roman"/>
          <w:sz w:val="24"/>
          <w:szCs w:val="24"/>
          <w:u w:val="single"/>
          <w:lang w:eastAsia="zh-CN"/>
        </w:rPr>
        <w:t>Francesco Petrosino</w:t>
      </w:r>
      <w:r w:rsidR="00DA51A3" w:rsidRPr="00A810C9">
        <w:rPr>
          <w:rFonts w:ascii="Times New Roman" w:eastAsia="SimSun" w:hAnsi="Times New Roman"/>
          <w:sz w:val="24"/>
          <w:szCs w:val="24"/>
          <w:u w:val="single"/>
          <w:vertAlign w:val="superscript"/>
          <w:lang w:eastAsia="zh-CN"/>
        </w:rPr>
        <w:t>1</w:t>
      </w:r>
      <w:r w:rsidRPr="00A810C9">
        <w:rPr>
          <w:rFonts w:ascii="Times New Roman" w:eastAsia="SimSun" w:hAnsi="Times New Roman"/>
          <w:sz w:val="24"/>
          <w:szCs w:val="24"/>
          <w:lang w:eastAsia="zh-CN"/>
        </w:rPr>
        <w:t>*, Giorgio De</w:t>
      </w:r>
      <w:r w:rsidRPr="00A810C9">
        <w:rPr>
          <w:rFonts w:ascii="Times New Roman" w:eastAsia="SimSun" w:hAnsi="Times New Roman"/>
          <w:sz w:val="24"/>
          <w:szCs w:val="24"/>
          <w:vertAlign w:val="superscript"/>
          <w:lang w:eastAsia="zh-CN"/>
        </w:rPr>
        <w:t>2</w:t>
      </w:r>
      <w:r w:rsidR="00DA51A3" w:rsidRPr="00A810C9">
        <w:rPr>
          <w:rFonts w:ascii="Times New Roman" w:eastAsia="SimSun" w:hAnsi="Times New Roman"/>
          <w:sz w:val="24"/>
          <w:szCs w:val="24"/>
          <w:lang w:eastAsia="zh-CN"/>
        </w:rPr>
        <w:t>,</w:t>
      </w:r>
      <w:r w:rsidR="00514EBE">
        <w:rPr>
          <w:rFonts w:ascii="Times New Roman" w:eastAsia="SimSun" w:hAnsi="Times New Roman"/>
          <w:sz w:val="24"/>
          <w:szCs w:val="24"/>
          <w:lang w:eastAsia="zh-CN"/>
        </w:rPr>
        <w:t xml:space="preserve"> Javier </w:t>
      </w:r>
      <w:proofErr w:type="spellStart"/>
      <w:r w:rsidR="00514EBE">
        <w:rPr>
          <w:rFonts w:ascii="Times New Roman" w:eastAsia="SimSun" w:hAnsi="Times New Roman"/>
          <w:sz w:val="24"/>
          <w:szCs w:val="24"/>
          <w:lang w:eastAsia="zh-CN"/>
        </w:rPr>
        <w:t>Luque</w:t>
      </w:r>
      <w:proofErr w:type="spellEnd"/>
      <w:r w:rsidR="00514EBE">
        <w:rPr>
          <w:rFonts w:ascii="Times New Roman" w:eastAsia="SimSun" w:hAnsi="Times New Roman"/>
          <w:sz w:val="24"/>
          <w:szCs w:val="24"/>
          <w:lang w:eastAsia="zh-CN"/>
        </w:rPr>
        <w:t xml:space="preserve"> Di Salvo</w:t>
      </w:r>
      <w:r w:rsidR="00514EBE">
        <w:rPr>
          <w:rFonts w:ascii="Times New Roman" w:eastAsia="SimSun" w:hAnsi="Times New Roman"/>
          <w:sz w:val="24"/>
          <w:szCs w:val="24"/>
          <w:vertAlign w:val="superscript"/>
          <w:lang w:eastAsia="zh-CN"/>
        </w:rPr>
        <w:t>3</w:t>
      </w:r>
      <w:r w:rsidR="00514EBE">
        <w:rPr>
          <w:rFonts w:ascii="Times New Roman" w:eastAsia="SimSun" w:hAnsi="Times New Roman"/>
          <w:sz w:val="24"/>
          <w:szCs w:val="24"/>
          <w:lang w:eastAsia="zh-CN"/>
        </w:rPr>
        <w:t xml:space="preserve">, </w:t>
      </w:r>
      <w:proofErr w:type="spellStart"/>
      <w:r w:rsidRPr="00A810C9">
        <w:rPr>
          <w:rFonts w:ascii="Times New Roman" w:eastAsia="SimSun" w:hAnsi="Times New Roman"/>
          <w:sz w:val="24"/>
          <w:szCs w:val="24"/>
          <w:lang w:eastAsia="zh-CN"/>
        </w:rPr>
        <w:t>Sudip</w:t>
      </w:r>
      <w:proofErr w:type="spellEnd"/>
      <w:r w:rsidRPr="00A810C9">
        <w:rPr>
          <w:rFonts w:ascii="Times New Roman" w:eastAsia="SimSun" w:hAnsi="Times New Roman"/>
          <w:sz w:val="24"/>
          <w:szCs w:val="24"/>
          <w:lang w:eastAsia="zh-CN"/>
        </w:rPr>
        <w:t xml:space="preserve"> Chakraborty</w:t>
      </w:r>
      <w:r w:rsidR="00514EBE">
        <w:rPr>
          <w:rFonts w:ascii="Times New Roman" w:eastAsia="SimSun" w:hAnsi="Times New Roman"/>
          <w:sz w:val="24"/>
          <w:szCs w:val="24"/>
          <w:vertAlign w:val="superscript"/>
          <w:lang w:eastAsia="zh-CN"/>
        </w:rPr>
        <w:t>1</w:t>
      </w:r>
      <w:r>
        <w:rPr>
          <w:rFonts w:ascii="Times New Roman" w:eastAsia="SimSun" w:hAnsi="Times New Roman"/>
          <w:sz w:val="24"/>
          <w:szCs w:val="24"/>
          <w:lang w:eastAsia="zh-CN"/>
        </w:rPr>
        <w:t>, Stefano Curcio</w:t>
      </w:r>
      <w:r w:rsidR="00514EBE">
        <w:rPr>
          <w:rFonts w:ascii="Times New Roman" w:eastAsia="SimSun" w:hAnsi="Times New Roman"/>
          <w:sz w:val="24"/>
          <w:szCs w:val="24"/>
          <w:vertAlign w:val="superscript"/>
          <w:lang w:eastAsia="zh-CN"/>
        </w:rPr>
        <w:t>1</w:t>
      </w:r>
    </w:p>
    <w:p w14:paraId="31EEC97E" w14:textId="77777777" w:rsidR="00514EBE" w:rsidRDefault="00DA51A3" w:rsidP="00197727">
      <w:pPr>
        <w:snapToGrid w:val="0"/>
        <w:spacing w:after="120"/>
        <w:ind w:left="142" w:hanging="142"/>
        <w:rPr>
          <w:rFonts w:ascii="Times New Roman" w:eastAsia="MS PGothic" w:hAnsi="Times New Roman"/>
          <w:i/>
          <w:iCs/>
          <w:sz w:val="20"/>
          <w:lang w:val="en-US"/>
        </w:rPr>
      </w:pPr>
      <w:r w:rsidRPr="00466FFD">
        <w:rPr>
          <w:rFonts w:ascii="Times New Roman" w:eastAsia="MS PGothic" w:hAnsi="Times New Roman"/>
          <w:i/>
          <w:iCs/>
          <w:sz w:val="20"/>
          <w:lang w:val="en-US"/>
        </w:rPr>
        <w:t xml:space="preserve">1 </w:t>
      </w:r>
      <w:r w:rsidR="00514EBE" w:rsidRPr="00514EBE">
        <w:rPr>
          <w:rFonts w:ascii="Times New Roman" w:eastAsia="MS PGothic" w:hAnsi="Times New Roman"/>
          <w:i/>
          <w:iCs/>
          <w:sz w:val="20"/>
          <w:lang w:val="en-US"/>
        </w:rPr>
        <w:t xml:space="preserve">Department of Computer Engineering, Modeling, Electronics and Systems (D.I.M.E.S.), University of Calabria, Via- P. Bucci, Cubo-42A, 87036 </w:t>
      </w:r>
      <w:proofErr w:type="spellStart"/>
      <w:r w:rsidR="00514EBE" w:rsidRPr="00514EBE">
        <w:rPr>
          <w:rFonts w:ascii="Times New Roman" w:eastAsia="MS PGothic" w:hAnsi="Times New Roman"/>
          <w:i/>
          <w:iCs/>
          <w:sz w:val="20"/>
          <w:lang w:val="en-US"/>
        </w:rPr>
        <w:t>Rende</w:t>
      </w:r>
      <w:proofErr w:type="spellEnd"/>
      <w:r w:rsidR="00514EBE" w:rsidRPr="00514EBE">
        <w:rPr>
          <w:rFonts w:ascii="Times New Roman" w:eastAsia="MS PGothic" w:hAnsi="Times New Roman"/>
          <w:i/>
          <w:iCs/>
          <w:sz w:val="20"/>
          <w:lang w:val="en-US"/>
        </w:rPr>
        <w:t xml:space="preserve"> (CS), Italy</w:t>
      </w:r>
      <w:r w:rsidRPr="00466FFD">
        <w:rPr>
          <w:rFonts w:ascii="Times New Roman" w:eastAsia="MS PGothic" w:hAnsi="Times New Roman"/>
          <w:i/>
          <w:iCs/>
          <w:sz w:val="20"/>
          <w:lang w:val="en-US"/>
        </w:rPr>
        <w:t>;</w:t>
      </w:r>
    </w:p>
    <w:p w14:paraId="30B4A80A" w14:textId="77777777" w:rsidR="00DA51A3" w:rsidRDefault="00DA51A3" w:rsidP="00197727">
      <w:pPr>
        <w:snapToGrid w:val="0"/>
        <w:spacing w:after="120"/>
        <w:rPr>
          <w:rFonts w:ascii="Times New Roman" w:eastAsia="MS PGothic" w:hAnsi="Times New Roman"/>
          <w:i/>
          <w:iCs/>
          <w:sz w:val="20"/>
        </w:rPr>
      </w:pPr>
      <w:r w:rsidRPr="00514EBE">
        <w:rPr>
          <w:rFonts w:ascii="Times New Roman" w:eastAsia="MS PGothic" w:hAnsi="Times New Roman"/>
          <w:i/>
          <w:iCs/>
          <w:sz w:val="20"/>
        </w:rPr>
        <w:t xml:space="preserve">2 </w:t>
      </w:r>
      <w:r w:rsidR="00514EBE" w:rsidRPr="00514EBE">
        <w:rPr>
          <w:rFonts w:ascii="Times New Roman" w:eastAsia="MS PGothic" w:hAnsi="Times New Roman"/>
          <w:i/>
          <w:iCs/>
          <w:sz w:val="20"/>
        </w:rPr>
        <w:t xml:space="preserve">Institute on Membrane Technology, ITM-CNR, Ponte P. Bucci, Arcavacata, 87036 Rende (CS), Cosenza, </w:t>
      </w:r>
      <w:proofErr w:type="spellStart"/>
      <w:r w:rsidR="00514EBE" w:rsidRPr="00514EBE">
        <w:rPr>
          <w:rFonts w:ascii="Times New Roman" w:eastAsia="MS PGothic" w:hAnsi="Times New Roman"/>
          <w:i/>
          <w:iCs/>
          <w:sz w:val="20"/>
        </w:rPr>
        <w:t>Italy</w:t>
      </w:r>
      <w:proofErr w:type="spellEnd"/>
      <w:r w:rsidR="00514EBE">
        <w:rPr>
          <w:rFonts w:ascii="Times New Roman" w:eastAsia="MS PGothic" w:hAnsi="Times New Roman"/>
          <w:i/>
          <w:iCs/>
          <w:sz w:val="20"/>
        </w:rPr>
        <w:t>;</w:t>
      </w:r>
    </w:p>
    <w:p w14:paraId="1D9F4321" w14:textId="77777777" w:rsidR="00514EBE" w:rsidRPr="00197727" w:rsidRDefault="00514EBE" w:rsidP="00197727">
      <w:pPr>
        <w:snapToGrid w:val="0"/>
        <w:spacing w:after="120"/>
        <w:ind w:left="142" w:hanging="142"/>
        <w:rPr>
          <w:rFonts w:ascii="Times New Roman" w:eastAsia="MS PGothic" w:hAnsi="Times New Roman"/>
          <w:i/>
          <w:iCs/>
          <w:sz w:val="20"/>
        </w:rPr>
      </w:pPr>
      <w:r w:rsidRPr="00197727">
        <w:rPr>
          <w:rFonts w:ascii="Times New Roman" w:eastAsia="MS PGothic" w:hAnsi="Times New Roman"/>
          <w:i/>
          <w:iCs/>
          <w:sz w:val="20"/>
        </w:rPr>
        <w:t xml:space="preserve">3 </w:t>
      </w:r>
      <w:r w:rsidR="00197727" w:rsidRPr="00197727">
        <w:rPr>
          <w:rFonts w:ascii="Times New Roman" w:eastAsia="MS PGothic" w:hAnsi="Times New Roman"/>
          <w:i/>
          <w:iCs/>
          <w:sz w:val="20"/>
        </w:rPr>
        <w:t xml:space="preserve">INFIQC, </w:t>
      </w:r>
      <w:proofErr w:type="spellStart"/>
      <w:r w:rsidR="00197727" w:rsidRPr="00197727">
        <w:rPr>
          <w:rFonts w:ascii="Times New Roman" w:eastAsia="MS PGothic" w:hAnsi="Times New Roman"/>
          <w:i/>
          <w:iCs/>
          <w:sz w:val="20"/>
        </w:rPr>
        <w:t>Universidad</w:t>
      </w:r>
      <w:proofErr w:type="spellEnd"/>
      <w:r w:rsidR="00197727" w:rsidRPr="00197727">
        <w:rPr>
          <w:rFonts w:ascii="Times New Roman" w:eastAsia="MS PGothic" w:hAnsi="Times New Roman"/>
          <w:i/>
          <w:iCs/>
          <w:sz w:val="20"/>
        </w:rPr>
        <w:t xml:space="preserve"> </w:t>
      </w:r>
      <w:proofErr w:type="spellStart"/>
      <w:r w:rsidR="00197727" w:rsidRPr="00197727">
        <w:rPr>
          <w:rFonts w:ascii="Times New Roman" w:eastAsia="MS PGothic" w:hAnsi="Times New Roman"/>
          <w:i/>
          <w:iCs/>
          <w:sz w:val="20"/>
        </w:rPr>
        <w:t>Nacional</w:t>
      </w:r>
      <w:proofErr w:type="spellEnd"/>
      <w:r w:rsidR="00197727" w:rsidRPr="00197727">
        <w:rPr>
          <w:rFonts w:ascii="Times New Roman" w:eastAsia="MS PGothic" w:hAnsi="Times New Roman"/>
          <w:i/>
          <w:iCs/>
          <w:sz w:val="20"/>
        </w:rPr>
        <w:t xml:space="preserve"> de Córdoba, </w:t>
      </w:r>
      <w:proofErr w:type="spellStart"/>
      <w:r w:rsidR="00197727" w:rsidRPr="00197727">
        <w:rPr>
          <w:rFonts w:ascii="Times New Roman" w:eastAsia="MS PGothic" w:hAnsi="Times New Roman"/>
          <w:i/>
          <w:iCs/>
          <w:sz w:val="20"/>
        </w:rPr>
        <w:t>Facultad</w:t>
      </w:r>
      <w:proofErr w:type="spellEnd"/>
      <w:r w:rsidR="00197727" w:rsidRPr="00197727">
        <w:rPr>
          <w:rFonts w:ascii="Times New Roman" w:eastAsia="MS PGothic" w:hAnsi="Times New Roman"/>
          <w:i/>
          <w:iCs/>
          <w:sz w:val="20"/>
        </w:rPr>
        <w:t xml:space="preserve"> de </w:t>
      </w:r>
      <w:proofErr w:type="spellStart"/>
      <w:r w:rsidR="00197727" w:rsidRPr="00197727">
        <w:rPr>
          <w:rFonts w:ascii="Times New Roman" w:eastAsia="MS PGothic" w:hAnsi="Times New Roman"/>
          <w:i/>
          <w:iCs/>
          <w:sz w:val="20"/>
        </w:rPr>
        <w:t>Ciencias</w:t>
      </w:r>
      <w:proofErr w:type="spellEnd"/>
      <w:r w:rsidR="00197727" w:rsidRPr="00197727">
        <w:rPr>
          <w:rFonts w:ascii="Times New Roman" w:eastAsia="MS PGothic" w:hAnsi="Times New Roman"/>
          <w:i/>
          <w:iCs/>
          <w:sz w:val="20"/>
        </w:rPr>
        <w:t xml:space="preserve"> </w:t>
      </w:r>
      <w:proofErr w:type="spellStart"/>
      <w:r w:rsidR="00197727" w:rsidRPr="00197727">
        <w:rPr>
          <w:rFonts w:ascii="Times New Roman" w:eastAsia="MS PGothic" w:hAnsi="Times New Roman"/>
          <w:i/>
          <w:iCs/>
          <w:sz w:val="20"/>
        </w:rPr>
        <w:t>Químicas</w:t>
      </w:r>
      <w:proofErr w:type="spellEnd"/>
      <w:r w:rsidR="00197727" w:rsidRPr="00197727">
        <w:rPr>
          <w:rFonts w:ascii="Times New Roman" w:eastAsia="MS PGothic" w:hAnsi="Times New Roman"/>
          <w:i/>
          <w:iCs/>
          <w:sz w:val="20"/>
        </w:rPr>
        <w:t xml:space="preserve">, </w:t>
      </w:r>
      <w:proofErr w:type="spellStart"/>
      <w:r w:rsidR="00197727" w:rsidRPr="00197727">
        <w:rPr>
          <w:rFonts w:ascii="Times New Roman" w:eastAsia="MS PGothic" w:hAnsi="Times New Roman"/>
          <w:i/>
          <w:iCs/>
          <w:sz w:val="20"/>
        </w:rPr>
        <w:t>Departamento</w:t>
      </w:r>
      <w:proofErr w:type="spellEnd"/>
      <w:r w:rsidR="00197727" w:rsidRPr="00197727">
        <w:rPr>
          <w:rFonts w:ascii="Times New Roman" w:eastAsia="MS PGothic" w:hAnsi="Times New Roman"/>
          <w:i/>
          <w:iCs/>
          <w:sz w:val="20"/>
        </w:rPr>
        <w:t xml:space="preserve"> de </w:t>
      </w:r>
      <w:proofErr w:type="spellStart"/>
      <w:r w:rsidR="00197727" w:rsidRPr="00197727">
        <w:rPr>
          <w:rFonts w:ascii="Times New Roman" w:eastAsia="MS PGothic" w:hAnsi="Times New Roman"/>
          <w:i/>
          <w:iCs/>
          <w:sz w:val="20"/>
        </w:rPr>
        <w:t>Química</w:t>
      </w:r>
      <w:proofErr w:type="spellEnd"/>
      <w:r w:rsidR="00197727" w:rsidRPr="00197727">
        <w:rPr>
          <w:rFonts w:ascii="Times New Roman" w:eastAsia="MS PGothic" w:hAnsi="Times New Roman"/>
          <w:i/>
          <w:iCs/>
          <w:sz w:val="20"/>
        </w:rPr>
        <w:t xml:space="preserve"> </w:t>
      </w:r>
      <w:proofErr w:type="spellStart"/>
      <w:r w:rsidR="00197727" w:rsidRPr="00197727">
        <w:rPr>
          <w:rFonts w:ascii="Times New Roman" w:eastAsia="MS PGothic" w:hAnsi="Times New Roman"/>
          <w:i/>
          <w:iCs/>
          <w:sz w:val="20"/>
        </w:rPr>
        <w:t>Teórica</w:t>
      </w:r>
      <w:proofErr w:type="spellEnd"/>
      <w:r w:rsidR="00197727" w:rsidRPr="00197727">
        <w:rPr>
          <w:rFonts w:ascii="Times New Roman" w:eastAsia="MS PGothic" w:hAnsi="Times New Roman"/>
          <w:i/>
          <w:iCs/>
          <w:sz w:val="20"/>
        </w:rPr>
        <w:t xml:space="preserve"> y </w:t>
      </w:r>
      <w:proofErr w:type="spellStart"/>
      <w:r w:rsidR="00197727" w:rsidRPr="00197727">
        <w:rPr>
          <w:rFonts w:ascii="Times New Roman" w:eastAsia="MS PGothic" w:hAnsi="Times New Roman"/>
          <w:i/>
          <w:iCs/>
          <w:sz w:val="20"/>
        </w:rPr>
        <w:t>Computacional</w:t>
      </w:r>
      <w:proofErr w:type="spellEnd"/>
      <w:r w:rsidR="00197727" w:rsidRPr="00197727">
        <w:rPr>
          <w:rFonts w:ascii="Times New Roman" w:eastAsia="MS PGothic" w:hAnsi="Times New Roman"/>
          <w:i/>
          <w:iCs/>
          <w:sz w:val="20"/>
        </w:rPr>
        <w:t>, CONICET, Ciudad Universitaria, X5000HUA Córdoba, Argentina</w:t>
      </w:r>
    </w:p>
    <w:p w14:paraId="01DF0503" w14:textId="77777777" w:rsidR="00DA51A3" w:rsidRPr="00197727" w:rsidRDefault="00DA51A3" w:rsidP="00DA51A3">
      <w:pPr>
        <w:snapToGrid w:val="0"/>
        <w:jc w:val="center"/>
        <w:rPr>
          <w:rFonts w:ascii="Times New Roman" w:eastAsia="MS PGothic" w:hAnsi="Times New Roman"/>
          <w:bCs/>
          <w:i/>
          <w:iCs/>
          <w:sz w:val="20"/>
          <w:lang w:val="en-US"/>
        </w:rPr>
      </w:pPr>
      <w:r w:rsidRPr="00197727">
        <w:rPr>
          <w:rFonts w:ascii="Times New Roman" w:eastAsia="MS PGothic" w:hAnsi="Times New Roman"/>
          <w:bCs/>
          <w:i/>
          <w:iCs/>
          <w:sz w:val="20"/>
          <w:lang w:val="en-US"/>
        </w:rPr>
        <w:t>*Corresponding author</w:t>
      </w:r>
      <w:r w:rsidRPr="00197727">
        <w:rPr>
          <w:rFonts w:ascii="Times New Roman" w:eastAsia="MS PGothic" w:hAnsi="Times New Roman"/>
          <w:bCs/>
          <w:i/>
          <w:iCs/>
          <w:sz w:val="20"/>
          <w:lang w:val="en-US" w:eastAsia="ko-KR"/>
        </w:rPr>
        <w:t xml:space="preserve"> E-Mail: </w:t>
      </w:r>
      <w:r w:rsidR="00197727" w:rsidRPr="00197727">
        <w:rPr>
          <w:rFonts w:ascii="Times New Roman" w:eastAsia="MS PGothic" w:hAnsi="Times New Roman"/>
          <w:bCs/>
          <w:i/>
          <w:iCs/>
          <w:sz w:val="20"/>
          <w:lang w:val="en-US"/>
        </w:rPr>
        <w:t>f.petrosino@</w:t>
      </w:r>
      <w:r w:rsidR="00197727">
        <w:rPr>
          <w:rFonts w:ascii="Times New Roman" w:eastAsia="MS PGothic" w:hAnsi="Times New Roman"/>
          <w:bCs/>
          <w:i/>
          <w:iCs/>
          <w:sz w:val="20"/>
          <w:lang w:val="en-US"/>
        </w:rPr>
        <w:t>dimes.unical.it</w:t>
      </w:r>
    </w:p>
    <w:p w14:paraId="63CFE428" w14:textId="77777777" w:rsidR="00DA51A3" w:rsidRPr="00197727" w:rsidRDefault="00DA51A3" w:rsidP="00DA51A3">
      <w:pPr>
        <w:snapToGrid w:val="0"/>
        <w:spacing w:after="120"/>
        <w:jc w:val="center"/>
        <w:rPr>
          <w:rFonts w:ascii="Times New Roman" w:eastAsia="SimSun" w:hAnsi="Times New Roman"/>
          <w:bCs/>
          <w:i/>
          <w:iCs/>
          <w:sz w:val="20"/>
          <w:lang w:val="en-US" w:eastAsia="zh-CN"/>
        </w:rPr>
      </w:pPr>
    </w:p>
    <w:p w14:paraId="3970C8D9" w14:textId="77777777" w:rsidR="00DA51A3" w:rsidRPr="00466FFD" w:rsidRDefault="00DA51A3" w:rsidP="00DA51A3">
      <w:pPr>
        <w:snapToGrid w:val="0"/>
        <w:spacing w:line="300" w:lineRule="auto"/>
        <w:rPr>
          <w:rFonts w:ascii="Times New Roman" w:eastAsia="MS PGothic" w:hAnsi="Times New Roman"/>
          <w:b/>
          <w:bCs/>
          <w:lang w:val="en-US" w:eastAsia="ko-KR"/>
        </w:rPr>
      </w:pPr>
      <w:r w:rsidRPr="00466FFD">
        <w:rPr>
          <w:rFonts w:ascii="Times New Roman" w:eastAsia="MS PGothic" w:hAnsi="Times New Roman"/>
          <w:b/>
          <w:bCs/>
          <w:lang w:val="en-US"/>
        </w:rPr>
        <w:t>1.</w:t>
      </w:r>
      <w:r w:rsidR="003F160A">
        <w:rPr>
          <w:rFonts w:ascii="Times New Roman" w:eastAsia="MS PGothic" w:hAnsi="Times New Roman"/>
          <w:b/>
          <w:bCs/>
          <w:lang w:val="en-US"/>
        </w:rPr>
        <w:t>Introduction</w:t>
      </w:r>
    </w:p>
    <w:p w14:paraId="36D5F00B" w14:textId="342B71D3" w:rsidR="006F0BBC" w:rsidRDefault="00CD184C" w:rsidP="003C6B73">
      <w:pPr>
        <w:snapToGrid w:val="0"/>
        <w:spacing w:after="120"/>
        <w:jc w:val="both"/>
        <w:rPr>
          <w:rFonts w:ascii="Times New Roman" w:eastAsia="MS PGothic" w:hAnsi="Times New Roman"/>
          <w:lang w:val="en-US"/>
        </w:rPr>
      </w:pPr>
      <w:r w:rsidRPr="00CD184C">
        <w:rPr>
          <w:rFonts w:ascii="Times New Roman" w:eastAsia="MS PGothic" w:hAnsi="Times New Roman"/>
          <w:lang w:val="en-US"/>
        </w:rPr>
        <w:t>Multiscale approaches are receiving more and more interest in different scientific and technological</w:t>
      </w:r>
      <w:r>
        <w:rPr>
          <w:rFonts w:ascii="Times New Roman" w:eastAsia="MS PGothic" w:hAnsi="Times New Roman"/>
          <w:lang w:val="en-US"/>
        </w:rPr>
        <w:t xml:space="preserve"> </w:t>
      </w:r>
      <w:r w:rsidRPr="00CD184C">
        <w:rPr>
          <w:rFonts w:ascii="Times New Roman" w:eastAsia="MS PGothic" w:hAnsi="Times New Roman"/>
          <w:lang w:val="en-US"/>
        </w:rPr>
        <w:t>areas. “Multiscale simulation can be defined as the enabling technology of science and engineering</w:t>
      </w:r>
      <w:r>
        <w:rPr>
          <w:rFonts w:ascii="Times New Roman" w:eastAsia="MS PGothic" w:hAnsi="Times New Roman"/>
          <w:lang w:val="en-US"/>
        </w:rPr>
        <w:t xml:space="preserve"> </w:t>
      </w:r>
      <w:r w:rsidRPr="00CD184C">
        <w:rPr>
          <w:rFonts w:ascii="Times New Roman" w:eastAsia="MS PGothic" w:hAnsi="Times New Roman"/>
          <w:lang w:val="en-US"/>
        </w:rPr>
        <w:t>that links phenomena, models, and information between various scales of complex systems</w:t>
      </w:r>
      <w:r w:rsidR="00197727">
        <w:rPr>
          <w:rFonts w:ascii="Times New Roman" w:eastAsia="MS PGothic" w:hAnsi="Times New Roman"/>
          <w:lang w:val="en-US"/>
        </w:rPr>
        <w:t xml:space="preserve"> </w:t>
      </w:r>
      <w:r>
        <w:rPr>
          <w:rFonts w:ascii="Times New Roman" w:eastAsia="MS PGothic" w:hAnsi="Times New Roman"/>
          <w:lang w:val="en-US"/>
        </w:rPr>
        <w:fldChar w:fldCharType="begin" w:fldLock="1"/>
      </w:r>
      <w:r w:rsidR="00197727">
        <w:rPr>
          <w:rFonts w:ascii="Times New Roman" w:eastAsia="MS PGothic" w:hAnsi="Times New Roman"/>
          <w:lang w:val="en-US"/>
        </w:rPr>
        <w:instrText>ADDIN CSL_CITATION {"citationItems":[{"id":"ITEM-1","itemData":{"DOI":"10.1016/j.porgcoat.2006.08.028","ISBN":"0300-9440","ISSN":"0300-9440","abstract":"Atomistic-based simulations such as molecular mechanics (MM), molecular dynamics (MD), and Monte Carlo-based methods (MC) have come into wide use for materials design. Using these atomistic simulation tools, one can analyze molecular structure oil the scale of 0.1-10 nm. Although molecular structures can be studied easily and extensively by these atom-based simulations, it is less realistic to predict structures defined on the scale of 100-1000 nm with these methods. For the morphology on these scales, mesoscopic modeling techniques such as the dynamic mean field density functional theory (Mesodyn) and dissipative particle dynamics (DPD) are now available as effective simulation tools. Furthermore, it is possible to transfer the simulated mesoscopic structure to finite element modeling tools (FEM) for calculating macroscopic properties for a given system of interest. In this paper, we present a hierarchical procedure for bridging the gap between atomistic and macroscopic modeling passing through mesoscopic simulations. In particular, we will discuss the concept of multiscale modeling, and present examples of applications of multiscale procedures to polymer-organoclay nanocomposites. Examples of application of multiscale modeling to immiscible polymer blends and polymer-carbon nanotubes systems will also be presented. (C) 2006 Elsevier B.V. All rights reserved.","author":[{"dropping-particle":"","family":"Fermeglia","given":"M","non-dropping-particle":"","parse-names":false,"suffix":""},{"dropping-particle":"","family":"Pricl","given":"S","non-dropping-particle":"","parse-names":false,"suffix":""}],"container-title":"Progress in Organic Coatings","id":"ITEM-1","issue":"2-3","issued":{"date-parts":[["2007"]]},"page":"187-199","title":"Multiscale modeling for polymer systems of industrial interest","type":"article-journal","volume":"58"},"uris":["http://www.mendeley.com/documents/?uuid=57ec338c-8caf-414b-940e-bcfbdea37d0f"]}],"mendeley":{"formattedCitation":"[1]","plainTextFormattedCitation":"[1]","previouslyFormattedCitation":"[1]"},"properties":{"noteIndex":0},"schema":"https://github.com/citation-style-language/schema/raw/master/csl-citation.json"}</w:instrText>
      </w:r>
      <w:r>
        <w:rPr>
          <w:rFonts w:ascii="Times New Roman" w:eastAsia="MS PGothic" w:hAnsi="Times New Roman"/>
          <w:lang w:val="en-US"/>
        </w:rPr>
        <w:fldChar w:fldCharType="separate"/>
      </w:r>
      <w:r w:rsidR="00197727" w:rsidRPr="00197727">
        <w:rPr>
          <w:rFonts w:ascii="Times New Roman" w:eastAsia="MS PGothic" w:hAnsi="Times New Roman"/>
          <w:noProof/>
          <w:lang w:val="en-US"/>
        </w:rPr>
        <w:t>[1]</w:t>
      </w:r>
      <w:r>
        <w:rPr>
          <w:rFonts w:ascii="Times New Roman" w:eastAsia="MS PGothic" w:hAnsi="Times New Roman"/>
          <w:lang w:val="en-US"/>
        </w:rPr>
        <w:fldChar w:fldCharType="end"/>
      </w:r>
      <w:r w:rsidR="00197727">
        <w:rPr>
          <w:rFonts w:ascii="Times New Roman" w:eastAsia="MS PGothic" w:hAnsi="Times New Roman"/>
          <w:lang w:val="en-US"/>
        </w:rPr>
        <w:t>.</w:t>
      </w:r>
      <w:r>
        <w:rPr>
          <w:rFonts w:ascii="Times New Roman" w:eastAsia="MS PGothic" w:hAnsi="Times New Roman"/>
          <w:lang w:val="en-US"/>
        </w:rPr>
        <w:t xml:space="preserve"> </w:t>
      </w:r>
      <w:r w:rsidRPr="00CD184C">
        <w:rPr>
          <w:rFonts w:ascii="Times New Roman" w:eastAsia="MS PGothic" w:hAnsi="Times New Roman"/>
          <w:lang w:val="en-US"/>
        </w:rPr>
        <w:t>Nowadays, one of the major challenges in chemical engineering resides in the description of complex</w:t>
      </w:r>
      <w:r>
        <w:rPr>
          <w:rFonts w:ascii="Times New Roman" w:eastAsia="MS PGothic" w:hAnsi="Times New Roman"/>
          <w:lang w:val="en-US"/>
        </w:rPr>
        <w:t xml:space="preserve"> </w:t>
      </w:r>
      <w:r w:rsidRPr="00CD184C">
        <w:rPr>
          <w:rFonts w:ascii="Times New Roman" w:eastAsia="MS PGothic" w:hAnsi="Times New Roman"/>
          <w:lang w:val="en-US"/>
        </w:rPr>
        <w:t>phenomena, which are essentially multiscale in nature.</w:t>
      </w:r>
      <w:r w:rsidR="005F05B6">
        <w:rPr>
          <w:rFonts w:ascii="Times New Roman" w:eastAsia="MS PGothic" w:hAnsi="Times New Roman"/>
          <w:lang w:val="en-US"/>
        </w:rPr>
        <w:t xml:space="preserve"> </w:t>
      </w:r>
      <w:r w:rsidR="005F05B6" w:rsidRPr="005F05B6">
        <w:rPr>
          <w:rFonts w:ascii="Times New Roman" w:eastAsia="MS PGothic" w:hAnsi="Times New Roman"/>
          <w:lang w:val="en-US"/>
        </w:rPr>
        <w:t>Multiscale simulations</w:t>
      </w:r>
      <w:r w:rsidR="005F05B6">
        <w:rPr>
          <w:rFonts w:ascii="Times New Roman" w:eastAsia="MS PGothic" w:hAnsi="Times New Roman"/>
          <w:lang w:val="en-US"/>
        </w:rPr>
        <w:t xml:space="preserve"> </w:t>
      </w:r>
      <w:r w:rsidR="005F05B6" w:rsidRPr="005F05B6">
        <w:rPr>
          <w:rFonts w:ascii="Times New Roman" w:eastAsia="MS PGothic" w:hAnsi="Times New Roman"/>
          <w:lang w:val="en-US"/>
        </w:rPr>
        <w:t>allow properly</w:t>
      </w:r>
      <w:r w:rsidR="005F05B6">
        <w:rPr>
          <w:rFonts w:ascii="Times New Roman" w:eastAsia="MS PGothic" w:hAnsi="Times New Roman"/>
          <w:lang w:val="en-US"/>
        </w:rPr>
        <w:t xml:space="preserve"> </w:t>
      </w:r>
      <w:r w:rsidR="005F05B6" w:rsidRPr="005F05B6">
        <w:rPr>
          <w:rFonts w:ascii="Times New Roman" w:eastAsia="MS PGothic" w:hAnsi="Times New Roman"/>
          <w:lang w:val="en-US"/>
        </w:rPr>
        <w:t>modeling and analyzing the connections between different scales so to determine how a change</w:t>
      </w:r>
      <w:r w:rsidR="005F05B6">
        <w:rPr>
          <w:rFonts w:ascii="Times New Roman" w:eastAsia="MS PGothic" w:hAnsi="Times New Roman"/>
          <w:lang w:val="en-US"/>
        </w:rPr>
        <w:t xml:space="preserve"> </w:t>
      </w:r>
      <w:r w:rsidR="005F05B6" w:rsidRPr="005F05B6">
        <w:rPr>
          <w:rFonts w:ascii="Times New Roman" w:eastAsia="MS PGothic" w:hAnsi="Times New Roman"/>
          <w:lang w:val="en-US"/>
        </w:rPr>
        <w:t>or even a perturbation at one scale may influence the results at a different scale of detail</w:t>
      </w:r>
      <w:r w:rsidR="00197727">
        <w:rPr>
          <w:rFonts w:ascii="Times New Roman" w:eastAsia="MS PGothic" w:hAnsi="Times New Roman"/>
          <w:lang w:val="en-US"/>
        </w:rPr>
        <w:t xml:space="preserve"> </w:t>
      </w:r>
      <w:r w:rsidR="005F05B6">
        <w:rPr>
          <w:rFonts w:ascii="Times New Roman" w:eastAsia="MS PGothic" w:hAnsi="Times New Roman"/>
          <w:lang w:val="en-US"/>
        </w:rPr>
        <w:fldChar w:fldCharType="begin" w:fldLock="1"/>
      </w:r>
      <w:r w:rsidR="00197727">
        <w:rPr>
          <w:rFonts w:ascii="Times New Roman" w:eastAsia="MS PGothic" w:hAnsi="Times New Roman"/>
          <w:lang w:val="en-US"/>
        </w:rPr>
        <w:instrText>ADDIN CSL_CITATION {"citationItems":[{"id":"ITEM-1","itemData":{"DOI":"10.1038/s41570-018-0148","ISSN":"2397-3358","abstract":"Drug action is inherently multiscale: it connects molecular interactions to emergent properties at cellular and larger scales. Simulation techniques at each of these different scales are already central to drug design and development, but methods capable of connecting across these scales will extend our understanding of complex mechanisms and our ability to predict biological effects. Improved algorithms, ever-more-powerful computing architectures and the accelerating growth of rich data sets are driving advances in multiscale modelling methods capable of bridging chemical and biological complexity from the atom to the cell. Particularly exciting is the development of highly detailed, structure-based physical simulations of biochemical systems, which can now reach experimentally relevant timescales for large systems and, at the same time, achieve unprecedented accuracy. In this Perspective, we discuss how emerging data-rich, physics-based multiscale approaches are on the cusp of realizing their long-promised impact on the discovery, design and development of novel therapeutics. We highlight emerging methods and applications in this growing field and outline how different scales can be combined in practical modelling and simulation strategies. Simulation techniques that describe chemical processes on different spatiotemporal scales are central to drug design. Multiscale methods enable us to study processes across different scales simultaneously, thereby bridging chemical and biological complexity. This Perspective highlights how physics-based multiscale approaches are on the cusp of delivering their long-promised impact on the discovery, design and development of therapeutics.","author":[{"dropping-particle":"","family":"Amaro","given":"Rommie E.","non-dropping-particle":"","parse-names":false,"suffix":""},{"dropping-particle":"","family":"Mulholland","given":"Adrian J.","non-dropping-particle":"","parse-names":false,"suffix":""}],"container-title":"Nature Reviews Chemistry 2018 2:4","id":"ITEM-1","issue":"4","issued":{"date-parts":[["2018","4","11"]]},"page":"1-12","publisher":"Nature Publishing Group","title":"Multiscale methods in drug design bridge chemical and biological complexity in the search for cures","type":"article-journal","volume":"2"},"uris":["http://www.mendeley.com/documents/?uuid=b88cdd36-9ec9-3033-bb10-923d199aaf6d"]}],"mendeley":{"formattedCitation":"[2]","plainTextFormattedCitation":"[2]","previouslyFormattedCitation":"[2]"},"properties":{"noteIndex":0},"schema":"https://github.com/citation-style-language/schema/raw/master/csl-citation.json"}</w:instrText>
      </w:r>
      <w:r w:rsidR="005F05B6">
        <w:rPr>
          <w:rFonts w:ascii="Times New Roman" w:eastAsia="MS PGothic" w:hAnsi="Times New Roman"/>
          <w:lang w:val="en-US"/>
        </w:rPr>
        <w:fldChar w:fldCharType="separate"/>
      </w:r>
      <w:r w:rsidR="00197727" w:rsidRPr="00197727">
        <w:rPr>
          <w:rFonts w:ascii="Times New Roman" w:eastAsia="MS PGothic" w:hAnsi="Times New Roman"/>
          <w:noProof/>
          <w:lang w:val="en-US"/>
        </w:rPr>
        <w:t>[2]</w:t>
      </w:r>
      <w:r w:rsidR="005F05B6">
        <w:rPr>
          <w:rFonts w:ascii="Times New Roman" w:eastAsia="MS PGothic" w:hAnsi="Times New Roman"/>
          <w:lang w:val="en-US"/>
        </w:rPr>
        <w:fldChar w:fldCharType="end"/>
      </w:r>
      <w:r w:rsidR="00197727">
        <w:rPr>
          <w:rFonts w:ascii="Times New Roman" w:eastAsia="MS PGothic" w:hAnsi="Times New Roman"/>
          <w:lang w:val="en-US"/>
        </w:rPr>
        <w:t>.</w:t>
      </w:r>
      <w:r w:rsidR="005F05B6">
        <w:rPr>
          <w:rFonts w:ascii="Times New Roman" w:eastAsia="MS PGothic" w:hAnsi="Times New Roman"/>
          <w:lang w:val="en-US"/>
        </w:rPr>
        <w:t xml:space="preserve"> </w:t>
      </w:r>
      <w:r w:rsidR="003C6B73" w:rsidRPr="003C6B73">
        <w:rPr>
          <w:rFonts w:ascii="Times New Roman" w:eastAsia="MS PGothic" w:hAnsi="Times New Roman"/>
          <w:lang w:val="en-US"/>
        </w:rPr>
        <w:t xml:space="preserve">Incorporating the transition from one to another scale </w:t>
      </w:r>
      <w:r w:rsidR="00AA16D8">
        <w:rPr>
          <w:rFonts w:ascii="Times New Roman" w:eastAsia="MS PGothic" w:hAnsi="Times New Roman"/>
          <w:lang w:val="en-US"/>
        </w:rPr>
        <w:t>with</w:t>
      </w:r>
      <w:r w:rsidR="003C6B73" w:rsidRPr="003C6B73">
        <w:rPr>
          <w:rFonts w:ascii="Times New Roman" w:eastAsia="MS PGothic" w:hAnsi="Times New Roman"/>
          <w:lang w:val="en-US"/>
        </w:rPr>
        <w:t>in a multiscale approach is a real challenge</w:t>
      </w:r>
      <w:r w:rsidR="003C6B73">
        <w:rPr>
          <w:rFonts w:ascii="Times New Roman" w:eastAsia="MS PGothic" w:hAnsi="Times New Roman"/>
          <w:lang w:val="en-US"/>
        </w:rPr>
        <w:t xml:space="preserve"> </w:t>
      </w:r>
      <w:r w:rsidR="00AA16D8">
        <w:rPr>
          <w:rFonts w:ascii="Times New Roman" w:eastAsia="MS PGothic" w:hAnsi="Times New Roman"/>
          <w:lang w:val="en-US"/>
        </w:rPr>
        <w:t>in several</w:t>
      </w:r>
      <w:r w:rsidR="003C6B73" w:rsidRPr="003C6B73">
        <w:rPr>
          <w:rFonts w:ascii="Times New Roman" w:eastAsia="MS PGothic" w:hAnsi="Times New Roman"/>
          <w:lang w:val="en-US"/>
        </w:rPr>
        <w:t xml:space="preserve"> </w:t>
      </w:r>
      <w:r w:rsidR="008946E8">
        <w:rPr>
          <w:rFonts w:ascii="Times New Roman" w:eastAsia="MS PGothic" w:hAnsi="Times New Roman"/>
          <w:lang w:val="en-US"/>
        </w:rPr>
        <w:t>chemical engineering</w:t>
      </w:r>
      <w:r w:rsidR="003C6B73" w:rsidRPr="003C6B73">
        <w:rPr>
          <w:rFonts w:ascii="Times New Roman" w:eastAsia="MS PGothic" w:hAnsi="Times New Roman"/>
          <w:lang w:val="en-US"/>
        </w:rPr>
        <w:t xml:space="preserve"> applications. Localized properties at the microscale have to be</w:t>
      </w:r>
      <w:r w:rsidR="003C6B73">
        <w:rPr>
          <w:rFonts w:ascii="Times New Roman" w:eastAsia="MS PGothic" w:hAnsi="Times New Roman"/>
          <w:lang w:val="en-US"/>
        </w:rPr>
        <w:t xml:space="preserve"> </w:t>
      </w:r>
      <w:r w:rsidR="003C6B73" w:rsidRPr="003C6B73">
        <w:rPr>
          <w:rFonts w:ascii="Times New Roman" w:eastAsia="MS PGothic" w:hAnsi="Times New Roman"/>
          <w:lang w:val="en-US"/>
        </w:rPr>
        <w:t>incorporated directly in the macroscale description without any averaging due to their model key role.</w:t>
      </w:r>
      <w:r w:rsidR="003C6B73">
        <w:rPr>
          <w:rFonts w:ascii="Times New Roman" w:eastAsia="MS PGothic" w:hAnsi="Times New Roman"/>
          <w:lang w:val="en-US"/>
        </w:rPr>
        <w:t xml:space="preserve"> </w:t>
      </w:r>
      <w:r w:rsidR="003C6B73" w:rsidRPr="003C6B73">
        <w:rPr>
          <w:rFonts w:ascii="Times New Roman" w:eastAsia="MS PGothic" w:hAnsi="Times New Roman"/>
          <w:lang w:val="en-US"/>
        </w:rPr>
        <w:t>However, multiscale approaches are not restricted to chemical engineering problems: environmental,</w:t>
      </w:r>
      <w:r w:rsidR="003C6B73">
        <w:rPr>
          <w:rFonts w:ascii="Times New Roman" w:eastAsia="MS PGothic" w:hAnsi="Times New Roman"/>
          <w:lang w:val="en-US"/>
        </w:rPr>
        <w:t xml:space="preserve"> </w:t>
      </w:r>
      <w:r w:rsidR="003C6B73" w:rsidRPr="003C6B73">
        <w:rPr>
          <w:rFonts w:ascii="Times New Roman" w:eastAsia="MS PGothic" w:hAnsi="Times New Roman"/>
          <w:lang w:val="en-US"/>
        </w:rPr>
        <w:t>biological, medical, astrophysical situations would equally benefit from such approaches.</w:t>
      </w:r>
      <w:r w:rsidR="003C6B73">
        <w:rPr>
          <w:rFonts w:ascii="Times New Roman" w:eastAsia="MS PGothic" w:hAnsi="Times New Roman"/>
          <w:lang w:val="en-US"/>
        </w:rPr>
        <w:t xml:space="preserve"> </w:t>
      </w:r>
    </w:p>
    <w:p w14:paraId="4866AD36" w14:textId="377A38B5" w:rsidR="001E0BC4" w:rsidRDefault="003C6B73" w:rsidP="003C6B73">
      <w:pPr>
        <w:snapToGrid w:val="0"/>
        <w:spacing w:after="120"/>
        <w:jc w:val="both"/>
        <w:rPr>
          <w:rFonts w:ascii="Times New Roman" w:eastAsia="MS PGothic" w:hAnsi="Times New Roman"/>
          <w:lang w:val="en-US"/>
        </w:rPr>
      </w:pPr>
      <w:r w:rsidRPr="003C6B73">
        <w:rPr>
          <w:rFonts w:ascii="Times New Roman" w:eastAsia="MS PGothic" w:hAnsi="Times New Roman"/>
          <w:lang w:val="en-US"/>
        </w:rPr>
        <w:t>Given the importance of these modeling techniques and given the different studies carried out by our</w:t>
      </w:r>
      <w:r>
        <w:rPr>
          <w:rFonts w:ascii="Times New Roman" w:eastAsia="MS PGothic" w:hAnsi="Times New Roman"/>
          <w:lang w:val="en-US"/>
        </w:rPr>
        <w:t xml:space="preserve"> </w:t>
      </w:r>
      <w:r w:rsidRPr="003C6B73">
        <w:rPr>
          <w:rFonts w:ascii="Times New Roman" w:eastAsia="MS PGothic" w:hAnsi="Times New Roman"/>
          <w:lang w:val="en-US"/>
        </w:rPr>
        <w:t xml:space="preserve">research group in this area </w:t>
      </w:r>
      <w:r>
        <w:rPr>
          <w:rFonts w:ascii="Times New Roman" w:eastAsia="MS PGothic" w:hAnsi="Times New Roman"/>
          <w:lang w:val="en-US"/>
        </w:rPr>
        <w:fldChar w:fldCharType="begin" w:fldLock="1"/>
      </w:r>
      <w:r w:rsidR="00197727">
        <w:rPr>
          <w:rFonts w:ascii="Times New Roman" w:eastAsia="MS PGothic" w:hAnsi="Times New Roman"/>
          <w:lang w:val="en-US"/>
        </w:rPr>
        <w:instrText xml:space="preserve">ADDIN CSL_CITATION {"citationItems":[{"id":"ITEM-1","itemData":{"DOI":"10.1021/acs.jcim.8b00298","ISSN":"1549-9596","author":[{"dropping-particle":"","family":"Curcio","given":"S","non-dropping-particle":"","parse-names":false,"suffix":""},{"dropping-particle":"","family":"Petrosino","given":"F","non-dropping-particle":"","parse-names":false,"suffix":""},{"dropping-particle":"","family":"Morrone","given":"M","non-dropping-particle":"","parse-names":false,"suffix":""},{"dropping-particle":"","family":"Luca","given":"G","non-dropping-particle":"De","parse-names":false,"suffix":""}],"container-title":"Journal of Chemical Information and Modeling","id":"ITEM-1","issue":"9","issued":{"date-parts":[["2018","9","24"]]},"note":"doi: 10.1021/acs.jcim.8b00298","page":"1815-1827","publisher":"American Chemical Society","title":"Interactions between Proteins and the Membrane Surface in Multiscale Modeling of Organic Fouling","type":"article-journal","volume":"58"},"uris":["http://www.mendeley.com/documents/?uuid=a373e0ae-85aa-417e-bcbd-89f6d601fdc5"]},{"id":"ITEM-2","itemData":{"DOI":"10.3390/computation7040056","abstract":"Adsorption of the phosphotriesterase on a polysulfone membrane surface was investigated in this paper through a double-scale computational approach. Surface charges of the enzyme, as well as membrane, were calculated at sub and nanoscale while protein adsorption was simulated at larger scale. Adsorption energies were calculated as a function of the enzyme–surface distance, and for each distance, several protein rotations were tested to find the most stable orientations of the macromolecule. The results of this model were useful in obtaining information about the adhesion of the enzyme and to give indications on the orientations of its binding site. Adsorption energies agreed with the literature data. Furthermore, the binding site of the immobilized phosphotriesterase was less accessible with respect to native enzymes due to the steric hindrance of the polymer surface; thus, a reduction of its efficiency is expected. The proposed methodology made use of fundamental quantities, calculated without resorting to adjustable or empirical parameters, providing basic outputs useful for ascertaining enzymatic catalysis rate.","author":[{"dropping-particle":"","family":"Petrosino","given":"Francesco","non-dropping-particle":"","parse-names":false,"suffix":""},{"dropping-particle":"","family":"Curcio","given":"Stefano","non-dropping-particle":"","parse-names":false,"suffix":""},{"dropping-particle":"","family":"Chakraborty","given":"Sudip","non-dropping-particle":"","parse-names":false,"suffix":""},{"dropping-particle":"","family":"Luca","given":"Giorgio","non-dropping-particle":"De","parse-names":false,"suffix":""}],"container-title":"Computation","id":"ITEM-2","issued":{"date-parts":[["2019"]]},"title":"Enzyme Immobilization on Polymer Membranes: A Quantum and Molecular Mechanics Study","type":"article-journal"},"uris":["http://www.mendeley.com/documents/?uuid=98e70172-430d-4269-adfa-22dea7d54f1b"]},{"id":"ITEM-3","itemData":{"DOI":"10.1016/j.ces.2020.115762","ISSN":"00092509","abstract":"The calculation of the Osmotic Pressure and the Diffusion Coefficient, characterizing the cake layer developing during the Ultrafiltration (UF) of Bovine Serum Albumin (BSA), through a Multiscale Model based on Quantum Mechanics (QM) and Monte Carlo methods (MC) was the aim of this work. From the ab-initio results described in previous works, the distribution of the BSA surface charges was used. A home-made Metropolis MC algorithm, aimed at simulating the formation of BSA loose or concentrated layers during membrane operations, was also implemented. In such a MC algorithm, a DLVO energy calculation methodology of the adsorbed system was developed. Different MC simulations and Hypernetted Chain theory (HNC) calculations were performed so to determine both the Osmotic Pressure and the Diffusion Coefficient of BSA according to the Chun and Bowen approach, thus allowing a comparison between the calculated values of osmotic pressure and a set of experimental data taken from the literature. Such a comparison showed a good agreement between the simulated and the experimental results.","author":[{"dropping-particle":"","family":"Petrosino","given":"F.","non-dropping-particle":"","parse-names":false,"suffix":""},{"dropping-particle":"","family":"Hallez","given":"Y.","non-dropping-particle":"","parse-names":false,"suffix":""},{"dropping-particle":"","family":"Luca","given":"G.","non-dropping-particle":"De","parse-names":false,"suffix":""},{"dropping-particle":"","family":"Curcio","given":"S.","non-dropping-particle":"","parse-names":false,"suffix":""}],"container-title":"Chemical Engineering Science","id":"ITEM-3","issued":{"date-parts":[["2020","10","12"]]},"page":"115762","publisher":"Elsevier Ltd","title":"Osmotic pressure and transport coefficient in ultrafiltration: A Monte Carlo study using quantum surface charges","type":"article-journal","volume":"224"},"uris":["http://www.mendeley.com/documents/?uuid=c647d3a7-0009-39d4-b0b0-b54920a3a799"]},{"id":"ITEM-4","itemData":{"DOI":"10.1016/J.SEPPUR.2021.120125","ISSN":"1383-5866","PMID":"34785982","abstract":"The recent pandemic triggered numerous societal efforts aimed to control and limit the spread of SARS-CoV-2. One of these aspects is related on how the virion interacts with inanimate surfaces, which might be the source of secondary infection. Although recent works address the adsorption of the spike protein on surfaces, there is no information concerning the long-range interactions between spike and surfaces, experimented by the virion when is dispersed in the droplet before its possible adsorption. Some descriptors, namely the interaction potentials per single protein and global potentials, were calculated in this work. These descriptors, evaluated for the closed and open states of the spike protein, are correlated to the long-range noncovalent interactions between the SARS-CoV-2 spikes and polymeric surfaces. They are associated with the surface's affinity towards SARS-CoV-2 dispersed in respiratory droplets or water solutions. Molecular-Dynamics simulations were performed to model the surface of three synthetic polymeric materials: Polypropylene (PP), Polyethylene Terephthalate (PET), and Polylactic Acid (PLA), used in Molecular Mechanics simulations to define the above potentials. The descriptors show a similar trend for the three surfaces, highlighting a greater affinity towards the spikes of PP and PLA over PET. For closed and open structures, the long-range interactions with the surfaces decreased in the following order PP </w:instrText>
      </w:r>
      <w:r w:rsidR="00197727">
        <w:rPr>
          <w:rFonts w:ascii="Cambria Math" w:eastAsia="MS PGothic" w:hAnsi="Cambria Math" w:cs="Cambria Math"/>
          <w:lang w:val="en-US"/>
        </w:rPr>
        <w:instrText>∼</w:instrText>
      </w:r>
      <w:r w:rsidR="00197727">
        <w:rPr>
          <w:rFonts w:ascii="Times New Roman" w:eastAsia="MS PGothic" w:hAnsi="Times New Roman"/>
          <w:lang w:val="en-US"/>
        </w:rPr>
        <w:instrText xml:space="preserve"> PLA &gt; PET and PLA &gt; PP &gt; PET, respectively. Thus, PLA and PP interact with the virion quite distant from these surfaces to a greater extent concerning the PET surface, however, the differences among the considered surfaces were small. The global potentials show that the long-range interactions are weak compared to classic binding energy of covalent or ionic bonds. The proposed descriptors are useful most of all for a comparative study aimed at quickly preliminary screening of polymeric surfaces. The obtained results should be validated by more accurate method which will be subject of a subsequent work.","author":[{"dropping-particle":"","family":"Luca","given":"Giorgio","non-dropping-particle":"De","parse-names":false,"suffix":""},{"dropping-particle":"","family":"Petrosino","given":"Francesco","non-dropping-particle":"","parse-names":false,"suffix":""},{"dropping-particle":"","family":"Salvo","given":"Javier Luque","non-dropping-particle":"Di","parse-names":false,"suffix":""},{"dropping-particle":"","family":"Chakraborty","given":"Sudip","non-dropping-particle":"","parse-names":false,"suffix":""},{"dropping-particle":"","family":"Curcio","given":"Stefano","non-dropping-particle":"","parse-names":false,"suffix":""}],"container-title":"Separation and purification technology","id":"ITEM-4","issued":{"date-parts":[["2021","2","1"]]},"publisher":"Sep Purif Technol","title":"Advanced descriptors for long-range noncovalent interactions between SARS-CoV-2 spikes and polymer surfaces","type":"article-journal","volume":"282"},"uris":["http://www.mendeley.com/documents/?uuid=c259232d-e8ff-3b77-a8ce-26ce518ad053"]}],"mendeley":{"formattedCitation":"[3]–[6]","plainTextFormattedCitation":"[3]–[6]","previouslyFormattedCitation":"[3]–[6]"},"properties":{"noteIndex":0},"schema":"https://github.com/citation-style-language/schema/raw/master/csl-citation.json"}</w:instrText>
      </w:r>
      <w:r>
        <w:rPr>
          <w:rFonts w:ascii="Times New Roman" w:eastAsia="MS PGothic" w:hAnsi="Times New Roman"/>
          <w:lang w:val="en-US"/>
        </w:rPr>
        <w:fldChar w:fldCharType="separate"/>
      </w:r>
      <w:r w:rsidR="00197727" w:rsidRPr="00197727">
        <w:rPr>
          <w:rFonts w:ascii="Times New Roman" w:eastAsia="MS PGothic" w:hAnsi="Times New Roman"/>
          <w:noProof/>
          <w:lang w:val="en-US"/>
        </w:rPr>
        <w:t>[3]–[6]</w:t>
      </w:r>
      <w:r>
        <w:rPr>
          <w:rFonts w:ascii="Times New Roman" w:eastAsia="MS PGothic" w:hAnsi="Times New Roman"/>
          <w:lang w:val="en-US"/>
        </w:rPr>
        <w:fldChar w:fldCharType="end"/>
      </w:r>
      <w:r w:rsidRPr="003C6B73">
        <w:rPr>
          <w:rFonts w:ascii="Times New Roman" w:eastAsia="MS PGothic" w:hAnsi="Times New Roman"/>
          <w:lang w:val="en-US"/>
        </w:rPr>
        <w:t xml:space="preserve">, the present work </w:t>
      </w:r>
      <w:r w:rsidR="00AA16D8">
        <w:rPr>
          <w:rFonts w:ascii="Times New Roman" w:eastAsia="MS PGothic" w:hAnsi="Times New Roman"/>
          <w:lang w:val="en-US"/>
        </w:rPr>
        <w:t xml:space="preserve">is intended to </w:t>
      </w:r>
      <w:r w:rsidR="00CE70DF" w:rsidRPr="00CE70DF">
        <w:rPr>
          <w:rFonts w:ascii="Times New Roman" w:eastAsia="MS PGothic" w:hAnsi="Times New Roman"/>
          <w:lang w:val="en-US"/>
        </w:rPr>
        <w:t>propos</w:t>
      </w:r>
      <w:r w:rsidR="00AA16D8">
        <w:rPr>
          <w:rFonts w:ascii="Times New Roman" w:eastAsia="MS PGothic" w:hAnsi="Times New Roman"/>
          <w:lang w:val="en-US"/>
        </w:rPr>
        <w:t>e</w:t>
      </w:r>
      <w:r w:rsidR="00CE70DF" w:rsidRPr="00CE70DF">
        <w:rPr>
          <w:rFonts w:ascii="Times New Roman" w:eastAsia="MS PGothic" w:hAnsi="Times New Roman"/>
          <w:lang w:val="en-US"/>
        </w:rPr>
        <w:t xml:space="preserve">  two different applications </w:t>
      </w:r>
      <w:r w:rsidR="00AA16D8">
        <w:rPr>
          <w:rFonts w:ascii="Times New Roman" w:eastAsia="MS PGothic" w:hAnsi="Times New Roman"/>
          <w:lang w:val="en-US"/>
        </w:rPr>
        <w:t>to</w:t>
      </w:r>
      <w:r w:rsidR="00CE70DF" w:rsidRPr="00CE70DF">
        <w:rPr>
          <w:rFonts w:ascii="Times New Roman" w:eastAsia="MS PGothic" w:hAnsi="Times New Roman"/>
          <w:lang w:val="en-US"/>
        </w:rPr>
        <w:t xml:space="preserve"> chemical engineering </w:t>
      </w:r>
      <w:r w:rsidR="00AA16D8">
        <w:rPr>
          <w:rFonts w:ascii="Times New Roman" w:eastAsia="MS PGothic" w:hAnsi="Times New Roman"/>
          <w:lang w:val="en-US"/>
        </w:rPr>
        <w:t xml:space="preserve">processes </w:t>
      </w:r>
      <w:r w:rsidR="00CE70DF">
        <w:rPr>
          <w:rFonts w:ascii="Times New Roman" w:eastAsia="MS PGothic" w:hAnsi="Times New Roman"/>
          <w:lang w:val="en-US"/>
        </w:rPr>
        <w:t>strictly related</w:t>
      </w:r>
      <w:r w:rsidR="00CE70DF" w:rsidRPr="00CE70DF">
        <w:rPr>
          <w:rFonts w:ascii="Times New Roman" w:eastAsia="MS PGothic" w:hAnsi="Times New Roman"/>
          <w:lang w:val="en-US"/>
        </w:rPr>
        <w:t xml:space="preserve"> </w:t>
      </w:r>
      <w:r w:rsidR="00AA16D8">
        <w:rPr>
          <w:rFonts w:ascii="Times New Roman" w:eastAsia="MS PGothic" w:hAnsi="Times New Roman"/>
          <w:lang w:val="en-US"/>
        </w:rPr>
        <w:t>to</w:t>
      </w:r>
      <w:r w:rsidR="00CE70DF" w:rsidRPr="00CE70DF">
        <w:rPr>
          <w:rFonts w:ascii="Times New Roman" w:eastAsia="MS PGothic" w:hAnsi="Times New Roman"/>
          <w:lang w:val="en-US"/>
        </w:rPr>
        <w:t xml:space="preserve"> multiscale approach</w:t>
      </w:r>
      <w:r w:rsidR="008946E8">
        <w:rPr>
          <w:rFonts w:ascii="Times New Roman" w:eastAsia="MS PGothic" w:hAnsi="Times New Roman"/>
          <w:lang w:val="en-US"/>
        </w:rPr>
        <w:t>.</w:t>
      </w:r>
    </w:p>
    <w:p w14:paraId="260FDAF1" w14:textId="48472C75" w:rsidR="00AA31E1" w:rsidRDefault="00AA31E1" w:rsidP="003C6B73">
      <w:pPr>
        <w:snapToGrid w:val="0"/>
        <w:spacing w:after="120"/>
        <w:jc w:val="both"/>
        <w:rPr>
          <w:rFonts w:ascii="Times New Roman" w:eastAsia="MS PGothic" w:hAnsi="Times New Roman"/>
          <w:lang w:val="en-US"/>
        </w:rPr>
      </w:pPr>
      <w:r>
        <w:rPr>
          <w:rFonts w:ascii="Times New Roman" w:eastAsia="MS PGothic" w:hAnsi="Times New Roman"/>
          <w:lang w:val="en-US"/>
        </w:rPr>
        <w:t xml:space="preserve">The first application consisted </w:t>
      </w:r>
      <w:proofErr w:type="gramStart"/>
      <w:r>
        <w:rPr>
          <w:rFonts w:ascii="Times New Roman" w:eastAsia="MS PGothic" w:hAnsi="Times New Roman"/>
          <w:lang w:val="en-US"/>
        </w:rPr>
        <w:t>o</w:t>
      </w:r>
      <w:r w:rsidR="00AA16D8">
        <w:rPr>
          <w:rFonts w:ascii="Times New Roman" w:eastAsia="MS PGothic" w:hAnsi="Times New Roman"/>
          <w:lang w:val="en-US"/>
        </w:rPr>
        <w:t>n</w:t>
      </w:r>
      <w:proofErr w:type="gramEnd"/>
      <w:r>
        <w:rPr>
          <w:rFonts w:ascii="Times New Roman" w:eastAsia="MS PGothic" w:hAnsi="Times New Roman"/>
          <w:lang w:val="en-US"/>
        </w:rPr>
        <w:t xml:space="preserve"> the study of c</w:t>
      </w:r>
      <w:r w:rsidRPr="00AA31E1">
        <w:rPr>
          <w:rFonts w:ascii="Times New Roman" w:eastAsia="MS PGothic" w:hAnsi="Times New Roman"/>
          <w:lang w:val="en-US"/>
        </w:rPr>
        <w:t xml:space="preserve">oncentration polarization </w:t>
      </w:r>
      <w:r w:rsidR="00AA16D8">
        <w:rPr>
          <w:rFonts w:ascii="Times New Roman" w:eastAsia="MS PGothic" w:hAnsi="Times New Roman"/>
          <w:lang w:val="en-US"/>
        </w:rPr>
        <w:t xml:space="preserve">phenomena </w:t>
      </w:r>
      <w:r>
        <w:rPr>
          <w:rFonts w:ascii="Times New Roman" w:eastAsia="MS PGothic" w:hAnsi="Times New Roman"/>
          <w:lang w:val="en-US"/>
        </w:rPr>
        <w:t>during</w:t>
      </w:r>
      <w:r w:rsidRPr="00AA31E1">
        <w:rPr>
          <w:rFonts w:ascii="Times New Roman" w:eastAsia="MS PGothic" w:hAnsi="Times New Roman"/>
          <w:lang w:val="en-US"/>
        </w:rPr>
        <w:t xml:space="preserve"> membrane process</w:t>
      </w:r>
      <w:r>
        <w:rPr>
          <w:rFonts w:ascii="Times New Roman" w:eastAsia="MS PGothic" w:hAnsi="Times New Roman"/>
          <w:lang w:val="en-US"/>
        </w:rPr>
        <w:t xml:space="preserve">es. </w:t>
      </w:r>
      <w:r w:rsidRPr="00AA31E1">
        <w:rPr>
          <w:rFonts w:ascii="Times New Roman" w:eastAsia="MS PGothic" w:hAnsi="Times New Roman"/>
          <w:lang w:val="en-US"/>
        </w:rPr>
        <w:t xml:space="preserve">The macroscopic characterization of fouling structure formation occurring during the Ultra-Filtration (UF) of Bovine Serum Albumin (BSA) was </w:t>
      </w:r>
      <w:r w:rsidR="00AA16D8">
        <w:rPr>
          <w:rFonts w:ascii="Times New Roman" w:eastAsia="MS PGothic" w:hAnsi="Times New Roman"/>
          <w:lang w:val="en-US"/>
        </w:rPr>
        <w:t>analyzed from a theoretical point of view</w:t>
      </w:r>
      <w:r w:rsidRPr="00AA31E1">
        <w:rPr>
          <w:rFonts w:ascii="Times New Roman" w:eastAsia="MS PGothic" w:hAnsi="Times New Roman"/>
          <w:lang w:val="en-US"/>
        </w:rPr>
        <w:t>. A twisted Monte-Carlo (MC)/Computational-Fluid-Dynamic (CFD) approach was developed to calculate macroscopic fluid-dynamic proprieties.</w:t>
      </w:r>
      <w:r w:rsidR="00877DE4">
        <w:rPr>
          <w:rFonts w:ascii="Times New Roman" w:eastAsia="MS PGothic" w:hAnsi="Times New Roman"/>
          <w:lang w:val="en-US"/>
        </w:rPr>
        <w:t xml:space="preserve"> </w:t>
      </w:r>
      <w:r w:rsidR="00877DE4" w:rsidRPr="00877DE4">
        <w:rPr>
          <w:rFonts w:ascii="Times New Roman" w:eastAsia="MS PGothic" w:hAnsi="Times New Roman"/>
          <w:lang w:val="en-US"/>
        </w:rPr>
        <w:t>Different fluid-dynamic simulations were performed on the base of the knowledge acquired by an MC analysis that provided boxes of adsorbed molecules (i.e., 3D proteins meso configurations on the UF membranes surface). These represented the deposit layers, formed at different distances from the membrane. The 3D meso structure were imported into a bespoke simulation environment, and several meshes were created to perform micro-fluid dynamic calculations (m-FD).</w:t>
      </w:r>
      <w:r w:rsidR="00E0517F">
        <w:rPr>
          <w:rFonts w:ascii="Times New Roman" w:eastAsia="MS PGothic" w:hAnsi="Times New Roman"/>
          <w:lang w:val="en-US"/>
        </w:rPr>
        <w:t xml:space="preserve"> </w:t>
      </w:r>
      <w:r w:rsidR="00E0517F" w:rsidRPr="00E0517F">
        <w:rPr>
          <w:rFonts w:ascii="Times New Roman" w:eastAsia="MS PGothic" w:hAnsi="Times New Roman"/>
          <w:lang w:val="en-US"/>
        </w:rPr>
        <w:t xml:space="preserve">The resistance to flow of deposit layers accumulated on the membrane surface, </w:t>
      </w:r>
      <m:oMath>
        <m:sSub>
          <m:sSubPr>
            <m:ctrlPr>
              <w:rPr>
                <w:rFonts w:ascii="Cambria Math" w:eastAsia="MS PGothic" w:hAnsi="Cambria Math"/>
                <w:i/>
                <w:lang w:val="en-US"/>
              </w:rPr>
            </m:ctrlPr>
          </m:sSubPr>
          <m:e>
            <m:r>
              <w:rPr>
                <w:rFonts w:ascii="Cambria Math" w:eastAsia="MS PGothic" w:hAnsi="Cambria Math"/>
                <w:lang w:val="en-US"/>
              </w:rPr>
              <m:t>R</m:t>
            </m:r>
          </m:e>
          <m:sub>
            <m:r>
              <w:rPr>
                <w:rFonts w:ascii="Cambria Math" w:eastAsia="MS PGothic" w:hAnsi="Cambria Math"/>
                <w:lang w:val="en-US"/>
              </w:rPr>
              <m:t>add</m:t>
            </m:r>
          </m:sub>
        </m:sSub>
      </m:oMath>
      <w:r w:rsidR="00E0517F" w:rsidRPr="00E0517F">
        <w:rPr>
          <w:rFonts w:ascii="Times New Roman" w:eastAsia="MS PGothic" w:hAnsi="Times New Roman"/>
          <w:lang w:val="en-US"/>
        </w:rPr>
        <w:t>, usually estimated by experimental methods, was therefore, computed starting from the ab-initio knowledge acquired at sub-nanoscopic scale</w:t>
      </w:r>
      <w:r w:rsidR="00197727">
        <w:rPr>
          <w:rFonts w:ascii="Times New Roman" w:eastAsia="MS PGothic" w:hAnsi="Times New Roman"/>
          <w:lang w:val="en-US"/>
        </w:rPr>
        <w:t>.</w:t>
      </w:r>
    </w:p>
    <w:p w14:paraId="494F1FB9" w14:textId="255E16DC" w:rsidR="00877DE4" w:rsidRPr="00CD184C" w:rsidRDefault="00877DE4" w:rsidP="00E0517F">
      <w:pPr>
        <w:snapToGrid w:val="0"/>
        <w:spacing w:after="120"/>
        <w:jc w:val="both"/>
        <w:rPr>
          <w:rFonts w:ascii="Times New Roman" w:eastAsia="MS PGothic" w:hAnsi="Times New Roman"/>
          <w:lang w:val="en-US"/>
        </w:rPr>
      </w:pPr>
      <w:r>
        <w:rPr>
          <w:rFonts w:ascii="Times New Roman" w:eastAsia="MS PGothic" w:hAnsi="Times New Roman"/>
          <w:lang w:val="en-US"/>
        </w:rPr>
        <w:t xml:space="preserve">The second application consisted of the simulation </w:t>
      </w:r>
      <w:r w:rsidRPr="00877DE4">
        <w:rPr>
          <w:rFonts w:ascii="Times New Roman" w:eastAsia="MS PGothic" w:hAnsi="Times New Roman"/>
          <w:lang w:val="en-US"/>
        </w:rPr>
        <w:t xml:space="preserve">the long-range interactions between </w:t>
      </w:r>
      <w:r>
        <w:rPr>
          <w:rFonts w:ascii="Times New Roman" w:eastAsia="MS PGothic" w:hAnsi="Times New Roman"/>
          <w:lang w:val="en-US"/>
        </w:rPr>
        <w:t xml:space="preserve">SARS-CoV-2 </w:t>
      </w:r>
      <w:r w:rsidRPr="00877DE4">
        <w:rPr>
          <w:rFonts w:ascii="Times New Roman" w:eastAsia="MS PGothic" w:hAnsi="Times New Roman"/>
          <w:lang w:val="en-US"/>
        </w:rPr>
        <w:t>spike</w:t>
      </w:r>
      <w:r>
        <w:rPr>
          <w:rFonts w:ascii="Times New Roman" w:eastAsia="MS PGothic" w:hAnsi="Times New Roman"/>
          <w:lang w:val="en-US"/>
        </w:rPr>
        <w:t xml:space="preserve"> protein</w:t>
      </w:r>
      <w:r w:rsidRPr="00877DE4">
        <w:rPr>
          <w:rFonts w:ascii="Times New Roman" w:eastAsia="MS PGothic" w:hAnsi="Times New Roman"/>
          <w:lang w:val="en-US"/>
        </w:rPr>
        <w:t xml:space="preserve"> and </w:t>
      </w:r>
      <w:r w:rsidR="00E0517F" w:rsidRPr="00E0517F">
        <w:rPr>
          <w:rFonts w:ascii="Times New Roman" w:eastAsia="MS PGothic" w:hAnsi="Times New Roman"/>
          <w:lang w:val="en-US"/>
        </w:rPr>
        <w:t>three synthetic polymeric materials</w:t>
      </w:r>
      <w:r w:rsidR="00E0517F">
        <w:rPr>
          <w:rFonts w:ascii="Times New Roman" w:eastAsia="MS PGothic" w:hAnsi="Times New Roman"/>
          <w:lang w:val="en-US"/>
        </w:rPr>
        <w:t xml:space="preserve"> (</w:t>
      </w:r>
      <w:r w:rsidR="00E0517F" w:rsidRPr="00E0517F">
        <w:rPr>
          <w:rFonts w:ascii="Times New Roman" w:eastAsia="MS PGothic" w:hAnsi="Times New Roman"/>
          <w:lang w:val="en-US"/>
        </w:rPr>
        <w:t>Polypropylene (PP), Polyethylene Terephthalate (PET),</w:t>
      </w:r>
      <w:r w:rsidR="00E0517F">
        <w:rPr>
          <w:rFonts w:ascii="Times New Roman" w:eastAsia="MS PGothic" w:hAnsi="Times New Roman"/>
          <w:lang w:val="en-US"/>
        </w:rPr>
        <w:t xml:space="preserve"> </w:t>
      </w:r>
      <w:r w:rsidR="00E0517F" w:rsidRPr="00E0517F">
        <w:rPr>
          <w:rFonts w:ascii="Times New Roman" w:eastAsia="MS PGothic" w:hAnsi="Times New Roman"/>
          <w:lang w:val="en-US"/>
        </w:rPr>
        <w:t>and Polylactic Acid (PLA)</w:t>
      </w:r>
      <w:r w:rsidR="00E0517F">
        <w:rPr>
          <w:rFonts w:ascii="Times New Roman" w:eastAsia="MS PGothic" w:hAnsi="Times New Roman"/>
          <w:lang w:val="en-US"/>
        </w:rPr>
        <w:t>)</w:t>
      </w:r>
      <w:r w:rsidRPr="00877DE4">
        <w:rPr>
          <w:rFonts w:ascii="Times New Roman" w:eastAsia="MS PGothic" w:hAnsi="Times New Roman"/>
          <w:lang w:val="en-US"/>
        </w:rPr>
        <w:t xml:space="preserve"> experimented by the virion when</w:t>
      </w:r>
      <w:r>
        <w:rPr>
          <w:rFonts w:ascii="Times New Roman" w:eastAsia="MS PGothic" w:hAnsi="Times New Roman"/>
          <w:lang w:val="en-US"/>
        </w:rPr>
        <w:t xml:space="preserve"> </w:t>
      </w:r>
      <w:r w:rsidR="007055AB">
        <w:rPr>
          <w:rFonts w:ascii="Times New Roman" w:eastAsia="MS PGothic" w:hAnsi="Times New Roman"/>
          <w:lang w:val="en-US"/>
        </w:rPr>
        <w:t xml:space="preserve">it </w:t>
      </w:r>
      <w:r w:rsidRPr="00877DE4">
        <w:rPr>
          <w:rFonts w:ascii="Times New Roman" w:eastAsia="MS PGothic" w:hAnsi="Times New Roman"/>
          <w:lang w:val="en-US"/>
        </w:rPr>
        <w:t>is dispersed in the droplet before its possible adsorption.</w:t>
      </w:r>
      <w:r w:rsidR="00E0517F">
        <w:rPr>
          <w:rFonts w:ascii="Times New Roman" w:eastAsia="MS PGothic" w:hAnsi="Times New Roman"/>
          <w:lang w:val="en-US"/>
        </w:rPr>
        <w:t xml:space="preserve"> </w:t>
      </w:r>
      <w:r w:rsidR="00E0517F" w:rsidRPr="00E0517F">
        <w:rPr>
          <w:rFonts w:ascii="Times New Roman" w:eastAsia="MS PGothic" w:hAnsi="Times New Roman"/>
          <w:lang w:val="en-US"/>
        </w:rPr>
        <w:t>Some descriptors, namely the interaction potentials per</w:t>
      </w:r>
      <w:r w:rsidR="00E0517F">
        <w:rPr>
          <w:rFonts w:ascii="Times New Roman" w:eastAsia="MS PGothic" w:hAnsi="Times New Roman"/>
          <w:lang w:val="en-US"/>
        </w:rPr>
        <w:t xml:space="preserve"> </w:t>
      </w:r>
      <w:r w:rsidR="00E0517F" w:rsidRPr="00E0517F">
        <w:rPr>
          <w:rFonts w:ascii="Times New Roman" w:eastAsia="MS PGothic" w:hAnsi="Times New Roman"/>
          <w:lang w:val="en-US"/>
        </w:rPr>
        <w:t>single protein and global potentials, were calculated in this work. These descriptors, evaluated for the closed and</w:t>
      </w:r>
      <w:r w:rsidR="00E0517F">
        <w:rPr>
          <w:rFonts w:ascii="Times New Roman" w:eastAsia="MS PGothic" w:hAnsi="Times New Roman"/>
          <w:lang w:val="en-US"/>
        </w:rPr>
        <w:t xml:space="preserve"> </w:t>
      </w:r>
      <w:r w:rsidR="00E0517F" w:rsidRPr="00E0517F">
        <w:rPr>
          <w:rFonts w:ascii="Times New Roman" w:eastAsia="MS PGothic" w:hAnsi="Times New Roman"/>
          <w:lang w:val="en-US"/>
        </w:rPr>
        <w:t xml:space="preserve">open states of the spike protein, </w:t>
      </w:r>
      <w:r w:rsidR="007055AB">
        <w:rPr>
          <w:rFonts w:ascii="Times New Roman" w:eastAsia="MS PGothic" w:hAnsi="Times New Roman"/>
          <w:lang w:val="en-US"/>
        </w:rPr>
        <w:t>we</w:t>
      </w:r>
      <w:r w:rsidR="007055AB" w:rsidRPr="00E0517F">
        <w:rPr>
          <w:rFonts w:ascii="Times New Roman" w:eastAsia="MS PGothic" w:hAnsi="Times New Roman"/>
          <w:lang w:val="en-US"/>
        </w:rPr>
        <w:t xml:space="preserve">re </w:t>
      </w:r>
      <w:r w:rsidR="00E0517F" w:rsidRPr="00E0517F">
        <w:rPr>
          <w:rFonts w:ascii="Times New Roman" w:eastAsia="MS PGothic" w:hAnsi="Times New Roman"/>
          <w:lang w:val="en-US"/>
        </w:rPr>
        <w:t xml:space="preserve">correlated to the long-range noncovalent interactions between the SARSCoV-2 spikes and </w:t>
      </w:r>
      <w:r w:rsidR="007055AB">
        <w:rPr>
          <w:rFonts w:ascii="Times New Roman" w:eastAsia="MS PGothic" w:hAnsi="Times New Roman"/>
          <w:lang w:val="en-US"/>
        </w:rPr>
        <w:t xml:space="preserve">the considered </w:t>
      </w:r>
      <w:r w:rsidR="00E0517F" w:rsidRPr="00E0517F">
        <w:rPr>
          <w:rFonts w:ascii="Times New Roman" w:eastAsia="MS PGothic" w:hAnsi="Times New Roman"/>
          <w:lang w:val="en-US"/>
        </w:rPr>
        <w:t xml:space="preserve">polymeric surfaces. They </w:t>
      </w:r>
      <w:r w:rsidR="007055AB">
        <w:rPr>
          <w:rFonts w:ascii="Times New Roman" w:eastAsia="MS PGothic" w:hAnsi="Times New Roman"/>
          <w:lang w:val="en-US"/>
        </w:rPr>
        <w:t>we</w:t>
      </w:r>
      <w:r w:rsidR="007055AB" w:rsidRPr="00E0517F">
        <w:rPr>
          <w:rFonts w:ascii="Times New Roman" w:eastAsia="MS PGothic" w:hAnsi="Times New Roman"/>
          <w:lang w:val="en-US"/>
        </w:rPr>
        <w:t xml:space="preserve">re </w:t>
      </w:r>
      <w:r w:rsidR="00E0517F" w:rsidRPr="00E0517F">
        <w:rPr>
          <w:rFonts w:ascii="Times New Roman" w:eastAsia="MS PGothic" w:hAnsi="Times New Roman"/>
          <w:lang w:val="en-US"/>
        </w:rPr>
        <w:t xml:space="preserve">associated </w:t>
      </w:r>
      <w:r w:rsidR="007055AB">
        <w:rPr>
          <w:rFonts w:ascii="Times New Roman" w:eastAsia="MS PGothic" w:hAnsi="Times New Roman"/>
          <w:lang w:val="en-US"/>
        </w:rPr>
        <w:t>to</w:t>
      </w:r>
      <w:r w:rsidR="007055AB" w:rsidRPr="00E0517F">
        <w:rPr>
          <w:rFonts w:ascii="Times New Roman" w:eastAsia="MS PGothic" w:hAnsi="Times New Roman"/>
          <w:lang w:val="en-US"/>
        </w:rPr>
        <w:t xml:space="preserve"> </w:t>
      </w:r>
      <w:r w:rsidR="00E0517F" w:rsidRPr="00E0517F">
        <w:rPr>
          <w:rFonts w:ascii="Times New Roman" w:eastAsia="MS PGothic" w:hAnsi="Times New Roman"/>
          <w:lang w:val="en-US"/>
        </w:rPr>
        <w:t>the surface’s affinity towards SARS-CoV-2</w:t>
      </w:r>
      <w:r w:rsidR="00E0517F">
        <w:rPr>
          <w:rFonts w:ascii="Times New Roman" w:eastAsia="MS PGothic" w:hAnsi="Times New Roman"/>
          <w:lang w:val="en-US"/>
        </w:rPr>
        <w:t xml:space="preserve"> </w:t>
      </w:r>
      <w:r w:rsidR="00E0517F" w:rsidRPr="00E0517F">
        <w:rPr>
          <w:rFonts w:ascii="Times New Roman" w:eastAsia="MS PGothic" w:hAnsi="Times New Roman"/>
          <w:lang w:val="en-US"/>
        </w:rPr>
        <w:t>dispersed in respiratory droplets or water solutions.</w:t>
      </w:r>
      <w:r w:rsidR="00E0517F">
        <w:rPr>
          <w:rFonts w:ascii="Times New Roman" w:eastAsia="MS PGothic" w:hAnsi="Times New Roman"/>
          <w:lang w:val="en-US"/>
        </w:rPr>
        <w:t xml:space="preserve"> </w:t>
      </w:r>
      <w:r w:rsidR="00E0517F" w:rsidRPr="00E0517F">
        <w:rPr>
          <w:rFonts w:ascii="Times New Roman" w:eastAsia="MS PGothic" w:hAnsi="Times New Roman"/>
          <w:lang w:val="en-US"/>
        </w:rPr>
        <w:t>For closed and open structures, the long-range interactions with the surfaces decreased in the</w:t>
      </w:r>
      <w:r w:rsidR="00E0517F">
        <w:rPr>
          <w:rFonts w:ascii="Times New Roman" w:eastAsia="MS PGothic" w:hAnsi="Times New Roman"/>
          <w:lang w:val="en-US"/>
        </w:rPr>
        <w:t xml:space="preserve"> </w:t>
      </w:r>
      <w:r w:rsidR="00E0517F" w:rsidRPr="00E0517F">
        <w:rPr>
          <w:rFonts w:ascii="Times New Roman" w:eastAsia="MS PGothic" w:hAnsi="Times New Roman"/>
          <w:lang w:val="en-US"/>
        </w:rPr>
        <w:t>following order PP ~ PLA &gt; PET and PLA &gt; PP &gt; PET, respectively</w:t>
      </w:r>
      <w:r w:rsidR="00197727">
        <w:rPr>
          <w:rFonts w:ascii="Times New Roman" w:eastAsia="MS PGothic" w:hAnsi="Times New Roman"/>
          <w:lang w:val="en-US"/>
        </w:rPr>
        <w:t xml:space="preserve"> </w:t>
      </w:r>
      <w:r w:rsidR="00197727">
        <w:rPr>
          <w:rFonts w:ascii="Times New Roman" w:eastAsia="MS PGothic" w:hAnsi="Times New Roman"/>
          <w:lang w:val="en-US"/>
        </w:rPr>
        <w:fldChar w:fldCharType="begin" w:fldLock="1"/>
      </w:r>
      <w:r w:rsidR="00446BFC">
        <w:rPr>
          <w:rFonts w:ascii="Times New Roman" w:eastAsia="MS PGothic" w:hAnsi="Times New Roman"/>
          <w:lang w:val="en-US"/>
        </w:rPr>
        <w:instrText xml:space="preserve">ADDIN CSL_CITATION {"citationItems":[{"id":"ITEM-1","itemData":{"DOI":"10.1016/J.SEPPUR.2021.120125","ISSN":"1383-5866","PMID":"34785982","abstract":"The recent pandemic triggered numerous societal efforts aimed to control and limit the spread of SARS-CoV-2. One of these aspects is related on how the virion interacts with inanimate surfaces, which might be the source of secondary infection. Although recent works address the adsorption of the spike protein on surfaces, there is no information concerning the long-range interactions between spike and surfaces, experimented by the virion when is dispersed in the droplet before its possible adsorption. Some descriptors, namely the interaction potentials per single protein and global potentials, were calculated in this work. These descriptors, evaluated for the closed and open states of the spike protein, are correlated to the long-range noncovalent interactions between the SARS-CoV-2 spikes and polymeric surfaces. They are associated with the surface's affinity towards SARS-CoV-2 dispersed in respiratory droplets or water solutions. Molecular-Dynamics simulations were performed to model the surface of three synthetic polymeric materials: Polypropylene (PP), Polyethylene Terephthalate (PET), and Polylactic Acid (PLA), used in Molecular Mechanics simulations to define the above potentials. The descriptors show a similar trend for the three surfaces, highlighting a greater affinity towards the spikes of PP and PLA over PET. For closed and open structures, the long-range interactions with the surfaces decreased in the following order PP </w:instrText>
      </w:r>
      <w:r w:rsidR="00446BFC">
        <w:rPr>
          <w:rFonts w:ascii="Cambria Math" w:eastAsia="MS PGothic" w:hAnsi="Cambria Math" w:cs="Cambria Math"/>
          <w:lang w:val="en-US"/>
        </w:rPr>
        <w:instrText>∼</w:instrText>
      </w:r>
      <w:r w:rsidR="00446BFC">
        <w:rPr>
          <w:rFonts w:ascii="Times New Roman" w:eastAsia="MS PGothic" w:hAnsi="Times New Roman"/>
          <w:lang w:val="en-US"/>
        </w:rPr>
        <w:instrText xml:space="preserve"> PLA &gt; PET and PLA &gt; PP &gt; PET, respectively. Thus, PLA and PP interact with the virion quite distant from these surfaces to a greater extent concerning the PET surface, however, the differences among the considered surfaces were small. The global potentials show that the long-range interactions are weak compared to classic binding energy of covalent or ionic bonds. The proposed descriptors are useful most of all for a comparative study aimed at quickly preliminary screening of polymeric surfaces. The obtained results should be validated by more accurate method which will be subject of a subsequent work.","author":[{"dropping-particle":"","family":"Luca","given":"Giorgio","non-dropping-particle":"De","parse-names":false,"suffix":""},{"dropping-particle":"","family":"Petrosino","given":"Francesco","non-dropping-particle":"","parse-names":false,"suffix":""},{"dropping-particle":"","family":"Salvo","given":"Javier Luque","non-dropping-particle":"Di","parse-names":false,"suffix":""},{"dropping-particle":"","family":"Chakraborty","given":"Sudip","non-dropping-particle":"","parse-names":false,"suffix":""},{"dropping-particle":"","family":"Curcio","given":"Stefano","non-dropping-particle":"","parse-names":false,"suffix":""}],"container-title":"Separation and purification technology","id":"ITEM-1","issued":{"date-parts":[["2021","2","1"]]},"publisher":"Sep Purif Technol","title":"Advanced descriptors for long-range noncovalent interactions between SARS-CoV-2 spikes and polymer surfaces","type":"article-journal","volume":"282"},"uris":["http://www.mendeley.com/documents/?uuid=c259232d-e8ff-3b77-a8ce-26ce518ad053"]}],"mendeley":{"formattedCitation":"[6]","plainTextFormattedCitation":"[6]","previouslyFormattedCitation":"[6]"},"properties":{"noteIndex":0},"schema":"https://github.com/citation-style-language/schema/raw/master/csl-citation.json"}</w:instrText>
      </w:r>
      <w:r w:rsidR="00197727">
        <w:rPr>
          <w:rFonts w:ascii="Times New Roman" w:eastAsia="MS PGothic" w:hAnsi="Times New Roman"/>
          <w:lang w:val="en-US"/>
        </w:rPr>
        <w:fldChar w:fldCharType="separate"/>
      </w:r>
      <w:r w:rsidR="00197727" w:rsidRPr="00197727">
        <w:rPr>
          <w:rFonts w:ascii="Times New Roman" w:eastAsia="MS PGothic" w:hAnsi="Times New Roman"/>
          <w:noProof/>
          <w:lang w:val="en-US"/>
        </w:rPr>
        <w:t>[6]</w:t>
      </w:r>
      <w:r w:rsidR="00197727">
        <w:rPr>
          <w:rFonts w:ascii="Times New Roman" w:eastAsia="MS PGothic" w:hAnsi="Times New Roman"/>
          <w:lang w:val="en-US"/>
        </w:rPr>
        <w:fldChar w:fldCharType="end"/>
      </w:r>
      <w:r w:rsidR="00E0517F" w:rsidRPr="00E0517F">
        <w:rPr>
          <w:rFonts w:ascii="Times New Roman" w:eastAsia="MS PGothic" w:hAnsi="Times New Roman"/>
          <w:lang w:val="en-US"/>
        </w:rPr>
        <w:t>.</w:t>
      </w:r>
    </w:p>
    <w:p w14:paraId="7B80E3AE" w14:textId="48E15B66" w:rsidR="007A78B7" w:rsidRDefault="00E0517F" w:rsidP="00E0517F">
      <w:pPr>
        <w:snapToGrid w:val="0"/>
        <w:spacing w:after="120"/>
        <w:jc w:val="both"/>
        <w:rPr>
          <w:rFonts w:ascii="Times New Roman" w:eastAsia="MS PGothic" w:hAnsi="Times New Roman"/>
          <w:lang w:val="en-US"/>
        </w:rPr>
      </w:pPr>
      <w:r w:rsidRPr="00E0517F">
        <w:rPr>
          <w:rFonts w:ascii="Times New Roman" w:eastAsia="MS PGothic" w:hAnsi="Times New Roman"/>
          <w:lang w:val="en-US"/>
        </w:rPr>
        <w:lastRenderedPageBreak/>
        <w:t>It is important to underline that the above-described works, although different in their subjects, are linked by a</w:t>
      </w:r>
      <w:r>
        <w:rPr>
          <w:rFonts w:ascii="Times New Roman" w:eastAsia="MS PGothic" w:hAnsi="Times New Roman"/>
          <w:lang w:val="en-US"/>
        </w:rPr>
        <w:t xml:space="preserve"> </w:t>
      </w:r>
      <w:r w:rsidRPr="00E0517F">
        <w:rPr>
          <w:rFonts w:ascii="Times New Roman" w:eastAsia="MS PGothic" w:hAnsi="Times New Roman"/>
          <w:lang w:val="en-US"/>
        </w:rPr>
        <w:t>fundamental unifying basic strand, which is represented by the multiscale approach for the analysis</w:t>
      </w:r>
      <w:r>
        <w:rPr>
          <w:rFonts w:ascii="Times New Roman" w:eastAsia="MS PGothic" w:hAnsi="Times New Roman"/>
          <w:lang w:val="en-US"/>
        </w:rPr>
        <w:t xml:space="preserve"> </w:t>
      </w:r>
      <w:r w:rsidRPr="00E0517F">
        <w:rPr>
          <w:rFonts w:ascii="Times New Roman" w:eastAsia="MS PGothic" w:hAnsi="Times New Roman"/>
          <w:lang w:val="en-US"/>
        </w:rPr>
        <w:t>of</w:t>
      </w:r>
      <w:r>
        <w:rPr>
          <w:rFonts w:ascii="Times New Roman" w:eastAsia="MS PGothic" w:hAnsi="Times New Roman"/>
          <w:lang w:val="en-US"/>
        </w:rPr>
        <w:t xml:space="preserve"> </w:t>
      </w:r>
      <w:r w:rsidRPr="00E0517F">
        <w:rPr>
          <w:rFonts w:ascii="Times New Roman" w:eastAsia="MS PGothic" w:hAnsi="Times New Roman"/>
          <w:lang w:val="en-US"/>
        </w:rPr>
        <w:t>protein-protein and protein-surface interactions.</w:t>
      </w:r>
      <w:r>
        <w:rPr>
          <w:rFonts w:ascii="Times New Roman" w:eastAsia="MS PGothic" w:hAnsi="Times New Roman"/>
          <w:lang w:val="en-US"/>
        </w:rPr>
        <w:t xml:space="preserve"> </w:t>
      </w:r>
      <w:r w:rsidRPr="00E0517F">
        <w:rPr>
          <w:rFonts w:ascii="Times New Roman" w:eastAsia="MS PGothic" w:hAnsi="Times New Roman"/>
          <w:lang w:val="en-US"/>
        </w:rPr>
        <w:t>Moreover, as already discussed, this unifying strand has fallen into a very broad and promising</w:t>
      </w:r>
      <w:r>
        <w:rPr>
          <w:rFonts w:ascii="Times New Roman" w:eastAsia="MS PGothic" w:hAnsi="Times New Roman"/>
          <w:lang w:val="en-US"/>
        </w:rPr>
        <w:t xml:space="preserve"> </w:t>
      </w:r>
      <w:r w:rsidRPr="00E0517F">
        <w:rPr>
          <w:rFonts w:ascii="Times New Roman" w:eastAsia="MS PGothic" w:hAnsi="Times New Roman"/>
          <w:lang w:val="en-US"/>
        </w:rPr>
        <w:t>multidisciplinary field.</w:t>
      </w:r>
    </w:p>
    <w:p w14:paraId="1AAB847F" w14:textId="77777777" w:rsidR="00DA51A3" w:rsidRPr="00466FFD" w:rsidRDefault="00DA51A3" w:rsidP="00DA51A3">
      <w:pPr>
        <w:snapToGrid w:val="0"/>
        <w:spacing w:before="240" w:line="300" w:lineRule="auto"/>
        <w:rPr>
          <w:rFonts w:ascii="Times New Roman" w:eastAsia="MS PGothic" w:hAnsi="Times New Roman"/>
          <w:lang w:val="en-US"/>
        </w:rPr>
      </w:pPr>
      <w:r w:rsidRPr="00466FFD">
        <w:rPr>
          <w:rFonts w:ascii="Times New Roman" w:eastAsia="MS PGothic" w:hAnsi="Times New Roman"/>
          <w:b/>
          <w:bCs/>
          <w:lang w:val="en-US"/>
        </w:rPr>
        <w:t>2. Methods</w:t>
      </w:r>
    </w:p>
    <w:p w14:paraId="4106C066" w14:textId="09E1FBDB" w:rsidR="008946E8" w:rsidRPr="008946E8" w:rsidRDefault="00A64C7E" w:rsidP="008946E8">
      <w:pPr>
        <w:snapToGrid w:val="0"/>
        <w:spacing w:after="120"/>
        <w:jc w:val="both"/>
        <w:rPr>
          <w:rFonts w:ascii="Times New Roman" w:eastAsia="MS PGothic" w:hAnsi="Times New Roman"/>
          <w:lang w:val="en-US"/>
        </w:rPr>
      </w:pPr>
      <w:r w:rsidRPr="00A64C7E">
        <w:rPr>
          <w:rFonts w:ascii="Times New Roman" w:eastAsia="MS PGothic" w:hAnsi="Times New Roman"/>
          <w:lang w:val="en-US"/>
        </w:rPr>
        <w:t>The density functional theory, used as the first-brick of the entire work, allowed the</w:t>
      </w:r>
      <w:r>
        <w:rPr>
          <w:rFonts w:ascii="Times New Roman" w:eastAsia="MS PGothic" w:hAnsi="Times New Roman"/>
          <w:lang w:val="en-US"/>
        </w:rPr>
        <w:t xml:space="preserve"> </w:t>
      </w:r>
      <w:r w:rsidRPr="00A64C7E">
        <w:rPr>
          <w:rFonts w:ascii="Times New Roman" w:eastAsia="MS PGothic" w:hAnsi="Times New Roman"/>
          <w:lang w:val="en-US"/>
        </w:rPr>
        <w:t>fundamental atomic proprieties calculations without resorting to any empirical or experimental</w:t>
      </w:r>
      <w:r>
        <w:rPr>
          <w:rFonts w:ascii="Times New Roman" w:eastAsia="MS PGothic" w:hAnsi="Times New Roman"/>
          <w:lang w:val="en-US"/>
        </w:rPr>
        <w:t xml:space="preserve"> </w:t>
      </w:r>
      <w:r w:rsidRPr="00A64C7E">
        <w:rPr>
          <w:rFonts w:ascii="Times New Roman" w:eastAsia="MS PGothic" w:hAnsi="Times New Roman"/>
          <w:lang w:val="en-US"/>
        </w:rPr>
        <w:t>parameter. The Molecular Dynamics</w:t>
      </w:r>
      <w:r w:rsidR="008946E8">
        <w:rPr>
          <w:rFonts w:ascii="Times New Roman" w:eastAsia="MS PGothic" w:hAnsi="Times New Roman"/>
          <w:lang w:val="en-US"/>
        </w:rPr>
        <w:t xml:space="preserve"> </w:t>
      </w:r>
      <w:r w:rsidRPr="00A64C7E">
        <w:rPr>
          <w:rFonts w:ascii="Times New Roman" w:eastAsia="MS PGothic" w:hAnsi="Times New Roman"/>
          <w:lang w:val="en-US"/>
        </w:rPr>
        <w:t>and Monte Carlo approaches permitted the determination of a</w:t>
      </w:r>
      <w:r>
        <w:rPr>
          <w:rFonts w:ascii="Times New Roman" w:eastAsia="MS PGothic" w:hAnsi="Times New Roman"/>
          <w:lang w:val="en-US"/>
        </w:rPr>
        <w:t xml:space="preserve"> </w:t>
      </w:r>
      <w:r w:rsidRPr="00A64C7E">
        <w:rPr>
          <w:rFonts w:ascii="Times New Roman" w:eastAsia="MS PGothic" w:hAnsi="Times New Roman"/>
          <w:lang w:val="en-US"/>
        </w:rPr>
        <w:t>minimal energy structure of</w:t>
      </w:r>
      <w:r w:rsidR="007055AB">
        <w:rPr>
          <w:rFonts w:ascii="Times New Roman" w:eastAsia="MS PGothic" w:hAnsi="Times New Roman"/>
          <w:lang w:val="en-US"/>
        </w:rPr>
        <w:t xml:space="preserve"> both </w:t>
      </w:r>
      <w:r w:rsidRPr="00A64C7E">
        <w:rPr>
          <w:rFonts w:ascii="Times New Roman" w:eastAsia="MS PGothic" w:hAnsi="Times New Roman"/>
          <w:lang w:val="en-US"/>
        </w:rPr>
        <w:t>the polymeric membrane at nanoscale level and the</w:t>
      </w:r>
      <w:r>
        <w:rPr>
          <w:rFonts w:ascii="Times New Roman" w:eastAsia="MS PGothic" w:hAnsi="Times New Roman"/>
          <w:lang w:val="en-US"/>
        </w:rPr>
        <w:t xml:space="preserve"> </w:t>
      </w:r>
      <w:r w:rsidRPr="00A64C7E">
        <w:rPr>
          <w:rFonts w:ascii="Times New Roman" w:eastAsia="MS PGothic" w:hAnsi="Times New Roman"/>
          <w:lang w:val="en-US"/>
        </w:rPr>
        <w:t>aggregated colloidal particles during ultrafiltration</w:t>
      </w:r>
      <w:r w:rsidR="008946E8">
        <w:rPr>
          <w:rFonts w:ascii="Times New Roman" w:eastAsia="MS PGothic" w:hAnsi="Times New Roman"/>
          <w:lang w:val="en-US"/>
        </w:rPr>
        <w:t xml:space="preserve"> or virus interaction</w:t>
      </w:r>
      <w:r w:rsidRPr="00A64C7E">
        <w:rPr>
          <w:rFonts w:ascii="Times New Roman" w:eastAsia="MS PGothic" w:hAnsi="Times New Roman"/>
          <w:lang w:val="en-US"/>
        </w:rPr>
        <w:t xml:space="preserve"> at microscale level. Despite the two approaches</w:t>
      </w:r>
      <w:r>
        <w:rPr>
          <w:rFonts w:ascii="Times New Roman" w:eastAsia="MS PGothic" w:hAnsi="Times New Roman"/>
          <w:lang w:val="en-US"/>
        </w:rPr>
        <w:t xml:space="preserve"> </w:t>
      </w:r>
      <w:r w:rsidRPr="00A64C7E">
        <w:rPr>
          <w:rFonts w:ascii="Times New Roman" w:eastAsia="MS PGothic" w:hAnsi="Times New Roman"/>
          <w:lang w:val="en-US"/>
        </w:rPr>
        <w:t>are aimed at the same minimization goal, the first one is based on the solution of</w:t>
      </w:r>
      <w:r w:rsidR="007055AB">
        <w:rPr>
          <w:rFonts w:ascii="Times New Roman" w:eastAsia="MS PGothic" w:hAnsi="Times New Roman"/>
          <w:lang w:val="en-US"/>
        </w:rPr>
        <w:t xml:space="preserve"> the</w:t>
      </w:r>
      <w:r w:rsidRPr="00A64C7E">
        <w:rPr>
          <w:rFonts w:ascii="Times New Roman" w:eastAsia="MS PGothic" w:hAnsi="Times New Roman"/>
          <w:lang w:val="en-US"/>
        </w:rPr>
        <w:t xml:space="preserve"> classical equation</w:t>
      </w:r>
      <w:r>
        <w:rPr>
          <w:rFonts w:ascii="Times New Roman" w:eastAsia="MS PGothic" w:hAnsi="Times New Roman"/>
          <w:lang w:val="en-US"/>
        </w:rPr>
        <w:t xml:space="preserve"> </w:t>
      </w:r>
      <w:r w:rsidRPr="00A64C7E">
        <w:rPr>
          <w:rFonts w:ascii="Times New Roman" w:eastAsia="MS PGothic" w:hAnsi="Times New Roman"/>
          <w:lang w:val="en-US"/>
        </w:rPr>
        <w:t>of motion, while Monte Carlo is a stochastic-based approach.</w:t>
      </w:r>
      <w:r>
        <w:rPr>
          <w:rFonts w:ascii="Times New Roman" w:eastAsia="MS PGothic" w:hAnsi="Times New Roman"/>
          <w:lang w:val="en-US"/>
        </w:rPr>
        <w:t xml:space="preserve"> </w:t>
      </w:r>
      <w:r w:rsidRPr="00A64C7E">
        <w:rPr>
          <w:rFonts w:ascii="Times New Roman" w:eastAsia="MS PGothic" w:hAnsi="Times New Roman"/>
          <w:lang w:val="en-US"/>
        </w:rPr>
        <w:t>To get some fundamental macroscopic properties like the Osmotic pressure and the Diffusion</w:t>
      </w:r>
      <w:r>
        <w:rPr>
          <w:rFonts w:ascii="Times New Roman" w:eastAsia="MS PGothic" w:hAnsi="Times New Roman"/>
          <w:lang w:val="en-US"/>
        </w:rPr>
        <w:t xml:space="preserve"> </w:t>
      </w:r>
      <w:r w:rsidRPr="00A64C7E">
        <w:rPr>
          <w:rFonts w:ascii="Times New Roman" w:eastAsia="MS PGothic" w:hAnsi="Times New Roman"/>
          <w:lang w:val="en-US"/>
        </w:rPr>
        <w:t>coefficient</w:t>
      </w:r>
      <w:r>
        <w:rPr>
          <w:rFonts w:ascii="Times New Roman" w:eastAsia="MS PGothic" w:hAnsi="Times New Roman"/>
          <w:lang w:val="en-US"/>
        </w:rPr>
        <w:t xml:space="preserve"> in the membrane process</w:t>
      </w:r>
      <w:r w:rsidRPr="00A64C7E">
        <w:rPr>
          <w:rFonts w:ascii="Times New Roman" w:eastAsia="MS PGothic" w:hAnsi="Times New Roman"/>
          <w:lang w:val="en-US"/>
        </w:rPr>
        <w:t xml:space="preserve">, the colloidal soft matter theory was </w:t>
      </w:r>
      <w:r>
        <w:rPr>
          <w:rFonts w:ascii="Times New Roman" w:eastAsia="MS PGothic" w:hAnsi="Times New Roman"/>
          <w:lang w:val="en-US"/>
        </w:rPr>
        <w:t>used</w:t>
      </w:r>
      <w:r w:rsidRPr="00A64C7E">
        <w:rPr>
          <w:rFonts w:ascii="Times New Roman" w:eastAsia="MS PGothic" w:hAnsi="Times New Roman"/>
          <w:lang w:val="en-US"/>
        </w:rPr>
        <w:t>. In this field, different statistical</w:t>
      </w:r>
      <w:r>
        <w:rPr>
          <w:rFonts w:ascii="Times New Roman" w:eastAsia="MS PGothic" w:hAnsi="Times New Roman"/>
          <w:lang w:val="en-US"/>
        </w:rPr>
        <w:t xml:space="preserve"> </w:t>
      </w:r>
      <w:r w:rsidRPr="00A64C7E">
        <w:rPr>
          <w:rFonts w:ascii="Times New Roman" w:eastAsia="MS PGothic" w:hAnsi="Times New Roman"/>
          <w:lang w:val="en-US"/>
        </w:rPr>
        <w:t>thermodynamics approaches resulted of vital importance for the complete closure of the multiscale framework and the achievement of the final transition at macroscopic level by a completely</w:t>
      </w:r>
      <w:r>
        <w:rPr>
          <w:rFonts w:ascii="Times New Roman" w:eastAsia="MS PGothic" w:hAnsi="Times New Roman"/>
          <w:lang w:val="en-US"/>
        </w:rPr>
        <w:t xml:space="preserve"> </w:t>
      </w:r>
      <w:r w:rsidRPr="00A64C7E">
        <w:rPr>
          <w:rFonts w:ascii="Times New Roman" w:eastAsia="MS PGothic" w:hAnsi="Times New Roman"/>
          <w:lang w:val="en-US"/>
        </w:rPr>
        <w:t>ab-initio methodology. Moreover, a micro-Computational-Fluid-Dynamic approach was exploited</w:t>
      </w:r>
      <w:r>
        <w:rPr>
          <w:rFonts w:ascii="Times New Roman" w:eastAsia="MS PGothic" w:hAnsi="Times New Roman"/>
          <w:lang w:val="en-US"/>
        </w:rPr>
        <w:t xml:space="preserve"> </w:t>
      </w:r>
      <w:r w:rsidRPr="00A64C7E">
        <w:rPr>
          <w:rFonts w:ascii="Times New Roman" w:eastAsia="MS PGothic" w:hAnsi="Times New Roman"/>
          <w:lang w:val="en-US"/>
        </w:rPr>
        <w:t>for the final process simulation based on the previously defined quantities.</w:t>
      </w:r>
      <w:r w:rsidR="008946E8">
        <w:rPr>
          <w:rFonts w:ascii="Times New Roman" w:eastAsia="MS PGothic" w:hAnsi="Times New Roman"/>
          <w:lang w:val="en-US"/>
        </w:rPr>
        <w:t xml:space="preserve"> To have a macroscopic estimation of the virus-surface potential energy different Molecular Mechanics optimizations were also performed.</w:t>
      </w:r>
    </w:p>
    <w:p w14:paraId="3B0FCEBD" w14:textId="77777777" w:rsidR="00DA51A3" w:rsidRPr="00466FFD" w:rsidRDefault="00DA51A3" w:rsidP="00DA51A3">
      <w:pPr>
        <w:snapToGrid w:val="0"/>
        <w:spacing w:before="240" w:line="300" w:lineRule="auto"/>
        <w:rPr>
          <w:rFonts w:ascii="Times New Roman" w:eastAsia="MS PGothic" w:hAnsi="Times New Roman"/>
          <w:lang w:val="en-US"/>
        </w:rPr>
      </w:pPr>
      <w:r w:rsidRPr="00466FFD">
        <w:rPr>
          <w:rFonts w:ascii="Times New Roman" w:eastAsia="MS PGothic" w:hAnsi="Times New Roman"/>
          <w:b/>
          <w:bCs/>
          <w:lang w:val="en-US"/>
        </w:rPr>
        <w:t>3. Results and discussion</w:t>
      </w:r>
    </w:p>
    <w:p w14:paraId="687AFFA6" w14:textId="77777777" w:rsidR="00EF2CB9" w:rsidRDefault="00EF2CB9" w:rsidP="00EF2CB9">
      <w:pPr>
        <w:snapToGrid w:val="0"/>
        <w:spacing w:before="240" w:line="300" w:lineRule="auto"/>
        <w:jc w:val="both"/>
        <w:rPr>
          <w:rFonts w:ascii="Times New Roman" w:eastAsia="MS PGothic" w:hAnsi="Times New Roman"/>
          <w:lang w:val="en-US"/>
        </w:rPr>
      </w:pPr>
      <w:r>
        <w:rPr>
          <w:rFonts w:ascii="Times New Roman" w:eastAsia="MS PGothic" w:hAnsi="Times New Roman"/>
          <w:lang w:val="en-US"/>
        </w:rPr>
        <w:t xml:space="preserve">3.1 </w:t>
      </w:r>
      <w:r w:rsidRPr="00EF2CB9">
        <w:rPr>
          <w:rFonts w:ascii="Times New Roman" w:eastAsia="MS PGothic" w:hAnsi="Times New Roman"/>
          <w:lang w:val="en-US"/>
        </w:rPr>
        <w:t>Micro-CFD modelling of UF bio-fouling</w:t>
      </w:r>
    </w:p>
    <w:p w14:paraId="51AE7F16" w14:textId="77777777" w:rsidR="00EF2CB9" w:rsidRDefault="00EF2CB9" w:rsidP="00E90348">
      <w:pPr>
        <w:snapToGrid w:val="0"/>
        <w:spacing w:before="240"/>
        <w:jc w:val="both"/>
        <w:rPr>
          <w:rFonts w:ascii="Times New Roman" w:eastAsia="MS PGothic" w:hAnsi="Times New Roman"/>
          <w:lang w:val="en-US"/>
        </w:rPr>
      </w:pPr>
      <w:r>
        <w:rPr>
          <w:rFonts w:ascii="Times New Roman" w:eastAsia="MS PGothic" w:hAnsi="Times New Roman"/>
          <w:lang w:val="en-US"/>
        </w:rPr>
        <w:t>T</w:t>
      </w:r>
      <w:r w:rsidRPr="00446BFC">
        <w:rPr>
          <w:rFonts w:ascii="Times New Roman" w:eastAsia="MS PGothic" w:hAnsi="Times New Roman"/>
          <w:lang w:val="en-US"/>
        </w:rPr>
        <w:t xml:space="preserve">he ab-initio approach allowed acquiring a fundamental knowledge about the characteristics of the </w:t>
      </w:r>
      <w:r>
        <w:rPr>
          <w:rFonts w:ascii="Times New Roman" w:eastAsia="MS PGothic" w:hAnsi="Times New Roman"/>
          <w:lang w:val="en-US"/>
        </w:rPr>
        <w:t xml:space="preserve">membrane </w:t>
      </w:r>
      <w:r w:rsidRPr="00446BFC">
        <w:rPr>
          <w:rFonts w:ascii="Times New Roman" w:eastAsia="MS PGothic" w:hAnsi="Times New Roman"/>
          <w:lang w:val="en-US"/>
        </w:rPr>
        <w:t xml:space="preserve">system, i.e., the quantum mechanics colloidal surface charge at sub-nanoscopic scale </w:t>
      </w:r>
      <w:r>
        <w:rPr>
          <w:rFonts w:ascii="Times New Roman" w:eastAsia="MS PGothic" w:hAnsi="Times New Roman"/>
          <w:lang w:val="en-US"/>
        </w:rPr>
        <w:fldChar w:fldCharType="begin" w:fldLock="1"/>
      </w:r>
      <w:r>
        <w:rPr>
          <w:rFonts w:ascii="Times New Roman" w:eastAsia="MS PGothic" w:hAnsi="Times New Roman"/>
          <w:lang w:val="en-US"/>
        </w:rPr>
        <w:instrText>ADDIN CSL_CITATION {"citationItems":[{"id":"ITEM-1","itemData":{"DOI":"10.1021/acs.jcim.8b00298","ISSN":"1549-9596","author":[{"dropping-particle":"","family":"Curcio","given":"S","non-dropping-particle":"","parse-names":false,"suffix":""},{"dropping-particle":"","family":"Petrosino","given":"F","non-dropping-particle":"","parse-names":false,"suffix":""},{"dropping-particle":"","family":"Morrone","given":"M","non-dropping-particle":"","parse-names":false,"suffix":""},{"dropping-particle":"","family":"Luca","given":"G","non-dropping-particle":"De","parse-names":false,"suffix":""}],"container-title":"Journal of Chemical Information and Modeling","id":"ITEM-1","issue":"9","issued":{"date-parts":[["2018","9","24"]]},"note":"doi: 10.1021/acs.jcim.8b00298","page":"1815-1827","publisher":"American Chemical Society","title":"Interactions between Proteins and the Membrane Surface in Multiscale Modeling of Organic Fouling","type":"article-journal","volume":"58"},"uris":["http://www.mendeley.com/documents/?uuid=a373e0ae-85aa-417e-bcbd-89f6d601fdc5"]},{"id":"ITEM-2","itemData":{"DOI":"10.1016/j.ces.2020.115762","ISSN":"00092509","abstract":"The calculation of the Osmotic Pressure and the Diffusion Coefficient, characterizing the cake layer developing during the Ultrafiltration (UF) of Bovine Serum Albumin (BSA), through a Multiscale Model based on Quantum Mechanics (QM) and Monte Carlo methods (MC) was the aim of this work. From the ab-initio results described in previous works, the distribution of the BSA surface charges was used. A home-made Metropolis MC algorithm, aimed at simulating the formation of BSA loose or concentrated layers during membrane operations, was also implemented. In such a MC algorithm, a DLVO energy calculation methodology of the adsorbed system was developed. Different MC simulations and Hypernetted Chain theory (HNC) calculations were performed so to determine both the Osmotic Pressure and the Diffusion Coefficient of BSA according to the Chun and Bowen approach, thus allowing a comparison between the calculated values of osmotic pressure and a set of experimental data taken from the literature. Such a comparison showed a good agreement between the simulated and the experimental results.","author":[{"dropping-particle":"","family":"Petrosino","given":"F.","non-dropping-particle":"","parse-names":false,"suffix":""},{"dropping-particle":"","family":"Hallez","given":"Y.","non-dropping-particle":"","parse-names":false,"suffix":""},{"dropping-particle":"","family":"Luca","given":"G.","non-dropping-particle":"De","parse-names":false,"suffix":""},{"dropping-particle":"","family":"Curcio","given":"S.","non-dropping-particle":"","parse-names":false,"suffix":""}],"container-title":"Chemical Engineering Science","id":"ITEM-2","issued":{"date-parts":[["2020","10","12"]]},"page":"115762","publisher":"Elsevier Ltd","title":"Osmotic pressure and transport coefficient in ultrafiltration: A Monte Carlo study using quantum surface charges","type":"article-journal","volume":"224"},"uris":["http://www.mendeley.com/documents/?uuid=c647d3a7-0009-39d4-b0b0-b54920a3a799"]}],"mendeley":{"formattedCitation":"[3], [5]","plainTextFormattedCitation":"[3], [5]"},"properties":{"noteIndex":0},"schema":"https://github.com/citation-style-language/schema/raw/master/csl-citation.json"}</w:instrText>
      </w:r>
      <w:r>
        <w:rPr>
          <w:rFonts w:ascii="Times New Roman" w:eastAsia="MS PGothic" w:hAnsi="Times New Roman"/>
          <w:lang w:val="en-US"/>
        </w:rPr>
        <w:fldChar w:fldCharType="separate"/>
      </w:r>
      <w:r w:rsidRPr="00446BFC">
        <w:rPr>
          <w:rFonts w:ascii="Times New Roman" w:eastAsia="MS PGothic" w:hAnsi="Times New Roman"/>
          <w:noProof/>
          <w:lang w:val="en-US"/>
        </w:rPr>
        <w:t>[3], [5]</w:t>
      </w:r>
      <w:r>
        <w:rPr>
          <w:rFonts w:ascii="Times New Roman" w:eastAsia="MS PGothic" w:hAnsi="Times New Roman"/>
          <w:lang w:val="en-US"/>
        </w:rPr>
        <w:fldChar w:fldCharType="end"/>
      </w:r>
      <w:r w:rsidRPr="00446BFC">
        <w:rPr>
          <w:rFonts w:ascii="Times New Roman" w:eastAsia="MS PGothic" w:hAnsi="Times New Roman"/>
          <w:lang w:val="en-US"/>
        </w:rPr>
        <w:t>. A Monte Carlo based code was developed to simulate the fouling formation through a coarse-graining methodology. The schematic of such a methodology is shown in Fig.1.</w:t>
      </w:r>
    </w:p>
    <w:p w14:paraId="2E4E4B88" w14:textId="77777777" w:rsidR="00EF2CB9" w:rsidRDefault="00EF2CB9" w:rsidP="00EF2CB9">
      <w:pPr>
        <w:keepNext/>
        <w:snapToGrid w:val="0"/>
        <w:spacing w:before="240" w:line="300" w:lineRule="auto"/>
        <w:jc w:val="center"/>
      </w:pPr>
      <w:r w:rsidRPr="009F35C0">
        <w:rPr>
          <w:noProof/>
          <w:lang w:eastAsia="it-IT"/>
        </w:rPr>
        <w:drawing>
          <wp:inline distT="0" distB="0" distL="0" distR="0" wp14:anchorId="03780C7C" wp14:editId="2F83B59C">
            <wp:extent cx="5284447" cy="1558974"/>
            <wp:effectExtent l="0" t="0" r="0" b="3175"/>
            <wp:docPr id="3" name="Immagine 3" descr="C:\Users\FrancescoPetrosino\OneDrive\1.Dottorato\0.Thesis\Images\Multiscale_sub-nano_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escoPetrosino\OneDrive\1.Dottorato\0.Thesis\Images\Multiscale_sub-nano_M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478" cy="1590550"/>
                    </a:xfrm>
                    <a:prstGeom prst="rect">
                      <a:avLst/>
                    </a:prstGeom>
                    <a:noFill/>
                    <a:ln>
                      <a:noFill/>
                    </a:ln>
                  </pic:spPr>
                </pic:pic>
              </a:graphicData>
            </a:graphic>
          </wp:inline>
        </w:drawing>
      </w:r>
    </w:p>
    <w:p w14:paraId="0CB46066" w14:textId="08FA29DC" w:rsidR="00EF2CB9" w:rsidRDefault="00EF2CB9" w:rsidP="00EF2CB9">
      <w:pPr>
        <w:pStyle w:val="Didascalia"/>
        <w:jc w:val="center"/>
        <w:rPr>
          <w:rFonts w:ascii="Times New Roman" w:hAnsi="Times New Roman" w:cs="Times New Roman"/>
          <w:i w:val="0"/>
          <w:iCs w:val="0"/>
          <w:lang w:val="en-US"/>
        </w:rPr>
      </w:pPr>
      <w:r w:rsidRPr="00446BFC">
        <w:rPr>
          <w:rFonts w:ascii="Times New Roman" w:hAnsi="Times New Roman" w:cs="Times New Roman"/>
          <w:i w:val="0"/>
          <w:iCs w:val="0"/>
          <w:lang w:val="en-US"/>
        </w:rPr>
        <w:t xml:space="preserve">Figure </w:t>
      </w:r>
      <w:r w:rsidRPr="00446BFC">
        <w:rPr>
          <w:rFonts w:ascii="Times New Roman" w:hAnsi="Times New Roman" w:cs="Times New Roman"/>
          <w:i w:val="0"/>
          <w:iCs w:val="0"/>
        </w:rPr>
        <w:fldChar w:fldCharType="begin"/>
      </w:r>
      <w:r w:rsidRPr="00446BFC">
        <w:rPr>
          <w:rFonts w:ascii="Times New Roman" w:hAnsi="Times New Roman" w:cs="Times New Roman"/>
          <w:i w:val="0"/>
          <w:iCs w:val="0"/>
          <w:lang w:val="en-US"/>
        </w:rPr>
        <w:instrText xml:space="preserve"> SEQ Figure \* ARABIC </w:instrText>
      </w:r>
      <w:r w:rsidRPr="00446BFC">
        <w:rPr>
          <w:rFonts w:ascii="Times New Roman" w:hAnsi="Times New Roman" w:cs="Times New Roman"/>
          <w:i w:val="0"/>
          <w:iCs w:val="0"/>
        </w:rPr>
        <w:fldChar w:fldCharType="separate"/>
      </w:r>
      <w:r w:rsidR="008268A7">
        <w:rPr>
          <w:rFonts w:ascii="Times New Roman" w:hAnsi="Times New Roman" w:cs="Times New Roman"/>
          <w:i w:val="0"/>
          <w:iCs w:val="0"/>
          <w:noProof/>
          <w:lang w:val="en-US"/>
        </w:rPr>
        <w:t>1</w:t>
      </w:r>
      <w:r w:rsidRPr="00446BFC">
        <w:rPr>
          <w:rFonts w:ascii="Times New Roman" w:hAnsi="Times New Roman" w:cs="Times New Roman"/>
          <w:i w:val="0"/>
          <w:iCs w:val="0"/>
        </w:rPr>
        <w:fldChar w:fldCharType="end"/>
      </w:r>
      <w:r w:rsidRPr="00446BFC">
        <w:rPr>
          <w:rFonts w:ascii="Times New Roman" w:hAnsi="Times New Roman" w:cs="Times New Roman"/>
          <w:i w:val="0"/>
          <w:iCs w:val="0"/>
          <w:lang w:val="en-US"/>
        </w:rPr>
        <w:t>: Developed multiscale framework from sub-nanoscale to nano/mesoscale level. Point charges on external amino acid atoms (on the left), a coarse-grained total colloid of overall macromolecule (in the middle) and a colloids box at nano/mesoscopic scale performed by MC simulations (on the right).</w:t>
      </w:r>
    </w:p>
    <w:p w14:paraId="7EE2E12C" w14:textId="77777777" w:rsidR="00EF2CB9" w:rsidRDefault="00EF2CB9" w:rsidP="008268A7">
      <w:pPr>
        <w:jc w:val="both"/>
        <w:rPr>
          <w:rFonts w:ascii="Times New Roman" w:hAnsi="Times New Roman" w:cs="Times New Roman"/>
          <w:lang w:val="en-US"/>
        </w:rPr>
      </w:pPr>
      <w:r w:rsidRPr="00EF2CB9">
        <w:rPr>
          <w:rFonts w:ascii="Times New Roman" w:hAnsi="Times New Roman" w:cs="Times New Roman"/>
          <w:lang w:val="en-US"/>
        </w:rPr>
        <w:t>After defining both the boundary and the initial conditions, the 3D Navier-Stokes problem was computed through the defined mesh geometry</w:t>
      </w:r>
      <w:r>
        <w:rPr>
          <w:rFonts w:ascii="Times New Roman" w:hAnsi="Times New Roman" w:cs="Times New Roman"/>
          <w:lang w:val="en-US"/>
        </w:rPr>
        <w:t xml:space="preserve"> based on the MC box</w:t>
      </w:r>
      <w:r w:rsidRPr="00EF2CB9">
        <w:rPr>
          <w:rFonts w:ascii="Times New Roman" w:hAnsi="Times New Roman" w:cs="Times New Roman"/>
          <w:lang w:val="en-US"/>
        </w:rPr>
        <w:t>.</w:t>
      </w:r>
      <w:r>
        <w:rPr>
          <w:rFonts w:ascii="Times New Roman" w:hAnsi="Times New Roman" w:cs="Times New Roman"/>
          <w:lang w:val="en-US"/>
        </w:rPr>
        <w:t xml:space="preserve"> </w:t>
      </w:r>
      <w:r w:rsidRPr="00EF2CB9">
        <w:rPr>
          <w:rFonts w:ascii="Times New Roman" w:hAnsi="Times New Roman" w:cs="Times New Roman"/>
          <w:lang w:val="en-US"/>
        </w:rPr>
        <w:t>A schematic of MC/CFD procedure was reported in Fig.2.</w:t>
      </w:r>
    </w:p>
    <w:p w14:paraId="60E5570F" w14:textId="77777777" w:rsidR="00EF2CB9" w:rsidRPr="00EF2CB9" w:rsidRDefault="00EF2CB9" w:rsidP="0079169A">
      <w:pPr>
        <w:snapToGrid w:val="0"/>
        <w:spacing w:after="120"/>
        <w:jc w:val="center"/>
        <w:rPr>
          <w:rFonts w:ascii="Times New Roman" w:eastAsia="MS PGothic" w:hAnsi="Times New Roman"/>
          <w:lang w:val="en-US"/>
        </w:rPr>
      </w:pPr>
      <w:r>
        <w:rPr>
          <w:rFonts w:ascii="Times New Roman" w:hAnsi="Times New Roman" w:cs="Times New Roman"/>
          <w:noProof/>
          <w:lang w:val="en-US"/>
        </w:rPr>
        <w:lastRenderedPageBreak/>
        <w:drawing>
          <wp:inline distT="0" distB="0" distL="0" distR="0" wp14:anchorId="6ADADCDD" wp14:editId="6957F727">
            <wp:extent cx="4769893" cy="2685269"/>
            <wp:effectExtent l="0" t="0" r="0" b="127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8476" cy="2690101"/>
                    </a:xfrm>
                    <a:prstGeom prst="rect">
                      <a:avLst/>
                    </a:prstGeom>
                    <a:noFill/>
                  </pic:spPr>
                </pic:pic>
              </a:graphicData>
            </a:graphic>
          </wp:inline>
        </w:drawing>
      </w:r>
    </w:p>
    <w:p w14:paraId="5949C0E0" w14:textId="52400E5B" w:rsidR="00EF2CB9" w:rsidRPr="00EF2CB9" w:rsidRDefault="00EF2CB9" w:rsidP="00EF2CB9">
      <w:pPr>
        <w:pStyle w:val="Didascalia"/>
        <w:jc w:val="center"/>
        <w:rPr>
          <w:rFonts w:ascii="Times New Roman" w:hAnsi="Times New Roman" w:cs="Times New Roman"/>
          <w:i w:val="0"/>
          <w:iCs w:val="0"/>
          <w:lang w:val="en-US"/>
        </w:rPr>
      </w:pPr>
      <w:r w:rsidRPr="00EF2CB9">
        <w:rPr>
          <w:rFonts w:ascii="Times New Roman" w:hAnsi="Times New Roman" w:cs="Times New Roman"/>
          <w:i w:val="0"/>
          <w:iCs w:val="0"/>
          <w:lang w:val="en-US"/>
        </w:rPr>
        <w:t xml:space="preserve">Figure </w:t>
      </w:r>
      <w:r w:rsidRPr="00EF2CB9">
        <w:rPr>
          <w:rFonts w:ascii="Times New Roman" w:hAnsi="Times New Roman" w:cs="Times New Roman"/>
          <w:i w:val="0"/>
          <w:iCs w:val="0"/>
        </w:rPr>
        <w:fldChar w:fldCharType="begin"/>
      </w:r>
      <w:r w:rsidRPr="00EF2CB9">
        <w:rPr>
          <w:rFonts w:ascii="Times New Roman" w:hAnsi="Times New Roman" w:cs="Times New Roman"/>
          <w:i w:val="0"/>
          <w:iCs w:val="0"/>
          <w:lang w:val="en-US"/>
        </w:rPr>
        <w:instrText xml:space="preserve"> SEQ Figure \* ARABIC </w:instrText>
      </w:r>
      <w:r w:rsidRPr="00EF2CB9">
        <w:rPr>
          <w:rFonts w:ascii="Times New Roman" w:hAnsi="Times New Roman" w:cs="Times New Roman"/>
          <w:i w:val="0"/>
          <w:iCs w:val="0"/>
        </w:rPr>
        <w:fldChar w:fldCharType="separate"/>
      </w:r>
      <w:r w:rsidR="008268A7">
        <w:rPr>
          <w:rFonts w:ascii="Times New Roman" w:hAnsi="Times New Roman" w:cs="Times New Roman"/>
          <w:i w:val="0"/>
          <w:iCs w:val="0"/>
          <w:noProof/>
          <w:lang w:val="en-US"/>
        </w:rPr>
        <w:t>2</w:t>
      </w:r>
      <w:r w:rsidRPr="00EF2CB9">
        <w:rPr>
          <w:rFonts w:ascii="Times New Roman" w:hAnsi="Times New Roman" w:cs="Times New Roman"/>
          <w:i w:val="0"/>
          <w:iCs w:val="0"/>
        </w:rPr>
        <w:fldChar w:fldCharType="end"/>
      </w:r>
      <w:r w:rsidRPr="00EF2CB9">
        <w:rPr>
          <w:rFonts w:ascii="Times New Roman" w:hAnsi="Times New Roman" w:cs="Times New Roman"/>
          <w:i w:val="0"/>
          <w:iCs w:val="0"/>
          <w:lang w:val="en-US"/>
        </w:rPr>
        <w:t>: micro-CFD approach to develop a complete fluid dynamic study on the deposited cake layers during membrane filtration. The number of MC-CFD simulation boxes depends on the computational resources.</w:t>
      </w:r>
    </w:p>
    <w:p w14:paraId="7D7936D3" w14:textId="74154D28" w:rsidR="00EF2CB9" w:rsidRPr="00EF2CB9" w:rsidRDefault="00EF2CB9" w:rsidP="00EF2CB9">
      <w:pPr>
        <w:snapToGrid w:val="0"/>
        <w:spacing w:after="120"/>
        <w:jc w:val="both"/>
        <w:rPr>
          <w:rFonts w:ascii="Times New Roman" w:eastAsia="MS PGothic" w:hAnsi="Times New Roman"/>
          <w:lang w:val="en-US"/>
        </w:rPr>
      </w:pPr>
      <w:r>
        <w:rPr>
          <w:rFonts w:ascii="Times New Roman" w:eastAsia="MS PGothic" w:hAnsi="Times New Roman"/>
          <w:lang w:val="en-US"/>
        </w:rPr>
        <w:t>A set of fluid-dynamic simulations was performed, and a</w:t>
      </w:r>
      <w:r w:rsidRPr="00EF2CB9">
        <w:rPr>
          <w:rFonts w:ascii="Times New Roman" w:eastAsia="MS PGothic" w:hAnsi="Times New Roman"/>
          <w:lang w:val="en-US"/>
        </w:rPr>
        <w:t xml:space="preserve"> total pressure drop across the whole fouling layers was so calculated.</w:t>
      </w:r>
      <w:r>
        <w:rPr>
          <w:rFonts w:ascii="Times New Roman" w:eastAsia="MS PGothic" w:hAnsi="Times New Roman"/>
          <w:lang w:val="en-US"/>
        </w:rPr>
        <w:t xml:space="preserve"> </w:t>
      </w:r>
      <w:r w:rsidRPr="00EF2CB9">
        <w:rPr>
          <w:rFonts w:ascii="Times New Roman" w:eastAsia="MS PGothic" w:hAnsi="Times New Roman"/>
          <w:lang w:val="en-US"/>
        </w:rPr>
        <w:t>If the average volume fraction for every fouling thickness range is known, the calculated pressure drop per unit length of the cake can be multiplied by the corresponding fouling thickness so to obtain a global fouling cake pressure drop summing all contributions:</w:t>
      </w:r>
      <w:r>
        <w:rPr>
          <w:rFonts w:ascii="Times New Roman" w:eastAsia="MS PGothic" w:hAnsi="Times New Roman"/>
          <w:lang w:val="en-US"/>
        </w:rPr>
        <w:t xml:space="preserve"> </w:t>
      </w:r>
      <m:oMath>
        <m:r>
          <w:rPr>
            <w:rFonts w:ascii="Cambria Math" w:hAnsi="Cambria Math" w:cs="Calibri"/>
            <w:lang w:val="en-US"/>
          </w:rPr>
          <m:t>∆</m:t>
        </m:r>
        <m:r>
          <w:rPr>
            <w:rFonts w:ascii="Cambria Math" w:hAnsi="Cambria Math"/>
          </w:rPr>
          <m:t>P</m:t>
        </m:r>
        <m:r>
          <w:rPr>
            <w:rFonts w:ascii="Cambria Math" w:hAnsi="Cambria Math"/>
            <w:lang w:val="en-US"/>
          </w:rPr>
          <m:t>=</m:t>
        </m:r>
        <m:nary>
          <m:naryPr>
            <m:chr m:val="∑"/>
            <m:limLoc m:val="undOvr"/>
            <m:ctrlPr>
              <w:rPr>
                <w:rFonts w:ascii="Cambria Math" w:hAnsi="Cambria Math"/>
                <w:i/>
              </w:rPr>
            </m:ctrlPr>
          </m:naryPr>
          <m:sub>
            <m:r>
              <w:rPr>
                <w:rFonts w:ascii="Cambria Math" w:hAnsi="Cambria Math"/>
              </w:rPr>
              <m:t>i</m:t>
            </m:r>
            <m:r>
              <w:rPr>
                <w:rFonts w:ascii="Cambria Math" w:hAnsi="Cambria Math"/>
                <w:lang w:val="en-US"/>
              </w:rPr>
              <m:t>=1</m:t>
            </m:r>
          </m:sub>
          <m:sup>
            <m:r>
              <w:rPr>
                <w:rFonts w:ascii="Cambria Math" w:hAnsi="Cambria Math"/>
              </w:rPr>
              <m:t>n</m:t>
            </m:r>
          </m:sup>
          <m:e>
            <m:r>
              <w:rPr>
                <w:rFonts w:ascii="Cambria Math" w:hAnsi="Cambria Math" w:cs="Calibri"/>
                <w:lang w:val="en-US"/>
              </w:rPr>
              <m:t>∆</m:t>
            </m:r>
            <m:sSub>
              <m:sSubPr>
                <m:ctrlPr>
                  <w:rPr>
                    <w:rFonts w:ascii="Cambria Math" w:hAnsi="Cambria Math" w:cs="Calibri"/>
                    <w:bCs/>
                    <w:i/>
                  </w:rPr>
                </m:ctrlPr>
              </m:sSubPr>
              <m:e>
                <m:r>
                  <w:rPr>
                    <w:rFonts w:ascii="Cambria Math" w:hAnsi="Cambria Math" w:cs="Calibri"/>
                  </w:rPr>
                  <m:t>P</m:t>
                </m:r>
              </m:e>
              <m:sub>
                <m:r>
                  <w:rPr>
                    <w:rFonts w:ascii="Cambria Math" w:hAnsi="Cambria Math" w:cs="Calibri"/>
                  </w:rPr>
                  <m:t>i</m:t>
                </m:r>
              </m:sub>
            </m:sSub>
            <m:r>
              <w:rPr>
                <w:rFonts w:ascii="Cambria Math" w:hAnsi="Cambria Math"/>
                <w:lang w:val="en-US"/>
              </w:rPr>
              <m:t>∙</m:t>
            </m:r>
            <m:r>
              <w:rPr>
                <w:rFonts w:ascii="Cambria Math" w:hAnsi="Cambria Math" w:cs="Calibri"/>
                <w:lang w:val="en-US"/>
              </w:rPr>
              <m:t>∆</m:t>
            </m:r>
            <m:sSub>
              <m:sSubPr>
                <m:ctrlPr>
                  <w:rPr>
                    <w:rFonts w:ascii="Cambria Math" w:hAnsi="Cambria Math"/>
                    <w:i/>
                  </w:rPr>
                </m:ctrlPr>
              </m:sSubPr>
              <m:e>
                <m:r>
                  <w:rPr>
                    <w:rFonts w:ascii="Cambria Math" w:hAnsi="Cambria Math"/>
                  </w:rPr>
                  <m:t>d</m:t>
                </m:r>
              </m:e>
              <m:sub>
                <m:r>
                  <w:rPr>
                    <w:rFonts w:ascii="Cambria Math" w:hAnsi="Cambria Math"/>
                  </w:rPr>
                  <m:t>i</m:t>
                </m:r>
              </m:sub>
            </m:sSub>
          </m:e>
        </m:nary>
        <m:r>
          <w:rPr>
            <w:rFonts w:ascii="Cambria Math" w:hAnsi="Cambria Math"/>
            <w:lang w:val="en-US"/>
          </w:rPr>
          <m:t xml:space="preserve">= 1.35 </m:t>
        </m:r>
        <m:r>
          <w:rPr>
            <w:rFonts w:ascii="Cambria Math" w:hAnsi="Cambria Math"/>
          </w:rPr>
          <m:t>bar</m:t>
        </m:r>
      </m:oMath>
      <w:r>
        <w:rPr>
          <w:rFonts w:ascii="Times New Roman" w:eastAsia="MS PGothic" w:hAnsi="Times New Roman"/>
          <w:lang w:val="en-US"/>
        </w:rPr>
        <w:t xml:space="preserve">. </w:t>
      </w:r>
      <w:r w:rsidR="007055AB">
        <w:rPr>
          <w:rFonts w:ascii="Times New Roman" w:eastAsia="MS PGothic" w:hAnsi="Times New Roman"/>
          <w:lang w:val="en-US"/>
        </w:rPr>
        <w:t>Moreover</w:t>
      </w:r>
      <w:r w:rsidRPr="00EF2CB9">
        <w:rPr>
          <w:rFonts w:ascii="Times New Roman" w:eastAsia="MS PGothic" w:hAnsi="Times New Roman"/>
          <w:lang w:val="en-US"/>
        </w:rPr>
        <w:t xml:space="preserve">, the additional resistance </w:t>
      </w:r>
      <m:oMath>
        <m:sSub>
          <m:sSubPr>
            <m:ctrlPr>
              <w:rPr>
                <w:rFonts w:ascii="Cambria Math" w:eastAsia="MS PGothic" w:hAnsi="Cambria Math"/>
                <w:i/>
                <w:lang w:val="en-US"/>
              </w:rPr>
            </m:ctrlPr>
          </m:sSubPr>
          <m:e>
            <m:r>
              <w:rPr>
                <w:rFonts w:ascii="Cambria Math" w:eastAsia="MS PGothic" w:hAnsi="Cambria Math"/>
                <w:lang w:val="en-US"/>
              </w:rPr>
              <m:t>R</m:t>
            </m:r>
          </m:e>
          <m:sub>
            <m:r>
              <w:rPr>
                <w:rFonts w:ascii="Cambria Math" w:eastAsia="MS PGothic" w:hAnsi="Cambria Math"/>
                <w:lang w:val="en-US"/>
              </w:rPr>
              <m:t>add</m:t>
            </m:r>
          </m:sub>
        </m:sSub>
      </m:oMath>
      <w:r>
        <w:rPr>
          <w:rFonts w:ascii="Times New Roman" w:eastAsia="MS PGothic" w:hAnsi="Times New Roman"/>
          <w:lang w:val="en-US"/>
        </w:rPr>
        <w:t xml:space="preserve"> at the specified filtration time t=5min, was </w:t>
      </w:r>
      <w:r w:rsidRPr="00EF2CB9">
        <w:rPr>
          <w:rFonts w:ascii="Times New Roman" w:eastAsia="MS PGothic" w:hAnsi="Times New Roman"/>
          <w:lang w:val="en-US"/>
        </w:rPr>
        <w:t>estimated based on the well-known Darcy’s law</w:t>
      </w:r>
      <w:r>
        <w:rPr>
          <w:rFonts w:ascii="Times New Roman" w:eastAsia="MS PGothic" w:hAnsi="Times New Roman"/>
          <w:lang w:val="en-US"/>
        </w:rPr>
        <w:t xml:space="preserve"> and resulted equal to </w:t>
      </w:r>
      <m:oMath>
        <m:sSub>
          <m:sSubPr>
            <m:ctrlPr>
              <w:rPr>
                <w:rFonts w:ascii="Cambria Math" w:hAnsi="Cambria Math"/>
                <w:i/>
              </w:rPr>
            </m:ctrlPr>
          </m:sSubPr>
          <m:e>
            <m:r>
              <w:rPr>
                <w:rFonts w:ascii="Cambria Math" w:hAnsi="Cambria Math"/>
              </w:rPr>
              <m:t>R</m:t>
            </m:r>
          </m:e>
          <m:sub>
            <m:r>
              <w:rPr>
                <w:rFonts w:ascii="Cambria Math" w:hAnsi="Cambria Math"/>
              </w:rPr>
              <m:t>add</m:t>
            </m:r>
          </m:sub>
        </m:sSub>
        <m:r>
          <w:rPr>
            <w:rFonts w:ascii="Cambria Math" w:hAnsi="Cambria Math"/>
            <w:lang w:val="en-US"/>
          </w:rPr>
          <m:t>=1.91 ∙</m:t>
        </m:r>
        <m:sSup>
          <m:sSupPr>
            <m:ctrlPr>
              <w:rPr>
                <w:rFonts w:ascii="Cambria Math" w:hAnsi="Cambria Math"/>
                <w:i/>
              </w:rPr>
            </m:ctrlPr>
          </m:sSupPr>
          <m:e>
            <m:r>
              <w:rPr>
                <w:rFonts w:ascii="Cambria Math" w:hAnsi="Cambria Math"/>
                <w:lang w:val="en-US"/>
              </w:rPr>
              <m:t>10</m:t>
            </m:r>
          </m:e>
          <m:sup>
            <m:r>
              <w:rPr>
                <w:rFonts w:ascii="Cambria Math" w:hAnsi="Cambria Math"/>
                <w:lang w:val="en-US"/>
              </w:rPr>
              <m:t>13</m:t>
            </m:r>
          </m:sup>
        </m:sSup>
        <m:r>
          <w:rPr>
            <w:rFonts w:ascii="Cambria Math" w:hAnsi="Cambria Math"/>
            <w:lang w:val="en-US"/>
          </w:rPr>
          <m:t xml:space="preserve"> </m:t>
        </m:r>
        <m:sSup>
          <m:sSupPr>
            <m:ctrlPr>
              <w:rPr>
                <w:rFonts w:ascii="Cambria Math" w:hAnsi="Cambria Math"/>
                <w:i/>
              </w:rPr>
            </m:ctrlPr>
          </m:sSupPr>
          <m:e>
            <m:r>
              <w:rPr>
                <w:rFonts w:ascii="Cambria Math" w:hAnsi="Cambria Math"/>
              </w:rPr>
              <m:t>m</m:t>
            </m:r>
          </m:e>
          <m:sup>
            <m:r>
              <w:rPr>
                <w:rFonts w:ascii="Cambria Math" w:hAnsi="Cambria Math"/>
                <w:lang w:val="en-US"/>
              </w:rPr>
              <m:t>-1</m:t>
            </m:r>
          </m:sup>
        </m:sSup>
      </m:oMath>
      <w:r w:rsidRPr="00EF2CB9">
        <w:rPr>
          <w:rFonts w:ascii="Times New Roman" w:eastAsia="MS PGothic" w:hAnsi="Times New Roman"/>
          <w:lang w:val="en-US"/>
        </w:rPr>
        <w:t>.</w:t>
      </w:r>
    </w:p>
    <w:p w14:paraId="2E393A9C" w14:textId="77777777" w:rsidR="00EF2CB9" w:rsidRPr="00EF2CB9" w:rsidRDefault="00EF2CB9" w:rsidP="00EF2CB9">
      <w:pPr>
        <w:snapToGrid w:val="0"/>
        <w:spacing w:before="360" w:after="120"/>
        <w:rPr>
          <w:rFonts w:ascii="Times New Roman" w:eastAsia="MS PGothic" w:hAnsi="Times New Roman"/>
          <w:lang w:val="en-US"/>
        </w:rPr>
      </w:pPr>
      <w:r w:rsidRPr="00EF2CB9">
        <w:rPr>
          <w:rFonts w:ascii="Times New Roman" w:eastAsia="MS PGothic" w:hAnsi="Times New Roman"/>
          <w:lang w:val="en-US"/>
        </w:rPr>
        <w:t>3.2 Noncovalent interactions between SARS-CoV-2 spikes and polymer surfaces</w:t>
      </w:r>
    </w:p>
    <w:p w14:paraId="648A332F" w14:textId="77777777" w:rsidR="00EF2CB9" w:rsidRDefault="0070722E" w:rsidP="0070722E">
      <w:pPr>
        <w:snapToGrid w:val="0"/>
        <w:spacing w:after="120"/>
        <w:jc w:val="both"/>
        <w:rPr>
          <w:rFonts w:ascii="Times New Roman" w:eastAsia="MS PGothic" w:hAnsi="Times New Roman"/>
          <w:lang w:val="en-US"/>
        </w:rPr>
      </w:pPr>
      <w:r w:rsidRPr="0070722E">
        <w:rPr>
          <w:rFonts w:ascii="Times New Roman" w:eastAsia="MS PGothic" w:hAnsi="Times New Roman"/>
          <w:lang w:val="en-US"/>
        </w:rPr>
        <w:t>The noncovalent interactions between the single S-protein and the</w:t>
      </w:r>
      <w:r>
        <w:rPr>
          <w:rFonts w:ascii="Times New Roman" w:eastAsia="MS PGothic" w:hAnsi="Times New Roman"/>
          <w:lang w:val="en-US"/>
        </w:rPr>
        <w:t xml:space="preserve"> </w:t>
      </w:r>
      <w:r w:rsidRPr="0070722E">
        <w:rPr>
          <w:rFonts w:ascii="Times New Roman" w:eastAsia="MS PGothic" w:hAnsi="Times New Roman"/>
          <w:lang w:val="en-US"/>
        </w:rPr>
        <w:t>target surfaces, as well as the global interaction potentials, were calculated</w:t>
      </w:r>
      <w:r>
        <w:rPr>
          <w:rFonts w:ascii="Times New Roman" w:eastAsia="MS PGothic" w:hAnsi="Times New Roman"/>
          <w:lang w:val="en-US"/>
        </w:rPr>
        <w:t xml:space="preserve"> </w:t>
      </w:r>
      <w:r w:rsidRPr="0070722E">
        <w:rPr>
          <w:rFonts w:ascii="Times New Roman" w:eastAsia="MS PGothic" w:hAnsi="Times New Roman"/>
          <w:lang w:val="en-US"/>
        </w:rPr>
        <w:t>using a classic Molecular Mechanics approach.</w:t>
      </w:r>
      <w:r>
        <w:rPr>
          <w:rFonts w:ascii="Times New Roman" w:eastAsia="MS PGothic" w:hAnsi="Times New Roman"/>
          <w:lang w:val="en-US"/>
        </w:rPr>
        <w:t xml:space="preserve"> </w:t>
      </w:r>
      <w:r w:rsidRPr="0070722E">
        <w:rPr>
          <w:rFonts w:ascii="Times New Roman" w:eastAsia="MS PGothic" w:hAnsi="Times New Roman"/>
          <w:lang w:val="en-US"/>
        </w:rPr>
        <w:t>In particular, the single-protein potential describes the potential</w:t>
      </w:r>
      <w:r>
        <w:rPr>
          <w:rFonts w:ascii="Times New Roman" w:eastAsia="MS PGothic" w:hAnsi="Times New Roman"/>
          <w:lang w:val="en-US"/>
        </w:rPr>
        <w:t xml:space="preserve"> </w:t>
      </w:r>
      <w:r w:rsidRPr="0070722E">
        <w:rPr>
          <w:rFonts w:ascii="Times New Roman" w:eastAsia="MS PGothic" w:hAnsi="Times New Roman"/>
          <w:lang w:val="en-US"/>
        </w:rPr>
        <w:t>energy of a single spike interacting with the polymer surface; thus, the</w:t>
      </w:r>
      <w:r>
        <w:rPr>
          <w:rFonts w:ascii="Times New Roman" w:eastAsia="MS PGothic" w:hAnsi="Times New Roman"/>
          <w:lang w:val="en-US"/>
        </w:rPr>
        <w:t xml:space="preserve"> </w:t>
      </w:r>
      <w:r w:rsidRPr="0070722E">
        <w:rPr>
          <w:rFonts w:ascii="Times New Roman" w:eastAsia="MS PGothic" w:hAnsi="Times New Roman"/>
          <w:lang w:val="en-US"/>
        </w:rPr>
        <w:t>surrounding protein’s effects are not considered. The second potential is</w:t>
      </w:r>
      <w:r>
        <w:rPr>
          <w:rFonts w:ascii="Times New Roman" w:eastAsia="MS PGothic" w:hAnsi="Times New Roman"/>
          <w:lang w:val="en-US"/>
        </w:rPr>
        <w:t xml:space="preserve"> </w:t>
      </w:r>
      <w:r w:rsidRPr="0070722E">
        <w:rPr>
          <w:rFonts w:ascii="Times New Roman" w:eastAsia="MS PGothic" w:hAnsi="Times New Roman"/>
          <w:lang w:val="en-US"/>
        </w:rPr>
        <w:t>instead the interaction potential due to a protein ensemble formed by a</w:t>
      </w:r>
      <w:r>
        <w:rPr>
          <w:rFonts w:ascii="Times New Roman" w:eastAsia="MS PGothic" w:hAnsi="Times New Roman"/>
          <w:lang w:val="en-US"/>
        </w:rPr>
        <w:t xml:space="preserve"> </w:t>
      </w:r>
      <w:r w:rsidRPr="0070722E">
        <w:rPr>
          <w:rFonts w:ascii="Times New Roman" w:eastAsia="MS PGothic" w:hAnsi="Times New Roman"/>
          <w:lang w:val="en-US"/>
        </w:rPr>
        <w:t xml:space="preserve">reference spike, considered perpendicular to </w:t>
      </w:r>
      <w:r w:rsidR="007055AB">
        <w:rPr>
          <w:rFonts w:ascii="Times New Roman" w:eastAsia="MS PGothic" w:hAnsi="Times New Roman"/>
          <w:lang w:val="en-US"/>
        </w:rPr>
        <w:t xml:space="preserve">the </w:t>
      </w:r>
      <w:r w:rsidRPr="0070722E">
        <w:rPr>
          <w:rFonts w:ascii="Times New Roman" w:eastAsia="MS PGothic" w:hAnsi="Times New Roman"/>
          <w:lang w:val="en-US"/>
        </w:rPr>
        <w:t>polymer surface, and its</w:t>
      </w:r>
      <w:r>
        <w:rPr>
          <w:rFonts w:ascii="Times New Roman" w:eastAsia="MS PGothic" w:hAnsi="Times New Roman"/>
          <w:lang w:val="en-US"/>
        </w:rPr>
        <w:t xml:space="preserve"> </w:t>
      </w:r>
      <w:r w:rsidRPr="0070722E">
        <w:rPr>
          <w:rFonts w:ascii="Times New Roman" w:eastAsia="MS PGothic" w:hAnsi="Times New Roman"/>
          <w:lang w:val="en-US"/>
        </w:rPr>
        <w:t>surrounding proteins: i.e., the 1st and 2nd neighbors. Hence, both descriptors</w:t>
      </w:r>
      <w:r>
        <w:rPr>
          <w:rFonts w:ascii="Times New Roman" w:eastAsia="MS PGothic" w:hAnsi="Times New Roman"/>
          <w:lang w:val="en-US"/>
        </w:rPr>
        <w:t xml:space="preserve"> </w:t>
      </w:r>
      <w:r w:rsidRPr="0070722E">
        <w:rPr>
          <w:rFonts w:ascii="Times New Roman" w:eastAsia="MS PGothic" w:hAnsi="Times New Roman"/>
          <w:lang w:val="en-US"/>
        </w:rPr>
        <w:t>are correlated with the affinity of SARS-CoV-2 towards a target</w:t>
      </w:r>
      <w:r>
        <w:rPr>
          <w:rFonts w:ascii="Times New Roman" w:eastAsia="MS PGothic" w:hAnsi="Times New Roman"/>
          <w:lang w:val="en-US"/>
        </w:rPr>
        <w:t xml:space="preserve"> </w:t>
      </w:r>
      <w:r w:rsidRPr="0070722E">
        <w:rPr>
          <w:rFonts w:ascii="Times New Roman" w:eastAsia="MS PGothic" w:hAnsi="Times New Roman"/>
          <w:lang w:val="en-US"/>
        </w:rPr>
        <w:t>polymer surface.</w:t>
      </w:r>
    </w:p>
    <w:p w14:paraId="24DA7AFA" w14:textId="77777777" w:rsidR="00954240" w:rsidRDefault="00181095" w:rsidP="00181095">
      <w:pPr>
        <w:snapToGrid w:val="0"/>
        <w:spacing w:after="120"/>
        <w:jc w:val="both"/>
        <w:rPr>
          <w:rFonts w:ascii="Times New Roman" w:eastAsia="MS PGothic" w:hAnsi="Times New Roman"/>
          <w:lang w:val="en-US"/>
        </w:rPr>
      </w:pPr>
      <w:r w:rsidRPr="00181095">
        <w:rPr>
          <w:rFonts w:ascii="Times New Roman" w:eastAsia="MS PGothic" w:hAnsi="Times New Roman"/>
          <w:lang w:val="en-US"/>
        </w:rPr>
        <w:t>In order to evaluate the contribution of various spikes around a</w:t>
      </w:r>
      <w:r>
        <w:rPr>
          <w:rFonts w:ascii="Times New Roman" w:eastAsia="MS PGothic" w:hAnsi="Times New Roman"/>
          <w:lang w:val="en-US"/>
        </w:rPr>
        <w:t xml:space="preserve"> </w:t>
      </w:r>
      <w:r w:rsidRPr="00181095">
        <w:rPr>
          <w:rFonts w:ascii="Times New Roman" w:eastAsia="MS PGothic" w:hAnsi="Times New Roman"/>
          <w:lang w:val="en-US"/>
        </w:rPr>
        <w:t>reference protein, i.e., the effect of the 1st and 2nd neighbors, the global</w:t>
      </w:r>
      <w:r>
        <w:rPr>
          <w:rFonts w:ascii="Times New Roman" w:eastAsia="MS PGothic" w:hAnsi="Times New Roman"/>
          <w:lang w:val="en-US"/>
        </w:rPr>
        <w:t xml:space="preserve"> </w:t>
      </w:r>
      <w:r w:rsidRPr="00181095">
        <w:rPr>
          <w:rFonts w:ascii="Times New Roman" w:eastAsia="MS PGothic" w:hAnsi="Times New Roman"/>
          <w:lang w:val="en-US"/>
        </w:rPr>
        <w:t>interaction potentials were evaluated</w:t>
      </w:r>
      <w:r>
        <w:rPr>
          <w:rFonts w:ascii="Times New Roman" w:eastAsia="MS PGothic" w:hAnsi="Times New Roman"/>
          <w:lang w:val="en-US"/>
        </w:rPr>
        <w:t xml:space="preserve"> </w:t>
      </w:r>
      <w:r w:rsidRPr="00181095">
        <w:rPr>
          <w:rFonts w:ascii="Times New Roman" w:eastAsia="MS PGothic" w:hAnsi="Times New Roman"/>
          <w:lang w:val="en-US"/>
        </w:rPr>
        <w:t xml:space="preserve">and plotted in Fig. </w:t>
      </w:r>
      <w:r>
        <w:rPr>
          <w:rFonts w:ascii="Times New Roman" w:eastAsia="MS PGothic" w:hAnsi="Times New Roman"/>
          <w:lang w:val="en-US"/>
        </w:rPr>
        <w:t>3</w:t>
      </w:r>
      <w:r w:rsidRPr="00181095">
        <w:rPr>
          <w:rFonts w:ascii="Times New Roman" w:eastAsia="MS PGothic" w:hAnsi="Times New Roman"/>
          <w:lang w:val="en-US"/>
        </w:rPr>
        <w:t>.</w:t>
      </w:r>
    </w:p>
    <w:p w14:paraId="6CAC87AF" w14:textId="77777777" w:rsidR="00181095" w:rsidRDefault="00181095" w:rsidP="00E90348">
      <w:pPr>
        <w:keepNext/>
        <w:snapToGrid w:val="0"/>
        <w:spacing w:before="240" w:after="240"/>
        <w:jc w:val="center"/>
      </w:pPr>
      <w:r w:rsidRPr="00181095">
        <w:rPr>
          <w:rFonts w:ascii="Times New Roman" w:eastAsia="MS PGothic" w:hAnsi="Times New Roman"/>
          <w:noProof/>
          <w:lang w:val="en-US"/>
        </w:rPr>
        <w:drawing>
          <wp:inline distT="0" distB="0" distL="0" distR="0" wp14:anchorId="6EB19085" wp14:editId="2D023A19">
            <wp:extent cx="5384042" cy="2068035"/>
            <wp:effectExtent l="0" t="0" r="7620"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6203" cy="2072706"/>
                    </a:xfrm>
                    <a:prstGeom prst="rect">
                      <a:avLst/>
                    </a:prstGeom>
                    <a:noFill/>
                    <a:ln>
                      <a:noFill/>
                    </a:ln>
                  </pic:spPr>
                </pic:pic>
              </a:graphicData>
            </a:graphic>
          </wp:inline>
        </w:drawing>
      </w:r>
    </w:p>
    <w:p w14:paraId="31DE2DA0" w14:textId="375E25ED" w:rsidR="00181095" w:rsidRPr="00181095" w:rsidRDefault="00181095" w:rsidP="00181095">
      <w:pPr>
        <w:pStyle w:val="Didascalia"/>
        <w:jc w:val="center"/>
        <w:rPr>
          <w:rFonts w:ascii="Times New Roman" w:hAnsi="Times New Roman" w:cs="Times New Roman"/>
          <w:lang w:val="en-US"/>
        </w:rPr>
      </w:pPr>
      <w:r w:rsidRPr="00181095">
        <w:rPr>
          <w:rFonts w:ascii="Times New Roman" w:hAnsi="Times New Roman" w:cs="Times New Roman"/>
          <w:lang w:val="en-US"/>
        </w:rPr>
        <w:t xml:space="preserve">Figure </w:t>
      </w:r>
      <w:r w:rsidRPr="00181095">
        <w:rPr>
          <w:rFonts w:ascii="Times New Roman" w:hAnsi="Times New Roman" w:cs="Times New Roman"/>
        </w:rPr>
        <w:fldChar w:fldCharType="begin"/>
      </w:r>
      <w:r w:rsidRPr="00181095">
        <w:rPr>
          <w:rFonts w:ascii="Times New Roman" w:hAnsi="Times New Roman" w:cs="Times New Roman"/>
          <w:lang w:val="en-US"/>
        </w:rPr>
        <w:instrText xml:space="preserve"> SEQ Figure \* ARABIC </w:instrText>
      </w:r>
      <w:r w:rsidRPr="00181095">
        <w:rPr>
          <w:rFonts w:ascii="Times New Roman" w:hAnsi="Times New Roman" w:cs="Times New Roman"/>
        </w:rPr>
        <w:fldChar w:fldCharType="separate"/>
      </w:r>
      <w:r w:rsidR="008268A7">
        <w:rPr>
          <w:rFonts w:ascii="Times New Roman" w:hAnsi="Times New Roman" w:cs="Times New Roman"/>
          <w:noProof/>
          <w:lang w:val="en-US"/>
        </w:rPr>
        <w:t>3</w:t>
      </w:r>
      <w:r w:rsidRPr="00181095">
        <w:rPr>
          <w:rFonts w:ascii="Times New Roman" w:hAnsi="Times New Roman" w:cs="Times New Roman"/>
        </w:rPr>
        <w:fldChar w:fldCharType="end"/>
      </w:r>
      <w:r w:rsidRPr="00181095">
        <w:rPr>
          <w:rFonts w:ascii="Times New Roman" w:hAnsi="Times New Roman" w:cs="Times New Roman"/>
          <w:lang w:val="en-US"/>
        </w:rPr>
        <w:t>: a) Global interaction potentials as a function of the protein-surface distance (d) for the closed structure of spike and target surfaces, b) global interaction potentials as a function of the protein-surface distance (d) for the open structure of spike.</w:t>
      </w:r>
    </w:p>
    <w:p w14:paraId="33892014" w14:textId="77777777" w:rsidR="00EF2CB9" w:rsidRDefault="0079169A" w:rsidP="0079169A">
      <w:pPr>
        <w:snapToGrid w:val="0"/>
        <w:spacing w:after="120"/>
        <w:jc w:val="both"/>
        <w:rPr>
          <w:rFonts w:ascii="Times New Roman" w:eastAsia="MS PGothic" w:hAnsi="Times New Roman"/>
          <w:lang w:val="en-US"/>
        </w:rPr>
      </w:pPr>
      <w:r w:rsidRPr="0079169A">
        <w:rPr>
          <w:rFonts w:ascii="Times New Roman" w:eastAsia="MS PGothic" w:hAnsi="Times New Roman"/>
          <w:lang w:val="en-US"/>
        </w:rPr>
        <w:lastRenderedPageBreak/>
        <w:t>PP and PLA surfaces</w:t>
      </w:r>
      <w:r>
        <w:rPr>
          <w:rFonts w:ascii="Times New Roman" w:eastAsia="MS PGothic" w:hAnsi="Times New Roman"/>
          <w:lang w:val="en-US"/>
        </w:rPr>
        <w:t xml:space="preserve"> </w:t>
      </w:r>
      <w:r w:rsidRPr="0079169A">
        <w:rPr>
          <w:rFonts w:ascii="Times New Roman" w:eastAsia="MS PGothic" w:hAnsi="Times New Roman"/>
          <w:lang w:val="en-US"/>
        </w:rPr>
        <w:t>interact with the S-proteins to a greater extent than the PET surface.</w:t>
      </w:r>
      <w:r>
        <w:rPr>
          <w:rFonts w:ascii="Times New Roman" w:eastAsia="MS PGothic" w:hAnsi="Times New Roman"/>
          <w:lang w:val="en-US"/>
        </w:rPr>
        <w:t xml:space="preserve"> </w:t>
      </w:r>
      <w:r w:rsidRPr="0079169A">
        <w:rPr>
          <w:rFonts w:ascii="Times New Roman" w:eastAsia="MS PGothic" w:hAnsi="Times New Roman"/>
          <w:lang w:val="en-US"/>
        </w:rPr>
        <w:t>Additionally, the global potentials highlight more clearly that the PP and</w:t>
      </w:r>
      <w:r>
        <w:rPr>
          <w:rFonts w:ascii="Times New Roman" w:eastAsia="MS PGothic" w:hAnsi="Times New Roman"/>
          <w:lang w:val="en-US"/>
        </w:rPr>
        <w:t xml:space="preserve"> </w:t>
      </w:r>
      <w:r w:rsidRPr="0079169A">
        <w:rPr>
          <w:rFonts w:ascii="Times New Roman" w:eastAsia="MS PGothic" w:hAnsi="Times New Roman"/>
          <w:lang w:val="en-US"/>
        </w:rPr>
        <w:t>PLA surfaces interact differently with the open state of the S-protein</w:t>
      </w:r>
      <w:r>
        <w:rPr>
          <w:rFonts w:ascii="Times New Roman" w:eastAsia="MS PGothic" w:hAnsi="Times New Roman"/>
          <w:lang w:val="en-US"/>
        </w:rPr>
        <w:t xml:space="preserve">. </w:t>
      </w:r>
      <w:r w:rsidRPr="0079169A">
        <w:rPr>
          <w:rFonts w:ascii="Times New Roman" w:eastAsia="MS PGothic" w:hAnsi="Times New Roman"/>
          <w:lang w:val="en-US"/>
        </w:rPr>
        <w:t>Moreover, the global interaction potentials show that PP and PLA-based</w:t>
      </w:r>
      <w:r>
        <w:rPr>
          <w:rFonts w:ascii="Times New Roman" w:eastAsia="MS PGothic" w:hAnsi="Times New Roman"/>
          <w:lang w:val="en-US"/>
        </w:rPr>
        <w:t xml:space="preserve"> </w:t>
      </w:r>
      <w:r w:rsidRPr="0079169A">
        <w:rPr>
          <w:rFonts w:ascii="Times New Roman" w:eastAsia="MS PGothic" w:hAnsi="Times New Roman"/>
          <w:lang w:val="en-US"/>
        </w:rPr>
        <w:t xml:space="preserve">purification </w:t>
      </w:r>
      <w:r>
        <w:rPr>
          <w:rFonts w:ascii="Times New Roman" w:eastAsia="MS PGothic" w:hAnsi="Times New Roman"/>
          <w:lang w:val="en-US"/>
        </w:rPr>
        <w:t>d</w:t>
      </w:r>
      <w:r w:rsidRPr="0079169A">
        <w:rPr>
          <w:rFonts w:ascii="Times New Roman" w:eastAsia="MS PGothic" w:hAnsi="Times New Roman"/>
          <w:lang w:val="en-US"/>
        </w:rPr>
        <w:t>evices or membranes should retain the virus more effectively</w:t>
      </w:r>
      <w:r>
        <w:rPr>
          <w:rFonts w:ascii="Times New Roman" w:eastAsia="MS PGothic" w:hAnsi="Times New Roman"/>
          <w:lang w:val="en-US"/>
        </w:rPr>
        <w:t xml:space="preserve"> </w:t>
      </w:r>
      <w:r w:rsidRPr="0079169A">
        <w:rPr>
          <w:rFonts w:ascii="Times New Roman" w:eastAsia="MS PGothic" w:hAnsi="Times New Roman"/>
          <w:lang w:val="en-US"/>
        </w:rPr>
        <w:t>than PET-based devices.</w:t>
      </w:r>
    </w:p>
    <w:p w14:paraId="2EA067A6" w14:textId="77777777" w:rsidR="00DA51A3" w:rsidRPr="00466FFD" w:rsidRDefault="00DA51A3" w:rsidP="00DA51A3">
      <w:pPr>
        <w:snapToGrid w:val="0"/>
        <w:spacing w:before="240" w:line="300" w:lineRule="auto"/>
        <w:rPr>
          <w:rFonts w:ascii="Times New Roman" w:eastAsia="MS PGothic" w:hAnsi="Times New Roman"/>
          <w:lang w:val="en-US" w:eastAsia="ko-KR"/>
        </w:rPr>
      </w:pPr>
      <w:r w:rsidRPr="00466FFD">
        <w:rPr>
          <w:rFonts w:ascii="Times New Roman" w:eastAsia="MS PGothic" w:hAnsi="Times New Roman"/>
          <w:b/>
          <w:bCs/>
          <w:lang w:val="en-US"/>
        </w:rPr>
        <w:t>4. Conclusion</w:t>
      </w:r>
      <w:r w:rsidRPr="00466FFD">
        <w:rPr>
          <w:rFonts w:ascii="Times New Roman" w:eastAsia="MS PGothic" w:hAnsi="Times New Roman"/>
          <w:b/>
          <w:bCs/>
          <w:lang w:val="en-US" w:eastAsia="ko-KR"/>
        </w:rPr>
        <w:t>s</w:t>
      </w:r>
    </w:p>
    <w:p w14:paraId="5AB5109D" w14:textId="0A587C3B" w:rsidR="0079169A" w:rsidRDefault="0079169A" w:rsidP="001200FF">
      <w:pPr>
        <w:snapToGrid w:val="0"/>
        <w:spacing w:after="0"/>
        <w:jc w:val="both"/>
        <w:rPr>
          <w:rFonts w:ascii="Times New Roman" w:eastAsia="MS PGothic" w:hAnsi="Times New Roman"/>
          <w:lang w:val="en-US"/>
        </w:rPr>
      </w:pPr>
      <w:r w:rsidRPr="0079169A">
        <w:rPr>
          <w:rFonts w:ascii="Times New Roman" w:eastAsia="MS PGothic" w:hAnsi="Times New Roman"/>
          <w:lang w:val="en-US"/>
        </w:rPr>
        <w:t xml:space="preserve">A combined Monte Carlo/micro-CFD model was implemented in the </w:t>
      </w:r>
      <w:r w:rsidR="007055AB">
        <w:rPr>
          <w:rFonts w:ascii="Times New Roman" w:eastAsia="MS PGothic" w:hAnsi="Times New Roman"/>
          <w:lang w:val="en-US"/>
        </w:rPr>
        <w:t>present</w:t>
      </w:r>
      <w:r w:rsidR="007055AB" w:rsidRPr="0079169A">
        <w:rPr>
          <w:rFonts w:ascii="Times New Roman" w:eastAsia="MS PGothic" w:hAnsi="Times New Roman"/>
          <w:lang w:val="en-US"/>
        </w:rPr>
        <w:t xml:space="preserve"> </w:t>
      </w:r>
      <w:r w:rsidRPr="0079169A">
        <w:rPr>
          <w:rFonts w:ascii="Times New Roman" w:eastAsia="MS PGothic" w:hAnsi="Times New Roman"/>
          <w:lang w:val="en-US"/>
        </w:rPr>
        <w:t xml:space="preserve">work. The overall aim was the calculation of the additional resistance, </w:t>
      </w:r>
      <m:oMath>
        <m:sSub>
          <m:sSubPr>
            <m:ctrlPr>
              <w:rPr>
                <w:rFonts w:ascii="Cambria Math" w:eastAsia="MS PGothic" w:hAnsi="Cambria Math"/>
                <w:i/>
                <w:lang w:val="en-US"/>
              </w:rPr>
            </m:ctrlPr>
          </m:sSubPr>
          <m:e>
            <m:r>
              <w:rPr>
                <w:rFonts w:ascii="Cambria Math" w:eastAsia="MS PGothic" w:hAnsi="Cambria Math"/>
                <w:lang w:val="en-US"/>
              </w:rPr>
              <m:t>R</m:t>
            </m:r>
          </m:e>
          <m:sub>
            <m:r>
              <w:rPr>
                <w:rFonts w:ascii="Cambria Math" w:eastAsia="MS PGothic" w:hAnsi="Cambria Math"/>
                <w:lang w:val="en-US"/>
              </w:rPr>
              <m:t>add</m:t>
            </m:r>
          </m:sub>
        </m:sSub>
      </m:oMath>
      <w:r w:rsidR="00E90348" w:rsidRPr="0079169A">
        <w:rPr>
          <w:rFonts w:ascii="Times New Roman" w:eastAsia="MS PGothic" w:hAnsi="Times New Roman"/>
          <w:lang w:val="en-US"/>
        </w:rPr>
        <w:t>, in the cake layers. This macroscopic quantity was calculated</w:t>
      </w:r>
      <w:r w:rsidRPr="0079169A">
        <w:rPr>
          <w:rFonts w:ascii="Times New Roman" w:eastAsia="MS PGothic" w:hAnsi="Times New Roman"/>
          <w:lang w:val="en-US"/>
        </w:rPr>
        <w:t xml:space="preserve"> starting from the ab-initio surface charge obtained by Quantum Mechanic</w:t>
      </w:r>
      <w:r w:rsidR="007055AB">
        <w:rPr>
          <w:rFonts w:ascii="Times New Roman" w:eastAsia="MS PGothic" w:hAnsi="Times New Roman"/>
          <w:lang w:val="en-US"/>
        </w:rPr>
        <w:t>s</w:t>
      </w:r>
      <w:r w:rsidRPr="0079169A">
        <w:rPr>
          <w:rFonts w:ascii="Times New Roman" w:eastAsia="MS PGothic" w:hAnsi="Times New Roman"/>
          <w:lang w:val="en-US"/>
        </w:rPr>
        <w:t xml:space="preserve"> techniques.</w:t>
      </w:r>
      <w:r>
        <w:rPr>
          <w:rFonts w:ascii="Times New Roman" w:eastAsia="MS PGothic" w:hAnsi="Times New Roman"/>
          <w:lang w:val="en-US"/>
        </w:rPr>
        <w:t xml:space="preserve"> </w:t>
      </w:r>
      <w:r w:rsidRPr="0079169A">
        <w:rPr>
          <w:rFonts w:ascii="Times New Roman" w:eastAsia="MS PGothic" w:hAnsi="Times New Roman"/>
          <w:lang w:val="en-US"/>
        </w:rPr>
        <w:t xml:space="preserve">The pressure drop across the fouling layer was calculated </w:t>
      </w:r>
      <w:r w:rsidRPr="0079169A">
        <w:rPr>
          <w:rFonts w:ascii="Times New Roman" w:eastAsia="MS PGothic" w:hAnsi="Times New Roman" w:cs="Times New Roman"/>
          <w:lang w:val="en-US"/>
        </w:rPr>
        <w:t xml:space="preserve">and </w:t>
      </w:r>
      <w:r w:rsidRPr="0079169A">
        <w:rPr>
          <w:rFonts w:ascii="Times New Roman" w:hAnsi="Times New Roman" w:cs="Times New Roman"/>
          <w:lang w:val="en-US"/>
        </w:rPr>
        <w:t>the fouling layer additional resistance resulted equal to</w:t>
      </w:r>
      <w:r w:rsidRPr="0079169A">
        <w:rPr>
          <w:lang w:val="en-US"/>
        </w:rPr>
        <w:t xml:space="preserve"> </w:t>
      </w:r>
      <m:oMath>
        <m:sSub>
          <m:sSubPr>
            <m:ctrlPr>
              <w:rPr>
                <w:rFonts w:ascii="Cambria Math" w:hAnsi="Cambria Math"/>
                <w:i/>
              </w:rPr>
            </m:ctrlPr>
          </m:sSubPr>
          <m:e>
            <m:r>
              <w:rPr>
                <w:rFonts w:ascii="Cambria Math" w:hAnsi="Cambria Math"/>
              </w:rPr>
              <m:t>R</m:t>
            </m:r>
          </m:e>
          <m:sub>
            <m:r>
              <w:rPr>
                <w:rFonts w:ascii="Cambria Math" w:hAnsi="Cambria Math"/>
              </w:rPr>
              <m:t>add</m:t>
            </m:r>
          </m:sub>
        </m:sSub>
        <m:r>
          <w:rPr>
            <w:rFonts w:ascii="Cambria Math" w:hAnsi="Cambria Math"/>
            <w:lang w:val="en-US"/>
          </w:rPr>
          <m:t>=1.91 ∙</m:t>
        </m:r>
        <m:sSup>
          <m:sSupPr>
            <m:ctrlPr>
              <w:rPr>
                <w:rFonts w:ascii="Cambria Math" w:hAnsi="Cambria Math"/>
                <w:i/>
              </w:rPr>
            </m:ctrlPr>
          </m:sSupPr>
          <m:e>
            <m:r>
              <w:rPr>
                <w:rFonts w:ascii="Cambria Math" w:hAnsi="Cambria Math"/>
                <w:lang w:val="en-US"/>
              </w:rPr>
              <m:t>10</m:t>
            </m:r>
          </m:e>
          <m:sup>
            <m:r>
              <w:rPr>
                <w:rFonts w:ascii="Cambria Math" w:hAnsi="Cambria Math"/>
                <w:lang w:val="en-US"/>
              </w:rPr>
              <m:t>13</m:t>
            </m:r>
          </m:sup>
        </m:sSup>
        <m:r>
          <w:rPr>
            <w:rFonts w:ascii="Cambria Math" w:hAnsi="Cambria Math"/>
            <w:lang w:val="en-US"/>
          </w:rPr>
          <m:t xml:space="preserve"> </m:t>
        </m:r>
        <m:sSup>
          <m:sSupPr>
            <m:ctrlPr>
              <w:rPr>
                <w:rFonts w:ascii="Cambria Math" w:hAnsi="Cambria Math"/>
                <w:i/>
              </w:rPr>
            </m:ctrlPr>
          </m:sSupPr>
          <m:e>
            <m:r>
              <w:rPr>
                <w:rFonts w:ascii="Cambria Math" w:hAnsi="Cambria Math"/>
              </w:rPr>
              <m:t>m</m:t>
            </m:r>
          </m:e>
          <m:sup>
            <m:r>
              <w:rPr>
                <w:rFonts w:ascii="Cambria Math" w:hAnsi="Cambria Math"/>
                <w:lang w:val="en-US"/>
              </w:rPr>
              <m:t>-1</m:t>
            </m:r>
          </m:sup>
        </m:sSup>
      </m:oMath>
      <w:r w:rsidRPr="0079169A">
        <w:rPr>
          <w:lang w:val="en-US"/>
        </w:rPr>
        <w:t>.</w:t>
      </w:r>
      <w:r w:rsidR="00E90348">
        <w:rPr>
          <w:lang w:val="en-US"/>
        </w:rPr>
        <w:t xml:space="preserve"> </w:t>
      </w:r>
      <w:r w:rsidR="00207630" w:rsidRPr="00207630">
        <w:rPr>
          <w:rFonts w:ascii="Times New Roman" w:eastAsia="MS PGothic" w:hAnsi="Times New Roman"/>
          <w:lang w:val="en-US"/>
        </w:rPr>
        <w:t>Long-range noncovalent interactions between the SARS-CoV-2</w:t>
      </w:r>
      <w:r w:rsidR="00207630">
        <w:rPr>
          <w:rFonts w:ascii="Times New Roman" w:eastAsia="MS PGothic" w:hAnsi="Times New Roman"/>
          <w:lang w:val="en-US"/>
        </w:rPr>
        <w:t xml:space="preserve"> </w:t>
      </w:r>
      <w:r w:rsidR="00207630" w:rsidRPr="00207630">
        <w:rPr>
          <w:rFonts w:ascii="Times New Roman" w:eastAsia="MS PGothic" w:hAnsi="Times New Roman"/>
          <w:lang w:val="en-US"/>
        </w:rPr>
        <w:t>spikes and synthetic polymeric materials were investigated to suggest</w:t>
      </w:r>
      <w:r w:rsidR="00207630">
        <w:rPr>
          <w:rFonts w:ascii="Times New Roman" w:eastAsia="MS PGothic" w:hAnsi="Times New Roman"/>
          <w:lang w:val="en-US"/>
        </w:rPr>
        <w:t xml:space="preserve"> </w:t>
      </w:r>
      <w:r w:rsidR="00207630" w:rsidRPr="00207630">
        <w:rPr>
          <w:rFonts w:ascii="Times New Roman" w:eastAsia="MS PGothic" w:hAnsi="Times New Roman"/>
          <w:lang w:val="en-US"/>
        </w:rPr>
        <w:t>descriptors associated with the surface’s affinity towards coronavirus.</w:t>
      </w:r>
      <w:r w:rsidR="00207630">
        <w:rPr>
          <w:rFonts w:ascii="Times New Roman" w:eastAsia="MS PGothic" w:hAnsi="Times New Roman"/>
          <w:lang w:val="en-US"/>
        </w:rPr>
        <w:t xml:space="preserve"> </w:t>
      </w:r>
      <w:r w:rsidR="00207630" w:rsidRPr="00207630">
        <w:rPr>
          <w:rFonts w:ascii="Times New Roman" w:eastAsia="MS PGothic" w:hAnsi="Times New Roman"/>
          <w:lang w:val="en-US"/>
        </w:rPr>
        <w:t>Single-protein and global interaction potentials, evaluated through a</w:t>
      </w:r>
      <w:r w:rsidR="00207630">
        <w:rPr>
          <w:rFonts w:ascii="Times New Roman" w:eastAsia="MS PGothic" w:hAnsi="Times New Roman"/>
          <w:lang w:val="en-US"/>
        </w:rPr>
        <w:t xml:space="preserve"> </w:t>
      </w:r>
      <w:r w:rsidR="00207630" w:rsidRPr="00207630">
        <w:rPr>
          <w:rFonts w:ascii="Times New Roman" w:eastAsia="MS PGothic" w:hAnsi="Times New Roman"/>
          <w:lang w:val="en-US"/>
        </w:rPr>
        <w:t>combined computational approach based on molecular mechanics and</w:t>
      </w:r>
      <w:r w:rsidR="00207630">
        <w:rPr>
          <w:rFonts w:ascii="Times New Roman" w:eastAsia="MS PGothic" w:hAnsi="Times New Roman"/>
          <w:lang w:val="en-US"/>
        </w:rPr>
        <w:t xml:space="preserve"> </w:t>
      </w:r>
      <w:r w:rsidR="00207630" w:rsidRPr="00207630">
        <w:rPr>
          <w:rFonts w:ascii="Times New Roman" w:eastAsia="MS PGothic" w:hAnsi="Times New Roman"/>
          <w:lang w:val="en-US"/>
        </w:rPr>
        <w:t>dynamics simulations, were proposed as versatile descriptors.</w:t>
      </w:r>
      <w:r w:rsidR="00207630">
        <w:rPr>
          <w:rFonts w:ascii="Times New Roman" w:eastAsia="MS PGothic" w:hAnsi="Times New Roman"/>
          <w:lang w:val="en-US"/>
        </w:rPr>
        <w:t xml:space="preserve"> </w:t>
      </w:r>
      <w:r w:rsidR="00207630" w:rsidRPr="00207630">
        <w:rPr>
          <w:rFonts w:ascii="Times New Roman" w:eastAsia="MS PGothic" w:hAnsi="Times New Roman"/>
          <w:lang w:val="en-US"/>
        </w:rPr>
        <w:t>The evaluated descriptors highlight that the protein-surface long</w:t>
      </w:r>
      <w:r w:rsidR="00207630">
        <w:rPr>
          <w:rFonts w:ascii="Times New Roman" w:eastAsia="MS PGothic" w:hAnsi="Times New Roman"/>
          <w:lang w:val="en-US"/>
        </w:rPr>
        <w:t xml:space="preserve"> </w:t>
      </w:r>
      <w:r w:rsidR="00207630" w:rsidRPr="00207630">
        <w:rPr>
          <w:rFonts w:ascii="Times New Roman" w:eastAsia="MS PGothic" w:hAnsi="Times New Roman"/>
          <w:lang w:val="en-US"/>
        </w:rPr>
        <w:t>range</w:t>
      </w:r>
      <w:r w:rsidR="00207630">
        <w:rPr>
          <w:rFonts w:ascii="Times New Roman" w:eastAsia="MS PGothic" w:hAnsi="Times New Roman"/>
          <w:lang w:val="en-US"/>
        </w:rPr>
        <w:t xml:space="preserve"> </w:t>
      </w:r>
      <w:r w:rsidR="00207630" w:rsidRPr="00207630">
        <w:rPr>
          <w:rFonts w:ascii="Times New Roman" w:eastAsia="MS PGothic" w:hAnsi="Times New Roman"/>
          <w:lang w:val="en-US"/>
        </w:rPr>
        <w:t>interactions decrease in the following order PP ~ PLA &gt; PET and</w:t>
      </w:r>
      <w:r w:rsidR="00207630">
        <w:rPr>
          <w:rFonts w:ascii="Times New Roman" w:eastAsia="MS PGothic" w:hAnsi="Times New Roman"/>
          <w:lang w:val="en-US"/>
        </w:rPr>
        <w:t xml:space="preserve"> </w:t>
      </w:r>
      <w:r w:rsidR="00207630" w:rsidRPr="00207630">
        <w:rPr>
          <w:rFonts w:ascii="Times New Roman" w:eastAsia="MS PGothic" w:hAnsi="Times New Roman"/>
          <w:lang w:val="en-US"/>
        </w:rPr>
        <w:t>PLA &gt; PP &gt; PET for the closed and open structures of the spike,</w:t>
      </w:r>
      <w:r w:rsidR="00207630">
        <w:rPr>
          <w:rFonts w:ascii="Times New Roman" w:eastAsia="MS PGothic" w:hAnsi="Times New Roman"/>
          <w:lang w:val="en-US"/>
        </w:rPr>
        <w:t xml:space="preserve"> </w:t>
      </w:r>
      <w:r w:rsidR="00207630" w:rsidRPr="00207630">
        <w:rPr>
          <w:rFonts w:ascii="Times New Roman" w:eastAsia="MS PGothic" w:hAnsi="Times New Roman"/>
          <w:lang w:val="en-US"/>
        </w:rPr>
        <w:t>respectively</w:t>
      </w:r>
      <w:r w:rsidR="00207630">
        <w:rPr>
          <w:rFonts w:ascii="Times New Roman" w:eastAsia="MS PGothic" w:hAnsi="Times New Roman"/>
          <w:lang w:val="en-US"/>
        </w:rPr>
        <w:t>.</w:t>
      </w:r>
      <w:r w:rsidR="001200FF">
        <w:rPr>
          <w:rFonts w:ascii="Times New Roman" w:eastAsia="MS PGothic" w:hAnsi="Times New Roman"/>
          <w:lang w:val="en-US"/>
        </w:rPr>
        <w:t xml:space="preserve"> </w:t>
      </w:r>
    </w:p>
    <w:p w14:paraId="6F4B318C" w14:textId="6BDECEE0" w:rsidR="001200FF" w:rsidRDefault="001200FF" w:rsidP="001200FF">
      <w:pPr>
        <w:snapToGrid w:val="0"/>
        <w:spacing w:after="0"/>
        <w:jc w:val="both"/>
        <w:rPr>
          <w:rFonts w:ascii="Times New Roman" w:eastAsia="MS PGothic" w:hAnsi="Times New Roman"/>
          <w:lang w:val="en-US"/>
        </w:rPr>
      </w:pPr>
      <w:r w:rsidRPr="001200FF">
        <w:rPr>
          <w:rFonts w:ascii="Times New Roman" w:eastAsia="MS PGothic" w:hAnsi="Times New Roman"/>
          <w:lang w:val="en-US"/>
        </w:rPr>
        <w:t xml:space="preserve">A completely multidisciplinary approach has been developed and applied in two areas substantially different but </w:t>
      </w:r>
      <w:r w:rsidR="007055AB">
        <w:rPr>
          <w:rFonts w:ascii="Times New Roman" w:eastAsia="MS PGothic" w:hAnsi="Times New Roman"/>
          <w:lang w:val="en-US"/>
        </w:rPr>
        <w:t>connected</w:t>
      </w:r>
      <w:r w:rsidR="007055AB" w:rsidRPr="001200FF">
        <w:rPr>
          <w:rFonts w:ascii="Times New Roman" w:eastAsia="MS PGothic" w:hAnsi="Times New Roman"/>
          <w:lang w:val="en-US"/>
        </w:rPr>
        <w:t xml:space="preserve"> </w:t>
      </w:r>
      <w:r w:rsidRPr="001200FF">
        <w:rPr>
          <w:rFonts w:ascii="Times New Roman" w:eastAsia="MS PGothic" w:hAnsi="Times New Roman"/>
          <w:lang w:val="en-US"/>
        </w:rPr>
        <w:t>by a characterizing aspect such as the study of macromolecule-macromolecule and mac</w:t>
      </w:r>
      <w:r>
        <w:rPr>
          <w:rFonts w:ascii="Times New Roman" w:eastAsia="MS PGothic" w:hAnsi="Times New Roman"/>
          <w:lang w:val="en-US"/>
        </w:rPr>
        <w:t>r</w:t>
      </w:r>
      <w:r w:rsidRPr="001200FF">
        <w:rPr>
          <w:rFonts w:ascii="Times New Roman" w:eastAsia="MS PGothic" w:hAnsi="Times New Roman"/>
          <w:lang w:val="en-US"/>
        </w:rPr>
        <w:t>omolecule-surface interactions at the nano/micro</w:t>
      </w:r>
      <w:r w:rsidR="007055AB">
        <w:rPr>
          <w:rFonts w:ascii="Times New Roman" w:eastAsia="MS PGothic" w:hAnsi="Times New Roman"/>
          <w:lang w:val="en-US"/>
        </w:rPr>
        <w:t>scopic</w:t>
      </w:r>
      <w:r w:rsidRPr="001200FF">
        <w:rPr>
          <w:rFonts w:ascii="Times New Roman" w:eastAsia="MS PGothic" w:hAnsi="Times New Roman"/>
          <w:lang w:val="en-US"/>
        </w:rPr>
        <w:t xml:space="preserve"> scale.</w:t>
      </w:r>
    </w:p>
    <w:p w14:paraId="32B8B1E2" w14:textId="77777777" w:rsidR="001200FF" w:rsidRPr="00E90348" w:rsidRDefault="001200FF" w:rsidP="00E90348">
      <w:pPr>
        <w:snapToGrid w:val="0"/>
        <w:spacing w:before="240"/>
        <w:jc w:val="both"/>
        <w:rPr>
          <w:lang w:val="en-US"/>
        </w:rPr>
      </w:pPr>
    </w:p>
    <w:p w14:paraId="728D05D6" w14:textId="77777777" w:rsidR="00DA51A3" w:rsidRPr="00466FFD" w:rsidRDefault="00DA51A3" w:rsidP="00DA51A3">
      <w:pPr>
        <w:snapToGrid w:val="0"/>
        <w:spacing w:before="240" w:line="300" w:lineRule="auto"/>
        <w:rPr>
          <w:rFonts w:ascii="Times New Roman" w:eastAsia="SimSun" w:hAnsi="Times New Roman"/>
          <w:b/>
          <w:bCs/>
          <w:lang w:val="en-US" w:eastAsia="zh-CN"/>
        </w:rPr>
      </w:pPr>
      <w:r w:rsidRPr="00466FFD">
        <w:rPr>
          <w:rFonts w:ascii="Times New Roman" w:eastAsia="MS PGothic" w:hAnsi="Times New Roman"/>
          <w:b/>
          <w:bCs/>
          <w:lang w:val="en-US"/>
        </w:rPr>
        <w:t xml:space="preserve">References </w:t>
      </w:r>
    </w:p>
    <w:p w14:paraId="2725E1AC" w14:textId="77777777" w:rsidR="00446BFC" w:rsidRPr="008268A7" w:rsidRDefault="00197727" w:rsidP="00446BFC">
      <w:pPr>
        <w:widowControl w:val="0"/>
        <w:autoSpaceDE w:val="0"/>
        <w:autoSpaceDN w:val="0"/>
        <w:adjustRightInd w:val="0"/>
        <w:spacing w:after="120" w:line="240" w:lineRule="auto"/>
        <w:ind w:left="640" w:hanging="640"/>
        <w:rPr>
          <w:rFonts w:ascii="Times New Roman" w:hAnsi="Times New Roman" w:cs="Times New Roman"/>
          <w:noProof/>
          <w:szCs w:val="24"/>
          <w:lang w:val="en-US"/>
        </w:rPr>
      </w:pPr>
      <w:r>
        <w:rPr>
          <w:rFonts w:ascii="Times New Roman" w:eastAsia="MS PGothic" w:hAnsi="Times New Roman"/>
          <w:lang w:val="en-US"/>
        </w:rPr>
        <w:fldChar w:fldCharType="begin" w:fldLock="1"/>
      </w:r>
      <w:r>
        <w:rPr>
          <w:rFonts w:ascii="Times New Roman" w:eastAsia="MS PGothic" w:hAnsi="Times New Roman"/>
          <w:lang w:val="en-US"/>
        </w:rPr>
        <w:instrText xml:space="preserve">ADDIN Mendeley Bibliography CSL_BIBLIOGRAPHY </w:instrText>
      </w:r>
      <w:r>
        <w:rPr>
          <w:rFonts w:ascii="Times New Roman" w:eastAsia="MS PGothic" w:hAnsi="Times New Roman"/>
          <w:lang w:val="en-US"/>
        </w:rPr>
        <w:fldChar w:fldCharType="separate"/>
      </w:r>
      <w:r w:rsidR="00446BFC" w:rsidRPr="008268A7">
        <w:rPr>
          <w:rFonts w:ascii="Times New Roman" w:hAnsi="Times New Roman" w:cs="Times New Roman"/>
          <w:noProof/>
          <w:szCs w:val="24"/>
          <w:lang w:val="en-US"/>
        </w:rPr>
        <w:t>[1]</w:t>
      </w:r>
      <w:r w:rsidR="00446BFC" w:rsidRPr="008268A7">
        <w:rPr>
          <w:rFonts w:ascii="Times New Roman" w:hAnsi="Times New Roman" w:cs="Times New Roman"/>
          <w:noProof/>
          <w:szCs w:val="24"/>
          <w:lang w:val="en-US"/>
        </w:rPr>
        <w:tab/>
        <w:t xml:space="preserve">M. Fermeglia and S. Pricl, “Multiscale modeling for polymer systems of industrial interest,” </w:t>
      </w:r>
      <w:r w:rsidR="00446BFC" w:rsidRPr="008268A7">
        <w:rPr>
          <w:rFonts w:ascii="Times New Roman" w:hAnsi="Times New Roman" w:cs="Times New Roman"/>
          <w:i/>
          <w:iCs/>
          <w:noProof/>
          <w:szCs w:val="24"/>
          <w:lang w:val="en-US"/>
        </w:rPr>
        <w:t>Prog. Org. Coatings</w:t>
      </w:r>
      <w:r w:rsidR="00446BFC" w:rsidRPr="008268A7">
        <w:rPr>
          <w:rFonts w:ascii="Times New Roman" w:hAnsi="Times New Roman" w:cs="Times New Roman"/>
          <w:noProof/>
          <w:szCs w:val="24"/>
          <w:lang w:val="en-US"/>
        </w:rPr>
        <w:t>, vol. 58, no. 2–3, pp. 187–199, 2007, doi: 10.1016/j.porgcoat.2006.08.028.</w:t>
      </w:r>
    </w:p>
    <w:p w14:paraId="734F51EE" w14:textId="77777777" w:rsidR="00446BFC" w:rsidRPr="008268A7" w:rsidRDefault="00446BFC" w:rsidP="00446BFC">
      <w:pPr>
        <w:widowControl w:val="0"/>
        <w:autoSpaceDE w:val="0"/>
        <w:autoSpaceDN w:val="0"/>
        <w:adjustRightInd w:val="0"/>
        <w:spacing w:after="120" w:line="240" w:lineRule="auto"/>
        <w:ind w:left="640" w:hanging="640"/>
        <w:rPr>
          <w:rFonts w:ascii="Times New Roman" w:hAnsi="Times New Roman" w:cs="Times New Roman"/>
          <w:noProof/>
          <w:szCs w:val="24"/>
          <w:lang w:val="en-US"/>
        </w:rPr>
      </w:pPr>
      <w:r w:rsidRPr="008268A7">
        <w:rPr>
          <w:rFonts w:ascii="Times New Roman" w:hAnsi="Times New Roman" w:cs="Times New Roman"/>
          <w:noProof/>
          <w:szCs w:val="24"/>
          <w:lang w:val="en-US"/>
        </w:rPr>
        <w:t>[2]</w:t>
      </w:r>
      <w:r w:rsidRPr="008268A7">
        <w:rPr>
          <w:rFonts w:ascii="Times New Roman" w:hAnsi="Times New Roman" w:cs="Times New Roman"/>
          <w:noProof/>
          <w:szCs w:val="24"/>
          <w:lang w:val="en-US"/>
        </w:rPr>
        <w:tab/>
        <w:t xml:space="preserve">R. E. Amaro and A. J. Mulholland, “Multiscale methods in drug design bridge chemical and biological complexity in the search for cures,” </w:t>
      </w:r>
      <w:r w:rsidRPr="008268A7">
        <w:rPr>
          <w:rFonts w:ascii="Times New Roman" w:hAnsi="Times New Roman" w:cs="Times New Roman"/>
          <w:i/>
          <w:iCs/>
          <w:noProof/>
          <w:szCs w:val="24"/>
          <w:lang w:val="en-US"/>
        </w:rPr>
        <w:t>Nat. Rev. Chem. 2018 24</w:t>
      </w:r>
      <w:r w:rsidRPr="008268A7">
        <w:rPr>
          <w:rFonts w:ascii="Times New Roman" w:hAnsi="Times New Roman" w:cs="Times New Roman"/>
          <w:noProof/>
          <w:szCs w:val="24"/>
          <w:lang w:val="en-US"/>
        </w:rPr>
        <w:t>, vol. 2, no. 4, pp. 1–12, Apr. 2018, doi: 10.1038/s41570-018-0148.</w:t>
      </w:r>
    </w:p>
    <w:p w14:paraId="45071E7B" w14:textId="77777777" w:rsidR="00446BFC" w:rsidRPr="008268A7" w:rsidRDefault="00446BFC" w:rsidP="00446BFC">
      <w:pPr>
        <w:widowControl w:val="0"/>
        <w:autoSpaceDE w:val="0"/>
        <w:autoSpaceDN w:val="0"/>
        <w:adjustRightInd w:val="0"/>
        <w:spacing w:after="120" w:line="240" w:lineRule="auto"/>
        <w:ind w:left="640" w:hanging="640"/>
        <w:rPr>
          <w:rFonts w:ascii="Times New Roman" w:hAnsi="Times New Roman" w:cs="Times New Roman"/>
          <w:noProof/>
          <w:szCs w:val="24"/>
          <w:lang w:val="en-US"/>
        </w:rPr>
      </w:pPr>
      <w:r w:rsidRPr="008268A7">
        <w:rPr>
          <w:rFonts w:ascii="Times New Roman" w:hAnsi="Times New Roman" w:cs="Times New Roman"/>
          <w:noProof/>
          <w:szCs w:val="24"/>
          <w:lang w:val="en-US"/>
        </w:rPr>
        <w:t>[3]</w:t>
      </w:r>
      <w:r w:rsidRPr="008268A7">
        <w:rPr>
          <w:rFonts w:ascii="Times New Roman" w:hAnsi="Times New Roman" w:cs="Times New Roman"/>
          <w:noProof/>
          <w:szCs w:val="24"/>
          <w:lang w:val="en-US"/>
        </w:rPr>
        <w:tab/>
        <w:t xml:space="preserve">S. Curcio, F. Petrosino, M. Morrone, and G. De Luca, “Interactions between Proteins and the Membrane Surface in Multiscale Modeling of Organic Fouling,” </w:t>
      </w:r>
      <w:r w:rsidRPr="008268A7">
        <w:rPr>
          <w:rFonts w:ascii="Times New Roman" w:hAnsi="Times New Roman" w:cs="Times New Roman"/>
          <w:i/>
          <w:iCs/>
          <w:noProof/>
          <w:szCs w:val="24"/>
          <w:lang w:val="en-US"/>
        </w:rPr>
        <w:t>J. Chem. Inf. Model.</w:t>
      </w:r>
      <w:r w:rsidRPr="008268A7">
        <w:rPr>
          <w:rFonts w:ascii="Times New Roman" w:hAnsi="Times New Roman" w:cs="Times New Roman"/>
          <w:noProof/>
          <w:szCs w:val="24"/>
          <w:lang w:val="en-US"/>
        </w:rPr>
        <w:t>, vol. 58, no. 9, pp. 1815–1827, Sep. 2018, doi: 10.1021/acs.jcim.8b00298.</w:t>
      </w:r>
    </w:p>
    <w:p w14:paraId="3D293AD0" w14:textId="77777777" w:rsidR="00446BFC" w:rsidRPr="008268A7" w:rsidRDefault="00446BFC" w:rsidP="00446BFC">
      <w:pPr>
        <w:widowControl w:val="0"/>
        <w:autoSpaceDE w:val="0"/>
        <w:autoSpaceDN w:val="0"/>
        <w:adjustRightInd w:val="0"/>
        <w:spacing w:after="120" w:line="240" w:lineRule="auto"/>
        <w:ind w:left="640" w:hanging="640"/>
        <w:rPr>
          <w:rFonts w:ascii="Times New Roman" w:hAnsi="Times New Roman" w:cs="Times New Roman"/>
          <w:noProof/>
          <w:szCs w:val="24"/>
          <w:lang w:val="en-US"/>
        </w:rPr>
      </w:pPr>
      <w:r w:rsidRPr="008268A7">
        <w:rPr>
          <w:rFonts w:ascii="Times New Roman" w:hAnsi="Times New Roman" w:cs="Times New Roman"/>
          <w:noProof/>
          <w:szCs w:val="24"/>
          <w:lang w:val="en-US"/>
        </w:rPr>
        <w:t>[4]</w:t>
      </w:r>
      <w:r w:rsidRPr="008268A7">
        <w:rPr>
          <w:rFonts w:ascii="Times New Roman" w:hAnsi="Times New Roman" w:cs="Times New Roman"/>
          <w:noProof/>
          <w:szCs w:val="24"/>
          <w:lang w:val="en-US"/>
        </w:rPr>
        <w:tab/>
        <w:t xml:space="preserve">F. Petrosino, S. Curcio, S. Chakraborty, and G. De Luca, “Enzyme Immobilization on Polymer Membranes: A Quantum and Molecular Mechanics Study,” </w:t>
      </w:r>
      <w:r w:rsidRPr="008268A7">
        <w:rPr>
          <w:rFonts w:ascii="Times New Roman" w:hAnsi="Times New Roman" w:cs="Times New Roman"/>
          <w:i/>
          <w:iCs/>
          <w:noProof/>
          <w:szCs w:val="24"/>
          <w:lang w:val="en-US"/>
        </w:rPr>
        <w:t>Computation</w:t>
      </w:r>
      <w:r w:rsidRPr="008268A7">
        <w:rPr>
          <w:rFonts w:ascii="Times New Roman" w:hAnsi="Times New Roman" w:cs="Times New Roman"/>
          <w:noProof/>
          <w:szCs w:val="24"/>
          <w:lang w:val="en-US"/>
        </w:rPr>
        <w:t>, 2019, doi: 10.3390/computation7040056.</w:t>
      </w:r>
    </w:p>
    <w:p w14:paraId="71C20724" w14:textId="77777777" w:rsidR="00446BFC" w:rsidRPr="008268A7" w:rsidRDefault="00446BFC" w:rsidP="00446BFC">
      <w:pPr>
        <w:widowControl w:val="0"/>
        <w:autoSpaceDE w:val="0"/>
        <w:autoSpaceDN w:val="0"/>
        <w:adjustRightInd w:val="0"/>
        <w:spacing w:after="120" w:line="240" w:lineRule="auto"/>
        <w:ind w:left="640" w:hanging="640"/>
        <w:rPr>
          <w:rFonts w:ascii="Times New Roman" w:hAnsi="Times New Roman" w:cs="Times New Roman"/>
          <w:noProof/>
          <w:szCs w:val="24"/>
          <w:lang w:val="en-US"/>
        </w:rPr>
      </w:pPr>
      <w:r w:rsidRPr="008268A7">
        <w:rPr>
          <w:rFonts w:ascii="Times New Roman" w:hAnsi="Times New Roman" w:cs="Times New Roman"/>
          <w:noProof/>
          <w:szCs w:val="24"/>
          <w:lang w:val="en-US"/>
        </w:rPr>
        <w:t>[5]</w:t>
      </w:r>
      <w:r w:rsidRPr="008268A7">
        <w:rPr>
          <w:rFonts w:ascii="Times New Roman" w:hAnsi="Times New Roman" w:cs="Times New Roman"/>
          <w:noProof/>
          <w:szCs w:val="24"/>
          <w:lang w:val="en-US"/>
        </w:rPr>
        <w:tab/>
        <w:t xml:space="preserve">F. Petrosino, Y. Hallez, G. De Luca, and S. Curcio, “Osmotic pressure and transport coefficient in ultrafiltration: A Monte Carlo study using quantum surface charges,” </w:t>
      </w:r>
      <w:r w:rsidRPr="008268A7">
        <w:rPr>
          <w:rFonts w:ascii="Times New Roman" w:hAnsi="Times New Roman" w:cs="Times New Roman"/>
          <w:i/>
          <w:iCs/>
          <w:noProof/>
          <w:szCs w:val="24"/>
          <w:lang w:val="en-US"/>
        </w:rPr>
        <w:t>Chem. Eng. Sci.</w:t>
      </w:r>
      <w:r w:rsidRPr="008268A7">
        <w:rPr>
          <w:rFonts w:ascii="Times New Roman" w:hAnsi="Times New Roman" w:cs="Times New Roman"/>
          <w:noProof/>
          <w:szCs w:val="24"/>
          <w:lang w:val="en-US"/>
        </w:rPr>
        <w:t>, vol. 224, p. 115762, Oct. 2020, doi: 10.1016/j.ces.2020.115762.</w:t>
      </w:r>
    </w:p>
    <w:p w14:paraId="3B98D827" w14:textId="77777777" w:rsidR="00446BFC" w:rsidRPr="00446BFC" w:rsidRDefault="00446BFC" w:rsidP="00446BFC">
      <w:pPr>
        <w:widowControl w:val="0"/>
        <w:autoSpaceDE w:val="0"/>
        <w:autoSpaceDN w:val="0"/>
        <w:adjustRightInd w:val="0"/>
        <w:spacing w:after="120" w:line="240" w:lineRule="auto"/>
        <w:ind w:left="640" w:hanging="640"/>
        <w:rPr>
          <w:rFonts w:ascii="Times New Roman" w:hAnsi="Times New Roman" w:cs="Times New Roman"/>
          <w:noProof/>
        </w:rPr>
      </w:pPr>
      <w:r w:rsidRPr="008268A7">
        <w:rPr>
          <w:rFonts w:ascii="Times New Roman" w:hAnsi="Times New Roman" w:cs="Times New Roman"/>
          <w:noProof/>
          <w:szCs w:val="24"/>
          <w:lang w:val="en-US"/>
        </w:rPr>
        <w:t>[6]</w:t>
      </w:r>
      <w:r w:rsidRPr="008268A7">
        <w:rPr>
          <w:rFonts w:ascii="Times New Roman" w:hAnsi="Times New Roman" w:cs="Times New Roman"/>
          <w:noProof/>
          <w:szCs w:val="24"/>
          <w:lang w:val="en-US"/>
        </w:rPr>
        <w:tab/>
        <w:t xml:space="preserve">G. De Luca, F. Petrosino, J. L. Di Salvo, S. Chakraborty, and S. Curcio, “Advanced descriptors for long-range noncovalent interactions between SARS-CoV-2 spikes and polymer surfaces,” </w:t>
      </w:r>
      <w:r w:rsidRPr="008268A7">
        <w:rPr>
          <w:rFonts w:ascii="Times New Roman" w:hAnsi="Times New Roman" w:cs="Times New Roman"/>
          <w:i/>
          <w:iCs/>
          <w:noProof/>
          <w:szCs w:val="24"/>
          <w:lang w:val="en-US"/>
        </w:rPr>
        <w:t xml:space="preserve">Sep. </w:t>
      </w:r>
      <w:r w:rsidRPr="00446BFC">
        <w:rPr>
          <w:rFonts w:ascii="Times New Roman" w:hAnsi="Times New Roman" w:cs="Times New Roman"/>
          <w:i/>
          <w:iCs/>
          <w:noProof/>
          <w:szCs w:val="24"/>
        </w:rPr>
        <w:t>Purif. Technol.</w:t>
      </w:r>
      <w:r w:rsidRPr="00446BFC">
        <w:rPr>
          <w:rFonts w:ascii="Times New Roman" w:hAnsi="Times New Roman" w:cs="Times New Roman"/>
          <w:noProof/>
          <w:szCs w:val="24"/>
        </w:rPr>
        <w:t>, vol. 282, Feb. 2021, doi: 10.1016/J.SEPPUR.2021.120125.</w:t>
      </w:r>
    </w:p>
    <w:p w14:paraId="71A9358B" w14:textId="77777777" w:rsidR="00DA51A3" w:rsidRPr="00A64C7E" w:rsidRDefault="00197727" w:rsidP="00A64C7E">
      <w:pPr>
        <w:snapToGrid w:val="0"/>
        <w:spacing w:after="120"/>
        <w:rPr>
          <w:rFonts w:ascii="Times New Roman" w:eastAsia="MS PGothic" w:hAnsi="Times New Roman"/>
          <w:lang w:val="en-US"/>
        </w:rPr>
      </w:pPr>
      <w:r>
        <w:rPr>
          <w:rFonts w:ascii="Times New Roman" w:eastAsia="MS PGothic" w:hAnsi="Times New Roman"/>
          <w:lang w:val="en-US"/>
        </w:rPr>
        <w:fldChar w:fldCharType="end"/>
      </w:r>
    </w:p>
    <w:sectPr w:rsidR="00DA51A3" w:rsidRPr="00A64C7E" w:rsidSect="001D0E0C">
      <w:headerReference w:type="default" r:id="rId10"/>
      <w:headerReference w:type="first" r:id="rId11"/>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F023A" w14:textId="77777777" w:rsidR="001E4CDE" w:rsidRDefault="001E4CDE" w:rsidP="001D0E0C">
      <w:pPr>
        <w:spacing w:after="0" w:line="240" w:lineRule="auto"/>
      </w:pPr>
      <w:r>
        <w:separator/>
      </w:r>
    </w:p>
  </w:endnote>
  <w:endnote w:type="continuationSeparator" w:id="0">
    <w:p w14:paraId="58788649" w14:textId="77777777" w:rsidR="001E4CDE" w:rsidRDefault="001E4CDE" w:rsidP="001D0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D467C" w14:textId="77777777" w:rsidR="001E4CDE" w:rsidRDefault="001E4CDE" w:rsidP="001D0E0C">
      <w:pPr>
        <w:spacing w:after="0" w:line="240" w:lineRule="auto"/>
      </w:pPr>
      <w:r>
        <w:separator/>
      </w:r>
    </w:p>
  </w:footnote>
  <w:footnote w:type="continuationSeparator" w:id="0">
    <w:p w14:paraId="05F781D3" w14:textId="77777777" w:rsidR="001E4CDE" w:rsidRDefault="001E4CDE" w:rsidP="001D0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EB187" w14:textId="77777777" w:rsidR="001D0E0C" w:rsidRPr="001B060D" w:rsidRDefault="001B060D" w:rsidP="001B060D">
    <w:pPr>
      <w:pStyle w:val="Intestazione"/>
      <w:jc w:val="center"/>
    </w:pPr>
    <w:r w:rsidRPr="005C2A12">
      <w:rPr>
        <w:b/>
        <w:i/>
        <w:color w:val="2E74B5" w:themeColor="accent5" w:themeShade="BF"/>
        <w:sz w:val="24"/>
        <w:szCs w:val="24"/>
      </w:rPr>
      <w:t>GRICU 2022, Ischia, (</w:t>
    </w:r>
    <w:proofErr w:type="spellStart"/>
    <w:r w:rsidRPr="005C2A12">
      <w:rPr>
        <w:b/>
        <w:i/>
        <w:color w:val="2E74B5" w:themeColor="accent5" w:themeShade="BF"/>
        <w:sz w:val="24"/>
        <w:szCs w:val="24"/>
      </w:rPr>
      <w:t>Italy</w:t>
    </w:r>
    <w:proofErr w:type="spellEnd"/>
    <w:r w:rsidRPr="005C2A12">
      <w:rPr>
        <w:b/>
        <w:i/>
        <w:color w:val="2E74B5" w:themeColor="accent5" w:themeShade="BF"/>
        <w:sz w:val="24"/>
        <w:szCs w:val="24"/>
      </w:rPr>
      <w:t xml:space="preserve">), </w:t>
    </w:r>
    <w:proofErr w:type="spellStart"/>
    <w:r w:rsidRPr="005C2A12">
      <w:rPr>
        <w:b/>
        <w:i/>
        <w:color w:val="2E74B5" w:themeColor="accent5" w:themeShade="BF"/>
        <w:sz w:val="24"/>
        <w:szCs w:val="24"/>
      </w:rPr>
      <w:t>July</w:t>
    </w:r>
    <w:proofErr w:type="spellEnd"/>
    <w:r w:rsidRPr="005C2A12">
      <w:rPr>
        <w:b/>
        <w:i/>
        <w:color w:val="2E74B5" w:themeColor="accent5" w:themeShade="BF"/>
        <w:sz w:val="24"/>
        <w:szCs w:val="24"/>
      </w:rPr>
      <w:t xml:space="preserve"> 3-6,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82DF5" w14:textId="77777777" w:rsidR="001D0E0C" w:rsidRDefault="00F24290" w:rsidP="000517B4">
    <w:pPr>
      <w:pStyle w:val="Intestazione"/>
      <w:tabs>
        <w:tab w:val="left" w:pos="1188"/>
      </w:tabs>
      <w:jc w:val="center"/>
      <w:rPr>
        <w:b/>
        <w:i/>
        <w:color w:val="2E74B5" w:themeColor="accent5" w:themeShade="BF"/>
        <w:sz w:val="24"/>
        <w:szCs w:val="24"/>
      </w:rPr>
    </w:pPr>
    <w:r>
      <w:rPr>
        <w:b/>
        <w:i/>
        <w:noProof/>
        <w:color w:val="2E74B5" w:themeColor="accent5" w:themeShade="BF"/>
        <w:sz w:val="24"/>
        <w:szCs w:val="24"/>
      </w:rPr>
      <w:drawing>
        <wp:anchor distT="0" distB="0" distL="114300" distR="114300" simplePos="0" relativeHeight="251660288" behindDoc="0" locked="0" layoutInCell="1" allowOverlap="1" wp14:anchorId="2708E979" wp14:editId="1BF181B4">
          <wp:simplePos x="0" y="0"/>
          <wp:positionH relativeFrom="column">
            <wp:posOffset>614128</wp:posOffset>
          </wp:positionH>
          <wp:positionV relativeFrom="paragraph">
            <wp:posOffset>-170180</wp:posOffset>
          </wp:positionV>
          <wp:extent cx="1494000" cy="529200"/>
          <wp:effectExtent l="0" t="0" r="5080"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Pr>
        <w:b/>
        <w:i/>
        <w:color w:val="2E74B5" w:themeColor="accent5" w:themeShade="BF"/>
        <w:sz w:val="24"/>
        <w:szCs w:val="24"/>
      </w:rPr>
      <w:t xml:space="preserve"> </w:t>
    </w:r>
    <w:r w:rsidR="008871B1">
      <w:rPr>
        <w:b/>
        <w:i/>
        <w:color w:val="2E74B5" w:themeColor="accent5" w:themeShade="BF"/>
        <w:sz w:val="24"/>
        <w:szCs w:val="24"/>
      </w:rPr>
      <w:tab/>
    </w:r>
    <w:r w:rsidR="000517B4" w:rsidRPr="005C2A12">
      <w:rPr>
        <w:b/>
        <w:i/>
        <w:color w:val="2E74B5" w:themeColor="accent5" w:themeShade="BF"/>
        <w:sz w:val="24"/>
        <w:szCs w:val="24"/>
      </w:rPr>
      <w:t>GRICU 2022, Ischia, (</w:t>
    </w:r>
    <w:proofErr w:type="spellStart"/>
    <w:r w:rsidR="000517B4" w:rsidRPr="005C2A12">
      <w:rPr>
        <w:b/>
        <w:i/>
        <w:color w:val="2E74B5" w:themeColor="accent5" w:themeShade="BF"/>
        <w:sz w:val="24"/>
        <w:szCs w:val="24"/>
      </w:rPr>
      <w:t>Italy</w:t>
    </w:r>
    <w:proofErr w:type="spellEnd"/>
    <w:r w:rsidR="000517B4" w:rsidRPr="005C2A12">
      <w:rPr>
        <w:b/>
        <w:i/>
        <w:color w:val="2E74B5" w:themeColor="accent5" w:themeShade="BF"/>
        <w:sz w:val="24"/>
        <w:szCs w:val="24"/>
      </w:rPr>
      <w:t xml:space="preserve">), </w:t>
    </w:r>
    <w:proofErr w:type="spellStart"/>
    <w:r w:rsidR="000517B4" w:rsidRPr="005C2A12">
      <w:rPr>
        <w:b/>
        <w:i/>
        <w:color w:val="2E74B5" w:themeColor="accent5" w:themeShade="BF"/>
        <w:sz w:val="24"/>
        <w:szCs w:val="24"/>
      </w:rPr>
      <w:t>July</w:t>
    </w:r>
    <w:proofErr w:type="spellEnd"/>
    <w:r w:rsidR="000517B4" w:rsidRPr="005C2A12">
      <w:rPr>
        <w:b/>
        <w:i/>
        <w:color w:val="2E74B5" w:themeColor="accent5" w:themeShade="BF"/>
        <w:sz w:val="24"/>
        <w:szCs w:val="24"/>
      </w:rPr>
      <w:t xml:space="preserve"> 3-6, 2022</w:t>
    </w:r>
  </w:p>
  <w:p w14:paraId="0867C86E" w14:textId="77777777" w:rsidR="008871B1" w:rsidRPr="005C2A12" w:rsidRDefault="008871B1" w:rsidP="000517B4">
    <w:pPr>
      <w:pStyle w:val="Intestazione"/>
      <w:tabs>
        <w:tab w:val="left" w:pos="1188"/>
      </w:tabs>
      <w:jc w:val="center"/>
      <w:rPr>
        <w:b/>
        <w:i/>
        <w:color w:val="2E74B5" w:themeColor="accent5" w:themeShade="BF"/>
        <w:sz w:val="24"/>
        <w:szCs w:val="24"/>
      </w:rPr>
    </w:pPr>
  </w:p>
  <w:p w14:paraId="1080CED3" w14:textId="77777777" w:rsidR="001D0E0C" w:rsidRDefault="000517B4" w:rsidP="001D0E0C">
    <w:pPr>
      <w:pStyle w:val="Intestazione"/>
      <w:jc w:val="center"/>
    </w:pPr>
    <w:r w:rsidRPr="005C2A12">
      <w:rPr>
        <w:noProof/>
        <w:color w:val="00B0F0"/>
      </w:rPr>
      <mc:AlternateContent>
        <mc:Choice Requires="wps">
          <w:drawing>
            <wp:anchor distT="0" distB="0" distL="114300" distR="114300" simplePos="0" relativeHeight="251659264" behindDoc="0" locked="0" layoutInCell="1" allowOverlap="1" wp14:anchorId="1B099974" wp14:editId="5A50C06B">
              <wp:simplePos x="0" y="0"/>
              <wp:positionH relativeFrom="column">
                <wp:posOffset>57150</wp:posOffset>
              </wp:positionH>
              <wp:positionV relativeFrom="paragraph">
                <wp:posOffset>103505</wp:posOffset>
              </wp:positionV>
              <wp:extent cx="5631180" cy="7620"/>
              <wp:effectExtent l="0" t="0" r="26670" b="30480"/>
              <wp:wrapNone/>
              <wp:docPr id="1" name="Connettore diritto 1"/>
              <wp:cNvGraphicFramePr/>
              <a:graphic xmlns:a="http://schemas.openxmlformats.org/drawingml/2006/main">
                <a:graphicData uri="http://schemas.microsoft.com/office/word/2010/wordprocessingShape">
                  <wps:wsp>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7C136" id="Connettore dirit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447.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" strokecolor="#0070c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A3"/>
    <w:rsid w:val="000517B4"/>
    <w:rsid w:val="001200FF"/>
    <w:rsid w:val="00181095"/>
    <w:rsid w:val="0018667F"/>
    <w:rsid w:val="00197727"/>
    <w:rsid w:val="001B060D"/>
    <w:rsid w:val="001D0E0C"/>
    <w:rsid w:val="001E0BC4"/>
    <w:rsid w:val="001E4CDE"/>
    <w:rsid w:val="00207630"/>
    <w:rsid w:val="00265D17"/>
    <w:rsid w:val="003A41CC"/>
    <w:rsid w:val="003C6B73"/>
    <w:rsid w:val="003F160A"/>
    <w:rsid w:val="00402674"/>
    <w:rsid w:val="00446BFC"/>
    <w:rsid w:val="004C56B4"/>
    <w:rsid w:val="00514EBE"/>
    <w:rsid w:val="005B71B2"/>
    <w:rsid w:val="005C2A12"/>
    <w:rsid w:val="005F05B6"/>
    <w:rsid w:val="00697CD6"/>
    <w:rsid w:val="006F0BBC"/>
    <w:rsid w:val="007055AB"/>
    <w:rsid w:val="0070722E"/>
    <w:rsid w:val="00766F6C"/>
    <w:rsid w:val="0079169A"/>
    <w:rsid w:val="007A78B7"/>
    <w:rsid w:val="008268A7"/>
    <w:rsid w:val="00877DE4"/>
    <w:rsid w:val="008871B1"/>
    <w:rsid w:val="008946E8"/>
    <w:rsid w:val="00954240"/>
    <w:rsid w:val="009715D1"/>
    <w:rsid w:val="00A64C7E"/>
    <w:rsid w:val="00A810C9"/>
    <w:rsid w:val="00AA16D8"/>
    <w:rsid w:val="00AA31E1"/>
    <w:rsid w:val="00AB1801"/>
    <w:rsid w:val="00C40840"/>
    <w:rsid w:val="00CD184C"/>
    <w:rsid w:val="00CE70DF"/>
    <w:rsid w:val="00D03DB3"/>
    <w:rsid w:val="00D322F1"/>
    <w:rsid w:val="00D412A9"/>
    <w:rsid w:val="00DA51A3"/>
    <w:rsid w:val="00DD2D8C"/>
    <w:rsid w:val="00E0517F"/>
    <w:rsid w:val="00E90348"/>
    <w:rsid w:val="00E966D9"/>
    <w:rsid w:val="00EE02E1"/>
    <w:rsid w:val="00EF2CB9"/>
    <w:rsid w:val="00F20ECF"/>
    <w:rsid w:val="00F242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D871D"/>
  <w15:chartTrackingRefBased/>
  <w15:docId w15:val="{703246FC-8267-4F37-8037-AA1D01B4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A51A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rstParagraph">
    <w:name w:val="First Paragraph"/>
    <w:basedOn w:val="Normale"/>
    <w:rsid w:val="00DA51A3"/>
    <w:pPr>
      <w:spacing w:after="0" w:line="240" w:lineRule="atLeast"/>
      <w:jc w:val="both"/>
    </w:pPr>
    <w:rPr>
      <w:rFonts w:ascii="Times" w:eastAsia="Times New Roman" w:hAnsi="Times" w:cs="Times New Roman"/>
      <w:sz w:val="20"/>
      <w:szCs w:val="20"/>
      <w:lang w:val="en-US"/>
    </w:rPr>
  </w:style>
  <w:style w:type="paragraph" w:styleId="Intestazione">
    <w:name w:val="header"/>
    <w:basedOn w:val="Normale"/>
    <w:link w:val="IntestazioneCarattere"/>
    <w:uiPriority w:val="99"/>
    <w:unhideWhenUsed/>
    <w:rsid w:val="001D0E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D0E0C"/>
  </w:style>
  <w:style w:type="paragraph" w:styleId="Pidipagina">
    <w:name w:val="footer"/>
    <w:basedOn w:val="Normale"/>
    <w:link w:val="PidipaginaCarattere"/>
    <w:uiPriority w:val="99"/>
    <w:unhideWhenUsed/>
    <w:rsid w:val="001D0E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0E0C"/>
  </w:style>
  <w:style w:type="paragraph" w:styleId="Testofumetto">
    <w:name w:val="Balloon Text"/>
    <w:basedOn w:val="Normale"/>
    <w:link w:val="TestofumettoCarattere"/>
    <w:uiPriority w:val="99"/>
    <w:semiHidden/>
    <w:unhideWhenUsed/>
    <w:rsid w:val="003F160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F160A"/>
    <w:rPr>
      <w:rFonts w:ascii="Segoe UI" w:hAnsi="Segoe UI" w:cs="Segoe UI"/>
      <w:sz w:val="18"/>
      <w:szCs w:val="18"/>
    </w:rPr>
  </w:style>
  <w:style w:type="paragraph" w:styleId="Didascalia">
    <w:name w:val="caption"/>
    <w:basedOn w:val="Normale"/>
    <w:next w:val="Normale"/>
    <w:uiPriority w:val="35"/>
    <w:unhideWhenUsed/>
    <w:qFormat/>
    <w:rsid w:val="00446BFC"/>
    <w:pPr>
      <w:spacing w:after="200" w:line="240" w:lineRule="auto"/>
    </w:pPr>
    <w:rPr>
      <w:i/>
      <w:iCs/>
      <w:color w:val="44546A" w:themeColor="text2"/>
      <w:sz w:val="18"/>
      <w:szCs w:val="18"/>
    </w:rPr>
  </w:style>
  <w:style w:type="paragraph" w:styleId="Revisione">
    <w:name w:val="Revision"/>
    <w:hidden/>
    <w:uiPriority w:val="99"/>
    <w:semiHidden/>
    <w:rsid w:val="008268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TotalTime>
  <Pages>4</Pages>
  <Words>4890</Words>
  <Characters>27873</Characters>
  <Application>Microsoft Office Word</Application>
  <DocSecurity>0</DocSecurity>
  <Lines>232</Lines>
  <Paragraphs>65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Sauro Pierucci</dc:creator>
  <cp:keywords/>
  <dc:description/>
  <cp:lastModifiedBy>Francesco Petrosino</cp:lastModifiedBy>
  <cp:revision>6</cp:revision>
  <cp:lastPrinted>2022-01-31T11:56:00Z</cp:lastPrinted>
  <dcterms:created xsi:type="dcterms:W3CDTF">2022-02-01T10:57:00Z</dcterms:created>
  <dcterms:modified xsi:type="dcterms:W3CDTF">2022-03-15T10:16:00Z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28afc96f-adef-3946-83a9-22abf5afc270</vt:lpwstr>
  </property>
  <property fmtid="{D5CDD505-2E9C-101B-9397-08002B2CF9AE}" pid="4" name="Mendeley Citation Style_1">
    <vt:lpwstr>http://www.zotero.org/styles/ieee</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