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es-ES" w:eastAsia="es-ES"/>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254CE268" w:rsidR="000A03B2" w:rsidRPr="00B57B36" w:rsidRDefault="00A76EFC" w:rsidP="00604911">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604911">
              <w:rPr>
                <w:rFonts w:cs="Arial"/>
                <w:b/>
                <w:bCs/>
                <w:i/>
                <w:iCs/>
                <w:color w:val="000066"/>
                <w:sz w:val="22"/>
                <w:szCs w:val="22"/>
                <w:lang w:eastAsia="it-IT"/>
              </w:rPr>
              <w:t>3</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es-ES" w:eastAsia="es-ES"/>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73B2847B"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w:t>
            </w:r>
            <w:r w:rsidR="00AF6775">
              <w:rPr>
                <w:rFonts w:ascii="Tahoma" w:hAnsi="Tahoma" w:cs="Tahoma"/>
                <w:color w:val="000000"/>
                <w:sz w:val="14"/>
                <w:szCs w:val="14"/>
                <w:shd w:val="clear" w:color="auto" w:fill="FFFFFF"/>
                <w:lang w:val="it-IT"/>
              </w:rPr>
              <w:t>Marco Bravi,</w:t>
            </w:r>
            <w:r w:rsidR="00945AB6">
              <w:rPr>
                <w:rFonts w:ascii="Tahoma" w:hAnsi="Tahoma" w:cs="Tahoma"/>
                <w:color w:val="000000"/>
                <w:sz w:val="14"/>
                <w:szCs w:val="14"/>
                <w:shd w:val="clear" w:color="auto" w:fill="FFFFFF"/>
                <w:lang w:val="it-IT"/>
              </w:rPr>
              <w:t xml:space="preserve"> Alberto Brucato, Antonio Marzocchella</w:t>
            </w:r>
          </w:p>
          <w:p w14:paraId="1B0F1814" w14:textId="5B50B5BE" w:rsidR="000A03B2" w:rsidRPr="00B57B36" w:rsidRDefault="00FA5F5F" w:rsidP="00604911">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w:t>
            </w:r>
            <w:r w:rsidR="00604911">
              <w:rPr>
                <w:rFonts w:ascii="Tahoma" w:hAnsi="Tahoma" w:cs="Tahoma"/>
                <w:sz w:val="14"/>
                <w:szCs w:val="14"/>
              </w:rPr>
              <w:t>1</w:t>
            </w:r>
            <w:r w:rsidR="00D46B7E">
              <w:rPr>
                <w:rFonts w:ascii="Tahoma" w:hAnsi="Tahoma" w:cs="Tahoma"/>
                <w:sz w:val="14"/>
                <w:szCs w:val="14"/>
              </w:rPr>
              <w:t>-</w:t>
            </w:r>
            <w:r w:rsidR="00604911">
              <w:rPr>
                <w:rFonts w:ascii="Tahoma" w:hAnsi="Tahoma" w:cs="Tahoma"/>
                <w:sz w:val="14"/>
                <w:szCs w:val="14"/>
              </w:rPr>
              <w:t>4</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type w:val="continuous"/>
          <w:pgSz w:w="11906" w:h="16838" w:code="9"/>
          <w:pgMar w:top="1701" w:right="1418" w:bottom="1701" w:left="1701" w:header="1701" w:footer="0" w:gutter="0"/>
          <w:cols w:space="708"/>
          <w:titlePg/>
          <w:docGrid w:linePitch="360"/>
        </w:sectPr>
      </w:pPr>
    </w:p>
    <w:p w14:paraId="2E667253" w14:textId="6146A2C6" w:rsidR="00E978D0" w:rsidRPr="00651C6F" w:rsidRDefault="00651C6F" w:rsidP="00651C6F">
      <w:pPr>
        <w:pStyle w:val="CETTitle"/>
      </w:pPr>
      <w:r w:rsidRPr="00651C6F">
        <w:t>G</w:t>
      </w:r>
      <w:r w:rsidR="00FC173A">
        <w:t xml:space="preserve">eneration of </w:t>
      </w:r>
      <w:bookmarkStart w:id="0" w:name="_Hlk95145037"/>
      <w:r w:rsidR="00FC173A">
        <w:t>Gn</w:t>
      </w:r>
      <w:r>
        <w:t>IH Hormone</w:t>
      </w:r>
      <w:r w:rsidRPr="00651C6F">
        <w:t>/P</w:t>
      </w:r>
      <w:r>
        <w:t>luronic</w:t>
      </w:r>
      <w:r w:rsidRPr="00651C6F">
        <w:t xml:space="preserve"> F-127 S</w:t>
      </w:r>
      <w:r>
        <w:t>ystems</w:t>
      </w:r>
      <w:bookmarkEnd w:id="0"/>
      <w:r>
        <w:t xml:space="preserve"> by</w:t>
      </w:r>
      <w:r w:rsidRPr="00651C6F">
        <w:t xml:space="preserve"> S</w:t>
      </w:r>
      <w:r>
        <w:t>upercritical</w:t>
      </w:r>
      <w:r w:rsidRPr="00651C6F">
        <w:t xml:space="preserve"> A</w:t>
      </w:r>
      <w:r>
        <w:t>ntisolvent</w:t>
      </w:r>
      <w:r w:rsidRPr="00651C6F">
        <w:t xml:space="preserve"> P</w:t>
      </w:r>
      <w:r>
        <w:t>rocess</w:t>
      </w:r>
    </w:p>
    <w:p w14:paraId="2227159C" w14:textId="1074303F" w:rsidR="008A00FB" w:rsidRPr="00854C98" w:rsidRDefault="008A00FB" w:rsidP="008A00FB">
      <w:pPr>
        <w:pStyle w:val="CETAddress"/>
        <w:rPr>
          <w:sz w:val="24"/>
          <w:vertAlign w:val="superscript"/>
          <w:lang w:val="es-ES"/>
        </w:rPr>
      </w:pPr>
      <w:r w:rsidRPr="00854C98">
        <w:rPr>
          <w:sz w:val="24"/>
          <w:lang w:val="es-ES"/>
        </w:rPr>
        <w:t>D</w:t>
      </w:r>
      <w:r w:rsidR="00CC4369">
        <w:rPr>
          <w:sz w:val="24"/>
          <w:lang w:val="es-ES"/>
        </w:rPr>
        <w:t>iego</w:t>
      </w:r>
      <w:r w:rsidRPr="00854C98">
        <w:rPr>
          <w:sz w:val="24"/>
          <w:lang w:val="es-ES"/>
        </w:rPr>
        <w:t xml:space="preserve"> Valor</w:t>
      </w:r>
      <w:r w:rsidRPr="00854C98">
        <w:rPr>
          <w:sz w:val="24"/>
          <w:vertAlign w:val="superscript"/>
          <w:lang w:val="es-ES"/>
        </w:rPr>
        <w:t>a</w:t>
      </w:r>
      <w:r w:rsidRPr="00854C98">
        <w:rPr>
          <w:sz w:val="24"/>
          <w:lang w:val="es-ES"/>
        </w:rPr>
        <w:t>*, A</w:t>
      </w:r>
      <w:r w:rsidR="00CC4369">
        <w:rPr>
          <w:sz w:val="24"/>
          <w:lang w:val="es-ES"/>
        </w:rPr>
        <w:t>ntonio</w:t>
      </w:r>
      <w:r w:rsidRPr="00854C98">
        <w:rPr>
          <w:sz w:val="24"/>
          <w:lang w:val="es-ES"/>
        </w:rPr>
        <w:t xml:space="preserve"> Montes</w:t>
      </w:r>
      <w:r w:rsidRPr="00854C98">
        <w:rPr>
          <w:sz w:val="24"/>
          <w:vertAlign w:val="superscript"/>
          <w:lang w:val="es-ES"/>
        </w:rPr>
        <w:t>a</w:t>
      </w:r>
      <w:r w:rsidRPr="00854C98">
        <w:rPr>
          <w:sz w:val="24"/>
          <w:lang w:val="es-ES"/>
        </w:rPr>
        <w:t>, P</w:t>
      </w:r>
      <w:r w:rsidR="00CC4369">
        <w:rPr>
          <w:sz w:val="24"/>
          <w:lang w:val="es-ES"/>
        </w:rPr>
        <w:t>aula</w:t>
      </w:r>
      <w:r w:rsidRPr="00854C98">
        <w:rPr>
          <w:sz w:val="24"/>
          <w:lang w:val="es-ES"/>
        </w:rPr>
        <w:t xml:space="preserve"> Fernández, J</w:t>
      </w:r>
      <w:r w:rsidR="00CC4369">
        <w:rPr>
          <w:sz w:val="24"/>
          <w:lang w:val="es-ES"/>
        </w:rPr>
        <w:t xml:space="preserve">osé </w:t>
      </w:r>
      <w:r w:rsidRPr="00854C98">
        <w:rPr>
          <w:sz w:val="24"/>
          <w:lang w:val="es-ES"/>
        </w:rPr>
        <w:t>A. Paullada-Salmerón</w:t>
      </w:r>
      <w:r w:rsidRPr="00854C98">
        <w:rPr>
          <w:sz w:val="24"/>
          <w:vertAlign w:val="superscript"/>
          <w:lang w:val="es-ES"/>
        </w:rPr>
        <w:t>b</w:t>
      </w:r>
      <w:r w:rsidRPr="00854C98">
        <w:rPr>
          <w:sz w:val="24"/>
          <w:lang w:val="es-ES"/>
        </w:rPr>
        <w:t>, C</w:t>
      </w:r>
      <w:r w:rsidR="00CC4369">
        <w:rPr>
          <w:sz w:val="24"/>
          <w:lang w:val="es-ES"/>
        </w:rPr>
        <w:t>lara</w:t>
      </w:r>
      <w:r w:rsidRPr="00854C98">
        <w:rPr>
          <w:sz w:val="24"/>
          <w:lang w:val="es-ES"/>
        </w:rPr>
        <w:t xml:space="preserve"> Pereyra</w:t>
      </w:r>
      <w:r w:rsidRPr="00854C98">
        <w:rPr>
          <w:sz w:val="24"/>
          <w:vertAlign w:val="superscript"/>
          <w:lang w:val="es-ES"/>
        </w:rPr>
        <w:t>a</w:t>
      </w:r>
      <w:r w:rsidRPr="00854C98">
        <w:rPr>
          <w:sz w:val="24"/>
          <w:lang w:val="es-ES"/>
        </w:rPr>
        <w:t>, J</w:t>
      </w:r>
      <w:r w:rsidR="00CC4369">
        <w:rPr>
          <w:sz w:val="24"/>
          <w:lang w:val="es-ES"/>
        </w:rPr>
        <w:t xml:space="preserve">osé </w:t>
      </w:r>
      <w:r w:rsidRPr="00854C98">
        <w:rPr>
          <w:sz w:val="24"/>
          <w:lang w:val="es-ES"/>
        </w:rPr>
        <w:t>A. Muñoz-Cueto</w:t>
      </w:r>
      <w:r w:rsidRPr="00854C98">
        <w:rPr>
          <w:sz w:val="24"/>
          <w:vertAlign w:val="superscript"/>
          <w:lang w:val="es-ES"/>
        </w:rPr>
        <w:t xml:space="preserve">b </w:t>
      </w:r>
    </w:p>
    <w:p w14:paraId="2A1F4FEA" w14:textId="77777777" w:rsidR="008A00FB" w:rsidRPr="00854C98" w:rsidRDefault="008A00FB" w:rsidP="008A00FB">
      <w:pPr>
        <w:pStyle w:val="CETAddress"/>
        <w:rPr>
          <w:sz w:val="24"/>
          <w:vertAlign w:val="superscript"/>
          <w:lang w:val="es-ES"/>
        </w:rPr>
      </w:pPr>
    </w:p>
    <w:p w14:paraId="6B2D21B3" w14:textId="63802E65" w:rsidR="00B57E6F" w:rsidRPr="008A00FB" w:rsidRDefault="00B57E6F" w:rsidP="00A524A1">
      <w:pPr>
        <w:pStyle w:val="CETAddress"/>
        <w:jc w:val="both"/>
        <w:rPr>
          <w:sz w:val="24"/>
        </w:rPr>
      </w:pPr>
      <w:r w:rsidRPr="00B57B36">
        <w:rPr>
          <w:vertAlign w:val="superscript"/>
        </w:rPr>
        <w:t>a</w:t>
      </w:r>
      <w:r w:rsidR="008A00FB" w:rsidRPr="008A00FB">
        <w:t xml:space="preserve"> Department of Chemical Engineering and Food Technology, Faculty of Sciences, International Excellence Agrifood Campus (CeiA3)</w:t>
      </w:r>
      <w:r w:rsidR="008A00FB">
        <w:t xml:space="preserve">. </w:t>
      </w:r>
      <w:r w:rsidR="008A00FB" w:rsidRPr="008A00FB">
        <w:t>University of Cadiz, Campu</w:t>
      </w:r>
      <w:r w:rsidR="008A00FB">
        <w:t xml:space="preserve">s Universitario Río San Pedro, </w:t>
      </w:r>
      <w:r w:rsidR="008A00FB" w:rsidRPr="008A00FB">
        <w:t>11510, Puerto Real (Cadiz), Spain.</w:t>
      </w:r>
    </w:p>
    <w:p w14:paraId="32C25CDC" w14:textId="27BAC2EB" w:rsidR="008A00FB" w:rsidRPr="00854C98" w:rsidRDefault="00B57E6F" w:rsidP="00A524A1">
      <w:pPr>
        <w:pStyle w:val="CETAddress"/>
        <w:jc w:val="both"/>
        <w:rPr>
          <w:lang w:val="es-ES"/>
        </w:rPr>
      </w:pPr>
      <w:r w:rsidRPr="00B57B36">
        <w:rPr>
          <w:vertAlign w:val="superscript"/>
        </w:rPr>
        <w:t>b</w:t>
      </w:r>
      <w:r w:rsidR="008A00FB" w:rsidRPr="008A00FB">
        <w:t xml:space="preserve"> Department of Biology, Faculty of Marine and Environment Sciences, International Excellence Marine Campus (CEIMAR) and European University of the Seas (SEA-EU). </w:t>
      </w:r>
      <w:r w:rsidR="008A00FB" w:rsidRPr="00854C98">
        <w:rPr>
          <w:lang w:val="es-ES"/>
        </w:rPr>
        <w:t>University of Cadiz, Campus Universitario Río San Pedro, 11510, Puerto Real (Cadiz), Spain.</w:t>
      </w:r>
    </w:p>
    <w:p w14:paraId="42D46AC4" w14:textId="3B2E486F" w:rsidR="00A31A25" w:rsidRPr="00854C98" w:rsidRDefault="00A31A25" w:rsidP="008A00FB">
      <w:pPr>
        <w:pStyle w:val="CETAddress"/>
        <w:rPr>
          <w:lang w:val="es-ES"/>
        </w:rPr>
      </w:pPr>
      <w:r w:rsidRPr="00854C98">
        <w:rPr>
          <w:lang w:val="es-ES"/>
        </w:rPr>
        <w:t>diego.valor</w:t>
      </w:r>
      <w:r w:rsidRPr="00854C98">
        <w:rPr>
          <w:rFonts w:cs="Arial"/>
          <w:lang w:val="es-ES"/>
        </w:rPr>
        <w:t>@</w:t>
      </w:r>
      <w:r w:rsidRPr="00854C98">
        <w:rPr>
          <w:lang w:val="es-ES"/>
        </w:rPr>
        <w:t>uca.es</w:t>
      </w:r>
    </w:p>
    <w:p w14:paraId="4538898E" w14:textId="5BB34292" w:rsidR="008A00FB" w:rsidRDefault="008A00FB" w:rsidP="00104DA9">
      <w:pPr>
        <w:pStyle w:val="CETAddress"/>
        <w:jc w:val="both"/>
        <w:rPr>
          <w:lang w:val="es-ES"/>
        </w:rPr>
      </w:pPr>
    </w:p>
    <w:p w14:paraId="070DB3C2" w14:textId="532E21ED" w:rsidR="00104DA9" w:rsidRPr="00C11B35" w:rsidRDefault="00104DA9" w:rsidP="00C11B35">
      <w:pPr>
        <w:pStyle w:val="CETAddress"/>
        <w:jc w:val="both"/>
        <w:rPr>
          <w:noProof w:val="0"/>
          <w:sz w:val="18"/>
        </w:rPr>
      </w:pPr>
      <w:r w:rsidRPr="00D11C89">
        <w:rPr>
          <w:noProof w:val="0"/>
          <w:sz w:val="18"/>
          <w:szCs w:val="18"/>
        </w:rPr>
        <w:t>GnIH seems to represents a pleiotropic neuropeptide exerting not only inhibitory effects on reproduction</w:t>
      </w:r>
      <w:r w:rsidR="00D11C89" w:rsidRPr="00D11C89">
        <w:rPr>
          <w:noProof w:val="0"/>
          <w:sz w:val="18"/>
          <w:szCs w:val="18"/>
        </w:rPr>
        <w:t>, but it is also related to stress and growth</w:t>
      </w:r>
      <w:r w:rsidRPr="00D11C89">
        <w:rPr>
          <w:noProof w:val="0"/>
          <w:sz w:val="18"/>
          <w:szCs w:val="18"/>
        </w:rPr>
        <w:t>.</w:t>
      </w:r>
      <w:r w:rsidR="0095788E">
        <w:rPr>
          <w:sz w:val="18"/>
          <w:szCs w:val="18"/>
        </w:rPr>
        <w:t xml:space="preserve"> </w:t>
      </w:r>
      <w:r w:rsidR="00C11B35" w:rsidRPr="00C11B35">
        <w:rPr>
          <w:sz w:val="18"/>
          <w:szCs w:val="18"/>
        </w:rPr>
        <w:t>Research has been carried out to develop</w:t>
      </w:r>
      <w:r w:rsidR="00C11B35">
        <w:rPr>
          <w:sz w:val="18"/>
          <w:szCs w:val="18"/>
        </w:rPr>
        <w:t xml:space="preserve"> </w:t>
      </w:r>
      <w:r w:rsidR="00C11B35" w:rsidRPr="00C11B35">
        <w:rPr>
          <w:sz w:val="18"/>
          <w:szCs w:val="18"/>
        </w:rPr>
        <w:t>encapsulation technologies for GnIH, which permit their dietary incorporation into the</w:t>
      </w:r>
      <w:r w:rsidR="00C11B35">
        <w:rPr>
          <w:sz w:val="18"/>
          <w:szCs w:val="18"/>
        </w:rPr>
        <w:t xml:space="preserve"> </w:t>
      </w:r>
      <w:r w:rsidR="00C11B35" w:rsidRPr="00C11B35">
        <w:rPr>
          <w:sz w:val="18"/>
          <w:szCs w:val="18"/>
        </w:rPr>
        <w:t>feed.</w:t>
      </w:r>
      <w:r w:rsidR="00C11B35">
        <w:rPr>
          <w:sz w:val="18"/>
          <w:szCs w:val="18"/>
        </w:rPr>
        <w:t xml:space="preserve"> </w:t>
      </w:r>
      <w:r w:rsidRPr="00104DA9">
        <w:rPr>
          <w:noProof w:val="0"/>
          <w:sz w:val="18"/>
        </w:rPr>
        <w:t xml:space="preserve">In this work, </w:t>
      </w:r>
      <w:r w:rsidR="00BE0CCC">
        <w:rPr>
          <w:noProof w:val="0"/>
          <w:sz w:val="18"/>
        </w:rPr>
        <w:t>micro</w:t>
      </w:r>
      <w:r w:rsidRPr="00104DA9">
        <w:rPr>
          <w:noProof w:val="0"/>
          <w:sz w:val="18"/>
        </w:rPr>
        <w:t xml:space="preserve">particles of </w:t>
      </w:r>
      <w:proofErr w:type="spellStart"/>
      <w:r w:rsidR="00BE0CCC" w:rsidRPr="00BE0CCC">
        <w:rPr>
          <w:noProof w:val="0"/>
          <w:sz w:val="18"/>
        </w:rPr>
        <w:t>GnIH</w:t>
      </w:r>
      <w:proofErr w:type="spellEnd"/>
      <w:r w:rsidRPr="00104DA9">
        <w:rPr>
          <w:noProof w:val="0"/>
          <w:sz w:val="18"/>
        </w:rPr>
        <w:t xml:space="preserve"> were</w:t>
      </w:r>
      <w:r>
        <w:rPr>
          <w:noProof w:val="0"/>
          <w:sz w:val="18"/>
        </w:rPr>
        <w:t xml:space="preserve"> </w:t>
      </w:r>
      <w:r w:rsidRPr="00104DA9">
        <w:rPr>
          <w:noProof w:val="0"/>
          <w:sz w:val="18"/>
        </w:rPr>
        <w:t xml:space="preserve">generated using </w:t>
      </w:r>
      <w:r w:rsidR="00C603D9">
        <w:rPr>
          <w:noProof w:val="0"/>
          <w:sz w:val="18"/>
        </w:rPr>
        <w:t>s</w:t>
      </w:r>
      <w:r w:rsidRPr="00104DA9">
        <w:rPr>
          <w:noProof w:val="0"/>
          <w:sz w:val="18"/>
        </w:rPr>
        <w:t>upercritical antisolvent proces</w:t>
      </w:r>
      <w:r w:rsidR="00BE0CCC">
        <w:rPr>
          <w:noProof w:val="0"/>
          <w:sz w:val="18"/>
        </w:rPr>
        <w:t>s</w:t>
      </w:r>
      <w:r w:rsidR="00C603D9">
        <w:rPr>
          <w:noProof w:val="0"/>
          <w:sz w:val="18"/>
        </w:rPr>
        <w:t xml:space="preserve"> </w:t>
      </w:r>
      <w:r w:rsidR="00C603D9" w:rsidRPr="00104DA9">
        <w:rPr>
          <w:noProof w:val="0"/>
          <w:sz w:val="18"/>
        </w:rPr>
        <w:t xml:space="preserve">(SAS) </w:t>
      </w:r>
      <w:r w:rsidR="00D15324" w:rsidRPr="00D15324">
        <w:rPr>
          <w:noProof w:val="0"/>
          <w:sz w:val="18"/>
        </w:rPr>
        <w:t>and subsequently the process of encapsulation of the compound with a biodegradable polymer, Pluronic F-127, was studied</w:t>
      </w:r>
      <w:r w:rsidRPr="00104DA9">
        <w:rPr>
          <w:noProof w:val="0"/>
          <w:sz w:val="18"/>
        </w:rPr>
        <w:t>. The use of</w:t>
      </w:r>
      <w:r>
        <w:rPr>
          <w:noProof w:val="0"/>
          <w:sz w:val="18"/>
        </w:rPr>
        <w:t xml:space="preserve"> </w:t>
      </w:r>
      <w:r w:rsidRPr="00104DA9">
        <w:rPr>
          <w:noProof w:val="0"/>
          <w:sz w:val="18"/>
        </w:rPr>
        <w:t xml:space="preserve">supercritical fluids and particularly SAS process to prepare </w:t>
      </w:r>
      <w:r w:rsidR="00BD4179">
        <w:rPr>
          <w:noProof w:val="0"/>
          <w:sz w:val="18"/>
        </w:rPr>
        <w:t>micro</w:t>
      </w:r>
      <w:r w:rsidRPr="00104DA9">
        <w:rPr>
          <w:noProof w:val="0"/>
          <w:sz w:val="18"/>
        </w:rPr>
        <w:t xml:space="preserve">particles removes the </w:t>
      </w:r>
      <w:r w:rsidR="00BD4179" w:rsidRPr="00BD4179">
        <w:rPr>
          <w:noProof w:val="0"/>
          <w:sz w:val="18"/>
        </w:rPr>
        <w:t>problems</w:t>
      </w:r>
      <w:r w:rsidRPr="00104DA9">
        <w:rPr>
          <w:noProof w:val="0"/>
          <w:sz w:val="18"/>
        </w:rPr>
        <w:t xml:space="preserve"> of the</w:t>
      </w:r>
      <w:r>
        <w:rPr>
          <w:noProof w:val="0"/>
          <w:sz w:val="18"/>
        </w:rPr>
        <w:t xml:space="preserve"> </w:t>
      </w:r>
      <w:r w:rsidRPr="00104DA9">
        <w:rPr>
          <w:noProof w:val="0"/>
          <w:sz w:val="18"/>
        </w:rPr>
        <w:t xml:space="preserve">conventional techniques such as </w:t>
      </w:r>
      <w:r w:rsidR="00D002F5" w:rsidRPr="00104DA9">
        <w:rPr>
          <w:noProof w:val="0"/>
          <w:sz w:val="18"/>
        </w:rPr>
        <w:t>thermal degradation,</w:t>
      </w:r>
      <w:r w:rsidR="00D002F5">
        <w:rPr>
          <w:noProof w:val="0"/>
          <w:sz w:val="18"/>
        </w:rPr>
        <w:t xml:space="preserve"> </w:t>
      </w:r>
      <w:r w:rsidRPr="00104DA9">
        <w:rPr>
          <w:noProof w:val="0"/>
          <w:sz w:val="18"/>
        </w:rPr>
        <w:t>excessive use of solvent, residual solvent</w:t>
      </w:r>
      <w:r>
        <w:rPr>
          <w:noProof w:val="0"/>
          <w:sz w:val="18"/>
        </w:rPr>
        <w:t xml:space="preserve"> </w:t>
      </w:r>
      <w:r w:rsidRPr="00104DA9">
        <w:rPr>
          <w:noProof w:val="0"/>
          <w:sz w:val="18"/>
        </w:rPr>
        <w:t xml:space="preserve">concentration, and </w:t>
      </w:r>
      <w:r w:rsidR="00D002F5" w:rsidRPr="00D002F5">
        <w:rPr>
          <w:noProof w:val="0"/>
          <w:sz w:val="18"/>
        </w:rPr>
        <w:t>principally the challenge of controlling particle size throughout processing</w:t>
      </w:r>
      <w:r w:rsidR="00C11B35" w:rsidRPr="00C11B35">
        <w:rPr>
          <w:noProof w:val="0"/>
          <w:sz w:val="18"/>
        </w:rPr>
        <w:t>. In this</w:t>
      </w:r>
      <w:r w:rsidR="00C11B35">
        <w:rPr>
          <w:noProof w:val="0"/>
          <w:sz w:val="18"/>
        </w:rPr>
        <w:t xml:space="preserve"> </w:t>
      </w:r>
      <w:r w:rsidR="00C11B35" w:rsidRPr="00C11B35">
        <w:rPr>
          <w:noProof w:val="0"/>
          <w:sz w:val="18"/>
        </w:rPr>
        <w:t xml:space="preserve">preliminary work, the influence of the pressure </w:t>
      </w:r>
      <w:r w:rsidR="00AE2FB1">
        <w:rPr>
          <w:noProof w:val="0"/>
          <w:sz w:val="18"/>
        </w:rPr>
        <w:t xml:space="preserve">and ratio hormone/polymer </w:t>
      </w:r>
      <w:r w:rsidR="00C11B35" w:rsidRPr="00C11B35">
        <w:rPr>
          <w:noProof w:val="0"/>
          <w:sz w:val="18"/>
        </w:rPr>
        <w:t>on the particle size, morphology, and</w:t>
      </w:r>
      <w:r w:rsidR="00C11B35">
        <w:rPr>
          <w:noProof w:val="0"/>
          <w:sz w:val="18"/>
        </w:rPr>
        <w:t xml:space="preserve"> </w:t>
      </w:r>
      <w:r w:rsidR="003E214B" w:rsidRPr="003E214B">
        <w:rPr>
          <w:noProof w:val="0"/>
          <w:sz w:val="18"/>
        </w:rPr>
        <w:t>elemental composition</w:t>
      </w:r>
      <w:r w:rsidR="00C11B35" w:rsidRPr="00C11B35">
        <w:rPr>
          <w:noProof w:val="0"/>
          <w:sz w:val="18"/>
        </w:rPr>
        <w:t xml:space="preserve"> of these particles have been investigated. Most of the experiments led to successful</w:t>
      </w:r>
      <w:r w:rsidR="00C11B35">
        <w:rPr>
          <w:noProof w:val="0"/>
          <w:sz w:val="18"/>
        </w:rPr>
        <w:t xml:space="preserve"> </w:t>
      </w:r>
      <w:r w:rsidR="00C11B35" w:rsidRPr="00C11B35">
        <w:rPr>
          <w:noProof w:val="0"/>
          <w:sz w:val="18"/>
        </w:rPr>
        <w:t xml:space="preserve">precipitation of </w:t>
      </w:r>
      <w:r w:rsidR="00AE2FB1" w:rsidRPr="00AE2FB1">
        <w:rPr>
          <w:noProof w:val="0"/>
          <w:sz w:val="18"/>
        </w:rPr>
        <w:t>a white powder</w:t>
      </w:r>
      <w:r w:rsidR="00AE2FB1">
        <w:rPr>
          <w:noProof w:val="0"/>
          <w:sz w:val="18"/>
        </w:rPr>
        <w:t xml:space="preserve"> </w:t>
      </w:r>
      <w:r w:rsidR="00C11B35" w:rsidRPr="00C11B35">
        <w:rPr>
          <w:noProof w:val="0"/>
          <w:sz w:val="18"/>
        </w:rPr>
        <w:t xml:space="preserve">of particles in the </w:t>
      </w:r>
      <w:proofErr w:type="spellStart"/>
      <w:r w:rsidR="003E214B">
        <w:rPr>
          <w:noProof w:val="0"/>
          <w:sz w:val="18"/>
        </w:rPr>
        <w:t>micro</w:t>
      </w:r>
      <w:r w:rsidR="00C11B35" w:rsidRPr="00C11B35">
        <w:rPr>
          <w:noProof w:val="0"/>
          <w:sz w:val="18"/>
        </w:rPr>
        <w:t>meter</w:t>
      </w:r>
      <w:proofErr w:type="spellEnd"/>
      <w:r w:rsidR="00C11B35" w:rsidRPr="00C11B35">
        <w:rPr>
          <w:noProof w:val="0"/>
          <w:sz w:val="18"/>
        </w:rPr>
        <w:t xml:space="preserve"> range. </w:t>
      </w:r>
      <w:r w:rsidR="00AE2FB1" w:rsidRPr="00AE2FB1">
        <w:rPr>
          <w:noProof w:val="0"/>
          <w:sz w:val="18"/>
        </w:rPr>
        <w:t xml:space="preserve">The initial morphology of the </w:t>
      </w:r>
      <w:proofErr w:type="spellStart"/>
      <w:r w:rsidR="00AE2FB1" w:rsidRPr="00AE2FB1">
        <w:rPr>
          <w:noProof w:val="0"/>
          <w:sz w:val="18"/>
        </w:rPr>
        <w:t>GnIH</w:t>
      </w:r>
      <w:proofErr w:type="spellEnd"/>
      <w:r w:rsidR="00AE2FB1" w:rsidRPr="00AE2FB1">
        <w:rPr>
          <w:noProof w:val="0"/>
          <w:sz w:val="18"/>
        </w:rPr>
        <w:t xml:space="preserve"> was modified, resulting in a generally spherical particle form</w:t>
      </w:r>
      <w:r w:rsidR="00C11B35" w:rsidRPr="00C11B35">
        <w:rPr>
          <w:noProof w:val="0"/>
          <w:sz w:val="18"/>
        </w:rPr>
        <w:t xml:space="preserve">. </w:t>
      </w:r>
      <w:r w:rsidR="00F14197" w:rsidRPr="00F14197">
        <w:rPr>
          <w:noProof w:val="0"/>
          <w:sz w:val="18"/>
        </w:rPr>
        <w:t xml:space="preserve">The smallest particle size </w:t>
      </w:r>
      <w:r w:rsidR="00F14197">
        <w:rPr>
          <w:noProof w:val="0"/>
          <w:sz w:val="18"/>
        </w:rPr>
        <w:t xml:space="preserve">(0.16 </w:t>
      </w:r>
      <w:r w:rsidR="00F14197" w:rsidRPr="00F14197">
        <w:rPr>
          <w:noProof w:val="0"/>
          <w:sz w:val="18"/>
        </w:rPr>
        <w:t>µm</w:t>
      </w:r>
      <w:r w:rsidR="00F14197">
        <w:rPr>
          <w:noProof w:val="0"/>
          <w:sz w:val="18"/>
        </w:rPr>
        <w:t>)</w:t>
      </w:r>
      <w:r w:rsidR="00F14197" w:rsidRPr="00F14197">
        <w:rPr>
          <w:noProof w:val="0"/>
          <w:sz w:val="18"/>
        </w:rPr>
        <w:t xml:space="preserve"> and the highest amount of precipitated </w:t>
      </w:r>
      <w:proofErr w:type="spellStart"/>
      <w:r w:rsidR="00F14197" w:rsidRPr="00F14197">
        <w:rPr>
          <w:noProof w:val="0"/>
          <w:sz w:val="18"/>
        </w:rPr>
        <w:t>GnIH</w:t>
      </w:r>
      <w:proofErr w:type="spellEnd"/>
      <w:r w:rsidR="00F14197" w:rsidRPr="00F14197">
        <w:rPr>
          <w:noProof w:val="0"/>
          <w:sz w:val="18"/>
        </w:rPr>
        <w:t xml:space="preserve"> in composites was obtained using 100 bar and 1/9 ratio, which were considered the best conditions in this preliminary study.</w:t>
      </w:r>
    </w:p>
    <w:p w14:paraId="32206134" w14:textId="6B1C7A52" w:rsidR="00774368" w:rsidRPr="00B57B36" w:rsidRDefault="00774368" w:rsidP="00774368">
      <w:pPr>
        <w:pStyle w:val="CETHeading1"/>
        <w:rPr>
          <w:lang w:val="en-GB"/>
        </w:rPr>
      </w:pPr>
      <w:r w:rsidRPr="00B57B36">
        <w:rPr>
          <w:lang w:val="en-GB"/>
        </w:rPr>
        <w:t>Introduction</w:t>
      </w:r>
    </w:p>
    <w:p w14:paraId="059BE21E" w14:textId="30F860FE" w:rsidR="00B92772" w:rsidRDefault="006842F7" w:rsidP="00774368">
      <w:pPr>
        <w:pStyle w:val="CETBodytext"/>
        <w:rPr>
          <w:lang w:val="en-GB"/>
        </w:rPr>
      </w:pPr>
      <w:r w:rsidRPr="006842F7">
        <w:rPr>
          <w:lang w:val="en-GB"/>
        </w:rPr>
        <w:t>In recent years, a new neuropeptide known as gonadotrophin inhibitory hormone (GnIH) has gained prominence as a brain factor inhibiting the reproductive process in vertebrates</w:t>
      </w:r>
      <w:r w:rsidR="008E30B3">
        <w:rPr>
          <w:lang w:val="en-GB"/>
        </w:rPr>
        <w:fldChar w:fldCharType="begin" w:fldLock="1"/>
      </w:r>
      <w:r w:rsidR="008E30B3">
        <w:rPr>
          <w:lang w:val="en-GB"/>
        </w:rPr>
        <w:instrText>ADDIN CSL_CITATION {"citationItems":[{"id":"ITEM-1","itemData":{"DOI":"10.3389/fendo.2012.00148","ISSN":"16642392","abstract":"Gonadotropin-inhibitory hormone (GnIH) was first identified in the Japanese quail as a hypothalamic neuropeptide inhibitor of gonadotropin secretion. Subsequent studies have shown that GnIH is present in the brains of birds including songbirds, and mammals including humans. The identified avian and mammalian GnIH peptides universally possess an LPXRFamide (X = L or Q) motif at their C-termini. Mammalian GnIH peptides are also designated as RFamide-related peptides from their structures. The receptor for GnIH is the G protein-coupled receptor 147 (GPR147), which is thought to be coupled to Gαi protein. Cell bodies of GnIH neurons are located in the paraventricular nucleus (PVN) in birds and the dorsomedial hypothalamic area (DMH) in mammals. GnIH neurons in the PVN or DMH project to the median eminence to control anterior pituitary function. GPR147 is expressed in the gonadotropes and GnIH suppresses synthesis and release of gonadotropins. It was further shown in immortalized mouse gonadotrope cell line (LβT2 cells) that GnIH inhibits gonadotropin-releasing hormone (GnRH) induced gonadotropin subunit gene transcriptions by inhibiting adenylate cyclase/cAMP/PKA-dependent ERK pathway. GnIH neurons also project to GnRH neurons in the preoptic area, and GnRH neurons express GPR147 in birds and mammals. Accordingly, GnIH may inhibit gonadotropin synthesis and release by decreasing the activity of GnRH neurons as well as directly acting on the gonadotropes. GnIH also inhibits reproductive behavior possibly by acting within the brain. GnIH expression is regulated by a nocturnal hormone melatonin and stress in birds and mammals. Accordingly, GnIH may play a role in translating environmental information to inhibit reproductive physiology and behavior of birds and mammals. Finally, GnIH has therapeutic potential in the treatment of reproductive cycle and hormone-dependent diseases, such as precocious puberty, endometriosis, uterine fibroids, and prostatic and breast cancers. © 2012 Ubuka, Son, Tobari and Tsutsui.","author":[{"dropping-particle":"","family":"Ubuka","given":"Takayoshi","non-dropping-particle":"","parse-names":false,"suffix":""},{"dropping-particle":"","family":"Son","given":"You Lee","non-dropping-particle":"","parse-names":false,"suffix":""},{"dropping-particle":"","family":"Tobari","given":"Yasuko","non-dropping-particle":"","parse-names":false,"suffix":""},{"dropping-particle":"","family":"Tsutsui","given":"Kazuyoshi","non-dropping-particle":"","parse-names":false,"suffix":""}],"container-title":"Frontiers in Endocrinology","id":"ITEM-1","issue":"NOV","issued":{"date-parts":[["2012"]]},"page":"1-13","title":"Gonadotropin-inhibitory hormone action in the brain and pituitary","type":"article-journal","volume":"3"},"uris":["http://www.mendeley.com/documents/?uuid=fdb496bc-ea0d-4605-8280-4ec930177419"]},{"id":"ITEM-2","itemData":{"DOI":"10.1016/j.ygcen.2015.09.009","ISSN":"10956840","PMID":"26409890","abstract":"Gonadotropin-inhibitory hormone (GnIH) is a hypothalamic neuropeptide that was isolated from the brains of Japanese quail in 2000, which inhibited luteinizing hormone release from the anterior pituitary gland. Here, we summarize the following fifteen years of researches that investigated on the mechanism of GnIH actions at molecular, cellular, morphological, physiological, and behavioral levels. The unique molecular structure of GnIH peptide is in its LPXRFamide (X = L or Q) motif at its C-terminal. The primary receptor for GnIH is GPR147. The cell signaling pathway triggered by GnIH is initiated by inhibiting adenylate cyclase and decreasing cAMP production in the target cell. GnIH neurons regulate not only gonadotropin synthesis and release in the pituitary, but also regulate various neurons in the brain, such as GnRH1, GnRH2, dopamine, POMC, NPY, orexin, MCH, CRH, oxytocin, and kisspeptin neurons. GnIH and GPR147 are also expressed in gonads and they may regulate steroidogenesis and germ cell maturation in an autocrine/paracrine manner. GnIH regulates reproductive development and activity. In female mammals, GnIH may regulate estrous or menstrual cycle. GnIH is also involved in the regulation of seasonal reproduction, but GnIH may finely tune reproductive activities in the breeding seasons. It is involved in stress responses not only in the brain but also in gonads. GnIH may inhibit male socio-sexual behavior by stimulating the activity of cytochrome P450 aromatase in the brain and stimulates feeding behavior by modulating the activities of hypothalamic and central amygdala neurons.","author":[{"dropping-particle":"","family":"Ubuka","given":"Takayoshi","non-dropping-particle":"","parse-names":false,"suffix":""},{"dropping-particle":"","family":"Son","given":"You Lee","non-dropping-particle":"","parse-names":false,"suffix":""},{"dropping-particle":"","family":"Tsutsui","given":"Kazuyoshi","non-dropping-particle":"","parse-names":false,"suffix":""}],"container-title":"General and Comparative Endocrinology","id":"ITEM-2","issued":{"date-parts":[["2016"]]},"page":"27-50","publisher":"Elsevier Inc.","title":"Molecular, cellular, morphological, physiological and behavioral aspects of gonadotropin-inhibitory hormone","type":"article-journal","volume":"227"},"uris":["http://www.mendeley.com/documents/?uuid=ef155be0-df31-40f6-9910-4a054e6e7022"]}],"mendeley":{"formattedCitation":"(Ubuka et al., 2012, 2016)","plainTextFormattedCitation":"(Ubuka et al., 2012, 2016)","previouslyFormattedCitation":"(Ubuka et al., 2012, 2016)"},"properties":{"noteIndex":0},"schema":"https://github.com/citation-style-language/schema/raw/master/csl-citation.json"}</w:instrText>
      </w:r>
      <w:r w:rsidR="008E30B3">
        <w:rPr>
          <w:lang w:val="en-GB"/>
        </w:rPr>
        <w:fldChar w:fldCharType="separate"/>
      </w:r>
      <w:r w:rsidR="008E30B3" w:rsidRPr="008E30B3">
        <w:rPr>
          <w:noProof/>
          <w:lang w:val="en-GB"/>
        </w:rPr>
        <w:t>(</w:t>
      </w:r>
      <w:proofErr w:type="spellStart"/>
      <w:r w:rsidR="008E30B3" w:rsidRPr="008E30B3">
        <w:rPr>
          <w:noProof/>
          <w:lang w:val="en-GB"/>
        </w:rPr>
        <w:t>Ubuka</w:t>
      </w:r>
      <w:proofErr w:type="spellEnd"/>
      <w:r w:rsidR="008E30B3" w:rsidRPr="008E30B3">
        <w:rPr>
          <w:noProof/>
          <w:lang w:val="en-GB"/>
        </w:rPr>
        <w:t xml:space="preserve"> et al., 2012, 2016)</w:t>
      </w:r>
      <w:r w:rsidR="008E30B3">
        <w:rPr>
          <w:lang w:val="en-GB"/>
        </w:rPr>
        <w:fldChar w:fldCharType="end"/>
      </w:r>
      <w:r w:rsidR="008E30B3">
        <w:rPr>
          <w:lang w:val="en-GB"/>
        </w:rPr>
        <w:t xml:space="preserve">. </w:t>
      </w:r>
      <w:r w:rsidRPr="006842F7">
        <w:rPr>
          <w:lang w:val="en-GB"/>
        </w:rPr>
        <w:t>Also, studies in birds and mammals have shown that the GnIH system may be mediating the stress response</w:t>
      </w:r>
      <w:r w:rsidR="00247B65">
        <w:rPr>
          <w:lang w:val="en-GB"/>
        </w:rPr>
        <w:t xml:space="preserve"> </w:t>
      </w:r>
      <w:r w:rsidR="008E30B3">
        <w:rPr>
          <w:lang w:val="en-GB"/>
        </w:rPr>
        <w:fldChar w:fldCharType="begin" w:fldLock="1"/>
      </w:r>
      <w:r w:rsidR="00882165">
        <w:rPr>
          <w:lang w:val="en-GB"/>
        </w:rPr>
        <w:instrText>ADDIN CSL_CITATION {"citationItems":[{"id":"ITEM-1","itemData":{"DOI":"10.1073/pnas.0901176106","ISSN":"00278424","PMID":"19541621","abstract":"The subjective experience of stress leads to reproductive dysfunction in many species, including rodents and humans. Stress effects on reproduction result from multilevel interactions between the hormonal stress response system, i.e., the hypothalamic-pituitary-adrenal (HPA) axis, and the hormonal reproductive system, i.e., the hypothalamic-pituitary-gonadal (HPG) axis. A novel negative regulator of the HPG axis known as gonadotropin-inhibitory hormone (GnIH) was recently discovered in quail, and orthologous neuropeptides known as RFamide-related peptides (RFRPs) have also been identified in rodents and primates. It is currently unknown, however, whether GnIH/RFRPs influence HPG axis activity in response to stress. We show here that both acute and chronic immobilization stress lead to an up-regulation of RFRP expression in the dorsomedial hypothalamus (DMH) of adult male rats and that this increase in RFRP is associated with inhibition of downstream HPG activity.Wealso show that adrenalectomy blocks the stress-induced increase in RFRP expression. Immunohistochemistry revealed that 53% of RFRP cells express receptors for glucocorticoids (GCs), indicating that adrenal GCs can mediate the stress effect through direct action on RFRP cells. It is thought that stress effects on central control of reproduction are largely mediated by direct or indirect effects on GnRH-secreting neurons. Our data show that stress-induced increases in adrenal GCs cause an increase in RFRP that contributes to hypothalamic suppression of reproductive function. This novel insight into HPA-HPG interaction provides a paradigm shift for work on stress-related reproductive dysfunction and infertility, and indicates that future work on stress and reproductive system interactions must include investigation of the role of GnIH/RFRP.","author":[{"dropping-particle":"","family":"Kirby","given":"Elizabeth D.","non-dropping-particle":"","parse-names":false,"suffix":""},{"dropping-particle":"","family":"Geraghty","given":"Anna C.","non-dropping-particle":"","parse-names":false,"suffix":""},{"dropping-particle":"","family":"Ubuka","given":"Takayoshi","non-dropping-particle":"","parse-names":false,"suffix":""},{"dropping-particle":"","family":"Bentley","given":"George E.","non-dropping-particle":"","parse-names":false,"suffix":""},{"dropping-particle":"","family":"Kaufer","given":"Daniela","non-dropping-particle":"","parse-names":false,"suffix":""}],"container-title":"Proceedings of the National Academy of Sciences of the United States of America","id":"ITEM-1","issue":"27","issued":{"date-parts":[["2009"]]},"page":"11324-11329","title":"Stress increases putative gonadotropin inhibitory hormone and decreases luteinizing hormone in male rats","type":"article-journal","volume":"106"},"uris":["http://www.mendeley.com/documents/?uuid=43894bf6-9f71-4b64-aa69-3cce73c1c3a0"]}],"mendeley":{"formattedCitation":"(Kirby et al., 2009)","plainTextFormattedCitation":"(Kirby et al., 2009)","previouslyFormattedCitation":"(Kirby et al., 2009)"},"properties":{"noteIndex":0},"schema":"https://github.com/citation-style-language/schema/raw/master/csl-citation.json"}</w:instrText>
      </w:r>
      <w:r w:rsidR="008E30B3">
        <w:rPr>
          <w:lang w:val="en-GB"/>
        </w:rPr>
        <w:fldChar w:fldCharType="separate"/>
      </w:r>
      <w:r w:rsidR="008E30B3" w:rsidRPr="008E30B3">
        <w:rPr>
          <w:noProof/>
          <w:lang w:val="en-GB"/>
        </w:rPr>
        <w:t>(Kirby et al., 2009)</w:t>
      </w:r>
      <w:r w:rsidR="008E30B3">
        <w:rPr>
          <w:lang w:val="en-GB"/>
        </w:rPr>
        <w:fldChar w:fldCharType="end"/>
      </w:r>
      <w:r w:rsidR="008E30B3">
        <w:rPr>
          <w:lang w:val="en-GB"/>
        </w:rPr>
        <w:t xml:space="preserve"> </w:t>
      </w:r>
      <w:r w:rsidR="00247B65" w:rsidRPr="00247B65">
        <w:rPr>
          <w:lang w:val="en-GB"/>
        </w:rPr>
        <w:t>and is implicated in the control of reproductive and aggressive behaviour, through its action on neurosteroid biosynthesis in the brain</w:t>
      </w:r>
      <w:r w:rsidR="00882165">
        <w:rPr>
          <w:lang w:val="en-GB"/>
        </w:rPr>
        <w:t xml:space="preserve"> </w:t>
      </w:r>
      <w:r w:rsidR="00882165">
        <w:rPr>
          <w:lang w:val="en-GB"/>
        </w:rPr>
        <w:fldChar w:fldCharType="begin" w:fldLock="1"/>
      </w:r>
      <w:r w:rsidR="00D7559A">
        <w:rPr>
          <w:lang w:val="en-GB"/>
        </w:rPr>
        <w:instrText>ADDIN CSL_CITATION {"citationItems":[{"id":"ITEM-1","itemData":{"DOI":"10.1002/jez.a","abstract":"Placental nutrient provision has evolved in multiple lineages of squamate reptiles and although possible structural specializations for placentotrophy have been described in a variety of species, neither the pathways nor the mechanisms of placental transfer are known. Lizards of the Australian genus Pseudemoia are placentotrophic and have elaborate placental structures that are thought to enhance nutrient transfer. The chorioallantoic placenta, which occupies the embryonic hemisphere of the egg, is regionally diversified into a large area with low epithelial height and a smaller placentome with cuboidal or columnar epithelia. Both regions are underlain by an extensive vascular bed. The abembryonic hemisphere of the egg is covered by an omphaloplacenta, which is similar to the placentome in having cuboidal or columnar epithelia but with a different embryonic vascular supply. We tested the hypothesis that embryonic epithelial cells of the placentome and the omphaloplacenta of Pseudemoia entrecasteauxii are each capable of endocytosis. Embryos (stages 33-39) with intact extraembryonic membranes were surgically removed from the uterus and incubated in a solution containing fluorescein isothiocyanate-dextran (77,000 MW). The fluorescent label was detected in the cytoplasm of scattered populations of epithelial cells in both placental regions of all embryonic stages. We conclude that both the placentome and the omphaloplacenta of P. entrecasteauxii are sites of histotrophic nutrient transport. However, there are histological and cytological differences in the embryonic epithelia of these two placental regions. The histological differences reflect differences in the evolutionary precursors of each tissue. The cytological differences likely portray different functional specializations.","author":[{"dropping-particle":"","family":"Bentley","given":"Kriegsfeld LJ et al.","non-dropping-particle":"","parse-names":false,"suffix":""}],"container-title":"Journal of Experimental Zoology Part a-Comparative Experimental Biology","id":"ITEM-1","issue":"10","issued":{"date-parts":[["2006"]]},"page":"807–814","title":"Interactions of Gonadotropin-ReleasingHormone (GnRH) and Gonadotropin-Inhibitory Hormone (GnIH) in Birds and Mammals.","type":"article-journal","volume":"305A"},"uris":["http://www.mendeley.com/documents/?uuid=045f0a7e-ca24-4fbb-9261-0cd9d3ad7cc1"]},{"id":"ITEM-2","itemData":{"DOI":"10.3389/fendo.2012.00148","ISSN":"16642392","abstract":"Gonadotropin-inhibitory hormone (GnIH) was first identified in the Japanese quail as a hypothalamic neuropeptide inhibitor of gonadotropin secretion. Subsequent studies have shown that GnIH is present in the brains of birds including songbirds, and mammals including humans. The identified avian and mammalian GnIH peptides universally possess an LPXRFamide (X = L or Q) motif at their C-termini. Mammalian GnIH peptides are also designated as RFamide-related peptides from their structures. The receptor for GnIH is the G protein-coupled receptor 147 (GPR147), which is thought to be coupled to Gαi protein. Cell bodies of GnIH neurons are located in the paraventricular nucleus (PVN) in birds and the dorsomedial hypothalamic area (DMH) in mammals. GnIH neurons in the PVN or DMH project to the median eminence to control anterior pituitary function. GPR147 is expressed in the gonadotropes and GnIH suppresses synthesis and release of gonadotropins. It was further shown in immortalized mouse gonadotrope cell line (LβT2 cells) that GnIH inhibits gonadotropin-releasing hormone (GnRH) induced gonadotropin subunit gene transcriptions by inhibiting adenylate cyclase/cAMP/PKA-dependent ERK pathway. GnIH neurons also project to GnRH neurons in the preoptic area, and GnRH neurons express GPR147 in birds and mammals. Accordingly, GnIH may inhibit gonadotropin synthesis and release by decreasing the activity of GnRH neurons as well as directly acting on the gonadotropes. GnIH also inhibits reproductive behavior possibly by acting within the brain. GnIH expression is regulated by a nocturnal hormone melatonin and stress in birds and mammals. Accordingly, GnIH may play a role in translating environmental information to inhibit reproductive physiology and behavior of birds and mammals. Finally, GnIH has therapeutic potential in the treatment of reproductive cycle and hormone-dependent diseases, such as precocious puberty, endometriosis, uterine fibroids, and prostatic and breast cancers. © 2012 Ubuka, Son, Tobari and Tsutsui.","author":[{"dropping-particle":"","family":"Ubuka","given":"Takayoshi","non-dropping-particle":"","parse-names":false,"suffix":""},{"dropping-particle":"","family":"Son","given":"You Lee","non-dropping-particle":"","parse-names":false,"suffix":""},{"dropping-particle":"","family":"Tobari","given":"Yasuko","non-dropping-particle":"","parse-names":false,"suffix":""},{"dropping-particle":"","family":"Tsutsui","given":"Kazuyoshi","non-dropping-particle":"","parse-names":false,"suffix":""}],"container-title":"Frontiers in Endocrinology","id":"ITEM-2","issue":"NOV","issued":{"date-parts":[["2012"]]},"page":"1-13","title":"Gonadotropin-inhibitory hormone action in the brain and pituitary","type":"article-journal","volume":"3"},"uris":["http://www.mendeley.com/documents/?uuid=fdb496bc-ea0d-4605-8280-4ec930177419"]},{"id":"ITEM-3","itemData":{"DOI":"10.1016/j.yhbeh.2013.06.006","ISSN":"0018506X","PMID":"23827890","abstract":"Reproductive success is maximized when female sexual motivation and behavior coincide with the time of optimal fertility. Both processes depend upon coordinated hormonal events, beginning with signaling by the gonadotropin-releasing hormone (GnRH) neuronal system. Two neuropeptidergic systems that lie upstream of GnRH, gonadotropin-inhibitory hormone (GnIH; also known as RFamide related peptide-3) and kisspeptin, are potent inhibitory and excitatory modulators of GnRH, respectively, that participate in the timing of the preovulatory luteinizing hormone (LH) surge and ovulation. Whether these neuropeptides serve as neuromodulators to coordinate female sexual behavior with the limited window of fertility has not been thoroughly explored. In the present study, either intact or ovariectomized, hormone-treated female hamsters were implanted for fifteen days with chronic release osmotic pumps filled with GnIH or saline. The effect of GnIH on sexual motivation, vaginal scent marking, and lordosis was examined. Following mating, FOS activation was quantified in brain regions implicated in the regulation of female sexual behavior. Intracerebroventricular administration of GnIH reduced sexual motivation and vaginal scent marking, but not lordosis behavior. GnIH administration altered FOS expression in key neural loci implicated in female reproductive behavior, including the medial preoptic area, medial amygdala and bed nucleus of the stria terminalis, independent of changes in circulating gonadal steroids and kisspeptin cell activation. Together, these data point to GnIH as an important modulator of female proceptive sexual behavior and motivation, independent of downstream alterations in sex steroid production. © 2013 Elsevier Inc.","author":[{"dropping-particle":"","family":"Piekarski","given":"David J.","non-dropping-particle":"","parse-names":false,"suffix":""},{"dropping-particle":"","family":"Zhao","given":"Sheng","non-dropping-particle":"","parse-names":false,"suffix":""},{"dropping-particle":"","family":"Jennings","given":"Kimberly J.","non-dropping-particle":"","parse-names":false,"suffix":""},{"dropping-particle":"","family":"Iwasa","given":"Takeshi","non-dropping-particle":"","parse-names":false,"suffix":""},{"dropping-particle":"","family":"Legan","given":"Sandra J.","non-dropping-particle":"","parse-names":false,"suffix":""},{"dropping-particle":"","family":"Mikkelsen","given":"Jens D.","non-dropping-particle":"","parse-names":false,"suffix":""},{"dropping-particle":"","family":"Tsutsui","given":"Kazuyoshi","non-dropping-particle":"","parse-names":false,"suffix":""},{"dropping-particle":"","family":"Kriegsfeld","given":"Lance J.","non-dropping-particle":"","parse-names":false,"suffix":""}],"container-title":"Hormones and Behavior","id":"ITEM-3","issue":"3","issued":{"date-parts":[["2013"]]},"page":"501-510","publisher":"Elsevier B.V.","title":"Gonadotropin-inhibitory hormone reduces sexual motivation but not lordosis behavior in female Syrian hamsters (Mesocricetus auratus)","type":"article-journal","volume":"64"},"uris":["http://www.mendeley.com/documents/?uuid=12fcf796-84c8-4ded-8464-e2d39f52b0ad"]}],"mendeley":{"formattedCitation":"(Bentley, 2006; Piekarski et al., 2013; Ubuka et al., 2012)","plainTextFormattedCitation":"(Bentley, 2006; Piekarski et al., 2013; Ubuka et al., 2012)","previouslyFormattedCitation":"(Bentley, 2006; Piekarski et al., 2013; Ubuka et al., 2012)"},"properties":{"noteIndex":0},"schema":"https://github.com/citation-style-language/schema/raw/master/csl-citation.json"}</w:instrText>
      </w:r>
      <w:r w:rsidR="00882165">
        <w:rPr>
          <w:lang w:val="en-GB"/>
        </w:rPr>
        <w:fldChar w:fldCharType="separate"/>
      </w:r>
      <w:r w:rsidR="00882165" w:rsidRPr="00882165">
        <w:rPr>
          <w:noProof/>
          <w:lang w:val="en-GB"/>
        </w:rPr>
        <w:t>(Bentley, 2006; Piekarski et al., 2013; Ubuka et al., 2012)</w:t>
      </w:r>
      <w:r w:rsidR="00882165">
        <w:rPr>
          <w:lang w:val="en-GB"/>
        </w:rPr>
        <w:fldChar w:fldCharType="end"/>
      </w:r>
      <w:r w:rsidR="00882165">
        <w:rPr>
          <w:lang w:val="en-GB"/>
        </w:rPr>
        <w:t xml:space="preserve">. </w:t>
      </w:r>
      <w:r w:rsidR="00770413" w:rsidRPr="00770413">
        <w:rPr>
          <w:lang w:val="en-GB"/>
        </w:rPr>
        <w:t>Therefore, both new methods of administration of this hormone in animals and the study of its encapsulation or impregnation are of great interest.</w:t>
      </w:r>
      <w:r w:rsidR="00770413">
        <w:rPr>
          <w:lang w:val="en-GB"/>
        </w:rPr>
        <w:t xml:space="preserve"> </w:t>
      </w:r>
    </w:p>
    <w:p w14:paraId="75E41C11" w14:textId="77777777" w:rsidR="00876F0F" w:rsidRDefault="00876F0F" w:rsidP="00774368">
      <w:pPr>
        <w:pStyle w:val="CETBodytext"/>
        <w:rPr>
          <w:lang w:val="en-GB"/>
        </w:rPr>
      </w:pPr>
    </w:p>
    <w:p w14:paraId="6027F71C" w14:textId="0C031810" w:rsidR="0013305A" w:rsidRDefault="00770413" w:rsidP="00973796">
      <w:pPr>
        <w:pStyle w:val="CETBodytext"/>
        <w:rPr>
          <w:lang w:val="en-GB"/>
        </w:rPr>
      </w:pPr>
      <w:r w:rsidRPr="00770413">
        <w:rPr>
          <w:lang w:val="en-GB"/>
        </w:rPr>
        <w:t>Supercritical fluid technology is presented as a clean and innovative technology with the capacity to provide solutions for the incorporation of active ingredients in the diet, encapsulating and impregnating them in the animal feed.</w:t>
      </w:r>
      <w:r>
        <w:rPr>
          <w:lang w:val="en-GB"/>
        </w:rPr>
        <w:t xml:space="preserve"> </w:t>
      </w:r>
      <w:r w:rsidR="008D18CA" w:rsidRPr="008D18CA">
        <w:rPr>
          <w:lang w:val="en-GB"/>
        </w:rPr>
        <w:t>Among the supercritical fluids, CO</w:t>
      </w:r>
      <w:r w:rsidR="008D18CA" w:rsidRPr="008D18CA">
        <w:rPr>
          <w:vertAlign w:val="subscript"/>
          <w:lang w:val="en-GB"/>
        </w:rPr>
        <w:t>2</w:t>
      </w:r>
      <w:r w:rsidR="008D18CA" w:rsidRPr="008D18CA">
        <w:rPr>
          <w:lang w:val="en-GB"/>
        </w:rPr>
        <w:t xml:space="preserve"> is the most widely used in general. Compared to other supercritical fluids, scCO</w:t>
      </w:r>
      <w:r w:rsidR="008D18CA" w:rsidRPr="008D18CA">
        <w:rPr>
          <w:vertAlign w:val="subscript"/>
          <w:lang w:val="en-GB"/>
        </w:rPr>
        <w:t>2</w:t>
      </w:r>
      <w:r w:rsidR="008D18CA" w:rsidRPr="008D18CA">
        <w:rPr>
          <w:lang w:val="en-GB"/>
        </w:rPr>
        <w:t xml:space="preserve"> has a low critical temperature (Tc) and pressure (Pc), 31.1 ºC and 7.3 MPa, respectively. It is a non-toxic, inert and non-flammable compound, so many of its uses in industry are considered "green </w:t>
      </w:r>
      <w:r w:rsidR="008D18CA" w:rsidRPr="007B12A4">
        <w:rPr>
          <w:lang w:val="en-GB"/>
        </w:rPr>
        <w:t>technologies"</w:t>
      </w:r>
      <w:r w:rsidR="007B12A4">
        <w:rPr>
          <w:lang w:val="en-GB"/>
        </w:rPr>
        <w:t xml:space="preserve">. </w:t>
      </w:r>
      <w:r w:rsidR="007B12A4" w:rsidRPr="007B12A4">
        <w:rPr>
          <w:lang w:val="en-GB"/>
        </w:rPr>
        <w:t>Nanoparticles obtained by the SAS process are usually produced by working at low temperatures (in the range of 35-50 ºC), which is key to be able to work with thermolabile compounds such as those present in many natural extracts, and pressures equal to or mostly above 9</w:t>
      </w:r>
      <w:r w:rsidR="007B12A4">
        <w:rPr>
          <w:lang w:val="en-GB"/>
        </w:rPr>
        <w:t>0 bar</w:t>
      </w:r>
      <w:r w:rsidR="007B12A4" w:rsidRPr="007B12A4">
        <w:rPr>
          <w:lang w:val="en-GB"/>
        </w:rPr>
        <w:t>.</w:t>
      </w:r>
      <w:r w:rsidR="008D18CA" w:rsidRPr="007B12A4">
        <w:rPr>
          <w:lang w:val="en-GB"/>
        </w:rPr>
        <w:t xml:space="preserve"> </w:t>
      </w:r>
      <w:r w:rsidR="008D18CA" w:rsidRPr="007B12A4">
        <w:rPr>
          <w:lang w:val="en-GB"/>
        </w:rPr>
        <w:fldChar w:fldCharType="begin" w:fldLock="1"/>
      </w:r>
      <w:r w:rsidR="00937AD7">
        <w:rPr>
          <w:lang w:val="en-GB"/>
        </w:rPr>
        <w:instrText>ADDIN CSL_CITATION {"citationItems":[{"id":"ITEM-1","itemData":{"DOI":"10.1016/j.supflu.2010.05.013","ISSN":"08968446","abstract":"The functionalization of bioactive principles is a relevant issue as it allows increasing their stability, to raise the hydrophilic properties of hydrophobic materials, to reduce the absorption from macrophages and the proteolytic degradation. For this reason, we have functionalized a model protein (Ribonuclease A) with polyethylene glycol (PEG5000). We have investigated the production of lipid/PEG particles incorporating this active principle by a supercritical fluid technology (particles from gas saturated solution, PGSS) to obtain solid micro- and nanoparticles. Runs were carried out to study the process conditions; thus, the effects of the operative variables, such as temperature, pressure and organic solvent, were optimized to obtain micrometric particles. The particles produced were characterized by static light scattering (SLS) to determine their mean and distribution size. The better operative conditions were employed to produce microparticles incorporating Ribonuclease A (RNAse) as both native and PEGylated form. The BCA test was applied to determine the maximum amount of protein incorporated in the particles and the in vitro release. The retained enzymatic activity of proteins after the PEGylation and after the micronization process was also determined by spectrophotometric evaluation. © 2010 Elsevier B.V.","author":[{"dropping-particle":"","family":"Vezzú","given":"Keti","non-dropping-particle":"","parse-names":false,"suffix":""},{"dropping-particle":"","family":"Borin","given":"Daniele","non-dropping-particle":"","parse-names":false,"suffix":""},{"dropping-particle":"","family":"Bertucco","given":"Alberto","non-dropping-particle":"","parse-names":false,"suffix":""},{"dropping-particle":"","family":"Bersani","given":"Sara","non-dropping-particle":"","parse-names":false,"suffix":""},{"dropping-particle":"","family":"Salmaso","given":"Stefano","non-dropping-particle":"","parse-names":false,"suffix":""},{"dropping-particle":"","family":"Caliceti","given":"Paolo","non-dropping-particle":"","parse-names":false,"suffix":""}],"container-title":"Journal of Supercritical Fluids","id":"ITEM-1","issue":"3","issued":{"date-parts":[["2010"]]},"page":"328-334","title":"Production of lipid microparticles containing bioactive molecules functionalized with PEG","type":"article-journal","volume":"54"},"uris":["http://www.mendeley.com/documents/?uuid=b702650f-8b3a-47ff-85df-79c23db460a9"]},{"id":"ITEM-2","itemData":{"DOI":"10.3390/app11041476","ISBN":"3908996406","ISSN":"20763417","abstract":"Many active ingredients currently prescribed show limited therapeutic efficacy, mainly due to their dissolution rate inadequate to treat the pathology of interest. A large drug particle size creates an additional problem if a specific site of action in the human body has to be reached. For this reason, active ingredient size reduction using micronization/nanonization techniques is a valid approach to improve the efficacy of active compounds. Supercritical carbon-dioxide-assisted technologies enable the production of different morphologies of different sizes, including nanoparticles and nanocrystals, by modulating operating conditions. Supercritical fluid-based processes have numerous advantages over techniques conventionally employed to produce nanosized particles or crystals, such as reduced use of toxic solvents, which are completely removed from the final product, ensuring safety for patients. Active compounds can be processed alone by supercritical techniques, although polymeric carriers are often added as stabilizers, to control the drug release on the basis of the desired therapeutic effect, as well as to improve drug processability with the chosen technology. This updated review on the application of supercritical micronization/nanonization techniques in the pharmaceutical field aims at highlighting the most effective current results, operating conditions, advantages, and limitations, providing future perspectives.","author":[{"dropping-particle":"","family":"Franco","given":"Paola","non-dropping-particle":"","parse-names":false,"suffix":""},{"dropping-particle":"","family":"Marco","given":"Iolanda","non-dropping-particle":"De","parse-names":false,"suffix":""}],"container-title":"Applied Sciences (Switzerland)","id":"ITEM-2","issue":"4","issued":{"date-parts":[["2021"]]},"page":"1-27","title":"Nanoparticles and nanocrystals by supercritical CO2-assisted techniques for pharmaceutical applications: A review","type":"article-journal","volume":"11"},"uris":["http://www.mendeley.com/documents/?uuid=6a2299fb-e2d9-4db1-88eb-9d801e55859f"]},{"id":"ITEM-3","itemData":{"DOI":"10.1016/S1001-0742(08)62330-X","ISSN":"10010742","PMID":"19803072","abstract":"Environmentally benign carbon dioxide offers significant potential in its supercritical fluid phase to replace current reliance on a range of hazardous, relatively expensive and environmentally damaging organic solvents that are used on an extensive global basis. The unique combination of the physical properties of supercritical fluids are being exploited and further researched to continue the development and establishment of high efficiency, compact plant to provide energy and water efficient manufacturing processes. This mini-review is focused on the use and potential applications of supercritical fluid carbon dioxide for a selected range of key and emerging industrial processes as a sustainable alternative to totally eliminate or greatly reduce the requirement of numerous conventional organic solvents. Examples of the industries include: chemical extraction and purification, synthetic chemical reactions including polymerization and inorganic catalytic processes. Biochemical reactions involving enzymes, particle size engineering, textile dyeing and advanced material manufacture provide further illustrations of vital industrial activities where supercritical fluid technology processes are being implemented or developed. Some aspects relating to the economics of sustainable supercritical fluid carbon dioxide processes are also considered. © 2009 The Research Centre for Eco-Environmental Sciences, Chinese Academy of Sciences.","author":[{"dropping-particle":"","family":"RAMSEY","given":"Edward","non-dropping-particle":"","parse-names":false,"suffix":""},{"dropping-particle":"","family":"SUN","given":"Qiubai","non-dropping-particle":"","parse-names":false,"suffix":""},{"dropping-particle":"","family":"ZHANG","given":"Zhiqiang","non-dropping-particle":"","parse-names":false,"suffix":""},{"dropping-particle":"","family":"ZHANG","given":"Chongmin","non-dropping-particle":"","parse-names":false,"suffix":""},{"dropping-particle":"","family":"GOU","given":"Wei","non-dropping-particle":"","parse-names":false,"suffix":""}],"container-title":"Journal of Environmental Sciences","id":"ITEM-3","issue":"6","issued":{"date-parts":[["2009"]]},"page":"720-726","publisher":"The Research Centre for Eco-Environmental Sciences, Chinese Academy of Sciences","title":"Mini-Review: Green sustainable processes using supercritical fluid carbon dioxide","type":"article-journal","volume":"21"},"uris":["http://www.mendeley.com/documents/?uuid=3582e75a-c612-4d23-a497-c4bbf03619c2"]}],"mendeley":{"formattedCitation":"(Franco &amp; De Marco, 2021; RAMSEY et al., 2009; Vezzú et al., 2010)","manualFormatting":"(Franco &amp; De Marco, 2021; Ramsey et al., 2009; Vezzú et al., 2010)","plainTextFormattedCitation":"(Franco &amp; De Marco, 2021; RAMSEY et al., 2009; Vezzú et al., 2010)","previouslyFormattedCitation":"(Franco &amp; De Marco, 2021; RAMSEY et al., 2009; Vezzú et al., 2010)"},"properties":{"noteIndex":0},"schema":"https://github.com/citation-style-language/schema/raw/master/csl-citation.json"}</w:instrText>
      </w:r>
      <w:r w:rsidR="008D18CA" w:rsidRPr="007B12A4">
        <w:rPr>
          <w:lang w:val="en-GB"/>
        </w:rPr>
        <w:fldChar w:fldCharType="separate"/>
      </w:r>
      <w:r w:rsidR="007B12A4" w:rsidRPr="007B12A4">
        <w:rPr>
          <w:noProof/>
          <w:lang w:val="en-GB"/>
        </w:rPr>
        <w:t xml:space="preserve">(Franco </w:t>
      </w:r>
      <w:r w:rsidR="00937AD7">
        <w:rPr>
          <w:noProof/>
          <w:lang w:val="en-GB"/>
        </w:rPr>
        <w:t>and</w:t>
      </w:r>
      <w:r w:rsidR="007B12A4" w:rsidRPr="007B12A4">
        <w:rPr>
          <w:noProof/>
          <w:lang w:val="en-GB"/>
        </w:rPr>
        <w:t xml:space="preserve"> De Marco, </w:t>
      </w:r>
      <w:r w:rsidR="007B12A4" w:rsidRPr="007B12A4">
        <w:rPr>
          <w:noProof/>
          <w:lang w:val="en-GB"/>
        </w:rPr>
        <w:lastRenderedPageBreak/>
        <w:t xml:space="preserve">2021; </w:t>
      </w:r>
      <w:r w:rsidR="00937AD7">
        <w:rPr>
          <w:noProof/>
          <w:lang w:val="en-GB"/>
        </w:rPr>
        <w:t>Ramsey</w:t>
      </w:r>
      <w:r w:rsidR="007B12A4" w:rsidRPr="007B12A4">
        <w:rPr>
          <w:noProof/>
          <w:lang w:val="en-GB"/>
        </w:rPr>
        <w:t xml:space="preserve"> et al., 2009; Vezzú et al., 2010)</w:t>
      </w:r>
      <w:r w:rsidR="008D18CA" w:rsidRPr="007B12A4">
        <w:rPr>
          <w:lang w:val="en-GB"/>
        </w:rPr>
        <w:fldChar w:fldCharType="end"/>
      </w:r>
      <w:r w:rsidR="008D18CA" w:rsidRPr="007B12A4">
        <w:rPr>
          <w:lang w:val="en-GB"/>
        </w:rPr>
        <w:t>.</w:t>
      </w:r>
      <w:r w:rsidR="008D18CA" w:rsidRPr="008D18CA">
        <w:rPr>
          <w:lang w:val="en-GB"/>
        </w:rPr>
        <w:t xml:space="preserve"> </w:t>
      </w:r>
      <w:r w:rsidR="00B92772" w:rsidRPr="00B92772">
        <w:rPr>
          <w:lang w:val="en-GB"/>
        </w:rPr>
        <w:t xml:space="preserve">The </w:t>
      </w:r>
      <w:r w:rsidR="0013305A" w:rsidRPr="0013305A">
        <w:rPr>
          <w:lang w:val="en-GB"/>
        </w:rPr>
        <w:t xml:space="preserve">supercritical antisolvent </w:t>
      </w:r>
      <w:r w:rsidR="0013305A">
        <w:rPr>
          <w:lang w:val="en-GB"/>
        </w:rPr>
        <w:t>(SAS)</w:t>
      </w:r>
      <w:r w:rsidR="00B92772" w:rsidRPr="00B92772">
        <w:rPr>
          <w:lang w:val="en-GB"/>
        </w:rPr>
        <w:t xml:space="preserve"> technique is proving to be a promising technology in the field of compound precipitation, given the possibility of generating particles with a controlled particle size and homogeneous size distribution. If it is also desired to protect or carry the active ingredient, it can be coated with a biodegradable polymer, which gives the active ingredient specific and controllable surface, physical, chemical and biochemical properties, allowing the fluid dynamics, dissolution rate, dispersibility, chemical reactivity, </w:t>
      </w:r>
      <w:proofErr w:type="spellStart"/>
      <w:r w:rsidR="00B92772" w:rsidRPr="00B92772">
        <w:rPr>
          <w:lang w:val="en-GB"/>
        </w:rPr>
        <w:t>bioefficacy</w:t>
      </w:r>
      <w:proofErr w:type="spellEnd"/>
      <w:r w:rsidR="00B92772" w:rsidRPr="00B92772">
        <w:rPr>
          <w:lang w:val="en-GB"/>
        </w:rPr>
        <w:t xml:space="preserve"> and hydrophilic character of the particles to be modified, depending on the desired use</w:t>
      </w:r>
      <w:r w:rsidR="001854FA">
        <w:rPr>
          <w:lang w:val="en-GB"/>
        </w:rPr>
        <w:t xml:space="preserve"> </w:t>
      </w:r>
      <w:r w:rsidR="001854FA">
        <w:rPr>
          <w:lang w:val="en-GB"/>
        </w:rPr>
        <w:fldChar w:fldCharType="begin" w:fldLock="1"/>
      </w:r>
      <w:r w:rsidR="00F6750F">
        <w:rPr>
          <w:lang w:val="en-GB"/>
        </w:rPr>
        <w:instrText>ADDIN CSL_CITATION {"citationItems":[{"id":"ITEM-1","itemData":{"DOI":"10.1016/j.cherd.2021.06.007","ISSN":"02638762","abstract":"A critical analysis of the major steps involved in the cellulose acetate industrial process is performed, with the aim of proposing possible improvements using supercritical CO2 based sub-processes. Once highlighted the main weakness of the traditional process, related to the (i) fine modulation of the acetylation reaction to obtain 2.5 acetate, (ii) acetic acid removal from the acetic dope, and (iii) treatment of the diluted acetic acid–water solution, the most attractive alternative resulted the adoption of a supercritical antisolvent extraction (SAE) performed on the acetic dope. Operating in this way, the problems related to the use of large quantities of water to remove acetic acid from the acetic dope are resolved, since it will be directly extracted by supercritical CO2. Micro- and nanoparticles, or filaments, of cellulose acetate can be produced. Finally, an acetic acid residue of 23 ppm, in the supercritical CO2 treated cellulose acetate, confirmed the success of this alternative process configuration.","author":[{"dropping-particle":"","family":"Baldino","given":"Lucia","non-dropping-particle":"","parse-names":false,"suffix":""},{"dropping-particle":"","family":"Reverchon","given":"Ernesto","non-dropping-particle":"","parse-names":false,"suffix":""}],"container-title":"Chemical Engineering Research and Design","id":"ITEM-1","issued":{"date-parts":[["2021"]]},"page":"127-134","publisher":"Institution of Chemical Engineers","title":"Supercritical CO2 assisted strategy for acetic acid elimination from industrial cellulose acetate–water mixtures","type":"article-journal","volume":"172"},"uris":["http://www.mendeley.com/documents/?uuid=f297b267-1797-440f-b4ac-7629d7059ddd"]},{"id":"ITEM-2","itemData":{"DOI":"10.3303/CET1543128","ISBN":"9788895608341","ISSN":"22839216","abstract":"The supercritical antisolvent process (SAS) has been frequently used to obtain microparticles and nanoparticles. The fluid dynamics of the process related to the study of the liquid jet in contact with supercritical carbon dioxide (scCO2) is characterized by a one-phase mixing at supercritical conditions and a two-phase mixing at subcritical conditions. The transition between the two kinds of mixing can be measured in terms of amplitude of the corresponding pressure range; some organic solvents, like dimethylsulfoxide (DMSO) are characterized by a wide pressure range, other solvents, like acetone (AC), by a narrow pressure range. Generally, microparticles are precipitated by atomization, droplets formation and drying in the transition range, whereas nanoparticles are precipitated in correspondence of completely developed supercritical conditions. Mixing a wide-transition solvent, like DMSO, to a narrow-transition solvent, like acetone, the pressure range of the transition from one-phase mixing to two-phase mixing and, accordingly, the morphology of the precipitates will change. In this work, two model compounds were SAS processed from DMSO/AC mixtures: cellulose acetate, which is slightly soluble in DMSO and freely soluble in acetone with the aim of obtaining microparticles and polyvinylpyrrolidone (PVP) that is slightly soluble in acetone and freely soluble in DMSO in order to obtain nanoparticles. In the case of cellulose acetate, well-defined microparticles with a mean diameter of 0.42 μm were obtained, whereas, for PVP, nanoparticles with a mean diameter of 114 nm were precipitated, demonstrating that this SAS strategy is successful.","author":[{"dropping-particle":"","family":"Prosapio","given":"Valentina","non-dropping-particle":"","parse-names":false,"suffix":""},{"dropping-particle":"","family":"Reverchon","given":"Ernesto","non-dropping-particle":"","parse-names":false,"suffix":""},{"dropping-particle":"","family":"Marco","given":"Iolanda","non-dropping-particle":"De","parse-names":false,"suffix":""}],"container-title":"Chemical Engineering Transactions","id":"ITEM-2","issue":"2003","issued":{"date-parts":[["2015"]]},"page":"763-768","title":"Control of powders morphology in the supercritical antisolvent technique using solvent mixtures","type":"article-journal","volume":"43"},"uris":["http://www.mendeley.com/documents/?uuid=e5594461-e37d-453a-a9a1-2fdfeda1664e"]}],"mendeley":{"formattedCitation":"(Baldino &amp; Reverchon, 2021; Prosapio, Reverchon, et al., 2015)","manualFormatting":"(Baldino and Reverchon, 2021; Prosapio et al., 2015)","plainTextFormattedCitation":"(Baldino &amp; Reverchon, 2021; Prosapio, Reverchon, et al., 2015)","previouslyFormattedCitation":"(Baldino &amp; Reverchon, 2021)"},"properties":{"noteIndex":0},"schema":"https://github.com/citation-style-language/schema/raw/master/csl-citation.json"}</w:instrText>
      </w:r>
      <w:r w:rsidR="001854FA">
        <w:rPr>
          <w:lang w:val="en-GB"/>
        </w:rPr>
        <w:fldChar w:fldCharType="separate"/>
      </w:r>
      <w:r w:rsidR="001854FA" w:rsidRPr="001854FA">
        <w:rPr>
          <w:noProof/>
          <w:lang w:val="en-GB"/>
        </w:rPr>
        <w:t xml:space="preserve">(Baldino </w:t>
      </w:r>
      <w:r w:rsidR="00937AD7">
        <w:rPr>
          <w:noProof/>
          <w:lang w:val="en-GB"/>
        </w:rPr>
        <w:t>and</w:t>
      </w:r>
      <w:r w:rsidR="001854FA" w:rsidRPr="001854FA">
        <w:rPr>
          <w:noProof/>
          <w:lang w:val="en-GB"/>
        </w:rPr>
        <w:t xml:space="preserve"> Reverchon, 2021; Prosapio et al., 2015)</w:t>
      </w:r>
      <w:r w:rsidR="001854FA">
        <w:rPr>
          <w:lang w:val="en-GB"/>
        </w:rPr>
        <w:fldChar w:fldCharType="end"/>
      </w:r>
      <w:r w:rsidR="00B92772" w:rsidRPr="00B92772">
        <w:rPr>
          <w:lang w:val="en-GB"/>
        </w:rPr>
        <w:t>.</w:t>
      </w:r>
    </w:p>
    <w:p w14:paraId="0FEE0C27" w14:textId="77777777" w:rsidR="00AC0CE0" w:rsidRDefault="00AC0CE0" w:rsidP="00973796">
      <w:pPr>
        <w:pStyle w:val="CETBodytext"/>
        <w:rPr>
          <w:lang w:val="en-GB"/>
        </w:rPr>
      </w:pPr>
    </w:p>
    <w:p w14:paraId="212D79E1" w14:textId="7BDC14F0" w:rsidR="00973796" w:rsidRDefault="00876F0F" w:rsidP="00973796">
      <w:pPr>
        <w:pStyle w:val="CETBodytext"/>
        <w:rPr>
          <w:lang w:val="en-GB"/>
        </w:rPr>
      </w:pPr>
      <w:r w:rsidRPr="00876F0F">
        <w:rPr>
          <w:lang w:val="en-GB"/>
        </w:rPr>
        <w:t>In this regard, there are numerous works in the literature on the encapsulation of active ingredients with biodegradable polymers, with a particle size in the order of microns or nanometres.</w:t>
      </w:r>
      <w:r>
        <w:rPr>
          <w:lang w:val="en-GB"/>
        </w:rPr>
        <w:t xml:space="preserve"> </w:t>
      </w:r>
      <w:r w:rsidR="006B6E7F" w:rsidRPr="006B6E7F">
        <w:rPr>
          <w:lang w:val="en-GB"/>
        </w:rPr>
        <w:t>Several studies have been carried out using supercritical fluids</w:t>
      </w:r>
      <w:r w:rsidR="006B6E7F">
        <w:rPr>
          <w:lang w:val="en-GB"/>
        </w:rPr>
        <w:t>,</w:t>
      </w:r>
      <w:r w:rsidR="006B6E7F" w:rsidRPr="006B6E7F">
        <w:t xml:space="preserve"> </w:t>
      </w:r>
      <w:r w:rsidR="006B6E7F" w:rsidRPr="006B6E7F">
        <w:rPr>
          <w:lang w:val="en-GB"/>
        </w:rPr>
        <w:t>more specifically with the supercritical antisolvent process (SAS) technique</w:t>
      </w:r>
      <w:r w:rsidR="006B6E7F">
        <w:rPr>
          <w:lang w:val="en-GB"/>
        </w:rPr>
        <w:t>,</w:t>
      </w:r>
      <w:r w:rsidR="00973796">
        <w:rPr>
          <w:lang w:val="en-GB"/>
        </w:rPr>
        <w:t xml:space="preserve"> </w:t>
      </w:r>
      <w:r w:rsidR="00973796" w:rsidRPr="00973796">
        <w:rPr>
          <w:lang w:val="en-GB"/>
        </w:rPr>
        <w:t>which has</w:t>
      </w:r>
      <w:r w:rsidR="00973796">
        <w:rPr>
          <w:lang w:val="en-GB"/>
        </w:rPr>
        <w:t xml:space="preserve"> </w:t>
      </w:r>
      <w:r w:rsidR="00973796">
        <w:t xml:space="preserve">the ability to encapsulate thermosensitive substances by choosing the appropriate antisolvent; the feasibility of adapting the technique for continuous operation and, therefore, its favorability for large-scale production of encapsulated systems. </w:t>
      </w:r>
      <w:r w:rsidR="00973796" w:rsidRPr="00973796">
        <w:t>Examples include</w:t>
      </w:r>
      <w:r w:rsidR="006B6E7F" w:rsidRPr="006B6E7F">
        <w:rPr>
          <w:lang w:val="en-GB"/>
        </w:rPr>
        <w:t xml:space="preserve"> the encapsulation of food compounds such as</w:t>
      </w:r>
      <w:r w:rsidR="006B6E7F">
        <w:rPr>
          <w:lang w:val="en-GB"/>
        </w:rPr>
        <w:t xml:space="preserve"> </w:t>
      </w:r>
      <w:r w:rsidR="00171EC4" w:rsidRPr="00171EC4">
        <w:rPr>
          <w:lang w:val="en-GB"/>
        </w:rPr>
        <w:t>β-carotene</w:t>
      </w:r>
      <w:r w:rsidR="00171EC4">
        <w:rPr>
          <w:lang w:val="en-GB"/>
        </w:rPr>
        <w:t xml:space="preserve"> or </w:t>
      </w:r>
      <w:r w:rsidR="00171EC4">
        <w:t xml:space="preserve">quercetin </w:t>
      </w:r>
      <w:r w:rsidR="00171EC4">
        <w:fldChar w:fldCharType="begin" w:fldLock="1"/>
      </w:r>
      <w:r w:rsidR="008E30B3">
        <w:instrText>ADDIN CSL_CITATION {"citationItems":[{"id":"ITEM-1","itemData":{"DOI":"10.1016/j.supflu.2006.08.009","ISSN":"08968446","abstract":"Carotenoids are widely used as natural colorants in food or pharmaceutical industries. In some industrial formulations, these carotenoids are mixed with bio-polymers, to improve the stability of the carotenoid, its dissolution rate in water, and to make the dosage and the handling of the product easier. The supercritical anti-solvent (SAS) process is specially suitable for the production of fine powders of these mixtures, as it yields solvent-free products with a reduced thermal degradation or oxidation of the carotenoids. In this work, the application of the SAS process to the precipitation of β-carotene or lutein with poly-ethylene glycol (PEG) has been studied. The influence of different process parameters, including the operating pressure and temperature, the polymer/carotenoid concentration ratio, and the CO2 flowrate have been studied experimentally. Additionally, a phase equilibrium model of these systems based in the perturbed hard-sphere-chain equation of state (PHSC EoS) has been developed. This model is helpful for the analysis of the experimental results. In particular, this model predicts the apparition of a liquid-liquid immiscibility region at moderate temperatures due to the co-solvent effect of CO2 on PEG. This explains the difficulties found in the precipitation experiments performed at these conditions. The existence of this phase behavior has been corroborated by performing batch gas anti-solvent (GAS) precipitation experiments in a windowed vessel. © 2005 Elsevier B.V. All rights reserved.","author":[{"dropping-particle":"","family":"Martín","given":"A.","non-dropping-particle":"","parse-names":false,"suffix":""},{"dropping-particle":"","family":"Mattea","given":"F.","non-dropping-particle":"","parse-names":false,"suffix":""},{"dropping-particle":"","family":"Gutiérrez","given":"L.","non-dropping-particle":"","parse-names":false,"suffix":""},{"dropping-particle":"","family":"Miguel","given":"F.","non-dropping-particle":"","parse-names":false,"suffix":""},{"dropping-particle":"","family":"Cocero","given":"M. J.","non-dropping-particle":"","parse-names":false,"suffix":""}],"container-title":"Journal of Supercritical Fluids","id":"ITEM-1","issue":"1","issued":{"date-parts":[["2007"]]},"page":"138-147","title":"Co-precipitation of carotenoids and bio-polymers with the supercritical anti-solvent process","type":"article-journal","volume":"41"},"uris":["http://www.mendeley.com/documents/?uuid=1fcdb9c5-9d8e-417d-921a-78257c872900"]},{"id":"ITEM-2","itemData":{"DOI":"10.1021/ie5001136","ISSN":"15205045","abstract":"The promising applications of quercetin as a functional additive in food and pharmaceutical products are hindered by the low bioavailability of this compound. The formulation of quercetin by encapsulation in a surfactant polymer capable of forming micelles in aqueous media can help improve the dissolution of quercetin in water and thus facilitate the assimilation of this compound by organisms. In this work, quercetin was encapsulated in Pluronic F127 poloxamers by the supercritical antisolvent (SAS) technique. The structure and morphology of the product were characterized by SEM, DSC, XRD, and FTIR spectroscopy. The results indicated that, through SAS processing, a significant reduction in particle size was achieved. With appropriate polymer/active compound mass ratios, quercetin was homogeneously dispersed in an amorphous polymer matrix, and no segregated crystalline particles of quercetin were observed. These structural and morphological variations enabled an improved dissolution behavior of quercetin in simulated gastric and intestinal fluids. © 2014 American Chemical Society.","author":[{"dropping-particle":"","family":"Fraile","given":"Marta","non-dropping-particle":"","parse-names":false,"suffix":""},{"dropping-particle":"","family":"Buratto","given":"Rafaella","non-dropping-particle":"","parse-names":false,"suffix":""},{"dropping-particle":"","family":"Gómez","given":"Beatriz","non-dropping-particle":"","parse-names":false,"suffix":""},{"dropping-particle":"","family":"Martín","given":"Ángel","non-dropping-particle":"","parse-names":false,"suffix":""},{"dropping-particle":"","family":"Cocero","given":"María José","non-dropping-particle":"","parse-names":false,"suffix":""}],"container-title":"Industrial and Engineering Chemistry Research","id":"ITEM-2","issue":"11","issued":{"date-parts":[["2014"]]},"page":"4318-4327","title":"Enhanced delivery of quercetin by encapsulation in poloxamers by supercritical antisolvent process","type":"article-journal","volume":"53"},"uris":["http://www.mendeley.com/documents/?uuid=239621e1-c7fe-47c5-9220-ccaf66e8c44a"]}],"mendeley":{"formattedCitation":"(Fraile et al., 2014; Martín et al., 2007)","plainTextFormattedCitation":"(Fraile et al., 2014; Martín et al., 2007)","previouslyFormattedCitation":"(Fraile et al., 2014; Martín et al., 2007)"},"properties":{"noteIndex":0},"schema":"https://github.com/citation-style-language/schema/raw/master/csl-citation.json"}</w:instrText>
      </w:r>
      <w:r w:rsidR="00171EC4">
        <w:fldChar w:fldCharType="separate"/>
      </w:r>
      <w:r w:rsidR="00641411" w:rsidRPr="00641411">
        <w:rPr>
          <w:noProof/>
        </w:rPr>
        <w:t>(Fraile et al., 2014; Martín et al., 2007)</w:t>
      </w:r>
      <w:r w:rsidR="00171EC4">
        <w:fldChar w:fldCharType="end"/>
      </w:r>
      <w:r w:rsidR="00171EC4">
        <w:t xml:space="preserve"> among others, </w:t>
      </w:r>
      <w:r w:rsidR="00FB298F" w:rsidRPr="00FB298F">
        <w:t>or the development of drug-polymer delivery systems such as</w:t>
      </w:r>
      <w:r w:rsidR="00FB298F">
        <w:t xml:space="preserve"> </w:t>
      </w:r>
      <w:r w:rsidR="00FB298F" w:rsidRPr="00FB298F">
        <w:t>paclitaxel</w:t>
      </w:r>
      <w:r w:rsidR="00FB298F">
        <w:t xml:space="preserve"> </w:t>
      </w:r>
      <w:r w:rsidR="00FB298F">
        <w:fldChar w:fldCharType="begin" w:fldLock="1"/>
      </w:r>
      <w:r w:rsidR="008E30B3">
        <w:instrText>ADDIN CSL_CITATION {"citationItems":[{"id":"ITEM-1","itemData":{"DOI":"10.1016/j.jconrel.2007.10.002","ISSN":"01683659","PMID":"18054107","abstract":"Paclitaxel and poly (l-Lactic acid) (PLA) were co-precipitated to form micro and submicron particles in a manner similar to that used in the supercritical antisolvent with enhanced mass transfer (SAS-EM) process. As compared with conventional processes, a major advantage of supercritical CO2 as an antisolvent in the SAS-EM process is the effective removal of residual organic solvents. In this work, the organic phase was sprayed into supercritical CO2 (for CO2, Tc = 31.1 °C, Pc = 73.8 bar) from a 500 μm ID capillary nozzle. Ultrasonic vibration with an amplitude of 0 to 120 μm (from a 3/8″ tip diameter titanium probe) was employed in the high pressure vessel during the antisolvent process to provide enhanced mixing between the solvent and antisolvent phases. The role and effects of ultrasonication on the properties of the resulting particles were studied. When no ultrasonication was applied, micrometer-sized particles were obtained. When ultrasonication was applied, more uniform particles in the submicron size range were obtained. The size of the particles was found to vary with the ultrasonic vibration amplitude. Encapsulation efficiencies up to 83.5% and controlled release of paclitaxel for more than 30 days were achieved with the particles fabricated in this study. © 2007 Elsevier B.V. All rights reserved.","author":[{"dropping-particle":"","family":"Lee","given":"Lai Yeng","non-dropping-particle":"","parse-names":false,"suffix":""},{"dropping-particle":"","family":"Wang","given":"Chi Hwa","non-dropping-particle":"","parse-names":false,"suffix":""},{"dropping-particle":"","family":"Smith","given":"Kenneth A.","non-dropping-particle":"","parse-names":false,"suffix":""}],"container-title":"Journal of Controlled Release","id":"ITEM-1","issue":"2","issued":{"date-parts":[["2008"]]},"page":"96-106","title":"Supercritical antisolvent production of biodegradable micro- and nanoparticles for controlled delivery of paclitaxel","type":"article-journal","volume":"125"},"uris":["http://www.mendeley.com/documents/?uuid=3ca98912-3254-4a59-8fe1-b91196930e75"]}],"mendeley":{"formattedCitation":"(Lee et al., 2008)","plainTextFormattedCitation":"(Lee et al., 2008)","previouslyFormattedCitation":"(Lee et al., 2008)"},"properties":{"noteIndex":0},"schema":"https://github.com/citation-style-language/schema/raw/master/csl-citation.json"}</w:instrText>
      </w:r>
      <w:r w:rsidR="00FB298F">
        <w:fldChar w:fldCharType="separate"/>
      </w:r>
      <w:r w:rsidR="00641411" w:rsidRPr="00641411">
        <w:rPr>
          <w:noProof/>
        </w:rPr>
        <w:t>(Lee et al., 2008)</w:t>
      </w:r>
      <w:r w:rsidR="00FB298F">
        <w:fldChar w:fldCharType="end"/>
      </w:r>
      <w:r w:rsidR="00973796">
        <w:t xml:space="preserve"> </w:t>
      </w:r>
      <w:r w:rsidR="00704A08">
        <w:t>or</w:t>
      </w:r>
      <w:r w:rsidR="00973796">
        <w:t xml:space="preserve"> folic acid </w:t>
      </w:r>
      <w:r w:rsidR="00973796">
        <w:fldChar w:fldCharType="begin" w:fldLock="1"/>
      </w:r>
      <w:r w:rsidR="00D87B4C">
        <w:instrText>ADDIN CSL_CITATION {"citationItems":[{"id":"ITEM-1","itemData":{"DOI":"10.1016/j.cej.2015.04.149","ISSN":"13858947","abstract":"In this work, supercritical antisolvent (SAS) precipitation was proposed for the production of polyvinylpyrrolidone (PVP)-folic acid (FA) microspheres, to test the applicability of this technique to the production of coprecipitates of biomedical interest with improved bioavailability. The effect of SAS operating parameters, such as polymer/drug ratio, pressure, temperature and concentration was investigated to identify successful process conditions. We obtained different kind of precipitates: nanoparticles with a mean diameter down to 50. nm, sub-microparticles with a mean diameter in the range 0.29-0.65. μm and microparticles in the range 0.8-3.8. μm. These powders were characterized to determine drug effective loading and drug release profiles and to measure FA degradation. These analyses revealed that SAS process allowed the production of PVP-FA coprecipitates only in specific ranges of SAS process parameters and in the case of microparticles production. The drug dissolution rate of the PVP. +. FA coprecipitates in a phosphate buffered saline solution (PBS) was about 20 times faster than the one of unprocessed FA. Moreover, SAS process had no significant detrimental effect on the stability of the vitamin. We tried to explain the precipitation mechanisms producing the observed morphologies and the large improvement of the FA dissolution rate, when it was encapsulated in PVP microparticles.","author":[{"dropping-particle":"","family":"Prosapio","given":"Valentina","non-dropping-particle":"","parse-names":false,"suffix":""},{"dropping-particle":"","family":"Marco","given":"Iolanda","non-dropping-particle":"De","parse-names":false,"suffix":""},{"dropping-particle":"","family":"Scognamiglio","given":"Mariarosa","non-dropping-particle":"","parse-names":false,"suffix":""},{"dropping-particle":"","family":"Reverchon","given":"Ernesto","non-dropping-particle":"","parse-names":false,"suffix":""}],"container-title":"Chemical Engineering Journal","id":"ITEM-1","issued":{"date-parts":[["2015"]]},"page":"286-294","publisher":"Elsevier B.V.","title":"Folic acid-PVP nanostructured composite microparticles by supercritical antisolvent precipitation","type":"article-journal","volume":"277"},"uris":["http://www.mendeley.com/documents/?uuid=4259df2f-e7e6-4fc2-a4b9-719da11d5ac6"]}],"mendeley":{"formattedCitation":"(Prosapio, De Marco, et al., 2015)","manualFormatting":"(Prosapio et al., 2015)","plainTextFormattedCitation":"(Prosapio, De Marco, et al., 2015)","previouslyFormattedCitation":"(Prosapio et al., 2015)"},"properties":{"noteIndex":0},"schema":"https://github.com/citation-style-language/schema/raw/master/csl-citation.json"}</w:instrText>
      </w:r>
      <w:r w:rsidR="00973796">
        <w:fldChar w:fldCharType="separate"/>
      </w:r>
      <w:r w:rsidR="001854FA" w:rsidRPr="001854FA">
        <w:rPr>
          <w:noProof/>
        </w:rPr>
        <w:t>(Prosapio et al., 2015)</w:t>
      </w:r>
      <w:r w:rsidR="00973796">
        <w:fldChar w:fldCharType="end"/>
      </w:r>
      <w:r w:rsidR="00973796">
        <w:t xml:space="preserve">. </w:t>
      </w:r>
      <w:r w:rsidR="00973796" w:rsidRPr="00A475D0">
        <w:rPr>
          <w:lang w:val="en-GB"/>
        </w:rPr>
        <w:t>However, its application in the encapsulation of active substances with complex biological functions such as the hormone GnIH</w:t>
      </w:r>
      <w:r w:rsidR="00973796">
        <w:rPr>
          <w:lang w:val="en-GB"/>
        </w:rPr>
        <w:t xml:space="preserve"> </w:t>
      </w:r>
      <w:r w:rsidR="00973796" w:rsidRPr="00A475D0">
        <w:rPr>
          <w:lang w:val="en-GB"/>
        </w:rPr>
        <w:t>has not been widely studied.</w:t>
      </w:r>
    </w:p>
    <w:p w14:paraId="3FB8179B" w14:textId="1C106D2D" w:rsidR="00876F0F" w:rsidRDefault="00876F0F" w:rsidP="00774368">
      <w:pPr>
        <w:pStyle w:val="CETBodytext"/>
        <w:rPr>
          <w:lang w:val="en-GB"/>
        </w:rPr>
      </w:pPr>
    </w:p>
    <w:p w14:paraId="3D3919F6" w14:textId="154EA4AE" w:rsidR="009F5720" w:rsidRDefault="00E85C48" w:rsidP="00E85C48">
      <w:pPr>
        <w:pStyle w:val="CETBodytext"/>
        <w:rPr>
          <w:lang w:val="en-GB"/>
        </w:rPr>
      </w:pPr>
      <w:r w:rsidRPr="00E85C48">
        <w:rPr>
          <w:lang w:val="en-GB"/>
        </w:rPr>
        <w:t>In biopolymeric drug delivery systems, the interaction of the polymer with</w:t>
      </w:r>
      <w:r>
        <w:rPr>
          <w:lang w:val="en-GB"/>
        </w:rPr>
        <w:t xml:space="preserve"> </w:t>
      </w:r>
      <w:r w:rsidRPr="00E85C48">
        <w:rPr>
          <w:lang w:val="en-GB"/>
        </w:rPr>
        <w:t>supercritical CO</w:t>
      </w:r>
      <w:r w:rsidRPr="00E85C48">
        <w:rPr>
          <w:vertAlign w:val="subscript"/>
          <w:lang w:val="en-GB"/>
        </w:rPr>
        <w:t>2</w:t>
      </w:r>
      <w:r w:rsidRPr="00E85C48">
        <w:rPr>
          <w:lang w:val="en-GB"/>
        </w:rPr>
        <w:t xml:space="preserve"> plays an important role in the selection of the supercritical process.</w:t>
      </w:r>
      <w:r>
        <w:rPr>
          <w:lang w:val="en-GB"/>
        </w:rPr>
        <w:t xml:space="preserve"> </w:t>
      </w:r>
      <w:r w:rsidRPr="00E85C48">
        <w:rPr>
          <w:lang w:val="en-GB"/>
        </w:rPr>
        <w:t>As an encapsulating agent, a biodegradable polymer that is resistant to gastric, but not intestinal, juices should be used, allowing the release of GnIH and its incorporation into the circulatory system. In this case, the polymer chosen for this preliminary study, Pluronic F-127, fulfils these characteristic</w:t>
      </w:r>
      <w:r>
        <w:rPr>
          <w:lang w:val="en-GB"/>
        </w:rPr>
        <w:t xml:space="preserve">s </w:t>
      </w:r>
      <w:r>
        <w:rPr>
          <w:lang w:val="en-GB"/>
        </w:rPr>
        <w:fldChar w:fldCharType="begin" w:fldLock="1"/>
      </w:r>
      <w:r w:rsidR="008E30B3">
        <w:rPr>
          <w:lang w:val="en-GB"/>
        </w:rPr>
        <w:instrText>ADDIN CSL_CITATION {"citationItems":[{"id":"ITEM-1","itemData":{"DOI":"10.1016/j.jphotobiol.2016.03.039","ISSN":"18732682","PMID":"27093000","abstract":"Pluronic F127 (PF127), a surfactant polymer is used as a drug delivery system and has been introduced recently in the food research to delay lipid digestion process. In this context study the interaction of this polymer with human intestinal bile salts assumes important. The studies involving interaction of PF127 with human intestinal bile salts sodium taurocholic acid (NaTC) and sodium cholate acid (NaC) by using differential scanning calorimetry (DSC) and 1-naphthol as a fluorescent molecular probe show that the bile salts induce decrease of sol-gel phase transition temperature of the PF127 to lower temperature, from ~ 21 °C to ~ 18 °C. Variation of neutral form fluorescence intensity of 1-naphthol with bile salts in water confirmed efficient micellar aggregation with critical micellar concentration (CMC) values of 12.6 mM for NaTC and 12.7 mM for NaC. Fluorescence parameters like fluorescence intensity and fluorescence lifetime of the two excited state prototropic forms {neutral form emission (λem = 370 nm), anion form emission (λem = 470 nm)} of 1-naphthol suggested that the NaTC (below critical micellar concentration 12 mM) and NaC (above critical micellar concentration 12 mM) induce appreciable dehydration of the hydrophilic corona as well as core region PF127 hydrogel. The micropolarity of the hydrogel microenvironment decreases with increase in concentration of both the bile salts.","author":[{"dropping-particle":"","family":"Swain","given":"Jitendriya","non-dropping-particle":"","parse-names":false,"suffix":""}],"container-title":"Journal of Photochemistry and Photobiology B: Biology","id":"ITEM-1","issued":{"date-parts":[["2016"]]},"page":"61-67","publisher":"Elsevier B.V.","title":"Molecular level investigation on the interaction of pluronic F127 and human intestinal bile salts using excited state prototropism of 1-naphthol","type":"article-journal","volume":"160"},"uris":["http://www.mendeley.com/documents/?uuid=60b0c907-8942-402e-8532-f03540a943b0"]}],"mendeley":{"formattedCitation":"(Swain, 2016)","plainTextFormattedCitation":"(Swain, 2016)","previouslyFormattedCitation":"(Swain, 2016)"},"properties":{"noteIndex":0},"schema":"https://github.com/citation-style-language/schema/raw/master/csl-citation.json"}</w:instrText>
      </w:r>
      <w:r>
        <w:rPr>
          <w:lang w:val="en-GB"/>
        </w:rPr>
        <w:fldChar w:fldCharType="separate"/>
      </w:r>
      <w:r w:rsidR="00641411" w:rsidRPr="00641411">
        <w:rPr>
          <w:noProof/>
          <w:lang w:val="en-GB"/>
        </w:rPr>
        <w:t>(Swain, 2016)</w:t>
      </w:r>
      <w:r>
        <w:rPr>
          <w:lang w:val="en-GB"/>
        </w:rPr>
        <w:fldChar w:fldCharType="end"/>
      </w:r>
      <w:r w:rsidRPr="00E85C48">
        <w:rPr>
          <w:lang w:val="en-GB"/>
        </w:rPr>
        <w:t>.</w:t>
      </w:r>
    </w:p>
    <w:p w14:paraId="711AD40D" w14:textId="4F2642F5" w:rsidR="006B6E7F" w:rsidRDefault="006B6E7F" w:rsidP="00774368">
      <w:pPr>
        <w:pStyle w:val="CETBodytext"/>
        <w:rPr>
          <w:lang w:val="en-GB"/>
        </w:rPr>
      </w:pPr>
    </w:p>
    <w:p w14:paraId="2617D844" w14:textId="61A0E845" w:rsidR="00F04393" w:rsidRDefault="00874C07" w:rsidP="00F04393">
      <w:pPr>
        <w:pStyle w:val="CETBodytext"/>
        <w:rPr>
          <w:rFonts w:eastAsiaTheme="minorHAnsi" w:cs="Arial"/>
          <w:szCs w:val="18"/>
          <w:lang w:val="en-GB"/>
        </w:rPr>
      </w:pPr>
      <w:r w:rsidRPr="00874C07">
        <w:rPr>
          <w:lang w:val="en-GB"/>
        </w:rPr>
        <w:t xml:space="preserve">In the present work, the direct influence of pressure </w:t>
      </w:r>
      <w:r>
        <w:rPr>
          <w:lang w:val="en-GB"/>
        </w:rPr>
        <w:t>and ratio of drug</w:t>
      </w:r>
      <w:r w:rsidR="00D05FF1">
        <w:rPr>
          <w:lang w:val="en-GB"/>
        </w:rPr>
        <w:t>/</w:t>
      </w:r>
      <w:r>
        <w:rPr>
          <w:lang w:val="en-GB"/>
        </w:rPr>
        <w:t xml:space="preserve">polymer </w:t>
      </w:r>
      <w:r w:rsidRPr="00874C07">
        <w:rPr>
          <w:lang w:val="en-GB"/>
        </w:rPr>
        <w:t xml:space="preserve">on the morphology, size and distribution of </w:t>
      </w:r>
      <w:r w:rsidR="00243BE2">
        <w:rPr>
          <w:lang w:val="en-GB"/>
        </w:rPr>
        <w:t>micro-</w:t>
      </w:r>
      <w:r w:rsidRPr="00874C07">
        <w:rPr>
          <w:lang w:val="en-GB"/>
        </w:rPr>
        <w:t>nanoparticles</w:t>
      </w:r>
      <w:r>
        <w:rPr>
          <w:lang w:val="en-GB"/>
        </w:rPr>
        <w:t xml:space="preserve"> </w:t>
      </w:r>
      <w:r w:rsidRPr="00874C07">
        <w:rPr>
          <w:lang w:val="en-GB"/>
        </w:rPr>
        <w:t>were studied.</w:t>
      </w:r>
      <w:r w:rsidR="00F80940">
        <w:rPr>
          <w:lang w:val="en-GB"/>
        </w:rPr>
        <w:t xml:space="preserve"> </w:t>
      </w:r>
      <w:r w:rsidR="00D05FF1" w:rsidRPr="00D05FF1">
        <w:rPr>
          <w:lang w:val="en-GB"/>
        </w:rPr>
        <w:t>Precipitates of GnIH isolated and encapsulated together with the biodegradable polymer Pluronic F-127 were obtained</w:t>
      </w:r>
      <w:r w:rsidR="00D05FF1">
        <w:rPr>
          <w:lang w:val="en-GB"/>
        </w:rPr>
        <w:t xml:space="preserve"> </w:t>
      </w:r>
      <w:r w:rsidR="00F80940">
        <w:rPr>
          <w:lang w:val="en-GB"/>
        </w:rPr>
        <w:t xml:space="preserve">by </w:t>
      </w:r>
      <w:bookmarkStart w:id="1" w:name="_Hlk95131684"/>
      <w:r w:rsidR="00F80940" w:rsidRPr="00F80940">
        <w:rPr>
          <w:lang w:val="en-GB"/>
        </w:rPr>
        <w:t xml:space="preserve">supercritical </w:t>
      </w:r>
      <w:r w:rsidR="00F80940" w:rsidRPr="00D05FF1">
        <w:rPr>
          <w:lang w:val="en-GB"/>
        </w:rPr>
        <w:t>antisolvent process</w:t>
      </w:r>
      <w:bookmarkEnd w:id="1"/>
      <w:r w:rsidR="00F80940" w:rsidRPr="00D05FF1">
        <w:rPr>
          <w:lang w:val="en-GB"/>
        </w:rPr>
        <w:t>.</w:t>
      </w:r>
      <w:r w:rsidR="00F04393">
        <w:rPr>
          <w:lang w:val="en-GB"/>
        </w:rPr>
        <w:t xml:space="preserve"> </w:t>
      </w:r>
      <w:r w:rsidR="00F04393" w:rsidRPr="00F04393">
        <w:rPr>
          <w:lang w:val="en-GB"/>
        </w:rPr>
        <w:t>The morphological change of the active substance and the decrease in the mean particle size, resulting in a solvent-free product,</w:t>
      </w:r>
      <w:r w:rsidR="00F04393">
        <w:rPr>
          <w:lang w:val="en-GB"/>
        </w:rPr>
        <w:t xml:space="preserve"> </w:t>
      </w:r>
      <w:r w:rsidR="00F04393" w:rsidRPr="00F04393">
        <w:rPr>
          <w:rFonts w:eastAsiaTheme="minorHAnsi" w:cs="Arial"/>
          <w:szCs w:val="18"/>
          <w:lang w:val="en-GB"/>
        </w:rPr>
        <w:t>make this technique a very useful</w:t>
      </w:r>
      <w:r w:rsidR="00F04393">
        <w:rPr>
          <w:lang w:val="en-GB"/>
        </w:rPr>
        <w:t xml:space="preserve"> </w:t>
      </w:r>
      <w:r w:rsidR="00F04393" w:rsidRPr="00F04393">
        <w:rPr>
          <w:rFonts w:eastAsiaTheme="minorHAnsi" w:cs="Arial"/>
          <w:szCs w:val="18"/>
          <w:lang w:val="en-GB"/>
        </w:rPr>
        <w:t xml:space="preserve">method </w:t>
      </w:r>
      <w:r w:rsidR="00D06A41">
        <w:rPr>
          <w:rFonts w:eastAsiaTheme="minorHAnsi" w:cs="Arial"/>
          <w:szCs w:val="18"/>
          <w:lang w:val="en-GB"/>
        </w:rPr>
        <w:t>to precipitate and encapsulate</w:t>
      </w:r>
      <w:r w:rsidR="00F04393" w:rsidRPr="00F04393">
        <w:rPr>
          <w:rFonts w:eastAsiaTheme="minorHAnsi" w:cs="Arial"/>
          <w:szCs w:val="18"/>
          <w:lang w:val="en-GB"/>
        </w:rPr>
        <w:t xml:space="preserve"> </w:t>
      </w:r>
      <w:r w:rsidR="00D06A41">
        <w:rPr>
          <w:rFonts w:eastAsiaTheme="minorHAnsi" w:cs="Arial"/>
          <w:szCs w:val="18"/>
          <w:lang w:val="en-GB"/>
        </w:rPr>
        <w:t>micro</w:t>
      </w:r>
      <w:r w:rsidR="00F04393" w:rsidRPr="00F04393">
        <w:rPr>
          <w:rFonts w:eastAsiaTheme="minorHAnsi" w:cs="Arial"/>
          <w:szCs w:val="18"/>
          <w:lang w:val="en-GB"/>
        </w:rPr>
        <w:t>particles.</w:t>
      </w:r>
      <w:r w:rsidR="00D06A41">
        <w:rPr>
          <w:rFonts w:eastAsiaTheme="minorHAnsi" w:cs="Arial"/>
          <w:szCs w:val="18"/>
          <w:lang w:val="en-GB"/>
        </w:rPr>
        <w:t xml:space="preserve"> </w:t>
      </w:r>
    </w:p>
    <w:p w14:paraId="74FB8BEF" w14:textId="77777777" w:rsidR="008034BF" w:rsidRPr="00F04393" w:rsidRDefault="008034BF" w:rsidP="00F04393">
      <w:pPr>
        <w:pStyle w:val="CETBodytext"/>
        <w:rPr>
          <w:lang w:val="en-GB"/>
        </w:rPr>
      </w:pPr>
    </w:p>
    <w:p w14:paraId="1A08B851" w14:textId="28E7CE37" w:rsidR="00774368" w:rsidRDefault="00774368" w:rsidP="00774368">
      <w:pPr>
        <w:pStyle w:val="CETHeading1"/>
      </w:pPr>
      <w:r>
        <w:t>Materials and methods</w:t>
      </w:r>
    </w:p>
    <w:p w14:paraId="4BFD01D7" w14:textId="4F571415" w:rsidR="00774368" w:rsidRDefault="00774368" w:rsidP="00774368">
      <w:pPr>
        <w:pStyle w:val="CETheadingx"/>
        <w:numPr>
          <w:ilvl w:val="2"/>
          <w:numId w:val="1"/>
        </w:numPr>
      </w:pPr>
      <w:r>
        <w:t>Materials</w:t>
      </w:r>
    </w:p>
    <w:p w14:paraId="443C6A13" w14:textId="3A54E998" w:rsidR="00774368" w:rsidRDefault="00E62DA6" w:rsidP="00E0207B">
      <w:pPr>
        <w:pStyle w:val="CETBodytext"/>
      </w:pPr>
      <w:r w:rsidRPr="00E62DA6">
        <w:t>Pluronic F-127</w:t>
      </w:r>
      <w:r>
        <w:t xml:space="preserve"> </w:t>
      </w:r>
      <w:r w:rsidR="00E0207B">
        <w:t>and ethanol absolute were supplied by Sigma</w:t>
      </w:r>
      <w:r>
        <w:t>-</w:t>
      </w:r>
      <w:r w:rsidR="00E0207B">
        <w:t xml:space="preserve">Aldrich (Spain). </w:t>
      </w:r>
      <w:r w:rsidR="002C2DCD">
        <w:t>G</w:t>
      </w:r>
      <w:r w:rsidR="002C2DCD" w:rsidRPr="002C2DCD">
        <w:t>onadotropin-inhibitory hormone (</w:t>
      </w:r>
      <w:proofErr w:type="spellStart"/>
      <w:r w:rsidR="002C2DCD" w:rsidRPr="002C2DCD">
        <w:t>GnIH</w:t>
      </w:r>
      <w:proofErr w:type="spellEnd"/>
      <w:r w:rsidR="002C2DCD" w:rsidRPr="002C2DCD">
        <w:t>)</w:t>
      </w:r>
      <w:r w:rsidR="002C2DCD">
        <w:t xml:space="preserve"> </w:t>
      </w:r>
      <w:r w:rsidR="002C2DCD" w:rsidRPr="00E0207B">
        <w:t xml:space="preserve">was purchased from </w:t>
      </w:r>
      <w:proofErr w:type="spellStart"/>
      <w:r w:rsidR="002C2DCD">
        <w:t>Innovagen</w:t>
      </w:r>
      <w:proofErr w:type="spellEnd"/>
      <w:r w:rsidR="002C2DCD">
        <w:t>.</w:t>
      </w:r>
      <w:r w:rsidR="002037AF">
        <w:t xml:space="preserve"> </w:t>
      </w:r>
      <w:r w:rsidR="00E0207B" w:rsidRPr="00E0207B">
        <w:t xml:space="preserve">Carbon dioxide (99.8%) was purchased from </w:t>
      </w:r>
      <w:proofErr w:type="spellStart"/>
      <w:r w:rsidR="00E0207B" w:rsidRPr="00E0207B">
        <w:t>Abello</w:t>
      </w:r>
      <w:proofErr w:type="spellEnd"/>
      <w:r w:rsidR="00E0207B" w:rsidRPr="00E0207B">
        <w:t>-Linde S.A. (Barcelona, Spain).</w:t>
      </w:r>
    </w:p>
    <w:p w14:paraId="66923340" w14:textId="77777777" w:rsidR="00AC0CE0" w:rsidRDefault="00AC0CE0" w:rsidP="00E0207B">
      <w:pPr>
        <w:pStyle w:val="CETBodytext"/>
      </w:pPr>
    </w:p>
    <w:p w14:paraId="5CBE33FE" w14:textId="17BAC697" w:rsidR="00774368" w:rsidRDefault="001F2321" w:rsidP="00774368">
      <w:pPr>
        <w:pStyle w:val="CETheadingx"/>
        <w:numPr>
          <w:ilvl w:val="2"/>
          <w:numId w:val="1"/>
        </w:numPr>
      </w:pPr>
      <w:r>
        <w:t>Supercritical antisolvent precipitation</w:t>
      </w:r>
    </w:p>
    <w:p w14:paraId="0A22BBBF" w14:textId="4D8DCF18" w:rsidR="008034BF" w:rsidRDefault="00132F97" w:rsidP="008034BF">
      <w:pPr>
        <w:pStyle w:val="CETBodytext"/>
      </w:pPr>
      <w:r w:rsidRPr="00132F97">
        <w:t xml:space="preserve">A pilot plant built by </w:t>
      </w:r>
      <w:proofErr w:type="spellStart"/>
      <w:r w:rsidRPr="00132F97">
        <w:t>Iberfluid</w:t>
      </w:r>
      <w:proofErr w:type="spellEnd"/>
      <w:r w:rsidRPr="00132F97">
        <w:t xml:space="preserve"> </w:t>
      </w:r>
      <w:r w:rsidR="00C66578">
        <w:t xml:space="preserve">(Barcelona, Spain) </w:t>
      </w:r>
      <w:r w:rsidRPr="00132F97">
        <w:t xml:space="preserve">was employed in this study. </w:t>
      </w:r>
      <w:r>
        <w:t>The SAS pilot plant includes two high-pressure pumps to pump the CO</w:t>
      </w:r>
      <w:r w:rsidRPr="00132F97">
        <w:rPr>
          <w:vertAlign w:val="subscript"/>
        </w:rPr>
        <w:t>2</w:t>
      </w:r>
      <w:r>
        <w:t xml:space="preserve"> and the solution; a </w:t>
      </w:r>
      <w:r w:rsidR="00854C98">
        <w:t>stainless-steel</w:t>
      </w:r>
      <w:r>
        <w:t xml:space="preserve"> precipitator vessel; an electric heat exchanger to control the temperature in all the system, </w:t>
      </w:r>
      <w:r w:rsidRPr="00132F97">
        <w:t>with jackets and controllers in various parts of the plant</w:t>
      </w:r>
      <w:r>
        <w:t xml:space="preserve">; an automated high-precision back-pressure regulator; a jacketed stainless steel cyclone separator </w:t>
      </w:r>
      <w:r w:rsidRPr="00132F97">
        <w:t xml:space="preserve">where the </w:t>
      </w:r>
      <w:r>
        <w:t>CO</w:t>
      </w:r>
      <w:r w:rsidRPr="00132F97">
        <w:rPr>
          <w:vertAlign w:val="subscript"/>
        </w:rPr>
        <w:t>2</w:t>
      </w:r>
      <w:r w:rsidRPr="00132F97">
        <w:t xml:space="preserve"> is separated from the </w:t>
      </w:r>
      <w:r>
        <w:t xml:space="preserve">used </w:t>
      </w:r>
      <w:r w:rsidRPr="00132F97">
        <w:t>solvent</w:t>
      </w:r>
      <w:r>
        <w:t xml:space="preserve">. </w:t>
      </w:r>
      <w:r w:rsidR="00F95FD9" w:rsidRPr="00F95FD9">
        <w:t>A diagram of the described plant is shown in Figure 1.</w:t>
      </w:r>
    </w:p>
    <w:p w14:paraId="544EAEFF" w14:textId="699C6053" w:rsidR="00AC0CE0" w:rsidRDefault="00AC0CE0" w:rsidP="008034BF">
      <w:pPr>
        <w:pStyle w:val="CETBodytext"/>
      </w:pPr>
    </w:p>
    <w:p w14:paraId="2F283B60" w14:textId="0C8DF4E4" w:rsidR="00AC0CE0" w:rsidRDefault="00AC0CE0" w:rsidP="008034BF">
      <w:pPr>
        <w:pStyle w:val="CETBodytext"/>
      </w:pPr>
      <w:r w:rsidRPr="00132F97">
        <w:t>An organic solution containing the solute of interest was sprayed through a nozzle</w:t>
      </w:r>
      <w:r w:rsidR="00555AAC" w:rsidRPr="00555AAC">
        <w:t xml:space="preserve"> </w:t>
      </w:r>
      <w:r w:rsidR="00555AAC">
        <w:t>(</w:t>
      </w:r>
      <w:r w:rsidR="00555AAC" w:rsidRPr="00555AAC">
        <w:t xml:space="preserve">diameter of 100 </w:t>
      </w:r>
      <w:proofErr w:type="spellStart"/>
      <w:r w:rsidR="00555AAC" w:rsidRPr="00555AAC">
        <w:t>μm</w:t>
      </w:r>
      <w:proofErr w:type="spellEnd"/>
      <w:r w:rsidR="00555AAC">
        <w:t>)</w:t>
      </w:r>
      <w:r w:rsidRPr="00132F97">
        <w:t xml:space="preserve"> to generate drops of solution into a vessel containing CO</w:t>
      </w:r>
      <w:r w:rsidRPr="00132F97">
        <w:rPr>
          <w:vertAlign w:val="subscript"/>
        </w:rPr>
        <w:t>2</w:t>
      </w:r>
      <w:r w:rsidRPr="00132F97">
        <w:t xml:space="preserve"> at supercritical (</w:t>
      </w:r>
      <w:proofErr w:type="spellStart"/>
      <w:r w:rsidRPr="00132F97">
        <w:t>sc</w:t>
      </w:r>
      <w:proofErr w:type="spellEnd"/>
      <w:r w:rsidRPr="00132F97">
        <w:t>) conditions. During mixing, scCO</w:t>
      </w:r>
      <w:r w:rsidRPr="00132F97">
        <w:rPr>
          <w:vertAlign w:val="subscript"/>
        </w:rPr>
        <w:t>2</w:t>
      </w:r>
      <w:r w:rsidRPr="00132F97">
        <w:t xml:space="preserve"> was quickly dissolved in the organic solution, causing the precipitation of solutes by antisolvent effect. Subsequently, scCO</w:t>
      </w:r>
      <w:r w:rsidRPr="00132F97">
        <w:rPr>
          <w:vertAlign w:val="subscript"/>
        </w:rPr>
        <w:t>2</w:t>
      </w:r>
      <w:r w:rsidRPr="00132F97">
        <w:t xml:space="preserve"> efficiently extracted the organic solvent, allowing to obtain completely solvent-free products.</w:t>
      </w:r>
    </w:p>
    <w:p w14:paraId="29B1FF73" w14:textId="77777777" w:rsidR="00AC0CE0" w:rsidRDefault="00AC0CE0" w:rsidP="00AC0CE0">
      <w:pPr>
        <w:pStyle w:val="CETCaption"/>
        <w:rPr>
          <w:i w:val="0"/>
        </w:rPr>
      </w:pPr>
      <w:r w:rsidRPr="00714B57">
        <w:rPr>
          <w:i w:val="0"/>
        </w:rPr>
        <w:t>In this work, firstly,</w:t>
      </w:r>
      <w:r>
        <w:rPr>
          <w:i w:val="0"/>
        </w:rPr>
        <w:t xml:space="preserve"> </w:t>
      </w:r>
      <w:r w:rsidRPr="00714B57">
        <w:rPr>
          <w:i w:val="0"/>
        </w:rPr>
        <w:t xml:space="preserve">the precipitation of </w:t>
      </w:r>
      <w:r>
        <w:rPr>
          <w:i w:val="0"/>
        </w:rPr>
        <w:t>g</w:t>
      </w:r>
      <w:r w:rsidRPr="00714B57">
        <w:rPr>
          <w:i w:val="0"/>
        </w:rPr>
        <w:t>onadotropin-inhibitory hormone (</w:t>
      </w:r>
      <w:proofErr w:type="spellStart"/>
      <w:r w:rsidRPr="00714B57">
        <w:rPr>
          <w:i w:val="0"/>
        </w:rPr>
        <w:t>GnIH</w:t>
      </w:r>
      <w:proofErr w:type="spellEnd"/>
      <w:r w:rsidRPr="00714B57">
        <w:rPr>
          <w:i w:val="0"/>
        </w:rPr>
        <w:t>) has been carried out separately using ethanol as solvent.</w:t>
      </w:r>
      <w:r>
        <w:rPr>
          <w:i w:val="0"/>
        </w:rPr>
        <w:t xml:space="preserve"> </w:t>
      </w:r>
      <w:r w:rsidRPr="00714B57">
        <w:rPr>
          <w:i w:val="0"/>
        </w:rPr>
        <w:t xml:space="preserve">The conditions of </w:t>
      </w:r>
      <w:r>
        <w:rPr>
          <w:i w:val="0"/>
        </w:rPr>
        <w:t xml:space="preserve">pressure at 140 bar, temperature </w:t>
      </w:r>
      <w:r w:rsidRPr="00714B57">
        <w:rPr>
          <w:i w:val="0"/>
        </w:rPr>
        <w:t>40</w:t>
      </w:r>
      <w:r>
        <w:rPr>
          <w:i w:val="0"/>
        </w:rPr>
        <w:t xml:space="preserve"> </w:t>
      </w:r>
      <w:r w:rsidRPr="00714B57">
        <w:rPr>
          <w:i w:val="0"/>
        </w:rPr>
        <w:t>ºC</w:t>
      </w:r>
      <w:r>
        <w:rPr>
          <w:i w:val="0"/>
        </w:rPr>
        <w:t>,</w:t>
      </w:r>
      <w:r w:rsidRPr="00714B57">
        <w:rPr>
          <w:i w:val="0"/>
        </w:rPr>
        <w:t xml:space="preserve"> flow rate</w:t>
      </w:r>
      <w:r>
        <w:rPr>
          <w:i w:val="0"/>
        </w:rPr>
        <w:t xml:space="preserve"> of CO</w:t>
      </w:r>
      <w:r w:rsidRPr="00714B57">
        <w:rPr>
          <w:i w:val="0"/>
          <w:vertAlign w:val="subscript"/>
        </w:rPr>
        <w:t>2</w:t>
      </w:r>
      <w:r w:rsidRPr="00714B57">
        <w:rPr>
          <w:i w:val="0"/>
        </w:rPr>
        <w:t xml:space="preserve"> at </w:t>
      </w:r>
      <w:r>
        <w:rPr>
          <w:i w:val="0"/>
        </w:rPr>
        <w:t>3</w:t>
      </w:r>
      <w:r w:rsidRPr="00714B57">
        <w:rPr>
          <w:i w:val="0"/>
        </w:rPr>
        <w:t>0 g/min and a</w:t>
      </w:r>
      <w:r>
        <w:rPr>
          <w:i w:val="0"/>
        </w:rPr>
        <w:t>n</w:t>
      </w:r>
      <w:r w:rsidRPr="00714B57">
        <w:rPr>
          <w:i w:val="0"/>
        </w:rPr>
        <w:t xml:space="preserve"> injection rate </w:t>
      </w:r>
      <w:r>
        <w:rPr>
          <w:i w:val="0"/>
        </w:rPr>
        <w:t>of the solution at 5 mL/min</w:t>
      </w:r>
      <w:r w:rsidRPr="00714B57">
        <w:rPr>
          <w:i w:val="0"/>
        </w:rPr>
        <w:t xml:space="preserve"> were</w:t>
      </w:r>
      <w:r>
        <w:rPr>
          <w:i w:val="0"/>
        </w:rPr>
        <w:t xml:space="preserve"> </w:t>
      </w:r>
      <w:r w:rsidRPr="00714B57">
        <w:rPr>
          <w:i w:val="0"/>
        </w:rPr>
        <w:t>kept constant.</w:t>
      </w:r>
      <w:r>
        <w:rPr>
          <w:i w:val="0"/>
        </w:rPr>
        <w:t xml:space="preserve"> </w:t>
      </w:r>
      <w:r w:rsidRPr="00714B57">
        <w:rPr>
          <w:i w:val="0"/>
        </w:rPr>
        <w:t xml:space="preserve">Two hormone precipitation tests were carried out with the same conditions, varying only the concentration of the hormone solution (10 </w:t>
      </w:r>
      <w:r>
        <w:rPr>
          <w:i w:val="0"/>
        </w:rPr>
        <w:t xml:space="preserve">- </w:t>
      </w:r>
      <w:r w:rsidRPr="00714B57">
        <w:rPr>
          <w:i w:val="0"/>
        </w:rPr>
        <w:t>20 mg/mL).</w:t>
      </w:r>
    </w:p>
    <w:p w14:paraId="4D9FA08E" w14:textId="359E0496" w:rsidR="008034BF" w:rsidRPr="008034BF" w:rsidRDefault="003B6197" w:rsidP="008034BF">
      <w:pPr>
        <w:pStyle w:val="CETBodytext"/>
        <w:rPr>
          <w:rStyle w:val="CETCaptionCarattere"/>
          <w:i w:val="0"/>
          <w:lang w:val="en-US"/>
        </w:rPr>
      </w:pPr>
      <w:r>
        <w:rPr>
          <w:noProof/>
          <w:lang w:val="es-ES" w:eastAsia="es-ES"/>
        </w:rPr>
        <w:lastRenderedPageBreak/>
        <w:drawing>
          <wp:inline distT="0" distB="0" distL="0" distR="0" wp14:anchorId="524205B6" wp14:editId="5937B32D">
            <wp:extent cx="5505450" cy="2985487"/>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86114" cy="3029229"/>
                    </a:xfrm>
                    <a:prstGeom prst="rect">
                      <a:avLst/>
                    </a:prstGeom>
                  </pic:spPr>
                </pic:pic>
              </a:graphicData>
            </a:graphic>
          </wp:inline>
        </w:drawing>
      </w:r>
    </w:p>
    <w:p w14:paraId="722487D6" w14:textId="37DA529A" w:rsidR="002714BE" w:rsidRDefault="002714BE" w:rsidP="002714BE">
      <w:pPr>
        <w:pStyle w:val="CETCaption"/>
        <w:rPr>
          <w:rStyle w:val="CETCaptionCarattere"/>
          <w:i/>
        </w:rPr>
      </w:pPr>
      <w:r w:rsidRPr="00BD077D">
        <w:rPr>
          <w:rStyle w:val="CETCaptionCarattere"/>
          <w:i/>
        </w:rPr>
        <w:t xml:space="preserve">Figure 1: </w:t>
      </w:r>
      <w:r w:rsidR="003B6197">
        <w:rPr>
          <w:rStyle w:val="CETCaptionCarattere"/>
          <w:i/>
        </w:rPr>
        <w:t>Schematic diagram of SAS</w:t>
      </w:r>
      <w:r w:rsidR="003B6197" w:rsidRPr="003B6197">
        <w:rPr>
          <w:rStyle w:val="CETCaptionCarattere"/>
          <w:i/>
        </w:rPr>
        <w:t xml:space="preserve"> pilot plant.</w:t>
      </w:r>
    </w:p>
    <w:p w14:paraId="65F07702" w14:textId="6F925D5D" w:rsidR="00714B57" w:rsidRPr="009F0CA7" w:rsidRDefault="00714B57" w:rsidP="009F0CA7">
      <w:pPr>
        <w:pStyle w:val="CETCaption"/>
        <w:rPr>
          <w:i w:val="0"/>
        </w:rPr>
      </w:pPr>
      <w:r w:rsidRPr="00714B57">
        <w:rPr>
          <w:i w:val="0"/>
        </w:rPr>
        <w:t>Subsequently, the hormone was encapsulated with Pluronic F-127 polymer.</w:t>
      </w:r>
      <w:r>
        <w:rPr>
          <w:i w:val="0"/>
        </w:rPr>
        <w:t xml:space="preserve"> </w:t>
      </w:r>
      <w:r w:rsidRPr="00714B57">
        <w:rPr>
          <w:i w:val="0"/>
        </w:rPr>
        <w:t xml:space="preserve">Experiments were conducted at pressures of </w:t>
      </w:r>
      <w:r>
        <w:rPr>
          <w:i w:val="0"/>
        </w:rPr>
        <w:t>100</w:t>
      </w:r>
      <w:r w:rsidR="009A6B4D">
        <w:rPr>
          <w:i w:val="0"/>
        </w:rPr>
        <w:t xml:space="preserve"> </w:t>
      </w:r>
      <w:r>
        <w:rPr>
          <w:i w:val="0"/>
        </w:rPr>
        <w:t>-180</w:t>
      </w:r>
      <w:r w:rsidR="00A5091D">
        <w:rPr>
          <w:i w:val="0"/>
        </w:rPr>
        <w:t xml:space="preserve"> bar</w:t>
      </w:r>
      <w:r w:rsidR="00797764">
        <w:rPr>
          <w:i w:val="0"/>
        </w:rPr>
        <w:t xml:space="preserve"> </w:t>
      </w:r>
      <w:r w:rsidR="00A5091D" w:rsidRPr="00714B57">
        <w:rPr>
          <w:i w:val="0"/>
        </w:rPr>
        <w:t>and</w:t>
      </w:r>
      <w:r w:rsidRPr="00714B57">
        <w:rPr>
          <w:i w:val="0"/>
        </w:rPr>
        <w:t xml:space="preserve"> hormone/polymer ratios of </w:t>
      </w:r>
      <w:r>
        <w:rPr>
          <w:i w:val="0"/>
        </w:rPr>
        <w:t>1:3 – 1:</w:t>
      </w:r>
      <w:r w:rsidR="009A6B4D">
        <w:rPr>
          <w:i w:val="0"/>
        </w:rPr>
        <w:t>9</w:t>
      </w:r>
      <w:r w:rsidRPr="00714B57">
        <w:rPr>
          <w:i w:val="0"/>
        </w:rPr>
        <w:t>.</w:t>
      </w:r>
      <w:r w:rsidR="009F0CA7">
        <w:rPr>
          <w:i w:val="0"/>
        </w:rPr>
        <w:t xml:space="preserve"> </w:t>
      </w:r>
      <w:r w:rsidR="00A552CA" w:rsidRPr="00A552CA">
        <w:rPr>
          <w:i w:val="0"/>
        </w:rPr>
        <w:t xml:space="preserve">The temperature was set at 40 °C in order to avoid damaging the hormone during the process. </w:t>
      </w:r>
      <w:r w:rsidR="009F0CA7" w:rsidRPr="009F0CA7">
        <w:rPr>
          <w:i w:val="0"/>
        </w:rPr>
        <w:t>In all tests a CO</w:t>
      </w:r>
      <w:r w:rsidR="009F0CA7" w:rsidRPr="009F0CA7">
        <w:rPr>
          <w:i w:val="0"/>
          <w:vertAlign w:val="subscript"/>
        </w:rPr>
        <w:t>2</w:t>
      </w:r>
      <w:r w:rsidR="009F0CA7" w:rsidRPr="009F0CA7">
        <w:rPr>
          <w:i w:val="0"/>
        </w:rPr>
        <w:t xml:space="preserve"> washing time of 1 hour was left, in which a new CO</w:t>
      </w:r>
      <w:r w:rsidR="009F0CA7" w:rsidRPr="009F0CA7">
        <w:rPr>
          <w:i w:val="0"/>
          <w:vertAlign w:val="subscript"/>
        </w:rPr>
        <w:t>2</w:t>
      </w:r>
      <w:r w:rsidR="009F0CA7" w:rsidRPr="009F0CA7">
        <w:rPr>
          <w:i w:val="0"/>
        </w:rPr>
        <w:t xml:space="preserve"> flow is able to remove the residual solvent.</w:t>
      </w:r>
      <w:r w:rsidR="009F0CA7">
        <w:rPr>
          <w:i w:val="0"/>
        </w:rPr>
        <w:t xml:space="preserve"> </w:t>
      </w:r>
      <w:r w:rsidR="009F0CA7" w:rsidRPr="009F0CA7">
        <w:rPr>
          <w:i w:val="0"/>
        </w:rPr>
        <w:t>For the characterisation of the sample, further analyses of electron microscopy, elemental analysis and X-ray photoelectron spectroscopy were carried out.</w:t>
      </w:r>
      <w:r w:rsidR="00BA0037">
        <w:rPr>
          <w:i w:val="0"/>
        </w:rPr>
        <w:t xml:space="preserve"> </w:t>
      </w:r>
      <w:r w:rsidR="00BA0037" w:rsidRPr="00BA0037">
        <w:rPr>
          <w:i w:val="0"/>
        </w:rPr>
        <w:t>Tests were performed in duplicate</w:t>
      </w:r>
      <w:r w:rsidR="00BA0037">
        <w:rPr>
          <w:i w:val="0"/>
        </w:rPr>
        <w:t>.</w:t>
      </w:r>
    </w:p>
    <w:p w14:paraId="54AF7752" w14:textId="77777777" w:rsidR="00B01B0E" w:rsidRPr="00B01B0E" w:rsidRDefault="00B01B0E" w:rsidP="00B01B0E">
      <w:pPr>
        <w:pStyle w:val="CETheadingx"/>
        <w:numPr>
          <w:ilvl w:val="2"/>
          <w:numId w:val="1"/>
        </w:numPr>
      </w:pPr>
      <w:r w:rsidRPr="00B01B0E">
        <w:rPr>
          <w:lang w:val="en-GB"/>
        </w:rPr>
        <w:t>Scanning electron microscopy</w:t>
      </w:r>
    </w:p>
    <w:p w14:paraId="6A8174CE" w14:textId="4B6B9504" w:rsidR="00B01B0E" w:rsidRPr="00B01B0E" w:rsidRDefault="00B01B0E" w:rsidP="00B01B0E">
      <w:pPr>
        <w:pStyle w:val="CETBodytext"/>
        <w:rPr>
          <w:lang w:val="en-GB"/>
        </w:rPr>
      </w:pPr>
      <w:r w:rsidRPr="00B01B0E">
        <w:rPr>
          <w:lang w:val="en-GB"/>
        </w:rPr>
        <w:t xml:space="preserve">In order to analyse the morphology and size of the precipitated particles scanning electron microscopy </w:t>
      </w:r>
      <w:r w:rsidR="00B27EC2">
        <w:rPr>
          <w:lang w:val="en-GB"/>
        </w:rPr>
        <w:t>(</w:t>
      </w:r>
      <w:r w:rsidR="00B27EC2" w:rsidRPr="00B27EC2">
        <w:rPr>
          <w:lang w:val="en-GB"/>
        </w:rPr>
        <w:t>SEM</w:t>
      </w:r>
      <w:r w:rsidR="00B27EC2">
        <w:rPr>
          <w:lang w:val="en-GB"/>
        </w:rPr>
        <w:t xml:space="preserve">) </w:t>
      </w:r>
      <w:r w:rsidRPr="00B01B0E">
        <w:rPr>
          <w:lang w:val="en-GB"/>
        </w:rPr>
        <w:t>was carried out</w:t>
      </w:r>
      <w:r w:rsidR="00AA09D2">
        <w:rPr>
          <w:lang w:val="en-GB"/>
        </w:rPr>
        <w:t xml:space="preserve"> (</w:t>
      </w:r>
      <w:r w:rsidR="00AA09D2" w:rsidRPr="00AA09D2">
        <w:rPr>
          <w:lang w:val="en-GB"/>
        </w:rPr>
        <w:t xml:space="preserve">Nova </w:t>
      </w:r>
      <w:proofErr w:type="spellStart"/>
      <w:r w:rsidR="00AA09D2" w:rsidRPr="00AA09D2">
        <w:rPr>
          <w:lang w:val="en-GB"/>
        </w:rPr>
        <w:t>NanoSEM</w:t>
      </w:r>
      <w:proofErr w:type="spellEnd"/>
      <w:r w:rsidR="00AA09D2" w:rsidRPr="00AA09D2">
        <w:rPr>
          <w:lang w:val="en-GB"/>
        </w:rPr>
        <w:t xml:space="preserve"> 450</w:t>
      </w:r>
      <w:r w:rsidR="00AA09D2">
        <w:rPr>
          <w:lang w:val="en-GB"/>
        </w:rPr>
        <w:t>)</w:t>
      </w:r>
      <w:r w:rsidRPr="00B01B0E">
        <w:rPr>
          <w:lang w:val="en-GB"/>
        </w:rPr>
        <w:t>. Prior to analysis, the samples were coated with a 12 nm gold layer to obtain a better image quality. The particle size was analysed using the digital image processing program ImageJ.</w:t>
      </w:r>
    </w:p>
    <w:p w14:paraId="012B461F" w14:textId="299256CE" w:rsidR="00E0207B" w:rsidRPr="00E0207B" w:rsidRDefault="00E0207B" w:rsidP="00E0207B">
      <w:pPr>
        <w:pStyle w:val="CETBodytext"/>
      </w:pPr>
    </w:p>
    <w:p w14:paraId="1177D0DC" w14:textId="32C6EE5E" w:rsidR="00E0207B" w:rsidRPr="00B01B0E" w:rsidRDefault="00E56115" w:rsidP="00E0207B">
      <w:pPr>
        <w:pStyle w:val="CETheadingx"/>
        <w:numPr>
          <w:ilvl w:val="2"/>
          <w:numId w:val="1"/>
        </w:numPr>
      </w:pPr>
      <w:r>
        <w:rPr>
          <w:lang w:val="en-GB"/>
        </w:rPr>
        <w:t xml:space="preserve">Elemental </w:t>
      </w:r>
      <w:r w:rsidR="00D93DF1">
        <w:rPr>
          <w:lang w:val="en-GB"/>
        </w:rPr>
        <w:t>analyses</w:t>
      </w:r>
    </w:p>
    <w:p w14:paraId="1B4B4607" w14:textId="0077FFF4" w:rsidR="00C84F24" w:rsidRPr="00B01B0E" w:rsidRDefault="006334AF" w:rsidP="00774368">
      <w:pPr>
        <w:pStyle w:val="CETBodytext"/>
        <w:rPr>
          <w:lang w:val="en-GB"/>
        </w:rPr>
      </w:pPr>
      <w:r w:rsidRPr="006334AF">
        <w:rPr>
          <w:lang w:val="en-GB"/>
        </w:rPr>
        <w:t>In order to know the composition of the encapsulates, quantitative elemental analysis was used to determine the % of nitrogen present in the sample, since this element is only found in the encapsulating polymer.</w:t>
      </w:r>
      <w:r>
        <w:rPr>
          <w:lang w:val="en-GB"/>
        </w:rPr>
        <w:t xml:space="preserve"> </w:t>
      </w:r>
      <w:r w:rsidRPr="006334AF">
        <w:rPr>
          <w:lang w:val="en-GB"/>
        </w:rPr>
        <w:t>The elemental analyser worked up to 1050 °C.</w:t>
      </w:r>
      <w:r>
        <w:rPr>
          <w:lang w:val="en-GB"/>
        </w:rPr>
        <w:t xml:space="preserve"> </w:t>
      </w:r>
      <w:r w:rsidR="00AD624C">
        <w:rPr>
          <w:lang w:val="en-GB"/>
        </w:rPr>
        <w:t xml:space="preserve">The </w:t>
      </w:r>
      <w:r>
        <w:rPr>
          <w:lang w:val="en-GB"/>
        </w:rPr>
        <w:t>mass fraction of C</w:t>
      </w:r>
      <w:r w:rsidRPr="006334AF">
        <w:rPr>
          <w:lang w:val="en-GB"/>
        </w:rPr>
        <w:t xml:space="preserve">, </w:t>
      </w:r>
      <w:r>
        <w:rPr>
          <w:lang w:val="en-GB"/>
        </w:rPr>
        <w:t>H</w:t>
      </w:r>
      <w:r w:rsidRPr="006334AF">
        <w:rPr>
          <w:lang w:val="en-GB"/>
        </w:rPr>
        <w:t xml:space="preserve">, </w:t>
      </w:r>
      <w:r>
        <w:rPr>
          <w:lang w:val="en-GB"/>
        </w:rPr>
        <w:t>N</w:t>
      </w:r>
      <w:r w:rsidRPr="006334AF">
        <w:rPr>
          <w:lang w:val="en-GB"/>
        </w:rPr>
        <w:t xml:space="preserve"> and </w:t>
      </w:r>
      <w:r>
        <w:rPr>
          <w:lang w:val="en-GB"/>
        </w:rPr>
        <w:t>S</w:t>
      </w:r>
      <w:r w:rsidRPr="006334AF">
        <w:rPr>
          <w:lang w:val="en-GB"/>
        </w:rPr>
        <w:t xml:space="preserve"> in each sample </w:t>
      </w:r>
      <w:r w:rsidR="00AD624C">
        <w:rPr>
          <w:lang w:val="en-GB"/>
        </w:rPr>
        <w:t>was</w:t>
      </w:r>
      <w:r w:rsidRPr="006334AF">
        <w:rPr>
          <w:lang w:val="en-GB"/>
        </w:rPr>
        <w:t xml:space="preserve"> determined. </w:t>
      </w:r>
      <w:r w:rsidR="00174F59">
        <w:rPr>
          <w:lang w:val="en-GB"/>
        </w:rPr>
        <w:t>Two</w:t>
      </w:r>
      <w:r w:rsidRPr="006334AF">
        <w:rPr>
          <w:lang w:val="en-GB"/>
        </w:rPr>
        <w:t xml:space="preserve"> replicates were carried out for each sample.</w:t>
      </w:r>
    </w:p>
    <w:p w14:paraId="39E91BCA" w14:textId="286D0166" w:rsidR="00774368" w:rsidRPr="00B01B0E" w:rsidRDefault="00774368" w:rsidP="00774368">
      <w:pPr>
        <w:pStyle w:val="CETHeading1"/>
        <w:tabs>
          <w:tab w:val="clear" w:pos="360"/>
          <w:tab w:val="right" w:pos="7100"/>
        </w:tabs>
        <w:jc w:val="both"/>
        <w:rPr>
          <w:lang w:val="en-GB"/>
        </w:rPr>
      </w:pPr>
      <w:r w:rsidRPr="00B01B0E">
        <w:rPr>
          <w:lang w:val="en-GB"/>
        </w:rPr>
        <w:t>Results and discussion</w:t>
      </w:r>
    </w:p>
    <w:p w14:paraId="74E1121A" w14:textId="77777777" w:rsidR="00AC0CE0" w:rsidRDefault="00F11AE1" w:rsidP="004B6CEA">
      <w:pPr>
        <w:tabs>
          <w:tab w:val="clear" w:pos="7100"/>
        </w:tabs>
        <w:autoSpaceDE w:val="0"/>
        <w:autoSpaceDN w:val="0"/>
        <w:adjustRightInd w:val="0"/>
      </w:pPr>
      <w:r w:rsidRPr="00F11AE1">
        <w:t xml:space="preserve">As an initial experiment, the isolated precipitation of the </w:t>
      </w:r>
      <w:proofErr w:type="spellStart"/>
      <w:r w:rsidRPr="00F11AE1">
        <w:t>GnIH</w:t>
      </w:r>
      <w:proofErr w:type="spellEnd"/>
      <w:r w:rsidRPr="00F11AE1">
        <w:t xml:space="preserve"> hormone was carried out due to the total lack of literature on the precipitation of </w:t>
      </w:r>
      <w:proofErr w:type="spellStart"/>
      <w:r w:rsidRPr="00F11AE1">
        <w:t>GnIH</w:t>
      </w:r>
      <w:proofErr w:type="spellEnd"/>
      <w:r w:rsidRPr="00F11AE1">
        <w:t>, and more specifically with supercritical fluids.</w:t>
      </w:r>
      <w:r>
        <w:t xml:space="preserve"> </w:t>
      </w:r>
      <w:r w:rsidR="00C66578">
        <w:t>I</w:t>
      </w:r>
      <w:r w:rsidRPr="00F11AE1">
        <w:t>n order to work above the critical point of the CO</w:t>
      </w:r>
      <w:r w:rsidRPr="00F11AE1">
        <w:rPr>
          <w:vertAlign w:val="subscript"/>
        </w:rPr>
        <w:t>2</w:t>
      </w:r>
      <w:r w:rsidRPr="00F11AE1">
        <w:t xml:space="preserve"> + ethanol mixture</w:t>
      </w:r>
      <w:r w:rsidR="008717F9">
        <w:t xml:space="preserve">, </w:t>
      </w:r>
      <w:r w:rsidRPr="00F11AE1">
        <w:t>the experiments were carried out at a fixed pressure and temperature of 1</w:t>
      </w:r>
      <w:r w:rsidR="008717F9">
        <w:t>4</w:t>
      </w:r>
      <w:r w:rsidRPr="00F11AE1">
        <w:t>0 bar and 40 °C, respectively.</w:t>
      </w:r>
      <w:r w:rsidR="005B6068">
        <w:t xml:space="preserve"> </w:t>
      </w:r>
      <w:r w:rsidR="005B6068" w:rsidRPr="005B6068">
        <w:t xml:space="preserve">The test was performed under the same conditions only varying the concentration of </w:t>
      </w:r>
      <w:proofErr w:type="spellStart"/>
      <w:r w:rsidR="005B6068" w:rsidRPr="005B6068">
        <w:t>GnIH</w:t>
      </w:r>
      <w:proofErr w:type="spellEnd"/>
      <w:r w:rsidR="005B6068" w:rsidRPr="005B6068">
        <w:t xml:space="preserve"> hormone. </w:t>
      </w:r>
    </w:p>
    <w:p w14:paraId="4FC39F91" w14:textId="77777777" w:rsidR="00AC0CE0" w:rsidRDefault="00AC0CE0" w:rsidP="004B6CEA">
      <w:pPr>
        <w:tabs>
          <w:tab w:val="clear" w:pos="7100"/>
        </w:tabs>
        <w:autoSpaceDE w:val="0"/>
        <w:autoSpaceDN w:val="0"/>
        <w:adjustRightInd w:val="0"/>
      </w:pPr>
    </w:p>
    <w:p w14:paraId="4AD49A3A" w14:textId="798072DE" w:rsidR="00CC4369" w:rsidRDefault="00060C38" w:rsidP="004B6CEA">
      <w:pPr>
        <w:tabs>
          <w:tab w:val="clear" w:pos="7100"/>
        </w:tabs>
        <w:autoSpaceDE w:val="0"/>
        <w:autoSpaceDN w:val="0"/>
        <w:adjustRightInd w:val="0"/>
      </w:pPr>
      <w:r w:rsidRPr="00060C38">
        <w:t xml:space="preserve">Ethanol was used as the organic solvent for particle precipitation in this work. </w:t>
      </w:r>
      <w:r w:rsidR="005B6068" w:rsidRPr="005B6068">
        <w:t xml:space="preserve">While for the concentration of 10 mg/mL no precipitate was obtained at the end of the test, a white powder precipitate was obtained </w:t>
      </w:r>
      <w:r w:rsidR="001E2443" w:rsidRPr="001E2443">
        <w:t>increasing</w:t>
      </w:r>
      <w:r w:rsidR="001E2443">
        <w:t xml:space="preserve"> to </w:t>
      </w:r>
      <w:r w:rsidR="005B6068" w:rsidRPr="005B6068">
        <w:t>20 mg/</w:t>
      </w:r>
      <w:proofErr w:type="spellStart"/>
      <w:r w:rsidR="005B6068" w:rsidRPr="005B6068">
        <w:t>mL.</w:t>
      </w:r>
      <w:proofErr w:type="spellEnd"/>
      <w:r w:rsidR="005B6068">
        <w:t xml:space="preserve"> </w:t>
      </w:r>
      <w:r w:rsidR="005B6068" w:rsidRPr="005B6068">
        <w:t xml:space="preserve">Figure 1 shows a comparative between raw untreated </w:t>
      </w:r>
      <w:proofErr w:type="spellStart"/>
      <w:r w:rsidR="005B6068" w:rsidRPr="005B6068">
        <w:t>GnIH</w:t>
      </w:r>
      <w:proofErr w:type="spellEnd"/>
      <w:r w:rsidR="005B6068" w:rsidRPr="005B6068">
        <w:t xml:space="preserve"> (left) and SAS-precipitated particles (right).</w:t>
      </w:r>
    </w:p>
    <w:p w14:paraId="4023B391" w14:textId="77777777" w:rsidR="00CC4369" w:rsidRDefault="00CC4369" w:rsidP="004B6CEA">
      <w:pPr>
        <w:tabs>
          <w:tab w:val="clear" w:pos="7100"/>
        </w:tabs>
        <w:autoSpaceDE w:val="0"/>
        <w:autoSpaceDN w:val="0"/>
        <w:adjustRightInd w:val="0"/>
      </w:pPr>
    </w:p>
    <w:p w14:paraId="0C3A3994" w14:textId="77777777" w:rsidR="00CC4369" w:rsidRDefault="00CC4369" w:rsidP="00CC4369">
      <w:pPr>
        <w:pStyle w:val="CETBodytext"/>
        <w:jc w:val="left"/>
        <w:rPr>
          <w:lang w:val="en-GB"/>
        </w:rPr>
      </w:pPr>
      <w:r>
        <w:rPr>
          <w:noProof/>
          <w:lang w:val="es-ES" w:eastAsia="es-ES"/>
        </w:rPr>
        <w:lastRenderedPageBreak/>
        <w:drawing>
          <wp:inline distT="0" distB="0" distL="0" distR="0" wp14:anchorId="4094BE77" wp14:editId="1FAF9A19">
            <wp:extent cx="2733675" cy="194404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2911" cy="2028836"/>
                    </a:xfrm>
                    <a:prstGeom prst="rect">
                      <a:avLst/>
                    </a:prstGeom>
                    <a:noFill/>
                  </pic:spPr>
                </pic:pic>
              </a:graphicData>
            </a:graphic>
          </wp:inline>
        </w:drawing>
      </w:r>
      <w:r>
        <w:rPr>
          <w:lang w:val="en-GB"/>
        </w:rPr>
        <w:t xml:space="preserve"> </w:t>
      </w:r>
      <w:r>
        <w:rPr>
          <w:noProof/>
          <w:lang w:val="es-ES" w:eastAsia="es-ES"/>
        </w:rPr>
        <w:drawing>
          <wp:inline distT="0" distB="0" distL="0" distR="0" wp14:anchorId="478F441F" wp14:editId="3128106C">
            <wp:extent cx="2733040" cy="194358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3729" cy="2008077"/>
                    </a:xfrm>
                    <a:prstGeom prst="rect">
                      <a:avLst/>
                    </a:prstGeom>
                    <a:noFill/>
                  </pic:spPr>
                </pic:pic>
              </a:graphicData>
            </a:graphic>
          </wp:inline>
        </w:drawing>
      </w:r>
    </w:p>
    <w:p w14:paraId="5EC27282" w14:textId="451C3FA9" w:rsidR="00CC4369" w:rsidRPr="00D87B4C" w:rsidRDefault="00CC4369" w:rsidP="00D87B4C">
      <w:pPr>
        <w:pStyle w:val="CETCaption"/>
        <w:rPr>
          <w:color w:val="000000" w:themeColor="text1"/>
        </w:rPr>
      </w:pPr>
      <w:r w:rsidRPr="00A92F48">
        <w:rPr>
          <w:rStyle w:val="CETCaptionCarattere"/>
          <w:i/>
          <w:color w:val="000000" w:themeColor="text1"/>
        </w:rPr>
        <w:t xml:space="preserve">Figure 2: </w:t>
      </w:r>
      <w:bookmarkStart w:id="2" w:name="_Hlk98155593"/>
      <w:r w:rsidRPr="00A92F48">
        <w:rPr>
          <w:rStyle w:val="CETCaptionCarattere"/>
          <w:i/>
          <w:color w:val="000000" w:themeColor="text1"/>
        </w:rPr>
        <w:t>SEM</w:t>
      </w:r>
      <w:bookmarkEnd w:id="2"/>
      <w:r w:rsidRPr="00A92F48">
        <w:rPr>
          <w:rStyle w:val="CETCaptionCarattere"/>
          <w:i/>
          <w:color w:val="000000" w:themeColor="text1"/>
        </w:rPr>
        <w:t xml:space="preserve"> images of raw </w:t>
      </w:r>
      <w:proofErr w:type="spellStart"/>
      <w:r w:rsidRPr="00A92F48">
        <w:rPr>
          <w:rStyle w:val="CETCaptionCarattere"/>
          <w:i/>
          <w:color w:val="000000" w:themeColor="text1"/>
        </w:rPr>
        <w:t>GnI</w:t>
      </w:r>
      <w:r>
        <w:rPr>
          <w:rStyle w:val="CETCaptionCarattere"/>
          <w:i/>
          <w:color w:val="000000" w:themeColor="text1"/>
        </w:rPr>
        <w:t>H</w:t>
      </w:r>
      <w:proofErr w:type="spellEnd"/>
      <w:r w:rsidRPr="00A92F48">
        <w:rPr>
          <w:rStyle w:val="CETCaptionCarattere"/>
          <w:i/>
          <w:color w:val="000000" w:themeColor="text1"/>
        </w:rPr>
        <w:t xml:space="preserve"> (left) and microparticles of </w:t>
      </w:r>
      <w:proofErr w:type="spellStart"/>
      <w:r w:rsidRPr="00A92F48">
        <w:rPr>
          <w:rStyle w:val="CETCaptionCarattere"/>
          <w:i/>
          <w:color w:val="000000" w:themeColor="text1"/>
        </w:rPr>
        <w:t>GnIH</w:t>
      </w:r>
      <w:proofErr w:type="spellEnd"/>
      <w:r w:rsidRPr="00A92F48">
        <w:rPr>
          <w:rStyle w:val="CETCaptionCarattere"/>
          <w:i/>
          <w:color w:val="000000" w:themeColor="text1"/>
        </w:rPr>
        <w:t xml:space="preserve"> </w:t>
      </w:r>
      <w:r>
        <w:rPr>
          <w:rStyle w:val="CETCaptionCarattere"/>
          <w:i/>
          <w:color w:val="000000" w:themeColor="text1"/>
        </w:rPr>
        <w:t xml:space="preserve">(right) </w:t>
      </w:r>
      <w:r w:rsidRPr="00A92F48">
        <w:rPr>
          <w:rStyle w:val="CETCaptionCarattere"/>
          <w:i/>
          <w:color w:val="000000" w:themeColor="text1"/>
        </w:rPr>
        <w:t>after SAS process (concentration of 20 mg/mL).</w:t>
      </w:r>
    </w:p>
    <w:p w14:paraId="07C18107" w14:textId="5574E1C4" w:rsidR="00EB1C95" w:rsidRDefault="00A63286" w:rsidP="004B6CEA">
      <w:pPr>
        <w:tabs>
          <w:tab w:val="clear" w:pos="7100"/>
        </w:tabs>
        <w:autoSpaceDE w:val="0"/>
        <w:autoSpaceDN w:val="0"/>
        <w:adjustRightInd w:val="0"/>
      </w:pPr>
      <w:r>
        <w:t xml:space="preserve"> </w:t>
      </w:r>
      <w:r w:rsidRPr="00A63286">
        <w:t>The morphology of the sample was successfully modified, obtaining mostly spherical particles, with an average particle size of 1.32</w:t>
      </w:r>
      <w:r>
        <w:t xml:space="preserve"> </w:t>
      </w:r>
      <w:r>
        <w:rPr>
          <w:rFonts w:cs="Arial"/>
        </w:rPr>
        <w:t>µ</w:t>
      </w:r>
      <w:r>
        <w:t>m</w:t>
      </w:r>
      <w:r w:rsidR="00935211">
        <w:t xml:space="preserve">, </w:t>
      </w:r>
      <w:r w:rsidR="00935211" w:rsidRPr="00935211">
        <w:t>while the commercial hormone presented an average particle size of 20 microns.</w:t>
      </w:r>
      <w:r w:rsidR="00DE5E1C">
        <w:t xml:space="preserve"> </w:t>
      </w:r>
      <w:r w:rsidR="00DE5E1C" w:rsidRPr="00DE5E1C">
        <w:t>This decrease in size in pharmaceuticals or complex molecules allows these molecules to</w:t>
      </w:r>
      <w:r w:rsidR="00DE5E1C">
        <w:t xml:space="preserve"> </w:t>
      </w:r>
      <w:r w:rsidR="00DE5E1C" w:rsidRPr="00DE5E1C">
        <w:t>move more freely in the human body as compared to bigger materials</w:t>
      </w:r>
      <w:r w:rsidR="00DE5E1C">
        <w:t xml:space="preserve"> and </w:t>
      </w:r>
      <w:r w:rsidR="00DE5E1C" w:rsidRPr="00DE5E1C">
        <w:t xml:space="preserve">higher oral bioavailability </w:t>
      </w:r>
      <w:r w:rsidR="00DE5E1C">
        <w:fldChar w:fldCharType="begin" w:fldLock="1"/>
      </w:r>
      <w:r w:rsidR="008D18CA">
        <w:instrText>ADDIN CSL_CITATION {"citationItems":[{"id":"ITEM-1","itemData":{"DOI":"10.1186/s12951-018-0392-8","ISSN":"14773155","PMID":"30231877","abstract":"Nanomedicine and nano delivery systems are a relatively new but rapidly developing science where materials in the nanoscale range are employed to serve as means of diagnostic tools or to deliver therapeutic agents to specific targeted sites in a controlled manner. Nanotechnology offers multiple benefits in treating chronic human diseases by site-specific, and target-oriented delivery of precise medicines. Recently, there are a number of outstanding applications of the nanomedicine (chemotherapeutic agents, biological agents, immunotherapeutic agents etc.) in the treatment of various diseases. The current review, presents an updated summary of recent advances in the field of nanomedicines and nano based drug delivery systems through comprehensive scrutiny of the discovery and application of nanomaterials in improving both the efficacy of novel and old drugs (e.g., natural products) and selective diagnosis through disease marker molecules. The opportunities and challenges of nanomedicines in drug delivery from synthetic/natural sources to their clinical applications are also discussed. In addition, we have included information regarding the trends and perspectives in nanomedicine area.","author":[{"dropping-particle":"","family":"Patra","given":"Jayanta Kumar","non-dropping-particle":"","parse-names":false,"suffix":""},{"dropping-particle":"","family":"Das","given":"Gitishree","non-dropping-particle":"","parse-names":false,"suffix":""},{"dropping-particle":"","family":"Fraceto","given":"Leonardo Fernandes","non-dropping-particle":"","parse-names":false,"suffix":""},{"dropping-particle":"","family":"Campos","given":"Estefania Vangelie Ramos","non-dropping-particle":"","parse-names":false,"suffix":""},{"dropping-particle":"","family":"Rodriguez-Torres","given":"Maria Del Pilar","non-dropping-particle":"","parse-names":false,"suffix":""},{"dropping-particle":"","family":"Acosta-Torres","given":"Laura Susana","non-dropping-particle":"","parse-names":false,"suffix":""},{"dropping-particle":"","family":"Diaz-Torres","given":"Luis Armando","non-dropping-particle":"","parse-names":false,"suffix":""},{"dropping-particle":"","family":"Grillo","given":"Renato","non-dropping-particle":"","parse-names":false,"suffix":""},{"dropping-particle":"","family":"Swamy","given":"Mallappa Kumara","non-dropping-particle":"","parse-names":false,"suffix":""},{"dropping-particle":"","family":"Sharma","given":"Shivesh","non-dropping-particle":"","parse-names":false,"suffix":""},{"dropping-particle":"","family":"Habtemariam","given":"Solomon","non-dropping-particle":"","parse-names":false,"suffix":""},{"dropping-particle":"","family":"Shin","given":"Han Seung","non-dropping-particle":"","parse-names":false,"suffix":""}],"container-title":"Journal of Nanobiotechnology","id":"ITEM-1","issue":"1","issued":{"date-parts":[["2018"]]},"page":"1-33","publisher":"BioMed Central","title":"Nano based drug delivery systems: Recent developments and future prospects 10 Technology 1007 Nanotechnology 03 Chemical Sciences 0306 Physical Chemistry (incl. Structural) 03 Chemical Sciences 0303 Macromolecular and Materials Chemistry 11 Medical and He","type":"article-journal","volume":"16"},"uris":["http://www.mendeley.com/documents/?uuid=92a4dde8-507e-4be1-b5ea-a6361e9dc66d"]}],"mendeley":{"formattedCitation":"(Patra et al., 2018)","plainTextFormattedCitation":"(Patra et al., 2018)","previouslyFormattedCitation":"(Patra et al., 2018)"},"properties":{"noteIndex":0},"schema":"https://github.com/citation-style-language/schema/raw/master/csl-citation.json"}</w:instrText>
      </w:r>
      <w:r w:rsidR="00DE5E1C">
        <w:fldChar w:fldCharType="separate"/>
      </w:r>
      <w:r w:rsidR="00DE5E1C" w:rsidRPr="00DE5E1C">
        <w:rPr>
          <w:noProof/>
        </w:rPr>
        <w:t>(Patra et al., 2018)</w:t>
      </w:r>
      <w:r w:rsidR="00DE5E1C">
        <w:fldChar w:fldCharType="end"/>
      </w:r>
      <w:r w:rsidR="00DE5E1C" w:rsidRPr="00DE5E1C">
        <w:t>.</w:t>
      </w:r>
    </w:p>
    <w:p w14:paraId="04492959" w14:textId="3D263211" w:rsidR="00613635" w:rsidRDefault="00613635" w:rsidP="00E45372">
      <w:pPr>
        <w:pStyle w:val="CETCaption"/>
        <w:rPr>
          <w:rFonts w:eastAsiaTheme="minorHAnsi" w:cs="Arial"/>
          <w:i w:val="0"/>
          <w:iCs/>
          <w:szCs w:val="18"/>
        </w:rPr>
      </w:pPr>
      <w:r w:rsidRPr="00D4670D">
        <w:rPr>
          <w:rFonts w:eastAsiaTheme="minorHAnsi" w:cs="Arial"/>
          <w:i w:val="0"/>
          <w:iCs/>
          <w:szCs w:val="18"/>
        </w:rPr>
        <w:t xml:space="preserve">On the other hand, </w:t>
      </w:r>
      <w:r w:rsidR="00D4670D">
        <w:rPr>
          <w:rFonts w:eastAsiaTheme="minorHAnsi" w:cs="Arial"/>
          <w:i w:val="0"/>
          <w:iCs/>
          <w:szCs w:val="18"/>
        </w:rPr>
        <w:t>a</w:t>
      </w:r>
      <w:r w:rsidR="00D4670D" w:rsidRPr="00D4670D">
        <w:rPr>
          <w:rFonts w:eastAsiaTheme="minorHAnsi" w:cs="Arial"/>
          <w:i w:val="0"/>
          <w:iCs/>
          <w:szCs w:val="18"/>
        </w:rPr>
        <w:t xml:space="preserve">fter isolated precipitation of the </w:t>
      </w:r>
      <w:proofErr w:type="spellStart"/>
      <w:r w:rsidR="00D4670D" w:rsidRPr="00D4670D">
        <w:rPr>
          <w:rFonts w:eastAsiaTheme="minorHAnsi" w:cs="Arial"/>
          <w:i w:val="0"/>
          <w:iCs/>
          <w:szCs w:val="18"/>
        </w:rPr>
        <w:t>GnIH</w:t>
      </w:r>
      <w:proofErr w:type="spellEnd"/>
      <w:r w:rsidR="00D4670D" w:rsidRPr="00D4670D">
        <w:rPr>
          <w:rFonts w:eastAsiaTheme="minorHAnsi" w:cs="Arial"/>
          <w:i w:val="0"/>
          <w:iCs/>
          <w:szCs w:val="18"/>
        </w:rPr>
        <w:t xml:space="preserve"> hormone was achieved, </w:t>
      </w:r>
      <w:r w:rsidR="001E3AC8">
        <w:rPr>
          <w:rFonts w:eastAsiaTheme="minorHAnsi" w:cs="Arial"/>
          <w:i w:val="0"/>
          <w:iCs/>
          <w:szCs w:val="18"/>
        </w:rPr>
        <w:t>five</w:t>
      </w:r>
      <w:r w:rsidR="001E3AC8" w:rsidRPr="001E3AC8">
        <w:rPr>
          <w:rFonts w:eastAsiaTheme="minorHAnsi" w:cs="Arial"/>
          <w:i w:val="0"/>
          <w:iCs/>
          <w:szCs w:val="18"/>
        </w:rPr>
        <w:t xml:space="preserve"> experiments were carried out to study the effect of the pressure </w:t>
      </w:r>
      <w:r w:rsidR="001E3AC8">
        <w:rPr>
          <w:rFonts w:eastAsiaTheme="minorHAnsi" w:cs="Arial"/>
          <w:i w:val="0"/>
          <w:iCs/>
          <w:szCs w:val="18"/>
        </w:rPr>
        <w:t xml:space="preserve">and ratio hormone/polymer </w:t>
      </w:r>
      <w:r w:rsidR="001E3AC8" w:rsidRPr="001E3AC8">
        <w:rPr>
          <w:rFonts w:eastAsiaTheme="minorHAnsi" w:cs="Arial"/>
          <w:i w:val="0"/>
          <w:iCs/>
          <w:szCs w:val="18"/>
        </w:rPr>
        <w:t>in the formation of</w:t>
      </w:r>
      <w:r w:rsidR="001E3AC8">
        <w:rPr>
          <w:rFonts w:eastAsiaTheme="minorHAnsi" w:cs="Arial"/>
          <w:i w:val="0"/>
          <w:iCs/>
          <w:szCs w:val="18"/>
        </w:rPr>
        <w:t xml:space="preserve"> </w:t>
      </w:r>
      <w:proofErr w:type="spellStart"/>
      <w:r w:rsidR="001E3AC8" w:rsidRPr="001E3AC8">
        <w:rPr>
          <w:rFonts w:eastAsiaTheme="minorHAnsi" w:cs="Arial"/>
          <w:i w:val="0"/>
          <w:iCs/>
          <w:szCs w:val="18"/>
        </w:rPr>
        <w:t>GnIH</w:t>
      </w:r>
      <w:proofErr w:type="spellEnd"/>
      <w:r w:rsidR="001E3AC8" w:rsidRPr="001E3AC8">
        <w:rPr>
          <w:rFonts w:eastAsiaTheme="minorHAnsi" w:cs="Arial"/>
          <w:i w:val="0"/>
          <w:iCs/>
          <w:szCs w:val="18"/>
        </w:rPr>
        <w:t xml:space="preserve"> Hormone/Pluronic F-127 Systems</w:t>
      </w:r>
      <w:r w:rsidR="00D4670D" w:rsidRPr="00D4670D">
        <w:rPr>
          <w:rFonts w:eastAsiaTheme="minorHAnsi" w:cs="Arial"/>
          <w:i w:val="0"/>
          <w:iCs/>
          <w:szCs w:val="18"/>
        </w:rPr>
        <w:t>, which are summarised in Table 1.</w:t>
      </w:r>
      <w:r w:rsidR="00D4670D">
        <w:rPr>
          <w:rFonts w:eastAsiaTheme="minorHAnsi" w:cs="Arial"/>
          <w:i w:val="0"/>
          <w:iCs/>
          <w:szCs w:val="18"/>
        </w:rPr>
        <w:t xml:space="preserve"> </w:t>
      </w:r>
      <w:r w:rsidR="00E45372" w:rsidRPr="00E45372">
        <w:rPr>
          <w:rFonts w:eastAsiaTheme="minorHAnsi" w:cs="Arial"/>
          <w:i w:val="0"/>
          <w:iCs/>
          <w:szCs w:val="18"/>
        </w:rPr>
        <w:t xml:space="preserve">All experiments were performed at a </w:t>
      </w:r>
      <w:r w:rsidR="002D1376">
        <w:rPr>
          <w:rFonts w:eastAsiaTheme="minorHAnsi" w:cs="Arial"/>
          <w:i w:val="0"/>
          <w:iCs/>
          <w:szCs w:val="18"/>
        </w:rPr>
        <w:t xml:space="preserve">total </w:t>
      </w:r>
      <w:r w:rsidR="00E45372" w:rsidRPr="00E45372">
        <w:rPr>
          <w:rFonts w:eastAsiaTheme="minorHAnsi" w:cs="Arial"/>
          <w:i w:val="0"/>
          <w:iCs/>
          <w:szCs w:val="18"/>
        </w:rPr>
        <w:t>concentration of 20 mg/mL</w:t>
      </w:r>
      <w:r w:rsidR="002D1376">
        <w:rPr>
          <w:rFonts w:eastAsiaTheme="minorHAnsi" w:cs="Arial"/>
          <w:i w:val="0"/>
          <w:iCs/>
          <w:szCs w:val="18"/>
        </w:rPr>
        <w:t>,</w:t>
      </w:r>
      <w:r w:rsidR="00E45372" w:rsidRPr="00E45372">
        <w:rPr>
          <w:rFonts w:eastAsiaTheme="minorHAnsi" w:cs="Arial"/>
          <w:i w:val="0"/>
          <w:iCs/>
          <w:szCs w:val="18"/>
        </w:rPr>
        <w:t xml:space="preserve"> </w:t>
      </w:r>
      <w:r w:rsidR="002D1376" w:rsidRPr="002D1376">
        <w:rPr>
          <w:rFonts w:eastAsiaTheme="minorHAnsi" w:cs="Arial"/>
          <w:i w:val="0"/>
          <w:iCs/>
          <w:szCs w:val="18"/>
        </w:rPr>
        <w:t xml:space="preserve">combining the concentration of polymer and </w:t>
      </w:r>
      <w:proofErr w:type="spellStart"/>
      <w:r w:rsidR="002D1376">
        <w:rPr>
          <w:rFonts w:eastAsiaTheme="minorHAnsi" w:cs="Arial"/>
          <w:i w:val="0"/>
          <w:iCs/>
          <w:szCs w:val="18"/>
        </w:rPr>
        <w:t>GnIH</w:t>
      </w:r>
      <w:proofErr w:type="spellEnd"/>
      <w:r w:rsidR="00E45372" w:rsidRPr="00E45372">
        <w:rPr>
          <w:rFonts w:eastAsiaTheme="minorHAnsi" w:cs="Arial"/>
          <w:i w:val="0"/>
          <w:iCs/>
          <w:szCs w:val="18"/>
        </w:rPr>
        <w:t>.</w:t>
      </w:r>
      <w:r w:rsidR="00E45372">
        <w:rPr>
          <w:rFonts w:eastAsiaTheme="minorHAnsi" w:cs="Arial"/>
          <w:i w:val="0"/>
          <w:iCs/>
          <w:szCs w:val="18"/>
        </w:rPr>
        <w:t xml:space="preserve"> </w:t>
      </w:r>
      <w:r w:rsidR="00E45372" w:rsidRPr="00E45372">
        <w:rPr>
          <w:rFonts w:eastAsiaTheme="minorHAnsi" w:cs="Arial"/>
          <w:i w:val="0"/>
          <w:iCs/>
          <w:szCs w:val="18"/>
        </w:rPr>
        <w:t xml:space="preserve">The particles show an average size between </w:t>
      </w:r>
      <w:r w:rsidR="00E33C4F">
        <w:rPr>
          <w:rFonts w:eastAsiaTheme="minorHAnsi" w:cs="Arial"/>
          <w:i w:val="0"/>
          <w:iCs/>
          <w:szCs w:val="18"/>
        </w:rPr>
        <w:t>0.16</w:t>
      </w:r>
      <w:r w:rsidR="00E33C4F" w:rsidRPr="00E45372">
        <w:rPr>
          <w:rFonts w:eastAsiaTheme="minorHAnsi" w:cs="Arial"/>
          <w:i w:val="0"/>
          <w:iCs/>
          <w:szCs w:val="18"/>
        </w:rPr>
        <w:t xml:space="preserve"> </w:t>
      </w:r>
      <w:r w:rsidR="00E45372" w:rsidRPr="00E45372">
        <w:rPr>
          <w:rFonts w:eastAsiaTheme="minorHAnsi" w:cs="Arial"/>
          <w:i w:val="0"/>
          <w:iCs/>
          <w:szCs w:val="18"/>
        </w:rPr>
        <w:t>-</w:t>
      </w:r>
      <w:r w:rsidR="00E45372">
        <w:rPr>
          <w:rFonts w:eastAsiaTheme="minorHAnsi" w:cs="Arial"/>
          <w:i w:val="0"/>
          <w:iCs/>
          <w:szCs w:val="18"/>
        </w:rPr>
        <w:t xml:space="preserve"> </w:t>
      </w:r>
      <w:r w:rsidR="00E33C4F">
        <w:rPr>
          <w:rFonts w:eastAsiaTheme="minorHAnsi" w:cs="Arial"/>
          <w:i w:val="0"/>
          <w:iCs/>
          <w:szCs w:val="18"/>
        </w:rPr>
        <w:t xml:space="preserve">1.92 </w:t>
      </w:r>
      <w:r w:rsidR="00E45372" w:rsidRPr="00E45372">
        <w:rPr>
          <w:rFonts w:eastAsiaTheme="minorHAnsi" w:cs="Arial"/>
          <w:i w:val="0"/>
          <w:iCs/>
          <w:szCs w:val="18"/>
        </w:rPr>
        <w:t>µm. It was</w:t>
      </w:r>
      <w:r w:rsidR="00E45372">
        <w:rPr>
          <w:rFonts w:eastAsiaTheme="minorHAnsi" w:cs="Arial"/>
          <w:i w:val="0"/>
          <w:iCs/>
          <w:szCs w:val="18"/>
        </w:rPr>
        <w:t xml:space="preserve"> </w:t>
      </w:r>
      <w:r w:rsidR="00E45372" w:rsidRPr="00E45372">
        <w:rPr>
          <w:rFonts w:eastAsiaTheme="minorHAnsi" w:cs="Arial"/>
          <w:i w:val="0"/>
          <w:iCs/>
          <w:szCs w:val="18"/>
        </w:rPr>
        <w:t xml:space="preserve">observed that in the </w:t>
      </w:r>
      <w:r w:rsidR="00E45372">
        <w:rPr>
          <w:rFonts w:eastAsiaTheme="minorHAnsi" w:cs="Arial"/>
          <w:i w:val="0"/>
          <w:iCs/>
          <w:szCs w:val="18"/>
        </w:rPr>
        <w:t xml:space="preserve">two </w:t>
      </w:r>
      <w:r w:rsidR="00E45372" w:rsidRPr="00E45372">
        <w:rPr>
          <w:rFonts w:eastAsiaTheme="minorHAnsi" w:cs="Arial"/>
          <w:i w:val="0"/>
          <w:iCs/>
          <w:szCs w:val="18"/>
        </w:rPr>
        <w:t>pairs of experiments (1-2, 3-4), each pair at the same conditions, varying only</w:t>
      </w:r>
      <w:r w:rsidR="00E45372">
        <w:rPr>
          <w:rFonts w:eastAsiaTheme="minorHAnsi" w:cs="Arial"/>
          <w:i w:val="0"/>
          <w:iCs/>
          <w:szCs w:val="18"/>
        </w:rPr>
        <w:t xml:space="preserve"> </w:t>
      </w:r>
      <w:r w:rsidR="00E45372" w:rsidRPr="00E45372">
        <w:rPr>
          <w:rFonts w:eastAsiaTheme="minorHAnsi" w:cs="Arial"/>
          <w:i w:val="0"/>
          <w:iCs/>
          <w:szCs w:val="18"/>
        </w:rPr>
        <w:t xml:space="preserve">the pressure, shows that with decreasing pressure, </w:t>
      </w:r>
      <w:r w:rsidR="00666EE8" w:rsidRPr="00666EE8">
        <w:rPr>
          <w:rFonts w:eastAsiaTheme="minorHAnsi" w:cs="Arial"/>
          <w:i w:val="0"/>
          <w:iCs/>
          <w:szCs w:val="18"/>
        </w:rPr>
        <w:t>both the precipitate production</w:t>
      </w:r>
      <w:r w:rsidR="00666EE8">
        <w:rPr>
          <w:rFonts w:eastAsiaTheme="minorHAnsi" w:cs="Arial"/>
          <w:i w:val="0"/>
          <w:iCs/>
          <w:szCs w:val="18"/>
        </w:rPr>
        <w:t xml:space="preserve"> and </w:t>
      </w:r>
      <w:r w:rsidR="00E45372" w:rsidRPr="00E45372">
        <w:rPr>
          <w:rFonts w:eastAsiaTheme="minorHAnsi" w:cs="Arial"/>
          <w:i w:val="0"/>
          <w:iCs/>
          <w:szCs w:val="18"/>
        </w:rPr>
        <w:t>the average size of the particles decreases.</w:t>
      </w:r>
      <w:r w:rsidR="00F708E0">
        <w:rPr>
          <w:rFonts w:eastAsiaTheme="minorHAnsi" w:cs="Arial"/>
          <w:i w:val="0"/>
          <w:iCs/>
          <w:szCs w:val="18"/>
        </w:rPr>
        <w:t xml:space="preserve"> </w:t>
      </w:r>
      <w:r w:rsidR="00F708E0" w:rsidRPr="00F708E0">
        <w:rPr>
          <w:rFonts w:eastAsiaTheme="minorHAnsi" w:cs="Arial"/>
          <w:i w:val="0"/>
          <w:iCs/>
          <w:szCs w:val="18"/>
        </w:rPr>
        <w:t xml:space="preserve">Furthermore, no precipitate was obtained using high pressure in </w:t>
      </w:r>
      <w:r w:rsidR="00F708E0">
        <w:rPr>
          <w:rFonts w:eastAsiaTheme="minorHAnsi" w:cs="Arial"/>
          <w:i w:val="0"/>
          <w:iCs/>
          <w:szCs w:val="18"/>
        </w:rPr>
        <w:t>run</w:t>
      </w:r>
      <w:r w:rsidR="00F708E0" w:rsidRPr="00F708E0">
        <w:rPr>
          <w:rFonts w:eastAsiaTheme="minorHAnsi" w:cs="Arial"/>
          <w:i w:val="0"/>
          <w:iCs/>
          <w:szCs w:val="18"/>
        </w:rPr>
        <w:t xml:space="preserve"> 3.</w:t>
      </w:r>
    </w:p>
    <w:p w14:paraId="6D402BD6" w14:textId="21A42DC6" w:rsidR="004B5BBA" w:rsidRPr="000C5801" w:rsidRDefault="00E33C4F" w:rsidP="000C5801">
      <w:pPr>
        <w:pStyle w:val="CETCaption"/>
        <w:rPr>
          <w:rStyle w:val="CETCaptionCarattere"/>
          <w:color w:val="000000" w:themeColor="text1"/>
        </w:rPr>
      </w:pPr>
      <w:r w:rsidRPr="00E33C4F">
        <w:rPr>
          <w:rStyle w:val="CETCaptionCarattere"/>
          <w:color w:val="000000" w:themeColor="text1"/>
        </w:rPr>
        <w:t>With regard to</w:t>
      </w:r>
      <w:r w:rsidR="000C5801" w:rsidRPr="00E33C4F">
        <w:rPr>
          <w:rStyle w:val="CETCaptionCarattere"/>
          <w:color w:val="000000" w:themeColor="text1"/>
        </w:rPr>
        <w:t xml:space="preserve"> the coprecipitation, </w:t>
      </w:r>
      <w:r w:rsidRPr="00E33C4F">
        <w:rPr>
          <w:rStyle w:val="CETCaptionCarattere"/>
          <w:color w:val="000000" w:themeColor="text1"/>
        </w:rPr>
        <w:t xml:space="preserve">it is apparent that </w:t>
      </w:r>
      <w:r w:rsidR="000C5801" w:rsidRPr="00E33C4F">
        <w:rPr>
          <w:rStyle w:val="CETCaptionCarattere"/>
          <w:color w:val="000000" w:themeColor="text1"/>
        </w:rPr>
        <w:t xml:space="preserve">the </w:t>
      </w:r>
      <w:r w:rsidRPr="00E33C4F">
        <w:rPr>
          <w:rStyle w:val="CETCaptionCarattere"/>
          <w:color w:val="000000" w:themeColor="text1"/>
        </w:rPr>
        <w:t>active substance/polymer</w:t>
      </w:r>
      <w:r w:rsidR="000C5801" w:rsidRPr="00E33C4F">
        <w:rPr>
          <w:rStyle w:val="CETCaptionCarattere"/>
          <w:color w:val="000000" w:themeColor="text1"/>
        </w:rPr>
        <w:t xml:space="preserve"> ratio plays a crucial role in the attainment of composite </w:t>
      </w:r>
      <w:r w:rsidR="000C5801" w:rsidRPr="00CE70A3">
        <w:rPr>
          <w:rStyle w:val="CETCaptionCarattere"/>
          <w:color w:val="000000" w:themeColor="text1"/>
        </w:rPr>
        <w:t xml:space="preserve">particles. </w:t>
      </w:r>
      <w:r w:rsidR="007E30AD" w:rsidRPr="007E30AD">
        <w:rPr>
          <w:rStyle w:val="CETCaptionCarattere"/>
          <w:color w:val="000000" w:themeColor="text1"/>
        </w:rPr>
        <w:t>In addition, the polymer content strongly affects the dissolution rate; in general, the generation of the active compound is mainly modified by increasing the polymer/drug ratio</w:t>
      </w:r>
      <w:r w:rsidR="004B5BBA">
        <w:rPr>
          <w:rStyle w:val="CETCaptionCarattere"/>
          <w:color w:val="000000" w:themeColor="text1"/>
        </w:rPr>
        <w:t xml:space="preserve"> </w:t>
      </w:r>
      <w:r w:rsidR="004B5BBA">
        <w:rPr>
          <w:rStyle w:val="CETCaptionCarattere"/>
          <w:color w:val="000000" w:themeColor="text1"/>
        </w:rPr>
        <w:fldChar w:fldCharType="begin" w:fldLock="1"/>
      </w:r>
      <w:r w:rsidR="008D18CA">
        <w:rPr>
          <w:rStyle w:val="CETCaptionCarattere"/>
          <w:color w:val="000000" w:themeColor="text1"/>
        </w:rPr>
        <w:instrText>ADDIN CSL_CITATION {"citationItems":[{"id":"ITEM-1","itemData":{"DOI":"10.1007/s12257-011-0241-1","ISSN":"12268372","abstract":"In this study, peptide-loaded microparticles were prepared using an aerosol solvent extraction system (ASES) by employing supercritical carbon dioxide as an antisolvent. The effects of the molecular weight of poly(Llactide) (PLLA), poly(ethylene glycol) (PEG), the blocklength of methoxy poly(ethylene glycol)-b-poly(L-lactide) (mPEG-PLLA), the blending of PLLA and PEG, and the drug-to-polymer feed ratio on the formation of leuprolideacetate (LA)-loaded microparticles and their release characteristics were investigated. Scanning electron microscope observations showed that the LA-loaded polymer particles had a spherical morphology with a smooth surface. The entrapment efficiency of LA in the ASES-processed microparticles was found to be extremely high (about 99%), whereas the initial release rate of the LA-loaded microparticles was very low for PLLA. The release rate of LA was observed to increase as the PEG block length of mPEG-PLLA and/or the drug content in the microparticles increased. When PLLA was blended with PEG, the release rate of LA from the PLLA/PEG microparticles was significantly faster compared with the correspondingmPEG-PLLA copolymer © 2012 The Korean Society for Biotechnology and Bioengineering and Springer.","author":[{"dropping-particle":"Il","family":"Jung","given":"In","non-dropping-particle":"","parse-names":false,"suffix":""},{"dropping-particle":"","family":"Haam","given":"Seoungjoo","non-dropping-particle":"","parse-names":false,"suffix":""},{"dropping-particle":"","family":"Lim","given":"Giobin","non-dropping-particle":"","parse-names":false,"suffix":""},{"dropping-particle":"","family":"Ryu","given":"Jong Hoon","non-dropping-particle":"","parse-names":false,"suffix":""}],"container-title":"Biotechnology and Bioprocess Engineering","id":"ITEM-1","issue":"1","issued":{"date-parts":[["2012"]]},"page":"185-194","title":"Preparation of peptide-loaded polymer microparticles using supercritical carbon dioxide","type":"article-journal","volume":"17"},"uris":["http://www.mendeley.com/documents/?uuid=640606d1-35f8-48b8-8db8-e381bdf5ccf6"]}],"mendeley":{"formattedCitation":"(Jung et al., 2012)","plainTextFormattedCitation":"(Jung et al., 2012)","previouslyFormattedCitation":"(Jung et al., 2012)"},"properties":{"noteIndex":0},"schema":"https://github.com/citation-style-language/schema/raw/master/csl-citation.json"}</w:instrText>
      </w:r>
      <w:r w:rsidR="004B5BBA">
        <w:rPr>
          <w:rStyle w:val="CETCaptionCarattere"/>
          <w:color w:val="000000" w:themeColor="text1"/>
        </w:rPr>
        <w:fldChar w:fldCharType="separate"/>
      </w:r>
      <w:r w:rsidR="004B5BBA" w:rsidRPr="004B5BBA">
        <w:rPr>
          <w:rStyle w:val="CETCaptionCarattere"/>
          <w:noProof/>
          <w:color w:val="000000" w:themeColor="text1"/>
        </w:rPr>
        <w:t>(Jung et al., 2012)</w:t>
      </w:r>
      <w:r w:rsidR="004B5BBA">
        <w:rPr>
          <w:rStyle w:val="CETCaptionCarattere"/>
          <w:color w:val="000000" w:themeColor="text1"/>
        </w:rPr>
        <w:fldChar w:fldCharType="end"/>
      </w:r>
      <w:r w:rsidR="004B5BBA">
        <w:rPr>
          <w:rStyle w:val="CETCaptionCarattere"/>
          <w:color w:val="000000" w:themeColor="text1"/>
        </w:rPr>
        <w:t xml:space="preserve">. </w:t>
      </w:r>
      <w:r w:rsidR="004B5BBA" w:rsidRPr="004B5BBA">
        <w:rPr>
          <w:rStyle w:val="CETCaptionCarattere"/>
          <w:color w:val="000000" w:themeColor="text1"/>
        </w:rPr>
        <w:t xml:space="preserve">Under the tested conditions for </w:t>
      </w:r>
      <w:proofErr w:type="spellStart"/>
      <w:r w:rsidR="004B5BBA" w:rsidRPr="004B5BBA">
        <w:rPr>
          <w:rStyle w:val="CETCaptionCarattere"/>
          <w:color w:val="000000" w:themeColor="text1"/>
        </w:rPr>
        <w:t>GnIH</w:t>
      </w:r>
      <w:proofErr w:type="spellEnd"/>
      <w:r w:rsidR="004B5BBA" w:rsidRPr="004B5BBA">
        <w:rPr>
          <w:rStyle w:val="CETCaptionCarattere"/>
          <w:color w:val="000000" w:themeColor="text1"/>
        </w:rPr>
        <w:t xml:space="preserve"> encapsulation, generally better results were obtained by using higher amounts of polymer in the initial solution</w:t>
      </w:r>
      <w:r w:rsidR="009B65B6">
        <w:rPr>
          <w:rStyle w:val="CETCaptionCarattere"/>
          <w:color w:val="000000" w:themeColor="text1"/>
        </w:rPr>
        <w:t>.</w:t>
      </w:r>
    </w:p>
    <w:p w14:paraId="50689CAB" w14:textId="77777777" w:rsidR="001E3AC8" w:rsidRPr="00B57B36" w:rsidRDefault="001E3AC8" w:rsidP="001E3AC8">
      <w:pPr>
        <w:pStyle w:val="CETTabletitle"/>
      </w:pPr>
      <w:r w:rsidRPr="00B57B36">
        <w:t xml:space="preserve">Table 1: </w:t>
      </w:r>
      <w:r w:rsidRPr="0071287C">
        <w:t xml:space="preserve">Summary of conditions for SAS process, particle size and % </w:t>
      </w:r>
      <w:r>
        <w:t xml:space="preserve">of </w:t>
      </w:r>
      <w:r w:rsidRPr="0071287C">
        <w:t>nitrogen present in the encapsulates.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438"/>
        <w:gridCol w:w="861"/>
        <w:gridCol w:w="1294"/>
        <w:gridCol w:w="1150"/>
        <w:gridCol w:w="1150"/>
      </w:tblGrid>
      <w:tr w:rsidR="001E3AC8" w:rsidRPr="00B57B36" w14:paraId="12BB7708" w14:textId="77777777" w:rsidTr="00EA7E64">
        <w:trPr>
          <w:trHeight w:val="485"/>
        </w:trPr>
        <w:tc>
          <w:tcPr>
            <w:tcW w:w="1438" w:type="dxa"/>
            <w:tcBorders>
              <w:top w:val="single" w:sz="12" w:space="0" w:color="008000"/>
              <w:bottom w:val="single" w:sz="6" w:space="0" w:color="008000"/>
            </w:tcBorders>
            <w:shd w:val="clear" w:color="auto" w:fill="FFFFFF"/>
          </w:tcPr>
          <w:p w14:paraId="584F2104" w14:textId="77777777" w:rsidR="001E3AC8" w:rsidRPr="00B57B36" w:rsidRDefault="001E3AC8" w:rsidP="00900AAA">
            <w:pPr>
              <w:pStyle w:val="CETBodytext"/>
              <w:jc w:val="center"/>
              <w:rPr>
                <w:lang w:val="en-GB"/>
              </w:rPr>
            </w:pPr>
            <w:r>
              <w:rPr>
                <w:lang w:val="en-GB"/>
              </w:rPr>
              <w:t>Run</w:t>
            </w:r>
          </w:p>
        </w:tc>
        <w:tc>
          <w:tcPr>
            <w:tcW w:w="861" w:type="dxa"/>
            <w:tcBorders>
              <w:top w:val="single" w:sz="12" w:space="0" w:color="008000"/>
              <w:bottom w:val="single" w:sz="6" w:space="0" w:color="008000"/>
            </w:tcBorders>
            <w:shd w:val="clear" w:color="auto" w:fill="FFFFFF"/>
          </w:tcPr>
          <w:p w14:paraId="6EB26892" w14:textId="77777777" w:rsidR="001E3AC8" w:rsidRDefault="001E3AC8" w:rsidP="00900AAA">
            <w:pPr>
              <w:pStyle w:val="CETBodytext"/>
              <w:jc w:val="center"/>
              <w:rPr>
                <w:lang w:val="en-GB"/>
              </w:rPr>
            </w:pPr>
            <w:r>
              <w:rPr>
                <w:lang w:val="en-GB"/>
              </w:rPr>
              <w:t>Pressure</w:t>
            </w:r>
          </w:p>
          <w:p w14:paraId="4D62AC3D" w14:textId="77777777" w:rsidR="001E3AC8" w:rsidRPr="00B57B36" w:rsidRDefault="001E3AC8" w:rsidP="00900AAA">
            <w:pPr>
              <w:pStyle w:val="CETBodytext"/>
              <w:jc w:val="center"/>
              <w:rPr>
                <w:lang w:val="en-GB"/>
              </w:rPr>
            </w:pPr>
            <w:r>
              <w:rPr>
                <w:lang w:val="en-GB"/>
              </w:rPr>
              <w:t>(bar)</w:t>
            </w:r>
          </w:p>
        </w:tc>
        <w:tc>
          <w:tcPr>
            <w:tcW w:w="1294" w:type="dxa"/>
            <w:tcBorders>
              <w:top w:val="single" w:sz="12" w:space="0" w:color="008000"/>
              <w:bottom w:val="single" w:sz="6" w:space="0" w:color="008000"/>
            </w:tcBorders>
            <w:shd w:val="clear" w:color="auto" w:fill="FFFFFF"/>
          </w:tcPr>
          <w:p w14:paraId="5D767C18" w14:textId="77777777" w:rsidR="001E3AC8" w:rsidRPr="00B57B36" w:rsidRDefault="001E3AC8" w:rsidP="00900AAA">
            <w:pPr>
              <w:pStyle w:val="CETBodytext"/>
              <w:ind w:right="-1"/>
              <w:jc w:val="center"/>
              <w:rPr>
                <w:rFonts w:cs="Arial"/>
                <w:szCs w:val="18"/>
                <w:lang w:val="en-GB"/>
              </w:rPr>
            </w:pPr>
            <w:r>
              <w:rPr>
                <w:rFonts w:cs="Arial"/>
                <w:szCs w:val="18"/>
                <w:lang w:val="en-GB"/>
              </w:rPr>
              <w:t xml:space="preserve">Ratio </w:t>
            </w:r>
            <w:proofErr w:type="spellStart"/>
            <w:r>
              <w:rPr>
                <w:rFonts w:cs="Arial"/>
                <w:szCs w:val="18"/>
                <w:lang w:val="en-GB"/>
              </w:rPr>
              <w:t>GnIH</w:t>
            </w:r>
            <w:proofErr w:type="spellEnd"/>
            <w:r>
              <w:rPr>
                <w:rFonts w:cs="Arial"/>
                <w:szCs w:val="18"/>
                <w:lang w:val="en-GB"/>
              </w:rPr>
              <w:t>/Pluronic</w:t>
            </w:r>
          </w:p>
        </w:tc>
        <w:tc>
          <w:tcPr>
            <w:tcW w:w="1150" w:type="dxa"/>
            <w:tcBorders>
              <w:top w:val="single" w:sz="12" w:space="0" w:color="008000"/>
              <w:bottom w:val="single" w:sz="6" w:space="0" w:color="008000"/>
            </w:tcBorders>
            <w:shd w:val="clear" w:color="auto" w:fill="FFFFFF"/>
          </w:tcPr>
          <w:p w14:paraId="2583A00D" w14:textId="77777777" w:rsidR="001E3AC8" w:rsidRDefault="001E3AC8" w:rsidP="00900AAA">
            <w:pPr>
              <w:pStyle w:val="CETBodytext"/>
              <w:jc w:val="center"/>
              <w:rPr>
                <w:lang w:val="en-GB"/>
              </w:rPr>
            </w:pPr>
            <w:r w:rsidRPr="00797764">
              <w:rPr>
                <w:lang w:val="en-GB"/>
              </w:rPr>
              <w:t>Particle Size</w:t>
            </w:r>
          </w:p>
          <w:p w14:paraId="459FEBD0" w14:textId="77777777" w:rsidR="001E3AC8" w:rsidRPr="00B57B36" w:rsidRDefault="001E3AC8" w:rsidP="00900AAA">
            <w:pPr>
              <w:pStyle w:val="CETBodytext"/>
              <w:ind w:right="-1"/>
              <w:jc w:val="center"/>
              <w:rPr>
                <w:rFonts w:cs="Arial"/>
                <w:szCs w:val="18"/>
                <w:lang w:val="en-GB"/>
              </w:rPr>
            </w:pPr>
            <w:r>
              <w:rPr>
                <w:lang w:val="en-GB"/>
              </w:rPr>
              <w:t>(</w:t>
            </w:r>
            <w:r>
              <w:rPr>
                <w:rFonts w:cs="Arial"/>
                <w:lang w:val="en-GB"/>
              </w:rPr>
              <w:t>µ</w:t>
            </w:r>
            <w:r>
              <w:rPr>
                <w:lang w:val="en-GB"/>
              </w:rPr>
              <w:t>m)</w:t>
            </w:r>
          </w:p>
        </w:tc>
        <w:tc>
          <w:tcPr>
            <w:tcW w:w="1150" w:type="dxa"/>
            <w:tcBorders>
              <w:top w:val="single" w:sz="12" w:space="0" w:color="008000"/>
              <w:bottom w:val="single" w:sz="6" w:space="0" w:color="008000"/>
            </w:tcBorders>
            <w:shd w:val="clear" w:color="auto" w:fill="FFFFFF"/>
          </w:tcPr>
          <w:p w14:paraId="23266348" w14:textId="77777777" w:rsidR="001E3AC8" w:rsidRPr="00797764" w:rsidRDefault="001E3AC8" w:rsidP="00900AAA">
            <w:pPr>
              <w:pStyle w:val="CETBodytext"/>
              <w:jc w:val="center"/>
              <w:rPr>
                <w:lang w:val="en-GB"/>
              </w:rPr>
            </w:pPr>
            <w:r w:rsidRPr="00315AAE">
              <w:t>% N</w:t>
            </w:r>
          </w:p>
        </w:tc>
      </w:tr>
      <w:tr w:rsidR="001E3AC8" w:rsidRPr="00B57B36" w14:paraId="61A71102" w14:textId="77777777" w:rsidTr="00EA7E64">
        <w:trPr>
          <w:trHeight w:val="254"/>
        </w:trPr>
        <w:tc>
          <w:tcPr>
            <w:tcW w:w="1438" w:type="dxa"/>
            <w:shd w:val="clear" w:color="auto" w:fill="FFFFFF"/>
          </w:tcPr>
          <w:p w14:paraId="3CD23863" w14:textId="77777777" w:rsidR="001E3AC8" w:rsidRPr="00B57B36" w:rsidRDefault="001E3AC8" w:rsidP="00984CA9">
            <w:pPr>
              <w:pStyle w:val="CETBodytext"/>
              <w:jc w:val="center"/>
              <w:rPr>
                <w:lang w:val="en-GB"/>
              </w:rPr>
            </w:pPr>
            <w:r>
              <w:rPr>
                <w:lang w:val="en-GB"/>
              </w:rPr>
              <w:t>1</w:t>
            </w:r>
          </w:p>
        </w:tc>
        <w:tc>
          <w:tcPr>
            <w:tcW w:w="861" w:type="dxa"/>
            <w:shd w:val="clear" w:color="auto" w:fill="FFFFFF"/>
          </w:tcPr>
          <w:p w14:paraId="67C9F691" w14:textId="77777777" w:rsidR="001E3AC8" w:rsidRPr="00B57B36" w:rsidRDefault="001E3AC8" w:rsidP="00984CA9">
            <w:pPr>
              <w:pStyle w:val="CETBodytext"/>
              <w:jc w:val="center"/>
              <w:rPr>
                <w:lang w:val="en-GB"/>
              </w:rPr>
            </w:pPr>
            <w:r>
              <w:rPr>
                <w:lang w:val="en-GB"/>
              </w:rPr>
              <w:t>100</w:t>
            </w:r>
          </w:p>
        </w:tc>
        <w:tc>
          <w:tcPr>
            <w:tcW w:w="1294" w:type="dxa"/>
            <w:shd w:val="clear" w:color="auto" w:fill="FFFFFF"/>
          </w:tcPr>
          <w:p w14:paraId="4A051941" w14:textId="77777777" w:rsidR="001E3AC8" w:rsidRPr="00B57B36" w:rsidRDefault="001E3AC8" w:rsidP="00984CA9">
            <w:pPr>
              <w:pStyle w:val="CETBodytext"/>
              <w:ind w:right="-1"/>
              <w:jc w:val="center"/>
              <w:rPr>
                <w:rFonts w:cs="Arial"/>
                <w:szCs w:val="18"/>
                <w:lang w:val="en-GB"/>
              </w:rPr>
            </w:pPr>
            <w:r>
              <w:rPr>
                <w:rFonts w:cs="Arial"/>
                <w:szCs w:val="18"/>
                <w:lang w:val="en-GB"/>
              </w:rPr>
              <w:t>1/9</w:t>
            </w:r>
          </w:p>
        </w:tc>
        <w:tc>
          <w:tcPr>
            <w:tcW w:w="1150" w:type="dxa"/>
            <w:shd w:val="clear" w:color="auto" w:fill="FFFFFF"/>
          </w:tcPr>
          <w:p w14:paraId="40A6A0C4" w14:textId="77777777" w:rsidR="001E3AC8" w:rsidRPr="00B57B36" w:rsidRDefault="001E3AC8" w:rsidP="00984CA9">
            <w:pPr>
              <w:pStyle w:val="CETBodytext"/>
              <w:ind w:right="-1"/>
              <w:jc w:val="center"/>
              <w:rPr>
                <w:rFonts w:cs="Arial"/>
                <w:szCs w:val="18"/>
                <w:lang w:val="en-GB"/>
              </w:rPr>
            </w:pPr>
            <w:r w:rsidRPr="00797764">
              <w:rPr>
                <w:rFonts w:cs="Arial"/>
                <w:szCs w:val="18"/>
                <w:lang w:val="en-GB"/>
              </w:rPr>
              <w:t>0</w:t>
            </w:r>
            <w:r>
              <w:rPr>
                <w:rFonts w:cs="Arial"/>
                <w:szCs w:val="18"/>
                <w:lang w:val="en-GB"/>
              </w:rPr>
              <w:t>.</w:t>
            </w:r>
            <w:r w:rsidRPr="00797764">
              <w:rPr>
                <w:rFonts w:cs="Arial"/>
                <w:szCs w:val="18"/>
                <w:lang w:val="en-GB"/>
              </w:rPr>
              <w:t>16</w:t>
            </w:r>
            <w:r>
              <w:rPr>
                <w:rFonts w:cs="Arial"/>
                <w:szCs w:val="18"/>
                <w:lang w:val="en-GB"/>
              </w:rPr>
              <w:t xml:space="preserve"> ± </w:t>
            </w:r>
            <w:r w:rsidRPr="00797764">
              <w:rPr>
                <w:rFonts w:cs="Arial"/>
                <w:szCs w:val="18"/>
                <w:lang w:val="en-GB"/>
              </w:rPr>
              <w:t>0</w:t>
            </w:r>
            <w:r>
              <w:rPr>
                <w:rFonts w:cs="Arial"/>
                <w:szCs w:val="18"/>
                <w:lang w:val="en-GB"/>
              </w:rPr>
              <w:t>.</w:t>
            </w:r>
            <w:r w:rsidRPr="00797764">
              <w:rPr>
                <w:rFonts w:cs="Arial"/>
                <w:szCs w:val="18"/>
                <w:lang w:val="en-GB"/>
              </w:rPr>
              <w:t>04</w:t>
            </w:r>
          </w:p>
        </w:tc>
        <w:tc>
          <w:tcPr>
            <w:tcW w:w="1150" w:type="dxa"/>
            <w:shd w:val="clear" w:color="auto" w:fill="FFFFFF"/>
          </w:tcPr>
          <w:p w14:paraId="537243FD" w14:textId="77777777" w:rsidR="001E3AC8" w:rsidRPr="00797764" w:rsidRDefault="001E3AC8" w:rsidP="00984CA9">
            <w:pPr>
              <w:pStyle w:val="CETBodytext"/>
              <w:ind w:right="-1"/>
              <w:jc w:val="center"/>
              <w:rPr>
                <w:rFonts w:cs="Arial"/>
                <w:szCs w:val="18"/>
                <w:lang w:val="en-GB"/>
              </w:rPr>
            </w:pPr>
            <w:r w:rsidRPr="00315AAE">
              <w:t>15</w:t>
            </w:r>
            <w:r>
              <w:t>.</w:t>
            </w:r>
            <w:r w:rsidRPr="00315AAE">
              <w:t>48</w:t>
            </w:r>
          </w:p>
        </w:tc>
      </w:tr>
      <w:tr w:rsidR="001E3AC8" w:rsidRPr="00B57B36" w14:paraId="601710EA" w14:textId="77777777" w:rsidTr="00EA7E64">
        <w:trPr>
          <w:trHeight w:val="242"/>
        </w:trPr>
        <w:tc>
          <w:tcPr>
            <w:tcW w:w="1438" w:type="dxa"/>
            <w:shd w:val="clear" w:color="auto" w:fill="FFFFFF"/>
          </w:tcPr>
          <w:p w14:paraId="61445A3C" w14:textId="77777777" w:rsidR="001E3AC8" w:rsidRPr="00B57B36" w:rsidRDefault="001E3AC8" w:rsidP="00984CA9">
            <w:pPr>
              <w:pStyle w:val="CETBodytext"/>
              <w:ind w:right="-1"/>
              <w:jc w:val="center"/>
              <w:rPr>
                <w:rFonts w:cs="Arial"/>
                <w:szCs w:val="18"/>
                <w:lang w:val="en-GB"/>
              </w:rPr>
            </w:pPr>
            <w:r>
              <w:rPr>
                <w:rFonts w:cs="Arial"/>
                <w:szCs w:val="18"/>
                <w:lang w:val="en-GB"/>
              </w:rPr>
              <w:t>2</w:t>
            </w:r>
          </w:p>
        </w:tc>
        <w:tc>
          <w:tcPr>
            <w:tcW w:w="861" w:type="dxa"/>
            <w:shd w:val="clear" w:color="auto" w:fill="FFFFFF"/>
          </w:tcPr>
          <w:p w14:paraId="164687D7" w14:textId="77777777" w:rsidR="001E3AC8" w:rsidRPr="00B57B36" w:rsidRDefault="001E3AC8" w:rsidP="00984CA9">
            <w:pPr>
              <w:pStyle w:val="CETBodytext"/>
              <w:ind w:right="-1"/>
              <w:jc w:val="center"/>
              <w:rPr>
                <w:rFonts w:cs="Arial"/>
                <w:szCs w:val="18"/>
                <w:lang w:val="en-GB"/>
              </w:rPr>
            </w:pPr>
            <w:r>
              <w:rPr>
                <w:rFonts w:cs="Arial"/>
                <w:szCs w:val="18"/>
                <w:lang w:val="en-GB"/>
              </w:rPr>
              <w:t>180</w:t>
            </w:r>
          </w:p>
        </w:tc>
        <w:tc>
          <w:tcPr>
            <w:tcW w:w="1294" w:type="dxa"/>
            <w:shd w:val="clear" w:color="auto" w:fill="FFFFFF"/>
          </w:tcPr>
          <w:p w14:paraId="2AD606FE" w14:textId="77777777" w:rsidR="001E3AC8" w:rsidRPr="00B57B36" w:rsidRDefault="001E3AC8" w:rsidP="00984CA9">
            <w:pPr>
              <w:pStyle w:val="CETBodytext"/>
              <w:ind w:right="-1"/>
              <w:jc w:val="center"/>
              <w:rPr>
                <w:rFonts w:cs="Arial"/>
                <w:szCs w:val="18"/>
                <w:lang w:val="en-GB"/>
              </w:rPr>
            </w:pPr>
            <w:r>
              <w:rPr>
                <w:rFonts w:cs="Arial"/>
                <w:szCs w:val="18"/>
                <w:lang w:val="en-GB"/>
              </w:rPr>
              <w:t>1/9</w:t>
            </w:r>
          </w:p>
        </w:tc>
        <w:tc>
          <w:tcPr>
            <w:tcW w:w="1150" w:type="dxa"/>
            <w:shd w:val="clear" w:color="auto" w:fill="FFFFFF"/>
          </w:tcPr>
          <w:p w14:paraId="6FD7077A" w14:textId="77777777" w:rsidR="001E3AC8" w:rsidRPr="00B57B36" w:rsidRDefault="001E3AC8" w:rsidP="00984CA9">
            <w:pPr>
              <w:pStyle w:val="CETBodytext"/>
              <w:ind w:right="-1"/>
              <w:jc w:val="center"/>
              <w:rPr>
                <w:rFonts w:cs="Arial"/>
                <w:szCs w:val="18"/>
                <w:lang w:val="en-GB"/>
              </w:rPr>
            </w:pPr>
            <w:r w:rsidRPr="00797764">
              <w:rPr>
                <w:rFonts w:cs="Arial"/>
                <w:szCs w:val="18"/>
                <w:lang w:val="en-GB"/>
              </w:rPr>
              <w:t>1</w:t>
            </w:r>
            <w:r>
              <w:rPr>
                <w:rFonts w:cs="Arial"/>
                <w:szCs w:val="18"/>
                <w:lang w:val="en-GB"/>
              </w:rPr>
              <w:t>.</w:t>
            </w:r>
            <w:r w:rsidRPr="00797764">
              <w:rPr>
                <w:rFonts w:cs="Arial"/>
                <w:szCs w:val="18"/>
                <w:lang w:val="en-GB"/>
              </w:rPr>
              <w:t>92</w:t>
            </w:r>
            <w:r>
              <w:rPr>
                <w:rFonts w:cs="Arial"/>
                <w:szCs w:val="18"/>
                <w:lang w:val="en-GB"/>
              </w:rPr>
              <w:t xml:space="preserve"> ± </w:t>
            </w:r>
            <w:r w:rsidRPr="00797764">
              <w:rPr>
                <w:rFonts w:cs="Arial"/>
                <w:szCs w:val="18"/>
                <w:lang w:val="en-GB"/>
              </w:rPr>
              <w:t>1</w:t>
            </w:r>
            <w:r>
              <w:rPr>
                <w:rFonts w:cs="Arial"/>
                <w:szCs w:val="18"/>
                <w:lang w:val="en-GB"/>
              </w:rPr>
              <w:t>.</w:t>
            </w:r>
            <w:r w:rsidRPr="00797764">
              <w:rPr>
                <w:rFonts w:cs="Arial"/>
                <w:szCs w:val="18"/>
                <w:lang w:val="en-GB"/>
              </w:rPr>
              <w:t>25</w:t>
            </w:r>
          </w:p>
        </w:tc>
        <w:tc>
          <w:tcPr>
            <w:tcW w:w="1150" w:type="dxa"/>
            <w:shd w:val="clear" w:color="auto" w:fill="FFFFFF"/>
          </w:tcPr>
          <w:p w14:paraId="2746BEEB" w14:textId="77777777" w:rsidR="001E3AC8" w:rsidRPr="00797764" w:rsidRDefault="001E3AC8" w:rsidP="00984CA9">
            <w:pPr>
              <w:pStyle w:val="CETBodytext"/>
              <w:ind w:right="-1"/>
              <w:jc w:val="center"/>
              <w:rPr>
                <w:rFonts w:cs="Arial"/>
                <w:szCs w:val="18"/>
                <w:lang w:val="en-GB"/>
              </w:rPr>
            </w:pPr>
            <w:r w:rsidRPr="00315AAE">
              <w:t>3</w:t>
            </w:r>
            <w:r>
              <w:t>.</w:t>
            </w:r>
            <w:r w:rsidRPr="00315AAE">
              <w:t>39</w:t>
            </w:r>
          </w:p>
        </w:tc>
      </w:tr>
      <w:tr w:rsidR="001E3AC8" w:rsidRPr="00B57B36" w14:paraId="087B6FC0" w14:textId="77777777" w:rsidTr="00EA7E64">
        <w:trPr>
          <w:trHeight w:val="242"/>
        </w:trPr>
        <w:tc>
          <w:tcPr>
            <w:tcW w:w="1438" w:type="dxa"/>
            <w:shd w:val="clear" w:color="auto" w:fill="FFFFFF"/>
          </w:tcPr>
          <w:p w14:paraId="6FF0CF26" w14:textId="77777777" w:rsidR="001E3AC8" w:rsidRPr="00B57B36" w:rsidRDefault="001E3AC8" w:rsidP="00984CA9">
            <w:pPr>
              <w:pStyle w:val="CETBodytext"/>
              <w:ind w:right="-1"/>
              <w:jc w:val="center"/>
              <w:rPr>
                <w:rFonts w:cs="Arial"/>
                <w:szCs w:val="18"/>
                <w:lang w:val="en-GB"/>
              </w:rPr>
            </w:pPr>
            <w:r>
              <w:rPr>
                <w:rFonts w:cs="Arial"/>
                <w:szCs w:val="18"/>
                <w:lang w:val="en-GB"/>
              </w:rPr>
              <w:t>3</w:t>
            </w:r>
          </w:p>
        </w:tc>
        <w:tc>
          <w:tcPr>
            <w:tcW w:w="861" w:type="dxa"/>
            <w:shd w:val="clear" w:color="auto" w:fill="FFFFFF"/>
          </w:tcPr>
          <w:p w14:paraId="0447E576" w14:textId="77777777" w:rsidR="001E3AC8" w:rsidRPr="00B57B36" w:rsidRDefault="001E3AC8" w:rsidP="00984CA9">
            <w:pPr>
              <w:pStyle w:val="CETBodytext"/>
              <w:ind w:right="-1"/>
              <w:jc w:val="center"/>
              <w:rPr>
                <w:rFonts w:cs="Arial"/>
                <w:szCs w:val="18"/>
                <w:lang w:val="en-GB"/>
              </w:rPr>
            </w:pPr>
            <w:r>
              <w:rPr>
                <w:rFonts w:cs="Arial"/>
                <w:szCs w:val="18"/>
                <w:lang w:val="en-GB"/>
              </w:rPr>
              <w:t>180</w:t>
            </w:r>
          </w:p>
        </w:tc>
        <w:tc>
          <w:tcPr>
            <w:tcW w:w="1294" w:type="dxa"/>
            <w:shd w:val="clear" w:color="auto" w:fill="FFFFFF"/>
          </w:tcPr>
          <w:p w14:paraId="553A8EB2" w14:textId="77777777" w:rsidR="001E3AC8" w:rsidRPr="00B57B36" w:rsidRDefault="001E3AC8" w:rsidP="00984CA9">
            <w:pPr>
              <w:pStyle w:val="CETBodytext"/>
              <w:ind w:right="-1"/>
              <w:jc w:val="center"/>
              <w:rPr>
                <w:rFonts w:cs="Arial"/>
                <w:szCs w:val="18"/>
                <w:lang w:val="en-GB"/>
              </w:rPr>
            </w:pPr>
            <w:r>
              <w:rPr>
                <w:rFonts w:cs="Arial"/>
                <w:szCs w:val="18"/>
                <w:lang w:val="en-GB"/>
              </w:rPr>
              <w:t>1/3</w:t>
            </w:r>
          </w:p>
        </w:tc>
        <w:tc>
          <w:tcPr>
            <w:tcW w:w="1150" w:type="dxa"/>
            <w:shd w:val="clear" w:color="auto" w:fill="FFFFFF"/>
          </w:tcPr>
          <w:p w14:paraId="428130A9" w14:textId="77777777" w:rsidR="001E3AC8" w:rsidRPr="00B57B36" w:rsidRDefault="001E3AC8" w:rsidP="00984CA9">
            <w:pPr>
              <w:pStyle w:val="CETBodytext"/>
              <w:ind w:right="-1"/>
              <w:jc w:val="center"/>
              <w:rPr>
                <w:rFonts w:cs="Arial"/>
                <w:szCs w:val="18"/>
                <w:lang w:val="en-GB"/>
              </w:rPr>
            </w:pPr>
            <w:r>
              <w:rPr>
                <w:rFonts w:cs="Arial"/>
                <w:szCs w:val="18"/>
                <w:lang w:val="en-GB"/>
              </w:rPr>
              <w:t>-</w:t>
            </w:r>
          </w:p>
        </w:tc>
        <w:tc>
          <w:tcPr>
            <w:tcW w:w="1150" w:type="dxa"/>
            <w:shd w:val="clear" w:color="auto" w:fill="FFFFFF"/>
          </w:tcPr>
          <w:p w14:paraId="71348FBE" w14:textId="0D90A0BC" w:rsidR="001E3AC8" w:rsidRDefault="000C7746" w:rsidP="00984CA9">
            <w:pPr>
              <w:pStyle w:val="CETBodytext"/>
              <w:ind w:right="-1"/>
              <w:jc w:val="center"/>
              <w:rPr>
                <w:rFonts w:cs="Arial"/>
                <w:szCs w:val="18"/>
                <w:lang w:val="en-GB"/>
              </w:rPr>
            </w:pPr>
            <w:r>
              <w:rPr>
                <w:rFonts w:cs="Arial"/>
                <w:szCs w:val="18"/>
                <w:lang w:val="en-GB"/>
              </w:rPr>
              <w:t>-</w:t>
            </w:r>
          </w:p>
        </w:tc>
      </w:tr>
      <w:tr w:rsidR="001E3AC8" w:rsidRPr="00B57B36" w14:paraId="21FE836B" w14:textId="77777777" w:rsidTr="00EA7E64">
        <w:trPr>
          <w:trHeight w:val="242"/>
        </w:trPr>
        <w:tc>
          <w:tcPr>
            <w:tcW w:w="1438" w:type="dxa"/>
            <w:shd w:val="clear" w:color="auto" w:fill="FFFFFF"/>
          </w:tcPr>
          <w:p w14:paraId="027AD8D1" w14:textId="77777777" w:rsidR="001E3AC8" w:rsidRPr="00B57B36" w:rsidRDefault="001E3AC8" w:rsidP="00984CA9">
            <w:pPr>
              <w:pStyle w:val="CETBodytext"/>
              <w:ind w:right="-1"/>
              <w:jc w:val="center"/>
              <w:rPr>
                <w:rFonts w:cs="Arial"/>
                <w:szCs w:val="18"/>
                <w:lang w:val="en-GB"/>
              </w:rPr>
            </w:pPr>
            <w:r>
              <w:rPr>
                <w:rFonts w:cs="Arial"/>
                <w:szCs w:val="18"/>
                <w:lang w:val="en-GB"/>
              </w:rPr>
              <w:t>4</w:t>
            </w:r>
          </w:p>
        </w:tc>
        <w:tc>
          <w:tcPr>
            <w:tcW w:w="861" w:type="dxa"/>
            <w:shd w:val="clear" w:color="auto" w:fill="FFFFFF"/>
          </w:tcPr>
          <w:p w14:paraId="3DDC8904" w14:textId="77777777" w:rsidR="001E3AC8" w:rsidRPr="00B57B36" w:rsidRDefault="001E3AC8" w:rsidP="00984CA9">
            <w:pPr>
              <w:pStyle w:val="CETBodytext"/>
              <w:ind w:right="-1"/>
              <w:jc w:val="center"/>
              <w:rPr>
                <w:rFonts w:cs="Arial"/>
                <w:szCs w:val="18"/>
                <w:lang w:val="en-GB"/>
              </w:rPr>
            </w:pPr>
            <w:r>
              <w:rPr>
                <w:rFonts w:cs="Arial"/>
                <w:szCs w:val="18"/>
                <w:lang w:val="en-GB"/>
              </w:rPr>
              <w:t>100</w:t>
            </w:r>
          </w:p>
        </w:tc>
        <w:tc>
          <w:tcPr>
            <w:tcW w:w="1294" w:type="dxa"/>
            <w:shd w:val="clear" w:color="auto" w:fill="FFFFFF"/>
          </w:tcPr>
          <w:p w14:paraId="5081360C" w14:textId="77777777" w:rsidR="001E3AC8" w:rsidRPr="00B57B36" w:rsidRDefault="001E3AC8" w:rsidP="00984CA9">
            <w:pPr>
              <w:pStyle w:val="CETBodytext"/>
              <w:ind w:right="-1"/>
              <w:jc w:val="center"/>
              <w:rPr>
                <w:rFonts w:cs="Arial"/>
                <w:szCs w:val="18"/>
                <w:lang w:val="en-GB"/>
              </w:rPr>
            </w:pPr>
            <w:r>
              <w:rPr>
                <w:rFonts w:cs="Arial"/>
                <w:szCs w:val="18"/>
                <w:lang w:val="en-GB"/>
              </w:rPr>
              <w:t>1/3</w:t>
            </w:r>
          </w:p>
        </w:tc>
        <w:tc>
          <w:tcPr>
            <w:tcW w:w="1150" w:type="dxa"/>
            <w:shd w:val="clear" w:color="auto" w:fill="FFFFFF"/>
          </w:tcPr>
          <w:p w14:paraId="080341CE" w14:textId="77777777" w:rsidR="001E3AC8" w:rsidRPr="00B57B36" w:rsidRDefault="001E3AC8" w:rsidP="00984CA9">
            <w:pPr>
              <w:pStyle w:val="CETBodytext"/>
              <w:ind w:right="-1"/>
              <w:jc w:val="center"/>
              <w:rPr>
                <w:rFonts w:cs="Arial"/>
                <w:szCs w:val="18"/>
                <w:lang w:val="en-GB"/>
              </w:rPr>
            </w:pPr>
            <w:r>
              <w:rPr>
                <w:rFonts w:cs="Arial"/>
                <w:szCs w:val="18"/>
                <w:lang w:val="en-GB"/>
              </w:rPr>
              <w:t xml:space="preserve">0.69 ± </w:t>
            </w:r>
            <w:r w:rsidRPr="00797764">
              <w:rPr>
                <w:rFonts w:cs="Arial"/>
                <w:szCs w:val="18"/>
                <w:lang w:val="en-GB"/>
              </w:rPr>
              <w:t>0</w:t>
            </w:r>
            <w:r>
              <w:rPr>
                <w:rFonts w:cs="Arial"/>
                <w:szCs w:val="18"/>
                <w:lang w:val="en-GB"/>
              </w:rPr>
              <w:t>.</w:t>
            </w:r>
            <w:r w:rsidRPr="00797764">
              <w:rPr>
                <w:rFonts w:cs="Arial"/>
                <w:szCs w:val="18"/>
                <w:lang w:val="en-GB"/>
              </w:rPr>
              <w:t>24</w:t>
            </w:r>
          </w:p>
        </w:tc>
        <w:tc>
          <w:tcPr>
            <w:tcW w:w="1150" w:type="dxa"/>
            <w:shd w:val="clear" w:color="auto" w:fill="FFFFFF"/>
          </w:tcPr>
          <w:p w14:paraId="00002E58" w14:textId="77777777" w:rsidR="001E3AC8" w:rsidRDefault="001E3AC8" w:rsidP="00984CA9">
            <w:pPr>
              <w:pStyle w:val="CETBodytext"/>
              <w:ind w:right="-1"/>
              <w:jc w:val="center"/>
              <w:rPr>
                <w:rFonts w:cs="Arial"/>
                <w:szCs w:val="18"/>
                <w:lang w:val="en-GB"/>
              </w:rPr>
            </w:pPr>
            <w:r w:rsidRPr="005F1007">
              <w:t>0</w:t>
            </w:r>
            <w:r>
              <w:t>.</w:t>
            </w:r>
            <w:r w:rsidRPr="005F1007">
              <w:t>26</w:t>
            </w:r>
          </w:p>
        </w:tc>
      </w:tr>
      <w:tr w:rsidR="001E3AC8" w:rsidRPr="00B57B36" w14:paraId="545FA2BC" w14:textId="77777777" w:rsidTr="00EA7E64">
        <w:trPr>
          <w:trHeight w:val="242"/>
        </w:trPr>
        <w:tc>
          <w:tcPr>
            <w:tcW w:w="1438" w:type="dxa"/>
            <w:shd w:val="clear" w:color="auto" w:fill="FFFFFF"/>
          </w:tcPr>
          <w:p w14:paraId="3C04621C" w14:textId="77777777" w:rsidR="001E3AC8" w:rsidRPr="00B57B36" w:rsidRDefault="001E3AC8" w:rsidP="00984CA9">
            <w:pPr>
              <w:pStyle w:val="CETBodytext"/>
              <w:ind w:right="-1"/>
              <w:jc w:val="center"/>
              <w:rPr>
                <w:rFonts w:cs="Arial"/>
                <w:szCs w:val="18"/>
                <w:lang w:val="en-GB"/>
              </w:rPr>
            </w:pPr>
            <w:r>
              <w:rPr>
                <w:rFonts w:cs="Arial"/>
                <w:szCs w:val="18"/>
                <w:lang w:val="en-GB"/>
              </w:rPr>
              <w:t>5</w:t>
            </w:r>
          </w:p>
        </w:tc>
        <w:tc>
          <w:tcPr>
            <w:tcW w:w="861" w:type="dxa"/>
            <w:shd w:val="clear" w:color="auto" w:fill="FFFFFF"/>
          </w:tcPr>
          <w:p w14:paraId="0F34A351" w14:textId="77777777" w:rsidR="001E3AC8" w:rsidRPr="00B57B36" w:rsidRDefault="001E3AC8" w:rsidP="00984CA9">
            <w:pPr>
              <w:pStyle w:val="CETBodytext"/>
              <w:ind w:right="-1"/>
              <w:jc w:val="center"/>
              <w:rPr>
                <w:rFonts w:cs="Arial"/>
                <w:szCs w:val="18"/>
                <w:lang w:val="en-GB"/>
              </w:rPr>
            </w:pPr>
            <w:r>
              <w:rPr>
                <w:rFonts w:cs="Arial"/>
                <w:szCs w:val="18"/>
                <w:lang w:val="en-GB"/>
              </w:rPr>
              <w:t>140</w:t>
            </w:r>
          </w:p>
        </w:tc>
        <w:tc>
          <w:tcPr>
            <w:tcW w:w="1294" w:type="dxa"/>
            <w:shd w:val="clear" w:color="auto" w:fill="FFFFFF"/>
          </w:tcPr>
          <w:p w14:paraId="716A176A" w14:textId="77777777" w:rsidR="001E3AC8" w:rsidRPr="00B57B36" w:rsidRDefault="001E3AC8" w:rsidP="00984CA9">
            <w:pPr>
              <w:pStyle w:val="CETBodytext"/>
              <w:ind w:right="-1"/>
              <w:jc w:val="center"/>
              <w:rPr>
                <w:rFonts w:cs="Arial"/>
                <w:szCs w:val="18"/>
                <w:lang w:val="en-GB"/>
              </w:rPr>
            </w:pPr>
            <w:r>
              <w:rPr>
                <w:rFonts w:cs="Arial"/>
                <w:szCs w:val="18"/>
                <w:lang w:val="en-GB"/>
              </w:rPr>
              <w:t>1/6</w:t>
            </w:r>
          </w:p>
        </w:tc>
        <w:tc>
          <w:tcPr>
            <w:tcW w:w="1150" w:type="dxa"/>
            <w:shd w:val="clear" w:color="auto" w:fill="FFFFFF"/>
          </w:tcPr>
          <w:p w14:paraId="0E11382B" w14:textId="77777777" w:rsidR="001E3AC8" w:rsidRPr="00B57B36" w:rsidRDefault="001E3AC8" w:rsidP="00984CA9">
            <w:pPr>
              <w:pStyle w:val="CETBodytext"/>
              <w:ind w:right="-1"/>
              <w:jc w:val="center"/>
              <w:rPr>
                <w:rFonts w:cs="Arial"/>
                <w:szCs w:val="18"/>
                <w:lang w:val="en-GB"/>
              </w:rPr>
            </w:pPr>
            <w:r w:rsidRPr="00797764">
              <w:rPr>
                <w:rFonts w:cs="Arial"/>
                <w:szCs w:val="18"/>
                <w:lang w:val="en-GB"/>
              </w:rPr>
              <w:t>0</w:t>
            </w:r>
            <w:r>
              <w:rPr>
                <w:rFonts w:cs="Arial"/>
                <w:szCs w:val="18"/>
                <w:lang w:val="en-GB"/>
              </w:rPr>
              <w:t>.</w:t>
            </w:r>
            <w:r w:rsidRPr="00797764">
              <w:rPr>
                <w:rFonts w:cs="Arial"/>
                <w:szCs w:val="18"/>
                <w:lang w:val="en-GB"/>
              </w:rPr>
              <w:t>59</w:t>
            </w:r>
            <w:r>
              <w:rPr>
                <w:rFonts w:cs="Arial"/>
                <w:szCs w:val="18"/>
                <w:lang w:val="en-GB"/>
              </w:rPr>
              <w:t xml:space="preserve"> ± </w:t>
            </w:r>
            <w:r w:rsidRPr="00797764">
              <w:rPr>
                <w:rFonts w:cs="Arial"/>
                <w:szCs w:val="18"/>
                <w:lang w:val="en-GB"/>
              </w:rPr>
              <w:t>0</w:t>
            </w:r>
            <w:r>
              <w:rPr>
                <w:rFonts w:cs="Arial"/>
                <w:szCs w:val="18"/>
                <w:lang w:val="en-GB"/>
              </w:rPr>
              <w:t>.</w:t>
            </w:r>
            <w:r w:rsidRPr="00797764">
              <w:rPr>
                <w:rFonts w:cs="Arial"/>
                <w:szCs w:val="18"/>
                <w:lang w:val="en-GB"/>
              </w:rPr>
              <w:t>33</w:t>
            </w:r>
          </w:p>
        </w:tc>
        <w:tc>
          <w:tcPr>
            <w:tcW w:w="1150" w:type="dxa"/>
            <w:shd w:val="clear" w:color="auto" w:fill="FFFFFF"/>
          </w:tcPr>
          <w:p w14:paraId="45A48A6F" w14:textId="77777777" w:rsidR="001E3AC8" w:rsidRPr="00797764" w:rsidRDefault="001E3AC8" w:rsidP="00984CA9">
            <w:pPr>
              <w:pStyle w:val="CETBodytext"/>
              <w:ind w:right="-1"/>
              <w:jc w:val="center"/>
              <w:rPr>
                <w:rFonts w:cs="Arial"/>
                <w:szCs w:val="18"/>
                <w:lang w:val="en-GB"/>
              </w:rPr>
            </w:pPr>
            <w:r w:rsidRPr="005F1007">
              <w:t>1</w:t>
            </w:r>
            <w:r>
              <w:t>.</w:t>
            </w:r>
            <w:r w:rsidRPr="005F1007">
              <w:t>70</w:t>
            </w:r>
          </w:p>
        </w:tc>
      </w:tr>
    </w:tbl>
    <w:p w14:paraId="57F33DB9" w14:textId="77777777" w:rsidR="00CC4369" w:rsidRDefault="009B65B6" w:rsidP="00A92F48">
      <w:pPr>
        <w:pStyle w:val="CETCaption"/>
        <w:rPr>
          <w:rStyle w:val="CETCaptionCarattere"/>
          <w:iCs/>
          <w:color w:val="000000" w:themeColor="text1"/>
        </w:rPr>
      </w:pPr>
      <w:r w:rsidRPr="009B65B6">
        <w:rPr>
          <w:rStyle w:val="CETCaptionCarattere"/>
          <w:iCs/>
          <w:color w:val="000000" w:themeColor="text1"/>
        </w:rPr>
        <w:t>Figure 3 shows scanning electron microscopy images of the experiments where co-precipitate was obtained.</w:t>
      </w:r>
      <w:r w:rsidR="007138B6">
        <w:rPr>
          <w:rStyle w:val="CETCaptionCarattere"/>
          <w:iCs/>
          <w:color w:val="000000" w:themeColor="text1"/>
        </w:rPr>
        <w:t xml:space="preserve"> </w:t>
      </w:r>
      <w:r w:rsidR="007138B6" w:rsidRPr="007138B6">
        <w:rPr>
          <w:rStyle w:val="CETCaptionCarattere"/>
          <w:iCs/>
          <w:color w:val="000000" w:themeColor="text1"/>
        </w:rPr>
        <w:t>Generally, the SAS process was able to modify the morphology of the initial material, resulting in spherical particles also for the polymer encapsulated samples.</w:t>
      </w:r>
      <w:r w:rsidR="007138B6">
        <w:rPr>
          <w:rStyle w:val="CETCaptionCarattere"/>
          <w:iCs/>
          <w:color w:val="000000" w:themeColor="text1"/>
        </w:rPr>
        <w:t xml:space="preserve"> </w:t>
      </w:r>
    </w:p>
    <w:p w14:paraId="4C895776" w14:textId="77777777" w:rsidR="00CC4369" w:rsidRDefault="00CC4369" w:rsidP="00CC4369">
      <w:pPr>
        <w:pStyle w:val="CETCaption"/>
        <w:jc w:val="left"/>
        <w:rPr>
          <w:color w:val="000000" w:themeColor="text1"/>
        </w:rPr>
      </w:pPr>
      <w:r>
        <w:rPr>
          <w:noProof/>
          <w:lang w:val="es-ES" w:eastAsia="es-ES"/>
        </w:rPr>
        <w:lastRenderedPageBreak/>
        <w:drawing>
          <wp:inline distT="0" distB="0" distL="0" distR="0" wp14:anchorId="645CFE77" wp14:editId="4CD82564">
            <wp:extent cx="5186881" cy="36385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86990" cy="3708775"/>
                    </a:xfrm>
                    <a:prstGeom prst="rect">
                      <a:avLst/>
                    </a:prstGeom>
                  </pic:spPr>
                </pic:pic>
              </a:graphicData>
            </a:graphic>
          </wp:inline>
        </w:drawing>
      </w:r>
    </w:p>
    <w:p w14:paraId="4BED297A" w14:textId="77777777" w:rsidR="00CC4369" w:rsidRDefault="00CC4369" w:rsidP="00CC4369">
      <w:pPr>
        <w:pStyle w:val="CETCaption"/>
        <w:rPr>
          <w:rStyle w:val="CETCaptionCarattere"/>
          <w:i/>
          <w:color w:val="000000" w:themeColor="text1"/>
        </w:rPr>
      </w:pPr>
      <w:r w:rsidRPr="00A92F48">
        <w:rPr>
          <w:rStyle w:val="CETCaptionCarattere"/>
          <w:i/>
          <w:color w:val="000000" w:themeColor="text1"/>
        </w:rPr>
        <w:t xml:space="preserve">Figure </w:t>
      </w:r>
      <w:r>
        <w:rPr>
          <w:rStyle w:val="CETCaptionCarattere"/>
          <w:i/>
          <w:color w:val="000000" w:themeColor="text1"/>
        </w:rPr>
        <w:t>3</w:t>
      </w:r>
      <w:r w:rsidRPr="00A92F48">
        <w:rPr>
          <w:rStyle w:val="CETCaptionCarattere"/>
          <w:i/>
          <w:color w:val="000000" w:themeColor="text1"/>
        </w:rPr>
        <w:t xml:space="preserve">: SEM images of </w:t>
      </w:r>
      <w:r>
        <w:rPr>
          <w:rStyle w:val="CETCaptionCarattere"/>
          <w:i/>
          <w:color w:val="000000" w:themeColor="text1"/>
        </w:rPr>
        <w:t xml:space="preserve">encapsulated samples 1,2,4 and 5. </w:t>
      </w:r>
    </w:p>
    <w:p w14:paraId="331BB2BC" w14:textId="2993D453" w:rsidR="004B5BBA" w:rsidRPr="00CC4369" w:rsidRDefault="007138B6" w:rsidP="00A92F48">
      <w:pPr>
        <w:pStyle w:val="CETCaption"/>
        <w:rPr>
          <w:rStyle w:val="CETCaptionCarattere"/>
          <w:iCs/>
        </w:rPr>
      </w:pPr>
      <w:r w:rsidRPr="007138B6">
        <w:rPr>
          <w:rStyle w:val="CETCaptionCarattere"/>
          <w:iCs/>
          <w:color w:val="000000" w:themeColor="text1"/>
        </w:rPr>
        <w:t xml:space="preserve">The sample with the most stable size distribution was sample 1 with a particle size of </w:t>
      </w:r>
      <w:r w:rsidRPr="007138B6">
        <w:rPr>
          <w:rStyle w:val="CETCaptionCarattere"/>
          <w:color w:val="000000" w:themeColor="text1"/>
        </w:rPr>
        <w:t>0.16 ± 0.04</w:t>
      </w:r>
      <w:r>
        <w:rPr>
          <w:rStyle w:val="CETCaptionCarattere"/>
          <w:color w:val="000000" w:themeColor="text1"/>
        </w:rPr>
        <w:t xml:space="preserve"> </w:t>
      </w:r>
      <w:r w:rsidRPr="007138B6">
        <w:rPr>
          <w:rFonts w:cs="Arial"/>
          <w:i w:val="0"/>
          <w:iCs/>
        </w:rPr>
        <w:t>µ</w:t>
      </w:r>
      <w:r w:rsidRPr="007138B6">
        <w:rPr>
          <w:i w:val="0"/>
          <w:iCs/>
        </w:rPr>
        <w:t>m</w:t>
      </w:r>
      <w:r>
        <w:rPr>
          <w:i w:val="0"/>
          <w:iCs/>
        </w:rPr>
        <w:t xml:space="preserve">. </w:t>
      </w:r>
      <w:r w:rsidR="009301EB" w:rsidRPr="009301EB">
        <w:rPr>
          <w:i w:val="0"/>
          <w:iCs/>
        </w:rPr>
        <w:t xml:space="preserve">To confirm the presence of the hormone in the co-precipitates obtained, an elemental analysis was carried out by taking the samples to 1050 ºC to analyse the presence of nitrogen in the samples, an element only present in </w:t>
      </w:r>
      <w:proofErr w:type="spellStart"/>
      <w:r w:rsidR="009301EB" w:rsidRPr="009301EB">
        <w:rPr>
          <w:i w:val="0"/>
          <w:iCs/>
        </w:rPr>
        <w:t>GnIH</w:t>
      </w:r>
      <w:proofErr w:type="spellEnd"/>
      <w:r w:rsidR="009301EB" w:rsidRPr="009301EB">
        <w:rPr>
          <w:i w:val="0"/>
          <w:iCs/>
        </w:rPr>
        <w:t xml:space="preserve"> and not in the polymer used as encapsulant.</w:t>
      </w:r>
      <w:r w:rsidR="008B6B22" w:rsidRPr="008B6B22">
        <w:t xml:space="preserve"> </w:t>
      </w:r>
      <w:r w:rsidR="008B6B22" w:rsidRPr="008B6B22">
        <w:rPr>
          <w:i w:val="0"/>
          <w:iCs/>
        </w:rPr>
        <w:t>A trend can be observed indicating that the use of higher ratios with a higher amount of polymer favours the precipitation of the hormone by the antisolvent process</w:t>
      </w:r>
      <w:r w:rsidR="00EA7E64">
        <w:rPr>
          <w:i w:val="0"/>
          <w:iCs/>
        </w:rPr>
        <w:t xml:space="preserve">, </w:t>
      </w:r>
      <w:r w:rsidR="00EA7E64" w:rsidRPr="00EA7E64">
        <w:rPr>
          <w:i w:val="0"/>
          <w:iCs/>
        </w:rPr>
        <w:t xml:space="preserve">considering that in runs 1-2 the highest amount of precipitated hormone can be found, with a maximum of </w:t>
      </w:r>
      <w:r w:rsidR="00366586" w:rsidRPr="00366586">
        <w:rPr>
          <w:i w:val="0"/>
          <w:iCs/>
        </w:rPr>
        <w:t>15.48</w:t>
      </w:r>
      <w:r w:rsidR="00EA7E64" w:rsidRPr="00EA7E64">
        <w:rPr>
          <w:i w:val="0"/>
          <w:iCs/>
        </w:rPr>
        <w:t xml:space="preserve"> % nitrogen present in the sample.</w:t>
      </w:r>
    </w:p>
    <w:p w14:paraId="2DC8B406" w14:textId="670B2216" w:rsidR="00556660" w:rsidRPr="00556660" w:rsidRDefault="00774368" w:rsidP="00774368">
      <w:pPr>
        <w:pStyle w:val="CETHeading1"/>
        <w:rPr>
          <w:lang w:val="en-GB"/>
        </w:rPr>
      </w:pPr>
      <w:r w:rsidRPr="00B57B36">
        <w:rPr>
          <w:lang w:val="en-GB"/>
        </w:rPr>
        <w:t>Conclusions</w:t>
      </w:r>
    </w:p>
    <w:p w14:paraId="651124F8" w14:textId="580EBE7D" w:rsidR="00556660" w:rsidRDefault="00556660" w:rsidP="00556660">
      <w:pPr>
        <w:pStyle w:val="CETBodytext"/>
        <w:rPr>
          <w:lang w:val="en-GB"/>
        </w:rPr>
      </w:pPr>
      <w:r w:rsidRPr="006B6568">
        <w:rPr>
          <w:lang w:val="en-GB"/>
        </w:rPr>
        <w:t xml:space="preserve">In this preliminary work the formation of </w:t>
      </w:r>
      <w:proofErr w:type="spellStart"/>
      <w:r w:rsidR="00417CAF" w:rsidRPr="006B6568">
        <w:rPr>
          <w:lang w:val="en-GB"/>
        </w:rPr>
        <w:t>GnIH</w:t>
      </w:r>
      <w:proofErr w:type="spellEnd"/>
      <w:r w:rsidRPr="006B6568">
        <w:rPr>
          <w:lang w:val="en-GB"/>
        </w:rPr>
        <w:t xml:space="preserve"> particles using the SAS technique and the influence of pressure </w:t>
      </w:r>
      <w:r w:rsidR="009D1798" w:rsidRPr="006B6568">
        <w:rPr>
          <w:lang w:val="en-GB"/>
        </w:rPr>
        <w:t xml:space="preserve">and ratio drug/polymer </w:t>
      </w:r>
      <w:r w:rsidRPr="006B6568">
        <w:rPr>
          <w:lang w:val="en-GB"/>
        </w:rPr>
        <w:t xml:space="preserve">on the average size of the obtained nanoparticles was achieved with a wide range of conditions, always under supercritical conditions. </w:t>
      </w:r>
      <w:r w:rsidR="009D1798" w:rsidRPr="006B6568">
        <w:rPr>
          <w:lang w:val="en-GB"/>
        </w:rPr>
        <w:t xml:space="preserve">Precipitation of the isolated </w:t>
      </w:r>
      <w:proofErr w:type="spellStart"/>
      <w:r w:rsidR="009D1798" w:rsidRPr="006B6568">
        <w:rPr>
          <w:lang w:val="en-GB"/>
        </w:rPr>
        <w:t>GnIH</w:t>
      </w:r>
      <w:proofErr w:type="spellEnd"/>
      <w:r w:rsidR="009D1798" w:rsidRPr="006B6568">
        <w:rPr>
          <w:lang w:val="en-GB"/>
        </w:rPr>
        <w:t xml:space="preserve"> hormone together with an encapsulating polymer by supercritical technology was achieved. </w:t>
      </w:r>
      <w:r w:rsidRPr="006B6568">
        <w:rPr>
          <w:lang w:val="en-GB"/>
        </w:rPr>
        <w:t xml:space="preserve">These </w:t>
      </w:r>
      <w:r w:rsidR="009D1798" w:rsidRPr="006B6568">
        <w:rPr>
          <w:lang w:val="en-GB"/>
        </w:rPr>
        <w:t>micro</w:t>
      </w:r>
      <w:r w:rsidRPr="006B6568">
        <w:rPr>
          <w:lang w:val="en-GB"/>
        </w:rPr>
        <w:t xml:space="preserve">particles showed a decrease in the average size by </w:t>
      </w:r>
      <w:r w:rsidR="009D1798" w:rsidRPr="006B6568">
        <w:rPr>
          <w:lang w:val="en-GB"/>
        </w:rPr>
        <w:t xml:space="preserve">decreasing </w:t>
      </w:r>
      <w:r w:rsidRPr="006B6568">
        <w:rPr>
          <w:lang w:val="en-GB"/>
        </w:rPr>
        <w:t>the pressure</w:t>
      </w:r>
      <w:r w:rsidR="009D1798" w:rsidRPr="006B6568">
        <w:rPr>
          <w:lang w:val="en-GB"/>
        </w:rPr>
        <w:t>, with an increase of precipitated hormone obtained by increasing the polymer ratio</w:t>
      </w:r>
      <w:r w:rsidRPr="006B6568">
        <w:rPr>
          <w:lang w:val="en-GB"/>
        </w:rPr>
        <w:t xml:space="preserve">. </w:t>
      </w:r>
      <w:r w:rsidR="006B6568" w:rsidRPr="006B6568">
        <w:rPr>
          <w:lang w:val="en-GB"/>
        </w:rPr>
        <w:t>Mean particle sizes of 0.16 microns were obtained under the best conditions</w:t>
      </w:r>
      <w:r w:rsidR="006B6568">
        <w:rPr>
          <w:lang w:val="en-GB"/>
        </w:rPr>
        <w:t xml:space="preserve">, </w:t>
      </w:r>
      <w:r w:rsidR="006B6568" w:rsidRPr="006B6568">
        <w:rPr>
          <w:lang w:val="en-GB"/>
        </w:rPr>
        <w:t>which were 100 bar pressure and 1/9 active substance/polymer ratio.</w:t>
      </w:r>
      <w:r w:rsidR="006B6568">
        <w:rPr>
          <w:lang w:val="en-GB"/>
        </w:rPr>
        <w:t xml:space="preserve"> </w:t>
      </w:r>
      <w:r w:rsidR="006B6568" w:rsidRPr="006B6568">
        <w:rPr>
          <w:lang w:val="en-GB"/>
        </w:rPr>
        <w:t>Precipitation with supercritical CO</w:t>
      </w:r>
      <w:r w:rsidR="006B6568" w:rsidRPr="006B6568">
        <w:rPr>
          <w:vertAlign w:val="subscript"/>
          <w:lang w:val="en-GB"/>
        </w:rPr>
        <w:t>2</w:t>
      </w:r>
      <w:r w:rsidR="006B6568" w:rsidRPr="006B6568">
        <w:rPr>
          <w:lang w:val="en-GB"/>
        </w:rPr>
        <w:t xml:space="preserve"> proved to be an effective technique for the precipitation of the treated substances both in size and morphology of the samples obtained.</w:t>
      </w:r>
    </w:p>
    <w:p w14:paraId="48AEA7B0" w14:textId="77777777" w:rsidR="009E453C" w:rsidRPr="006B6568" w:rsidRDefault="009E453C" w:rsidP="00556660">
      <w:pPr>
        <w:pStyle w:val="CETBodytext"/>
        <w:rPr>
          <w:lang w:val="en-GB"/>
        </w:rPr>
      </w:pPr>
    </w:p>
    <w:p w14:paraId="2520BBC3" w14:textId="77777777" w:rsidR="00774368" w:rsidRPr="00B57B36" w:rsidRDefault="00774368" w:rsidP="00774368">
      <w:pPr>
        <w:pStyle w:val="CETAcknowledgementstitle"/>
      </w:pPr>
      <w:r w:rsidRPr="00B57B36">
        <w:t>Acknowledgments</w:t>
      </w:r>
    </w:p>
    <w:p w14:paraId="31D84676" w14:textId="02FE112F" w:rsidR="009E453C" w:rsidRDefault="002C2DCD" w:rsidP="00774368">
      <w:pPr>
        <w:pStyle w:val="CETReference"/>
        <w:rPr>
          <w:b w:val="0"/>
        </w:rPr>
      </w:pPr>
      <w:r w:rsidRPr="002C2DCD">
        <w:rPr>
          <w:b w:val="0"/>
        </w:rPr>
        <w:t>We gratefully acknowledge the Regional Ministry for Economic Transformation, Industry, Knowledge and Universities of the Junta de Andalucía and FEDER Andalucía 2014-2020 Program for financial support (FEDER-UCA18-107538 Grant).</w:t>
      </w:r>
    </w:p>
    <w:p w14:paraId="67E5EC86" w14:textId="7AAFB036" w:rsidR="009E453C" w:rsidRDefault="009E453C" w:rsidP="00774368">
      <w:pPr>
        <w:pStyle w:val="CETReference"/>
        <w:rPr>
          <w:b w:val="0"/>
        </w:rPr>
      </w:pPr>
    </w:p>
    <w:p w14:paraId="41080F2A" w14:textId="6D3A885C" w:rsidR="009E453C" w:rsidRDefault="009E453C" w:rsidP="00774368">
      <w:pPr>
        <w:pStyle w:val="CETReference"/>
        <w:rPr>
          <w:b w:val="0"/>
        </w:rPr>
      </w:pPr>
    </w:p>
    <w:p w14:paraId="798E23E9" w14:textId="5D049076" w:rsidR="009E453C" w:rsidRDefault="009E453C" w:rsidP="00774368">
      <w:pPr>
        <w:pStyle w:val="CETReference"/>
        <w:rPr>
          <w:b w:val="0"/>
        </w:rPr>
      </w:pPr>
    </w:p>
    <w:p w14:paraId="74940F39" w14:textId="441C4596" w:rsidR="00774368" w:rsidRDefault="00774368" w:rsidP="00EB1C95">
      <w:pPr>
        <w:pStyle w:val="CETReference"/>
        <w:tabs>
          <w:tab w:val="left" w:pos="5717"/>
        </w:tabs>
      </w:pPr>
      <w:r w:rsidRPr="00B57B36">
        <w:lastRenderedPageBreak/>
        <w:t>References</w:t>
      </w:r>
      <w:r w:rsidR="00EB1C95">
        <w:tab/>
      </w:r>
    </w:p>
    <w:p w14:paraId="6F190194" w14:textId="77777777" w:rsidR="00774368" w:rsidRDefault="00774368" w:rsidP="00774368">
      <w:pPr>
        <w:pStyle w:val="CETReferencetext"/>
      </w:pPr>
    </w:p>
    <w:p w14:paraId="1AE6514C" w14:textId="4BE3DED1" w:rsidR="001854FA" w:rsidRPr="00194D17" w:rsidRDefault="002D126C" w:rsidP="00194D17">
      <w:pPr>
        <w:widowControl w:val="0"/>
        <w:autoSpaceDE w:val="0"/>
        <w:autoSpaceDN w:val="0"/>
        <w:adjustRightInd w:val="0"/>
        <w:spacing w:line="240" w:lineRule="auto"/>
        <w:ind w:left="480" w:hanging="480"/>
        <w:rPr>
          <w:rFonts w:cs="Arial"/>
          <w:noProof/>
          <w:szCs w:val="24"/>
        </w:rPr>
      </w:pPr>
      <w:r w:rsidRPr="00194D17">
        <w:rPr>
          <w:szCs w:val="18"/>
        </w:rPr>
        <w:fldChar w:fldCharType="begin" w:fldLock="1"/>
      </w:r>
      <w:r w:rsidRPr="00194D17">
        <w:rPr>
          <w:szCs w:val="18"/>
        </w:rPr>
        <w:instrText xml:space="preserve">ADDIN Mendeley Bibliography CSL_BIBLIOGRAPHY </w:instrText>
      </w:r>
      <w:r w:rsidRPr="00194D17">
        <w:rPr>
          <w:szCs w:val="18"/>
        </w:rPr>
        <w:fldChar w:fldCharType="separate"/>
      </w:r>
      <w:r w:rsidR="001854FA" w:rsidRPr="00194D17">
        <w:rPr>
          <w:rFonts w:cs="Arial"/>
          <w:noProof/>
          <w:szCs w:val="24"/>
        </w:rPr>
        <w:t>Baldino L.,  Reverchon E.</w:t>
      </w:r>
      <w:r w:rsidR="00F6750F" w:rsidRPr="00194D17">
        <w:rPr>
          <w:rFonts w:cs="Arial"/>
          <w:noProof/>
          <w:szCs w:val="24"/>
        </w:rPr>
        <w:t>,</w:t>
      </w:r>
      <w:r w:rsidR="001854FA" w:rsidRPr="00194D17">
        <w:rPr>
          <w:rFonts w:cs="Arial"/>
          <w:noProof/>
          <w:szCs w:val="24"/>
        </w:rPr>
        <w:t xml:space="preserve"> 2021</w:t>
      </w:r>
      <w:r w:rsidR="00F6750F" w:rsidRPr="00194D17">
        <w:rPr>
          <w:rFonts w:cs="Arial"/>
          <w:noProof/>
          <w:szCs w:val="24"/>
        </w:rPr>
        <w:t>,</w:t>
      </w:r>
      <w:r w:rsidR="001854FA" w:rsidRPr="00194D17">
        <w:rPr>
          <w:rFonts w:cs="Arial"/>
          <w:noProof/>
          <w:szCs w:val="24"/>
        </w:rPr>
        <w:t xml:space="preserve"> Supercritical CO</w:t>
      </w:r>
      <w:r w:rsidR="001854FA" w:rsidRPr="00194D17">
        <w:rPr>
          <w:rFonts w:cs="Arial"/>
          <w:noProof/>
          <w:szCs w:val="24"/>
          <w:vertAlign w:val="subscript"/>
        </w:rPr>
        <w:t>2</w:t>
      </w:r>
      <w:r w:rsidR="001854FA" w:rsidRPr="00194D17">
        <w:rPr>
          <w:rFonts w:cs="Arial"/>
          <w:noProof/>
          <w:szCs w:val="24"/>
        </w:rPr>
        <w:t xml:space="preserve"> assisted strategy for acetic acid elimination from industrial cellulose acetate–water mixtures</w:t>
      </w:r>
      <w:r w:rsidR="00194D17" w:rsidRPr="00194D17">
        <w:rPr>
          <w:rFonts w:cs="Arial"/>
          <w:noProof/>
          <w:szCs w:val="24"/>
        </w:rPr>
        <w:t>,</w:t>
      </w:r>
      <w:r w:rsidR="001854FA" w:rsidRPr="00194D17">
        <w:rPr>
          <w:rFonts w:cs="Arial"/>
          <w:noProof/>
          <w:szCs w:val="24"/>
        </w:rPr>
        <w:t xml:space="preserve"> Chemical Engineering Research and Design, 172, 127–134.</w:t>
      </w:r>
    </w:p>
    <w:p w14:paraId="10C999AB" w14:textId="7AC0655F" w:rsidR="001854FA" w:rsidRPr="00194D17" w:rsidRDefault="001854FA" w:rsidP="00194D17">
      <w:pPr>
        <w:widowControl w:val="0"/>
        <w:autoSpaceDE w:val="0"/>
        <w:autoSpaceDN w:val="0"/>
        <w:adjustRightInd w:val="0"/>
        <w:spacing w:line="240" w:lineRule="auto"/>
        <w:ind w:left="480" w:hanging="480"/>
        <w:rPr>
          <w:rFonts w:cs="Arial"/>
          <w:noProof/>
          <w:szCs w:val="24"/>
        </w:rPr>
      </w:pPr>
      <w:r w:rsidRPr="00194D17">
        <w:rPr>
          <w:rFonts w:cs="Arial"/>
          <w:noProof/>
          <w:szCs w:val="24"/>
        </w:rPr>
        <w:t>Bentley K. L.</w:t>
      </w:r>
      <w:r w:rsidR="00F6750F" w:rsidRPr="00194D17">
        <w:rPr>
          <w:rFonts w:cs="Arial"/>
          <w:noProof/>
          <w:szCs w:val="24"/>
        </w:rPr>
        <w:t>,</w:t>
      </w:r>
      <w:r w:rsidRPr="00194D17">
        <w:rPr>
          <w:rFonts w:cs="Arial"/>
          <w:noProof/>
          <w:szCs w:val="24"/>
        </w:rPr>
        <w:t xml:space="preserve"> et al.</w:t>
      </w:r>
      <w:r w:rsidR="00F6750F" w:rsidRPr="00194D17">
        <w:rPr>
          <w:rFonts w:cs="Arial"/>
          <w:noProof/>
          <w:szCs w:val="24"/>
        </w:rPr>
        <w:t>,</w:t>
      </w:r>
      <w:r w:rsidRPr="00194D17">
        <w:rPr>
          <w:rFonts w:cs="Arial"/>
          <w:noProof/>
          <w:szCs w:val="24"/>
        </w:rPr>
        <w:t xml:space="preserve"> 2006</w:t>
      </w:r>
      <w:r w:rsidR="00F6750F" w:rsidRPr="00194D17">
        <w:rPr>
          <w:rFonts w:cs="Arial"/>
          <w:noProof/>
          <w:szCs w:val="24"/>
        </w:rPr>
        <w:t>,</w:t>
      </w:r>
      <w:r w:rsidRPr="00194D17">
        <w:rPr>
          <w:rFonts w:cs="Arial"/>
          <w:noProof/>
          <w:szCs w:val="24"/>
        </w:rPr>
        <w:t xml:space="preserve"> Interactions of Gonadotropin-ReleasingHormone (GnRH) and Gonadotropin-Inhibitory Hormone (GnIH) in Birds and Mammals</w:t>
      </w:r>
      <w:r w:rsidR="00194D17" w:rsidRPr="00194D17">
        <w:rPr>
          <w:rFonts w:cs="Arial"/>
          <w:noProof/>
          <w:szCs w:val="24"/>
        </w:rPr>
        <w:t>,</w:t>
      </w:r>
      <w:r w:rsidRPr="00194D17">
        <w:rPr>
          <w:rFonts w:cs="Arial"/>
          <w:noProof/>
          <w:szCs w:val="24"/>
        </w:rPr>
        <w:t xml:space="preserve"> Journal of Experimental Zoology Part A-Comparative Experimental Biology, 305A(10), 807–814.</w:t>
      </w:r>
    </w:p>
    <w:p w14:paraId="2118EC6C" w14:textId="46D748BE" w:rsidR="001854FA" w:rsidRPr="00194D17" w:rsidRDefault="001854FA" w:rsidP="00194D17">
      <w:pPr>
        <w:widowControl w:val="0"/>
        <w:autoSpaceDE w:val="0"/>
        <w:autoSpaceDN w:val="0"/>
        <w:adjustRightInd w:val="0"/>
        <w:spacing w:line="240" w:lineRule="auto"/>
        <w:ind w:left="480" w:hanging="480"/>
        <w:rPr>
          <w:rFonts w:cs="Arial"/>
          <w:noProof/>
          <w:szCs w:val="24"/>
        </w:rPr>
      </w:pPr>
      <w:r w:rsidRPr="00194D17">
        <w:rPr>
          <w:rFonts w:cs="Arial"/>
          <w:noProof/>
          <w:szCs w:val="24"/>
        </w:rPr>
        <w:t>Fraile M., Buratto R., Gómez B., Martín Á., Cocero M. J.</w:t>
      </w:r>
      <w:r w:rsidR="00F6750F" w:rsidRPr="00194D17">
        <w:rPr>
          <w:rFonts w:cs="Arial"/>
          <w:noProof/>
          <w:szCs w:val="24"/>
        </w:rPr>
        <w:t xml:space="preserve">, </w:t>
      </w:r>
      <w:r w:rsidRPr="00194D17">
        <w:rPr>
          <w:rFonts w:cs="Arial"/>
          <w:noProof/>
          <w:szCs w:val="24"/>
        </w:rPr>
        <w:t>2014</w:t>
      </w:r>
      <w:r w:rsidR="00F6750F" w:rsidRPr="00194D17">
        <w:rPr>
          <w:rFonts w:cs="Arial"/>
          <w:noProof/>
          <w:szCs w:val="24"/>
        </w:rPr>
        <w:t>,</w:t>
      </w:r>
      <w:r w:rsidRPr="00194D17">
        <w:rPr>
          <w:rFonts w:cs="Arial"/>
          <w:noProof/>
          <w:szCs w:val="24"/>
        </w:rPr>
        <w:t xml:space="preserve"> Enhanced delivery of quercetin by encapsulation in poloxamers by supercritical antisolvent process</w:t>
      </w:r>
      <w:r w:rsidR="00194D17" w:rsidRPr="00194D17">
        <w:rPr>
          <w:rFonts w:cs="Arial"/>
          <w:noProof/>
          <w:szCs w:val="24"/>
        </w:rPr>
        <w:t>,</w:t>
      </w:r>
      <w:r w:rsidRPr="00194D17">
        <w:rPr>
          <w:rFonts w:cs="Arial"/>
          <w:noProof/>
          <w:szCs w:val="24"/>
        </w:rPr>
        <w:t xml:space="preserve"> Industrial and Engineering Chemistry Research, 53(11), 4318–4327.</w:t>
      </w:r>
    </w:p>
    <w:p w14:paraId="5432A0A8" w14:textId="635858C6" w:rsidR="001854FA" w:rsidRPr="00194D17" w:rsidRDefault="001854FA" w:rsidP="00194D17">
      <w:pPr>
        <w:widowControl w:val="0"/>
        <w:autoSpaceDE w:val="0"/>
        <w:autoSpaceDN w:val="0"/>
        <w:adjustRightInd w:val="0"/>
        <w:spacing w:line="240" w:lineRule="auto"/>
        <w:ind w:left="480" w:hanging="480"/>
        <w:rPr>
          <w:rFonts w:cs="Arial"/>
          <w:noProof/>
          <w:szCs w:val="24"/>
        </w:rPr>
      </w:pPr>
      <w:r w:rsidRPr="00194D17">
        <w:rPr>
          <w:rFonts w:cs="Arial"/>
          <w:noProof/>
          <w:szCs w:val="24"/>
        </w:rPr>
        <w:t>Franco P.,  De Marco I. 2021</w:t>
      </w:r>
      <w:r w:rsidR="00F6750F" w:rsidRPr="00194D17">
        <w:rPr>
          <w:rFonts w:cs="Arial"/>
          <w:noProof/>
          <w:szCs w:val="24"/>
        </w:rPr>
        <w:t>,</w:t>
      </w:r>
      <w:r w:rsidRPr="00194D17">
        <w:rPr>
          <w:rFonts w:cs="Arial"/>
          <w:noProof/>
          <w:szCs w:val="24"/>
        </w:rPr>
        <w:t xml:space="preserve"> Nanoparticles and nanocrystals by supercritical CO</w:t>
      </w:r>
      <w:r w:rsidRPr="00194D17">
        <w:rPr>
          <w:rFonts w:cs="Arial"/>
          <w:noProof/>
          <w:szCs w:val="24"/>
          <w:vertAlign w:val="subscript"/>
        </w:rPr>
        <w:t>2</w:t>
      </w:r>
      <w:r w:rsidRPr="00194D17">
        <w:rPr>
          <w:rFonts w:cs="Arial"/>
          <w:noProof/>
          <w:szCs w:val="24"/>
        </w:rPr>
        <w:t>-assisted techniques for pharmaceutical applications: A review</w:t>
      </w:r>
      <w:r w:rsidR="00194D17" w:rsidRPr="00194D17">
        <w:rPr>
          <w:rFonts w:cs="Arial"/>
          <w:noProof/>
          <w:szCs w:val="24"/>
        </w:rPr>
        <w:t>,</w:t>
      </w:r>
      <w:r w:rsidRPr="00194D17">
        <w:rPr>
          <w:rFonts w:cs="Arial"/>
          <w:noProof/>
          <w:szCs w:val="24"/>
        </w:rPr>
        <w:t xml:space="preserve"> Applied Sciences (Switzerland), 11(4), 1–27.</w:t>
      </w:r>
    </w:p>
    <w:p w14:paraId="354A3A6D" w14:textId="2CC38851" w:rsidR="001854FA" w:rsidRPr="00194D17" w:rsidRDefault="001854FA" w:rsidP="00194D17">
      <w:pPr>
        <w:widowControl w:val="0"/>
        <w:autoSpaceDE w:val="0"/>
        <w:autoSpaceDN w:val="0"/>
        <w:adjustRightInd w:val="0"/>
        <w:spacing w:line="240" w:lineRule="auto"/>
        <w:ind w:left="480" w:hanging="480"/>
        <w:rPr>
          <w:rFonts w:cs="Arial"/>
          <w:noProof/>
          <w:szCs w:val="24"/>
        </w:rPr>
      </w:pPr>
      <w:r w:rsidRPr="00194D17">
        <w:rPr>
          <w:rFonts w:cs="Arial"/>
          <w:noProof/>
          <w:szCs w:val="24"/>
        </w:rPr>
        <w:t>Jung I. Il, Haam S., Lim G., Ryu J. H.</w:t>
      </w:r>
      <w:r w:rsidR="00C87811" w:rsidRPr="00194D17">
        <w:rPr>
          <w:rFonts w:cs="Arial"/>
          <w:noProof/>
          <w:szCs w:val="24"/>
        </w:rPr>
        <w:t xml:space="preserve">, </w:t>
      </w:r>
      <w:r w:rsidRPr="00194D17">
        <w:rPr>
          <w:rFonts w:cs="Arial"/>
          <w:noProof/>
          <w:szCs w:val="24"/>
        </w:rPr>
        <w:t>2012</w:t>
      </w:r>
      <w:r w:rsidR="00C87811" w:rsidRPr="00194D17">
        <w:rPr>
          <w:rFonts w:cs="Arial"/>
          <w:noProof/>
          <w:szCs w:val="24"/>
        </w:rPr>
        <w:t>,</w:t>
      </w:r>
      <w:r w:rsidRPr="00194D17">
        <w:rPr>
          <w:rFonts w:cs="Arial"/>
          <w:noProof/>
          <w:szCs w:val="24"/>
        </w:rPr>
        <w:t xml:space="preserve"> Preparation of peptide-loaded polymer microparticles using supercritical carbon dioxide</w:t>
      </w:r>
      <w:r w:rsidR="00194D17" w:rsidRPr="00194D17">
        <w:rPr>
          <w:rFonts w:cs="Arial"/>
          <w:noProof/>
          <w:szCs w:val="24"/>
        </w:rPr>
        <w:t>,</w:t>
      </w:r>
      <w:r w:rsidRPr="00194D17">
        <w:rPr>
          <w:rFonts w:cs="Arial"/>
          <w:noProof/>
          <w:szCs w:val="24"/>
        </w:rPr>
        <w:t xml:space="preserve"> Biotechnology and Bioprocess Engineering, 17(1), 185–194.</w:t>
      </w:r>
    </w:p>
    <w:p w14:paraId="7BB048ED" w14:textId="1C908DF6" w:rsidR="001854FA" w:rsidRPr="00194D17" w:rsidRDefault="001854FA" w:rsidP="00194D17">
      <w:pPr>
        <w:widowControl w:val="0"/>
        <w:autoSpaceDE w:val="0"/>
        <w:autoSpaceDN w:val="0"/>
        <w:adjustRightInd w:val="0"/>
        <w:spacing w:line="240" w:lineRule="auto"/>
        <w:ind w:left="480" w:hanging="480"/>
        <w:rPr>
          <w:rFonts w:cs="Arial"/>
          <w:noProof/>
          <w:szCs w:val="24"/>
        </w:rPr>
      </w:pPr>
      <w:r w:rsidRPr="00194D17">
        <w:rPr>
          <w:rFonts w:cs="Arial"/>
          <w:noProof/>
          <w:szCs w:val="24"/>
        </w:rPr>
        <w:t>Kirby E. D., Geraghty A. C., Ubuka T., Bentley G. E., Kaufer, D</w:t>
      </w:r>
      <w:r w:rsidR="00C87811" w:rsidRPr="00194D17">
        <w:rPr>
          <w:rFonts w:cs="Arial"/>
          <w:noProof/>
          <w:szCs w:val="24"/>
        </w:rPr>
        <w:t xml:space="preserve">, </w:t>
      </w:r>
      <w:r w:rsidRPr="00194D17">
        <w:rPr>
          <w:rFonts w:cs="Arial"/>
          <w:noProof/>
          <w:szCs w:val="24"/>
        </w:rPr>
        <w:t>2009</w:t>
      </w:r>
      <w:r w:rsidR="00C87811" w:rsidRPr="00194D17">
        <w:rPr>
          <w:rFonts w:cs="Arial"/>
          <w:noProof/>
          <w:szCs w:val="24"/>
        </w:rPr>
        <w:t>,</w:t>
      </w:r>
      <w:r w:rsidRPr="00194D17">
        <w:rPr>
          <w:rFonts w:cs="Arial"/>
          <w:noProof/>
          <w:szCs w:val="24"/>
        </w:rPr>
        <w:t xml:space="preserve"> Stress increases putative gonadotropin inhibitory hormone and decreases luteinizing hormone in male rats</w:t>
      </w:r>
      <w:r w:rsidR="00194D17" w:rsidRPr="00194D17">
        <w:rPr>
          <w:rFonts w:cs="Arial"/>
          <w:noProof/>
          <w:szCs w:val="24"/>
        </w:rPr>
        <w:t>,</w:t>
      </w:r>
      <w:r w:rsidRPr="00194D17">
        <w:rPr>
          <w:rFonts w:cs="Arial"/>
          <w:noProof/>
          <w:szCs w:val="24"/>
        </w:rPr>
        <w:t xml:space="preserve"> Proceedings of the National Academy of Sciences of the United States of America, 106(27), 11324–11329.</w:t>
      </w:r>
    </w:p>
    <w:p w14:paraId="34EAAA6E" w14:textId="33E36A13" w:rsidR="001854FA" w:rsidRPr="00194D17" w:rsidRDefault="001854FA" w:rsidP="00194D17">
      <w:pPr>
        <w:widowControl w:val="0"/>
        <w:autoSpaceDE w:val="0"/>
        <w:autoSpaceDN w:val="0"/>
        <w:adjustRightInd w:val="0"/>
        <w:spacing w:line="240" w:lineRule="auto"/>
        <w:ind w:left="480" w:hanging="480"/>
        <w:rPr>
          <w:rFonts w:cs="Arial"/>
          <w:noProof/>
          <w:szCs w:val="24"/>
        </w:rPr>
      </w:pPr>
      <w:r w:rsidRPr="00194D17">
        <w:rPr>
          <w:rFonts w:cs="Arial"/>
          <w:noProof/>
          <w:szCs w:val="24"/>
        </w:rPr>
        <w:t>Lee L. Y., Wang C. H., Smith K. A.</w:t>
      </w:r>
      <w:r w:rsidR="00C87811" w:rsidRPr="00194D17">
        <w:rPr>
          <w:rFonts w:cs="Arial"/>
          <w:noProof/>
          <w:szCs w:val="24"/>
        </w:rPr>
        <w:t xml:space="preserve">, </w:t>
      </w:r>
      <w:r w:rsidRPr="00194D17">
        <w:rPr>
          <w:rFonts w:cs="Arial"/>
          <w:noProof/>
          <w:szCs w:val="24"/>
        </w:rPr>
        <w:t>2008</w:t>
      </w:r>
      <w:r w:rsidR="00C87811" w:rsidRPr="00194D17">
        <w:rPr>
          <w:rFonts w:cs="Arial"/>
          <w:noProof/>
          <w:szCs w:val="24"/>
        </w:rPr>
        <w:t>,</w:t>
      </w:r>
      <w:r w:rsidRPr="00194D17">
        <w:rPr>
          <w:rFonts w:cs="Arial"/>
          <w:noProof/>
          <w:szCs w:val="24"/>
        </w:rPr>
        <w:t xml:space="preserve"> Supercritical antisolvent production of biodegradable micro- and nanoparticles for controlled delivery of paclitaxel</w:t>
      </w:r>
      <w:r w:rsidR="00194D17" w:rsidRPr="00194D17">
        <w:rPr>
          <w:rFonts w:cs="Arial"/>
          <w:noProof/>
          <w:szCs w:val="24"/>
        </w:rPr>
        <w:t>,</w:t>
      </w:r>
      <w:r w:rsidRPr="00194D17">
        <w:rPr>
          <w:rFonts w:cs="Arial"/>
          <w:noProof/>
          <w:szCs w:val="24"/>
        </w:rPr>
        <w:t xml:space="preserve"> Journal of Controlled Release, 125(2), 96–106.</w:t>
      </w:r>
    </w:p>
    <w:p w14:paraId="2998FB07" w14:textId="7E5B2035" w:rsidR="001854FA" w:rsidRPr="00194D17" w:rsidRDefault="001854FA" w:rsidP="00194D17">
      <w:pPr>
        <w:widowControl w:val="0"/>
        <w:autoSpaceDE w:val="0"/>
        <w:autoSpaceDN w:val="0"/>
        <w:adjustRightInd w:val="0"/>
        <w:spacing w:line="240" w:lineRule="auto"/>
        <w:ind w:left="480" w:hanging="480"/>
        <w:rPr>
          <w:rFonts w:cs="Arial"/>
          <w:noProof/>
          <w:szCs w:val="24"/>
        </w:rPr>
      </w:pPr>
      <w:r w:rsidRPr="00194D17">
        <w:rPr>
          <w:rFonts w:cs="Arial"/>
          <w:noProof/>
          <w:szCs w:val="24"/>
        </w:rPr>
        <w:t>Martín A., Mattea F., Gutiérrez L., Miguel F., Cocero M. J.</w:t>
      </w:r>
      <w:r w:rsidR="00C87811" w:rsidRPr="00194D17">
        <w:rPr>
          <w:rFonts w:cs="Arial"/>
          <w:noProof/>
          <w:szCs w:val="24"/>
        </w:rPr>
        <w:t xml:space="preserve">, </w:t>
      </w:r>
      <w:r w:rsidRPr="00194D17">
        <w:rPr>
          <w:rFonts w:cs="Arial"/>
          <w:noProof/>
          <w:szCs w:val="24"/>
        </w:rPr>
        <w:t>2007</w:t>
      </w:r>
      <w:r w:rsidR="00C87811" w:rsidRPr="00194D17">
        <w:rPr>
          <w:rFonts w:cs="Arial"/>
          <w:noProof/>
          <w:szCs w:val="24"/>
        </w:rPr>
        <w:t>,</w:t>
      </w:r>
      <w:r w:rsidRPr="00194D17">
        <w:rPr>
          <w:rFonts w:cs="Arial"/>
          <w:noProof/>
          <w:szCs w:val="24"/>
        </w:rPr>
        <w:t xml:space="preserve"> Co-precipitation of carotenoids and bio-polymers with the supercritical anti-solvent process</w:t>
      </w:r>
      <w:r w:rsidR="00194D17" w:rsidRPr="00194D17">
        <w:rPr>
          <w:rFonts w:cs="Arial"/>
          <w:noProof/>
          <w:szCs w:val="24"/>
        </w:rPr>
        <w:t>,</w:t>
      </w:r>
      <w:r w:rsidRPr="00194D17">
        <w:rPr>
          <w:rFonts w:cs="Arial"/>
          <w:noProof/>
          <w:szCs w:val="24"/>
        </w:rPr>
        <w:t xml:space="preserve"> Journal of Supercritical Fluids, 41(1), 138–147.</w:t>
      </w:r>
    </w:p>
    <w:p w14:paraId="6CE316CE" w14:textId="696CCA18" w:rsidR="001854FA" w:rsidRPr="00194D17" w:rsidRDefault="001854FA" w:rsidP="00194D17">
      <w:pPr>
        <w:widowControl w:val="0"/>
        <w:autoSpaceDE w:val="0"/>
        <w:autoSpaceDN w:val="0"/>
        <w:adjustRightInd w:val="0"/>
        <w:spacing w:line="240" w:lineRule="auto"/>
        <w:ind w:left="480" w:hanging="480"/>
        <w:rPr>
          <w:rFonts w:cs="Arial"/>
          <w:noProof/>
          <w:szCs w:val="24"/>
        </w:rPr>
      </w:pPr>
      <w:r w:rsidRPr="00194D17">
        <w:rPr>
          <w:rFonts w:cs="Arial"/>
          <w:noProof/>
          <w:szCs w:val="24"/>
        </w:rPr>
        <w:t>Patra J. K., Das G., Fraceto L. F., Campos E. V. R., Rodriguez-Torres M. D. P., Acosta-Torres L. S., Diaz-Torres L. A., Grillo R., Swamy M. K., Sharma S., Habtemariam S., Shin H. S.</w:t>
      </w:r>
      <w:r w:rsidR="00C87811" w:rsidRPr="00194D17">
        <w:rPr>
          <w:rFonts w:cs="Arial"/>
          <w:noProof/>
          <w:szCs w:val="24"/>
        </w:rPr>
        <w:t xml:space="preserve">, </w:t>
      </w:r>
      <w:r w:rsidRPr="00194D17">
        <w:rPr>
          <w:rFonts w:cs="Arial"/>
          <w:noProof/>
          <w:szCs w:val="24"/>
        </w:rPr>
        <w:t>2018</w:t>
      </w:r>
      <w:r w:rsidR="00C87811" w:rsidRPr="00194D17">
        <w:rPr>
          <w:rFonts w:cs="Arial"/>
          <w:noProof/>
          <w:szCs w:val="24"/>
        </w:rPr>
        <w:t xml:space="preserve">, </w:t>
      </w:r>
      <w:r w:rsidRPr="00194D17">
        <w:rPr>
          <w:rFonts w:cs="Arial"/>
          <w:noProof/>
          <w:szCs w:val="24"/>
        </w:rPr>
        <w:t>Nano based drug delivery systems: Recent developments and future prospects</w:t>
      </w:r>
      <w:r w:rsidR="00194D17" w:rsidRPr="00194D17">
        <w:rPr>
          <w:rFonts w:cs="Arial"/>
          <w:noProof/>
          <w:szCs w:val="24"/>
        </w:rPr>
        <w:t>,</w:t>
      </w:r>
      <w:r w:rsidRPr="00194D17">
        <w:rPr>
          <w:rFonts w:cs="Arial"/>
          <w:noProof/>
          <w:szCs w:val="24"/>
        </w:rPr>
        <w:t xml:space="preserve"> Journal of Nanobiotechnology, 16(1), 1–33.</w:t>
      </w:r>
    </w:p>
    <w:p w14:paraId="5EEEBFD1" w14:textId="31A50051" w:rsidR="001854FA" w:rsidRPr="00194D17" w:rsidRDefault="001854FA" w:rsidP="00194D17">
      <w:pPr>
        <w:widowControl w:val="0"/>
        <w:autoSpaceDE w:val="0"/>
        <w:autoSpaceDN w:val="0"/>
        <w:adjustRightInd w:val="0"/>
        <w:spacing w:line="240" w:lineRule="auto"/>
        <w:ind w:left="480" w:hanging="480"/>
        <w:rPr>
          <w:rFonts w:cs="Arial"/>
          <w:noProof/>
          <w:szCs w:val="24"/>
        </w:rPr>
      </w:pPr>
      <w:r w:rsidRPr="00194D17">
        <w:rPr>
          <w:rFonts w:cs="Arial"/>
          <w:noProof/>
          <w:szCs w:val="24"/>
        </w:rPr>
        <w:t>Piekarski D. J., Zhao S., Jennings K. J., Iwasa T., Legan S. J., Mikkelsen J. D., Tsutsui K., Kriegsfeld L. J.</w:t>
      </w:r>
      <w:r w:rsidR="00C87811" w:rsidRPr="00194D17">
        <w:rPr>
          <w:rFonts w:cs="Arial"/>
          <w:noProof/>
          <w:szCs w:val="24"/>
        </w:rPr>
        <w:t xml:space="preserve">, </w:t>
      </w:r>
      <w:r w:rsidRPr="00194D17">
        <w:rPr>
          <w:rFonts w:cs="Arial"/>
          <w:noProof/>
          <w:szCs w:val="24"/>
        </w:rPr>
        <w:t>2013</w:t>
      </w:r>
      <w:r w:rsidR="00C87811" w:rsidRPr="00194D17">
        <w:rPr>
          <w:rFonts w:cs="Arial"/>
          <w:noProof/>
          <w:szCs w:val="24"/>
        </w:rPr>
        <w:t>,</w:t>
      </w:r>
      <w:r w:rsidRPr="00194D17">
        <w:rPr>
          <w:rFonts w:cs="Arial"/>
          <w:noProof/>
          <w:szCs w:val="24"/>
        </w:rPr>
        <w:t xml:space="preserve"> Gonadotropin-inhibitory hormone reduces sexual motivation but not lordosis behavior in female Syrian hamsters (Mesocricetus auratus)</w:t>
      </w:r>
      <w:r w:rsidR="00194D17" w:rsidRPr="00194D17">
        <w:rPr>
          <w:rFonts w:cs="Arial"/>
          <w:noProof/>
          <w:szCs w:val="24"/>
        </w:rPr>
        <w:t>,</w:t>
      </w:r>
      <w:r w:rsidRPr="00194D17">
        <w:rPr>
          <w:rFonts w:cs="Arial"/>
          <w:noProof/>
          <w:szCs w:val="24"/>
        </w:rPr>
        <w:t xml:space="preserve"> Hormones and Behavior, 64(3), 501–510.</w:t>
      </w:r>
    </w:p>
    <w:p w14:paraId="08418CD2" w14:textId="7254A1BF" w:rsidR="001854FA" w:rsidRPr="00194D17" w:rsidRDefault="001854FA" w:rsidP="00194D17">
      <w:pPr>
        <w:widowControl w:val="0"/>
        <w:autoSpaceDE w:val="0"/>
        <w:autoSpaceDN w:val="0"/>
        <w:adjustRightInd w:val="0"/>
        <w:spacing w:line="240" w:lineRule="auto"/>
        <w:ind w:left="480" w:hanging="480"/>
        <w:rPr>
          <w:rFonts w:cs="Arial"/>
          <w:noProof/>
          <w:szCs w:val="24"/>
        </w:rPr>
      </w:pPr>
      <w:r w:rsidRPr="00194D17">
        <w:rPr>
          <w:rFonts w:cs="Arial"/>
          <w:noProof/>
          <w:szCs w:val="24"/>
        </w:rPr>
        <w:t>Prosapio V., De Marco I., Scognamiglio M., Reverchon E.</w:t>
      </w:r>
      <w:r w:rsidR="00C87811" w:rsidRPr="00194D17">
        <w:rPr>
          <w:rFonts w:cs="Arial"/>
          <w:noProof/>
          <w:szCs w:val="24"/>
        </w:rPr>
        <w:t xml:space="preserve">, </w:t>
      </w:r>
      <w:r w:rsidRPr="00194D17">
        <w:rPr>
          <w:rFonts w:cs="Arial"/>
          <w:noProof/>
          <w:szCs w:val="24"/>
        </w:rPr>
        <w:t>2015</w:t>
      </w:r>
      <w:r w:rsidR="00C87811" w:rsidRPr="00194D17">
        <w:rPr>
          <w:rFonts w:cs="Arial"/>
          <w:noProof/>
          <w:szCs w:val="24"/>
        </w:rPr>
        <w:t>,</w:t>
      </w:r>
      <w:r w:rsidRPr="00194D17">
        <w:rPr>
          <w:rFonts w:cs="Arial"/>
          <w:noProof/>
          <w:szCs w:val="24"/>
        </w:rPr>
        <w:t xml:space="preserve"> Folic acid-PVP nanostructured composite microparticles by supercritical antisolvent precipitation</w:t>
      </w:r>
      <w:r w:rsidR="00194D17" w:rsidRPr="00194D17">
        <w:rPr>
          <w:rFonts w:cs="Arial"/>
          <w:noProof/>
          <w:szCs w:val="24"/>
        </w:rPr>
        <w:t>,</w:t>
      </w:r>
      <w:r w:rsidRPr="00194D17">
        <w:rPr>
          <w:rFonts w:cs="Arial"/>
          <w:noProof/>
          <w:szCs w:val="24"/>
        </w:rPr>
        <w:t xml:space="preserve"> Chemical Engineering Journal, 277, 286–294.</w:t>
      </w:r>
    </w:p>
    <w:p w14:paraId="55C40A3D" w14:textId="02B61ADB" w:rsidR="001854FA" w:rsidRPr="00194D17" w:rsidRDefault="001854FA" w:rsidP="00194D17">
      <w:pPr>
        <w:widowControl w:val="0"/>
        <w:autoSpaceDE w:val="0"/>
        <w:autoSpaceDN w:val="0"/>
        <w:adjustRightInd w:val="0"/>
        <w:spacing w:line="240" w:lineRule="auto"/>
        <w:ind w:left="480" w:hanging="480"/>
        <w:rPr>
          <w:rFonts w:cs="Arial"/>
          <w:noProof/>
          <w:szCs w:val="24"/>
        </w:rPr>
      </w:pPr>
      <w:r w:rsidRPr="00194D17">
        <w:rPr>
          <w:rFonts w:cs="Arial"/>
          <w:noProof/>
          <w:szCs w:val="24"/>
        </w:rPr>
        <w:t>Prosapio V., Reverchon E., De Marco I.</w:t>
      </w:r>
      <w:r w:rsidR="00C87811" w:rsidRPr="00194D17">
        <w:rPr>
          <w:rFonts w:cs="Arial"/>
          <w:noProof/>
          <w:szCs w:val="24"/>
        </w:rPr>
        <w:t xml:space="preserve">, </w:t>
      </w:r>
      <w:r w:rsidRPr="00194D17">
        <w:rPr>
          <w:rFonts w:cs="Arial"/>
          <w:noProof/>
          <w:szCs w:val="24"/>
        </w:rPr>
        <w:t>2015</w:t>
      </w:r>
      <w:r w:rsidR="00C87811" w:rsidRPr="00194D17">
        <w:rPr>
          <w:rFonts w:cs="Arial"/>
          <w:noProof/>
          <w:szCs w:val="24"/>
        </w:rPr>
        <w:t>,</w:t>
      </w:r>
      <w:r w:rsidRPr="00194D17">
        <w:rPr>
          <w:rFonts w:cs="Arial"/>
          <w:noProof/>
          <w:szCs w:val="24"/>
        </w:rPr>
        <w:t xml:space="preserve"> Control of powders morphology in the supercritical antisolvent technique using solvent mixtures</w:t>
      </w:r>
      <w:r w:rsidR="00194D17" w:rsidRPr="00194D17">
        <w:rPr>
          <w:rFonts w:cs="Arial"/>
          <w:noProof/>
          <w:szCs w:val="24"/>
        </w:rPr>
        <w:t>,</w:t>
      </w:r>
      <w:r w:rsidRPr="00194D17">
        <w:rPr>
          <w:rFonts w:cs="Arial"/>
          <w:noProof/>
          <w:szCs w:val="24"/>
        </w:rPr>
        <w:t xml:space="preserve"> Chemical Engineering Transactions, 43(2003), 763–768.</w:t>
      </w:r>
    </w:p>
    <w:p w14:paraId="5CC9979B" w14:textId="31B62626" w:rsidR="001854FA" w:rsidRPr="00194D17" w:rsidRDefault="001854FA" w:rsidP="00194D17">
      <w:pPr>
        <w:widowControl w:val="0"/>
        <w:autoSpaceDE w:val="0"/>
        <w:autoSpaceDN w:val="0"/>
        <w:adjustRightInd w:val="0"/>
        <w:spacing w:line="240" w:lineRule="auto"/>
        <w:ind w:left="480" w:hanging="480"/>
        <w:rPr>
          <w:rFonts w:cs="Arial"/>
          <w:noProof/>
          <w:szCs w:val="24"/>
        </w:rPr>
      </w:pPr>
      <w:r w:rsidRPr="00194D17">
        <w:rPr>
          <w:rFonts w:cs="Arial"/>
          <w:noProof/>
          <w:szCs w:val="24"/>
        </w:rPr>
        <w:t>R</w:t>
      </w:r>
      <w:r w:rsidR="00C87811" w:rsidRPr="00194D17">
        <w:rPr>
          <w:rFonts w:cs="Arial"/>
          <w:noProof/>
          <w:szCs w:val="24"/>
        </w:rPr>
        <w:t>amsey</w:t>
      </w:r>
      <w:r w:rsidRPr="00194D17">
        <w:rPr>
          <w:rFonts w:cs="Arial"/>
          <w:noProof/>
          <w:szCs w:val="24"/>
        </w:rPr>
        <w:t xml:space="preserve"> E., S</w:t>
      </w:r>
      <w:r w:rsidR="00C87811" w:rsidRPr="00194D17">
        <w:rPr>
          <w:rFonts w:cs="Arial"/>
          <w:noProof/>
          <w:szCs w:val="24"/>
        </w:rPr>
        <w:t>un</w:t>
      </w:r>
      <w:r w:rsidRPr="00194D17">
        <w:rPr>
          <w:rFonts w:cs="Arial"/>
          <w:noProof/>
          <w:szCs w:val="24"/>
        </w:rPr>
        <w:t xml:space="preserve"> Q., Z</w:t>
      </w:r>
      <w:r w:rsidR="00C87811" w:rsidRPr="00194D17">
        <w:rPr>
          <w:rFonts w:cs="Arial"/>
          <w:noProof/>
          <w:szCs w:val="24"/>
        </w:rPr>
        <w:t>hang</w:t>
      </w:r>
      <w:r w:rsidRPr="00194D17">
        <w:rPr>
          <w:rFonts w:cs="Arial"/>
          <w:noProof/>
          <w:szCs w:val="24"/>
        </w:rPr>
        <w:t xml:space="preserve"> Z., Z</w:t>
      </w:r>
      <w:r w:rsidR="00C87811" w:rsidRPr="00194D17">
        <w:rPr>
          <w:rFonts w:cs="Arial"/>
          <w:noProof/>
          <w:szCs w:val="24"/>
        </w:rPr>
        <w:t xml:space="preserve">hang </w:t>
      </w:r>
      <w:r w:rsidRPr="00194D17">
        <w:rPr>
          <w:rFonts w:cs="Arial"/>
          <w:noProof/>
          <w:szCs w:val="24"/>
        </w:rPr>
        <w:t>C., G</w:t>
      </w:r>
      <w:r w:rsidR="00C87811" w:rsidRPr="00194D17">
        <w:rPr>
          <w:rFonts w:cs="Arial"/>
          <w:noProof/>
          <w:szCs w:val="24"/>
        </w:rPr>
        <w:t>ou</w:t>
      </w:r>
      <w:r w:rsidRPr="00194D17">
        <w:rPr>
          <w:rFonts w:cs="Arial"/>
          <w:noProof/>
          <w:szCs w:val="24"/>
        </w:rPr>
        <w:t xml:space="preserve"> W</w:t>
      </w:r>
      <w:r w:rsidR="00C87811" w:rsidRPr="00194D17">
        <w:rPr>
          <w:rFonts w:cs="Arial"/>
          <w:noProof/>
          <w:szCs w:val="24"/>
        </w:rPr>
        <w:t xml:space="preserve">, </w:t>
      </w:r>
      <w:r w:rsidRPr="00194D17">
        <w:rPr>
          <w:rFonts w:cs="Arial"/>
          <w:noProof/>
          <w:szCs w:val="24"/>
        </w:rPr>
        <w:t>2009</w:t>
      </w:r>
      <w:r w:rsidR="00C87811" w:rsidRPr="00194D17">
        <w:rPr>
          <w:rFonts w:cs="Arial"/>
          <w:noProof/>
          <w:szCs w:val="24"/>
        </w:rPr>
        <w:t>,</w:t>
      </w:r>
      <w:r w:rsidRPr="00194D17">
        <w:rPr>
          <w:rFonts w:cs="Arial"/>
          <w:noProof/>
          <w:szCs w:val="24"/>
        </w:rPr>
        <w:t xml:space="preserve"> Mini-Review: Green sustainable processes using supercritical fluid carbon dioxide</w:t>
      </w:r>
      <w:r w:rsidR="00194D17" w:rsidRPr="00194D17">
        <w:rPr>
          <w:rFonts w:cs="Arial"/>
          <w:noProof/>
          <w:szCs w:val="24"/>
        </w:rPr>
        <w:t>,</w:t>
      </w:r>
      <w:r w:rsidRPr="00194D17">
        <w:rPr>
          <w:rFonts w:cs="Arial"/>
          <w:noProof/>
          <w:szCs w:val="24"/>
        </w:rPr>
        <w:t xml:space="preserve"> Journal of Environmental Sciences, 21(6), 720–726.</w:t>
      </w:r>
    </w:p>
    <w:p w14:paraId="3CCA0028" w14:textId="09C48C96" w:rsidR="001854FA" w:rsidRPr="00194D17" w:rsidRDefault="001854FA" w:rsidP="00194D17">
      <w:pPr>
        <w:widowControl w:val="0"/>
        <w:autoSpaceDE w:val="0"/>
        <w:autoSpaceDN w:val="0"/>
        <w:adjustRightInd w:val="0"/>
        <w:spacing w:line="240" w:lineRule="auto"/>
        <w:ind w:left="480" w:hanging="480"/>
        <w:rPr>
          <w:rFonts w:cs="Arial"/>
          <w:noProof/>
          <w:szCs w:val="24"/>
        </w:rPr>
      </w:pPr>
      <w:r w:rsidRPr="00194D17">
        <w:rPr>
          <w:rFonts w:cs="Arial"/>
          <w:noProof/>
          <w:szCs w:val="24"/>
        </w:rPr>
        <w:t>Swain J.</w:t>
      </w:r>
      <w:r w:rsidR="00456F0E" w:rsidRPr="00194D17">
        <w:rPr>
          <w:rFonts w:cs="Arial"/>
          <w:noProof/>
          <w:szCs w:val="24"/>
        </w:rPr>
        <w:t xml:space="preserve">, </w:t>
      </w:r>
      <w:r w:rsidRPr="00194D17">
        <w:rPr>
          <w:rFonts w:cs="Arial"/>
          <w:noProof/>
          <w:szCs w:val="24"/>
        </w:rPr>
        <w:t>2016</w:t>
      </w:r>
      <w:r w:rsidR="00456F0E" w:rsidRPr="00194D17">
        <w:rPr>
          <w:rFonts w:cs="Arial"/>
          <w:noProof/>
          <w:szCs w:val="24"/>
        </w:rPr>
        <w:t>,</w:t>
      </w:r>
      <w:r w:rsidRPr="00194D17">
        <w:rPr>
          <w:rFonts w:cs="Arial"/>
          <w:noProof/>
          <w:szCs w:val="24"/>
        </w:rPr>
        <w:t xml:space="preserve"> Molecular level investigation on the interaction of pluronic F127 and human intestinal bile salts using excited state prototropism of 1-naphthol</w:t>
      </w:r>
      <w:r w:rsidR="00194D17" w:rsidRPr="00194D17">
        <w:rPr>
          <w:rFonts w:cs="Arial"/>
          <w:noProof/>
          <w:szCs w:val="24"/>
        </w:rPr>
        <w:t>,</w:t>
      </w:r>
      <w:r w:rsidRPr="00194D17">
        <w:rPr>
          <w:rFonts w:cs="Arial"/>
          <w:noProof/>
          <w:szCs w:val="24"/>
        </w:rPr>
        <w:t xml:space="preserve"> Journal of Photochemistry and Photobiology B: Biology, 160, 61–67.</w:t>
      </w:r>
    </w:p>
    <w:p w14:paraId="2C74D91F" w14:textId="6D465EE1" w:rsidR="001854FA" w:rsidRPr="00194D17" w:rsidRDefault="001854FA" w:rsidP="00194D17">
      <w:pPr>
        <w:widowControl w:val="0"/>
        <w:autoSpaceDE w:val="0"/>
        <w:autoSpaceDN w:val="0"/>
        <w:adjustRightInd w:val="0"/>
        <w:spacing w:line="240" w:lineRule="auto"/>
        <w:ind w:left="480" w:hanging="480"/>
        <w:rPr>
          <w:rFonts w:cs="Arial"/>
          <w:noProof/>
          <w:szCs w:val="24"/>
        </w:rPr>
      </w:pPr>
      <w:r w:rsidRPr="00194D17">
        <w:rPr>
          <w:rFonts w:cs="Arial"/>
          <w:noProof/>
          <w:szCs w:val="24"/>
        </w:rPr>
        <w:t>Ubuka T., Son Y. L., Tobari Y., &amp; Tsutsui K</w:t>
      </w:r>
      <w:r w:rsidR="00456F0E" w:rsidRPr="00194D17">
        <w:rPr>
          <w:rFonts w:cs="Arial"/>
          <w:noProof/>
          <w:szCs w:val="24"/>
        </w:rPr>
        <w:t xml:space="preserve">., </w:t>
      </w:r>
      <w:r w:rsidRPr="00194D17">
        <w:rPr>
          <w:rFonts w:cs="Arial"/>
          <w:noProof/>
          <w:szCs w:val="24"/>
        </w:rPr>
        <w:t>2012</w:t>
      </w:r>
      <w:r w:rsidR="00456F0E" w:rsidRPr="00194D17">
        <w:rPr>
          <w:rFonts w:cs="Arial"/>
          <w:noProof/>
          <w:szCs w:val="24"/>
        </w:rPr>
        <w:t>,</w:t>
      </w:r>
      <w:r w:rsidRPr="00194D17">
        <w:rPr>
          <w:rFonts w:cs="Arial"/>
          <w:noProof/>
          <w:szCs w:val="24"/>
        </w:rPr>
        <w:t xml:space="preserve"> Gonadotropin-inhibitory hormone action in the brain and pituitary</w:t>
      </w:r>
      <w:r w:rsidR="00194D17" w:rsidRPr="00194D17">
        <w:rPr>
          <w:rFonts w:cs="Arial"/>
          <w:noProof/>
          <w:szCs w:val="24"/>
        </w:rPr>
        <w:t>,</w:t>
      </w:r>
      <w:r w:rsidRPr="00194D17">
        <w:rPr>
          <w:rFonts w:cs="Arial"/>
          <w:noProof/>
          <w:szCs w:val="24"/>
        </w:rPr>
        <w:t xml:space="preserve"> Frontiers in Endocrinology, 3(NOV), 1–13.</w:t>
      </w:r>
    </w:p>
    <w:p w14:paraId="19BA44E5" w14:textId="4B1342A5" w:rsidR="001854FA" w:rsidRPr="00194D17" w:rsidRDefault="001854FA" w:rsidP="00194D17">
      <w:pPr>
        <w:widowControl w:val="0"/>
        <w:autoSpaceDE w:val="0"/>
        <w:autoSpaceDN w:val="0"/>
        <w:adjustRightInd w:val="0"/>
        <w:spacing w:line="240" w:lineRule="auto"/>
        <w:ind w:left="480" w:hanging="480"/>
        <w:rPr>
          <w:rFonts w:cs="Arial"/>
          <w:noProof/>
          <w:szCs w:val="24"/>
        </w:rPr>
      </w:pPr>
      <w:r w:rsidRPr="00194D17">
        <w:rPr>
          <w:rFonts w:cs="Arial"/>
          <w:noProof/>
          <w:szCs w:val="24"/>
        </w:rPr>
        <w:t>Ubuka T., Son Y. L., Tsutsui K.</w:t>
      </w:r>
      <w:r w:rsidR="00456F0E" w:rsidRPr="00194D17">
        <w:rPr>
          <w:rFonts w:cs="Arial"/>
          <w:noProof/>
          <w:szCs w:val="24"/>
        </w:rPr>
        <w:t xml:space="preserve">, </w:t>
      </w:r>
      <w:r w:rsidRPr="00194D17">
        <w:rPr>
          <w:rFonts w:cs="Arial"/>
          <w:noProof/>
          <w:szCs w:val="24"/>
        </w:rPr>
        <w:t>2016</w:t>
      </w:r>
      <w:r w:rsidR="00456F0E" w:rsidRPr="00194D17">
        <w:rPr>
          <w:rFonts w:cs="Arial"/>
          <w:noProof/>
          <w:szCs w:val="24"/>
        </w:rPr>
        <w:t>,</w:t>
      </w:r>
      <w:r w:rsidRPr="00194D17">
        <w:rPr>
          <w:rFonts w:cs="Arial"/>
          <w:noProof/>
          <w:szCs w:val="24"/>
        </w:rPr>
        <w:t xml:space="preserve"> Molecular, cellular, morphological, physiological and behavioral aspects of gonadotropin-inhibitory hormone</w:t>
      </w:r>
      <w:r w:rsidR="00194D17" w:rsidRPr="00194D17">
        <w:rPr>
          <w:rFonts w:cs="Arial"/>
          <w:noProof/>
          <w:szCs w:val="24"/>
        </w:rPr>
        <w:t>,</w:t>
      </w:r>
      <w:r w:rsidRPr="00194D17">
        <w:rPr>
          <w:rFonts w:cs="Arial"/>
          <w:noProof/>
          <w:szCs w:val="24"/>
        </w:rPr>
        <w:t xml:space="preserve"> General and Comparative Endocrinology, 227, 27–50.</w:t>
      </w:r>
    </w:p>
    <w:p w14:paraId="19F1B55F" w14:textId="58507A22" w:rsidR="001854FA" w:rsidRPr="00194D17" w:rsidRDefault="001854FA" w:rsidP="00194D17">
      <w:pPr>
        <w:widowControl w:val="0"/>
        <w:autoSpaceDE w:val="0"/>
        <w:autoSpaceDN w:val="0"/>
        <w:adjustRightInd w:val="0"/>
        <w:spacing w:line="240" w:lineRule="auto"/>
        <w:ind w:left="480" w:hanging="480"/>
        <w:rPr>
          <w:rFonts w:cs="Arial"/>
          <w:noProof/>
        </w:rPr>
      </w:pPr>
      <w:r w:rsidRPr="00194D17">
        <w:rPr>
          <w:rFonts w:cs="Arial"/>
          <w:noProof/>
          <w:szCs w:val="24"/>
        </w:rPr>
        <w:t>Vezzú K., Borin D., Bertucco A., Bersani S., Salmaso S., Caliceti P.</w:t>
      </w:r>
      <w:r w:rsidR="00456F0E" w:rsidRPr="00194D17">
        <w:rPr>
          <w:rFonts w:cs="Arial"/>
          <w:noProof/>
          <w:szCs w:val="24"/>
        </w:rPr>
        <w:t xml:space="preserve">, </w:t>
      </w:r>
      <w:r w:rsidRPr="00194D17">
        <w:rPr>
          <w:rFonts w:cs="Arial"/>
          <w:noProof/>
          <w:szCs w:val="24"/>
        </w:rPr>
        <w:t>2010</w:t>
      </w:r>
      <w:r w:rsidR="00456F0E" w:rsidRPr="00194D17">
        <w:rPr>
          <w:rFonts w:cs="Arial"/>
          <w:noProof/>
          <w:szCs w:val="24"/>
        </w:rPr>
        <w:t>,</w:t>
      </w:r>
      <w:r w:rsidRPr="00194D17">
        <w:rPr>
          <w:rFonts w:cs="Arial"/>
          <w:noProof/>
          <w:szCs w:val="24"/>
        </w:rPr>
        <w:t xml:space="preserve"> Production of lipid microparticles containing bioactive molecules functionalized with PEG</w:t>
      </w:r>
      <w:r w:rsidR="00194D17" w:rsidRPr="00194D17">
        <w:rPr>
          <w:rFonts w:cs="Arial"/>
          <w:noProof/>
          <w:szCs w:val="24"/>
        </w:rPr>
        <w:t xml:space="preserve">, </w:t>
      </w:r>
      <w:r w:rsidRPr="00194D17">
        <w:rPr>
          <w:rFonts w:cs="Arial"/>
          <w:noProof/>
          <w:szCs w:val="24"/>
        </w:rPr>
        <w:t>Journal of Supercritical Fluids, 54(3), 328–334.</w:t>
      </w:r>
    </w:p>
    <w:p w14:paraId="19C4FC68" w14:textId="6747DD58" w:rsidR="004628D2" w:rsidRDefault="002D126C" w:rsidP="00194D17">
      <w:pPr>
        <w:pStyle w:val="CETAddress"/>
        <w:jc w:val="both"/>
        <w:rPr>
          <w:sz w:val="18"/>
          <w:szCs w:val="18"/>
        </w:rPr>
      </w:pPr>
      <w:r w:rsidRPr="00194D17">
        <w:rPr>
          <w:sz w:val="18"/>
          <w:szCs w:val="18"/>
        </w:rPr>
        <w:fldChar w:fldCharType="end"/>
      </w:r>
    </w:p>
    <w:p w14:paraId="4B036910" w14:textId="5CE25A76" w:rsidR="00194D17" w:rsidRPr="00194D17" w:rsidRDefault="00194D17" w:rsidP="00194D17">
      <w:pPr>
        <w:pStyle w:val="CETBodytext"/>
        <w:tabs>
          <w:tab w:val="clear" w:pos="7100"/>
          <w:tab w:val="left" w:pos="5610"/>
        </w:tabs>
        <w:rPr>
          <w:lang w:val="en-GB"/>
        </w:rPr>
      </w:pPr>
      <w:r>
        <w:rPr>
          <w:lang w:val="en-GB"/>
        </w:rPr>
        <w:tab/>
      </w:r>
    </w:p>
    <w:sectPr w:rsidR="00194D17" w:rsidRPr="00194D17"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0BDF2" w14:textId="77777777" w:rsidR="00291BAC" w:rsidRDefault="00291BAC" w:rsidP="004F5E36">
      <w:r>
        <w:separator/>
      </w:r>
    </w:p>
  </w:endnote>
  <w:endnote w:type="continuationSeparator" w:id="0">
    <w:p w14:paraId="5573EB11" w14:textId="77777777" w:rsidR="00291BAC" w:rsidRDefault="00291BAC"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F1083" w14:textId="77777777" w:rsidR="00291BAC" w:rsidRDefault="00291BAC" w:rsidP="004F5E36">
      <w:r>
        <w:separator/>
      </w:r>
    </w:p>
  </w:footnote>
  <w:footnote w:type="continuationSeparator" w:id="0">
    <w:p w14:paraId="2ACD3DF3" w14:textId="77777777" w:rsidR="00291BAC" w:rsidRDefault="00291BAC"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C9D01BC"/>
    <w:multiLevelType w:val="hybridMultilevel"/>
    <w:tmpl w:val="EC3654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7B4021D3"/>
    <w:multiLevelType w:val="hybridMultilevel"/>
    <w:tmpl w:val="FE5A4A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 w:numId="23">
    <w:abstractNumId w:val="22"/>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0893"/>
    <w:rsid w:val="0001117B"/>
    <w:rsid w:val="000117CB"/>
    <w:rsid w:val="0003148D"/>
    <w:rsid w:val="00031EEC"/>
    <w:rsid w:val="00051566"/>
    <w:rsid w:val="00054864"/>
    <w:rsid w:val="00060C38"/>
    <w:rsid w:val="00062A9A"/>
    <w:rsid w:val="00065058"/>
    <w:rsid w:val="00075FA7"/>
    <w:rsid w:val="00077435"/>
    <w:rsid w:val="00086C39"/>
    <w:rsid w:val="000A03B2"/>
    <w:rsid w:val="000B32AB"/>
    <w:rsid w:val="000C5801"/>
    <w:rsid w:val="000C7746"/>
    <w:rsid w:val="000D0268"/>
    <w:rsid w:val="000D34BE"/>
    <w:rsid w:val="000E102F"/>
    <w:rsid w:val="000E36F1"/>
    <w:rsid w:val="000E3A73"/>
    <w:rsid w:val="000E414A"/>
    <w:rsid w:val="000E749B"/>
    <w:rsid w:val="000F093C"/>
    <w:rsid w:val="000F787B"/>
    <w:rsid w:val="00104DA9"/>
    <w:rsid w:val="0012091F"/>
    <w:rsid w:val="00126BC2"/>
    <w:rsid w:val="001308B6"/>
    <w:rsid w:val="0013121F"/>
    <w:rsid w:val="00131FE6"/>
    <w:rsid w:val="0013263F"/>
    <w:rsid w:val="00132F97"/>
    <w:rsid w:val="0013305A"/>
    <w:rsid w:val="001331DF"/>
    <w:rsid w:val="00134DE4"/>
    <w:rsid w:val="0014034D"/>
    <w:rsid w:val="00144D16"/>
    <w:rsid w:val="00150E59"/>
    <w:rsid w:val="00152DE3"/>
    <w:rsid w:val="00154CC8"/>
    <w:rsid w:val="00164CF9"/>
    <w:rsid w:val="001667A6"/>
    <w:rsid w:val="00171EC4"/>
    <w:rsid w:val="00174F59"/>
    <w:rsid w:val="00184AD6"/>
    <w:rsid w:val="001854FA"/>
    <w:rsid w:val="00194D17"/>
    <w:rsid w:val="001A4AF7"/>
    <w:rsid w:val="001B0349"/>
    <w:rsid w:val="001B1E93"/>
    <w:rsid w:val="001B65C1"/>
    <w:rsid w:val="001C1BAC"/>
    <w:rsid w:val="001C684B"/>
    <w:rsid w:val="001D0CFB"/>
    <w:rsid w:val="001D21AF"/>
    <w:rsid w:val="001D53FC"/>
    <w:rsid w:val="001E2443"/>
    <w:rsid w:val="001E3AC8"/>
    <w:rsid w:val="001F2321"/>
    <w:rsid w:val="001F42A5"/>
    <w:rsid w:val="001F7B9D"/>
    <w:rsid w:val="00201C93"/>
    <w:rsid w:val="002037AF"/>
    <w:rsid w:val="002224B4"/>
    <w:rsid w:val="00243BE2"/>
    <w:rsid w:val="002447EF"/>
    <w:rsid w:val="00247B65"/>
    <w:rsid w:val="00250574"/>
    <w:rsid w:val="0025088F"/>
    <w:rsid w:val="00251550"/>
    <w:rsid w:val="00263B05"/>
    <w:rsid w:val="00267F18"/>
    <w:rsid w:val="002714BE"/>
    <w:rsid w:val="0027221A"/>
    <w:rsid w:val="002749EC"/>
    <w:rsid w:val="00275B61"/>
    <w:rsid w:val="00280FAF"/>
    <w:rsid w:val="00281EFA"/>
    <w:rsid w:val="00282656"/>
    <w:rsid w:val="00283D61"/>
    <w:rsid w:val="00291BAC"/>
    <w:rsid w:val="00296B83"/>
    <w:rsid w:val="002B4015"/>
    <w:rsid w:val="002B78CE"/>
    <w:rsid w:val="002C2DCD"/>
    <w:rsid w:val="002C2FB6"/>
    <w:rsid w:val="002D126C"/>
    <w:rsid w:val="002D1376"/>
    <w:rsid w:val="002E5FA7"/>
    <w:rsid w:val="002F3309"/>
    <w:rsid w:val="003008CE"/>
    <w:rsid w:val="003009B7"/>
    <w:rsid w:val="00300E56"/>
    <w:rsid w:val="0030469C"/>
    <w:rsid w:val="00321CA6"/>
    <w:rsid w:val="00323763"/>
    <w:rsid w:val="00334C09"/>
    <w:rsid w:val="00366586"/>
    <w:rsid w:val="003723D4"/>
    <w:rsid w:val="00381905"/>
    <w:rsid w:val="00384CC8"/>
    <w:rsid w:val="0038557D"/>
    <w:rsid w:val="003871FD"/>
    <w:rsid w:val="003A1E30"/>
    <w:rsid w:val="003A2829"/>
    <w:rsid w:val="003A7D1C"/>
    <w:rsid w:val="003B304B"/>
    <w:rsid w:val="003B3146"/>
    <w:rsid w:val="003B6197"/>
    <w:rsid w:val="003D56FB"/>
    <w:rsid w:val="003E214B"/>
    <w:rsid w:val="003F015E"/>
    <w:rsid w:val="00400414"/>
    <w:rsid w:val="0041446B"/>
    <w:rsid w:val="00417CAF"/>
    <w:rsid w:val="00417DA4"/>
    <w:rsid w:val="0044071E"/>
    <w:rsid w:val="0044329C"/>
    <w:rsid w:val="00453DE9"/>
    <w:rsid w:val="00453E24"/>
    <w:rsid w:val="00456F0E"/>
    <w:rsid w:val="00457456"/>
    <w:rsid w:val="004577FE"/>
    <w:rsid w:val="00457B9C"/>
    <w:rsid w:val="0046164A"/>
    <w:rsid w:val="004628D2"/>
    <w:rsid w:val="00462DCD"/>
    <w:rsid w:val="004648AD"/>
    <w:rsid w:val="004703A9"/>
    <w:rsid w:val="004760DE"/>
    <w:rsid w:val="004763D7"/>
    <w:rsid w:val="00476559"/>
    <w:rsid w:val="0048186A"/>
    <w:rsid w:val="004A004E"/>
    <w:rsid w:val="004A24CF"/>
    <w:rsid w:val="004B5BBA"/>
    <w:rsid w:val="004B6CEA"/>
    <w:rsid w:val="004C3D1D"/>
    <w:rsid w:val="004C6D92"/>
    <w:rsid w:val="004C7913"/>
    <w:rsid w:val="004E4DD6"/>
    <w:rsid w:val="004F5B67"/>
    <w:rsid w:val="004F5E36"/>
    <w:rsid w:val="00507B47"/>
    <w:rsid w:val="00507BEF"/>
    <w:rsid w:val="00507CC9"/>
    <w:rsid w:val="005119A5"/>
    <w:rsid w:val="00522D05"/>
    <w:rsid w:val="005278B7"/>
    <w:rsid w:val="00532016"/>
    <w:rsid w:val="005346C8"/>
    <w:rsid w:val="005402D4"/>
    <w:rsid w:val="00543E7D"/>
    <w:rsid w:val="00547A68"/>
    <w:rsid w:val="005531C9"/>
    <w:rsid w:val="00553C3E"/>
    <w:rsid w:val="00555AAC"/>
    <w:rsid w:val="00556660"/>
    <w:rsid w:val="005643A7"/>
    <w:rsid w:val="00566E2C"/>
    <w:rsid w:val="00570C43"/>
    <w:rsid w:val="0057124A"/>
    <w:rsid w:val="00591686"/>
    <w:rsid w:val="0059189A"/>
    <w:rsid w:val="005B2110"/>
    <w:rsid w:val="005B6068"/>
    <w:rsid w:val="005B61E6"/>
    <w:rsid w:val="005C77E1"/>
    <w:rsid w:val="005D019D"/>
    <w:rsid w:val="005D668A"/>
    <w:rsid w:val="005D6A2F"/>
    <w:rsid w:val="005E1A82"/>
    <w:rsid w:val="005E794C"/>
    <w:rsid w:val="005F0A28"/>
    <w:rsid w:val="005F0E5E"/>
    <w:rsid w:val="005F1007"/>
    <w:rsid w:val="00600535"/>
    <w:rsid w:val="00604911"/>
    <w:rsid w:val="00610CD6"/>
    <w:rsid w:val="00613635"/>
    <w:rsid w:val="00620DEE"/>
    <w:rsid w:val="00621F92"/>
    <w:rsid w:val="0062280A"/>
    <w:rsid w:val="00625639"/>
    <w:rsid w:val="00631B33"/>
    <w:rsid w:val="006334AF"/>
    <w:rsid w:val="00641411"/>
    <w:rsid w:val="0064184D"/>
    <w:rsid w:val="006422CC"/>
    <w:rsid w:val="00651C6F"/>
    <w:rsid w:val="00660E3E"/>
    <w:rsid w:val="00662E74"/>
    <w:rsid w:val="00666EE8"/>
    <w:rsid w:val="00680C23"/>
    <w:rsid w:val="006842F7"/>
    <w:rsid w:val="00693766"/>
    <w:rsid w:val="006943AC"/>
    <w:rsid w:val="006A3281"/>
    <w:rsid w:val="006B4888"/>
    <w:rsid w:val="006B6568"/>
    <w:rsid w:val="006B6E7F"/>
    <w:rsid w:val="006C2E45"/>
    <w:rsid w:val="006C359C"/>
    <w:rsid w:val="006C5579"/>
    <w:rsid w:val="006D6E5D"/>
    <w:rsid w:val="006D6E8B"/>
    <w:rsid w:val="006E737D"/>
    <w:rsid w:val="00702DB8"/>
    <w:rsid w:val="00704A08"/>
    <w:rsid w:val="0071287C"/>
    <w:rsid w:val="007138B6"/>
    <w:rsid w:val="00713973"/>
    <w:rsid w:val="00714B57"/>
    <w:rsid w:val="00720A24"/>
    <w:rsid w:val="00725DA0"/>
    <w:rsid w:val="00732386"/>
    <w:rsid w:val="0073514D"/>
    <w:rsid w:val="00736A99"/>
    <w:rsid w:val="007447F3"/>
    <w:rsid w:val="0075499F"/>
    <w:rsid w:val="007661C8"/>
    <w:rsid w:val="00770413"/>
    <w:rsid w:val="0077098D"/>
    <w:rsid w:val="00774368"/>
    <w:rsid w:val="007931FA"/>
    <w:rsid w:val="00797764"/>
    <w:rsid w:val="007A4861"/>
    <w:rsid w:val="007A7BBA"/>
    <w:rsid w:val="007B0C50"/>
    <w:rsid w:val="007B12A4"/>
    <w:rsid w:val="007B48F9"/>
    <w:rsid w:val="007C1A43"/>
    <w:rsid w:val="007E30AD"/>
    <w:rsid w:val="007F30CE"/>
    <w:rsid w:val="0080013E"/>
    <w:rsid w:val="008034BF"/>
    <w:rsid w:val="00813288"/>
    <w:rsid w:val="008168FC"/>
    <w:rsid w:val="00830996"/>
    <w:rsid w:val="008345F1"/>
    <w:rsid w:val="008346FD"/>
    <w:rsid w:val="00854C98"/>
    <w:rsid w:val="00865B07"/>
    <w:rsid w:val="008667EA"/>
    <w:rsid w:val="00867E3F"/>
    <w:rsid w:val="008717F9"/>
    <w:rsid w:val="00874C07"/>
    <w:rsid w:val="0087637F"/>
    <w:rsid w:val="00876F0F"/>
    <w:rsid w:val="00882165"/>
    <w:rsid w:val="00892AD5"/>
    <w:rsid w:val="008A00FB"/>
    <w:rsid w:val="008A1512"/>
    <w:rsid w:val="008A476D"/>
    <w:rsid w:val="008B659F"/>
    <w:rsid w:val="008B6B22"/>
    <w:rsid w:val="008D18CA"/>
    <w:rsid w:val="008D32B9"/>
    <w:rsid w:val="008D433B"/>
    <w:rsid w:val="008E0C5B"/>
    <w:rsid w:val="008E30B3"/>
    <w:rsid w:val="008E566E"/>
    <w:rsid w:val="00900AAA"/>
    <w:rsid w:val="0090161A"/>
    <w:rsid w:val="00901EB6"/>
    <w:rsid w:val="00901FDD"/>
    <w:rsid w:val="00904C62"/>
    <w:rsid w:val="00922BA8"/>
    <w:rsid w:val="00924DAC"/>
    <w:rsid w:val="00927058"/>
    <w:rsid w:val="009301EB"/>
    <w:rsid w:val="00935211"/>
    <w:rsid w:val="00937AD7"/>
    <w:rsid w:val="00942750"/>
    <w:rsid w:val="009450CE"/>
    <w:rsid w:val="00945AB6"/>
    <w:rsid w:val="009461A6"/>
    <w:rsid w:val="00947179"/>
    <w:rsid w:val="0095164B"/>
    <w:rsid w:val="00954090"/>
    <w:rsid w:val="009573E7"/>
    <w:rsid w:val="0095788E"/>
    <w:rsid w:val="009607C7"/>
    <w:rsid w:val="00963E05"/>
    <w:rsid w:val="00964A45"/>
    <w:rsid w:val="00967843"/>
    <w:rsid w:val="00967D54"/>
    <w:rsid w:val="00971028"/>
    <w:rsid w:val="009726B6"/>
    <w:rsid w:val="00973796"/>
    <w:rsid w:val="00993B84"/>
    <w:rsid w:val="00996483"/>
    <w:rsid w:val="00996F5A"/>
    <w:rsid w:val="009A6B4D"/>
    <w:rsid w:val="009B041A"/>
    <w:rsid w:val="009B4D70"/>
    <w:rsid w:val="009B65B6"/>
    <w:rsid w:val="009C37C3"/>
    <w:rsid w:val="009C5326"/>
    <w:rsid w:val="009C7C86"/>
    <w:rsid w:val="009D1798"/>
    <w:rsid w:val="009D2FF7"/>
    <w:rsid w:val="009E453C"/>
    <w:rsid w:val="009E7884"/>
    <w:rsid w:val="009E788A"/>
    <w:rsid w:val="009F0CA7"/>
    <w:rsid w:val="009F0E08"/>
    <w:rsid w:val="009F5720"/>
    <w:rsid w:val="00A1763D"/>
    <w:rsid w:val="00A17CEC"/>
    <w:rsid w:val="00A215EE"/>
    <w:rsid w:val="00A27EF0"/>
    <w:rsid w:val="00A31A25"/>
    <w:rsid w:val="00A42361"/>
    <w:rsid w:val="00A475D0"/>
    <w:rsid w:val="00A5091D"/>
    <w:rsid w:val="00A50B20"/>
    <w:rsid w:val="00A51390"/>
    <w:rsid w:val="00A524A1"/>
    <w:rsid w:val="00A552CA"/>
    <w:rsid w:val="00A60D13"/>
    <w:rsid w:val="00A63286"/>
    <w:rsid w:val="00A72745"/>
    <w:rsid w:val="00A76EFC"/>
    <w:rsid w:val="00A91010"/>
    <w:rsid w:val="00A92F48"/>
    <w:rsid w:val="00A97F29"/>
    <w:rsid w:val="00AA09D2"/>
    <w:rsid w:val="00AA702E"/>
    <w:rsid w:val="00AB0964"/>
    <w:rsid w:val="00AB5011"/>
    <w:rsid w:val="00AC0CE0"/>
    <w:rsid w:val="00AC7368"/>
    <w:rsid w:val="00AD16B9"/>
    <w:rsid w:val="00AD4835"/>
    <w:rsid w:val="00AD624C"/>
    <w:rsid w:val="00AE2FB1"/>
    <w:rsid w:val="00AE377D"/>
    <w:rsid w:val="00AE6371"/>
    <w:rsid w:val="00AF0EBA"/>
    <w:rsid w:val="00AF6775"/>
    <w:rsid w:val="00B01B0E"/>
    <w:rsid w:val="00B02C8A"/>
    <w:rsid w:val="00B17FBD"/>
    <w:rsid w:val="00B21111"/>
    <w:rsid w:val="00B27EC2"/>
    <w:rsid w:val="00B315A6"/>
    <w:rsid w:val="00B31813"/>
    <w:rsid w:val="00B33365"/>
    <w:rsid w:val="00B419FE"/>
    <w:rsid w:val="00B57B36"/>
    <w:rsid w:val="00B57E6F"/>
    <w:rsid w:val="00B75B21"/>
    <w:rsid w:val="00B82952"/>
    <w:rsid w:val="00B8686D"/>
    <w:rsid w:val="00B92772"/>
    <w:rsid w:val="00B93F69"/>
    <w:rsid w:val="00BA0037"/>
    <w:rsid w:val="00BA38DF"/>
    <w:rsid w:val="00BB1DDC"/>
    <w:rsid w:val="00BC30C9"/>
    <w:rsid w:val="00BD077D"/>
    <w:rsid w:val="00BD1352"/>
    <w:rsid w:val="00BD4179"/>
    <w:rsid w:val="00BE0CCC"/>
    <w:rsid w:val="00BE3E58"/>
    <w:rsid w:val="00C01616"/>
    <w:rsid w:val="00C0162B"/>
    <w:rsid w:val="00C068ED"/>
    <w:rsid w:val="00C11B35"/>
    <w:rsid w:val="00C22E0C"/>
    <w:rsid w:val="00C345B1"/>
    <w:rsid w:val="00C40142"/>
    <w:rsid w:val="00C52C3C"/>
    <w:rsid w:val="00C57182"/>
    <w:rsid w:val="00C57863"/>
    <w:rsid w:val="00C603D9"/>
    <w:rsid w:val="00C64F6A"/>
    <w:rsid w:val="00C655FD"/>
    <w:rsid w:val="00C66578"/>
    <w:rsid w:val="00C67483"/>
    <w:rsid w:val="00C75407"/>
    <w:rsid w:val="00C84F24"/>
    <w:rsid w:val="00C870A8"/>
    <w:rsid w:val="00C87811"/>
    <w:rsid w:val="00C87F47"/>
    <w:rsid w:val="00C94434"/>
    <w:rsid w:val="00CA0D75"/>
    <w:rsid w:val="00CA1C95"/>
    <w:rsid w:val="00CA1E93"/>
    <w:rsid w:val="00CA5A9C"/>
    <w:rsid w:val="00CB07B9"/>
    <w:rsid w:val="00CB2E41"/>
    <w:rsid w:val="00CC4369"/>
    <w:rsid w:val="00CC4C20"/>
    <w:rsid w:val="00CD3517"/>
    <w:rsid w:val="00CD5FE2"/>
    <w:rsid w:val="00CE70A3"/>
    <w:rsid w:val="00CE7C68"/>
    <w:rsid w:val="00D002F5"/>
    <w:rsid w:val="00D02B4C"/>
    <w:rsid w:val="00D040C4"/>
    <w:rsid w:val="00D05FF1"/>
    <w:rsid w:val="00D06A41"/>
    <w:rsid w:val="00D11C89"/>
    <w:rsid w:val="00D15324"/>
    <w:rsid w:val="00D44C4E"/>
    <w:rsid w:val="00D4670D"/>
    <w:rsid w:val="00D46B7E"/>
    <w:rsid w:val="00D543C6"/>
    <w:rsid w:val="00D57C84"/>
    <w:rsid w:val="00D6057D"/>
    <w:rsid w:val="00D71640"/>
    <w:rsid w:val="00D74E0F"/>
    <w:rsid w:val="00D7559A"/>
    <w:rsid w:val="00D76474"/>
    <w:rsid w:val="00D836C5"/>
    <w:rsid w:val="00D84576"/>
    <w:rsid w:val="00D87B4C"/>
    <w:rsid w:val="00D93DF1"/>
    <w:rsid w:val="00DA1399"/>
    <w:rsid w:val="00DA24C6"/>
    <w:rsid w:val="00DA4D7B"/>
    <w:rsid w:val="00DB37C1"/>
    <w:rsid w:val="00DB387E"/>
    <w:rsid w:val="00DC2F36"/>
    <w:rsid w:val="00DD5EC9"/>
    <w:rsid w:val="00DE264A"/>
    <w:rsid w:val="00DE5E1C"/>
    <w:rsid w:val="00DF5072"/>
    <w:rsid w:val="00E0207B"/>
    <w:rsid w:val="00E02D18"/>
    <w:rsid w:val="00E041E7"/>
    <w:rsid w:val="00E161D3"/>
    <w:rsid w:val="00E178F7"/>
    <w:rsid w:val="00E23CA1"/>
    <w:rsid w:val="00E33C4F"/>
    <w:rsid w:val="00E409A8"/>
    <w:rsid w:val="00E45372"/>
    <w:rsid w:val="00E50C12"/>
    <w:rsid w:val="00E527F9"/>
    <w:rsid w:val="00E56115"/>
    <w:rsid w:val="00E62DA6"/>
    <w:rsid w:val="00E65B91"/>
    <w:rsid w:val="00E7209D"/>
    <w:rsid w:val="00E72EAD"/>
    <w:rsid w:val="00E77223"/>
    <w:rsid w:val="00E8528B"/>
    <w:rsid w:val="00E85B94"/>
    <w:rsid w:val="00E85C48"/>
    <w:rsid w:val="00E978D0"/>
    <w:rsid w:val="00EA0B50"/>
    <w:rsid w:val="00EA4613"/>
    <w:rsid w:val="00EA7E64"/>
    <w:rsid w:val="00EA7F91"/>
    <w:rsid w:val="00EB1523"/>
    <w:rsid w:val="00EB1C95"/>
    <w:rsid w:val="00EC0E49"/>
    <w:rsid w:val="00EC101F"/>
    <w:rsid w:val="00EC1D9F"/>
    <w:rsid w:val="00EE0131"/>
    <w:rsid w:val="00EE17B0"/>
    <w:rsid w:val="00EF06D9"/>
    <w:rsid w:val="00F04393"/>
    <w:rsid w:val="00F11AE1"/>
    <w:rsid w:val="00F14197"/>
    <w:rsid w:val="00F222CD"/>
    <w:rsid w:val="00F27806"/>
    <w:rsid w:val="00F30C64"/>
    <w:rsid w:val="00F32BA2"/>
    <w:rsid w:val="00F32CDB"/>
    <w:rsid w:val="00F565FE"/>
    <w:rsid w:val="00F63A70"/>
    <w:rsid w:val="00F6750F"/>
    <w:rsid w:val="00F708E0"/>
    <w:rsid w:val="00F7333B"/>
    <w:rsid w:val="00F7534E"/>
    <w:rsid w:val="00F80940"/>
    <w:rsid w:val="00F825AE"/>
    <w:rsid w:val="00F876CC"/>
    <w:rsid w:val="00F95FD9"/>
    <w:rsid w:val="00FA1802"/>
    <w:rsid w:val="00FA21D0"/>
    <w:rsid w:val="00FA5F5F"/>
    <w:rsid w:val="00FA76D1"/>
    <w:rsid w:val="00FB298F"/>
    <w:rsid w:val="00FB730C"/>
    <w:rsid w:val="00FC173A"/>
    <w:rsid w:val="00FC2695"/>
    <w:rsid w:val="00FC278D"/>
    <w:rsid w:val="00FC3E03"/>
    <w:rsid w:val="00FC3FC1"/>
    <w:rsid w:val="00FE0810"/>
    <w:rsid w:val="00FE44A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38FB97BB-A0D8-4D21-A626-DEB2BAB95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DB387E"/>
    <w:pPr>
      <w:keepNext/>
      <w:suppressAutoHyphens/>
      <w:spacing w:before="120" w:after="120" w:line="240" w:lineRule="auto"/>
    </w:pPr>
    <w:rPr>
      <w:rFonts w:ascii="Arial" w:eastAsia="Times New Roman" w:hAnsi="Arial" w:cs="Times New Roman"/>
      <w:b/>
      <w:sz w:val="20"/>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DB387E"/>
    <w:rPr>
      <w:rFonts w:ascii="Arial" w:eastAsia="Times New Roman" w:hAnsi="Arial" w:cs="Times New Roman"/>
      <w:b/>
      <w:sz w:val="20"/>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ind w:left="720"/>
      <w:contextualSpacing/>
    </w:pPr>
  </w:style>
  <w:style w:type="character" w:styleId="Refdenotaalpie">
    <w:name w:val="footnote reference"/>
    <w:basedOn w:val="Fuentedeprrafopredeter"/>
    <w:uiPriority w:val="99"/>
    <w:semiHidden/>
    <w:unhideWhenUsed/>
    <w:rsid w:val="00B75B2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505AB-89C7-472D-A65E-FD044E0A9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929</TotalTime>
  <Pages>6</Pages>
  <Words>10571</Words>
  <Characters>58145</Characters>
  <Application>Microsoft Office Word</Application>
  <DocSecurity>0</DocSecurity>
  <Lines>484</Lines>
  <Paragraphs>137</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68579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Diego</cp:lastModifiedBy>
  <cp:revision>179</cp:revision>
  <cp:lastPrinted>2015-05-12T18:31:00Z</cp:lastPrinted>
  <dcterms:created xsi:type="dcterms:W3CDTF">2022-02-05T09:48:00Z</dcterms:created>
  <dcterms:modified xsi:type="dcterms:W3CDTF">2022-03-14T13:03:00Z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Unique User Id_1">
    <vt:lpwstr>cecf2fb3-bae9-37d3-883a-cb6ade6c0715</vt:lpwstr>
  </property>
  <property fmtid="{D5CDD505-2E9C-101B-9397-08002B2CF9AE}" pid="26" name="Mendeley Citation Style_1">
    <vt:lpwstr>http://www.zotero.org/styles/apa</vt:lpwstr>
  </property>
</Properties>
</file>