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694C23FF" w:rsidR="00E978D0" w:rsidRPr="00B57B36" w:rsidRDefault="00915476" w:rsidP="00E978D0">
      <w:pPr>
        <w:pStyle w:val="CETTitle"/>
      </w:pPr>
      <w:r>
        <w:t>Biodegradation Potential of White Rot Fungus in Waste Tire Rubber</w:t>
      </w:r>
    </w:p>
    <w:p w14:paraId="0488FED2" w14:textId="2944E61F" w:rsidR="00B57E6F" w:rsidRPr="00B57B36" w:rsidRDefault="005A3237" w:rsidP="00B57E6F">
      <w:pPr>
        <w:pStyle w:val="CETAuthors"/>
      </w:pPr>
      <w:r>
        <w:t>Juliana Puello-Mendez</w:t>
      </w:r>
      <w:r w:rsidR="00B57E6F" w:rsidRPr="00B57B36">
        <w:rPr>
          <w:vertAlign w:val="superscript"/>
        </w:rPr>
        <w:t>a</w:t>
      </w:r>
      <w:r w:rsidR="00D62636" w:rsidRPr="00B57B36">
        <w:rPr>
          <w:vertAlign w:val="superscript"/>
        </w:rPr>
        <w:t>,</w:t>
      </w:r>
      <w:r w:rsidR="00D62636" w:rsidRPr="00B57B36">
        <w:t>*</w:t>
      </w:r>
      <w:r w:rsidR="00B57E6F" w:rsidRPr="00B57B36">
        <w:t>, J</w:t>
      </w:r>
      <w:r>
        <w:t>ose D. Marin-Batista</w:t>
      </w:r>
      <w:r w:rsidRPr="00B57B36">
        <w:rPr>
          <w:vertAlign w:val="superscript"/>
        </w:rPr>
        <w:t>a</w:t>
      </w:r>
      <w:r>
        <w:t xml:space="preserve">, </w:t>
      </w:r>
      <w:r w:rsidR="00AD6CE2">
        <w:t>Carmine Fusaro</w:t>
      </w:r>
      <w:r w:rsidR="00AD6CE2" w:rsidRPr="00B57B36">
        <w:rPr>
          <w:vertAlign w:val="superscript"/>
        </w:rPr>
        <w:t>a</w:t>
      </w:r>
      <w:r w:rsidR="00AD6CE2">
        <w:t xml:space="preserve">, </w:t>
      </w:r>
      <w:r w:rsidR="00D62636">
        <w:t>Henry A. Lambis-Miranda</w:t>
      </w:r>
      <w:r w:rsidR="00D62636" w:rsidRPr="00B57B36">
        <w:rPr>
          <w:vertAlign w:val="superscript"/>
        </w:rPr>
        <w:t>b</w:t>
      </w:r>
      <w:r w:rsidR="00D62636">
        <w:t>, Nestor E. Ramirez-Cuadro</w:t>
      </w:r>
      <w:r w:rsidR="00D62636">
        <w:rPr>
          <w:vertAlign w:val="superscript"/>
        </w:rPr>
        <w:t>a</w:t>
      </w:r>
      <w:r w:rsidR="00B57E6F" w:rsidRPr="00B57B36">
        <w:t xml:space="preserve">, </w:t>
      </w:r>
      <w:r w:rsidR="00D62636">
        <w:t>Jefferson A. Teheran-Romero</w:t>
      </w:r>
      <w:r w:rsidR="00D62636">
        <w:rPr>
          <w:vertAlign w:val="superscript"/>
        </w:rPr>
        <w:t>a</w:t>
      </w:r>
    </w:p>
    <w:p w14:paraId="6B2D21B3" w14:textId="18F221BD" w:rsidR="00B57E6F" w:rsidRPr="00B57B36" w:rsidRDefault="00B57E6F" w:rsidP="00B57E6F">
      <w:pPr>
        <w:pStyle w:val="CETAddress"/>
      </w:pPr>
      <w:r w:rsidRPr="00B57B36">
        <w:rPr>
          <w:vertAlign w:val="superscript"/>
        </w:rPr>
        <w:t>a</w:t>
      </w:r>
      <w:r w:rsidR="005C04B6" w:rsidRPr="005C04B6">
        <w:t>GICI Research Group, Chemical Engineering Department, Universidad de San Buenaventura Cartagena, Diag. 32 # 30-966, Cartagena, Colombia</w:t>
      </w:r>
    </w:p>
    <w:p w14:paraId="3D72B0B0" w14:textId="3356775C" w:rsidR="00B57E6F" w:rsidRPr="00B57B36" w:rsidRDefault="00B57E6F" w:rsidP="00B57E6F">
      <w:pPr>
        <w:pStyle w:val="CETAddress"/>
      </w:pPr>
      <w:r w:rsidRPr="00B57B36">
        <w:rPr>
          <w:vertAlign w:val="superscript"/>
        </w:rPr>
        <w:t>b</w:t>
      </w:r>
      <w:r w:rsidR="00B20B35" w:rsidRPr="00B20B35">
        <w:t>Processes and Systems Program, CIPTEC Research Group, Fundación Universitaria Tecnológico Comfenalco, Cartagena, Colombia</w:t>
      </w:r>
    </w:p>
    <w:p w14:paraId="73F1267A" w14:textId="7E2E1B7B" w:rsidR="00B57E6F" w:rsidRPr="00B57B36" w:rsidRDefault="00391F81" w:rsidP="00B57E6F">
      <w:pPr>
        <w:pStyle w:val="CETemail"/>
      </w:pPr>
      <w:r>
        <w:t>jpuello@usbctg.edu.co</w:t>
      </w:r>
    </w:p>
    <w:p w14:paraId="37A61FCE" w14:textId="5416C052" w:rsidR="00DA24C6" w:rsidRDefault="006543C2" w:rsidP="006543C2">
      <w:pPr>
        <w:pStyle w:val="CETBodytext"/>
      </w:pPr>
      <w:r w:rsidRPr="006543C2">
        <w:t xml:space="preserve">Vehicle tires are high demand inputs in the transportation sector, however, at the end of their useful life they become a technical, economic, environmental and public health problem, due to their complex structure made up of various materials, especially </w:t>
      </w:r>
      <w:r w:rsidR="00765D2A">
        <w:t xml:space="preserve">vulcanized </w:t>
      </w:r>
      <w:r w:rsidRPr="006543C2">
        <w:t>rubber</w:t>
      </w:r>
      <w:r w:rsidR="00765D2A">
        <w:t>.</w:t>
      </w:r>
      <w:r w:rsidRPr="006543C2">
        <w:t xml:space="preserve"> One possible way to mitigate the environmental impact of waste tires is to biodegrade rubber through the enzymatic action of fungi. The present study evaluated the biodegradation potential of waste rubber tires by enz</w:t>
      </w:r>
      <w:r w:rsidR="00CF5AF2">
        <w:t>y</w:t>
      </w:r>
      <w:r w:rsidRPr="006543C2">
        <w:t>matic action of a white rot fungus</w:t>
      </w:r>
      <w:r w:rsidR="008628F4">
        <w:t xml:space="preserve"> </w:t>
      </w:r>
      <w:r w:rsidR="00765D2A">
        <w:t>(</w:t>
      </w:r>
      <w:proofErr w:type="spellStart"/>
      <w:r w:rsidR="00765D2A">
        <w:rPr>
          <w:i/>
          <w:iCs/>
        </w:rPr>
        <w:t>Pleurotus</w:t>
      </w:r>
      <w:proofErr w:type="spellEnd"/>
      <w:r w:rsidR="00765D2A">
        <w:rPr>
          <w:i/>
          <w:iCs/>
        </w:rPr>
        <w:t xml:space="preserve"> </w:t>
      </w:r>
      <w:proofErr w:type="spellStart"/>
      <w:r w:rsidR="00765D2A">
        <w:rPr>
          <w:i/>
          <w:iCs/>
        </w:rPr>
        <w:t>Ostreatus</w:t>
      </w:r>
      <w:proofErr w:type="spellEnd"/>
      <w:r w:rsidR="00765D2A" w:rsidRPr="00765D2A">
        <w:t>)</w:t>
      </w:r>
      <w:r w:rsidRPr="006543C2">
        <w:t>. Initially, the effect of the enz</w:t>
      </w:r>
      <w:r w:rsidR="00CF5AF2">
        <w:t>y</w:t>
      </w:r>
      <w:r w:rsidRPr="006543C2">
        <w:t>matic action of the fungus on the mechanical structural and chemical properties of the rubber was evaluated. Sterilized tire rubber cuts of 1 cm</w:t>
      </w:r>
      <w:r w:rsidRPr="0096047E">
        <w:rPr>
          <w:vertAlign w:val="superscript"/>
        </w:rPr>
        <w:t>2</w:t>
      </w:r>
      <w:r w:rsidRPr="006543C2">
        <w:t xml:space="preserve"> were </w:t>
      </w:r>
      <w:proofErr w:type="spellStart"/>
      <w:r w:rsidRPr="006543C2">
        <w:t>innoculated</w:t>
      </w:r>
      <w:proofErr w:type="spellEnd"/>
      <w:r w:rsidRPr="006543C2">
        <w:t xml:space="preserve"> with the fungus. After </w:t>
      </w:r>
      <w:r w:rsidR="00A56CA4">
        <w:t>16 and 40</w:t>
      </w:r>
      <w:r w:rsidRPr="006543C2">
        <w:t xml:space="preserve"> days, surface changes </w:t>
      </w:r>
      <w:r w:rsidR="000F00F1">
        <w:t xml:space="preserve">were evaluated by environmental </w:t>
      </w:r>
      <w:r w:rsidRPr="006543C2">
        <w:t>scanning electron microscopy (</w:t>
      </w:r>
      <w:r w:rsidR="000F00F1">
        <w:t>E</w:t>
      </w:r>
      <w:r w:rsidRPr="006543C2">
        <w:t>SEM</w:t>
      </w:r>
      <w:r w:rsidR="00765D2A" w:rsidRPr="00765D2A">
        <w:t>). It was</w:t>
      </w:r>
      <w:r w:rsidR="002C119E" w:rsidRPr="00765D2A">
        <w:rPr>
          <w:highlight w:val="yellow"/>
        </w:rPr>
        <w:t xml:space="preserve"> </w:t>
      </w:r>
      <w:r w:rsidR="002C119E" w:rsidRPr="006543C2">
        <w:t>detected that the enz</w:t>
      </w:r>
      <w:r w:rsidR="00351812">
        <w:t>y</w:t>
      </w:r>
      <w:r w:rsidR="002C119E" w:rsidRPr="006543C2">
        <w:t>matic action on the molecular bonds caused material erosio</w:t>
      </w:r>
      <w:r w:rsidR="002C119E">
        <w:t>n</w:t>
      </w:r>
      <w:r w:rsidR="00A56CA4">
        <w:t xml:space="preserve">; </w:t>
      </w:r>
      <w:r w:rsidRPr="006543C2">
        <w:t>changes in chemical structure by Fourier transform infrared spectroscopy (FTIR)</w:t>
      </w:r>
      <w:r w:rsidR="00A56CA4">
        <w:t xml:space="preserve"> were evaluated after 40 days</w:t>
      </w:r>
      <w:r w:rsidRPr="006543C2">
        <w:t xml:space="preserve">. Also, potential of the scrap tire material to produce fungi biomass was analyzed, by preparing different concentrations of pulverized waste tire material in Agar Sabourad, and </w:t>
      </w:r>
      <w:proofErr w:type="spellStart"/>
      <w:r w:rsidRPr="006543C2">
        <w:t>innoculating</w:t>
      </w:r>
      <w:proofErr w:type="spellEnd"/>
      <w:r w:rsidRPr="006543C2">
        <w:t xml:space="preserve"> them with a suspension of the fungus mycelia. After 21 days, the germinated biomass at each substrate concentration was gravimetrically analyzed and modeled. Results showed a proportional dependence of the biomass growth as a function of the substrate concentration, and a potential of the white rot fungus to help biodegradation of waste tires.</w:t>
      </w:r>
    </w:p>
    <w:p w14:paraId="476B2F2E" w14:textId="77777777" w:rsidR="00600535" w:rsidRPr="00B57B36" w:rsidRDefault="00600535" w:rsidP="00600535">
      <w:pPr>
        <w:pStyle w:val="CETHeading1"/>
        <w:rPr>
          <w:lang w:val="en-GB"/>
        </w:rPr>
      </w:pPr>
      <w:r w:rsidRPr="00B57B36">
        <w:rPr>
          <w:lang w:val="en-GB"/>
        </w:rPr>
        <w:t>Introduction</w:t>
      </w:r>
    </w:p>
    <w:p w14:paraId="411975DD" w14:textId="53AF9246" w:rsidR="00CA2102" w:rsidRDefault="00A81061" w:rsidP="00A25AD5">
      <w:pPr>
        <w:pStyle w:val="CETBodytext"/>
      </w:pPr>
      <w:r>
        <w:t xml:space="preserve">Natural rubber production worldwide in 2020 amounted to almost 13 million metric tons, showing an </w:t>
      </w:r>
      <w:r w:rsidR="00B70CFF">
        <w:t xml:space="preserve">important </w:t>
      </w:r>
      <w:r>
        <w:t>increase since 2000, when a total of around 6.8 million metric tons of natural rubber was produced globally (Tiseo,</w:t>
      </w:r>
      <w:r w:rsidR="004C2328">
        <w:t xml:space="preserve"> </w:t>
      </w:r>
      <w:r>
        <w:t>2021</w:t>
      </w:r>
      <w:r w:rsidR="008D4ACF">
        <w:t>a</w:t>
      </w:r>
      <w:r>
        <w:t>).</w:t>
      </w:r>
      <w:r w:rsidR="00037B87">
        <w:t xml:space="preserve"> </w:t>
      </w:r>
      <w:r w:rsidR="00555068">
        <w:t>In the case of s</w:t>
      </w:r>
      <w:r w:rsidR="00037B87">
        <w:t xml:space="preserve">ynthetic rubber around 10.9 million metric tons </w:t>
      </w:r>
      <w:r w:rsidR="00555068">
        <w:t xml:space="preserve">were </w:t>
      </w:r>
      <w:r w:rsidR="00037B87">
        <w:t>produced</w:t>
      </w:r>
      <w:r w:rsidR="00555068">
        <w:t xml:space="preserve"> in 2000</w:t>
      </w:r>
      <w:r w:rsidR="00037B87">
        <w:t xml:space="preserve">, </w:t>
      </w:r>
      <w:r w:rsidR="00555068">
        <w:t xml:space="preserve">while </w:t>
      </w:r>
      <w:r w:rsidR="00037B87">
        <w:t>in 2020 this amount reached over 14.4 million metric tons</w:t>
      </w:r>
      <w:r w:rsidR="0027554B">
        <w:t xml:space="preserve"> (Tiseo, 2021b).</w:t>
      </w:r>
      <w:r w:rsidR="009474B6">
        <w:t xml:space="preserve"> </w:t>
      </w:r>
      <w:r w:rsidR="009474B6" w:rsidRPr="009474B6">
        <w:rPr>
          <w:lang w:eastAsia="es-CO"/>
        </w:rPr>
        <w:t>A large part of the rubber production is destined to the manufacture of tires for airplanes, heavy and light vehicles</w:t>
      </w:r>
      <w:r w:rsidR="009474B6">
        <w:rPr>
          <w:lang w:eastAsia="es-CO"/>
        </w:rPr>
        <w:t xml:space="preserve"> (</w:t>
      </w:r>
      <w:r w:rsidR="00EA6969">
        <w:rPr>
          <w:lang w:eastAsia="es-CO"/>
        </w:rPr>
        <w:t>Ruibal Villaseñor et al., 2017).</w:t>
      </w:r>
      <w:r w:rsidR="002851C7">
        <w:t xml:space="preserve"> </w:t>
      </w:r>
      <w:r w:rsidR="00F94935" w:rsidRPr="00F94935">
        <w:rPr>
          <w:lang w:eastAsia="es-CO"/>
        </w:rPr>
        <w:t>Worldwide, millions of tires are discarded annually in landfills, generating problems of both environmental pollution at the time of burning them, which disintegrates the rubber, releasing not only carbon monoxide and dioxide, but also sulfur dioxide, which in the atmosphere can be converted into acid rain</w:t>
      </w:r>
      <w:r w:rsidR="00D44AAF">
        <w:rPr>
          <w:lang w:eastAsia="es-CO"/>
        </w:rPr>
        <w:t xml:space="preserve">. </w:t>
      </w:r>
      <w:r w:rsidR="00D44AAF" w:rsidRPr="00D44AAF">
        <w:rPr>
          <w:lang w:eastAsia="es-CO"/>
        </w:rPr>
        <w:t>The accumulation of waste tires is also associated with public health problems when they are buried, stored or destroyed by incineration</w:t>
      </w:r>
      <w:r w:rsidR="007874A7">
        <w:rPr>
          <w:lang w:eastAsia="es-CO"/>
        </w:rPr>
        <w:t xml:space="preserve">, due to the </w:t>
      </w:r>
      <w:r w:rsidR="00D44AAF" w:rsidRPr="00D44AAF">
        <w:rPr>
          <w:lang w:eastAsia="es-CO"/>
        </w:rPr>
        <w:t>fire hazards</w:t>
      </w:r>
      <w:r w:rsidR="0050147B">
        <w:rPr>
          <w:lang w:eastAsia="es-CO"/>
        </w:rPr>
        <w:t xml:space="preserve"> (</w:t>
      </w:r>
      <w:r w:rsidR="001C7D09">
        <w:rPr>
          <w:lang w:eastAsia="es-CO"/>
        </w:rPr>
        <w:t>Mohamed et al., 2017</w:t>
      </w:r>
      <w:r w:rsidR="00763CE6">
        <w:rPr>
          <w:lang w:eastAsia="es-CO"/>
        </w:rPr>
        <w:t xml:space="preserve">). </w:t>
      </w:r>
      <w:r w:rsidR="00813C8A">
        <w:rPr>
          <w:lang w:eastAsia="es-CO"/>
        </w:rPr>
        <w:t>B</w:t>
      </w:r>
      <w:r w:rsidR="00813C8A" w:rsidRPr="00813C8A">
        <w:rPr>
          <w:lang w:eastAsia="es-CO"/>
        </w:rPr>
        <w:t>ioremediation has attracted the attention of researchers for its minimal energy consumption, efficient abatement and reduced production of toxic by-products</w:t>
      </w:r>
      <w:r w:rsidR="00813C8A">
        <w:rPr>
          <w:lang w:eastAsia="es-CO"/>
        </w:rPr>
        <w:t xml:space="preserve"> (</w:t>
      </w:r>
      <w:r w:rsidR="00465C63">
        <w:rPr>
          <w:lang w:eastAsia="es-CO"/>
        </w:rPr>
        <w:t>Srivastava et al., 2015</w:t>
      </w:r>
      <w:r w:rsidR="00813C8A">
        <w:rPr>
          <w:lang w:eastAsia="es-CO"/>
        </w:rPr>
        <w:t>).</w:t>
      </w:r>
      <w:r w:rsidR="00314BD0">
        <w:t xml:space="preserve"> </w:t>
      </w:r>
      <w:r w:rsidR="00314BD0" w:rsidRPr="00314BD0">
        <w:rPr>
          <w:lang w:eastAsia="es-CO"/>
        </w:rPr>
        <w:t>Fungal bioremediation represents a promising alternative within the biological treatment of tires due to the implementation of dry media for fermentation</w:t>
      </w:r>
      <w:r w:rsidR="00314BD0">
        <w:rPr>
          <w:lang w:eastAsia="es-CO"/>
        </w:rPr>
        <w:t>.</w:t>
      </w:r>
      <w:r w:rsidR="00D2231E">
        <w:rPr>
          <w:lang w:eastAsia="es-CO"/>
        </w:rPr>
        <w:t xml:space="preserve"> </w:t>
      </w:r>
      <w:r w:rsidR="00D2231E" w:rsidRPr="00D2231E">
        <w:rPr>
          <w:lang w:eastAsia="es-CO"/>
        </w:rPr>
        <w:t>Dry media lead to bioreactor designs with low operation volume and economical, as they do not require water consumption, generate a low volume of effluent</w:t>
      </w:r>
      <w:r w:rsidR="008B2194">
        <w:rPr>
          <w:lang w:eastAsia="es-CO"/>
        </w:rPr>
        <w:t xml:space="preserve">. </w:t>
      </w:r>
      <w:r w:rsidR="008B2194" w:rsidRPr="00857183">
        <w:rPr>
          <w:lang w:eastAsia="es-CO"/>
        </w:rPr>
        <w:t xml:space="preserve">The biodegradation of tires by fungi has been studied for </w:t>
      </w:r>
      <w:r w:rsidR="008B2194" w:rsidRPr="00857183">
        <w:rPr>
          <w:i/>
          <w:iCs/>
          <w:lang w:eastAsia="es-CO"/>
        </w:rPr>
        <w:t>Aspergillus</w:t>
      </w:r>
      <w:r w:rsidR="00765D2A">
        <w:rPr>
          <w:i/>
          <w:iCs/>
          <w:lang w:eastAsia="es-CO"/>
        </w:rPr>
        <w:t xml:space="preserve"> </w:t>
      </w:r>
      <w:proofErr w:type="spellStart"/>
      <w:r w:rsidR="00765D2A">
        <w:rPr>
          <w:i/>
          <w:iCs/>
          <w:lang w:eastAsia="es-CO"/>
        </w:rPr>
        <w:t>sp</w:t>
      </w:r>
      <w:proofErr w:type="spellEnd"/>
      <w:r w:rsidR="008B2194" w:rsidRPr="00857183">
        <w:rPr>
          <w:lang w:eastAsia="es-CO"/>
        </w:rPr>
        <w:t xml:space="preserve"> and </w:t>
      </w:r>
      <w:r w:rsidR="008B2194" w:rsidRPr="00857183">
        <w:rPr>
          <w:i/>
          <w:iCs/>
          <w:lang w:eastAsia="es-CO"/>
        </w:rPr>
        <w:t>Penicillium</w:t>
      </w:r>
      <w:r w:rsidR="00DA464E">
        <w:rPr>
          <w:i/>
          <w:iCs/>
          <w:lang w:eastAsia="es-CO"/>
        </w:rPr>
        <w:t xml:space="preserve"> </w:t>
      </w:r>
      <w:proofErr w:type="spellStart"/>
      <w:r w:rsidR="00DA464E">
        <w:rPr>
          <w:i/>
          <w:iCs/>
          <w:lang w:eastAsia="es-CO"/>
        </w:rPr>
        <w:t>sp</w:t>
      </w:r>
      <w:proofErr w:type="spellEnd"/>
      <w:r w:rsidR="008B2194" w:rsidRPr="00857183">
        <w:rPr>
          <w:lang w:eastAsia="es-CO"/>
        </w:rPr>
        <w:t>, showing a 40% reduction in the weight and mechanical properties of rubber due to surface erosion.</w:t>
      </w:r>
      <w:r w:rsidR="000A0A7B">
        <w:t xml:space="preserve"> </w:t>
      </w:r>
      <w:r w:rsidR="00B3189C" w:rsidRPr="00B3189C">
        <w:rPr>
          <w:lang w:eastAsia="es-CO"/>
        </w:rPr>
        <w:t>Additionally, fungi have a high potential for the generation of enzymes, which, when recovered, would represent an added value for bioremediation</w:t>
      </w:r>
      <w:r w:rsidR="00B3189C">
        <w:rPr>
          <w:lang w:eastAsia="es-CO"/>
        </w:rPr>
        <w:t xml:space="preserve"> </w:t>
      </w:r>
      <w:r w:rsidR="000A0A7B">
        <w:t>(</w:t>
      </w:r>
      <w:r w:rsidR="00347E70">
        <w:t>Shah</w:t>
      </w:r>
      <w:r w:rsidR="000A0A7B">
        <w:t xml:space="preserve"> et al., 201</w:t>
      </w:r>
      <w:r w:rsidR="00347E70">
        <w:t>3</w:t>
      </w:r>
      <w:r w:rsidR="000A0A7B">
        <w:t>)</w:t>
      </w:r>
      <w:r w:rsidR="00006797" w:rsidRPr="00006797">
        <w:t>.</w:t>
      </w:r>
    </w:p>
    <w:p w14:paraId="5376D634" w14:textId="43959C89" w:rsidR="00C00BB3" w:rsidRPr="00C00BB3" w:rsidRDefault="00CF3640" w:rsidP="00C00BB3">
      <w:pPr>
        <w:pStyle w:val="CETBodytext"/>
        <w:rPr>
          <w:lang w:eastAsia="es-CO"/>
        </w:rPr>
      </w:pPr>
      <w:r>
        <w:rPr>
          <w:lang w:eastAsia="es-CO"/>
        </w:rPr>
        <w:lastRenderedPageBreak/>
        <w:t>W</w:t>
      </w:r>
      <w:r w:rsidRPr="00CF3640">
        <w:rPr>
          <w:lang w:eastAsia="es-CO"/>
        </w:rPr>
        <w:t>hite</w:t>
      </w:r>
      <w:r>
        <w:rPr>
          <w:lang w:eastAsia="es-CO"/>
        </w:rPr>
        <w:t>-</w:t>
      </w:r>
      <w:r w:rsidRPr="00CF3640">
        <w:rPr>
          <w:lang w:eastAsia="es-CO"/>
        </w:rPr>
        <w:t>rot fung</w:t>
      </w:r>
      <w:r>
        <w:rPr>
          <w:lang w:eastAsia="es-CO"/>
        </w:rPr>
        <w:t>i (WRF)</w:t>
      </w:r>
      <w:r w:rsidRPr="00CF3640">
        <w:rPr>
          <w:lang w:eastAsia="es-CO"/>
        </w:rPr>
        <w:t>, belonging to the Basidiomycetes group, are considered suitable microorganisms for the production of enzymes through solid state fermentation, due to the similarity between their natural environment and the conditions of the fermentation process</w:t>
      </w:r>
      <w:r w:rsidR="002359A2">
        <w:t xml:space="preserve"> (</w:t>
      </w:r>
      <w:proofErr w:type="spellStart"/>
      <w:r w:rsidR="002359A2">
        <w:t>Ellouze</w:t>
      </w:r>
      <w:proofErr w:type="spellEnd"/>
      <w:r w:rsidR="002359A2">
        <w:t xml:space="preserve"> and Sayadi, 2016).</w:t>
      </w:r>
      <w:r w:rsidR="008756C2">
        <w:t xml:space="preserve"> </w:t>
      </w:r>
      <w:r w:rsidR="008756C2" w:rsidRPr="008756C2">
        <w:rPr>
          <w:lang w:eastAsia="es-CO"/>
        </w:rPr>
        <w:t>This fung</w:t>
      </w:r>
      <w:r w:rsidR="00014B12">
        <w:rPr>
          <w:lang w:eastAsia="es-CO"/>
        </w:rPr>
        <w:t>us</w:t>
      </w:r>
      <w:r w:rsidR="008756C2" w:rsidRPr="008756C2">
        <w:rPr>
          <w:lang w:eastAsia="es-CO"/>
        </w:rPr>
        <w:t xml:space="preserve"> ha</w:t>
      </w:r>
      <w:r w:rsidR="00F81B99">
        <w:rPr>
          <w:lang w:eastAsia="es-CO"/>
        </w:rPr>
        <w:t>s</w:t>
      </w:r>
      <w:r w:rsidR="008756C2" w:rsidRPr="008756C2">
        <w:rPr>
          <w:lang w:eastAsia="es-CO"/>
        </w:rPr>
        <w:t xml:space="preserve"> an enzymatic system made up of the enzymes Lignin peroxidase, Manganese peroxidase and laccase, capable of decomposing lign</w:t>
      </w:r>
      <w:r w:rsidR="00256F09">
        <w:rPr>
          <w:lang w:eastAsia="es-CO"/>
        </w:rPr>
        <w:t>in</w:t>
      </w:r>
      <w:r w:rsidR="008756C2" w:rsidRPr="008756C2">
        <w:rPr>
          <w:lang w:eastAsia="es-CO"/>
        </w:rPr>
        <w:t>olytic compounds.</w:t>
      </w:r>
      <w:r w:rsidR="00CD513E">
        <w:rPr>
          <w:lang w:eastAsia="es-CO"/>
        </w:rPr>
        <w:t xml:space="preserve"> </w:t>
      </w:r>
      <w:r w:rsidR="00CD513E" w:rsidRPr="00CD513E">
        <w:rPr>
          <w:lang w:eastAsia="es-CO"/>
        </w:rPr>
        <w:t>Additionally, WRF are known for their feasibility in the degradation of pesticides, aromatic hydrocarbons and some colorants.</w:t>
      </w:r>
      <w:r w:rsidR="00B85B8D">
        <w:rPr>
          <w:lang w:eastAsia="es-CO"/>
        </w:rPr>
        <w:t xml:space="preserve"> </w:t>
      </w:r>
      <w:r w:rsidR="00B85B8D" w:rsidRPr="00B85B8D">
        <w:rPr>
          <w:lang w:eastAsia="es-CO"/>
        </w:rPr>
        <w:t>Taking into account the versatility of WRF to biodegrade polluting organic compounds, it enables the study window towards the search for new applications in bioremediation</w:t>
      </w:r>
      <w:r w:rsidR="005C3C60">
        <w:rPr>
          <w:lang w:eastAsia="es-CO"/>
        </w:rPr>
        <w:t>.</w:t>
      </w:r>
      <w:r w:rsidR="00E8338A">
        <w:rPr>
          <w:lang w:eastAsia="es-CO"/>
        </w:rPr>
        <w:t xml:space="preserve"> </w:t>
      </w:r>
      <w:r w:rsidR="00E8338A" w:rsidRPr="00E8338A">
        <w:rPr>
          <w:lang w:eastAsia="es-CO"/>
        </w:rPr>
        <w:t xml:space="preserve">The fungus used in this research was </w:t>
      </w:r>
      <w:proofErr w:type="spellStart"/>
      <w:r w:rsidR="00E8338A" w:rsidRPr="000F0864">
        <w:rPr>
          <w:i/>
          <w:iCs/>
          <w:lang w:eastAsia="es-CO"/>
        </w:rPr>
        <w:t>Pleurotus</w:t>
      </w:r>
      <w:proofErr w:type="spellEnd"/>
      <w:r w:rsidR="00E8338A" w:rsidRPr="000F0864">
        <w:rPr>
          <w:i/>
          <w:iCs/>
          <w:lang w:eastAsia="es-CO"/>
        </w:rPr>
        <w:t xml:space="preserve"> </w:t>
      </w:r>
      <w:proofErr w:type="spellStart"/>
      <w:r w:rsidR="00E8338A" w:rsidRPr="000F0864">
        <w:rPr>
          <w:i/>
          <w:iCs/>
          <w:lang w:eastAsia="es-CO"/>
        </w:rPr>
        <w:t>Ostreatus</w:t>
      </w:r>
      <w:proofErr w:type="spellEnd"/>
      <w:r w:rsidR="00E8338A" w:rsidRPr="00E8338A">
        <w:rPr>
          <w:lang w:eastAsia="es-CO"/>
        </w:rPr>
        <w:t>. This type of mushroom is characterized by growing in climates with tropical and subtropical forests, and can also be cultivated artificially</w:t>
      </w:r>
      <w:r w:rsidR="00E8338A">
        <w:rPr>
          <w:lang w:eastAsia="es-CO"/>
        </w:rPr>
        <w:t xml:space="preserve"> (Andler et al., 2021).</w:t>
      </w:r>
      <w:r w:rsidR="00BE3D88">
        <w:rPr>
          <w:lang w:eastAsia="es-CO"/>
        </w:rPr>
        <w:t xml:space="preserve"> </w:t>
      </w:r>
      <w:r w:rsidR="00BE3D88" w:rsidRPr="00BE3D88">
        <w:rPr>
          <w:lang w:eastAsia="es-CO"/>
        </w:rPr>
        <w:t>According to the bibliographic review, no bioremediation studies are reported that evaluate the biodegradation feasibility of tires by enzymatic action of</w:t>
      </w:r>
      <w:r w:rsidR="006207AD">
        <w:rPr>
          <w:lang w:eastAsia="es-CO"/>
        </w:rPr>
        <w:t xml:space="preserve"> </w:t>
      </w:r>
      <w:proofErr w:type="spellStart"/>
      <w:r w:rsidR="006207AD" w:rsidRPr="000F0864">
        <w:rPr>
          <w:i/>
          <w:iCs/>
          <w:lang w:eastAsia="es-CO"/>
        </w:rPr>
        <w:t>Pleurotus</w:t>
      </w:r>
      <w:proofErr w:type="spellEnd"/>
      <w:r w:rsidR="006207AD" w:rsidRPr="000F0864">
        <w:rPr>
          <w:i/>
          <w:iCs/>
          <w:lang w:eastAsia="es-CO"/>
        </w:rPr>
        <w:t xml:space="preserve"> </w:t>
      </w:r>
      <w:proofErr w:type="spellStart"/>
      <w:r w:rsidR="006207AD" w:rsidRPr="000F0864">
        <w:rPr>
          <w:i/>
          <w:iCs/>
          <w:lang w:eastAsia="es-CO"/>
        </w:rPr>
        <w:t>Ostreatus</w:t>
      </w:r>
      <w:proofErr w:type="spellEnd"/>
      <w:r w:rsidR="00BE3D88" w:rsidRPr="00BE3D88">
        <w:rPr>
          <w:lang w:eastAsia="es-CO"/>
        </w:rPr>
        <w:t>.</w:t>
      </w:r>
      <w:r w:rsidR="00B2450A">
        <w:rPr>
          <w:lang w:eastAsia="es-CO"/>
        </w:rPr>
        <w:t xml:space="preserve"> </w:t>
      </w:r>
      <w:r w:rsidR="00B2450A" w:rsidRPr="00B2450A">
        <w:rPr>
          <w:lang w:eastAsia="es-CO"/>
        </w:rPr>
        <w:t>The main component of tires is poly-cis-1,4-isoprene (2-methyl-1,3-butadiene) which, being an organic molecule, represents a carbon source available for obtaining energy</w:t>
      </w:r>
      <w:r w:rsidR="003960E7">
        <w:rPr>
          <w:lang w:eastAsia="es-CO"/>
        </w:rPr>
        <w:t xml:space="preserve"> (</w:t>
      </w:r>
      <w:r w:rsidR="00BB419D">
        <w:rPr>
          <w:lang w:eastAsia="es-CO"/>
        </w:rPr>
        <w:t>Andler, 2020</w:t>
      </w:r>
      <w:r w:rsidR="003960E7">
        <w:rPr>
          <w:lang w:eastAsia="es-CO"/>
        </w:rPr>
        <w:t>)</w:t>
      </w:r>
      <w:r w:rsidR="0097773A">
        <w:rPr>
          <w:lang w:eastAsia="es-CO"/>
        </w:rPr>
        <w:t>.</w:t>
      </w:r>
      <w:r w:rsidR="00E561AF">
        <w:rPr>
          <w:lang w:eastAsia="es-CO"/>
        </w:rPr>
        <w:t xml:space="preserve"> </w:t>
      </w:r>
      <w:r w:rsidR="00E561AF" w:rsidRPr="00E561AF">
        <w:rPr>
          <w:lang w:eastAsia="es-CO"/>
        </w:rPr>
        <w:t>Poly-cis-1,4-isoprene is naturally extracted from the bark of trees during logging processes for rubber production</w:t>
      </w:r>
      <w:r w:rsidR="00E561AF">
        <w:rPr>
          <w:lang w:eastAsia="es-CO"/>
        </w:rPr>
        <w:t xml:space="preserve"> (Singh et al., 2017)</w:t>
      </w:r>
      <w:r w:rsidR="00E561AF" w:rsidRPr="00E561AF">
        <w:rPr>
          <w:lang w:eastAsia="es-CO"/>
        </w:rPr>
        <w:t>.</w:t>
      </w:r>
      <w:r w:rsidR="00FF3DEA">
        <w:rPr>
          <w:lang w:eastAsia="es-CO"/>
        </w:rPr>
        <w:t xml:space="preserve"> </w:t>
      </w:r>
      <w:r w:rsidR="00FF3DEA" w:rsidRPr="00FF3DEA">
        <w:rPr>
          <w:lang w:eastAsia="es-CO"/>
        </w:rPr>
        <w:t>Given its lignocellulosic origin, poly-cis-1,4-isopropene has characteristics similar to lignin, making its polymeric structure and molecular bonds susceptible to decomposition by the WRF enzymatic complex.</w:t>
      </w:r>
      <w:r w:rsidR="00432617">
        <w:rPr>
          <w:lang w:eastAsia="es-CO"/>
        </w:rPr>
        <w:t xml:space="preserve"> </w:t>
      </w:r>
      <w:r w:rsidR="00432617" w:rsidRPr="00432617">
        <w:rPr>
          <w:lang w:eastAsia="es-CO"/>
        </w:rPr>
        <w:t>The intrinsic ability of rubber to be transformed into a simpler chemical structure by microbial means defines the biodegradation potential</w:t>
      </w:r>
      <w:r w:rsidR="00432617">
        <w:rPr>
          <w:lang w:eastAsia="es-CO"/>
        </w:rPr>
        <w:t xml:space="preserve"> </w:t>
      </w:r>
      <w:r w:rsidR="00EE7A6E">
        <w:rPr>
          <w:lang w:eastAsia="es-CO"/>
        </w:rPr>
        <w:t>(Stevenson et al., 2008).</w:t>
      </w:r>
      <w:r w:rsidR="009B607A">
        <w:rPr>
          <w:lang w:eastAsia="es-CO"/>
        </w:rPr>
        <w:t xml:space="preserve"> </w:t>
      </w:r>
      <w:r w:rsidR="009B607A" w:rsidRPr="009B607A">
        <w:rPr>
          <w:lang w:eastAsia="es-CO"/>
        </w:rPr>
        <w:t>However, the measurement of the biodegradative potential of a vulcanized rubber is a non-standard parameter since the metabolic route in the decomposition of poly-cis-1,4-isoprene has not been fully identified</w:t>
      </w:r>
      <w:r w:rsidR="00DA3C38">
        <w:rPr>
          <w:lang w:eastAsia="es-CO"/>
        </w:rPr>
        <w:t>; t</w:t>
      </w:r>
      <w:r w:rsidR="00DA3C38" w:rsidRPr="00DA3C38">
        <w:rPr>
          <w:lang w:eastAsia="es-CO"/>
        </w:rPr>
        <w:t>his makes it difficult to determine a quantitative value that expresses the potential of the white rot fungus to transform poly-cis-1,4-isopropene to reusable metabolic products.</w:t>
      </w:r>
      <w:r w:rsidR="00D354EB">
        <w:rPr>
          <w:lang w:eastAsia="es-CO"/>
        </w:rPr>
        <w:t xml:space="preserve"> </w:t>
      </w:r>
      <w:r w:rsidR="00D354EB" w:rsidRPr="00D354EB">
        <w:rPr>
          <w:lang w:eastAsia="es-CO"/>
        </w:rPr>
        <w:t>The biodegradative potentials of solid substrates can be measured indirectly from the changes in the physicochemical, mechanical and structural properties of the material.</w:t>
      </w:r>
      <w:r w:rsidR="0059699F">
        <w:rPr>
          <w:lang w:eastAsia="es-CO"/>
        </w:rPr>
        <w:t xml:space="preserve"> </w:t>
      </w:r>
      <w:r w:rsidR="0059699F" w:rsidRPr="0059699F">
        <w:rPr>
          <w:lang w:eastAsia="es-CO"/>
        </w:rPr>
        <w:t>Likewise, the mathematical models allow to carry out kinetic characterizations of the bioprocess from the identification of biodegradative parameters, cell growth, yields in the formation of products and consumption of substrate.</w:t>
      </w:r>
      <w:r w:rsidR="00C00BB3">
        <w:rPr>
          <w:lang w:eastAsia="es-CO"/>
        </w:rPr>
        <w:t xml:space="preserve"> I</w:t>
      </w:r>
      <w:r w:rsidR="00C00BB3" w:rsidRPr="00C00BB3">
        <w:rPr>
          <w:lang w:eastAsia="es-CO"/>
        </w:rPr>
        <w:t>n this way, biodigesters can be designed that lead to studies under controlled operating conditions, substrate formulation, inhibition control, optimization of nutritional requirements and process scaling.</w:t>
      </w:r>
    </w:p>
    <w:p w14:paraId="5741900F" w14:textId="7FD187AF" w:rsidR="00453E24" w:rsidRDefault="00CA7022" w:rsidP="00453E24">
      <w:pPr>
        <w:pStyle w:val="CETHeading1"/>
      </w:pPr>
      <w:r>
        <w:t>Methods and materials</w:t>
      </w:r>
    </w:p>
    <w:p w14:paraId="4F1128C6" w14:textId="2A31A936" w:rsidR="00782A24" w:rsidRPr="00782A24" w:rsidRDefault="006E3978" w:rsidP="00782A24">
      <w:pPr>
        <w:pStyle w:val="CETBodytext"/>
        <w:rPr>
          <w:lang w:val="es-CO" w:eastAsia="es-CO"/>
        </w:rPr>
      </w:pPr>
      <w:r w:rsidRPr="006E3978">
        <w:rPr>
          <w:lang w:eastAsia="es-CO"/>
        </w:rPr>
        <w:t>The waste tire</w:t>
      </w:r>
      <w:r w:rsidR="000C2C59">
        <w:rPr>
          <w:lang w:eastAsia="es-CO"/>
        </w:rPr>
        <w:t xml:space="preserve"> rubber</w:t>
      </w:r>
      <w:r w:rsidRPr="006E3978">
        <w:rPr>
          <w:lang w:eastAsia="es-CO"/>
        </w:rPr>
        <w:t xml:space="preserve"> sample was obtained from an industrial waste dump, this tire</w:t>
      </w:r>
      <w:r w:rsidR="000C2C59">
        <w:rPr>
          <w:lang w:eastAsia="es-CO"/>
        </w:rPr>
        <w:t xml:space="preserve"> rubber</w:t>
      </w:r>
      <w:r w:rsidRPr="006E3978">
        <w:rPr>
          <w:lang w:eastAsia="es-CO"/>
        </w:rPr>
        <w:t xml:space="preserve"> was washed with distilled water and dried in an oven at 105</w:t>
      </w:r>
      <w:r w:rsidR="004B6C3B">
        <w:rPr>
          <w:lang w:eastAsia="es-CO"/>
        </w:rPr>
        <w:t xml:space="preserve"> </w:t>
      </w:r>
      <w:r w:rsidRPr="006E3978">
        <w:rPr>
          <w:lang w:eastAsia="es-CO"/>
        </w:rPr>
        <w:t>°C.</w:t>
      </w:r>
      <w:r w:rsidR="000744D1">
        <w:rPr>
          <w:lang w:val="es-CO" w:eastAsia="es-CO"/>
        </w:rPr>
        <w:t xml:space="preserve"> </w:t>
      </w:r>
      <w:r w:rsidR="000744D1" w:rsidRPr="000744D1">
        <w:rPr>
          <w:lang w:eastAsia="es-CO"/>
        </w:rPr>
        <w:t xml:space="preserve">Subsequently, the tire fraction was crushed until obtaining a fine </w:t>
      </w:r>
      <w:r w:rsidR="000C2C59">
        <w:rPr>
          <w:lang w:eastAsia="es-CO"/>
        </w:rPr>
        <w:t>rubber</w:t>
      </w:r>
      <w:r w:rsidR="000744D1" w:rsidRPr="000744D1">
        <w:rPr>
          <w:lang w:eastAsia="es-CO"/>
        </w:rPr>
        <w:t xml:space="preserve"> powder with a particle size of 2-4 mm in diameter.</w:t>
      </w:r>
      <w:r w:rsidR="00782A24">
        <w:rPr>
          <w:lang w:val="es-CO" w:eastAsia="es-CO"/>
        </w:rPr>
        <w:t xml:space="preserve"> </w:t>
      </w:r>
      <w:r w:rsidR="00782A24" w:rsidRPr="00782A24">
        <w:rPr>
          <w:lang w:eastAsia="es-CO"/>
        </w:rPr>
        <w:t>The elemental composition of the tire was determined by Energy Dispersive Spectroscopy (EDS) at 25°C and 1 atm pressure</w:t>
      </w:r>
      <w:r w:rsidR="000E3B64">
        <w:rPr>
          <w:lang w:eastAsia="es-CO"/>
        </w:rPr>
        <w:t>, in order to evaluate the amount of carbon (C)</w:t>
      </w:r>
      <w:r w:rsidR="00A42EDD">
        <w:rPr>
          <w:lang w:eastAsia="es-CO"/>
        </w:rPr>
        <w:t xml:space="preserve"> </w:t>
      </w:r>
      <w:r w:rsidR="000E3B64">
        <w:rPr>
          <w:lang w:eastAsia="es-CO"/>
        </w:rPr>
        <w:t xml:space="preserve">that is potentially available </w:t>
      </w:r>
      <w:r w:rsidR="00A42EDD">
        <w:rPr>
          <w:lang w:eastAsia="es-CO"/>
        </w:rPr>
        <w:t>as a nutrient for the fungus.</w:t>
      </w:r>
    </w:p>
    <w:p w14:paraId="0636B784" w14:textId="7375DE42" w:rsidR="00453E24" w:rsidRDefault="00C63561" w:rsidP="00453E24">
      <w:pPr>
        <w:pStyle w:val="CETheadingx"/>
      </w:pPr>
      <w:r>
        <w:t>Prepara</w:t>
      </w:r>
      <w:r w:rsidR="004A5172">
        <w:t>tio</w:t>
      </w:r>
      <w:r>
        <w:t xml:space="preserve">n </w:t>
      </w:r>
      <w:r w:rsidR="004A5172">
        <w:t xml:space="preserve">of the </w:t>
      </w:r>
      <w:r w:rsidR="0086533A">
        <w:t>inoculum</w:t>
      </w:r>
    </w:p>
    <w:p w14:paraId="645ADC46" w14:textId="0A45089F" w:rsidR="00EA5CBB" w:rsidRPr="00EA5CBB" w:rsidRDefault="00585D3E" w:rsidP="00EA5CBB">
      <w:pPr>
        <w:pStyle w:val="CETBodytext"/>
        <w:rPr>
          <w:lang w:val="es-CO" w:eastAsia="es-CO"/>
        </w:rPr>
      </w:pPr>
      <w:r w:rsidRPr="00585D3E">
        <w:rPr>
          <w:lang w:eastAsia="es-CO"/>
        </w:rPr>
        <w:t>A white rot fungus (</w:t>
      </w:r>
      <w:proofErr w:type="spellStart"/>
      <w:r w:rsidRPr="0086533A">
        <w:rPr>
          <w:i/>
          <w:iCs/>
          <w:lang w:eastAsia="es-CO"/>
        </w:rPr>
        <w:t>Pleurotus</w:t>
      </w:r>
      <w:proofErr w:type="spellEnd"/>
      <w:r w:rsidRPr="0086533A">
        <w:rPr>
          <w:i/>
          <w:iCs/>
          <w:lang w:eastAsia="es-CO"/>
        </w:rPr>
        <w:t xml:space="preserve"> </w:t>
      </w:r>
      <w:proofErr w:type="spellStart"/>
      <w:r w:rsidRPr="0086533A">
        <w:rPr>
          <w:i/>
          <w:iCs/>
          <w:lang w:eastAsia="es-CO"/>
        </w:rPr>
        <w:t>ostreatus</w:t>
      </w:r>
      <w:proofErr w:type="spellEnd"/>
      <w:r w:rsidRPr="00585D3E">
        <w:rPr>
          <w:lang w:eastAsia="es-CO"/>
        </w:rPr>
        <w:t xml:space="preserve">) </w:t>
      </w:r>
      <w:r>
        <w:rPr>
          <w:lang w:eastAsia="es-CO"/>
        </w:rPr>
        <w:t xml:space="preserve">sample </w:t>
      </w:r>
      <w:r w:rsidRPr="00585D3E">
        <w:rPr>
          <w:lang w:eastAsia="es-CO"/>
        </w:rPr>
        <w:t>was recovered from a rotting wooden log under local meteorological conditions.</w:t>
      </w:r>
      <w:r w:rsidR="00F71A36">
        <w:rPr>
          <w:lang w:val="es-CO" w:eastAsia="es-CO"/>
        </w:rPr>
        <w:t xml:space="preserve"> </w:t>
      </w:r>
      <w:r w:rsidR="00F71A36" w:rsidRPr="00F71A36">
        <w:rPr>
          <w:lang w:eastAsia="es-CO"/>
        </w:rPr>
        <w:t xml:space="preserve">The fungus </w:t>
      </w:r>
      <w:r w:rsidR="00F71A36">
        <w:rPr>
          <w:lang w:eastAsia="es-CO"/>
        </w:rPr>
        <w:t xml:space="preserve">sample </w:t>
      </w:r>
      <w:r w:rsidR="00F71A36" w:rsidRPr="00F71A36">
        <w:rPr>
          <w:lang w:eastAsia="es-CO"/>
        </w:rPr>
        <w:t>was cut into 1 cm</w:t>
      </w:r>
      <w:r w:rsidR="00D1417F" w:rsidRPr="00D1417F">
        <w:rPr>
          <w:vertAlign w:val="superscript"/>
          <w:lang w:eastAsia="es-CO"/>
        </w:rPr>
        <w:t>2</w:t>
      </w:r>
      <w:r w:rsidR="00F71A36" w:rsidRPr="00F71A36">
        <w:rPr>
          <w:lang w:eastAsia="es-CO"/>
        </w:rPr>
        <w:t xml:space="preserve"> pieces, </w:t>
      </w:r>
      <w:r w:rsidR="00D1417F">
        <w:rPr>
          <w:lang w:eastAsia="es-CO"/>
        </w:rPr>
        <w:t xml:space="preserve">and </w:t>
      </w:r>
      <w:r w:rsidR="00F71A36" w:rsidRPr="00F71A36">
        <w:rPr>
          <w:lang w:eastAsia="es-CO"/>
        </w:rPr>
        <w:t xml:space="preserve">surface cultured in 20 ml of solid </w:t>
      </w:r>
      <w:proofErr w:type="spellStart"/>
      <w:r w:rsidR="00F71A36" w:rsidRPr="00F71A36">
        <w:rPr>
          <w:lang w:eastAsia="es-CO"/>
        </w:rPr>
        <w:t>Sabouraud</w:t>
      </w:r>
      <w:proofErr w:type="spellEnd"/>
      <w:r w:rsidR="00F71A36" w:rsidRPr="00F71A36">
        <w:rPr>
          <w:lang w:eastAsia="es-CO"/>
        </w:rPr>
        <w:t xml:space="preserve"> Agar using 9 cm diameter Petri dishes.</w:t>
      </w:r>
      <w:r w:rsidR="00EA5CBB">
        <w:rPr>
          <w:lang w:val="es-CO" w:eastAsia="es-CO"/>
        </w:rPr>
        <w:t xml:space="preserve"> </w:t>
      </w:r>
      <w:r w:rsidR="00EA5CBB" w:rsidRPr="00EA5CBB">
        <w:rPr>
          <w:lang w:eastAsia="es-CO"/>
        </w:rPr>
        <w:t>The culture was kept at a constant temperature of 37±2</w:t>
      </w:r>
      <w:r w:rsidR="00EA5CBB">
        <w:rPr>
          <w:lang w:eastAsia="es-CO"/>
        </w:rPr>
        <w:t xml:space="preserve"> </w:t>
      </w:r>
      <w:r w:rsidR="00EA5CBB" w:rsidRPr="00EA5CBB">
        <w:rPr>
          <w:lang w:eastAsia="es-CO"/>
        </w:rPr>
        <w:t>°C for 10 days in an incubator.</w:t>
      </w:r>
      <w:r w:rsidR="00414DE5">
        <w:rPr>
          <w:lang w:eastAsia="es-CO"/>
        </w:rPr>
        <w:t xml:space="preserve"> </w:t>
      </w:r>
    </w:p>
    <w:p w14:paraId="698284F3" w14:textId="194331FF" w:rsidR="003F0CAA" w:rsidRPr="003F0CAA" w:rsidRDefault="00414DE5" w:rsidP="003F0CAA">
      <w:pPr>
        <w:pStyle w:val="CETBodytext"/>
        <w:rPr>
          <w:lang w:val="es-CO" w:eastAsia="es-CO"/>
        </w:rPr>
      </w:pPr>
      <w:r w:rsidRPr="00414DE5">
        <w:rPr>
          <w:lang w:eastAsia="es-CO"/>
        </w:rPr>
        <w:t>The mycelia resulting from the culture were transferred to a previously sterilized mixer</w:t>
      </w:r>
      <w:r>
        <w:rPr>
          <w:lang w:eastAsia="es-CO"/>
        </w:rPr>
        <w:t>,</w:t>
      </w:r>
      <w:r w:rsidRPr="00414DE5">
        <w:rPr>
          <w:lang w:eastAsia="es-CO"/>
        </w:rPr>
        <w:t xml:space="preserve"> together with 60 ml of sterilized water</w:t>
      </w:r>
      <w:r w:rsidR="008F46D6">
        <w:rPr>
          <w:lang w:eastAsia="es-CO"/>
        </w:rPr>
        <w:t xml:space="preserve"> to obtain a complete homogenized spore suspension</w:t>
      </w:r>
      <w:r>
        <w:rPr>
          <w:lang w:eastAsia="es-CO"/>
        </w:rPr>
        <w:t>.</w:t>
      </w:r>
      <w:r w:rsidR="008F46D6" w:rsidRPr="003F0CAA">
        <w:rPr>
          <w:lang w:val="es-CO" w:eastAsia="es-CO"/>
        </w:rPr>
        <w:t xml:space="preserve"> </w:t>
      </w:r>
    </w:p>
    <w:p w14:paraId="42B968C9" w14:textId="094E9588" w:rsidR="0074460F" w:rsidRDefault="00673832" w:rsidP="00453E24">
      <w:pPr>
        <w:pStyle w:val="CETheadingx"/>
      </w:pPr>
      <w:r>
        <w:t>Fungus germination kinetics</w:t>
      </w:r>
    </w:p>
    <w:p w14:paraId="21DDA8FB" w14:textId="1FAC38A4" w:rsidR="0086533A" w:rsidRPr="0086533A" w:rsidRDefault="009F316A" w:rsidP="0086533A">
      <w:pPr>
        <w:pStyle w:val="CETBodytext"/>
        <w:rPr>
          <w:lang w:val="es-CO" w:eastAsia="es-CO"/>
        </w:rPr>
      </w:pPr>
      <w:r w:rsidRPr="009F316A">
        <w:rPr>
          <w:lang w:eastAsia="es-CO"/>
        </w:rPr>
        <w:t>Six concentrations of tire powder (2.5, 5, 7.5, 10, 12.5 mg/L) were prepared</w:t>
      </w:r>
      <w:r w:rsidR="00275E36">
        <w:rPr>
          <w:lang w:eastAsia="es-CO"/>
        </w:rPr>
        <w:t xml:space="preserve">, each one in </w:t>
      </w:r>
      <w:r w:rsidRPr="009F316A">
        <w:rPr>
          <w:lang w:eastAsia="es-CO"/>
        </w:rPr>
        <w:t xml:space="preserve">20 ml of </w:t>
      </w:r>
      <w:proofErr w:type="spellStart"/>
      <w:r w:rsidRPr="009F316A">
        <w:rPr>
          <w:lang w:eastAsia="es-CO"/>
        </w:rPr>
        <w:t>Sabouraud</w:t>
      </w:r>
      <w:proofErr w:type="spellEnd"/>
      <w:r w:rsidRPr="009F316A">
        <w:rPr>
          <w:lang w:eastAsia="es-CO"/>
        </w:rPr>
        <w:t xml:space="preserve"> Agar in Petri dishes of 9 cm in diameter.</w:t>
      </w:r>
      <w:r w:rsidR="00567096">
        <w:rPr>
          <w:lang w:val="es-CO" w:eastAsia="es-CO"/>
        </w:rPr>
        <w:t xml:space="preserve"> </w:t>
      </w:r>
      <w:r w:rsidR="00567096" w:rsidRPr="00567096">
        <w:rPr>
          <w:lang w:eastAsia="es-CO"/>
        </w:rPr>
        <w:t>Each preparation was inoculated with 2 ml of the spore suspension described in section 2.1) and kept at 37</w:t>
      </w:r>
      <w:r w:rsidR="00B42488">
        <w:rPr>
          <w:lang w:eastAsia="es-CO"/>
        </w:rPr>
        <w:t xml:space="preserve"> </w:t>
      </w:r>
      <w:r w:rsidR="00567096" w:rsidRPr="00567096">
        <w:rPr>
          <w:lang w:eastAsia="es-CO"/>
        </w:rPr>
        <w:t>±</w:t>
      </w:r>
      <w:r w:rsidR="00B42488">
        <w:rPr>
          <w:lang w:eastAsia="es-CO"/>
        </w:rPr>
        <w:t xml:space="preserve"> </w:t>
      </w:r>
      <w:r w:rsidR="00567096" w:rsidRPr="00567096">
        <w:rPr>
          <w:lang w:eastAsia="es-CO"/>
        </w:rPr>
        <w:t>2</w:t>
      </w:r>
      <w:r w:rsidR="00B42488">
        <w:rPr>
          <w:lang w:eastAsia="es-CO"/>
        </w:rPr>
        <w:t xml:space="preserve"> </w:t>
      </w:r>
      <w:r w:rsidR="00567096" w:rsidRPr="00567096">
        <w:rPr>
          <w:lang w:eastAsia="es-CO"/>
        </w:rPr>
        <w:t xml:space="preserve">°C in </w:t>
      </w:r>
      <w:r w:rsidR="008B266D">
        <w:rPr>
          <w:lang w:eastAsia="es-CO"/>
        </w:rPr>
        <w:t xml:space="preserve">a </w:t>
      </w:r>
      <w:r w:rsidR="008B266D" w:rsidRPr="00567096">
        <w:rPr>
          <w:lang w:eastAsia="es-CO"/>
        </w:rPr>
        <w:t>Memmert</w:t>
      </w:r>
      <w:r w:rsidR="00567096" w:rsidRPr="00567096">
        <w:rPr>
          <w:lang w:eastAsia="es-CO"/>
        </w:rPr>
        <w:t xml:space="preserve"> incubator, Model 600.</w:t>
      </w:r>
      <w:r w:rsidR="00221805">
        <w:rPr>
          <w:lang w:val="es-CO" w:eastAsia="es-CO"/>
        </w:rPr>
        <w:t xml:space="preserve"> </w:t>
      </w:r>
      <w:r w:rsidR="00221805" w:rsidRPr="00221805">
        <w:rPr>
          <w:lang w:eastAsia="es-CO"/>
        </w:rPr>
        <w:t>The mycelia obtained after 21 days of incubation were collected and dried at 105°C in an oven and weighed on an analytical balance.</w:t>
      </w:r>
      <w:r w:rsidR="0086533A">
        <w:rPr>
          <w:lang w:val="es-CO" w:eastAsia="es-CO"/>
        </w:rPr>
        <w:t xml:space="preserve"> </w:t>
      </w:r>
      <w:r w:rsidR="0086533A" w:rsidRPr="0086533A">
        <w:rPr>
          <w:lang w:eastAsia="es-CO"/>
        </w:rPr>
        <w:t>A blank test consisting of 20 ml of Agar and 2 ml of inoculum was performed in triplicate to discount the weight of germinated biomass by the consumption of nutrients provided by the Agar.</w:t>
      </w:r>
    </w:p>
    <w:p w14:paraId="044ED819" w14:textId="347D3B54" w:rsidR="0080197E" w:rsidRDefault="00FB4DE8" w:rsidP="00BF3739">
      <w:pPr>
        <w:pStyle w:val="CETheadingx"/>
      </w:pPr>
      <w:r>
        <w:t>Inspection by e</w:t>
      </w:r>
      <w:r w:rsidR="0051305B">
        <w:t>lectronic microscope</w:t>
      </w:r>
    </w:p>
    <w:p w14:paraId="16151FFA" w14:textId="22A7A682" w:rsidR="00932E19" w:rsidRPr="00DA1DEA" w:rsidRDefault="007731E8" w:rsidP="00BF3739">
      <w:pPr>
        <w:pStyle w:val="CETBodytext"/>
        <w:rPr>
          <w:lang w:eastAsia="es-CO"/>
        </w:rPr>
      </w:pPr>
      <w:r w:rsidRPr="007731E8">
        <w:rPr>
          <w:lang w:eastAsia="es-CO"/>
        </w:rPr>
        <w:t xml:space="preserve">The structural changes during the biodegradation of the rubber by the enzymatic action of the fungus were evaluated </w:t>
      </w:r>
      <w:r w:rsidR="00FE01F5">
        <w:rPr>
          <w:lang w:eastAsia="es-CO"/>
        </w:rPr>
        <w:t>in</w:t>
      </w:r>
      <w:r w:rsidRPr="007731E8">
        <w:rPr>
          <w:lang w:eastAsia="es-CO"/>
        </w:rPr>
        <w:t xml:space="preserve"> </w:t>
      </w:r>
      <w:r w:rsidR="005B1488">
        <w:rPr>
          <w:lang w:eastAsia="es-CO"/>
        </w:rPr>
        <w:t xml:space="preserve">a Quanta 650 FEG </w:t>
      </w:r>
      <w:r w:rsidRPr="007731E8">
        <w:rPr>
          <w:lang w:eastAsia="es-CO"/>
        </w:rPr>
        <w:t>scanning electron microscopy (SEM).</w:t>
      </w:r>
      <w:r w:rsidR="00DA1DEA">
        <w:rPr>
          <w:lang w:eastAsia="es-CO"/>
        </w:rPr>
        <w:t xml:space="preserve"> </w:t>
      </w:r>
      <w:r w:rsidR="003D5DFC" w:rsidRPr="003D5DFC">
        <w:rPr>
          <w:lang w:eastAsia="es-CO"/>
        </w:rPr>
        <w:t>For this, 1 cm</w:t>
      </w:r>
      <w:r w:rsidR="003D5DFC" w:rsidRPr="003D5DFC">
        <w:rPr>
          <w:vertAlign w:val="superscript"/>
          <w:lang w:eastAsia="es-CO"/>
        </w:rPr>
        <w:t>2</w:t>
      </w:r>
      <w:r w:rsidR="003D5DFC" w:rsidRPr="003D5DFC">
        <w:rPr>
          <w:lang w:eastAsia="es-CO"/>
        </w:rPr>
        <w:t xml:space="preserve"> tire cuts were impregnated with the mycelia of the fungus and incubated at a constant temperature of 37</w:t>
      </w:r>
      <w:r w:rsidR="00B42488">
        <w:rPr>
          <w:lang w:eastAsia="es-CO"/>
        </w:rPr>
        <w:t xml:space="preserve"> </w:t>
      </w:r>
      <w:r w:rsidR="003D5DFC" w:rsidRPr="003D5DFC">
        <w:rPr>
          <w:lang w:eastAsia="es-CO"/>
        </w:rPr>
        <w:t>±</w:t>
      </w:r>
      <w:r w:rsidR="00B42488">
        <w:rPr>
          <w:lang w:eastAsia="es-CO"/>
        </w:rPr>
        <w:t xml:space="preserve"> </w:t>
      </w:r>
      <w:r w:rsidR="003D5DFC" w:rsidRPr="003D5DFC">
        <w:rPr>
          <w:lang w:eastAsia="es-CO"/>
        </w:rPr>
        <w:t>2</w:t>
      </w:r>
      <w:r w:rsidR="003D5DFC">
        <w:rPr>
          <w:lang w:eastAsia="es-CO"/>
        </w:rPr>
        <w:t xml:space="preserve"> </w:t>
      </w:r>
      <w:r w:rsidR="003D5DFC" w:rsidRPr="003D5DFC">
        <w:rPr>
          <w:lang w:eastAsia="es-CO"/>
        </w:rPr>
        <w:t>°C.</w:t>
      </w:r>
      <w:r w:rsidR="00B75920">
        <w:rPr>
          <w:lang w:val="es-CO" w:eastAsia="es-CO"/>
        </w:rPr>
        <w:t xml:space="preserve"> </w:t>
      </w:r>
      <w:r w:rsidR="00B75920" w:rsidRPr="00B75920">
        <w:rPr>
          <w:lang w:eastAsia="es-CO"/>
        </w:rPr>
        <w:t>The samples were analyzed in their initial state (without impregnation), and after 16 and 40 days of impregnation.</w:t>
      </w:r>
      <w:r w:rsidR="00D84EB6">
        <w:rPr>
          <w:lang w:val="es-CO" w:eastAsia="es-CO"/>
        </w:rPr>
        <w:t xml:space="preserve"> </w:t>
      </w:r>
      <w:r w:rsidR="00D84EB6" w:rsidRPr="00D84EB6">
        <w:rPr>
          <w:lang w:eastAsia="es-CO"/>
        </w:rPr>
        <w:t>The samples were covered in gold and morphologically analyzed by Environmental Scanning Electron Microscope (ESEM), in a FEG Quanta 650 equipment at 15 KV.</w:t>
      </w:r>
    </w:p>
    <w:p w14:paraId="0CEA35C8" w14:textId="2F0018D6" w:rsidR="00BF3739" w:rsidRDefault="00B642F0" w:rsidP="00453E24">
      <w:pPr>
        <w:pStyle w:val="CETheadingx"/>
      </w:pPr>
      <w:r>
        <w:lastRenderedPageBreak/>
        <w:t>Fourier Transform Infrared Spectroscopy (</w:t>
      </w:r>
      <w:r w:rsidR="00E61720">
        <w:t>FTIR</w:t>
      </w:r>
      <w:r>
        <w:t>)</w:t>
      </w:r>
    </w:p>
    <w:p w14:paraId="6C3ADA2B" w14:textId="584CD31A" w:rsidR="000F40E7" w:rsidRPr="000F40E7" w:rsidRDefault="00430643" w:rsidP="000F40E7">
      <w:pPr>
        <w:pStyle w:val="CETBodytext"/>
        <w:rPr>
          <w:lang w:val="es-CO" w:eastAsia="es-CO"/>
        </w:rPr>
      </w:pPr>
      <w:r w:rsidRPr="00430643">
        <w:rPr>
          <w:lang w:eastAsia="es-CO"/>
        </w:rPr>
        <w:t>To evaluate molecular changes, an uninoculated tire sample was analyzed together with tire samples obtained after 45 days of inoculation, by Fourier Transform infrared analysis.</w:t>
      </w:r>
      <w:r>
        <w:rPr>
          <w:lang w:val="es-CO" w:eastAsia="es-CO"/>
        </w:rPr>
        <w:t xml:space="preserve"> </w:t>
      </w:r>
      <w:r w:rsidRPr="00430643">
        <w:rPr>
          <w:lang w:eastAsia="es-CO"/>
        </w:rPr>
        <w:t xml:space="preserve">The analysis was performed using a Perkin Elmer </w:t>
      </w:r>
      <w:r w:rsidR="00BF2872">
        <w:rPr>
          <w:lang w:eastAsia="es-CO"/>
        </w:rPr>
        <w:t>In</w:t>
      </w:r>
      <w:r w:rsidRPr="00430643">
        <w:rPr>
          <w:lang w:eastAsia="es-CO"/>
        </w:rPr>
        <w:t>frared equipment, Spectrum</w:t>
      </w:r>
      <w:r w:rsidR="00337D5E">
        <w:rPr>
          <w:lang w:eastAsia="es-CO"/>
        </w:rPr>
        <w:t xml:space="preserve"> 100</w:t>
      </w:r>
      <w:r w:rsidRPr="00430643">
        <w:rPr>
          <w:lang w:eastAsia="es-CO"/>
        </w:rPr>
        <w:t xml:space="preserve"> model, DTGS detector.</w:t>
      </w:r>
      <w:r w:rsidR="000F40E7">
        <w:rPr>
          <w:lang w:val="es-CO" w:eastAsia="es-CO"/>
        </w:rPr>
        <w:t xml:space="preserve"> </w:t>
      </w:r>
      <w:r w:rsidR="000F40E7" w:rsidRPr="000F40E7">
        <w:rPr>
          <w:lang w:eastAsia="es-CO"/>
        </w:rPr>
        <w:t>A KBr pellet was made from each sample in an approximate ratio of 100:1mg KBr-Sample.</w:t>
      </w:r>
      <w:r w:rsidR="000F40E7">
        <w:rPr>
          <w:lang w:val="es-CO" w:eastAsia="es-CO"/>
        </w:rPr>
        <w:t xml:space="preserve"> </w:t>
      </w:r>
      <w:r w:rsidR="000F40E7" w:rsidRPr="000F40E7">
        <w:rPr>
          <w:lang w:eastAsia="es-CO"/>
        </w:rPr>
        <w:t xml:space="preserve">Subsequently, the pellet-shaped samples were </w:t>
      </w:r>
      <w:r w:rsidR="009F17F2">
        <w:rPr>
          <w:lang w:eastAsia="es-CO"/>
        </w:rPr>
        <w:t>analyzed</w:t>
      </w:r>
      <w:r w:rsidR="000F40E7" w:rsidRPr="000F40E7">
        <w:rPr>
          <w:lang w:eastAsia="es-CO"/>
        </w:rPr>
        <w:t xml:space="preserve"> in the </w:t>
      </w:r>
      <w:r w:rsidR="009F17F2">
        <w:rPr>
          <w:lang w:eastAsia="es-CO"/>
        </w:rPr>
        <w:t xml:space="preserve">spectrometer </w:t>
      </w:r>
      <w:r w:rsidR="000F40E7" w:rsidRPr="000F40E7">
        <w:rPr>
          <w:lang w:eastAsia="es-CO"/>
        </w:rPr>
        <w:t>at 22°C, resolution of 4 cm</w:t>
      </w:r>
      <w:r w:rsidR="000F40E7" w:rsidRPr="000F40E7">
        <w:rPr>
          <w:vertAlign w:val="superscript"/>
          <w:lang w:eastAsia="es-CO"/>
        </w:rPr>
        <w:t>-1</w:t>
      </w:r>
      <w:r w:rsidR="000F40E7" w:rsidRPr="000F40E7">
        <w:rPr>
          <w:lang w:eastAsia="es-CO"/>
        </w:rPr>
        <w:t>, number of scans of 16 and a wavenumber range of 400-4500 cm</w:t>
      </w:r>
      <w:r w:rsidR="000F40E7" w:rsidRPr="000F40E7">
        <w:rPr>
          <w:vertAlign w:val="superscript"/>
          <w:lang w:eastAsia="es-CO"/>
        </w:rPr>
        <w:t>-1</w:t>
      </w:r>
      <w:r w:rsidR="000F40E7" w:rsidRPr="000F40E7">
        <w:rPr>
          <w:lang w:eastAsia="es-CO"/>
        </w:rPr>
        <w:t>.</w:t>
      </w:r>
    </w:p>
    <w:p w14:paraId="677EBFF0" w14:textId="2A9BCA9D" w:rsidR="00600535" w:rsidRDefault="00F93E39" w:rsidP="00600535">
      <w:pPr>
        <w:pStyle w:val="CETHeading1"/>
        <w:tabs>
          <w:tab w:val="clear" w:pos="360"/>
          <w:tab w:val="right" w:pos="7100"/>
        </w:tabs>
        <w:jc w:val="both"/>
        <w:rPr>
          <w:lang w:val="en-GB"/>
        </w:rPr>
      </w:pPr>
      <w:r>
        <w:rPr>
          <w:lang w:val="en-GB"/>
        </w:rPr>
        <w:t>Results</w:t>
      </w:r>
    </w:p>
    <w:p w14:paraId="04963A06" w14:textId="0A03F560" w:rsidR="00600535" w:rsidRDefault="00651A37" w:rsidP="00FA5F5F">
      <w:pPr>
        <w:pStyle w:val="CETheadingx"/>
      </w:pPr>
      <w:r>
        <w:t>Tire composition</w:t>
      </w:r>
    </w:p>
    <w:p w14:paraId="7F4ED7DD" w14:textId="646101FB" w:rsidR="00324438" w:rsidRPr="00324438" w:rsidRDefault="00007F53" w:rsidP="00324438">
      <w:pPr>
        <w:pStyle w:val="CETBodytext"/>
      </w:pPr>
      <w:r>
        <w:t>Table 1 shows the elemental composition detected by EDS</w:t>
      </w:r>
      <w:r w:rsidR="00324438">
        <w:t>. The w</w:t>
      </w:r>
      <w:r w:rsidR="00324438" w:rsidRPr="00324438">
        <w:rPr>
          <w:lang w:eastAsia="es-CO"/>
        </w:rPr>
        <w:t xml:space="preserve">aste tire rubber </w:t>
      </w:r>
      <w:r w:rsidR="00324438">
        <w:rPr>
          <w:lang w:eastAsia="es-CO"/>
        </w:rPr>
        <w:t xml:space="preserve">sample </w:t>
      </w:r>
      <w:r w:rsidR="00324438" w:rsidRPr="00324438">
        <w:rPr>
          <w:lang w:eastAsia="es-CO"/>
        </w:rPr>
        <w:t>is composed of around 88.13% w/w carbon</w:t>
      </w:r>
      <w:r w:rsidR="00DF1808">
        <w:rPr>
          <w:lang w:eastAsia="es-CO"/>
        </w:rPr>
        <w:t xml:space="preserve">; due to the organic nature of carbon in vulcanized rubber, </w:t>
      </w:r>
      <w:r w:rsidR="00A37BCD">
        <w:rPr>
          <w:lang w:eastAsia="es-CO"/>
        </w:rPr>
        <w:t xml:space="preserve">it </w:t>
      </w:r>
      <w:r w:rsidR="00AD7950">
        <w:rPr>
          <w:lang w:eastAsia="es-CO"/>
        </w:rPr>
        <w:t xml:space="preserve">becomes </w:t>
      </w:r>
      <w:r w:rsidR="00324438" w:rsidRPr="00324438">
        <w:rPr>
          <w:lang w:eastAsia="es-CO"/>
        </w:rPr>
        <w:t>a biodegradable substrate for the fungus</w:t>
      </w:r>
      <w:r w:rsidR="007C5C0F">
        <w:rPr>
          <w:lang w:eastAsia="es-CO"/>
        </w:rPr>
        <w:t xml:space="preserve"> (Tsuchii and Tokiwa, 2001)</w:t>
      </w:r>
      <w:r w:rsidR="006A2E28">
        <w:rPr>
          <w:lang w:eastAsia="es-CO"/>
        </w:rPr>
        <w:t>.</w:t>
      </w:r>
    </w:p>
    <w:p w14:paraId="725675AB" w14:textId="1659DF81" w:rsidR="00915428" w:rsidRPr="00B57B36" w:rsidRDefault="00915428" w:rsidP="00915428">
      <w:pPr>
        <w:pStyle w:val="CETTabletitle"/>
      </w:pPr>
      <w:r w:rsidRPr="00B57B36">
        <w:t xml:space="preserve">Table 1: </w:t>
      </w:r>
      <w:r w:rsidR="00305178">
        <w:t>Waste tire rubber composition</w:t>
      </w:r>
      <w:r>
        <w:t xml:space="preserve"> </w:t>
      </w:r>
      <w:r w:rsidR="00305178">
        <w:t>(</w:t>
      </w:r>
      <w:r>
        <w:t xml:space="preserve">% </w:t>
      </w:r>
      <w:r w:rsidR="00BA62E2">
        <w:t>w/w</w:t>
      </w:r>
      <w:r w:rsidR="00305178">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FB672A" w:rsidRPr="00B57B36" w14:paraId="691D7910" w14:textId="4B08ACC4" w:rsidTr="00CC726F">
        <w:tc>
          <w:tcPr>
            <w:tcW w:w="1134" w:type="dxa"/>
            <w:tcBorders>
              <w:top w:val="single" w:sz="12" w:space="0" w:color="008000"/>
              <w:bottom w:val="single" w:sz="6" w:space="0" w:color="008000"/>
            </w:tcBorders>
            <w:shd w:val="clear" w:color="auto" w:fill="FFFFFF"/>
          </w:tcPr>
          <w:p w14:paraId="79ED1BB3" w14:textId="3E9F80CC" w:rsidR="00FB672A" w:rsidRPr="00B57B36" w:rsidRDefault="00FB672A" w:rsidP="002B7FD3">
            <w:pPr>
              <w:pStyle w:val="CETBodytext"/>
              <w:jc w:val="center"/>
              <w:rPr>
                <w:lang w:val="en-GB"/>
              </w:rPr>
            </w:pPr>
            <w:r>
              <w:rPr>
                <w:lang w:val="en-GB"/>
              </w:rPr>
              <w:t>Element</w:t>
            </w:r>
          </w:p>
        </w:tc>
        <w:tc>
          <w:tcPr>
            <w:tcW w:w="1134" w:type="dxa"/>
            <w:tcBorders>
              <w:top w:val="single" w:sz="12" w:space="0" w:color="008000"/>
              <w:bottom w:val="single" w:sz="6" w:space="0" w:color="008000"/>
            </w:tcBorders>
            <w:shd w:val="clear" w:color="auto" w:fill="FFFFFF"/>
          </w:tcPr>
          <w:p w14:paraId="184CA887" w14:textId="7B16B819" w:rsidR="00FB672A" w:rsidRPr="00B57B36" w:rsidRDefault="00FB672A" w:rsidP="002B7FD3">
            <w:pPr>
              <w:pStyle w:val="CETBodytext"/>
              <w:jc w:val="center"/>
              <w:rPr>
                <w:lang w:val="en-GB"/>
              </w:rPr>
            </w:pPr>
            <w:r>
              <w:rPr>
                <w:lang w:val="en-GB"/>
              </w:rPr>
              <w:t>C</w:t>
            </w:r>
          </w:p>
        </w:tc>
        <w:tc>
          <w:tcPr>
            <w:tcW w:w="1134" w:type="dxa"/>
            <w:tcBorders>
              <w:top w:val="single" w:sz="12" w:space="0" w:color="008000"/>
              <w:bottom w:val="single" w:sz="6" w:space="0" w:color="008000"/>
            </w:tcBorders>
            <w:shd w:val="clear" w:color="auto" w:fill="FFFFFF"/>
          </w:tcPr>
          <w:p w14:paraId="1F1F8883" w14:textId="7540ABED" w:rsidR="00FB672A" w:rsidRDefault="00FB672A" w:rsidP="002B7FD3">
            <w:pPr>
              <w:pStyle w:val="CETBodytext"/>
              <w:jc w:val="center"/>
              <w:rPr>
                <w:lang w:val="en-GB"/>
              </w:rPr>
            </w:pPr>
            <w:r>
              <w:rPr>
                <w:lang w:val="en-GB"/>
              </w:rPr>
              <w:t>O</w:t>
            </w:r>
          </w:p>
        </w:tc>
        <w:tc>
          <w:tcPr>
            <w:tcW w:w="1134" w:type="dxa"/>
            <w:tcBorders>
              <w:top w:val="single" w:sz="12" w:space="0" w:color="008000"/>
              <w:bottom w:val="single" w:sz="6" w:space="0" w:color="008000"/>
            </w:tcBorders>
            <w:shd w:val="clear" w:color="auto" w:fill="FFFFFF"/>
          </w:tcPr>
          <w:p w14:paraId="19DD2A99" w14:textId="1058C9B0" w:rsidR="00FB672A" w:rsidRDefault="00FB672A" w:rsidP="002B7FD3">
            <w:pPr>
              <w:pStyle w:val="CETBodytext"/>
              <w:jc w:val="center"/>
              <w:rPr>
                <w:lang w:val="en-GB"/>
              </w:rPr>
            </w:pPr>
            <w:r>
              <w:rPr>
                <w:lang w:val="en-GB"/>
              </w:rPr>
              <w:t>Na</w:t>
            </w:r>
          </w:p>
        </w:tc>
        <w:tc>
          <w:tcPr>
            <w:tcW w:w="1134" w:type="dxa"/>
            <w:tcBorders>
              <w:top w:val="single" w:sz="12" w:space="0" w:color="008000"/>
              <w:bottom w:val="single" w:sz="6" w:space="0" w:color="008000"/>
            </w:tcBorders>
            <w:shd w:val="clear" w:color="auto" w:fill="FFFFFF"/>
          </w:tcPr>
          <w:p w14:paraId="26D8B040" w14:textId="393E266D" w:rsidR="00FB672A" w:rsidRDefault="00FB672A" w:rsidP="002B7FD3">
            <w:pPr>
              <w:pStyle w:val="CETBodytext"/>
              <w:jc w:val="center"/>
              <w:rPr>
                <w:lang w:val="en-GB"/>
              </w:rPr>
            </w:pPr>
            <w:r>
              <w:rPr>
                <w:lang w:val="en-GB"/>
              </w:rPr>
              <w:t>S</w:t>
            </w:r>
          </w:p>
        </w:tc>
      </w:tr>
      <w:tr w:rsidR="00FB672A" w:rsidRPr="00B57B36" w14:paraId="12CCD708" w14:textId="61EE40F1" w:rsidTr="00CC726F">
        <w:tc>
          <w:tcPr>
            <w:tcW w:w="1134" w:type="dxa"/>
            <w:shd w:val="clear" w:color="auto" w:fill="FFFFFF"/>
          </w:tcPr>
          <w:p w14:paraId="2ABA4523" w14:textId="40D65F67" w:rsidR="00FB672A" w:rsidRPr="00B57B36" w:rsidRDefault="00FB672A" w:rsidP="00FB672A">
            <w:pPr>
              <w:pStyle w:val="CETBodytext"/>
              <w:jc w:val="center"/>
              <w:rPr>
                <w:lang w:val="en-GB"/>
              </w:rPr>
            </w:pPr>
            <w:r>
              <w:rPr>
                <w:lang w:val="en-GB"/>
              </w:rPr>
              <w:t>% w/w</w:t>
            </w:r>
          </w:p>
        </w:tc>
        <w:tc>
          <w:tcPr>
            <w:tcW w:w="1134" w:type="dxa"/>
            <w:shd w:val="clear" w:color="auto" w:fill="FFFFFF"/>
          </w:tcPr>
          <w:p w14:paraId="46FB1FE3" w14:textId="5408EB88" w:rsidR="00FB672A" w:rsidRPr="00B57B36" w:rsidRDefault="00FB672A" w:rsidP="00FB672A">
            <w:pPr>
              <w:pStyle w:val="CETBodytext"/>
              <w:jc w:val="center"/>
              <w:rPr>
                <w:lang w:val="en-GB"/>
              </w:rPr>
            </w:pPr>
            <w:r>
              <w:rPr>
                <w:lang w:val="en-GB"/>
              </w:rPr>
              <w:t>88.13</w:t>
            </w:r>
          </w:p>
        </w:tc>
        <w:tc>
          <w:tcPr>
            <w:tcW w:w="1134" w:type="dxa"/>
            <w:shd w:val="clear" w:color="auto" w:fill="FFFFFF"/>
          </w:tcPr>
          <w:p w14:paraId="76223278" w14:textId="12D13F0B" w:rsidR="00FB672A" w:rsidRPr="00B57B36" w:rsidRDefault="00FB672A" w:rsidP="00FB672A">
            <w:pPr>
              <w:pStyle w:val="CETBodytext"/>
              <w:jc w:val="center"/>
              <w:rPr>
                <w:lang w:val="en-GB"/>
              </w:rPr>
            </w:pPr>
            <w:r>
              <w:rPr>
                <w:lang w:val="en-GB"/>
              </w:rPr>
              <w:t>6.50</w:t>
            </w:r>
          </w:p>
        </w:tc>
        <w:tc>
          <w:tcPr>
            <w:tcW w:w="1134" w:type="dxa"/>
            <w:shd w:val="clear" w:color="auto" w:fill="FFFFFF"/>
          </w:tcPr>
          <w:p w14:paraId="3200D4E9" w14:textId="04F2A1B1" w:rsidR="00FB672A" w:rsidRPr="00B57B36" w:rsidRDefault="00FB672A" w:rsidP="00FB672A">
            <w:pPr>
              <w:pStyle w:val="CETBodytext"/>
              <w:jc w:val="center"/>
              <w:rPr>
                <w:lang w:val="en-GB"/>
              </w:rPr>
            </w:pPr>
            <w:r>
              <w:rPr>
                <w:lang w:val="en-GB"/>
              </w:rPr>
              <w:t>2.50</w:t>
            </w:r>
          </w:p>
        </w:tc>
        <w:tc>
          <w:tcPr>
            <w:tcW w:w="1134" w:type="dxa"/>
            <w:shd w:val="clear" w:color="auto" w:fill="FFFFFF"/>
          </w:tcPr>
          <w:p w14:paraId="0C3E5883" w14:textId="784BB591" w:rsidR="00FB672A" w:rsidRPr="00B57B36" w:rsidRDefault="00FB672A" w:rsidP="00FB672A">
            <w:pPr>
              <w:pStyle w:val="CETBodytext"/>
              <w:jc w:val="center"/>
              <w:rPr>
                <w:lang w:val="en-GB"/>
              </w:rPr>
            </w:pPr>
            <w:r>
              <w:rPr>
                <w:rFonts w:cs="Arial"/>
                <w:szCs w:val="18"/>
                <w:lang w:val="en-GB"/>
              </w:rPr>
              <w:t>2.79</w:t>
            </w:r>
          </w:p>
        </w:tc>
      </w:tr>
    </w:tbl>
    <w:p w14:paraId="45C00396" w14:textId="357A3428" w:rsidR="00915428" w:rsidRDefault="00915428" w:rsidP="00915428">
      <w:pPr>
        <w:pStyle w:val="CETBodytext"/>
      </w:pPr>
    </w:p>
    <w:p w14:paraId="1E444CB4" w14:textId="09053DC1" w:rsidR="0075040A" w:rsidRPr="007D12F6" w:rsidRDefault="00DC768F" w:rsidP="0075040A">
      <w:pPr>
        <w:pStyle w:val="CETBodytext"/>
        <w:rPr>
          <w:lang w:eastAsia="es-CO"/>
        </w:rPr>
      </w:pPr>
      <w:r w:rsidRPr="00DC768F">
        <w:rPr>
          <w:lang w:eastAsia="es-CO"/>
        </w:rPr>
        <w:t>On the other hand, the sodium content detected was 2.50% w/w. Sodium concentrations greater than 3% affect transport through the membrane, causing significant losses in the metabolic performance of the fungus.</w:t>
      </w:r>
      <w:r w:rsidR="0075040A">
        <w:rPr>
          <w:lang w:eastAsia="es-CO"/>
        </w:rPr>
        <w:t xml:space="preserve"> </w:t>
      </w:r>
      <w:r w:rsidR="0075040A" w:rsidRPr="0075040A">
        <w:rPr>
          <w:lang w:eastAsia="es-CO"/>
        </w:rPr>
        <w:t xml:space="preserve">However, the substrate used presented favorable nutritional conditions for the growth of microorganisms, as can be seen in </w:t>
      </w:r>
      <w:r w:rsidR="0075040A">
        <w:rPr>
          <w:lang w:eastAsia="es-CO"/>
        </w:rPr>
        <w:t>results showed in section 3.4</w:t>
      </w:r>
      <w:r w:rsidR="0075040A" w:rsidRPr="0075040A">
        <w:rPr>
          <w:lang w:eastAsia="es-CO"/>
        </w:rPr>
        <w:t>.</w:t>
      </w:r>
    </w:p>
    <w:p w14:paraId="477AC4F5" w14:textId="5E38E1E8" w:rsidR="000956E4" w:rsidRDefault="002F73DA" w:rsidP="00FA5F5F">
      <w:pPr>
        <w:pStyle w:val="CETheadingx"/>
      </w:pPr>
      <w:r>
        <w:t xml:space="preserve">SEM </w:t>
      </w:r>
      <w:r w:rsidR="004A405F">
        <w:t>inspection of the biodegradation process</w:t>
      </w:r>
    </w:p>
    <w:p w14:paraId="6CB4C9B3" w14:textId="0B856258" w:rsidR="0079020A" w:rsidRPr="0079020A" w:rsidRDefault="005F6D0C" w:rsidP="0079020A">
      <w:pPr>
        <w:pStyle w:val="CETBodytext"/>
        <w:rPr>
          <w:lang w:eastAsia="es-CO"/>
        </w:rPr>
      </w:pPr>
      <w:r w:rsidRPr="005F6D0C">
        <w:rPr>
          <w:lang w:eastAsia="es-CO"/>
        </w:rPr>
        <w:t>Figure 1 shows the changes in the surface of the scrap tire</w:t>
      </w:r>
      <w:r w:rsidR="007A722F">
        <w:rPr>
          <w:lang w:eastAsia="es-CO"/>
        </w:rPr>
        <w:t xml:space="preserve"> before and</w:t>
      </w:r>
      <w:r w:rsidRPr="005F6D0C">
        <w:rPr>
          <w:lang w:eastAsia="es-CO"/>
        </w:rPr>
        <w:t xml:space="preserve"> after </w:t>
      </w:r>
      <w:r w:rsidR="007A722F">
        <w:rPr>
          <w:lang w:eastAsia="es-CO"/>
        </w:rPr>
        <w:t xml:space="preserve">16 and </w:t>
      </w:r>
      <w:r w:rsidRPr="005F6D0C">
        <w:rPr>
          <w:lang w:eastAsia="es-CO"/>
        </w:rPr>
        <w:t>40 days of enzymatic biodegradation with the white</w:t>
      </w:r>
      <w:r w:rsidR="000C2C59">
        <w:rPr>
          <w:lang w:eastAsia="es-CO"/>
        </w:rPr>
        <w:t>-</w:t>
      </w:r>
      <w:r w:rsidRPr="005F6D0C">
        <w:rPr>
          <w:lang w:eastAsia="es-CO"/>
        </w:rPr>
        <w:t>rot fungus.</w:t>
      </w:r>
    </w:p>
    <w:p w14:paraId="2ACE56B5" w14:textId="77777777" w:rsidR="00857F7F" w:rsidRPr="00857F7F" w:rsidRDefault="00857F7F" w:rsidP="00857F7F">
      <w:pPr>
        <w:pStyle w:val="CETBodytex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2976"/>
        <w:gridCol w:w="2976"/>
      </w:tblGrid>
      <w:tr w:rsidR="00C3243D" w14:paraId="34855F18" w14:textId="77777777" w:rsidTr="002F50DE">
        <w:tc>
          <w:tcPr>
            <w:tcW w:w="2975" w:type="dxa"/>
            <w:vAlign w:val="center"/>
          </w:tcPr>
          <w:p w14:paraId="6463A06E" w14:textId="00871F43" w:rsidR="006A226B" w:rsidRDefault="006A226B" w:rsidP="00C3243D">
            <w:pPr>
              <w:pStyle w:val="CETBodytext"/>
              <w:jc w:val="center"/>
            </w:pPr>
            <w:r>
              <w:rPr>
                <w:noProof/>
                <w:lang w:val="es-ES" w:eastAsia="es-ES"/>
              </w:rPr>
              <w:drawing>
                <wp:inline distT="0" distB="0" distL="0" distR="0" wp14:anchorId="5AC6FEA4" wp14:editId="361F9B0A">
                  <wp:extent cx="1740208" cy="1676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4" t="5769" r="45714" b="6478"/>
                          <a:stretch/>
                        </pic:blipFill>
                        <pic:spPr bwMode="auto">
                          <a:xfrm>
                            <a:off x="0" y="0"/>
                            <a:ext cx="1743434" cy="1679507"/>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vAlign w:val="center"/>
          </w:tcPr>
          <w:p w14:paraId="5D0E8EF9" w14:textId="283D71C1" w:rsidR="006A226B" w:rsidRDefault="0041412A" w:rsidP="00C3243D">
            <w:pPr>
              <w:pStyle w:val="CETBodytext"/>
              <w:jc w:val="center"/>
            </w:pPr>
            <w:r>
              <w:rPr>
                <w:noProof/>
                <w:lang w:val="es-ES" w:eastAsia="es-ES"/>
              </w:rPr>
              <w:drawing>
                <wp:inline distT="0" distB="0" distL="0" distR="0" wp14:anchorId="5841B0EF" wp14:editId="2AC04DA7">
                  <wp:extent cx="1706972" cy="166687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605" t="5769" r="16525" b="5870"/>
                          <a:stretch/>
                        </pic:blipFill>
                        <pic:spPr bwMode="auto">
                          <a:xfrm>
                            <a:off x="0" y="0"/>
                            <a:ext cx="1710971" cy="1670780"/>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vAlign w:val="center"/>
          </w:tcPr>
          <w:p w14:paraId="128FDFB2" w14:textId="72466432" w:rsidR="006A226B" w:rsidRDefault="00C3243D" w:rsidP="00C3243D">
            <w:pPr>
              <w:pStyle w:val="CETBodytext"/>
              <w:jc w:val="center"/>
            </w:pPr>
            <w:r>
              <w:rPr>
                <w:noProof/>
                <w:lang w:val="es-ES" w:eastAsia="es-ES"/>
              </w:rPr>
              <w:drawing>
                <wp:inline distT="0" distB="0" distL="0" distR="0" wp14:anchorId="117ED1FF" wp14:editId="065B37E1">
                  <wp:extent cx="1644015" cy="166564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13" t="1214" r="20792" b="5264"/>
                          <a:stretch/>
                        </pic:blipFill>
                        <pic:spPr bwMode="auto">
                          <a:xfrm>
                            <a:off x="0" y="0"/>
                            <a:ext cx="1649126" cy="1670824"/>
                          </a:xfrm>
                          <a:prstGeom prst="rect">
                            <a:avLst/>
                          </a:prstGeom>
                          <a:ln>
                            <a:noFill/>
                          </a:ln>
                          <a:extLst>
                            <a:ext uri="{53640926-AAD7-44D8-BBD7-CCE9431645EC}">
                              <a14:shadowObscured xmlns:a14="http://schemas.microsoft.com/office/drawing/2010/main"/>
                            </a:ext>
                          </a:extLst>
                        </pic:spPr>
                      </pic:pic>
                    </a:graphicData>
                  </a:graphic>
                </wp:inline>
              </w:drawing>
            </w:r>
          </w:p>
        </w:tc>
      </w:tr>
      <w:tr w:rsidR="0023115C" w14:paraId="7798B4F6" w14:textId="77777777" w:rsidTr="002F50DE">
        <w:tc>
          <w:tcPr>
            <w:tcW w:w="2975" w:type="dxa"/>
          </w:tcPr>
          <w:p w14:paraId="246C7701" w14:textId="1F3FC69C" w:rsidR="006A226B" w:rsidRDefault="006A226B" w:rsidP="006A226B">
            <w:pPr>
              <w:pStyle w:val="CETBodytext"/>
              <w:jc w:val="center"/>
              <w:rPr>
                <w:noProof/>
              </w:rPr>
            </w:pPr>
            <w:r>
              <w:rPr>
                <w:noProof/>
              </w:rPr>
              <w:t>(a)</w:t>
            </w:r>
          </w:p>
        </w:tc>
        <w:tc>
          <w:tcPr>
            <w:tcW w:w="2976" w:type="dxa"/>
          </w:tcPr>
          <w:p w14:paraId="701E1762" w14:textId="5E68B721" w:rsidR="006A226B" w:rsidRDefault="006A226B" w:rsidP="006A226B">
            <w:pPr>
              <w:pStyle w:val="CETBodytext"/>
              <w:jc w:val="center"/>
            </w:pPr>
            <w:r>
              <w:t>(b)</w:t>
            </w:r>
            <w:r w:rsidR="00C3243D">
              <w:rPr>
                <w:noProof/>
              </w:rPr>
              <w:t xml:space="preserve"> </w:t>
            </w:r>
          </w:p>
        </w:tc>
        <w:tc>
          <w:tcPr>
            <w:tcW w:w="2976" w:type="dxa"/>
          </w:tcPr>
          <w:p w14:paraId="4D740961" w14:textId="211D0210" w:rsidR="006A226B" w:rsidRDefault="006A226B" w:rsidP="006A226B">
            <w:pPr>
              <w:pStyle w:val="CETBodytext"/>
              <w:jc w:val="center"/>
            </w:pPr>
            <w:r>
              <w:t>(c)</w:t>
            </w:r>
          </w:p>
        </w:tc>
      </w:tr>
    </w:tbl>
    <w:p w14:paraId="2DC86C8E" w14:textId="77777777" w:rsidR="006A226B" w:rsidRPr="006A226B" w:rsidRDefault="006A226B" w:rsidP="006A226B">
      <w:pPr>
        <w:pStyle w:val="CETBodytext"/>
      </w:pPr>
    </w:p>
    <w:p w14:paraId="1E9CDCF3" w14:textId="77E7CF0D" w:rsidR="004B19B5" w:rsidRPr="004B19B5" w:rsidRDefault="002F73DA" w:rsidP="004B19B5">
      <w:pPr>
        <w:pStyle w:val="CETBodytext"/>
        <w:rPr>
          <w:rStyle w:val="CETCaptionCarattere"/>
        </w:rPr>
      </w:pPr>
      <w:r w:rsidRPr="00BD077D">
        <w:rPr>
          <w:rStyle w:val="CETCaptionCarattere"/>
        </w:rPr>
        <w:t xml:space="preserve">Figure </w:t>
      </w:r>
      <w:r w:rsidRPr="004B19B5">
        <w:rPr>
          <w:rStyle w:val="CETCaptionCarattere"/>
        </w:rPr>
        <w:t xml:space="preserve">1: </w:t>
      </w:r>
      <w:r w:rsidR="004B19B5" w:rsidRPr="004B19B5">
        <w:rPr>
          <w:rStyle w:val="CETCaptionCarattere"/>
        </w:rPr>
        <w:t>Electron microscopy analysis for the rubber surface (a) before biodegradation and after (b) 16 and (c) 40 days of enzymatic action of the fungus.</w:t>
      </w:r>
    </w:p>
    <w:p w14:paraId="541EDC29" w14:textId="77777777" w:rsidR="004B19B5" w:rsidRDefault="004B19B5" w:rsidP="00CD1038">
      <w:pPr>
        <w:pStyle w:val="CETBodytext"/>
        <w:rPr>
          <w:rFonts w:eastAsiaTheme="minorHAnsi"/>
        </w:rPr>
      </w:pPr>
    </w:p>
    <w:p w14:paraId="4D3BD726" w14:textId="6123E6B7" w:rsidR="00DF762B" w:rsidRPr="00DF762B" w:rsidRDefault="00881E7B" w:rsidP="00DF762B">
      <w:pPr>
        <w:pStyle w:val="CETBodytext"/>
        <w:rPr>
          <w:lang w:val="es-CO" w:eastAsia="es-CO"/>
        </w:rPr>
      </w:pPr>
      <w:r w:rsidRPr="00ED73C2">
        <w:rPr>
          <w:lang w:eastAsia="es-CO"/>
        </w:rPr>
        <w:t>In Figure 1a, a previous deterioration of the material surface caused by the metabolic activity of native rubber bacteria is observed.</w:t>
      </w:r>
      <w:r>
        <w:rPr>
          <w:lang w:eastAsia="es-CO"/>
        </w:rPr>
        <w:t xml:space="preserve"> </w:t>
      </w:r>
      <w:r w:rsidRPr="00ED73C2">
        <w:rPr>
          <w:lang w:eastAsia="es-CO"/>
        </w:rPr>
        <w:t xml:space="preserve">Figure 1b shows the tire after </w:t>
      </w:r>
      <w:r>
        <w:rPr>
          <w:lang w:eastAsia="es-CO"/>
        </w:rPr>
        <w:t xml:space="preserve">16 </w:t>
      </w:r>
      <w:r w:rsidRPr="00ED73C2">
        <w:rPr>
          <w:lang w:eastAsia="es-CO"/>
        </w:rPr>
        <w:t>days of continuous biodegradation.</w:t>
      </w:r>
      <w:r>
        <w:rPr>
          <w:lang w:eastAsia="es-CO"/>
        </w:rPr>
        <w:t xml:space="preserve"> </w:t>
      </w:r>
      <w:r w:rsidRPr="00C57308">
        <w:rPr>
          <w:lang w:eastAsia="es-CO"/>
        </w:rPr>
        <w:t>Figure 1b shows that the fungus was fixed to the surface of the tire, generating erosion of the material</w:t>
      </w:r>
      <w:r>
        <w:rPr>
          <w:lang w:eastAsia="es-CO"/>
        </w:rPr>
        <w:t>, which is p</w:t>
      </w:r>
      <w:r w:rsidRPr="00F62EA7">
        <w:rPr>
          <w:lang w:eastAsia="es-CO"/>
        </w:rPr>
        <w:t>robably</w:t>
      </w:r>
      <w:r>
        <w:rPr>
          <w:lang w:eastAsia="es-CO"/>
        </w:rPr>
        <w:t xml:space="preserve"> due to</w:t>
      </w:r>
      <w:r w:rsidRPr="00F62EA7">
        <w:rPr>
          <w:lang w:eastAsia="es-CO"/>
        </w:rPr>
        <w:t xml:space="preserve"> the enzymatic action of the fungus </w:t>
      </w:r>
      <w:r>
        <w:rPr>
          <w:lang w:eastAsia="es-CO"/>
        </w:rPr>
        <w:t xml:space="preserve">that </w:t>
      </w:r>
      <w:r w:rsidRPr="00F62EA7">
        <w:rPr>
          <w:lang w:eastAsia="es-CO"/>
        </w:rPr>
        <w:t xml:space="preserve">broke the sulfur bridges </w:t>
      </w:r>
      <w:r>
        <w:rPr>
          <w:lang w:eastAsia="es-CO"/>
        </w:rPr>
        <w:t xml:space="preserve">in </w:t>
      </w:r>
      <w:r w:rsidRPr="00F62EA7">
        <w:rPr>
          <w:lang w:eastAsia="es-CO"/>
        </w:rPr>
        <w:t>poly-cis-1,4-isopropene.</w:t>
      </w:r>
      <w:r>
        <w:rPr>
          <w:lang w:eastAsia="es-CO"/>
        </w:rPr>
        <w:t xml:space="preserve"> </w:t>
      </w:r>
      <w:r w:rsidRPr="0079020A">
        <w:rPr>
          <w:lang w:eastAsia="es-CO"/>
        </w:rPr>
        <w:t>Therefore, structural damages similar to those presented in wood by fracture of the ductile material were generated, creating cavities and fissures.</w:t>
      </w:r>
      <w:r>
        <w:rPr>
          <w:lang w:eastAsia="es-CO"/>
        </w:rPr>
        <w:t xml:space="preserve"> </w:t>
      </w:r>
      <w:r w:rsidR="0082056C" w:rsidRPr="0082056C">
        <w:rPr>
          <w:lang w:eastAsia="es-CO"/>
        </w:rPr>
        <w:t>After 40 days of biodegradation, the fissure of the material was visually greater, indicating that the erosion is progressive as the material is exposed to the enzymatic action of the fungus.</w:t>
      </w:r>
      <w:r w:rsidR="00DF762B">
        <w:rPr>
          <w:lang w:val="es-CO" w:eastAsia="es-CO"/>
        </w:rPr>
        <w:t xml:space="preserve"> </w:t>
      </w:r>
      <w:r w:rsidR="00DF762B" w:rsidRPr="00DF762B">
        <w:rPr>
          <w:lang w:eastAsia="es-CO"/>
        </w:rPr>
        <w:t>Therefore, the superficial inspection of the material showed that the white rot fungus has biodegradative activity and affinity for the hydrocarbons that make up the polymeric material of the tire</w:t>
      </w:r>
      <w:r w:rsidR="00736498">
        <w:rPr>
          <w:lang w:eastAsia="es-CO"/>
        </w:rPr>
        <w:t xml:space="preserve"> (Rodrigues da Luz et al., 2019).</w:t>
      </w:r>
    </w:p>
    <w:p w14:paraId="0C2FD237" w14:textId="2C1A5033" w:rsidR="00422F03" w:rsidRDefault="00422F03" w:rsidP="00CD1038">
      <w:pPr>
        <w:pStyle w:val="CETBodytext"/>
        <w:rPr>
          <w:rFonts w:eastAsiaTheme="minorHAnsi"/>
        </w:rPr>
      </w:pPr>
    </w:p>
    <w:p w14:paraId="3297E966" w14:textId="7EB14E67" w:rsidR="00A671E9" w:rsidRDefault="00A671E9" w:rsidP="00FA5F5F">
      <w:pPr>
        <w:pStyle w:val="CETheadingx"/>
      </w:pPr>
      <w:r>
        <w:lastRenderedPageBreak/>
        <w:t>Inspec</w:t>
      </w:r>
      <w:r w:rsidR="00964D0B">
        <w:t>ti</w:t>
      </w:r>
      <w:r w:rsidR="007D4BEE">
        <w:t>o</w:t>
      </w:r>
      <w:r>
        <w:t xml:space="preserve">n </w:t>
      </w:r>
      <w:r w:rsidR="00964D0B">
        <w:t xml:space="preserve">by </w:t>
      </w:r>
      <w:r>
        <w:t>FTIR</w:t>
      </w:r>
      <w:r w:rsidR="00964D0B">
        <w:t xml:space="preserve"> analysis</w:t>
      </w:r>
    </w:p>
    <w:p w14:paraId="697E7CB8" w14:textId="66BEB901" w:rsidR="007D4BEE" w:rsidRPr="007D4BEE" w:rsidRDefault="007D4BEE" w:rsidP="007D4BEE">
      <w:pPr>
        <w:pStyle w:val="CETBodytext"/>
        <w:rPr>
          <w:lang w:val="es-CO" w:eastAsia="es-CO"/>
        </w:rPr>
      </w:pPr>
      <w:r w:rsidRPr="007D4BEE">
        <w:rPr>
          <w:lang w:eastAsia="es-CO"/>
        </w:rPr>
        <w:t xml:space="preserve">Figure </w:t>
      </w:r>
      <w:r w:rsidR="002A1BEF">
        <w:rPr>
          <w:lang w:eastAsia="es-CO"/>
        </w:rPr>
        <w:t>2</w:t>
      </w:r>
      <w:r w:rsidRPr="007D4BEE">
        <w:rPr>
          <w:lang w:eastAsia="es-CO"/>
        </w:rPr>
        <w:t xml:space="preserve"> shows the </w:t>
      </w:r>
      <w:r w:rsidR="005124C4">
        <w:rPr>
          <w:lang w:eastAsia="es-CO"/>
        </w:rPr>
        <w:t xml:space="preserve">transmittance vs </w:t>
      </w:r>
      <w:r w:rsidRPr="007D4BEE">
        <w:rPr>
          <w:lang w:eastAsia="es-CO"/>
        </w:rPr>
        <w:t xml:space="preserve">wave </w:t>
      </w:r>
      <w:r w:rsidR="005124C4">
        <w:rPr>
          <w:lang w:eastAsia="es-CO"/>
        </w:rPr>
        <w:t xml:space="preserve">number </w:t>
      </w:r>
      <w:r w:rsidRPr="007D4BEE">
        <w:rPr>
          <w:lang w:eastAsia="es-CO"/>
        </w:rPr>
        <w:t xml:space="preserve">spectrum for the </w:t>
      </w:r>
      <w:r>
        <w:rPr>
          <w:lang w:eastAsia="es-CO"/>
        </w:rPr>
        <w:t xml:space="preserve">waste tire rubber </w:t>
      </w:r>
      <w:r w:rsidRPr="007D4BEE">
        <w:rPr>
          <w:lang w:eastAsia="es-CO"/>
        </w:rPr>
        <w:t>sample without inoculation (</w:t>
      </w:r>
      <w:r w:rsidR="00025C08">
        <w:rPr>
          <w:lang w:eastAsia="es-CO"/>
        </w:rPr>
        <w:t xml:space="preserve">black </w:t>
      </w:r>
      <w:r w:rsidRPr="007D4BEE">
        <w:rPr>
          <w:lang w:eastAsia="es-CO"/>
        </w:rPr>
        <w:t>spectrum) and the wave spectrum of the sample after being exposed to 45 days of biodegradation (</w:t>
      </w:r>
      <w:r w:rsidR="00025C08">
        <w:rPr>
          <w:lang w:eastAsia="es-CO"/>
        </w:rPr>
        <w:t>blue</w:t>
      </w:r>
      <w:r w:rsidRPr="007D4BEE">
        <w:rPr>
          <w:lang w:eastAsia="es-CO"/>
        </w:rPr>
        <w:t xml:space="preserve"> spectrum).</w:t>
      </w:r>
    </w:p>
    <w:p w14:paraId="4C75DF99" w14:textId="77777777" w:rsidR="007D4BEE" w:rsidRDefault="007D4BEE" w:rsidP="00AF3238">
      <w:pPr>
        <w:pStyle w:val="CETBodytext"/>
      </w:pPr>
    </w:p>
    <w:p w14:paraId="4FA5F9B5" w14:textId="7A1A08CF" w:rsidR="0020469C" w:rsidRDefault="00337163" w:rsidP="00AF3238">
      <w:pPr>
        <w:pStyle w:val="CETBodytext"/>
      </w:pPr>
      <w:r>
        <w:rPr>
          <w:noProof/>
          <w:lang w:val="es-ES" w:eastAsia="es-ES"/>
        </w:rPr>
        <w:drawing>
          <wp:inline distT="0" distB="0" distL="0" distR="0" wp14:anchorId="10C8EEAD" wp14:editId="058ED61E">
            <wp:extent cx="3620662" cy="230293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8421" cy="2307869"/>
                    </a:xfrm>
                    <a:prstGeom prst="rect">
                      <a:avLst/>
                    </a:prstGeom>
                    <a:noFill/>
                    <a:ln>
                      <a:noFill/>
                    </a:ln>
                  </pic:spPr>
                </pic:pic>
              </a:graphicData>
            </a:graphic>
          </wp:inline>
        </w:drawing>
      </w:r>
    </w:p>
    <w:p w14:paraId="36BB6211" w14:textId="5EFF339A" w:rsidR="00DB34C1" w:rsidRPr="00DB34C1" w:rsidRDefault="00D1717A" w:rsidP="00DB34C1">
      <w:pPr>
        <w:pStyle w:val="CETCaption"/>
        <w:rPr>
          <w:lang w:val="es-CO" w:eastAsia="es-CO"/>
        </w:rPr>
      </w:pPr>
      <w:r w:rsidRPr="00BD077D">
        <w:rPr>
          <w:rStyle w:val="CETCaptionCarattere"/>
          <w:i/>
        </w:rPr>
        <w:t xml:space="preserve">Figure </w:t>
      </w:r>
      <w:r w:rsidR="002A1BEF">
        <w:rPr>
          <w:rStyle w:val="CETCaptionCarattere"/>
        </w:rPr>
        <w:t>2</w:t>
      </w:r>
      <w:r w:rsidRPr="00BD077D">
        <w:rPr>
          <w:rStyle w:val="CETCaptionCarattere"/>
          <w:i/>
        </w:rPr>
        <w:t xml:space="preserve">: </w:t>
      </w:r>
      <w:r w:rsidR="00DB34C1" w:rsidRPr="00DB34C1">
        <w:rPr>
          <w:lang w:val="en" w:eastAsia="es-CO"/>
        </w:rPr>
        <w:t>FTIR spectra of rubber samples before inoculation with fungi (bl</w:t>
      </w:r>
      <w:r w:rsidR="00025C08">
        <w:rPr>
          <w:lang w:val="en" w:eastAsia="es-CO"/>
        </w:rPr>
        <w:t>ack</w:t>
      </w:r>
      <w:r w:rsidR="00DB34C1" w:rsidRPr="00DB34C1">
        <w:rPr>
          <w:lang w:val="en" w:eastAsia="es-CO"/>
        </w:rPr>
        <w:t xml:space="preserve"> spectrum) and after 45 days of biodegradation (</w:t>
      </w:r>
      <w:r w:rsidR="00025C08">
        <w:rPr>
          <w:lang w:val="en" w:eastAsia="es-CO"/>
        </w:rPr>
        <w:t>blue</w:t>
      </w:r>
      <w:r w:rsidR="00DB34C1" w:rsidRPr="00DB34C1">
        <w:rPr>
          <w:lang w:val="en" w:eastAsia="es-CO"/>
        </w:rPr>
        <w:t xml:space="preserve"> spectrum)</w:t>
      </w:r>
    </w:p>
    <w:p w14:paraId="62981FC9" w14:textId="5C8B053A" w:rsidR="00F97E95" w:rsidRPr="00F97E95" w:rsidRDefault="006F39B3" w:rsidP="00F97E95">
      <w:pPr>
        <w:pStyle w:val="CETBodytext"/>
        <w:rPr>
          <w:lang w:eastAsia="es-CO"/>
        </w:rPr>
      </w:pPr>
      <w:r w:rsidRPr="006F39B3">
        <w:rPr>
          <w:lang w:eastAsia="es-CO"/>
        </w:rPr>
        <w:t xml:space="preserve">Figure </w:t>
      </w:r>
      <w:r w:rsidR="002A1BEF">
        <w:rPr>
          <w:lang w:eastAsia="es-CO"/>
        </w:rPr>
        <w:t>2</w:t>
      </w:r>
      <w:r w:rsidRPr="006F39B3">
        <w:rPr>
          <w:lang w:eastAsia="es-CO"/>
        </w:rPr>
        <w:t xml:space="preserve"> shows a decrease in the peaks of the spectrum in the region </w:t>
      </w:r>
      <w:r>
        <w:rPr>
          <w:lang w:eastAsia="es-CO"/>
        </w:rPr>
        <w:t>from</w:t>
      </w:r>
      <w:r w:rsidRPr="006F39B3">
        <w:rPr>
          <w:lang w:eastAsia="es-CO"/>
        </w:rPr>
        <w:t xml:space="preserve"> 400 cm</w:t>
      </w:r>
      <w:r w:rsidRPr="006F39B3">
        <w:rPr>
          <w:vertAlign w:val="superscript"/>
          <w:lang w:eastAsia="es-CO"/>
        </w:rPr>
        <w:t>-1</w:t>
      </w:r>
      <w:r w:rsidRPr="006F39B3">
        <w:rPr>
          <w:lang w:eastAsia="es-CO"/>
        </w:rPr>
        <w:t xml:space="preserve"> to 1200 cm</w:t>
      </w:r>
      <w:r w:rsidRPr="006F39B3">
        <w:rPr>
          <w:vertAlign w:val="superscript"/>
          <w:lang w:eastAsia="es-CO"/>
        </w:rPr>
        <w:t>-1</w:t>
      </w:r>
      <w:r w:rsidRPr="006F39B3">
        <w:rPr>
          <w:lang w:eastAsia="es-CO"/>
        </w:rPr>
        <w:t>, which indicates breakage of some functional groups in the polymeric chain of poly-cis-1,4-isopropene such as C=C, carbonyl, methyl, and ester bonds.</w:t>
      </w:r>
      <w:r w:rsidR="00A1696A">
        <w:rPr>
          <w:lang w:val="es-CO" w:eastAsia="es-CO"/>
        </w:rPr>
        <w:t xml:space="preserve"> </w:t>
      </w:r>
      <w:r w:rsidR="00A1696A" w:rsidRPr="00A1696A">
        <w:rPr>
          <w:lang w:eastAsia="es-CO"/>
        </w:rPr>
        <w:t>Changes in the stretch band between the 1400 cm-1 and 1200 cm-1 peaks indicate the formation of alkaloids.</w:t>
      </w:r>
      <w:r w:rsidR="00707507">
        <w:rPr>
          <w:lang w:val="es-CO" w:eastAsia="es-CO"/>
        </w:rPr>
        <w:t xml:space="preserve"> </w:t>
      </w:r>
      <w:r w:rsidR="00707507" w:rsidRPr="00707507">
        <w:rPr>
          <w:lang w:eastAsia="es-CO"/>
        </w:rPr>
        <w:t>Additionally, there was a decrease in the stretching band between the 3200 cm</w:t>
      </w:r>
      <w:r w:rsidR="00707507" w:rsidRPr="00707507">
        <w:rPr>
          <w:vertAlign w:val="superscript"/>
          <w:lang w:eastAsia="es-CO"/>
        </w:rPr>
        <w:t>-1</w:t>
      </w:r>
      <w:r w:rsidR="00707507" w:rsidRPr="00707507">
        <w:rPr>
          <w:lang w:eastAsia="es-CO"/>
        </w:rPr>
        <w:t xml:space="preserve"> peak and the 2800 cm</w:t>
      </w:r>
      <w:r w:rsidR="00707507" w:rsidRPr="00707507">
        <w:rPr>
          <w:vertAlign w:val="superscript"/>
          <w:lang w:eastAsia="es-CO"/>
        </w:rPr>
        <w:t>-1</w:t>
      </w:r>
      <w:r w:rsidR="00707507" w:rsidRPr="00707507">
        <w:rPr>
          <w:lang w:eastAsia="es-CO"/>
        </w:rPr>
        <w:t xml:space="preserve"> peak, lengths where the vibration of the CH</w:t>
      </w:r>
      <w:r w:rsidR="00707507" w:rsidRPr="00707507">
        <w:rPr>
          <w:vertAlign w:val="subscript"/>
          <w:lang w:eastAsia="es-CO"/>
        </w:rPr>
        <w:t>2</w:t>
      </w:r>
      <w:r w:rsidR="00707507" w:rsidRPr="00707507">
        <w:rPr>
          <w:lang w:eastAsia="es-CO"/>
        </w:rPr>
        <w:t xml:space="preserve"> radical occurs.</w:t>
      </w:r>
      <w:r w:rsidR="001968A8">
        <w:rPr>
          <w:lang w:eastAsia="es-CO"/>
        </w:rPr>
        <w:t xml:space="preserve"> </w:t>
      </w:r>
      <w:r w:rsidR="001968A8" w:rsidRPr="001968A8">
        <w:rPr>
          <w:lang w:eastAsia="es-CO"/>
        </w:rPr>
        <w:t>However, the presence of biological activity by the white rot fungus on the surface of the used tire is confirmed by changes in the chemical structure of the rubber surface. These results are consistent with the studies conducted by Shah et al. (2013)</w:t>
      </w:r>
      <w:r w:rsidR="00425F98">
        <w:rPr>
          <w:lang w:eastAsia="es-CO"/>
        </w:rPr>
        <w:t>, w</w:t>
      </w:r>
      <w:r w:rsidR="00425F98" w:rsidRPr="00425F98">
        <w:rPr>
          <w:lang w:eastAsia="es-CO"/>
        </w:rPr>
        <w:t>ho reported variations in the 834 cm</w:t>
      </w:r>
      <w:r w:rsidR="00425F98" w:rsidRPr="00425F98">
        <w:rPr>
          <w:vertAlign w:val="superscript"/>
          <w:lang w:eastAsia="es-CO"/>
        </w:rPr>
        <w:t>-1</w:t>
      </w:r>
      <w:r w:rsidR="00425F98" w:rsidRPr="00425F98">
        <w:rPr>
          <w:lang w:eastAsia="es-CO"/>
        </w:rPr>
        <w:t xml:space="preserve"> peak</w:t>
      </w:r>
      <w:r w:rsidR="00F97E95">
        <w:rPr>
          <w:lang w:eastAsia="es-CO"/>
        </w:rPr>
        <w:t>,</w:t>
      </w:r>
      <w:r w:rsidR="00425F98" w:rsidRPr="00425F98">
        <w:rPr>
          <w:lang w:eastAsia="es-CO"/>
        </w:rPr>
        <w:t xml:space="preserve"> where there is stretching of the cis-1.4 double bond.</w:t>
      </w:r>
      <w:r w:rsidR="00F97E95">
        <w:rPr>
          <w:lang w:eastAsia="es-CO"/>
        </w:rPr>
        <w:t xml:space="preserve"> </w:t>
      </w:r>
      <w:r w:rsidR="00F97E95" w:rsidRPr="00F97E95">
        <w:rPr>
          <w:lang w:eastAsia="es-CO"/>
        </w:rPr>
        <w:t>As well as the appearance of ketones and alkaloids as metabolites of the enzymatic decomposition process of rubber</w:t>
      </w:r>
      <w:r w:rsidR="00F97E95">
        <w:rPr>
          <w:lang w:eastAsia="es-CO"/>
        </w:rPr>
        <w:t>.</w:t>
      </w:r>
      <w:r w:rsidR="00C356A3">
        <w:rPr>
          <w:lang w:eastAsia="es-CO"/>
        </w:rPr>
        <w:t xml:space="preserve"> Based on the changes mentioned above, it is suggested that the biodegradation mechanism is oxidative.</w:t>
      </w:r>
    </w:p>
    <w:p w14:paraId="0F7354AF" w14:textId="0F7E6343" w:rsidR="0027029C" w:rsidRDefault="0034511F" w:rsidP="00FA5F5F">
      <w:pPr>
        <w:pStyle w:val="CETheadingx"/>
      </w:pPr>
      <w:r>
        <w:t>Ef</w:t>
      </w:r>
      <w:r w:rsidR="00AE739D">
        <w:t>f</w:t>
      </w:r>
      <w:r>
        <w:t>ect</w:t>
      </w:r>
      <w:r w:rsidR="00AE739D">
        <w:t xml:space="preserve"> of substrate concentration on biomass production</w:t>
      </w:r>
    </w:p>
    <w:p w14:paraId="3E08ADFB" w14:textId="1B52BC3F" w:rsidR="00E578CE" w:rsidRPr="00E578CE" w:rsidRDefault="00E578CE" w:rsidP="00E578CE">
      <w:pPr>
        <w:pStyle w:val="CETBodytext"/>
        <w:rPr>
          <w:lang w:val="es-CO" w:eastAsia="es-CO"/>
        </w:rPr>
      </w:pPr>
      <w:r w:rsidRPr="00E578CE">
        <w:rPr>
          <w:lang w:eastAsia="es-CO"/>
        </w:rPr>
        <w:t>Figure 3 shows the growth of the fungus for substrate concentrations in the range of 0 mg/L to 15 mg/L</w:t>
      </w:r>
      <w:r>
        <w:rPr>
          <w:lang w:eastAsia="es-CO"/>
        </w:rPr>
        <w:t>.</w:t>
      </w:r>
    </w:p>
    <w:p w14:paraId="25508520" w14:textId="77777777" w:rsidR="00E578CE" w:rsidRDefault="00E578CE" w:rsidP="005C4692">
      <w:pPr>
        <w:pStyle w:val="CETBodytext"/>
      </w:pPr>
    </w:p>
    <w:p w14:paraId="7D063A51" w14:textId="658386CF" w:rsidR="004A4156" w:rsidRDefault="0037019F" w:rsidP="005C4692">
      <w:pPr>
        <w:pStyle w:val="CETBodytext"/>
      </w:pPr>
      <w:r>
        <w:rPr>
          <w:noProof/>
          <w:lang w:val="es-ES" w:eastAsia="es-ES"/>
        </w:rPr>
        <w:drawing>
          <wp:inline distT="0" distB="0" distL="0" distR="0" wp14:anchorId="5104EC99" wp14:editId="3511F475">
            <wp:extent cx="3443172" cy="2175934"/>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9672" cy="2180042"/>
                    </a:xfrm>
                    <a:prstGeom prst="rect">
                      <a:avLst/>
                    </a:prstGeom>
                    <a:noFill/>
                    <a:ln>
                      <a:noFill/>
                    </a:ln>
                  </pic:spPr>
                </pic:pic>
              </a:graphicData>
            </a:graphic>
          </wp:inline>
        </w:drawing>
      </w:r>
    </w:p>
    <w:p w14:paraId="4CBDEFD3" w14:textId="494A08E0" w:rsidR="00100B50" w:rsidRPr="00100B50" w:rsidRDefault="00B31AAD" w:rsidP="00100B50">
      <w:pPr>
        <w:pStyle w:val="CETCaption"/>
        <w:rPr>
          <w:lang w:val="es-CO" w:eastAsia="es-CO"/>
        </w:rPr>
      </w:pPr>
      <w:r w:rsidRPr="00BD077D">
        <w:rPr>
          <w:rStyle w:val="CETCaptionCarattere"/>
          <w:i/>
        </w:rPr>
        <w:t xml:space="preserve">Figure </w:t>
      </w:r>
      <w:r w:rsidR="00AF7E63">
        <w:rPr>
          <w:rStyle w:val="CETCaptionCarattere"/>
          <w:i/>
        </w:rPr>
        <w:t>3</w:t>
      </w:r>
      <w:r w:rsidRPr="00BD077D">
        <w:rPr>
          <w:rStyle w:val="CETCaptionCarattere"/>
          <w:i/>
        </w:rPr>
        <w:t xml:space="preserve">: </w:t>
      </w:r>
      <w:r w:rsidR="00100B50" w:rsidRPr="00100B50">
        <w:rPr>
          <w:lang w:val="en" w:eastAsia="es-CO"/>
        </w:rPr>
        <w:t>Germination of white rot fungus at different concentrations of rubber</w:t>
      </w:r>
    </w:p>
    <w:p w14:paraId="66724316" w14:textId="2F804DB2" w:rsidR="00564585" w:rsidRPr="00564585" w:rsidRDefault="00D30D4F" w:rsidP="00564585">
      <w:pPr>
        <w:pStyle w:val="CETBodytext"/>
        <w:rPr>
          <w:lang w:val="es-CO" w:eastAsia="es-CO"/>
        </w:rPr>
      </w:pPr>
      <w:r w:rsidRPr="00D30D4F">
        <w:rPr>
          <w:lang w:eastAsia="es-CO"/>
        </w:rPr>
        <w:lastRenderedPageBreak/>
        <w:t>The substrate concentration of 0 mg/L corresponds to the</w:t>
      </w:r>
      <w:r w:rsidR="00DA464E">
        <w:rPr>
          <w:lang w:eastAsia="es-CO"/>
        </w:rPr>
        <w:t xml:space="preserve"> blank</w:t>
      </w:r>
      <w:r w:rsidR="00544D0A">
        <w:rPr>
          <w:lang w:eastAsia="es-CO"/>
        </w:rPr>
        <w:t xml:space="preserve"> </w:t>
      </w:r>
      <w:r w:rsidR="00544D0A" w:rsidRPr="00544D0A">
        <w:rPr>
          <w:lang w:eastAsia="es-CO"/>
        </w:rPr>
        <w:t>t</w:t>
      </w:r>
      <w:r w:rsidRPr="00544D0A">
        <w:rPr>
          <w:lang w:eastAsia="es-CO"/>
        </w:rPr>
        <w:t>ests</w:t>
      </w:r>
      <w:r w:rsidRPr="00D30D4F">
        <w:rPr>
          <w:lang w:eastAsia="es-CO"/>
        </w:rPr>
        <w:t>, which allowed discounting the amount of 110 ± 4 mg of dry biomass obtained from the nutrients present in the medium.</w:t>
      </w:r>
      <w:r w:rsidR="003C068C">
        <w:rPr>
          <w:lang w:val="es-CO" w:eastAsia="es-CO"/>
        </w:rPr>
        <w:t xml:space="preserve"> </w:t>
      </w:r>
      <w:r w:rsidR="003C068C" w:rsidRPr="003C068C">
        <w:rPr>
          <w:lang w:eastAsia="es-CO"/>
        </w:rPr>
        <w:t xml:space="preserve">The highest amount of dry biomass </w:t>
      </w:r>
      <w:r w:rsidR="003C068C">
        <w:rPr>
          <w:lang w:eastAsia="es-CO"/>
        </w:rPr>
        <w:t>(</w:t>
      </w:r>
      <w:r w:rsidR="003C068C" w:rsidRPr="003C068C">
        <w:rPr>
          <w:lang w:eastAsia="es-CO"/>
        </w:rPr>
        <w:t>619 mg</w:t>
      </w:r>
      <w:r w:rsidR="003C068C">
        <w:rPr>
          <w:lang w:eastAsia="es-CO"/>
        </w:rPr>
        <w:t>)</w:t>
      </w:r>
      <w:r w:rsidR="003C068C" w:rsidRPr="003C068C">
        <w:rPr>
          <w:lang w:eastAsia="es-CO"/>
        </w:rPr>
        <w:t xml:space="preserve"> was obtained at tire concentrations of 15 ± 0.07 mg/L.</w:t>
      </w:r>
      <w:r w:rsidR="00A22449">
        <w:rPr>
          <w:lang w:val="es-CO" w:eastAsia="es-CO"/>
        </w:rPr>
        <w:t xml:space="preserve"> </w:t>
      </w:r>
      <w:r w:rsidR="00A22449" w:rsidRPr="00A22449">
        <w:rPr>
          <w:lang w:eastAsia="es-CO"/>
        </w:rPr>
        <w:t>On the other hand, the lowest amount of dry biomass of 365 mg was obtained for the tire concentration of 2.5 ± 0.07 mg/L.</w:t>
      </w:r>
      <w:r w:rsidR="00564585">
        <w:rPr>
          <w:lang w:val="es-CO" w:eastAsia="es-CO"/>
        </w:rPr>
        <w:t xml:space="preserve"> </w:t>
      </w:r>
      <w:r w:rsidR="00564585" w:rsidRPr="00564585">
        <w:rPr>
          <w:lang w:eastAsia="es-CO"/>
        </w:rPr>
        <w:t>This result is consistent with the statements of Monod's law, which describes microbial growth as an exponential function of substrate concentration</w:t>
      </w:r>
      <w:r w:rsidR="00D76F1F">
        <w:rPr>
          <w:lang w:eastAsia="es-CO"/>
        </w:rPr>
        <w:t xml:space="preserve"> (Cavaleiro, 2016).</w:t>
      </w:r>
      <w:r w:rsidR="004566EE">
        <w:rPr>
          <w:lang w:eastAsia="es-CO"/>
        </w:rPr>
        <w:t xml:space="preserve"> </w:t>
      </w:r>
    </w:p>
    <w:p w14:paraId="30B0FED0" w14:textId="5F567134" w:rsidR="00BE739C" w:rsidRDefault="00BE739C" w:rsidP="00FA5F5F">
      <w:pPr>
        <w:pStyle w:val="CETheadingx"/>
      </w:pPr>
      <w:r>
        <w:t>Model</w:t>
      </w:r>
      <w:r w:rsidR="001A2587">
        <w:t>ing of the germination process</w:t>
      </w:r>
    </w:p>
    <w:p w14:paraId="3F5D4D11" w14:textId="0F23BA13" w:rsidR="002171B8" w:rsidRPr="002171B8" w:rsidRDefault="00022699" w:rsidP="002171B8">
      <w:pPr>
        <w:pStyle w:val="CETBodytext"/>
        <w:rPr>
          <w:lang w:val="es-CO" w:eastAsia="es-CO"/>
        </w:rPr>
      </w:pPr>
      <w:r w:rsidRPr="00022699">
        <w:rPr>
          <w:lang w:eastAsia="es-CO"/>
        </w:rPr>
        <w:t xml:space="preserve">For the determination of the biodegradative potential of the fungus, </w:t>
      </w:r>
      <w:r>
        <w:rPr>
          <w:lang w:eastAsia="es-CO"/>
        </w:rPr>
        <w:t>three</w:t>
      </w:r>
      <w:r w:rsidRPr="00022699">
        <w:rPr>
          <w:lang w:eastAsia="es-CO"/>
        </w:rPr>
        <w:t xml:space="preserve"> germination models were </w:t>
      </w:r>
      <w:r>
        <w:rPr>
          <w:lang w:eastAsia="es-CO"/>
        </w:rPr>
        <w:t xml:space="preserve">considered for </w:t>
      </w:r>
      <w:r w:rsidRPr="00022699">
        <w:rPr>
          <w:lang w:eastAsia="es-CO"/>
        </w:rPr>
        <w:t xml:space="preserve">a kinetic </w:t>
      </w:r>
      <w:r>
        <w:rPr>
          <w:lang w:eastAsia="es-CO"/>
        </w:rPr>
        <w:t xml:space="preserve">analysis </w:t>
      </w:r>
      <w:r w:rsidRPr="00022699">
        <w:rPr>
          <w:lang w:eastAsia="es-CO"/>
        </w:rPr>
        <w:t>of the process.</w:t>
      </w:r>
      <w:r w:rsidR="008D39EC">
        <w:rPr>
          <w:lang w:eastAsia="es-CO"/>
        </w:rPr>
        <w:t xml:space="preserve"> </w:t>
      </w:r>
      <w:r w:rsidR="007D6A6B" w:rsidRPr="008D39EC">
        <w:rPr>
          <w:lang w:eastAsia="es-CO"/>
        </w:rPr>
        <w:t xml:space="preserve">The kinetic parameters of each model were calculated </w:t>
      </w:r>
      <w:r w:rsidR="007D6A6B">
        <w:rPr>
          <w:lang w:eastAsia="es-CO"/>
        </w:rPr>
        <w:t xml:space="preserve">by </w:t>
      </w:r>
      <w:r w:rsidR="007D6A6B" w:rsidRPr="008D39EC">
        <w:rPr>
          <w:lang w:eastAsia="es-CO"/>
        </w:rPr>
        <w:t>using the curve fitting toolbox of the MATLAB</w:t>
      </w:r>
      <w:r w:rsidR="007D6A6B">
        <w:rPr>
          <w:lang w:eastAsia="es-CO"/>
        </w:rPr>
        <w:t>®</w:t>
      </w:r>
      <w:r w:rsidR="007D6A6B" w:rsidRPr="008D39EC">
        <w:rPr>
          <w:lang w:eastAsia="es-CO"/>
        </w:rPr>
        <w:t xml:space="preserve"> software.</w:t>
      </w:r>
      <w:r w:rsidR="002171B8">
        <w:rPr>
          <w:lang w:val="es-CO" w:eastAsia="es-CO"/>
        </w:rPr>
        <w:t xml:space="preserve"> </w:t>
      </w:r>
      <w:r w:rsidR="002171B8" w:rsidRPr="002171B8">
        <w:rPr>
          <w:lang w:eastAsia="es-CO"/>
        </w:rPr>
        <w:t>The description of each of these models is found below</w:t>
      </w:r>
      <w:r w:rsidR="00F52A9C">
        <w:rPr>
          <w:lang w:eastAsia="es-CO"/>
        </w:rPr>
        <w:t xml:space="preserve"> (Cavaleiro, 2016)</w:t>
      </w:r>
    </w:p>
    <w:p w14:paraId="2A662460" w14:textId="2B8E307F" w:rsidR="00A06088" w:rsidRDefault="00A06088" w:rsidP="0009130B">
      <w:pPr>
        <w:pStyle w:val="CETBodytext"/>
      </w:pPr>
    </w:p>
    <w:p w14:paraId="08E745C4" w14:textId="6EA054BE" w:rsidR="00A06088" w:rsidRPr="00683DFE" w:rsidRDefault="00A06088" w:rsidP="0009130B">
      <w:pPr>
        <w:pStyle w:val="CETBodytext"/>
        <w:rPr>
          <w:b/>
          <w:bCs/>
        </w:rPr>
      </w:pPr>
      <w:r w:rsidRPr="00683DFE">
        <w:rPr>
          <w:b/>
          <w:bCs/>
        </w:rPr>
        <w:t>Monod</w:t>
      </w:r>
      <w:r w:rsidR="00C263EC">
        <w:rPr>
          <w:b/>
          <w:bCs/>
        </w:rPr>
        <w:t xml:space="preserve"> equation</w:t>
      </w:r>
    </w:p>
    <w:tbl>
      <w:tblPr>
        <w:tblW w:w="5000" w:type="pct"/>
        <w:tblLook w:val="04A0" w:firstRow="1" w:lastRow="0" w:firstColumn="1" w:lastColumn="0" w:noHBand="0" w:noVBand="1"/>
      </w:tblPr>
      <w:tblGrid>
        <w:gridCol w:w="8188"/>
        <w:gridCol w:w="815"/>
      </w:tblGrid>
      <w:tr w:rsidR="00670004" w:rsidRPr="00B57B36" w14:paraId="2AC634A8" w14:textId="77777777" w:rsidTr="00D0304D">
        <w:tc>
          <w:tcPr>
            <w:tcW w:w="8188" w:type="dxa"/>
            <w:shd w:val="clear" w:color="auto" w:fill="auto"/>
            <w:vAlign w:val="center"/>
          </w:tcPr>
          <w:p w14:paraId="196DBBAB" w14:textId="03CF9145" w:rsidR="00670004" w:rsidRPr="00D0304D" w:rsidRDefault="00D0304D" w:rsidP="00F8263D">
            <w:pPr>
              <w:pStyle w:val="CETEquation"/>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+x</m:t>
                        </m:r>
                      </m:den>
                    </m:f>
                  </m:e>
                </m:d>
              </m:oMath>
            </m:oMathPara>
          </w:p>
        </w:tc>
        <w:tc>
          <w:tcPr>
            <w:tcW w:w="815" w:type="dxa"/>
            <w:shd w:val="clear" w:color="auto" w:fill="auto"/>
            <w:vAlign w:val="center"/>
          </w:tcPr>
          <w:p w14:paraId="21C557CE" w14:textId="77777777" w:rsidR="00670004" w:rsidRPr="00B57B36" w:rsidRDefault="00670004" w:rsidP="00F8263D">
            <w:pPr>
              <w:pStyle w:val="CETEquation"/>
              <w:jc w:val="right"/>
            </w:pPr>
            <w:r w:rsidRPr="00B57B36">
              <w:t>(1)</w:t>
            </w:r>
          </w:p>
        </w:tc>
      </w:tr>
    </w:tbl>
    <w:p w14:paraId="45D8D2EE" w14:textId="29184E30" w:rsidR="008F0451" w:rsidRDefault="008F0451" w:rsidP="008F0451">
      <w:pPr>
        <w:pStyle w:val="CETBodytext"/>
      </w:pPr>
      <w:r w:rsidRPr="008F0451">
        <w:rPr>
          <w:rFonts w:ascii="Cambria Math" w:hAnsi="Cambria Math" w:cs="Cambria Math"/>
        </w:rPr>
        <w:t>𝑢</w:t>
      </w:r>
      <w:r w:rsidRPr="008F0451">
        <w:rPr>
          <w:rFonts w:ascii="Cambria Math" w:hAnsi="Cambria Math" w:cs="Cambria Math"/>
          <w:szCs w:val="18"/>
          <w:vertAlign w:val="subscript"/>
        </w:rPr>
        <w:t>𝑚𝑎𝑥</w:t>
      </w:r>
      <w:r>
        <w:rPr>
          <w:rFonts w:ascii="Cambria Math" w:hAnsi="Cambria Math" w:cs="Cambria Math"/>
          <w:sz w:val="17"/>
          <w:szCs w:val="17"/>
        </w:rPr>
        <w:t xml:space="preserve"> </w:t>
      </w:r>
      <w:r>
        <w:t xml:space="preserve">= </w:t>
      </w:r>
      <w:r w:rsidR="00766C6C">
        <w:t>maximum specific growth rate</w:t>
      </w:r>
      <w:r>
        <w:t xml:space="preserve"> (h</w:t>
      </w:r>
      <w:r w:rsidRPr="003C71FD">
        <w:rPr>
          <w:szCs w:val="18"/>
          <w:vertAlign w:val="superscript"/>
        </w:rPr>
        <w:t>-1</w:t>
      </w:r>
      <w:r>
        <w:t xml:space="preserve">) </w:t>
      </w:r>
    </w:p>
    <w:p w14:paraId="2A20C310" w14:textId="2CBD04C5" w:rsidR="008F0451" w:rsidRDefault="008F0451" w:rsidP="008F0451">
      <w:pPr>
        <w:pStyle w:val="CETBodytext"/>
        <w:rPr>
          <w:rFonts w:ascii="Cambria Math" w:hAnsi="Cambria Math" w:cs="Cambria Math"/>
        </w:rPr>
      </w:pPr>
      <w:r>
        <w:rPr>
          <w:rFonts w:ascii="Cambria Math" w:hAnsi="Cambria Math" w:cs="Cambria Math"/>
        </w:rPr>
        <w:t>𝑘</w:t>
      </w:r>
      <w:r w:rsidRPr="008F0451">
        <w:rPr>
          <w:rFonts w:ascii="Cambria Math" w:hAnsi="Cambria Math" w:cs="Cambria Math"/>
          <w:vertAlign w:val="subscript"/>
        </w:rPr>
        <w:t>𝑚</w:t>
      </w:r>
      <w:r>
        <w:rPr>
          <w:rFonts w:ascii="Cambria Math" w:hAnsi="Cambria Math" w:cs="Cambria Math"/>
        </w:rPr>
        <w:t xml:space="preserve"> </w:t>
      </w:r>
      <w:r w:rsidRPr="003C71FD">
        <w:rPr>
          <w:rFonts w:cs="Arial"/>
        </w:rPr>
        <w:t xml:space="preserve">= </w:t>
      </w:r>
      <w:r w:rsidR="00683A06">
        <w:rPr>
          <w:rFonts w:cs="Arial"/>
        </w:rPr>
        <w:t>average saturation coefficient</w:t>
      </w:r>
      <w:r w:rsidRPr="003C71FD">
        <w:rPr>
          <w:rFonts w:cs="Arial"/>
        </w:rPr>
        <w:t xml:space="preserve"> (g/L) </w:t>
      </w:r>
    </w:p>
    <w:p w14:paraId="6A292666" w14:textId="3A61B066" w:rsidR="008F0451" w:rsidRDefault="008F0451" w:rsidP="008F0451">
      <w:pPr>
        <w:pStyle w:val="CETBodytext"/>
        <w:rPr>
          <w:rFonts w:cs="Arial"/>
        </w:rPr>
      </w:pPr>
      <w:r>
        <w:rPr>
          <w:rFonts w:ascii="Cambria Math" w:hAnsi="Cambria Math" w:cs="Cambria Math"/>
        </w:rPr>
        <w:t xml:space="preserve">𝑥 </w:t>
      </w:r>
      <w:r w:rsidRPr="003C71FD">
        <w:rPr>
          <w:rFonts w:cs="Arial"/>
        </w:rPr>
        <w:t xml:space="preserve">= </w:t>
      </w:r>
      <w:r w:rsidR="004E7E18">
        <w:rPr>
          <w:rFonts w:cs="Arial"/>
        </w:rPr>
        <w:t>substrate concentration</w:t>
      </w:r>
    </w:p>
    <w:p w14:paraId="2D462A0F" w14:textId="77C84BA0" w:rsidR="00B46C5F" w:rsidRDefault="00B46C5F" w:rsidP="008F0451">
      <w:pPr>
        <w:pStyle w:val="CETBodytext"/>
        <w:rPr>
          <w:rFonts w:cs="Arial"/>
        </w:rPr>
      </w:pPr>
    </w:p>
    <w:p w14:paraId="5A0A3295" w14:textId="282AF8E0" w:rsidR="00B46C5F" w:rsidRPr="00683DFE" w:rsidRDefault="00B46C5F" w:rsidP="008F0451">
      <w:pPr>
        <w:pStyle w:val="CETBodytext"/>
        <w:rPr>
          <w:rFonts w:cs="Arial"/>
          <w:b/>
          <w:bCs/>
        </w:rPr>
      </w:pPr>
      <w:r w:rsidRPr="00683DFE">
        <w:rPr>
          <w:rFonts w:cs="Arial"/>
          <w:b/>
          <w:bCs/>
        </w:rPr>
        <w:t>Haldane</w:t>
      </w:r>
      <w:r w:rsidR="000E3DC0">
        <w:rPr>
          <w:rFonts w:cs="Arial"/>
          <w:b/>
          <w:bCs/>
        </w:rPr>
        <w:t xml:space="preserve"> equation</w:t>
      </w:r>
    </w:p>
    <w:tbl>
      <w:tblPr>
        <w:tblW w:w="5000" w:type="pct"/>
        <w:tblLook w:val="04A0" w:firstRow="1" w:lastRow="0" w:firstColumn="1" w:lastColumn="0" w:noHBand="0" w:noVBand="1"/>
      </w:tblPr>
      <w:tblGrid>
        <w:gridCol w:w="8188"/>
        <w:gridCol w:w="815"/>
      </w:tblGrid>
      <w:tr w:rsidR="006B286D" w:rsidRPr="00B57B36" w14:paraId="73278275" w14:textId="77777777" w:rsidTr="00F8263D">
        <w:tc>
          <w:tcPr>
            <w:tcW w:w="8188" w:type="dxa"/>
            <w:shd w:val="clear" w:color="auto" w:fill="auto"/>
            <w:vAlign w:val="center"/>
          </w:tcPr>
          <w:p w14:paraId="59CADED1" w14:textId="701C7312" w:rsidR="006B286D" w:rsidRPr="00D0304D" w:rsidRDefault="006B286D" w:rsidP="00F8263D">
            <w:pPr>
              <w:pStyle w:val="CETEquation"/>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+x+</m:t>
                        </m:r>
                        <m:sSub>
                          <m:sSubPr>
                            <m:ctrlPr>
                              <w:rPr>
                                <w:rFonts w:ascii="Cambria Math" w:hAnsi="Cambria Math"/>
                                <w:i/>
                              </w:rPr>
                            </m:ctrlPr>
                          </m:sSubPr>
                          <m:e>
                            <m:r>
                              <w:rPr>
                                <w:rFonts w:ascii="Cambria Math" w:hAnsi="Cambria Math"/>
                              </w:rPr>
                              <m:t>k</m:t>
                            </m:r>
                          </m:e>
                          <m:sub>
                            <m:r>
                              <w:rPr>
                                <w:rFonts w:ascii="Cambria Math" w:hAnsi="Cambria Math"/>
                              </w:rPr>
                              <m:t>1</m:t>
                            </m:r>
                          </m:sub>
                        </m:sSub>
                      </m:den>
                    </m:f>
                  </m:e>
                </m:d>
              </m:oMath>
            </m:oMathPara>
          </w:p>
        </w:tc>
        <w:tc>
          <w:tcPr>
            <w:tcW w:w="815" w:type="dxa"/>
            <w:shd w:val="clear" w:color="auto" w:fill="auto"/>
            <w:vAlign w:val="center"/>
          </w:tcPr>
          <w:p w14:paraId="56D2E1A6" w14:textId="67C20D2C" w:rsidR="006B286D" w:rsidRPr="00B57B36" w:rsidRDefault="006B286D" w:rsidP="00F8263D">
            <w:pPr>
              <w:pStyle w:val="CETEquation"/>
              <w:jc w:val="right"/>
            </w:pPr>
            <w:r w:rsidRPr="00B57B36">
              <w:t>(</w:t>
            </w:r>
            <w:r w:rsidR="003F4ED9">
              <w:t>2</w:t>
            </w:r>
            <w:r w:rsidRPr="00B57B36">
              <w:t>)</w:t>
            </w:r>
          </w:p>
        </w:tc>
      </w:tr>
    </w:tbl>
    <w:p w14:paraId="394AE499" w14:textId="78205A59" w:rsidR="00CF7CB8" w:rsidRDefault="008C6EEE" w:rsidP="008C6EEE">
      <w:pPr>
        <w:pStyle w:val="CETBodytext"/>
        <w:rPr>
          <w:rFonts w:cs="Arial"/>
        </w:rPr>
      </w:pPr>
      <w:r>
        <w:rPr>
          <w:rFonts w:ascii="Cambria Math" w:hAnsi="Cambria Math" w:cs="Cambria Math"/>
        </w:rPr>
        <w:t>𝑘</w:t>
      </w:r>
      <w:r>
        <w:rPr>
          <w:rFonts w:ascii="Cambria Math" w:hAnsi="Cambria Math" w:cs="Cambria Math"/>
          <w:vertAlign w:val="subscript"/>
        </w:rPr>
        <w:t>1</w:t>
      </w:r>
      <w:r>
        <w:rPr>
          <w:rFonts w:ascii="Cambria Math" w:hAnsi="Cambria Math" w:cs="Cambria Math"/>
        </w:rPr>
        <w:t xml:space="preserve"> </w:t>
      </w:r>
      <w:r w:rsidRPr="003C71FD">
        <w:rPr>
          <w:rFonts w:cs="Arial"/>
        </w:rPr>
        <w:t xml:space="preserve">= </w:t>
      </w:r>
      <w:r w:rsidR="00F04A9C">
        <w:rPr>
          <w:rFonts w:cs="Arial"/>
        </w:rPr>
        <w:t>Haldane’s growth kinetic inhibition coefficient</w:t>
      </w:r>
      <w:r>
        <w:rPr>
          <w:rFonts w:cs="Arial"/>
        </w:rPr>
        <w:t xml:space="preserve"> </w:t>
      </w:r>
      <w:r w:rsidRPr="003C71FD">
        <w:rPr>
          <w:rFonts w:cs="Arial"/>
        </w:rPr>
        <w:t>(g/L)</w:t>
      </w:r>
    </w:p>
    <w:p w14:paraId="2868742D" w14:textId="77777777" w:rsidR="00CF7CB8" w:rsidRDefault="00CF7CB8" w:rsidP="008F0451">
      <w:pPr>
        <w:pStyle w:val="CETBodytext"/>
        <w:rPr>
          <w:rFonts w:cs="Arial"/>
        </w:rPr>
      </w:pPr>
    </w:p>
    <w:p w14:paraId="4FDFABD1" w14:textId="2DA6F389" w:rsidR="001A756A" w:rsidRPr="00683DFE" w:rsidRDefault="001A756A" w:rsidP="001A756A">
      <w:pPr>
        <w:pStyle w:val="CETBodytext"/>
        <w:rPr>
          <w:rFonts w:cs="Arial"/>
          <w:b/>
          <w:bCs/>
        </w:rPr>
      </w:pPr>
      <w:r w:rsidRPr="00683DFE">
        <w:rPr>
          <w:rFonts w:cs="Arial"/>
          <w:b/>
          <w:bCs/>
        </w:rPr>
        <w:t>H</w:t>
      </w:r>
      <w:r w:rsidR="00B510B8" w:rsidRPr="00683DFE">
        <w:rPr>
          <w:rFonts w:cs="Arial"/>
          <w:b/>
          <w:bCs/>
        </w:rPr>
        <w:t>inshelwood</w:t>
      </w:r>
      <w:r w:rsidR="00466DD1">
        <w:rPr>
          <w:rFonts w:cs="Arial"/>
          <w:b/>
          <w:bCs/>
        </w:rPr>
        <w:t xml:space="preserve"> equation</w:t>
      </w:r>
    </w:p>
    <w:tbl>
      <w:tblPr>
        <w:tblW w:w="5000" w:type="pct"/>
        <w:tblLook w:val="04A0" w:firstRow="1" w:lastRow="0" w:firstColumn="1" w:lastColumn="0" w:noHBand="0" w:noVBand="1"/>
      </w:tblPr>
      <w:tblGrid>
        <w:gridCol w:w="8188"/>
        <w:gridCol w:w="815"/>
      </w:tblGrid>
      <w:tr w:rsidR="001A756A" w:rsidRPr="00B57B36" w14:paraId="2C13B13D" w14:textId="77777777" w:rsidTr="00F8263D">
        <w:tc>
          <w:tcPr>
            <w:tcW w:w="8188" w:type="dxa"/>
            <w:shd w:val="clear" w:color="auto" w:fill="auto"/>
            <w:vAlign w:val="center"/>
          </w:tcPr>
          <w:p w14:paraId="52CF5567" w14:textId="29B29D9E" w:rsidR="001A756A" w:rsidRPr="00D0304D" w:rsidRDefault="001A756A" w:rsidP="00F8263D">
            <w:pPr>
              <w:pStyle w:val="CETEquation"/>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max</m:t>
                    </m:r>
                  </m:sub>
                </m:sSub>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+x</m:t>
                        </m:r>
                      </m:den>
                    </m:f>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P</m:t>
                    </m:r>
                  </m:e>
                </m:d>
              </m:oMath>
            </m:oMathPara>
          </w:p>
        </w:tc>
        <w:tc>
          <w:tcPr>
            <w:tcW w:w="815" w:type="dxa"/>
            <w:shd w:val="clear" w:color="auto" w:fill="auto"/>
            <w:vAlign w:val="center"/>
          </w:tcPr>
          <w:p w14:paraId="770C4082" w14:textId="07E2661C" w:rsidR="001A756A" w:rsidRPr="00B57B36" w:rsidRDefault="001A756A" w:rsidP="00F8263D">
            <w:pPr>
              <w:pStyle w:val="CETEquation"/>
              <w:jc w:val="right"/>
            </w:pPr>
            <w:r w:rsidRPr="00B57B36">
              <w:t>(</w:t>
            </w:r>
            <w:r w:rsidR="00541884">
              <w:t>3</w:t>
            </w:r>
            <w:r w:rsidRPr="00B57B36">
              <w:t>)</w:t>
            </w:r>
          </w:p>
        </w:tc>
      </w:tr>
    </w:tbl>
    <w:p w14:paraId="6A5F8AFB" w14:textId="5C38488C" w:rsidR="001A756A" w:rsidRDefault="001A756A" w:rsidP="001A756A">
      <w:pPr>
        <w:pStyle w:val="CETBodytext"/>
        <w:rPr>
          <w:rFonts w:cs="Arial"/>
        </w:rPr>
      </w:pPr>
      <w:r>
        <w:rPr>
          <w:rFonts w:ascii="Cambria Math" w:hAnsi="Cambria Math" w:cs="Cambria Math"/>
        </w:rPr>
        <w:t>𝑘</w:t>
      </w:r>
      <w:r w:rsidR="009D55D4">
        <w:rPr>
          <w:rFonts w:ascii="Cambria Math" w:hAnsi="Cambria Math" w:cs="Cambria Math"/>
          <w:vertAlign w:val="subscript"/>
        </w:rPr>
        <w:t>p</w:t>
      </w:r>
      <w:r>
        <w:rPr>
          <w:rFonts w:ascii="Cambria Math" w:hAnsi="Cambria Math" w:cs="Cambria Math"/>
        </w:rPr>
        <w:t xml:space="preserve"> </w:t>
      </w:r>
      <w:r w:rsidRPr="003C71FD">
        <w:rPr>
          <w:rFonts w:cs="Arial"/>
        </w:rPr>
        <w:t xml:space="preserve">= </w:t>
      </w:r>
      <w:r w:rsidR="00520305">
        <w:rPr>
          <w:rFonts w:cs="Arial"/>
        </w:rPr>
        <w:t>Propagation coefficient</w:t>
      </w:r>
      <w:r w:rsidR="00B132B4">
        <w:rPr>
          <w:rFonts w:cs="Arial"/>
        </w:rPr>
        <w:t xml:space="preserve"> </w:t>
      </w:r>
      <w:r w:rsidRPr="003C71FD">
        <w:rPr>
          <w:rFonts w:cs="Arial"/>
        </w:rPr>
        <w:t>(g/L)</w:t>
      </w:r>
    </w:p>
    <w:p w14:paraId="57D9AA75" w14:textId="546D1CC6" w:rsidR="00B46C5F" w:rsidRDefault="00B46C5F" w:rsidP="008F0451">
      <w:pPr>
        <w:pStyle w:val="CETBodytext"/>
        <w:rPr>
          <w:rFonts w:cs="Arial"/>
        </w:rPr>
      </w:pPr>
    </w:p>
    <w:p w14:paraId="70112F7A" w14:textId="72563AA6" w:rsidR="00C70554" w:rsidRPr="00D6460F" w:rsidRDefault="00C4340D" w:rsidP="00C70554">
      <w:pPr>
        <w:pStyle w:val="CETBodytext"/>
        <w:rPr>
          <w:lang w:eastAsia="es-CO"/>
        </w:rPr>
      </w:pPr>
      <w:r w:rsidRPr="00C4340D">
        <w:rPr>
          <w:lang w:eastAsia="es-CO"/>
        </w:rPr>
        <w:t xml:space="preserve">According to the results, the three models showed a good fit, </w:t>
      </w:r>
      <w:r>
        <w:rPr>
          <w:lang w:eastAsia="es-CO"/>
        </w:rPr>
        <w:t xml:space="preserve">with </w:t>
      </w:r>
      <w:r w:rsidRPr="00C4340D">
        <w:rPr>
          <w:lang w:eastAsia="es-CO"/>
        </w:rPr>
        <w:t>R</w:t>
      </w:r>
      <w:r w:rsidRPr="00C4340D">
        <w:rPr>
          <w:vertAlign w:val="superscript"/>
          <w:lang w:eastAsia="es-CO"/>
        </w:rPr>
        <w:t>2</w:t>
      </w:r>
      <w:r w:rsidRPr="00C4340D">
        <w:rPr>
          <w:lang w:eastAsia="es-CO"/>
        </w:rPr>
        <w:t xml:space="preserve"> values ​​between 0.90 and 0.97 </w:t>
      </w:r>
      <w:r>
        <w:rPr>
          <w:lang w:eastAsia="es-CO"/>
        </w:rPr>
        <w:t>(see Table 2).</w:t>
      </w:r>
      <w:r w:rsidR="00751FDE">
        <w:rPr>
          <w:lang w:eastAsia="es-CO"/>
        </w:rPr>
        <w:t xml:space="preserve"> </w:t>
      </w:r>
      <w:r w:rsidR="00751FDE" w:rsidRPr="00751FDE">
        <w:rPr>
          <w:lang w:eastAsia="es-CO"/>
        </w:rPr>
        <w:t>The Monod model showed greater predictive capacity with R</w:t>
      </w:r>
      <w:r w:rsidR="00751FDE" w:rsidRPr="00B37ADE">
        <w:rPr>
          <w:vertAlign w:val="superscript"/>
          <w:lang w:eastAsia="es-CO"/>
        </w:rPr>
        <w:t>2</w:t>
      </w:r>
      <w:r w:rsidR="00B37ADE">
        <w:rPr>
          <w:lang w:eastAsia="es-CO"/>
        </w:rPr>
        <w:t xml:space="preserve"> </w:t>
      </w:r>
      <w:r w:rsidR="00751FDE" w:rsidRPr="00751FDE">
        <w:rPr>
          <w:lang w:eastAsia="es-CO"/>
        </w:rPr>
        <w:t>= 0.97, which indicates that this model is adequate to predict the parameters calculated based on the real data obtained.</w:t>
      </w:r>
      <w:r w:rsidR="00D6460F">
        <w:rPr>
          <w:lang w:eastAsia="es-CO"/>
        </w:rPr>
        <w:t xml:space="preserve"> </w:t>
      </w:r>
      <w:r w:rsidR="00BD0616" w:rsidRPr="00BD0616">
        <w:rPr>
          <w:lang w:eastAsia="es-CO"/>
        </w:rPr>
        <w:t xml:space="preserve">The main advantage of the Monod model </w:t>
      </w:r>
      <w:r w:rsidR="00126417">
        <w:rPr>
          <w:lang w:eastAsia="es-CO"/>
        </w:rPr>
        <w:t xml:space="preserve">is </w:t>
      </w:r>
      <w:r w:rsidR="00BD0616">
        <w:rPr>
          <w:lang w:eastAsia="es-CO"/>
        </w:rPr>
        <w:t xml:space="preserve">its </w:t>
      </w:r>
      <w:r w:rsidR="00BD0616" w:rsidRPr="00BD0616">
        <w:rPr>
          <w:lang w:eastAsia="es-CO"/>
        </w:rPr>
        <w:t>ability to satisfactorily fit the curved forms of fungus germination.</w:t>
      </w:r>
      <w:r w:rsidR="00C70554">
        <w:rPr>
          <w:lang w:val="es-CO" w:eastAsia="es-CO"/>
        </w:rPr>
        <w:t xml:space="preserve"> </w:t>
      </w:r>
      <w:r w:rsidR="00C70554" w:rsidRPr="00C70554">
        <w:rPr>
          <w:lang w:eastAsia="es-CO"/>
        </w:rPr>
        <w:t>Based on these results, it is possible to affirm that there is an affinity of the fungus towards the tire and, in turn, the growth of the fungus is due to a greater consumption of substrate.</w:t>
      </w:r>
    </w:p>
    <w:p w14:paraId="41A1ECAC" w14:textId="263873CB" w:rsidR="000D71D3" w:rsidRPr="00B57B36" w:rsidRDefault="000D71D3" w:rsidP="000D71D3">
      <w:pPr>
        <w:pStyle w:val="CETTabletitle"/>
      </w:pPr>
      <w:r w:rsidRPr="00B57B36">
        <w:t xml:space="preserve">Table </w:t>
      </w:r>
      <w:r>
        <w:t>2</w:t>
      </w:r>
      <w:r w:rsidRPr="00B57B36">
        <w:t xml:space="preserve">: </w:t>
      </w:r>
      <w:r w:rsidR="00DF588B">
        <w:t>Mathematical model fit values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tblGrid>
      <w:tr w:rsidR="000D71D3" w:rsidRPr="00B57B36" w14:paraId="736D0A9B" w14:textId="77777777" w:rsidTr="00C227A8">
        <w:tc>
          <w:tcPr>
            <w:tcW w:w="1134" w:type="dxa"/>
            <w:tcBorders>
              <w:top w:val="single" w:sz="12" w:space="0" w:color="008000"/>
              <w:bottom w:val="single" w:sz="6" w:space="0" w:color="008000"/>
            </w:tcBorders>
            <w:shd w:val="clear" w:color="auto" w:fill="FFFFFF"/>
            <w:vAlign w:val="center"/>
          </w:tcPr>
          <w:p w14:paraId="7C015D5E" w14:textId="677B0D18" w:rsidR="000D71D3" w:rsidRPr="00B57B36" w:rsidRDefault="007D430E" w:rsidP="00C227A8">
            <w:pPr>
              <w:pStyle w:val="CETBodytext"/>
              <w:jc w:val="center"/>
              <w:rPr>
                <w:lang w:val="en-GB"/>
              </w:rPr>
            </w:pPr>
            <w:r>
              <w:rPr>
                <w:lang w:val="en-GB"/>
              </w:rPr>
              <w:t>Model</w:t>
            </w:r>
          </w:p>
        </w:tc>
        <w:tc>
          <w:tcPr>
            <w:tcW w:w="1134" w:type="dxa"/>
            <w:tcBorders>
              <w:top w:val="single" w:sz="12" w:space="0" w:color="008000"/>
              <w:bottom w:val="single" w:sz="6" w:space="0" w:color="008000"/>
            </w:tcBorders>
            <w:shd w:val="clear" w:color="auto" w:fill="FFFFFF"/>
            <w:vAlign w:val="center"/>
          </w:tcPr>
          <w:p w14:paraId="5B67EC03" w14:textId="4BAE2FCD" w:rsidR="000D71D3" w:rsidRPr="00B57B36" w:rsidRDefault="007D430E" w:rsidP="00C227A8">
            <w:pPr>
              <w:pStyle w:val="CETBodytext"/>
              <w:jc w:val="center"/>
              <w:rPr>
                <w:lang w:val="en-GB"/>
              </w:rPr>
            </w:pPr>
            <w:r>
              <w:rPr>
                <w:lang w:val="en-GB"/>
              </w:rPr>
              <w:t>R</w:t>
            </w:r>
            <w:r w:rsidRPr="007D430E">
              <w:rPr>
                <w:vertAlign w:val="superscript"/>
                <w:lang w:val="en-GB"/>
              </w:rPr>
              <w:t>2</w:t>
            </w:r>
          </w:p>
        </w:tc>
        <w:tc>
          <w:tcPr>
            <w:tcW w:w="1134" w:type="dxa"/>
            <w:tcBorders>
              <w:top w:val="single" w:sz="12" w:space="0" w:color="008000"/>
              <w:bottom w:val="single" w:sz="6" w:space="0" w:color="008000"/>
            </w:tcBorders>
            <w:shd w:val="clear" w:color="auto" w:fill="FFFFFF"/>
            <w:vAlign w:val="center"/>
          </w:tcPr>
          <w:p w14:paraId="3CD61B83" w14:textId="2E2B3B59" w:rsidR="000D71D3" w:rsidRPr="00B57B36" w:rsidRDefault="00223239" w:rsidP="00C227A8">
            <w:pPr>
              <w:pStyle w:val="CETBodytext"/>
              <w:jc w:val="center"/>
              <w:rPr>
                <w:lang w:val="en-GB"/>
              </w:rPr>
            </w:pPr>
            <w:r>
              <w:rPr>
                <w:lang w:val="en-GB"/>
              </w:rPr>
              <w:t xml:space="preserve">Adjusted </w:t>
            </w:r>
            <w:r w:rsidR="007D430E">
              <w:rPr>
                <w:lang w:val="en-GB"/>
              </w:rPr>
              <w:t>R</w:t>
            </w:r>
            <w:r w:rsidR="007D430E" w:rsidRPr="007D430E">
              <w:rPr>
                <w:vertAlign w:val="superscript"/>
                <w:lang w:val="en-GB"/>
              </w:rPr>
              <w:t>2</w:t>
            </w:r>
          </w:p>
        </w:tc>
        <w:tc>
          <w:tcPr>
            <w:tcW w:w="1134" w:type="dxa"/>
            <w:tcBorders>
              <w:top w:val="single" w:sz="12" w:space="0" w:color="008000"/>
              <w:bottom w:val="single" w:sz="6" w:space="0" w:color="008000"/>
            </w:tcBorders>
            <w:shd w:val="clear" w:color="auto" w:fill="FFFFFF"/>
            <w:vAlign w:val="center"/>
          </w:tcPr>
          <w:p w14:paraId="7CEA440E" w14:textId="37BF7977" w:rsidR="000D71D3" w:rsidRPr="00B57B36" w:rsidRDefault="007D430E" w:rsidP="00C227A8">
            <w:pPr>
              <w:pStyle w:val="CETBodytext"/>
              <w:ind w:right="-1"/>
              <w:jc w:val="center"/>
              <w:rPr>
                <w:rFonts w:cs="Arial"/>
                <w:szCs w:val="18"/>
                <w:lang w:val="en-GB"/>
              </w:rPr>
            </w:pPr>
            <w:r>
              <w:rPr>
                <w:rFonts w:cs="Arial"/>
                <w:szCs w:val="18"/>
                <w:lang w:val="en-GB"/>
              </w:rPr>
              <w:t>RMSE</w:t>
            </w:r>
          </w:p>
        </w:tc>
        <w:tc>
          <w:tcPr>
            <w:tcW w:w="1134" w:type="dxa"/>
            <w:tcBorders>
              <w:top w:val="single" w:sz="12" w:space="0" w:color="008000"/>
              <w:bottom w:val="single" w:sz="6" w:space="0" w:color="008000"/>
            </w:tcBorders>
            <w:shd w:val="clear" w:color="auto" w:fill="FFFFFF"/>
            <w:vAlign w:val="center"/>
          </w:tcPr>
          <w:p w14:paraId="4241DAA0" w14:textId="30B9737A" w:rsidR="000D71D3" w:rsidRPr="00B57B36" w:rsidRDefault="007D430E" w:rsidP="00C227A8">
            <w:pPr>
              <w:pStyle w:val="CETBodytext"/>
              <w:ind w:right="-1"/>
              <w:jc w:val="center"/>
              <w:rPr>
                <w:rFonts w:cs="Arial"/>
                <w:szCs w:val="18"/>
                <w:lang w:val="en-GB"/>
              </w:rPr>
            </w:pPr>
            <w:r>
              <w:rPr>
                <w:rFonts w:cs="Arial"/>
                <w:szCs w:val="18"/>
                <w:lang w:val="en-GB"/>
              </w:rPr>
              <w:t>SSE</w:t>
            </w:r>
          </w:p>
        </w:tc>
      </w:tr>
      <w:tr w:rsidR="000D71D3" w:rsidRPr="00B57B36" w14:paraId="1F37AABA" w14:textId="77777777" w:rsidTr="00C227A8">
        <w:tc>
          <w:tcPr>
            <w:tcW w:w="1134" w:type="dxa"/>
            <w:shd w:val="clear" w:color="auto" w:fill="FFFFFF"/>
            <w:vAlign w:val="center"/>
          </w:tcPr>
          <w:p w14:paraId="393CDE63" w14:textId="1430F395" w:rsidR="000D71D3" w:rsidRPr="00B57B36" w:rsidRDefault="00ED5350" w:rsidP="00C227A8">
            <w:pPr>
              <w:pStyle w:val="CETBodytext"/>
              <w:jc w:val="center"/>
              <w:rPr>
                <w:lang w:val="en-GB"/>
              </w:rPr>
            </w:pPr>
            <w:r>
              <w:rPr>
                <w:lang w:val="en-GB"/>
              </w:rPr>
              <w:t>Monod</w:t>
            </w:r>
          </w:p>
        </w:tc>
        <w:tc>
          <w:tcPr>
            <w:tcW w:w="1134" w:type="dxa"/>
            <w:shd w:val="clear" w:color="auto" w:fill="FFFFFF"/>
            <w:vAlign w:val="center"/>
          </w:tcPr>
          <w:p w14:paraId="6F2C3C07" w14:textId="7A90303D" w:rsidR="000D71D3" w:rsidRPr="00B57B36" w:rsidRDefault="001B283A" w:rsidP="00C227A8">
            <w:pPr>
              <w:pStyle w:val="CETBodytext"/>
              <w:jc w:val="center"/>
              <w:rPr>
                <w:lang w:val="en-GB"/>
              </w:rPr>
            </w:pPr>
            <w:r>
              <w:rPr>
                <w:lang w:val="en-GB"/>
              </w:rPr>
              <w:t>0.97</w:t>
            </w:r>
          </w:p>
        </w:tc>
        <w:tc>
          <w:tcPr>
            <w:tcW w:w="1134" w:type="dxa"/>
            <w:shd w:val="clear" w:color="auto" w:fill="FFFFFF"/>
            <w:vAlign w:val="center"/>
          </w:tcPr>
          <w:p w14:paraId="0F07BE00" w14:textId="571BF59D" w:rsidR="000D71D3" w:rsidRPr="00B57B36" w:rsidRDefault="005F6314" w:rsidP="00C227A8">
            <w:pPr>
              <w:pStyle w:val="CETBodytext"/>
              <w:jc w:val="center"/>
              <w:rPr>
                <w:lang w:val="en-GB"/>
              </w:rPr>
            </w:pPr>
            <w:r>
              <w:rPr>
                <w:lang w:val="en-GB"/>
              </w:rPr>
              <w:t>0.83</w:t>
            </w:r>
          </w:p>
        </w:tc>
        <w:tc>
          <w:tcPr>
            <w:tcW w:w="1134" w:type="dxa"/>
            <w:shd w:val="clear" w:color="auto" w:fill="FFFFFF"/>
            <w:vAlign w:val="center"/>
          </w:tcPr>
          <w:p w14:paraId="3710B761" w14:textId="6AA8A76E" w:rsidR="000D71D3" w:rsidRPr="00B57B36" w:rsidRDefault="00234A5C" w:rsidP="00C227A8">
            <w:pPr>
              <w:pStyle w:val="CETBodytext"/>
              <w:ind w:right="-1"/>
              <w:jc w:val="center"/>
              <w:rPr>
                <w:rFonts w:cs="Arial"/>
                <w:szCs w:val="18"/>
                <w:lang w:val="en-GB"/>
              </w:rPr>
            </w:pPr>
            <w:r>
              <w:rPr>
                <w:rFonts w:cs="Arial"/>
                <w:szCs w:val="18"/>
                <w:lang w:val="en-GB"/>
              </w:rPr>
              <w:t>0.06</w:t>
            </w:r>
          </w:p>
        </w:tc>
        <w:tc>
          <w:tcPr>
            <w:tcW w:w="1134" w:type="dxa"/>
            <w:shd w:val="clear" w:color="auto" w:fill="FFFFFF"/>
            <w:vAlign w:val="center"/>
          </w:tcPr>
          <w:p w14:paraId="1757D29E" w14:textId="2A9522F0" w:rsidR="000D71D3" w:rsidRPr="00B57B36" w:rsidRDefault="00234A5C" w:rsidP="00C227A8">
            <w:pPr>
              <w:pStyle w:val="CETBodytext"/>
              <w:ind w:right="-1"/>
              <w:jc w:val="center"/>
              <w:rPr>
                <w:rFonts w:cs="Arial"/>
                <w:szCs w:val="18"/>
                <w:lang w:val="en-GB"/>
              </w:rPr>
            </w:pPr>
            <w:r>
              <w:rPr>
                <w:rFonts w:cs="Arial"/>
                <w:szCs w:val="18"/>
                <w:lang w:val="en-GB"/>
              </w:rPr>
              <w:t>0.02</w:t>
            </w:r>
          </w:p>
        </w:tc>
      </w:tr>
      <w:tr w:rsidR="000D71D3" w:rsidRPr="00B57B36" w14:paraId="1FDC0B98" w14:textId="77777777" w:rsidTr="00C227A8">
        <w:tc>
          <w:tcPr>
            <w:tcW w:w="1134" w:type="dxa"/>
            <w:shd w:val="clear" w:color="auto" w:fill="FFFFFF"/>
            <w:vAlign w:val="center"/>
          </w:tcPr>
          <w:p w14:paraId="359D654E" w14:textId="69BD93F6" w:rsidR="000D71D3" w:rsidRPr="00B57B36" w:rsidRDefault="00ED5350" w:rsidP="00C227A8">
            <w:pPr>
              <w:pStyle w:val="CETBodytext"/>
              <w:ind w:right="-1"/>
              <w:jc w:val="center"/>
              <w:rPr>
                <w:rFonts w:cs="Arial"/>
                <w:szCs w:val="18"/>
                <w:lang w:val="en-GB"/>
              </w:rPr>
            </w:pPr>
            <w:r>
              <w:rPr>
                <w:rFonts w:cs="Arial"/>
                <w:szCs w:val="18"/>
                <w:lang w:val="en-GB"/>
              </w:rPr>
              <w:t>Haldane</w:t>
            </w:r>
          </w:p>
        </w:tc>
        <w:tc>
          <w:tcPr>
            <w:tcW w:w="1134" w:type="dxa"/>
            <w:shd w:val="clear" w:color="auto" w:fill="FFFFFF"/>
            <w:vAlign w:val="center"/>
          </w:tcPr>
          <w:p w14:paraId="724442F7" w14:textId="6E610732" w:rsidR="000D71D3" w:rsidRPr="00B57B36" w:rsidRDefault="001B283A" w:rsidP="00C227A8">
            <w:pPr>
              <w:pStyle w:val="CETBodytext"/>
              <w:ind w:right="-1"/>
              <w:jc w:val="center"/>
              <w:rPr>
                <w:rFonts w:cs="Arial"/>
                <w:szCs w:val="18"/>
                <w:lang w:val="en-GB"/>
              </w:rPr>
            </w:pPr>
            <w:r>
              <w:rPr>
                <w:rFonts w:cs="Arial"/>
                <w:szCs w:val="18"/>
                <w:lang w:val="en-GB"/>
              </w:rPr>
              <w:t>0.90</w:t>
            </w:r>
          </w:p>
        </w:tc>
        <w:tc>
          <w:tcPr>
            <w:tcW w:w="1134" w:type="dxa"/>
            <w:shd w:val="clear" w:color="auto" w:fill="FFFFFF"/>
            <w:vAlign w:val="center"/>
          </w:tcPr>
          <w:p w14:paraId="3FC9F192" w14:textId="26A5C4A1" w:rsidR="000D71D3" w:rsidRPr="00B57B36" w:rsidRDefault="005F6314" w:rsidP="00C227A8">
            <w:pPr>
              <w:pStyle w:val="CETBodytext"/>
              <w:ind w:right="-1"/>
              <w:jc w:val="center"/>
              <w:rPr>
                <w:rFonts w:cs="Arial"/>
                <w:szCs w:val="18"/>
                <w:lang w:val="en-GB"/>
              </w:rPr>
            </w:pPr>
            <w:r>
              <w:rPr>
                <w:rFonts w:cs="Arial"/>
                <w:szCs w:val="18"/>
                <w:lang w:val="en-GB"/>
              </w:rPr>
              <w:t>0.88</w:t>
            </w:r>
          </w:p>
        </w:tc>
        <w:tc>
          <w:tcPr>
            <w:tcW w:w="1134" w:type="dxa"/>
            <w:shd w:val="clear" w:color="auto" w:fill="FFFFFF"/>
            <w:vAlign w:val="center"/>
          </w:tcPr>
          <w:p w14:paraId="414540FC" w14:textId="32986AEC" w:rsidR="000D71D3" w:rsidRPr="00B57B36" w:rsidRDefault="00234A5C" w:rsidP="00C227A8">
            <w:pPr>
              <w:pStyle w:val="CETBodytext"/>
              <w:ind w:right="-1"/>
              <w:jc w:val="center"/>
              <w:rPr>
                <w:rFonts w:cs="Arial"/>
                <w:szCs w:val="18"/>
                <w:lang w:val="en-GB"/>
              </w:rPr>
            </w:pPr>
            <w:r>
              <w:rPr>
                <w:rFonts w:cs="Arial"/>
                <w:szCs w:val="18"/>
                <w:lang w:val="en-GB"/>
              </w:rPr>
              <w:t>0.05</w:t>
            </w:r>
          </w:p>
        </w:tc>
        <w:tc>
          <w:tcPr>
            <w:tcW w:w="1134" w:type="dxa"/>
            <w:shd w:val="clear" w:color="auto" w:fill="FFFFFF"/>
            <w:vAlign w:val="center"/>
          </w:tcPr>
          <w:p w14:paraId="18DAE050" w14:textId="7E86512B" w:rsidR="000D71D3" w:rsidRPr="00B57B36" w:rsidRDefault="00234A5C" w:rsidP="00C227A8">
            <w:pPr>
              <w:pStyle w:val="CETBodytext"/>
              <w:ind w:right="-1"/>
              <w:jc w:val="center"/>
              <w:rPr>
                <w:rFonts w:cs="Arial"/>
                <w:szCs w:val="18"/>
                <w:lang w:val="en-GB"/>
              </w:rPr>
            </w:pPr>
            <w:r>
              <w:rPr>
                <w:rFonts w:cs="Arial"/>
                <w:szCs w:val="18"/>
                <w:lang w:val="en-GB"/>
              </w:rPr>
              <w:t>0.01</w:t>
            </w:r>
          </w:p>
        </w:tc>
      </w:tr>
      <w:tr w:rsidR="00ED5350" w:rsidRPr="00B57B36" w14:paraId="2EB6A6BB" w14:textId="77777777" w:rsidTr="00C227A8">
        <w:tc>
          <w:tcPr>
            <w:tcW w:w="1134" w:type="dxa"/>
            <w:shd w:val="clear" w:color="auto" w:fill="FFFFFF"/>
            <w:vAlign w:val="center"/>
          </w:tcPr>
          <w:p w14:paraId="2B720658" w14:textId="2B3F89F1" w:rsidR="00ED5350" w:rsidRDefault="00ED5350" w:rsidP="00C227A8">
            <w:pPr>
              <w:pStyle w:val="CETBodytext"/>
              <w:ind w:right="-1"/>
              <w:jc w:val="center"/>
              <w:rPr>
                <w:rFonts w:cs="Arial"/>
                <w:szCs w:val="18"/>
                <w:lang w:val="en-GB"/>
              </w:rPr>
            </w:pPr>
            <w:r>
              <w:rPr>
                <w:rFonts w:cs="Arial"/>
                <w:szCs w:val="18"/>
                <w:lang w:val="en-GB"/>
              </w:rPr>
              <w:t>Hinshelwood</w:t>
            </w:r>
          </w:p>
        </w:tc>
        <w:tc>
          <w:tcPr>
            <w:tcW w:w="1134" w:type="dxa"/>
            <w:shd w:val="clear" w:color="auto" w:fill="FFFFFF"/>
            <w:vAlign w:val="center"/>
          </w:tcPr>
          <w:p w14:paraId="506A327A" w14:textId="72468523" w:rsidR="00ED5350" w:rsidRPr="00B57B36" w:rsidRDefault="001B283A" w:rsidP="00C227A8">
            <w:pPr>
              <w:pStyle w:val="CETBodytext"/>
              <w:ind w:right="-1"/>
              <w:jc w:val="center"/>
              <w:rPr>
                <w:rFonts w:cs="Arial"/>
                <w:szCs w:val="18"/>
                <w:lang w:val="en-GB"/>
              </w:rPr>
            </w:pPr>
            <w:r>
              <w:rPr>
                <w:rFonts w:cs="Arial"/>
                <w:szCs w:val="18"/>
                <w:lang w:val="en-GB"/>
              </w:rPr>
              <w:t>0.97</w:t>
            </w:r>
          </w:p>
        </w:tc>
        <w:tc>
          <w:tcPr>
            <w:tcW w:w="1134" w:type="dxa"/>
            <w:shd w:val="clear" w:color="auto" w:fill="FFFFFF"/>
            <w:vAlign w:val="center"/>
          </w:tcPr>
          <w:p w14:paraId="151F5F15" w14:textId="118211B7" w:rsidR="00ED5350" w:rsidRPr="00B57B36" w:rsidRDefault="005F6314" w:rsidP="00C227A8">
            <w:pPr>
              <w:pStyle w:val="CETBodytext"/>
              <w:ind w:right="-1"/>
              <w:jc w:val="center"/>
              <w:rPr>
                <w:rFonts w:cs="Arial"/>
                <w:szCs w:val="18"/>
                <w:lang w:val="en-GB"/>
              </w:rPr>
            </w:pPr>
            <w:r>
              <w:rPr>
                <w:rFonts w:cs="Arial"/>
                <w:szCs w:val="18"/>
                <w:lang w:val="en-GB"/>
              </w:rPr>
              <w:t>0.72</w:t>
            </w:r>
          </w:p>
        </w:tc>
        <w:tc>
          <w:tcPr>
            <w:tcW w:w="1134" w:type="dxa"/>
            <w:shd w:val="clear" w:color="auto" w:fill="FFFFFF"/>
            <w:vAlign w:val="center"/>
          </w:tcPr>
          <w:p w14:paraId="6F8F61DF" w14:textId="249FC3C5" w:rsidR="00ED5350" w:rsidRPr="00B57B36" w:rsidRDefault="00234A5C" w:rsidP="00C227A8">
            <w:pPr>
              <w:pStyle w:val="CETBodytext"/>
              <w:ind w:right="-1"/>
              <w:jc w:val="center"/>
              <w:rPr>
                <w:rFonts w:cs="Arial"/>
                <w:szCs w:val="18"/>
                <w:lang w:val="en-GB"/>
              </w:rPr>
            </w:pPr>
            <w:r>
              <w:rPr>
                <w:rFonts w:cs="Arial"/>
                <w:szCs w:val="18"/>
                <w:lang w:val="en-GB"/>
              </w:rPr>
              <w:t>0.08</w:t>
            </w:r>
          </w:p>
        </w:tc>
        <w:tc>
          <w:tcPr>
            <w:tcW w:w="1134" w:type="dxa"/>
            <w:shd w:val="clear" w:color="auto" w:fill="FFFFFF"/>
            <w:vAlign w:val="center"/>
          </w:tcPr>
          <w:p w14:paraId="6AAA9F85" w14:textId="776C4F86" w:rsidR="00ED5350" w:rsidRPr="00B57B36" w:rsidRDefault="00234A5C" w:rsidP="00C227A8">
            <w:pPr>
              <w:pStyle w:val="CETBodytext"/>
              <w:ind w:right="-1"/>
              <w:jc w:val="center"/>
              <w:rPr>
                <w:rFonts w:cs="Arial"/>
                <w:szCs w:val="18"/>
                <w:lang w:val="en-GB"/>
              </w:rPr>
            </w:pPr>
            <w:r>
              <w:rPr>
                <w:rFonts w:cs="Arial"/>
                <w:szCs w:val="18"/>
                <w:lang w:val="en-GB"/>
              </w:rPr>
              <w:t>0.02</w:t>
            </w:r>
          </w:p>
        </w:tc>
      </w:tr>
    </w:tbl>
    <w:p w14:paraId="69EA27F3" w14:textId="77777777" w:rsidR="00FF61EF" w:rsidRDefault="00FF61EF" w:rsidP="00876352">
      <w:pPr>
        <w:pStyle w:val="CETBodytext"/>
      </w:pPr>
    </w:p>
    <w:p w14:paraId="14C3101A" w14:textId="433796CC" w:rsidR="00816037" w:rsidRPr="00816037" w:rsidRDefault="00170A58" w:rsidP="00816037">
      <w:pPr>
        <w:pStyle w:val="CETBodytext"/>
        <w:rPr>
          <w:lang w:eastAsia="es-CO"/>
        </w:rPr>
      </w:pPr>
      <w:r w:rsidRPr="00170A58">
        <w:rPr>
          <w:lang w:eastAsia="es-CO"/>
        </w:rPr>
        <w:t xml:space="preserve">Table 3 presents the coefficients of the models, which have in common the coefficient of </w:t>
      </w:r>
      <w:r w:rsidRPr="00876352">
        <w:rPr>
          <w:rFonts w:ascii="Cambria Math" w:hAnsi="Cambria Math" w:cs="Cambria Math"/>
        </w:rPr>
        <w:t>𝜇</w:t>
      </w:r>
      <w:r w:rsidRPr="002A51F6">
        <w:rPr>
          <w:rFonts w:ascii="Cambria Math" w:hAnsi="Cambria Math" w:cs="Cambria Math"/>
          <w:vertAlign w:val="subscript"/>
        </w:rPr>
        <w:t>𝑚𝑎𝑥</w:t>
      </w:r>
      <w:r w:rsidRPr="00170A58">
        <w:rPr>
          <w:lang w:eastAsia="es-CO"/>
        </w:rPr>
        <w:t xml:space="preserve"> defined as the maximum specific growth rate or maximum speed of biomass generation.</w:t>
      </w:r>
      <w:r w:rsidR="00816037">
        <w:rPr>
          <w:lang w:eastAsia="es-CO"/>
        </w:rPr>
        <w:t xml:space="preserve"> T</w:t>
      </w:r>
      <w:r w:rsidR="00816037" w:rsidRPr="00816037">
        <w:rPr>
          <w:lang w:eastAsia="es-CO"/>
        </w:rPr>
        <w:t xml:space="preserve">he values ​​of the constant </w:t>
      </w:r>
      <w:r w:rsidR="00816037" w:rsidRPr="00876352">
        <w:rPr>
          <w:rFonts w:ascii="Cambria Math" w:hAnsi="Cambria Math" w:cs="Cambria Math"/>
        </w:rPr>
        <w:t>𝜇</w:t>
      </w:r>
      <w:r w:rsidR="00816037" w:rsidRPr="002A51F6">
        <w:rPr>
          <w:rFonts w:ascii="Cambria Math" w:hAnsi="Cambria Math" w:cs="Cambria Math"/>
          <w:vertAlign w:val="subscript"/>
        </w:rPr>
        <w:t>𝑚𝑎𝑥</w:t>
      </w:r>
      <w:r w:rsidR="00816037" w:rsidRPr="00816037">
        <w:rPr>
          <w:lang w:eastAsia="es-CO"/>
        </w:rPr>
        <w:t xml:space="preserve"> are indicators of the potential of the tire to generate Fungi biomass.</w:t>
      </w:r>
      <w:r w:rsidR="004702C5">
        <w:rPr>
          <w:lang w:eastAsia="es-CO"/>
        </w:rPr>
        <w:t xml:space="preserve"> Since the saturation coefficient (</w:t>
      </w:r>
      <w:r w:rsidR="004702C5">
        <w:rPr>
          <w:rFonts w:ascii="Cambria Math" w:hAnsi="Cambria Math" w:cs="Cambria Math"/>
        </w:rPr>
        <w:t>𝑘</w:t>
      </w:r>
      <w:r w:rsidR="004702C5" w:rsidRPr="008F0451">
        <w:rPr>
          <w:rFonts w:ascii="Cambria Math" w:hAnsi="Cambria Math" w:cs="Cambria Math"/>
          <w:vertAlign w:val="subscript"/>
        </w:rPr>
        <w:t>𝑚</w:t>
      </w:r>
      <w:r w:rsidR="004702C5">
        <w:rPr>
          <w:lang w:eastAsia="es-CO"/>
        </w:rPr>
        <w:t>)</w:t>
      </w:r>
      <w:r w:rsidR="00427436">
        <w:rPr>
          <w:lang w:eastAsia="es-CO"/>
        </w:rPr>
        <w:t xml:space="preserve"> is lower than </w:t>
      </w:r>
      <w:r w:rsidR="00A805B4">
        <w:rPr>
          <w:lang w:eastAsia="es-CO"/>
        </w:rPr>
        <w:t xml:space="preserve">the substrate concentration, </w:t>
      </w:r>
      <w:r w:rsidR="00E8383C">
        <w:rPr>
          <w:lang w:eastAsia="es-CO"/>
        </w:rPr>
        <w:t>this suggests that as the fungus grows, it will consume more substrate.</w:t>
      </w:r>
    </w:p>
    <w:p w14:paraId="6BAB401D" w14:textId="63FC71F4" w:rsidR="00B768C6" w:rsidRPr="00B57B36" w:rsidRDefault="00B768C6" w:rsidP="00B768C6">
      <w:pPr>
        <w:pStyle w:val="CETTabletitle"/>
      </w:pPr>
      <w:r w:rsidRPr="00B57B36">
        <w:t xml:space="preserve">Table </w:t>
      </w:r>
      <w:r w:rsidR="00013D51">
        <w:t>3</w:t>
      </w:r>
      <w:r w:rsidRPr="00B57B36">
        <w:t xml:space="preserve">: </w:t>
      </w:r>
      <w:r w:rsidR="00013D51">
        <w:t>Par</w:t>
      </w:r>
      <w:r w:rsidR="0065513C">
        <w:t>ameters of the microbial germination models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tblGrid>
      <w:tr w:rsidR="003C6187" w:rsidRPr="00B57B36" w14:paraId="4D796872" w14:textId="298657BC" w:rsidTr="00716E81">
        <w:tc>
          <w:tcPr>
            <w:tcW w:w="1134" w:type="dxa"/>
            <w:tcBorders>
              <w:top w:val="single" w:sz="12" w:space="0" w:color="008000"/>
              <w:bottom w:val="single" w:sz="6" w:space="0" w:color="008000"/>
            </w:tcBorders>
            <w:shd w:val="clear" w:color="auto" w:fill="FFFFFF"/>
            <w:vAlign w:val="center"/>
          </w:tcPr>
          <w:p w14:paraId="23C78E40" w14:textId="45DB64FE" w:rsidR="003C6187" w:rsidRPr="00B57B36" w:rsidRDefault="003C6187" w:rsidP="00F8263D">
            <w:pPr>
              <w:pStyle w:val="CETBodytext"/>
              <w:jc w:val="center"/>
              <w:rPr>
                <w:lang w:val="en-GB"/>
              </w:rPr>
            </w:pPr>
            <w:r>
              <w:rPr>
                <w:lang w:val="en-GB"/>
              </w:rPr>
              <w:t>Model</w:t>
            </w:r>
          </w:p>
        </w:tc>
        <w:tc>
          <w:tcPr>
            <w:tcW w:w="1134" w:type="dxa"/>
            <w:tcBorders>
              <w:top w:val="single" w:sz="12" w:space="0" w:color="008000"/>
              <w:bottom w:val="single" w:sz="6" w:space="0" w:color="008000"/>
            </w:tcBorders>
            <w:shd w:val="clear" w:color="auto" w:fill="FFFFFF"/>
            <w:vAlign w:val="center"/>
          </w:tcPr>
          <w:p w14:paraId="39A8EE83" w14:textId="3AA6A7F4" w:rsidR="003C6187" w:rsidRPr="00B57B36" w:rsidRDefault="003C6187" w:rsidP="00F8263D">
            <w:pPr>
              <w:pStyle w:val="CETBodytext"/>
              <w:jc w:val="center"/>
              <w:rPr>
                <w:lang w:val="en-GB"/>
              </w:rPr>
            </w:pPr>
            <w:r>
              <w:rPr>
                <w:rFonts w:cs="Arial"/>
                <w:lang w:val="en-GB"/>
              </w:rPr>
              <w:t>µ</w:t>
            </w:r>
            <w:r w:rsidRPr="003C6187">
              <w:rPr>
                <w:vertAlign w:val="subscript"/>
                <w:lang w:val="en-GB"/>
              </w:rPr>
              <w:t>max</w:t>
            </w:r>
          </w:p>
        </w:tc>
        <w:tc>
          <w:tcPr>
            <w:tcW w:w="1134" w:type="dxa"/>
            <w:tcBorders>
              <w:top w:val="single" w:sz="12" w:space="0" w:color="008000"/>
              <w:bottom w:val="single" w:sz="6" w:space="0" w:color="008000"/>
            </w:tcBorders>
            <w:shd w:val="clear" w:color="auto" w:fill="FFFFFF"/>
            <w:vAlign w:val="center"/>
          </w:tcPr>
          <w:p w14:paraId="20D2F973" w14:textId="7D8EC869" w:rsidR="003C6187" w:rsidRPr="00B57B36" w:rsidRDefault="003C6187" w:rsidP="00F8263D">
            <w:pPr>
              <w:pStyle w:val="CETBodytext"/>
              <w:jc w:val="center"/>
              <w:rPr>
                <w:lang w:val="en-GB"/>
              </w:rPr>
            </w:pPr>
            <w:r>
              <w:rPr>
                <w:lang w:val="en-GB"/>
              </w:rPr>
              <w:t>k</w:t>
            </w:r>
            <w:r w:rsidRPr="003C6187">
              <w:rPr>
                <w:vertAlign w:val="subscript"/>
                <w:lang w:val="en-GB"/>
              </w:rPr>
              <w:t>m</w:t>
            </w:r>
          </w:p>
        </w:tc>
        <w:tc>
          <w:tcPr>
            <w:tcW w:w="1134" w:type="dxa"/>
            <w:tcBorders>
              <w:top w:val="single" w:sz="12" w:space="0" w:color="008000"/>
              <w:bottom w:val="single" w:sz="6" w:space="0" w:color="008000"/>
            </w:tcBorders>
            <w:shd w:val="clear" w:color="auto" w:fill="FFFFFF"/>
            <w:vAlign w:val="center"/>
          </w:tcPr>
          <w:p w14:paraId="58B86CCB" w14:textId="6BEE21D7" w:rsidR="003C6187" w:rsidRPr="00B57B36" w:rsidRDefault="003C6187" w:rsidP="00F8263D">
            <w:pPr>
              <w:pStyle w:val="CETBodytext"/>
              <w:ind w:right="-1"/>
              <w:jc w:val="center"/>
              <w:rPr>
                <w:rFonts w:cs="Arial"/>
                <w:szCs w:val="18"/>
                <w:lang w:val="en-GB"/>
              </w:rPr>
            </w:pPr>
            <w:proofErr w:type="spellStart"/>
            <w:r>
              <w:rPr>
                <w:rFonts w:cs="Arial"/>
                <w:szCs w:val="18"/>
                <w:lang w:val="en-GB"/>
              </w:rPr>
              <w:t>k</w:t>
            </w:r>
            <w:r w:rsidRPr="003C6187">
              <w:rPr>
                <w:rFonts w:cs="Arial"/>
                <w:szCs w:val="18"/>
                <w:vertAlign w:val="subscript"/>
                <w:lang w:val="en-GB"/>
              </w:rPr>
              <w:t>p</w:t>
            </w:r>
            <w:proofErr w:type="spellEnd"/>
          </w:p>
        </w:tc>
        <w:tc>
          <w:tcPr>
            <w:tcW w:w="1134" w:type="dxa"/>
            <w:tcBorders>
              <w:top w:val="single" w:sz="12" w:space="0" w:color="008000"/>
              <w:bottom w:val="single" w:sz="6" w:space="0" w:color="008000"/>
            </w:tcBorders>
            <w:shd w:val="clear" w:color="auto" w:fill="FFFFFF"/>
            <w:vAlign w:val="center"/>
          </w:tcPr>
          <w:p w14:paraId="3632948B" w14:textId="40EC110E" w:rsidR="003C6187" w:rsidRPr="00B57B36" w:rsidRDefault="003C6187" w:rsidP="00F8263D">
            <w:pPr>
              <w:pStyle w:val="CETBodytext"/>
              <w:ind w:right="-1"/>
              <w:jc w:val="center"/>
              <w:rPr>
                <w:rFonts w:cs="Arial"/>
                <w:szCs w:val="18"/>
                <w:lang w:val="en-GB"/>
              </w:rPr>
            </w:pPr>
            <w:r>
              <w:rPr>
                <w:rFonts w:cs="Arial"/>
                <w:szCs w:val="18"/>
                <w:lang w:val="en-GB"/>
              </w:rPr>
              <w:t>k</w:t>
            </w:r>
            <w:r w:rsidRPr="003C6187">
              <w:rPr>
                <w:rFonts w:cs="Arial"/>
                <w:szCs w:val="18"/>
                <w:vertAlign w:val="subscript"/>
                <w:lang w:val="en-GB"/>
              </w:rPr>
              <w:t>1</w:t>
            </w:r>
          </w:p>
        </w:tc>
        <w:tc>
          <w:tcPr>
            <w:tcW w:w="1134" w:type="dxa"/>
            <w:tcBorders>
              <w:top w:val="single" w:sz="12" w:space="0" w:color="008000"/>
              <w:bottom w:val="single" w:sz="6" w:space="0" w:color="008000"/>
            </w:tcBorders>
            <w:shd w:val="clear" w:color="auto" w:fill="FFFFFF"/>
          </w:tcPr>
          <w:p w14:paraId="21E09EBE" w14:textId="3DA194BD" w:rsidR="003C6187" w:rsidRDefault="003C6187" w:rsidP="00F8263D">
            <w:pPr>
              <w:pStyle w:val="CETBodytext"/>
              <w:ind w:right="-1"/>
              <w:jc w:val="center"/>
              <w:rPr>
                <w:rFonts w:cs="Arial"/>
                <w:szCs w:val="18"/>
                <w:lang w:val="en-GB"/>
              </w:rPr>
            </w:pPr>
            <w:r>
              <w:rPr>
                <w:rFonts w:cs="Arial"/>
                <w:szCs w:val="18"/>
                <w:lang w:val="en-GB"/>
              </w:rPr>
              <w:t>P</w:t>
            </w:r>
          </w:p>
        </w:tc>
      </w:tr>
      <w:tr w:rsidR="003C6187" w:rsidRPr="00B57B36" w14:paraId="618FFE41" w14:textId="41369186" w:rsidTr="00716E81">
        <w:tc>
          <w:tcPr>
            <w:tcW w:w="1134" w:type="dxa"/>
            <w:shd w:val="clear" w:color="auto" w:fill="FFFFFF"/>
            <w:vAlign w:val="center"/>
          </w:tcPr>
          <w:p w14:paraId="45A8AFFC" w14:textId="77777777" w:rsidR="003C6187" w:rsidRPr="00B57B36" w:rsidRDefault="003C6187" w:rsidP="00F8263D">
            <w:pPr>
              <w:pStyle w:val="CETBodytext"/>
              <w:jc w:val="center"/>
              <w:rPr>
                <w:lang w:val="en-GB"/>
              </w:rPr>
            </w:pPr>
            <w:r>
              <w:rPr>
                <w:lang w:val="en-GB"/>
              </w:rPr>
              <w:t>Monod</w:t>
            </w:r>
          </w:p>
        </w:tc>
        <w:tc>
          <w:tcPr>
            <w:tcW w:w="1134" w:type="dxa"/>
            <w:shd w:val="clear" w:color="auto" w:fill="FFFFFF"/>
            <w:vAlign w:val="center"/>
          </w:tcPr>
          <w:p w14:paraId="737436D4" w14:textId="77821C21" w:rsidR="003C6187" w:rsidRPr="00B57B36" w:rsidRDefault="00D41D9D" w:rsidP="00F8263D">
            <w:pPr>
              <w:pStyle w:val="CETBodytext"/>
              <w:jc w:val="center"/>
              <w:rPr>
                <w:lang w:val="en-GB"/>
              </w:rPr>
            </w:pPr>
            <w:r>
              <w:rPr>
                <w:lang w:val="en-GB"/>
              </w:rPr>
              <w:t>0.66</w:t>
            </w:r>
          </w:p>
        </w:tc>
        <w:tc>
          <w:tcPr>
            <w:tcW w:w="1134" w:type="dxa"/>
            <w:shd w:val="clear" w:color="auto" w:fill="FFFFFF"/>
            <w:vAlign w:val="center"/>
          </w:tcPr>
          <w:p w14:paraId="4C684C84" w14:textId="6B0EA96F" w:rsidR="003C6187" w:rsidRPr="00B57B36" w:rsidRDefault="001A276A" w:rsidP="00F8263D">
            <w:pPr>
              <w:pStyle w:val="CETBodytext"/>
              <w:jc w:val="center"/>
              <w:rPr>
                <w:lang w:val="en-GB"/>
              </w:rPr>
            </w:pPr>
            <w:r>
              <w:rPr>
                <w:lang w:val="en-GB"/>
              </w:rPr>
              <w:t>2.65</w:t>
            </w:r>
          </w:p>
        </w:tc>
        <w:tc>
          <w:tcPr>
            <w:tcW w:w="1134" w:type="dxa"/>
            <w:shd w:val="clear" w:color="auto" w:fill="FFFFFF"/>
            <w:vAlign w:val="center"/>
          </w:tcPr>
          <w:p w14:paraId="584C3433" w14:textId="075355C7" w:rsidR="003C6187" w:rsidRPr="00B57B36" w:rsidRDefault="001A276A" w:rsidP="00F8263D">
            <w:pPr>
              <w:pStyle w:val="CETBodytext"/>
              <w:ind w:right="-1"/>
              <w:jc w:val="center"/>
              <w:rPr>
                <w:rFonts w:cs="Arial"/>
                <w:szCs w:val="18"/>
                <w:lang w:val="en-GB"/>
              </w:rPr>
            </w:pPr>
            <w:r>
              <w:rPr>
                <w:rFonts w:cs="Arial"/>
                <w:szCs w:val="18"/>
                <w:lang w:val="en-GB"/>
              </w:rPr>
              <w:t>-</w:t>
            </w:r>
          </w:p>
        </w:tc>
        <w:tc>
          <w:tcPr>
            <w:tcW w:w="1134" w:type="dxa"/>
            <w:shd w:val="clear" w:color="auto" w:fill="FFFFFF"/>
            <w:vAlign w:val="center"/>
          </w:tcPr>
          <w:p w14:paraId="7E7B76F8" w14:textId="32021044" w:rsidR="003C6187" w:rsidRPr="00B57B36" w:rsidRDefault="00CA6EC4" w:rsidP="00F8263D">
            <w:pPr>
              <w:pStyle w:val="CETBodytext"/>
              <w:ind w:right="-1"/>
              <w:jc w:val="center"/>
              <w:rPr>
                <w:rFonts w:cs="Arial"/>
                <w:szCs w:val="18"/>
                <w:lang w:val="en-GB"/>
              </w:rPr>
            </w:pPr>
            <w:r>
              <w:rPr>
                <w:rFonts w:cs="Arial"/>
                <w:szCs w:val="18"/>
                <w:lang w:val="en-GB"/>
              </w:rPr>
              <w:t>-</w:t>
            </w:r>
          </w:p>
        </w:tc>
        <w:tc>
          <w:tcPr>
            <w:tcW w:w="1134" w:type="dxa"/>
            <w:shd w:val="clear" w:color="auto" w:fill="FFFFFF"/>
          </w:tcPr>
          <w:p w14:paraId="6579ABDA" w14:textId="1487DD64" w:rsidR="003C6187" w:rsidRPr="00B57B36" w:rsidRDefault="00CA6EC4" w:rsidP="00F8263D">
            <w:pPr>
              <w:pStyle w:val="CETBodytext"/>
              <w:ind w:right="-1"/>
              <w:jc w:val="center"/>
              <w:rPr>
                <w:rFonts w:cs="Arial"/>
                <w:szCs w:val="18"/>
                <w:lang w:val="en-GB"/>
              </w:rPr>
            </w:pPr>
            <w:r>
              <w:rPr>
                <w:rFonts w:cs="Arial"/>
                <w:szCs w:val="18"/>
                <w:lang w:val="en-GB"/>
              </w:rPr>
              <w:t>-</w:t>
            </w:r>
          </w:p>
        </w:tc>
      </w:tr>
      <w:tr w:rsidR="003C6187" w:rsidRPr="00B57B36" w14:paraId="74A745E0" w14:textId="07C2B2CD" w:rsidTr="00716E81">
        <w:tc>
          <w:tcPr>
            <w:tcW w:w="1134" w:type="dxa"/>
            <w:shd w:val="clear" w:color="auto" w:fill="FFFFFF"/>
            <w:vAlign w:val="center"/>
          </w:tcPr>
          <w:p w14:paraId="6C19EEAF" w14:textId="77777777" w:rsidR="003C6187" w:rsidRPr="00B57B36" w:rsidRDefault="003C6187" w:rsidP="00F8263D">
            <w:pPr>
              <w:pStyle w:val="CETBodytext"/>
              <w:ind w:right="-1"/>
              <w:jc w:val="center"/>
              <w:rPr>
                <w:rFonts w:cs="Arial"/>
                <w:szCs w:val="18"/>
                <w:lang w:val="en-GB"/>
              </w:rPr>
            </w:pPr>
            <w:r>
              <w:rPr>
                <w:rFonts w:cs="Arial"/>
                <w:szCs w:val="18"/>
                <w:lang w:val="en-GB"/>
              </w:rPr>
              <w:t>Haldane</w:t>
            </w:r>
          </w:p>
        </w:tc>
        <w:tc>
          <w:tcPr>
            <w:tcW w:w="1134" w:type="dxa"/>
            <w:shd w:val="clear" w:color="auto" w:fill="FFFFFF"/>
            <w:vAlign w:val="center"/>
          </w:tcPr>
          <w:p w14:paraId="39E69F11" w14:textId="16316402" w:rsidR="003C6187" w:rsidRPr="00B57B36" w:rsidRDefault="00D41D9D" w:rsidP="00F8263D">
            <w:pPr>
              <w:pStyle w:val="CETBodytext"/>
              <w:ind w:right="-1"/>
              <w:jc w:val="center"/>
              <w:rPr>
                <w:rFonts w:cs="Arial"/>
                <w:szCs w:val="18"/>
                <w:lang w:val="en-GB"/>
              </w:rPr>
            </w:pPr>
            <w:r>
              <w:rPr>
                <w:rFonts w:cs="Arial"/>
                <w:szCs w:val="18"/>
                <w:lang w:val="en-GB"/>
              </w:rPr>
              <w:t>0.34</w:t>
            </w:r>
          </w:p>
        </w:tc>
        <w:tc>
          <w:tcPr>
            <w:tcW w:w="1134" w:type="dxa"/>
            <w:shd w:val="clear" w:color="auto" w:fill="FFFFFF"/>
            <w:vAlign w:val="center"/>
          </w:tcPr>
          <w:p w14:paraId="5F7133CE" w14:textId="60AE5EAA" w:rsidR="003C6187" w:rsidRPr="00B57B36" w:rsidRDefault="001A276A" w:rsidP="00F8263D">
            <w:pPr>
              <w:pStyle w:val="CETBodytext"/>
              <w:ind w:right="-1"/>
              <w:jc w:val="center"/>
              <w:rPr>
                <w:rFonts w:cs="Arial"/>
                <w:szCs w:val="18"/>
                <w:lang w:val="en-GB"/>
              </w:rPr>
            </w:pPr>
            <w:r>
              <w:rPr>
                <w:rFonts w:cs="Arial"/>
                <w:szCs w:val="18"/>
                <w:lang w:val="en-GB"/>
              </w:rPr>
              <w:t>0.03</w:t>
            </w:r>
          </w:p>
        </w:tc>
        <w:tc>
          <w:tcPr>
            <w:tcW w:w="1134" w:type="dxa"/>
            <w:shd w:val="clear" w:color="auto" w:fill="FFFFFF"/>
            <w:vAlign w:val="center"/>
          </w:tcPr>
          <w:p w14:paraId="14DD3D81" w14:textId="230E5CCE" w:rsidR="003C6187" w:rsidRPr="00B57B36" w:rsidRDefault="001A276A" w:rsidP="00F8263D">
            <w:pPr>
              <w:pStyle w:val="CETBodytext"/>
              <w:ind w:right="-1"/>
              <w:jc w:val="center"/>
              <w:rPr>
                <w:rFonts w:cs="Arial"/>
                <w:szCs w:val="18"/>
                <w:lang w:val="en-GB"/>
              </w:rPr>
            </w:pPr>
            <w:r>
              <w:rPr>
                <w:rFonts w:cs="Arial"/>
                <w:szCs w:val="18"/>
                <w:lang w:val="en-GB"/>
              </w:rPr>
              <w:t>-</w:t>
            </w:r>
          </w:p>
        </w:tc>
        <w:tc>
          <w:tcPr>
            <w:tcW w:w="1134" w:type="dxa"/>
            <w:shd w:val="clear" w:color="auto" w:fill="FFFFFF"/>
            <w:vAlign w:val="center"/>
          </w:tcPr>
          <w:p w14:paraId="068D4546" w14:textId="6A2A391E" w:rsidR="003C6187" w:rsidRPr="00B57B36" w:rsidRDefault="00CA6EC4" w:rsidP="00F8263D">
            <w:pPr>
              <w:pStyle w:val="CETBodytext"/>
              <w:ind w:right="-1"/>
              <w:jc w:val="center"/>
              <w:rPr>
                <w:rFonts w:cs="Arial"/>
                <w:szCs w:val="18"/>
                <w:lang w:val="en-GB"/>
              </w:rPr>
            </w:pPr>
            <w:r>
              <w:rPr>
                <w:rFonts w:cs="Arial"/>
                <w:szCs w:val="18"/>
                <w:lang w:val="en-GB"/>
              </w:rPr>
              <w:t>- 0.03</w:t>
            </w:r>
          </w:p>
        </w:tc>
        <w:tc>
          <w:tcPr>
            <w:tcW w:w="1134" w:type="dxa"/>
            <w:shd w:val="clear" w:color="auto" w:fill="FFFFFF"/>
          </w:tcPr>
          <w:p w14:paraId="53520577" w14:textId="3B450A56" w:rsidR="003C6187" w:rsidRPr="00B57B36" w:rsidRDefault="00CA6EC4" w:rsidP="00F8263D">
            <w:pPr>
              <w:pStyle w:val="CETBodytext"/>
              <w:ind w:right="-1"/>
              <w:jc w:val="center"/>
              <w:rPr>
                <w:rFonts w:cs="Arial"/>
                <w:szCs w:val="18"/>
                <w:lang w:val="en-GB"/>
              </w:rPr>
            </w:pPr>
            <w:r>
              <w:rPr>
                <w:rFonts w:cs="Arial"/>
                <w:szCs w:val="18"/>
                <w:lang w:val="en-GB"/>
              </w:rPr>
              <w:t>-</w:t>
            </w:r>
          </w:p>
        </w:tc>
      </w:tr>
      <w:tr w:rsidR="003C6187" w:rsidRPr="00B57B36" w14:paraId="71B66B3C" w14:textId="0CA87968" w:rsidTr="00716E81">
        <w:tc>
          <w:tcPr>
            <w:tcW w:w="1134" w:type="dxa"/>
            <w:shd w:val="clear" w:color="auto" w:fill="FFFFFF"/>
            <w:vAlign w:val="center"/>
          </w:tcPr>
          <w:p w14:paraId="50308C19" w14:textId="77777777" w:rsidR="003C6187" w:rsidRDefault="003C6187" w:rsidP="00F8263D">
            <w:pPr>
              <w:pStyle w:val="CETBodytext"/>
              <w:ind w:right="-1"/>
              <w:jc w:val="center"/>
              <w:rPr>
                <w:rFonts w:cs="Arial"/>
                <w:szCs w:val="18"/>
                <w:lang w:val="en-GB"/>
              </w:rPr>
            </w:pPr>
            <w:r>
              <w:rPr>
                <w:rFonts w:cs="Arial"/>
                <w:szCs w:val="18"/>
                <w:lang w:val="en-GB"/>
              </w:rPr>
              <w:t>Hinshelwood</w:t>
            </w:r>
          </w:p>
        </w:tc>
        <w:tc>
          <w:tcPr>
            <w:tcW w:w="1134" w:type="dxa"/>
            <w:shd w:val="clear" w:color="auto" w:fill="FFFFFF"/>
            <w:vAlign w:val="center"/>
          </w:tcPr>
          <w:p w14:paraId="717B804F" w14:textId="4B6552C1" w:rsidR="003C6187" w:rsidRPr="00B57B36" w:rsidRDefault="00D41D9D" w:rsidP="00F8263D">
            <w:pPr>
              <w:pStyle w:val="CETBodytext"/>
              <w:ind w:right="-1"/>
              <w:jc w:val="center"/>
              <w:rPr>
                <w:rFonts w:cs="Arial"/>
                <w:szCs w:val="18"/>
                <w:lang w:val="en-GB"/>
              </w:rPr>
            </w:pPr>
            <w:r>
              <w:rPr>
                <w:rFonts w:cs="Arial"/>
                <w:szCs w:val="18"/>
                <w:lang w:val="en-GB"/>
              </w:rPr>
              <w:t>0.82</w:t>
            </w:r>
          </w:p>
        </w:tc>
        <w:tc>
          <w:tcPr>
            <w:tcW w:w="1134" w:type="dxa"/>
            <w:shd w:val="clear" w:color="auto" w:fill="FFFFFF"/>
            <w:vAlign w:val="center"/>
          </w:tcPr>
          <w:p w14:paraId="29F63FC0" w14:textId="16925854" w:rsidR="003C6187" w:rsidRPr="00B57B36" w:rsidRDefault="001A276A" w:rsidP="00F8263D">
            <w:pPr>
              <w:pStyle w:val="CETBodytext"/>
              <w:ind w:right="-1"/>
              <w:jc w:val="center"/>
              <w:rPr>
                <w:rFonts w:cs="Arial"/>
                <w:szCs w:val="18"/>
                <w:lang w:val="en-GB"/>
              </w:rPr>
            </w:pPr>
            <w:r>
              <w:rPr>
                <w:rFonts w:cs="Arial"/>
                <w:szCs w:val="18"/>
                <w:lang w:val="en-GB"/>
              </w:rPr>
              <w:t>2.65</w:t>
            </w:r>
          </w:p>
        </w:tc>
        <w:tc>
          <w:tcPr>
            <w:tcW w:w="1134" w:type="dxa"/>
            <w:shd w:val="clear" w:color="auto" w:fill="FFFFFF"/>
            <w:vAlign w:val="center"/>
          </w:tcPr>
          <w:p w14:paraId="66F875B3" w14:textId="3A520CAF" w:rsidR="003C6187" w:rsidRPr="00B57B36" w:rsidRDefault="001A276A" w:rsidP="00F8263D">
            <w:pPr>
              <w:pStyle w:val="CETBodytext"/>
              <w:ind w:right="-1"/>
              <w:jc w:val="center"/>
              <w:rPr>
                <w:rFonts w:cs="Arial"/>
                <w:szCs w:val="18"/>
                <w:lang w:val="en-GB"/>
              </w:rPr>
            </w:pPr>
            <w:r>
              <w:rPr>
                <w:rFonts w:cs="Arial"/>
                <w:szCs w:val="18"/>
                <w:lang w:val="en-GB"/>
              </w:rPr>
              <w:t>0.92</w:t>
            </w:r>
          </w:p>
        </w:tc>
        <w:tc>
          <w:tcPr>
            <w:tcW w:w="1134" w:type="dxa"/>
            <w:shd w:val="clear" w:color="auto" w:fill="FFFFFF"/>
            <w:vAlign w:val="center"/>
          </w:tcPr>
          <w:p w14:paraId="64C842C5" w14:textId="70DE203E" w:rsidR="003C6187" w:rsidRPr="00B57B36" w:rsidRDefault="00CA6EC4" w:rsidP="001A276A">
            <w:pPr>
              <w:pStyle w:val="CETBodytext"/>
              <w:ind w:right="-1"/>
              <w:jc w:val="center"/>
              <w:rPr>
                <w:rFonts w:cs="Arial"/>
                <w:szCs w:val="18"/>
                <w:lang w:val="en-GB"/>
              </w:rPr>
            </w:pPr>
            <w:r>
              <w:rPr>
                <w:rFonts w:cs="Arial"/>
                <w:szCs w:val="18"/>
                <w:lang w:val="en-GB"/>
              </w:rPr>
              <w:t>-</w:t>
            </w:r>
          </w:p>
        </w:tc>
        <w:tc>
          <w:tcPr>
            <w:tcW w:w="1134" w:type="dxa"/>
            <w:shd w:val="clear" w:color="auto" w:fill="FFFFFF"/>
          </w:tcPr>
          <w:p w14:paraId="36462FB9" w14:textId="23832D39" w:rsidR="003C6187" w:rsidRPr="00B57B36" w:rsidRDefault="00CA6EC4" w:rsidP="00F8263D">
            <w:pPr>
              <w:pStyle w:val="CETBodytext"/>
              <w:ind w:right="-1"/>
              <w:jc w:val="center"/>
              <w:rPr>
                <w:rFonts w:cs="Arial"/>
                <w:szCs w:val="18"/>
                <w:lang w:val="en-GB"/>
              </w:rPr>
            </w:pPr>
            <w:r>
              <w:rPr>
                <w:rFonts w:cs="Arial"/>
                <w:szCs w:val="18"/>
                <w:lang w:val="en-GB"/>
              </w:rPr>
              <w:t>0.21</w:t>
            </w:r>
          </w:p>
        </w:tc>
      </w:tr>
    </w:tbl>
    <w:p w14:paraId="68D26B83" w14:textId="77777777" w:rsidR="00600535" w:rsidRPr="00B57B36" w:rsidRDefault="00600535" w:rsidP="00600535">
      <w:pPr>
        <w:pStyle w:val="CETHeading1"/>
        <w:rPr>
          <w:lang w:val="en-GB"/>
        </w:rPr>
      </w:pPr>
      <w:r w:rsidRPr="00B57B36">
        <w:rPr>
          <w:lang w:val="en-GB"/>
        </w:rPr>
        <w:lastRenderedPageBreak/>
        <w:t>Conclusions</w:t>
      </w:r>
    </w:p>
    <w:p w14:paraId="0F0EF959" w14:textId="4B5D8150" w:rsidR="00D37181" w:rsidRPr="00D37181" w:rsidRDefault="003E7233" w:rsidP="00D37181">
      <w:pPr>
        <w:pStyle w:val="CETBodytext"/>
        <w:rPr>
          <w:lang w:val="es-CO" w:eastAsia="es-CO"/>
        </w:rPr>
      </w:pPr>
      <w:r w:rsidRPr="003E7233">
        <w:rPr>
          <w:lang w:eastAsia="es-CO"/>
        </w:rPr>
        <w:t xml:space="preserve">In this research, a qualitative evaluation of the changes in the structural and chemical properties of </w:t>
      </w:r>
      <w:r>
        <w:rPr>
          <w:lang w:eastAsia="es-CO"/>
        </w:rPr>
        <w:t xml:space="preserve">waste </w:t>
      </w:r>
      <w:r w:rsidRPr="003E7233">
        <w:rPr>
          <w:lang w:eastAsia="es-CO"/>
        </w:rPr>
        <w:t>tire</w:t>
      </w:r>
      <w:r>
        <w:rPr>
          <w:lang w:eastAsia="es-CO"/>
        </w:rPr>
        <w:t xml:space="preserve"> rubber</w:t>
      </w:r>
      <w:r w:rsidRPr="003E7233">
        <w:rPr>
          <w:lang w:eastAsia="es-CO"/>
        </w:rPr>
        <w:t xml:space="preserve"> was carried out, evaluating the tolerant and biodegradation potential of the white rot fungus</w:t>
      </w:r>
      <w:r w:rsidR="00F533ED">
        <w:rPr>
          <w:lang w:eastAsia="es-CO"/>
        </w:rPr>
        <w:t xml:space="preserve"> </w:t>
      </w:r>
      <w:proofErr w:type="spellStart"/>
      <w:r w:rsidR="00F533ED" w:rsidRPr="00F533ED">
        <w:rPr>
          <w:i/>
          <w:iCs/>
          <w:lang w:eastAsia="es-CO"/>
        </w:rPr>
        <w:t>Pleurotus</w:t>
      </w:r>
      <w:proofErr w:type="spellEnd"/>
      <w:r w:rsidR="00F533ED" w:rsidRPr="00F533ED">
        <w:rPr>
          <w:i/>
          <w:iCs/>
          <w:lang w:eastAsia="es-CO"/>
        </w:rPr>
        <w:t xml:space="preserve"> </w:t>
      </w:r>
      <w:proofErr w:type="spellStart"/>
      <w:r w:rsidR="00DA464E">
        <w:rPr>
          <w:i/>
          <w:iCs/>
          <w:lang w:eastAsia="es-CO"/>
        </w:rPr>
        <w:t>Ostreatu</w:t>
      </w:r>
      <w:r w:rsidR="00F077E9">
        <w:rPr>
          <w:i/>
          <w:iCs/>
          <w:lang w:eastAsia="es-CO"/>
        </w:rPr>
        <w:t>s</w:t>
      </w:r>
      <w:proofErr w:type="spellEnd"/>
      <w:r w:rsidR="00F533ED">
        <w:rPr>
          <w:lang w:eastAsia="es-CO"/>
        </w:rPr>
        <w:t>.</w:t>
      </w:r>
      <w:r w:rsidR="00787E09">
        <w:rPr>
          <w:lang w:val="es-CO" w:eastAsia="es-CO"/>
        </w:rPr>
        <w:t xml:space="preserve"> </w:t>
      </w:r>
      <w:r w:rsidR="00787E09" w:rsidRPr="00787E09">
        <w:rPr>
          <w:lang w:eastAsia="es-CO"/>
        </w:rPr>
        <w:t>It was found that the amount of biomass formed (fungal growth) is proportional to the concentration of waste tire rubber in the culture medium. According to the SEM and FTIR analyses, it was observed that the enzymatic action of the fungus caused erosion on the rubber surface.</w:t>
      </w:r>
      <w:r w:rsidR="00D33BA3">
        <w:rPr>
          <w:lang w:val="es-CO" w:eastAsia="es-CO"/>
        </w:rPr>
        <w:t xml:space="preserve"> </w:t>
      </w:r>
      <w:r w:rsidR="00D33BA3" w:rsidRPr="00D33BA3">
        <w:rPr>
          <w:lang w:eastAsia="es-CO"/>
        </w:rPr>
        <w:t xml:space="preserve">The germination modeling of the fungus allowed us to conclude that there is an affinity of the fungus towards the tire and </w:t>
      </w:r>
      <w:r w:rsidR="00D33BA3">
        <w:rPr>
          <w:lang w:eastAsia="es-CO"/>
        </w:rPr>
        <w:t xml:space="preserve">that, </w:t>
      </w:r>
      <w:r w:rsidR="00D33BA3" w:rsidRPr="00D33BA3">
        <w:rPr>
          <w:lang w:eastAsia="es-CO"/>
        </w:rPr>
        <w:t xml:space="preserve">as the fungus grows there will be greater consumption of substrate, </w:t>
      </w:r>
      <w:r w:rsidR="00D33BA3">
        <w:rPr>
          <w:lang w:eastAsia="es-CO"/>
        </w:rPr>
        <w:t xml:space="preserve">since </w:t>
      </w:r>
      <w:r w:rsidR="00D33BA3" w:rsidRPr="00D33BA3">
        <w:rPr>
          <w:lang w:eastAsia="es-CO"/>
        </w:rPr>
        <w:t>the saturation constant</w:t>
      </w:r>
      <w:r w:rsidR="00D33BA3">
        <w:rPr>
          <w:lang w:eastAsia="es-CO"/>
        </w:rPr>
        <w:t xml:space="preserve"> (</w:t>
      </w:r>
      <w:r w:rsidR="00D33BA3">
        <w:rPr>
          <w:rFonts w:ascii="Cambria Math" w:hAnsi="Cambria Math" w:cs="Cambria Math"/>
        </w:rPr>
        <w:t>𝑘</w:t>
      </w:r>
      <w:r w:rsidR="00D33BA3" w:rsidRPr="008F0451">
        <w:rPr>
          <w:rFonts w:ascii="Cambria Math" w:hAnsi="Cambria Math" w:cs="Cambria Math"/>
          <w:vertAlign w:val="subscript"/>
        </w:rPr>
        <w:t>𝑚</w:t>
      </w:r>
      <w:r w:rsidR="00D33BA3">
        <w:rPr>
          <w:lang w:eastAsia="es-CO"/>
        </w:rPr>
        <w:t>)</w:t>
      </w:r>
      <w:r w:rsidR="00D33BA3" w:rsidRPr="00D33BA3">
        <w:rPr>
          <w:lang w:eastAsia="es-CO"/>
        </w:rPr>
        <w:t xml:space="preserve"> is lower than the substrate concentrations</w:t>
      </w:r>
      <w:r w:rsidR="00D33BA3">
        <w:rPr>
          <w:lang w:eastAsia="es-CO"/>
        </w:rPr>
        <w:t>.</w:t>
      </w:r>
      <w:r w:rsidR="00D37181">
        <w:rPr>
          <w:lang w:val="es-CO" w:eastAsia="es-CO"/>
        </w:rPr>
        <w:t xml:space="preserve"> </w:t>
      </w:r>
      <w:r w:rsidR="00D37181">
        <w:rPr>
          <w:lang w:eastAsia="es-CO"/>
        </w:rPr>
        <w:t>The models showed that g</w:t>
      </w:r>
      <w:r w:rsidR="00D37181" w:rsidRPr="00D37181">
        <w:rPr>
          <w:lang w:eastAsia="es-CO"/>
        </w:rPr>
        <w:t xml:space="preserve">ermination </w:t>
      </w:r>
      <w:r w:rsidR="00D37181">
        <w:rPr>
          <w:lang w:eastAsia="es-CO"/>
        </w:rPr>
        <w:t xml:space="preserve">data </w:t>
      </w:r>
      <w:r w:rsidR="00D37181" w:rsidRPr="00D37181">
        <w:rPr>
          <w:lang w:eastAsia="es-CO"/>
        </w:rPr>
        <w:t>were predicted with confirmed accuracy at R</w:t>
      </w:r>
      <w:r w:rsidR="00D37181" w:rsidRPr="00066DCE">
        <w:rPr>
          <w:vertAlign w:val="superscript"/>
          <w:lang w:eastAsia="es-CO"/>
        </w:rPr>
        <w:t>2</w:t>
      </w:r>
      <w:r w:rsidR="00D37181" w:rsidRPr="00D37181">
        <w:rPr>
          <w:lang w:eastAsia="es-CO"/>
        </w:rPr>
        <w:t xml:space="preserve"> &gt; 94%.</w:t>
      </w:r>
    </w:p>
    <w:p w14:paraId="4F1327F8" w14:textId="03358AD4" w:rsidR="00600535" w:rsidRDefault="00600535" w:rsidP="00600535">
      <w:pPr>
        <w:pStyle w:val="CETReference"/>
      </w:pPr>
      <w:r w:rsidRPr="00B57B36">
        <w:t>References</w:t>
      </w:r>
    </w:p>
    <w:p w14:paraId="44C34836" w14:textId="41097C61" w:rsidR="00AB4C2C" w:rsidRPr="00EB4EBF" w:rsidRDefault="00AB4C2C" w:rsidP="002B0407">
      <w:pPr>
        <w:pStyle w:val="CETReferencetext"/>
      </w:pPr>
      <w:r w:rsidRPr="00EB4EBF">
        <w:t>Andler R., 2020, Bacterial and Enzymatic Degradation of Poly(</w:t>
      </w:r>
      <w:r w:rsidRPr="00EB4EBF">
        <w:rPr>
          <w:i/>
          <w:iCs/>
        </w:rPr>
        <w:t>cis</w:t>
      </w:r>
      <w:r w:rsidRPr="00EB4EBF">
        <w:t>-1,4-isoprene) Rubber: Novel</w:t>
      </w:r>
      <w:r w:rsidR="000509FF" w:rsidRPr="00EB4EBF">
        <w:t xml:space="preserve"> Biotechnological Applications, Biotechnology Advances, 44</w:t>
      </w:r>
      <w:r w:rsidR="006E7514" w:rsidRPr="00EB4EBF">
        <w:t>(3):107606.</w:t>
      </w:r>
    </w:p>
    <w:p w14:paraId="1547CDDB" w14:textId="56DCE13D" w:rsidR="002B0407" w:rsidRPr="00EB4EBF" w:rsidRDefault="002B0407" w:rsidP="002B0407">
      <w:pPr>
        <w:pStyle w:val="CETReferencetext"/>
      </w:pPr>
      <w:r w:rsidRPr="00EB4EBF">
        <w:t xml:space="preserve">Andler R., </w:t>
      </w:r>
      <w:proofErr w:type="spellStart"/>
      <w:r w:rsidR="008F51F4" w:rsidRPr="00EB4EBF">
        <w:t>D’Afonseca</w:t>
      </w:r>
      <w:proofErr w:type="spellEnd"/>
      <w:r w:rsidR="008F51F4" w:rsidRPr="00EB4EBF">
        <w:t xml:space="preserve"> V</w:t>
      </w:r>
      <w:r w:rsidRPr="00EB4EBF">
        <w:t xml:space="preserve">., </w:t>
      </w:r>
      <w:r w:rsidR="00B44B28" w:rsidRPr="00EB4EBF">
        <w:t>Pino J</w:t>
      </w:r>
      <w:r w:rsidRPr="00EB4EBF">
        <w:t xml:space="preserve">., </w:t>
      </w:r>
      <w:r w:rsidR="00536854" w:rsidRPr="00EB4EBF">
        <w:t>Valdés C</w:t>
      </w:r>
      <w:r w:rsidRPr="00EB4EBF">
        <w:t>.,</w:t>
      </w:r>
      <w:r w:rsidR="00536854" w:rsidRPr="00EB4EBF">
        <w:t xml:space="preserve"> </w:t>
      </w:r>
      <w:r w:rsidR="006A699B" w:rsidRPr="00EB4EBF">
        <w:t>Salazar-</w:t>
      </w:r>
      <w:proofErr w:type="spellStart"/>
      <w:r w:rsidR="006A699B" w:rsidRPr="00EB4EBF">
        <w:t>Viedma</w:t>
      </w:r>
      <w:proofErr w:type="spellEnd"/>
      <w:r w:rsidR="006A699B" w:rsidRPr="00EB4EBF">
        <w:t xml:space="preserve"> M.,</w:t>
      </w:r>
      <w:r w:rsidRPr="00EB4EBF">
        <w:t xml:space="preserve"> 20</w:t>
      </w:r>
      <w:r w:rsidR="00F334AE" w:rsidRPr="00EB4EBF">
        <w:t>21</w:t>
      </w:r>
      <w:r w:rsidRPr="00EB4EBF">
        <w:t xml:space="preserve">, </w:t>
      </w:r>
      <w:r w:rsidR="00832900" w:rsidRPr="00EB4EBF">
        <w:t>Assessing the Biodegradation of Vulcanised Rubber Particles by Fungi Using Genetic, Molecular and Surface Analysis, Frontiers in Bioengineering and Biotechnology</w:t>
      </w:r>
      <w:r w:rsidRPr="00EB4EBF">
        <w:t xml:space="preserve">, </w:t>
      </w:r>
      <w:r w:rsidR="00832900" w:rsidRPr="00EB4EBF">
        <w:t>9</w:t>
      </w:r>
      <w:r w:rsidRPr="00EB4EBF">
        <w:t xml:space="preserve">, </w:t>
      </w:r>
      <w:r w:rsidR="00832900" w:rsidRPr="00EB4EBF">
        <w:t>761510</w:t>
      </w:r>
      <w:r w:rsidRPr="00EB4EBF">
        <w:t>.</w:t>
      </w:r>
    </w:p>
    <w:p w14:paraId="1EE2FECE" w14:textId="69C948DC" w:rsidR="00075279" w:rsidRPr="00EB4EBF" w:rsidRDefault="00075279" w:rsidP="002B0407">
      <w:pPr>
        <w:pStyle w:val="CETReferencetext"/>
      </w:pPr>
      <w:r w:rsidRPr="00EB4EBF">
        <w:t xml:space="preserve">Cavaleiro S., 2016, </w:t>
      </w:r>
      <w:r w:rsidR="00840B60" w:rsidRPr="00EB4EBF">
        <w:t xml:space="preserve">Evolutionary Algorithms for the </w:t>
      </w:r>
      <w:proofErr w:type="spellStart"/>
      <w:r w:rsidR="00840B60" w:rsidRPr="00EB4EBF">
        <w:t>Modeling</w:t>
      </w:r>
      <w:proofErr w:type="spellEnd"/>
      <w:r w:rsidR="00840B60" w:rsidRPr="00EB4EBF">
        <w:t xml:space="preserve"> of Bioreactors, </w:t>
      </w:r>
      <w:r w:rsidRPr="00EB4EBF">
        <w:t xml:space="preserve">M.Sc. Thesis, </w:t>
      </w:r>
      <w:proofErr w:type="spellStart"/>
      <w:r w:rsidRPr="00EB4EBF">
        <w:t>Universi</w:t>
      </w:r>
      <w:r w:rsidR="00840B60" w:rsidRPr="00EB4EBF">
        <w:t>dade</w:t>
      </w:r>
      <w:proofErr w:type="spellEnd"/>
      <w:r w:rsidRPr="00EB4EBF">
        <w:t xml:space="preserve"> of </w:t>
      </w:r>
      <w:r w:rsidR="001D6400" w:rsidRPr="00EB4EBF">
        <w:t xml:space="preserve">Évora Escola de </w:t>
      </w:r>
      <w:proofErr w:type="spellStart"/>
      <w:r w:rsidR="001D6400" w:rsidRPr="00EB4EBF">
        <w:t>Cîencia</w:t>
      </w:r>
      <w:proofErr w:type="spellEnd"/>
      <w:r w:rsidR="001D6400" w:rsidRPr="00EB4EBF">
        <w:t xml:space="preserve"> e </w:t>
      </w:r>
      <w:proofErr w:type="spellStart"/>
      <w:r w:rsidR="001D6400" w:rsidRPr="00EB4EBF">
        <w:t>Tecnologia</w:t>
      </w:r>
      <w:proofErr w:type="spellEnd"/>
      <w:r w:rsidR="001D6400" w:rsidRPr="00EB4EBF">
        <w:t>, Évora, Portugal.</w:t>
      </w:r>
    </w:p>
    <w:p w14:paraId="1679F6D5" w14:textId="5509138D" w:rsidR="001313F3" w:rsidRPr="00EB4EBF" w:rsidRDefault="001313F3" w:rsidP="002B0407">
      <w:pPr>
        <w:pStyle w:val="CETReferencetext"/>
      </w:pPr>
      <w:proofErr w:type="spellStart"/>
      <w:r w:rsidRPr="00EB4EBF">
        <w:t>Ellouze</w:t>
      </w:r>
      <w:proofErr w:type="spellEnd"/>
      <w:r w:rsidRPr="00EB4EBF">
        <w:t xml:space="preserve"> M., Sayadi S., 2016, White-Rot Fungi and their Enzymes as a Biotechnological Tool for Xenobiotic Bioremediation, Management of Hazardous Wastes, Chapter in: HEDM Saleh, </w:t>
      </w:r>
      <w:r w:rsidR="00943E1F" w:rsidRPr="00EB4EBF">
        <w:t xml:space="preserve">ROA Rahman (Ed.), </w:t>
      </w:r>
      <w:proofErr w:type="spellStart"/>
      <w:r w:rsidR="00943E1F" w:rsidRPr="00EB4EBF">
        <w:t>IntechOpen</w:t>
      </w:r>
      <w:proofErr w:type="spellEnd"/>
      <w:r w:rsidR="00943E1F" w:rsidRPr="00EB4EBF">
        <w:t xml:space="preserve">, UK, </w:t>
      </w:r>
      <w:r w:rsidR="00E70EE8" w:rsidRPr="00EB4EBF">
        <w:t>64145.</w:t>
      </w:r>
    </w:p>
    <w:p w14:paraId="546E59A6" w14:textId="0C971AE0" w:rsidR="00EF2C00" w:rsidRPr="00EB4EBF" w:rsidRDefault="00EF2C00" w:rsidP="002B0407">
      <w:pPr>
        <w:pStyle w:val="CETReferencetext"/>
      </w:pPr>
      <w:r w:rsidRPr="00EB4EBF">
        <w:t>Mohamed N.H., Ismail M.A., Abdel-</w:t>
      </w:r>
      <w:proofErr w:type="spellStart"/>
      <w:r w:rsidRPr="00EB4EBF">
        <w:t>Mageed</w:t>
      </w:r>
      <w:proofErr w:type="spellEnd"/>
      <w:r w:rsidRPr="00EB4EBF">
        <w:t xml:space="preserve"> W.M., </w:t>
      </w:r>
      <w:proofErr w:type="spellStart"/>
      <w:r w:rsidRPr="00EB4EBF">
        <w:t>Shoreit</w:t>
      </w:r>
      <w:proofErr w:type="spellEnd"/>
      <w:r w:rsidRPr="00EB4EBF">
        <w:t xml:space="preserve"> A.A.M., 2017, Biodegradation of Natural Rubber Latex of Calotropis </w:t>
      </w:r>
      <w:proofErr w:type="spellStart"/>
      <w:r w:rsidRPr="00EB4EBF">
        <w:t>Procera</w:t>
      </w:r>
      <w:proofErr w:type="spellEnd"/>
      <w:r w:rsidRPr="00EB4EBF">
        <w:t xml:space="preserve"> by Two </w:t>
      </w:r>
      <w:proofErr w:type="spellStart"/>
      <w:r w:rsidRPr="00EB4EBF">
        <w:t>Endopytic</w:t>
      </w:r>
      <w:proofErr w:type="spellEnd"/>
      <w:r w:rsidRPr="00EB4EBF">
        <w:t xml:space="preserve"> Fungal Species, Journal of Bioremediation and Biodegradation, 8(1), 380.</w:t>
      </w:r>
    </w:p>
    <w:p w14:paraId="5EF07199" w14:textId="3FE9BFF7" w:rsidR="00EF2C00" w:rsidRPr="00EB4EBF" w:rsidRDefault="00EF2C00" w:rsidP="002B0407">
      <w:pPr>
        <w:pStyle w:val="CETReferencetext"/>
      </w:pPr>
      <w:r w:rsidRPr="00EB4EBF">
        <w:t xml:space="preserve">Rodrigues da Luz J.M., Soares da Silva M.D.C., Ferreira dos Santos L., Megumi Kasuya M.C., 2019, Plastics Polymers Degradation by Fungi, Chapter in: M </w:t>
      </w:r>
      <w:proofErr w:type="spellStart"/>
      <w:r w:rsidRPr="00EB4EBF">
        <w:t>Blumenber</w:t>
      </w:r>
      <w:proofErr w:type="spellEnd"/>
      <w:r w:rsidRPr="00EB4EBF">
        <w:t xml:space="preserve">, M Shaaban, A </w:t>
      </w:r>
      <w:proofErr w:type="spellStart"/>
      <w:r w:rsidRPr="00EB4EBF">
        <w:t>Elgaml</w:t>
      </w:r>
      <w:proofErr w:type="spellEnd"/>
      <w:r w:rsidRPr="00EB4EBF">
        <w:t xml:space="preserve"> (Ed.), </w:t>
      </w:r>
      <w:proofErr w:type="spellStart"/>
      <w:r w:rsidRPr="00EB4EBF">
        <w:t>IntechOpen</w:t>
      </w:r>
      <w:proofErr w:type="spellEnd"/>
      <w:r w:rsidRPr="00EB4EBF">
        <w:t>, UK, 70336.</w:t>
      </w:r>
    </w:p>
    <w:p w14:paraId="0576431F" w14:textId="24F9AE51" w:rsidR="00940B4C" w:rsidRPr="00EB4EBF" w:rsidRDefault="00940B4C" w:rsidP="002B0407">
      <w:pPr>
        <w:pStyle w:val="CETReferencetext"/>
      </w:pPr>
      <w:r w:rsidRPr="00EB4EBF">
        <w:t xml:space="preserve">Ruibal Villaseñor C., García A.M., Moreno Gómez D.A., Benavides, E., 2017, Process of Fungal Biodegradation on Ground Tires, In: </w:t>
      </w:r>
      <w:proofErr w:type="spellStart"/>
      <w:r w:rsidRPr="00EB4EBF">
        <w:t>Industriales</w:t>
      </w:r>
      <w:proofErr w:type="spellEnd"/>
      <w:r w:rsidRPr="00EB4EBF">
        <w:t xml:space="preserve"> Research Meeting 2017, Madrid, España, Conference Proceedings, p.168.</w:t>
      </w:r>
    </w:p>
    <w:p w14:paraId="4D6931CA" w14:textId="02B38B9D" w:rsidR="00BA1BFE" w:rsidRPr="00EB4EBF" w:rsidRDefault="00BA1BFE" w:rsidP="002B0407">
      <w:pPr>
        <w:pStyle w:val="CETReferencetext"/>
      </w:pPr>
      <w:r w:rsidRPr="00EB4EBF">
        <w:t xml:space="preserve">Shah A.A., </w:t>
      </w:r>
      <w:r w:rsidR="00F513A1" w:rsidRPr="00EB4EBF">
        <w:t xml:space="preserve">Hasan F., Shah Z., Kanwal N., Zeb S., 2013, </w:t>
      </w:r>
      <w:r w:rsidR="00B66898" w:rsidRPr="00EB4EBF">
        <w:t>Biodegradation of Natural and Synthetic Rubber: A Review, International Biodeterioration &amp; Biodegradation, 83</w:t>
      </w:r>
      <w:r w:rsidR="00E01747" w:rsidRPr="00EB4EBF">
        <w:t>,</w:t>
      </w:r>
      <w:r w:rsidR="00B66898" w:rsidRPr="00EB4EBF">
        <w:t xml:space="preserve"> 145-157.</w:t>
      </w:r>
    </w:p>
    <w:p w14:paraId="41A93EF0" w14:textId="69918D82" w:rsidR="00452379" w:rsidRPr="00EB4EBF" w:rsidRDefault="00452379" w:rsidP="002B0407">
      <w:pPr>
        <w:pStyle w:val="CETReferencetext"/>
      </w:pPr>
      <w:r w:rsidRPr="00EB4EBF">
        <w:t xml:space="preserve">Singh S., Farooq D., Thakur R., 2017, Screening of Natural Rubber Degradation by Fungi; Aspergillus and </w:t>
      </w:r>
      <w:proofErr w:type="spellStart"/>
      <w:r w:rsidRPr="00EB4EBF">
        <w:t>Plebia</w:t>
      </w:r>
      <w:proofErr w:type="spellEnd"/>
      <w:r w:rsidRPr="00EB4EBF">
        <w:t xml:space="preserve"> Sp. and Bacteria Pseudomonas and Streptomyces sp., Research Journal of Pharmacy and Technology, 10(11), </w:t>
      </w:r>
      <w:r w:rsidR="00622507" w:rsidRPr="00EB4EBF">
        <w:t>3939-3944.</w:t>
      </w:r>
    </w:p>
    <w:p w14:paraId="0FEE9184" w14:textId="4641CE4F" w:rsidR="008858C9" w:rsidRPr="00EB4EBF" w:rsidRDefault="008858C9" w:rsidP="002B0407">
      <w:pPr>
        <w:pStyle w:val="CETReferencetext"/>
      </w:pPr>
      <w:r w:rsidRPr="00EB4EBF">
        <w:t xml:space="preserve">Srivastava N., Shukla A.K., Singh R.S., Upadhyay S.N., Dubey S.K., </w:t>
      </w:r>
      <w:r w:rsidR="00DA2063" w:rsidRPr="00EB4EBF">
        <w:t>2015, Characterization of Bacterial Isolates from Rubber Dump Site and their Use in Biodegradation of Isoprene in Batch and Continuous Bioreactors</w:t>
      </w:r>
      <w:r w:rsidR="0039231B" w:rsidRPr="00EB4EBF">
        <w:t>, Bioresource Technology, 188</w:t>
      </w:r>
      <w:r w:rsidR="00E01747" w:rsidRPr="00EB4EBF">
        <w:t>,</w:t>
      </w:r>
      <w:r w:rsidR="0039231B" w:rsidRPr="00EB4EBF">
        <w:t xml:space="preserve"> 84-91</w:t>
      </w:r>
      <w:r w:rsidR="00024C67" w:rsidRPr="00EB4EBF">
        <w:t>.</w:t>
      </w:r>
    </w:p>
    <w:p w14:paraId="1605C070" w14:textId="336886B7" w:rsidR="002D4486" w:rsidRPr="00EB4EBF" w:rsidRDefault="002D4486" w:rsidP="002B0407">
      <w:pPr>
        <w:pStyle w:val="CETReferencetext"/>
      </w:pPr>
      <w:r w:rsidRPr="00EB4EBF">
        <w:t>Stevenson K., Stallwood B., Hart A.G., 2008, Tire Rubber Recycling and Bioremediation: A Review, Bioreme</w:t>
      </w:r>
      <w:r w:rsidR="00A5133E" w:rsidRPr="00EB4EBF">
        <w:t>d</w:t>
      </w:r>
      <w:r w:rsidRPr="00EB4EBF">
        <w:t>iation Journal, 12(1)</w:t>
      </w:r>
      <w:r w:rsidR="00E01747" w:rsidRPr="00EB4EBF">
        <w:t>,</w:t>
      </w:r>
      <w:r w:rsidRPr="00EB4EBF">
        <w:t xml:space="preserve"> 1-11.</w:t>
      </w:r>
    </w:p>
    <w:p w14:paraId="4C04EA6E" w14:textId="79642CE9" w:rsidR="004C2328" w:rsidRPr="00EB4EBF" w:rsidRDefault="004C2328" w:rsidP="002B0407">
      <w:pPr>
        <w:pStyle w:val="CETReferencetext"/>
      </w:pPr>
      <w:r w:rsidRPr="00EB4EBF">
        <w:t>Tiseo I., 2021</w:t>
      </w:r>
      <w:r w:rsidR="0095564B" w:rsidRPr="00EB4EBF">
        <w:t>a</w:t>
      </w:r>
      <w:r w:rsidRPr="00EB4EBF">
        <w:t>, Global Production of Natural Rubber 2000-2020, Statista</w:t>
      </w:r>
      <w:r w:rsidR="0066368B" w:rsidRPr="00EB4EBF">
        <w:t xml:space="preserve"> &lt;www.statista.com/statistics/275387/global-natural-rubber-production/&gt; accessed 18.01.2022.</w:t>
      </w:r>
    </w:p>
    <w:p w14:paraId="1AFA1872" w14:textId="44CDD3F1" w:rsidR="0095564B" w:rsidRPr="00EB4EBF" w:rsidRDefault="0095564B" w:rsidP="002B0407">
      <w:pPr>
        <w:pStyle w:val="CETReferencetext"/>
      </w:pPr>
      <w:r w:rsidRPr="00EB4EBF">
        <w:t>Tiseo I., 2021b, Synthetic Global Production 2000-2020, Statista &lt;https://www.statista.com/statistics/280536/global-natural-rubber-production/&gt; accessed 18.01.2022.</w:t>
      </w:r>
    </w:p>
    <w:p w14:paraId="6C20AB64" w14:textId="7AB88439" w:rsidR="00AA780B" w:rsidRDefault="00BF41EF" w:rsidP="00C97E01">
      <w:pPr>
        <w:pStyle w:val="CETReferencetext"/>
      </w:pPr>
      <w:r w:rsidRPr="00EB4EBF">
        <w:t>Tsuchii A., Tokiwa Y., 2001, Microbial Degradation of Tyre Rubber Particles, Biotechnology Letters, 23(12), 963-969.</w:t>
      </w:r>
    </w:p>
    <w:sectPr w:rsidR="00AA780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88E39" w14:textId="77777777" w:rsidR="00111F79" w:rsidRDefault="00111F79" w:rsidP="004F5E36">
      <w:r>
        <w:separator/>
      </w:r>
    </w:p>
  </w:endnote>
  <w:endnote w:type="continuationSeparator" w:id="0">
    <w:p w14:paraId="5C40669B" w14:textId="77777777" w:rsidR="00111F79" w:rsidRDefault="00111F7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6F453" w14:textId="77777777" w:rsidR="00111F79" w:rsidRDefault="00111F79" w:rsidP="004F5E36">
      <w:r>
        <w:separator/>
      </w:r>
    </w:p>
  </w:footnote>
  <w:footnote w:type="continuationSeparator" w:id="0">
    <w:p w14:paraId="45F49019" w14:textId="77777777" w:rsidR="00111F79" w:rsidRDefault="00111F7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797"/>
    <w:rsid w:val="00007F53"/>
    <w:rsid w:val="00010175"/>
    <w:rsid w:val="000117CB"/>
    <w:rsid w:val="00011863"/>
    <w:rsid w:val="00013D51"/>
    <w:rsid w:val="00014B12"/>
    <w:rsid w:val="00022699"/>
    <w:rsid w:val="00024C67"/>
    <w:rsid w:val="00025C08"/>
    <w:rsid w:val="000302FC"/>
    <w:rsid w:val="0003148D"/>
    <w:rsid w:val="00031EEC"/>
    <w:rsid w:val="00035FA8"/>
    <w:rsid w:val="00037B87"/>
    <w:rsid w:val="000509FF"/>
    <w:rsid w:val="00051566"/>
    <w:rsid w:val="00062A9A"/>
    <w:rsid w:val="00065058"/>
    <w:rsid w:val="00065B69"/>
    <w:rsid w:val="00066B06"/>
    <w:rsid w:val="00066DCE"/>
    <w:rsid w:val="00071BF7"/>
    <w:rsid w:val="00072721"/>
    <w:rsid w:val="000744D1"/>
    <w:rsid w:val="00075279"/>
    <w:rsid w:val="00086C39"/>
    <w:rsid w:val="0009130B"/>
    <w:rsid w:val="0009462C"/>
    <w:rsid w:val="000956E4"/>
    <w:rsid w:val="00097540"/>
    <w:rsid w:val="000A03B2"/>
    <w:rsid w:val="000A0540"/>
    <w:rsid w:val="000A0A7B"/>
    <w:rsid w:val="000A3788"/>
    <w:rsid w:val="000B0B66"/>
    <w:rsid w:val="000B5392"/>
    <w:rsid w:val="000B73BA"/>
    <w:rsid w:val="000C2C59"/>
    <w:rsid w:val="000D0268"/>
    <w:rsid w:val="000D34BE"/>
    <w:rsid w:val="000D45DB"/>
    <w:rsid w:val="000D71D3"/>
    <w:rsid w:val="000E0916"/>
    <w:rsid w:val="000E102F"/>
    <w:rsid w:val="000E36F1"/>
    <w:rsid w:val="000E3A73"/>
    <w:rsid w:val="000E3B64"/>
    <w:rsid w:val="000E3DC0"/>
    <w:rsid w:val="000E414A"/>
    <w:rsid w:val="000E42D0"/>
    <w:rsid w:val="000F00F1"/>
    <w:rsid w:val="000F0864"/>
    <w:rsid w:val="000F093C"/>
    <w:rsid w:val="000F40E7"/>
    <w:rsid w:val="000F4368"/>
    <w:rsid w:val="000F787B"/>
    <w:rsid w:val="00100B50"/>
    <w:rsid w:val="001020D0"/>
    <w:rsid w:val="001029E9"/>
    <w:rsid w:val="0010526E"/>
    <w:rsid w:val="00107FE9"/>
    <w:rsid w:val="001100A4"/>
    <w:rsid w:val="00111BA6"/>
    <w:rsid w:val="00111F79"/>
    <w:rsid w:val="001168E0"/>
    <w:rsid w:val="0011799A"/>
    <w:rsid w:val="0012091F"/>
    <w:rsid w:val="00126417"/>
    <w:rsid w:val="00126BC2"/>
    <w:rsid w:val="001308B6"/>
    <w:rsid w:val="0013121F"/>
    <w:rsid w:val="001313F3"/>
    <w:rsid w:val="00131FE6"/>
    <w:rsid w:val="0013263F"/>
    <w:rsid w:val="001331DF"/>
    <w:rsid w:val="00134A6D"/>
    <w:rsid w:val="00134DE4"/>
    <w:rsid w:val="0013615B"/>
    <w:rsid w:val="0014034D"/>
    <w:rsid w:val="00144D16"/>
    <w:rsid w:val="0014561B"/>
    <w:rsid w:val="001508F3"/>
    <w:rsid w:val="00150E59"/>
    <w:rsid w:val="00151474"/>
    <w:rsid w:val="00152DE3"/>
    <w:rsid w:val="00160E12"/>
    <w:rsid w:val="00164CF9"/>
    <w:rsid w:val="001667A6"/>
    <w:rsid w:val="00167187"/>
    <w:rsid w:val="00170A58"/>
    <w:rsid w:val="001713CA"/>
    <w:rsid w:val="00172656"/>
    <w:rsid w:val="00180207"/>
    <w:rsid w:val="001810E6"/>
    <w:rsid w:val="001816D7"/>
    <w:rsid w:val="00184AD6"/>
    <w:rsid w:val="001950B1"/>
    <w:rsid w:val="001968A8"/>
    <w:rsid w:val="001A2540"/>
    <w:rsid w:val="001A2587"/>
    <w:rsid w:val="001A276A"/>
    <w:rsid w:val="001A4AF7"/>
    <w:rsid w:val="001A756A"/>
    <w:rsid w:val="001B0349"/>
    <w:rsid w:val="001B1E93"/>
    <w:rsid w:val="001B283A"/>
    <w:rsid w:val="001B65C1"/>
    <w:rsid w:val="001C3C97"/>
    <w:rsid w:val="001C684B"/>
    <w:rsid w:val="001C7D09"/>
    <w:rsid w:val="001D0CFB"/>
    <w:rsid w:val="001D21AF"/>
    <w:rsid w:val="001D3A23"/>
    <w:rsid w:val="001D53FC"/>
    <w:rsid w:val="001D6400"/>
    <w:rsid w:val="001D7F49"/>
    <w:rsid w:val="001F0171"/>
    <w:rsid w:val="001F01CC"/>
    <w:rsid w:val="001F3863"/>
    <w:rsid w:val="001F42A5"/>
    <w:rsid w:val="001F7B9D"/>
    <w:rsid w:val="00201004"/>
    <w:rsid w:val="00201C93"/>
    <w:rsid w:val="0020267A"/>
    <w:rsid w:val="00202843"/>
    <w:rsid w:val="0020469C"/>
    <w:rsid w:val="00216353"/>
    <w:rsid w:val="002171B8"/>
    <w:rsid w:val="00221805"/>
    <w:rsid w:val="002224B4"/>
    <w:rsid w:val="00222A98"/>
    <w:rsid w:val="00222EC0"/>
    <w:rsid w:val="00223239"/>
    <w:rsid w:val="002273B8"/>
    <w:rsid w:val="00227C69"/>
    <w:rsid w:val="0023115C"/>
    <w:rsid w:val="00231D39"/>
    <w:rsid w:val="002324BE"/>
    <w:rsid w:val="00233A66"/>
    <w:rsid w:val="00234A5C"/>
    <w:rsid w:val="002359A2"/>
    <w:rsid w:val="00244071"/>
    <w:rsid w:val="002447EF"/>
    <w:rsid w:val="00246F7E"/>
    <w:rsid w:val="002473BF"/>
    <w:rsid w:val="00247EB8"/>
    <w:rsid w:val="00251550"/>
    <w:rsid w:val="00256F09"/>
    <w:rsid w:val="00263B05"/>
    <w:rsid w:val="0026481A"/>
    <w:rsid w:val="0027029C"/>
    <w:rsid w:val="0027221A"/>
    <w:rsid w:val="00272BCC"/>
    <w:rsid w:val="0027554B"/>
    <w:rsid w:val="00275B61"/>
    <w:rsid w:val="00275E36"/>
    <w:rsid w:val="00280FAF"/>
    <w:rsid w:val="00282656"/>
    <w:rsid w:val="0028334E"/>
    <w:rsid w:val="002851C7"/>
    <w:rsid w:val="00286FAE"/>
    <w:rsid w:val="0029174A"/>
    <w:rsid w:val="00296B83"/>
    <w:rsid w:val="002A174D"/>
    <w:rsid w:val="002A1BEF"/>
    <w:rsid w:val="002A51F6"/>
    <w:rsid w:val="002B0407"/>
    <w:rsid w:val="002B357C"/>
    <w:rsid w:val="002B4015"/>
    <w:rsid w:val="002B78CE"/>
    <w:rsid w:val="002B7FD3"/>
    <w:rsid w:val="002C119E"/>
    <w:rsid w:val="002C2FB6"/>
    <w:rsid w:val="002D4486"/>
    <w:rsid w:val="002D707A"/>
    <w:rsid w:val="002E1B32"/>
    <w:rsid w:val="002E5FA7"/>
    <w:rsid w:val="002E7FB8"/>
    <w:rsid w:val="002F067F"/>
    <w:rsid w:val="002F139C"/>
    <w:rsid w:val="002F3309"/>
    <w:rsid w:val="002F40F7"/>
    <w:rsid w:val="002F50DE"/>
    <w:rsid w:val="002F73DA"/>
    <w:rsid w:val="003008CE"/>
    <w:rsid w:val="003009B7"/>
    <w:rsid w:val="00300CBF"/>
    <w:rsid w:val="00300E56"/>
    <w:rsid w:val="0030469C"/>
    <w:rsid w:val="00305178"/>
    <w:rsid w:val="00307639"/>
    <w:rsid w:val="00314BD0"/>
    <w:rsid w:val="00321CA6"/>
    <w:rsid w:val="00323763"/>
    <w:rsid w:val="00324438"/>
    <w:rsid w:val="00333FAF"/>
    <w:rsid w:val="00334C09"/>
    <w:rsid w:val="00335934"/>
    <w:rsid w:val="00337163"/>
    <w:rsid w:val="00337D5E"/>
    <w:rsid w:val="0034511F"/>
    <w:rsid w:val="00347E70"/>
    <w:rsid w:val="00350BB6"/>
    <w:rsid w:val="00351812"/>
    <w:rsid w:val="0035303D"/>
    <w:rsid w:val="003627C7"/>
    <w:rsid w:val="0037019F"/>
    <w:rsid w:val="00371008"/>
    <w:rsid w:val="003723D4"/>
    <w:rsid w:val="00376BB4"/>
    <w:rsid w:val="003811B4"/>
    <w:rsid w:val="00381905"/>
    <w:rsid w:val="00383831"/>
    <w:rsid w:val="00384CC8"/>
    <w:rsid w:val="003869FC"/>
    <w:rsid w:val="003871FD"/>
    <w:rsid w:val="00391F81"/>
    <w:rsid w:val="0039231B"/>
    <w:rsid w:val="003960E7"/>
    <w:rsid w:val="0039695C"/>
    <w:rsid w:val="003A1E30"/>
    <w:rsid w:val="003A26ED"/>
    <w:rsid w:val="003A2829"/>
    <w:rsid w:val="003A5D7F"/>
    <w:rsid w:val="003A7817"/>
    <w:rsid w:val="003A7D1C"/>
    <w:rsid w:val="003B007D"/>
    <w:rsid w:val="003B304B"/>
    <w:rsid w:val="003B3146"/>
    <w:rsid w:val="003B793C"/>
    <w:rsid w:val="003C0090"/>
    <w:rsid w:val="003C068C"/>
    <w:rsid w:val="003C267B"/>
    <w:rsid w:val="003C6187"/>
    <w:rsid w:val="003C71FD"/>
    <w:rsid w:val="003D5DFC"/>
    <w:rsid w:val="003E7233"/>
    <w:rsid w:val="003F015E"/>
    <w:rsid w:val="003F0CAA"/>
    <w:rsid w:val="003F1699"/>
    <w:rsid w:val="003F4ED9"/>
    <w:rsid w:val="003F6E92"/>
    <w:rsid w:val="00400414"/>
    <w:rsid w:val="004017D1"/>
    <w:rsid w:val="004038E1"/>
    <w:rsid w:val="004078FF"/>
    <w:rsid w:val="0041200C"/>
    <w:rsid w:val="0041293D"/>
    <w:rsid w:val="0041412A"/>
    <w:rsid w:val="0041446B"/>
    <w:rsid w:val="00414DE5"/>
    <w:rsid w:val="00421A19"/>
    <w:rsid w:val="00422F03"/>
    <w:rsid w:val="0042303C"/>
    <w:rsid w:val="00425F98"/>
    <w:rsid w:val="00427436"/>
    <w:rsid w:val="00430643"/>
    <w:rsid w:val="0043170C"/>
    <w:rsid w:val="00432617"/>
    <w:rsid w:val="00433B91"/>
    <w:rsid w:val="0044071E"/>
    <w:rsid w:val="0044329C"/>
    <w:rsid w:val="0045181E"/>
    <w:rsid w:val="00451EBF"/>
    <w:rsid w:val="00452379"/>
    <w:rsid w:val="00453E24"/>
    <w:rsid w:val="004566EE"/>
    <w:rsid w:val="00457456"/>
    <w:rsid w:val="004577FE"/>
    <w:rsid w:val="00457B9C"/>
    <w:rsid w:val="0046164A"/>
    <w:rsid w:val="004628D2"/>
    <w:rsid w:val="00462DCD"/>
    <w:rsid w:val="004648AD"/>
    <w:rsid w:val="004652DA"/>
    <w:rsid w:val="00465C63"/>
    <w:rsid w:val="00466DD1"/>
    <w:rsid w:val="004702C5"/>
    <w:rsid w:val="004703A9"/>
    <w:rsid w:val="004760DE"/>
    <w:rsid w:val="004763D7"/>
    <w:rsid w:val="00482256"/>
    <w:rsid w:val="00495F4F"/>
    <w:rsid w:val="004A004E"/>
    <w:rsid w:val="004A24CF"/>
    <w:rsid w:val="004A405F"/>
    <w:rsid w:val="004A4156"/>
    <w:rsid w:val="004A5172"/>
    <w:rsid w:val="004B19B5"/>
    <w:rsid w:val="004B6C3B"/>
    <w:rsid w:val="004C2328"/>
    <w:rsid w:val="004C3D1D"/>
    <w:rsid w:val="004C7913"/>
    <w:rsid w:val="004D1ED1"/>
    <w:rsid w:val="004D6241"/>
    <w:rsid w:val="004E1B59"/>
    <w:rsid w:val="004E32E9"/>
    <w:rsid w:val="004E46CA"/>
    <w:rsid w:val="004E4DD6"/>
    <w:rsid w:val="004E774F"/>
    <w:rsid w:val="004E7E18"/>
    <w:rsid w:val="004F0AA9"/>
    <w:rsid w:val="004F521F"/>
    <w:rsid w:val="004F5E36"/>
    <w:rsid w:val="0050059B"/>
    <w:rsid w:val="0050147B"/>
    <w:rsid w:val="00503681"/>
    <w:rsid w:val="00506F68"/>
    <w:rsid w:val="00507B47"/>
    <w:rsid w:val="00507BEF"/>
    <w:rsid w:val="00507CC9"/>
    <w:rsid w:val="005119A5"/>
    <w:rsid w:val="005124C4"/>
    <w:rsid w:val="0051305B"/>
    <w:rsid w:val="005138EE"/>
    <w:rsid w:val="00515DB6"/>
    <w:rsid w:val="005162FA"/>
    <w:rsid w:val="00520305"/>
    <w:rsid w:val="00525DAC"/>
    <w:rsid w:val="005278B7"/>
    <w:rsid w:val="00532016"/>
    <w:rsid w:val="005346C8"/>
    <w:rsid w:val="005359EC"/>
    <w:rsid w:val="00536854"/>
    <w:rsid w:val="00537FFC"/>
    <w:rsid w:val="00540FE0"/>
    <w:rsid w:val="00541884"/>
    <w:rsid w:val="00543E7D"/>
    <w:rsid w:val="00544D0A"/>
    <w:rsid w:val="00547A68"/>
    <w:rsid w:val="005531C9"/>
    <w:rsid w:val="00553D96"/>
    <w:rsid w:val="00555068"/>
    <w:rsid w:val="00555917"/>
    <w:rsid w:val="00564585"/>
    <w:rsid w:val="00567096"/>
    <w:rsid w:val="00570C43"/>
    <w:rsid w:val="00574902"/>
    <w:rsid w:val="00575516"/>
    <w:rsid w:val="00576028"/>
    <w:rsid w:val="00577976"/>
    <w:rsid w:val="005805E9"/>
    <w:rsid w:val="00582D29"/>
    <w:rsid w:val="00584187"/>
    <w:rsid w:val="00585ACA"/>
    <w:rsid w:val="00585D3E"/>
    <w:rsid w:val="0059699F"/>
    <w:rsid w:val="005A3237"/>
    <w:rsid w:val="005B05A0"/>
    <w:rsid w:val="005B1488"/>
    <w:rsid w:val="005B2110"/>
    <w:rsid w:val="005B61E6"/>
    <w:rsid w:val="005C04B6"/>
    <w:rsid w:val="005C2AC3"/>
    <w:rsid w:val="005C3C60"/>
    <w:rsid w:val="005C4692"/>
    <w:rsid w:val="005C77E1"/>
    <w:rsid w:val="005D0EDA"/>
    <w:rsid w:val="005D668A"/>
    <w:rsid w:val="005D6A2F"/>
    <w:rsid w:val="005E05C0"/>
    <w:rsid w:val="005E08DC"/>
    <w:rsid w:val="005E15D5"/>
    <w:rsid w:val="005E1A82"/>
    <w:rsid w:val="005E794C"/>
    <w:rsid w:val="005F0A28"/>
    <w:rsid w:val="005F0E5E"/>
    <w:rsid w:val="005F6314"/>
    <w:rsid w:val="005F6D0C"/>
    <w:rsid w:val="005F7A6D"/>
    <w:rsid w:val="00600535"/>
    <w:rsid w:val="006009F6"/>
    <w:rsid w:val="00603092"/>
    <w:rsid w:val="006045D4"/>
    <w:rsid w:val="00604911"/>
    <w:rsid w:val="00610CD6"/>
    <w:rsid w:val="00614423"/>
    <w:rsid w:val="0061587D"/>
    <w:rsid w:val="006207AD"/>
    <w:rsid w:val="00620DEE"/>
    <w:rsid w:val="00621F92"/>
    <w:rsid w:val="00622507"/>
    <w:rsid w:val="0062280A"/>
    <w:rsid w:val="00624CE9"/>
    <w:rsid w:val="00625639"/>
    <w:rsid w:val="00630BB0"/>
    <w:rsid w:val="00631B33"/>
    <w:rsid w:val="0064184D"/>
    <w:rsid w:val="00641C86"/>
    <w:rsid w:val="006422CC"/>
    <w:rsid w:val="00645396"/>
    <w:rsid w:val="00651A37"/>
    <w:rsid w:val="006543C2"/>
    <w:rsid w:val="0065513C"/>
    <w:rsid w:val="00656457"/>
    <w:rsid w:val="00660E3E"/>
    <w:rsid w:val="0066217B"/>
    <w:rsid w:val="00662E74"/>
    <w:rsid w:val="0066368B"/>
    <w:rsid w:val="006677C3"/>
    <w:rsid w:val="00670004"/>
    <w:rsid w:val="00670ACB"/>
    <w:rsid w:val="00673832"/>
    <w:rsid w:val="00674871"/>
    <w:rsid w:val="0067565A"/>
    <w:rsid w:val="00680C23"/>
    <w:rsid w:val="006826FB"/>
    <w:rsid w:val="00683A06"/>
    <w:rsid w:val="00683DFE"/>
    <w:rsid w:val="00693766"/>
    <w:rsid w:val="006A226B"/>
    <w:rsid w:val="006A2D18"/>
    <w:rsid w:val="006A2E28"/>
    <w:rsid w:val="006A3281"/>
    <w:rsid w:val="006A699B"/>
    <w:rsid w:val="006B0A7A"/>
    <w:rsid w:val="006B286D"/>
    <w:rsid w:val="006B43F3"/>
    <w:rsid w:val="006B4888"/>
    <w:rsid w:val="006C2E45"/>
    <w:rsid w:val="006C359C"/>
    <w:rsid w:val="006C5579"/>
    <w:rsid w:val="006C670E"/>
    <w:rsid w:val="006D19BF"/>
    <w:rsid w:val="006D45F2"/>
    <w:rsid w:val="006D6E8B"/>
    <w:rsid w:val="006E17E0"/>
    <w:rsid w:val="006E27B9"/>
    <w:rsid w:val="006E3978"/>
    <w:rsid w:val="006E6707"/>
    <w:rsid w:val="006E737D"/>
    <w:rsid w:val="006E7514"/>
    <w:rsid w:val="006F2F10"/>
    <w:rsid w:val="006F39B3"/>
    <w:rsid w:val="006F4A78"/>
    <w:rsid w:val="006F5025"/>
    <w:rsid w:val="00702B8B"/>
    <w:rsid w:val="00702DB8"/>
    <w:rsid w:val="00707507"/>
    <w:rsid w:val="00712846"/>
    <w:rsid w:val="00713973"/>
    <w:rsid w:val="007148BC"/>
    <w:rsid w:val="007149F8"/>
    <w:rsid w:val="00715167"/>
    <w:rsid w:val="0071581D"/>
    <w:rsid w:val="00720A24"/>
    <w:rsid w:val="00731421"/>
    <w:rsid w:val="00731E30"/>
    <w:rsid w:val="00731FBD"/>
    <w:rsid w:val="00732386"/>
    <w:rsid w:val="00733458"/>
    <w:rsid w:val="007334F6"/>
    <w:rsid w:val="007337E2"/>
    <w:rsid w:val="0073514D"/>
    <w:rsid w:val="00736498"/>
    <w:rsid w:val="00736954"/>
    <w:rsid w:val="0074460F"/>
    <w:rsid w:val="007447F3"/>
    <w:rsid w:val="00744D50"/>
    <w:rsid w:val="0075040A"/>
    <w:rsid w:val="00751FDE"/>
    <w:rsid w:val="0075352D"/>
    <w:rsid w:val="0075499F"/>
    <w:rsid w:val="00763CE6"/>
    <w:rsid w:val="00765D2A"/>
    <w:rsid w:val="007661C8"/>
    <w:rsid w:val="00766C6C"/>
    <w:rsid w:val="0077098D"/>
    <w:rsid w:val="0077226A"/>
    <w:rsid w:val="007731E8"/>
    <w:rsid w:val="007768D7"/>
    <w:rsid w:val="00776D88"/>
    <w:rsid w:val="007777F6"/>
    <w:rsid w:val="00780620"/>
    <w:rsid w:val="007813D5"/>
    <w:rsid w:val="0078258C"/>
    <w:rsid w:val="00782A24"/>
    <w:rsid w:val="00783706"/>
    <w:rsid w:val="007874A7"/>
    <w:rsid w:val="00787CFB"/>
    <w:rsid w:val="00787E09"/>
    <w:rsid w:val="0079020A"/>
    <w:rsid w:val="00790E2B"/>
    <w:rsid w:val="007931FA"/>
    <w:rsid w:val="007A4861"/>
    <w:rsid w:val="007A4908"/>
    <w:rsid w:val="007A722F"/>
    <w:rsid w:val="007A7BBA"/>
    <w:rsid w:val="007B0C50"/>
    <w:rsid w:val="007B48F9"/>
    <w:rsid w:val="007B5FE6"/>
    <w:rsid w:val="007C1A43"/>
    <w:rsid w:val="007C5C0F"/>
    <w:rsid w:val="007C78AB"/>
    <w:rsid w:val="007C7986"/>
    <w:rsid w:val="007D12F6"/>
    <w:rsid w:val="007D430E"/>
    <w:rsid w:val="007D4BEE"/>
    <w:rsid w:val="007D6A6B"/>
    <w:rsid w:val="007F0D83"/>
    <w:rsid w:val="007F25A0"/>
    <w:rsid w:val="0080013E"/>
    <w:rsid w:val="0080197E"/>
    <w:rsid w:val="008022A5"/>
    <w:rsid w:val="00803884"/>
    <w:rsid w:val="00813288"/>
    <w:rsid w:val="00813C8A"/>
    <w:rsid w:val="00816037"/>
    <w:rsid w:val="008168FC"/>
    <w:rsid w:val="0082056C"/>
    <w:rsid w:val="00823647"/>
    <w:rsid w:val="00823696"/>
    <w:rsid w:val="00830996"/>
    <w:rsid w:val="00832900"/>
    <w:rsid w:val="00832D56"/>
    <w:rsid w:val="0083356B"/>
    <w:rsid w:val="008345F1"/>
    <w:rsid w:val="00836569"/>
    <w:rsid w:val="00836EB6"/>
    <w:rsid w:val="008404EA"/>
    <w:rsid w:val="00840B60"/>
    <w:rsid w:val="00850E15"/>
    <w:rsid w:val="00856FC2"/>
    <w:rsid w:val="00857183"/>
    <w:rsid w:val="00857F7F"/>
    <w:rsid w:val="008628F4"/>
    <w:rsid w:val="0086533A"/>
    <w:rsid w:val="0086536C"/>
    <w:rsid w:val="008656B9"/>
    <w:rsid w:val="00865B07"/>
    <w:rsid w:val="008667EA"/>
    <w:rsid w:val="00866D51"/>
    <w:rsid w:val="00874BD7"/>
    <w:rsid w:val="008756C2"/>
    <w:rsid w:val="00875AB4"/>
    <w:rsid w:val="00876352"/>
    <w:rsid w:val="0087637F"/>
    <w:rsid w:val="00877E25"/>
    <w:rsid w:val="00881056"/>
    <w:rsid w:val="00881E7B"/>
    <w:rsid w:val="00882BCC"/>
    <w:rsid w:val="008844C3"/>
    <w:rsid w:val="00884D02"/>
    <w:rsid w:val="008858C9"/>
    <w:rsid w:val="00892A68"/>
    <w:rsid w:val="00892AD5"/>
    <w:rsid w:val="00893EA6"/>
    <w:rsid w:val="008A1512"/>
    <w:rsid w:val="008A1EF9"/>
    <w:rsid w:val="008A289F"/>
    <w:rsid w:val="008A46F7"/>
    <w:rsid w:val="008A4910"/>
    <w:rsid w:val="008B2027"/>
    <w:rsid w:val="008B2194"/>
    <w:rsid w:val="008B266D"/>
    <w:rsid w:val="008B4F25"/>
    <w:rsid w:val="008B54E6"/>
    <w:rsid w:val="008C43CB"/>
    <w:rsid w:val="008C5A41"/>
    <w:rsid w:val="008C6EEE"/>
    <w:rsid w:val="008C7E95"/>
    <w:rsid w:val="008D32B9"/>
    <w:rsid w:val="008D39EC"/>
    <w:rsid w:val="008D433B"/>
    <w:rsid w:val="008D4ACF"/>
    <w:rsid w:val="008D687E"/>
    <w:rsid w:val="008E1217"/>
    <w:rsid w:val="008E566E"/>
    <w:rsid w:val="008E60C2"/>
    <w:rsid w:val="008F03E6"/>
    <w:rsid w:val="008F0451"/>
    <w:rsid w:val="008F46D6"/>
    <w:rsid w:val="008F51F4"/>
    <w:rsid w:val="0090161A"/>
    <w:rsid w:val="00901EB6"/>
    <w:rsid w:val="00903AA6"/>
    <w:rsid w:val="00904C62"/>
    <w:rsid w:val="009068E2"/>
    <w:rsid w:val="009103AF"/>
    <w:rsid w:val="009137C9"/>
    <w:rsid w:val="00915428"/>
    <w:rsid w:val="00915476"/>
    <w:rsid w:val="009201EA"/>
    <w:rsid w:val="00920299"/>
    <w:rsid w:val="00922BA8"/>
    <w:rsid w:val="00922BFB"/>
    <w:rsid w:val="00924DAC"/>
    <w:rsid w:val="00927058"/>
    <w:rsid w:val="00927CA0"/>
    <w:rsid w:val="00930F98"/>
    <w:rsid w:val="00932D17"/>
    <w:rsid w:val="00932E19"/>
    <w:rsid w:val="009358FE"/>
    <w:rsid w:val="00940B4C"/>
    <w:rsid w:val="00941633"/>
    <w:rsid w:val="00942750"/>
    <w:rsid w:val="00942884"/>
    <w:rsid w:val="00943E1F"/>
    <w:rsid w:val="009450CE"/>
    <w:rsid w:val="00945AB6"/>
    <w:rsid w:val="00947179"/>
    <w:rsid w:val="009472D2"/>
    <w:rsid w:val="009474B6"/>
    <w:rsid w:val="00947CB4"/>
    <w:rsid w:val="00947CB5"/>
    <w:rsid w:val="0095164B"/>
    <w:rsid w:val="00954090"/>
    <w:rsid w:val="0095564B"/>
    <w:rsid w:val="009573E7"/>
    <w:rsid w:val="0096047E"/>
    <w:rsid w:val="00962F97"/>
    <w:rsid w:val="00962FE3"/>
    <w:rsid w:val="009631D9"/>
    <w:rsid w:val="00963B02"/>
    <w:rsid w:val="00963E05"/>
    <w:rsid w:val="00964A45"/>
    <w:rsid w:val="00964D0B"/>
    <w:rsid w:val="00967843"/>
    <w:rsid w:val="00967D54"/>
    <w:rsid w:val="00971028"/>
    <w:rsid w:val="009755A5"/>
    <w:rsid w:val="0097773A"/>
    <w:rsid w:val="00980332"/>
    <w:rsid w:val="00987518"/>
    <w:rsid w:val="009908CE"/>
    <w:rsid w:val="00993B84"/>
    <w:rsid w:val="00996483"/>
    <w:rsid w:val="00996F5A"/>
    <w:rsid w:val="009A7335"/>
    <w:rsid w:val="009B041A"/>
    <w:rsid w:val="009B607A"/>
    <w:rsid w:val="009B7B4F"/>
    <w:rsid w:val="009C37C3"/>
    <w:rsid w:val="009C52CF"/>
    <w:rsid w:val="009C7C86"/>
    <w:rsid w:val="009D11F0"/>
    <w:rsid w:val="009D2FF7"/>
    <w:rsid w:val="009D55D4"/>
    <w:rsid w:val="009E3D51"/>
    <w:rsid w:val="009E7884"/>
    <w:rsid w:val="009E788A"/>
    <w:rsid w:val="009F0E08"/>
    <w:rsid w:val="009F17F2"/>
    <w:rsid w:val="009F316A"/>
    <w:rsid w:val="009F446C"/>
    <w:rsid w:val="00A02BEA"/>
    <w:rsid w:val="00A02F1D"/>
    <w:rsid w:val="00A06088"/>
    <w:rsid w:val="00A077A3"/>
    <w:rsid w:val="00A1696A"/>
    <w:rsid w:val="00A1763D"/>
    <w:rsid w:val="00A176A3"/>
    <w:rsid w:val="00A17CEC"/>
    <w:rsid w:val="00A22449"/>
    <w:rsid w:val="00A24A42"/>
    <w:rsid w:val="00A25AD5"/>
    <w:rsid w:val="00A27EF0"/>
    <w:rsid w:val="00A37AB6"/>
    <w:rsid w:val="00A37BCD"/>
    <w:rsid w:val="00A4090B"/>
    <w:rsid w:val="00A42361"/>
    <w:rsid w:val="00A42EDD"/>
    <w:rsid w:val="00A47795"/>
    <w:rsid w:val="00A50644"/>
    <w:rsid w:val="00A50B20"/>
    <w:rsid w:val="00A5133E"/>
    <w:rsid w:val="00A51390"/>
    <w:rsid w:val="00A542A4"/>
    <w:rsid w:val="00A55141"/>
    <w:rsid w:val="00A55561"/>
    <w:rsid w:val="00A56CA4"/>
    <w:rsid w:val="00A60D13"/>
    <w:rsid w:val="00A6396F"/>
    <w:rsid w:val="00A64F68"/>
    <w:rsid w:val="00A657D7"/>
    <w:rsid w:val="00A66CCE"/>
    <w:rsid w:val="00A671E9"/>
    <w:rsid w:val="00A72745"/>
    <w:rsid w:val="00A73144"/>
    <w:rsid w:val="00A76EFC"/>
    <w:rsid w:val="00A77366"/>
    <w:rsid w:val="00A80337"/>
    <w:rsid w:val="00A805B4"/>
    <w:rsid w:val="00A81061"/>
    <w:rsid w:val="00A91010"/>
    <w:rsid w:val="00A93D04"/>
    <w:rsid w:val="00A97F29"/>
    <w:rsid w:val="00AA0F29"/>
    <w:rsid w:val="00AA27F1"/>
    <w:rsid w:val="00AA3D11"/>
    <w:rsid w:val="00AA702E"/>
    <w:rsid w:val="00AA722E"/>
    <w:rsid w:val="00AA780B"/>
    <w:rsid w:val="00AB0964"/>
    <w:rsid w:val="00AB3F3A"/>
    <w:rsid w:val="00AB4C2C"/>
    <w:rsid w:val="00AB5011"/>
    <w:rsid w:val="00AC1ACE"/>
    <w:rsid w:val="00AC1F1B"/>
    <w:rsid w:val="00AC3C52"/>
    <w:rsid w:val="00AC7368"/>
    <w:rsid w:val="00AD16B9"/>
    <w:rsid w:val="00AD6CE2"/>
    <w:rsid w:val="00AD7950"/>
    <w:rsid w:val="00AD79BE"/>
    <w:rsid w:val="00AE031F"/>
    <w:rsid w:val="00AE377D"/>
    <w:rsid w:val="00AE38F6"/>
    <w:rsid w:val="00AE551F"/>
    <w:rsid w:val="00AE739D"/>
    <w:rsid w:val="00AF0EBA"/>
    <w:rsid w:val="00AF2C31"/>
    <w:rsid w:val="00AF3238"/>
    <w:rsid w:val="00AF3A2F"/>
    <w:rsid w:val="00AF6775"/>
    <w:rsid w:val="00AF7E63"/>
    <w:rsid w:val="00B02C8A"/>
    <w:rsid w:val="00B132B4"/>
    <w:rsid w:val="00B13C26"/>
    <w:rsid w:val="00B15798"/>
    <w:rsid w:val="00B16D0A"/>
    <w:rsid w:val="00B17FBD"/>
    <w:rsid w:val="00B20B35"/>
    <w:rsid w:val="00B215F9"/>
    <w:rsid w:val="00B22B0F"/>
    <w:rsid w:val="00B24476"/>
    <w:rsid w:val="00B2450A"/>
    <w:rsid w:val="00B315A6"/>
    <w:rsid w:val="00B31813"/>
    <w:rsid w:val="00B3189C"/>
    <w:rsid w:val="00B31AAD"/>
    <w:rsid w:val="00B33365"/>
    <w:rsid w:val="00B37ADE"/>
    <w:rsid w:val="00B42488"/>
    <w:rsid w:val="00B439EF"/>
    <w:rsid w:val="00B44B28"/>
    <w:rsid w:val="00B44CEA"/>
    <w:rsid w:val="00B46C5F"/>
    <w:rsid w:val="00B510B8"/>
    <w:rsid w:val="00B57B36"/>
    <w:rsid w:val="00B57E6F"/>
    <w:rsid w:val="00B642F0"/>
    <w:rsid w:val="00B64DF3"/>
    <w:rsid w:val="00B66586"/>
    <w:rsid w:val="00B66898"/>
    <w:rsid w:val="00B67138"/>
    <w:rsid w:val="00B70CFF"/>
    <w:rsid w:val="00B75920"/>
    <w:rsid w:val="00B768C6"/>
    <w:rsid w:val="00B7705E"/>
    <w:rsid w:val="00B80B03"/>
    <w:rsid w:val="00B80CEB"/>
    <w:rsid w:val="00B83F5C"/>
    <w:rsid w:val="00B85B8D"/>
    <w:rsid w:val="00B8686D"/>
    <w:rsid w:val="00B90189"/>
    <w:rsid w:val="00B93F69"/>
    <w:rsid w:val="00B966B0"/>
    <w:rsid w:val="00BA0D87"/>
    <w:rsid w:val="00BA1BFE"/>
    <w:rsid w:val="00BA62E2"/>
    <w:rsid w:val="00BB1330"/>
    <w:rsid w:val="00BB1DDC"/>
    <w:rsid w:val="00BB419D"/>
    <w:rsid w:val="00BB4DBB"/>
    <w:rsid w:val="00BB6F2A"/>
    <w:rsid w:val="00BC30C9"/>
    <w:rsid w:val="00BC325A"/>
    <w:rsid w:val="00BD0616"/>
    <w:rsid w:val="00BD077D"/>
    <w:rsid w:val="00BD435F"/>
    <w:rsid w:val="00BE3D88"/>
    <w:rsid w:val="00BE3E58"/>
    <w:rsid w:val="00BE40A2"/>
    <w:rsid w:val="00BE4380"/>
    <w:rsid w:val="00BE739C"/>
    <w:rsid w:val="00BF2195"/>
    <w:rsid w:val="00BF2872"/>
    <w:rsid w:val="00BF3739"/>
    <w:rsid w:val="00BF41EF"/>
    <w:rsid w:val="00BF530F"/>
    <w:rsid w:val="00BF6345"/>
    <w:rsid w:val="00C00BB3"/>
    <w:rsid w:val="00C01616"/>
    <w:rsid w:val="00C0162B"/>
    <w:rsid w:val="00C0165F"/>
    <w:rsid w:val="00C017A8"/>
    <w:rsid w:val="00C01F9F"/>
    <w:rsid w:val="00C03288"/>
    <w:rsid w:val="00C068ED"/>
    <w:rsid w:val="00C12359"/>
    <w:rsid w:val="00C14B4B"/>
    <w:rsid w:val="00C14B9A"/>
    <w:rsid w:val="00C214B4"/>
    <w:rsid w:val="00C227A8"/>
    <w:rsid w:val="00C22E0C"/>
    <w:rsid w:val="00C263EC"/>
    <w:rsid w:val="00C31B1E"/>
    <w:rsid w:val="00C3243D"/>
    <w:rsid w:val="00C3414A"/>
    <w:rsid w:val="00C345B1"/>
    <w:rsid w:val="00C356A3"/>
    <w:rsid w:val="00C40142"/>
    <w:rsid w:val="00C4340D"/>
    <w:rsid w:val="00C448A0"/>
    <w:rsid w:val="00C52C3C"/>
    <w:rsid w:val="00C56C71"/>
    <w:rsid w:val="00C57182"/>
    <w:rsid w:val="00C57308"/>
    <w:rsid w:val="00C57863"/>
    <w:rsid w:val="00C621A3"/>
    <w:rsid w:val="00C63561"/>
    <w:rsid w:val="00C655FD"/>
    <w:rsid w:val="00C70554"/>
    <w:rsid w:val="00C75407"/>
    <w:rsid w:val="00C80ADF"/>
    <w:rsid w:val="00C84369"/>
    <w:rsid w:val="00C8477E"/>
    <w:rsid w:val="00C870A8"/>
    <w:rsid w:val="00C90AE9"/>
    <w:rsid w:val="00C90C9F"/>
    <w:rsid w:val="00C917CA"/>
    <w:rsid w:val="00C94434"/>
    <w:rsid w:val="00C97E01"/>
    <w:rsid w:val="00CA0D75"/>
    <w:rsid w:val="00CA1BF5"/>
    <w:rsid w:val="00CA1C95"/>
    <w:rsid w:val="00CA2102"/>
    <w:rsid w:val="00CA2185"/>
    <w:rsid w:val="00CA51AD"/>
    <w:rsid w:val="00CA51FD"/>
    <w:rsid w:val="00CA5A9C"/>
    <w:rsid w:val="00CA6EC4"/>
    <w:rsid w:val="00CA7022"/>
    <w:rsid w:val="00CB50BF"/>
    <w:rsid w:val="00CB7274"/>
    <w:rsid w:val="00CC3505"/>
    <w:rsid w:val="00CC3D01"/>
    <w:rsid w:val="00CC4C20"/>
    <w:rsid w:val="00CC76DE"/>
    <w:rsid w:val="00CD1038"/>
    <w:rsid w:val="00CD166C"/>
    <w:rsid w:val="00CD1D55"/>
    <w:rsid w:val="00CD3517"/>
    <w:rsid w:val="00CD513E"/>
    <w:rsid w:val="00CD5FE2"/>
    <w:rsid w:val="00CE3B68"/>
    <w:rsid w:val="00CE7C68"/>
    <w:rsid w:val="00CE7FFA"/>
    <w:rsid w:val="00CF1279"/>
    <w:rsid w:val="00CF3640"/>
    <w:rsid w:val="00CF4705"/>
    <w:rsid w:val="00CF5AF2"/>
    <w:rsid w:val="00CF7CB8"/>
    <w:rsid w:val="00D01E25"/>
    <w:rsid w:val="00D02B4C"/>
    <w:rsid w:val="00D0304D"/>
    <w:rsid w:val="00D039A2"/>
    <w:rsid w:val="00D040C4"/>
    <w:rsid w:val="00D05387"/>
    <w:rsid w:val="00D13F7B"/>
    <w:rsid w:val="00D1417F"/>
    <w:rsid w:val="00D1717A"/>
    <w:rsid w:val="00D21DCF"/>
    <w:rsid w:val="00D2231E"/>
    <w:rsid w:val="00D27B9B"/>
    <w:rsid w:val="00D30D4F"/>
    <w:rsid w:val="00D33BA3"/>
    <w:rsid w:val="00D34621"/>
    <w:rsid w:val="00D354EB"/>
    <w:rsid w:val="00D37181"/>
    <w:rsid w:val="00D41D9D"/>
    <w:rsid w:val="00D44AAF"/>
    <w:rsid w:val="00D44C4E"/>
    <w:rsid w:val="00D45C1D"/>
    <w:rsid w:val="00D46B7E"/>
    <w:rsid w:val="00D47903"/>
    <w:rsid w:val="00D51F4F"/>
    <w:rsid w:val="00D57C84"/>
    <w:rsid w:val="00D57E00"/>
    <w:rsid w:val="00D6057D"/>
    <w:rsid w:val="00D6071F"/>
    <w:rsid w:val="00D62636"/>
    <w:rsid w:val="00D64335"/>
    <w:rsid w:val="00D6460F"/>
    <w:rsid w:val="00D7004C"/>
    <w:rsid w:val="00D71640"/>
    <w:rsid w:val="00D7364D"/>
    <w:rsid w:val="00D76F1F"/>
    <w:rsid w:val="00D80E2F"/>
    <w:rsid w:val="00D836C5"/>
    <w:rsid w:val="00D84576"/>
    <w:rsid w:val="00D84EB6"/>
    <w:rsid w:val="00D955ED"/>
    <w:rsid w:val="00DA1399"/>
    <w:rsid w:val="00DA1DEA"/>
    <w:rsid w:val="00DA2063"/>
    <w:rsid w:val="00DA24C6"/>
    <w:rsid w:val="00DA2B23"/>
    <w:rsid w:val="00DA3B51"/>
    <w:rsid w:val="00DA3C38"/>
    <w:rsid w:val="00DA458B"/>
    <w:rsid w:val="00DA464E"/>
    <w:rsid w:val="00DA4D7B"/>
    <w:rsid w:val="00DA7E46"/>
    <w:rsid w:val="00DB34C1"/>
    <w:rsid w:val="00DB432D"/>
    <w:rsid w:val="00DB6604"/>
    <w:rsid w:val="00DC2005"/>
    <w:rsid w:val="00DC768F"/>
    <w:rsid w:val="00DD48B4"/>
    <w:rsid w:val="00DE083B"/>
    <w:rsid w:val="00DE264A"/>
    <w:rsid w:val="00DE42B3"/>
    <w:rsid w:val="00DE52BC"/>
    <w:rsid w:val="00DE5C36"/>
    <w:rsid w:val="00DE6C58"/>
    <w:rsid w:val="00DF1808"/>
    <w:rsid w:val="00DF5072"/>
    <w:rsid w:val="00DF51F2"/>
    <w:rsid w:val="00DF588B"/>
    <w:rsid w:val="00DF762B"/>
    <w:rsid w:val="00E009C3"/>
    <w:rsid w:val="00E01747"/>
    <w:rsid w:val="00E01BEC"/>
    <w:rsid w:val="00E02D18"/>
    <w:rsid w:val="00E041E7"/>
    <w:rsid w:val="00E113B4"/>
    <w:rsid w:val="00E13F72"/>
    <w:rsid w:val="00E23CA1"/>
    <w:rsid w:val="00E24775"/>
    <w:rsid w:val="00E24A7A"/>
    <w:rsid w:val="00E24E57"/>
    <w:rsid w:val="00E320A5"/>
    <w:rsid w:val="00E321B6"/>
    <w:rsid w:val="00E33F8B"/>
    <w:rsid w:val="00E3670F"/>
    <w:rsid w:val="00E409A8"/>
    <w:rsid w:val="00E50C12"/>
    <w:rsid w:val="00E55E11"/>
    <w:rsid w:val="00E561AF"/>
    <w:rsid w:val="00E5770B"/>
    <w:rsid w:val="00E578CE"/>
    <w:rsid w:val="00E61720"/>
    <w:rsid w:val="00E65B91"/>
    <w:rsid w:val="00E70EE8"/>
    <w:rsid w:val="00E713C9"/>
    <w:rsid w:val="00E71DDB"/>
    <w:rsid w:val="00E7209D"/>
    <w:rsid w:val="00E72EAD"/>
    <w:rsid w:val="00E7464F"/>
    <w:rsid w:val="00E77223"/>
    <w:rsid w:val="00E8338A"/>
    <w:rsid w:val="00E8383C"/>
    <w:rsid w:val="00E8528B"/>
    <w:rsid w:val="00E85B94"/>
    <w:rsid w:val="00E978D0"/>
    <w:rsid w:val="00EA3F08"/>
    <w:rsid w:val="00EA4613"/>
    <w:rsid w:val="00EA5CBB"/>
    <w:rsid w:val="00EA6969"/>
    <w:rsid w:val="00EA7F91"/>
    <w:rsid w:val="00EB007F"/>
    <w:rsid w:val="00EB1523"/>
    <w:rsid w:val="00EB4EBF"/>
    <w:rsid w:val="00EB577E"/>
    <w:rsid w:val="00EB796E"/>
    <w:rsid w:val="00EC0E49"/>
    <w:rsid w:val="00EC101F"/>
    <w:rsid w:val="00EC1402"/>
    <w:rsid w:val="00EC1D9F"/>
    <w:rsid w:val="00ED3834"/>
    <w:rsid w:val="00ED5350"/>
    <w:rsid w:val="00ED73C2"/>
    <w:rsid w:val="00EE0131"/>
    <w:rsid w:val="00EE17B0"/>
    <w:rsid w:val="00EE38FA"/>
    <w:rsid w:val="00EE4521"/>
    <w:rsid w:val="00EE7A6E"/>
    <w:rsid w:val="00EF06D9"/>
    <w:rsid w:val="00EF1FF5"/>
    <w:rsid w:val="00EF2C00"/>
    <w:rsid w:val="00EF4315"/>
    <w:rsid w:val="00F0458F"/>
    <w:rsid w:val="00F04A9C"/>
    <w:rsid w:val="00F077E9"/>
    <w:rsid w:val="00F12714"/>
    <w:rsid w:val="00F12FE8"/>
    <w:rsid w:val="00F143CC"/>
    <w:rsid w:val="00F21FEE"/>
    <w:rsid w:val="00F242C0"/>
    <w:rsid w:val="00F30C64"/>
    <w:rsid w:val="00F32BA2"/>
    <w:rsid w:val="00F32CDB"/>
    <w:rsid w:val="00F334AE"/>
    <w:rsid w:val="00F42625"/>
    <w:rsid w:val="00F46001"/>
    <w:rsid w:val="00F513A1"/>
    <w:rsid w:val="00F52A9C"/>
    <w:rsid w:val="00F533ED"/>
    <w:rsid w:val="00F565FE"/>
    <w:rsid w:val="00F60372"/>
    <w:rsid w:val="00F62EA7"/>
    <w:rsid w:val="00F63A70"/>
    <w:rsid w:val="00F64B07"/>
    <w:rsid w:val="00F71A36"/>
    <w:rsid w:val="00F71B8C"/>
    <w:rsid w:val="00F7534E"/>
    <w:rsid w:val="00F77F80"/>
    <w:rsid w:val="00F80902"/>
    <w:rsid w:val="00F80E37"/>
    <w:rsid w:val="00F81B99"/>
    <w:rsid w:val="00F90C65"/>
    <w:rsid w:val="00F93E39"/>
    <w:rsid w:val="00F94935"/>
    <w:rsid w:val="00F97886"/>
    <w:rsid w:val="00F97E95"/>
    <w:rsid w:val="00FA1802"/>
    <w:rsid w:val="00FA21D0"/>
    <w:rsid w:val="00FA5F5F"/>
    <w:rsid w:val="00FB4DE8"/>
    <w:rsid w:val="00FB672A"/>
    <w:rsid w:val="00FB730C"/>
    <w:rsid w:val="00FC2695"/>
    <w:rsid w:val="00FC3227"/>
    <w:rsid w:val="00FC3E03"/>
    <w:rsid w:val="00FC3FC1"/>
    <w:rsid w:val="00FD0649"/>
    <w:rsid w:val="00FD190D"/>
    <w:rsid w:val="00FD5D78"/>
    <w:rsid w:val="00FD6049"/>
    <w:rsid w:val="00FD7CFC"/>
    <w:rsid w:val="00FE01F5"/>
    <w:rsid w:val="00FE546D"/>
    <w:rsid w:val="00FF1D9E"/>
    <w:rsid w:val="00FF3DEA"/>
    <w:rsid w:val="00FF61E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paragraph" w:customStyle="1" w:styleId="Default">
    <w:name w:val="Default"/>
    <w:rsid w:val="008F0451"/>
    <w:pPr>
      <w:autoSpaceDE w:val="0"/>
      <w:autoSpaceDN w:val="0"/>
      <w:adjustRightInd w:val="0"/>
      <w:spacing w:after="0" w:line="240" w:lineRule="auto"/>
    </w:pPr>
    <w:rPr>
      <w:rFonts w:ascii="Arial" w:hAnsi="Arial" w:cs="Arial"/>
      <w:color w:val="000000"/>
      <w:sz w:val="24"/>
      <w:szCs w:val="24"/>
      <w:lang w:val="es-CO"/>
    </w:rPr>
  </w:style>
  <w:style w:type="character" w:styleId="Textodelmarcadordeposicin">
    <w:name w:val="Placeholder Text"/>
    <w:basedOn w:val="Fuentedeprrafopredeter"/>
    <w:uiPriority w:val="99"/>
    <w:semiHidden/>
    <w:rsid w:val="00D0304D"/>
    <w:rPr>
      <w:color w:val="808080"/>
    </w:rPr>
  </w:style>
  <w:style w:type="character" w:customStyle="1" w:styleId="Mencinsinresolver1">
    <w:name w:val="Mención sin resolver1"/>
    <w:basedOn w:val="Fuentedeprrafopredeter"/>
    <w:uiPriority w:val="99"/>
    <w:semiHidden/>
    <w:unhideWhenUsed/>
    <w:rsid w:val="0066368B"/>
    <w:rPr>
      <w:color w:val="605E5C"/>
      <w:shd w:val="clear" w:color="auto" w:fill="E1DFDD"/>
    </w:rPr>
  </w:style>
  <w:style w:type="character" w:customStyle="1" w:styleId="y2iqfc">
    <w:name w:val="y2iqfc"/>
    <w:basedOn w:val="Fuentedeprrafopredeter"/>
    <w:rsid w:val="009474B6"/>
  </w:style>
  <w:style w:type="paragraph" w:styleId="Revisin">
    <w:name w:val="Revision"/>
    <w:hidden/>
    <w:uiPriority w:val="99"/>
    <w:semiHidden/>
    <w:rsid w:val="00AD6CE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1612">
      <w:bodyDiv w:val="1"/>
      <w:marLeft w:val="0"/>
      <w:marRight w:val="0"/>
      <w:marTop w:val="0"/>
      <w:marBottom w:val="0"/>
      <w:divBdr>
        <w:top w:val="none" w:sz="0" w:space="0" w:color="auto"/>
        <w:left w:val="none" w:sz="0" w:space="0" w:color="auto"/>
        <w:bottom w:val="none" w:sz="0" w:space="0" w:color="auto"/>
        <w:right w:val="none" w:sz="0" w:space="0" w:color="auto"/>
      </w:divBdr>
    </w:div>
    <w:div w:id="60951586">
      <w:bodyDiv w:val="1"/>
      <w:marLeft w:val="0"/>
      <w:marRight w:val="0"/>
      <w:marTop w:val="0"/>
      <w:marBottom w:val="0"/>
      <w:divBdr>
        <w:top w:val="none" w:sz="0" w:space="0" w:color="auto"/>
        <w:left w:val="none" w:sz="0" w:space="0" w:color="auto"/>
        <w:bottom w:val="none" w:sz="0" w:space="0" w:color="auto"/>
        <w:right w:val="none" w:sz="0" w:space="0" w:color="auto"/>
      </w:divBdr>
    </w:div>
    <w:div w:id="67580659">
      <w:bodyDiv w:val="1"/>
      <w:marLeft w:val="0"/>
      <w:marRight w:val="0"/>
      <w:marTop w:val="0"/>
      <w:marBottom w:val="0"/>
      <w:divBdr>
        <w:top w:val="none" w:sz="0" w:space="0" w:color="auto"/>
        <w:left w:val="none" w:sz="0" w:space="0" w:color="auto"/>
        <w:bottom w:val="none" w:sz="0" w:space="0" w:color="auto"/>
        <w:right w:val="none" w:sz="0" w:space="0" w:color="auto"/>
      </w:divBdr>
    </w:div>
    <w:div w:id="128590981">
      <w:bodyDiv w:val="1"/>
      <w:marLeft w:val="0"/>
      <w:marRight w:val="0"/>
      <w:marTop w:val="0"/>
      <w:marBottom w:val="0"/>
      <w:divBdr>
        <w:top w:val="none" w:sz="0" w:space="0" w:color="auto"/>
        <w:left w:val="none" w:sz="0" w:space="0" w:color="auto"/>
        <w:bottom w:val="none" w:sz="0" w:space="0" w:color="auto"/>
        <w:right w:val="none" w:sz="0" w:space="0" w:color="auto"/>
      </w:divBdr>
    </w:div>
    <w:div w:id="161816996">
      <w:bodyDiv w:val="1"/>
      <w:marLeft w:val="0"/>
      <w:marRight w:val="0"/>
      <w:marTop w:val="0"/>
      <w:marBottom w:val="0"/>
      <w:divBdr>
        <w:top w:val="none" w:sz="0" w:space="0" w:color="auto"/>
        <w:left w:val="none" w:sz="0" w:space="0" w:color="auto"/>
        <w:bottom w:val="none" w:sz="0" w:space="0" w:color="auto"/>
        <w:right w:val="none" w:sz="0" w:space="0" w:color="auto"/>
      </w:divBdr>
    </w:div>
    <w:div w:id="168176682">
      <w:bodyDiv w:val="1"/>
      <w:marLeft w:val="0"/>
      <w:marRight w:val="0"/>
      <w:marTop w:val="0"/>
      <w:marBottom w:val="0"/>
      <w:divBdr>
        <w:top w:val="none" w:sz="0" w:space="0" w:color="auto"/>
        <w:left w:val="none" w:sz="0" w:space="0" w:color="auto"/>
        <w:bottom w:val="none" w:sz="0" w:space="0" w:color="auto"/>
        <w:right w:val="none" w:sz="0" w:space="0" w:color="auto"/>
      </w:divBdr>
    </w:div>
    <w:div w:id="186994298">
      <w:bodyDiv w:val="1"/>
      <w:marLeft w:val="0"/>
      <w:marRight w:val="0"/>
      <w:marTop w:val="0"/>
      <w:marBottom w:val="0"/>
      <w:divBdr>
        <w:top w:val="none" w:sz="0" w:space="0" w:color="auto"/>
        <w:left w:val="none" w:sz="0" w:space="0" w:color="auto"/>
        <w:bottom w:val="none" w:sz="0" w:space="0" w:color="auto"/>
        <w:right w:val="none" w:sz="0" w:space="0" w:color="auto"/>
      </w:divBdr>
    </w:div>
    <w:div w:id="204484849">
      <w:bodyDiv w:val="1"/>
      <w:marLeft w:val="0"/>
      <w:marRight w:val="0"/>
      <w:marTop w:val="0"/>
      <w:marBottom w:val="0"/>
      <w:divBdr>
        <w:top w:val="none" w:sz="0" w:space="0" w:color="auto"/>
        <w:left w:val="none" w:sz="0" w:space="0" w:color="auto"/>
        <w:bottom w:val="none" w:sz="0" w:space="0" w:color="auto"/>
        <w:right w:val="none" w:sz="0" w:space="0" w:color="auto"/>
      </w:divBdr>
    </w:div>
    <w:div w:id="217134304">
      <w:bodyDiv w:val="1"/>
      <w:marLeft w:val="0"/>
      <w:marRight w:val="0"/>
      <w:marTop w:val="0"/>
      <w:marBottom w:val="0"/>
      <w:divBdr>
        <w:top w:val="none" w:sz="0" w:space="0" w:color="auto"/>
        <w:left w:val="none" w:sz="0" w:space="0" w:color="auto"/>
        <w:bottom w:val="none" w:sz="0" w:space="0" w:color="auto"/>
        <w:right w:val="none" w:sz="0" w:space="0" w:color="auto"/>
      </w:divBdr>
    </w:div>
    <w:div w:id="267351641">
      <w:bodyDiv w:val="1"/>
      <w:marLeft w:val="0"/>
      <w:marRight w:val="0"/>
      <w:marTop w:val="0"/>
      <w:marBottom w:val="0"/>
      <w:divBdr>
        <w:top w:val="none" w:sz="0" w:space="0" w:color="auto"/>
        <w:left w:val="none" w:sz="0" w:space="0" w:color="auto"/>
        <w:bottom w:val="none" w:sz="0" w:space="0" w:color="auto"/>
        <w:right w:val="none" w:sz="0" w:space="0" w:color="auto"/>
      </w:divBdr>
    </w:div>
    <w:div w:id="297880027">
      <w:bodyDiv w:val="1"/>
      <w:marLeft w:val="0"/>
      <w:marRight w:val="0"/>
      <w:marTop w:val="0"/>
      <w:marBottom w:val="0"/>
      <w:divBdr>
        <w:top w:val="none" w:sz="0" w:space="0" w:color="auto"/>
        <w:left w:val="none" w:sz="0" w:space="0" w:color="auto"/>
        <w:bottom w:val="none" w:sz="0" w:space="0" w:color="auto"/>
        <w:right w:val="none" w:sz="0" w:space="0" w:color="auto"/>
      </w:divBdr>
    </w:div>
    <w:div w:id="312876264">
      <w:bodyDiv w:val="1"/>
      <w:marLeft w:val="0"/>
      <w:marRight w:val="0"/>
      <w:marTop w:val="0"/>
      <w:marBottom w:val="0"/>
      <w:divBdr>
        <w:top w:val="none" w:sz="0" w:space="0" w:color="auto"/>
        <w:left w:val="none" w:sz="0" w:space="0" w:color="auto"/>
        <w:bottom w:val="none" w:sz="0" w:space="0" w:color="auto"/>
        <w:right w:val="none" w:sz="0" w:space="0" w:color="auto"/>
      </w:divBdr>
    </w:div>
    <w:div w:id="326325162">
      <w:bodyDiv w:val="1"/>
      <w:marLeft w:val="0"/>
      <w:marRight w:val="0"/>
      <w:marTop w:val="0"/>
      <w:marBottom w:val="0"/>
      <w:divBdr>
        <w:top w:val="none" w:sz="0" w:space="0" w:color="auto"/>
        <w:left w:val="none" w:sz="0" w:space="0" w:color="auto"/>
        <w:bottom w:val="none" w:sz="0" w:space="0" w:color="auto"/>
        <w:right w:val="none" w:sz="0" w:space="0" w:color="auto"/>
      </w:divBdr>
    </w:div>
    <w:div w:id="337387522">
      <w:bodyDiv w:val="1"/>
      <w:marLeft w:val="0"/>
      <w:marRight w:val="0"/>
      <w:marTop w:val="0"/>
      <w:marBottom w:val="0"/>
      <w:divBdr>
        <w:top w:val="none" w:sz="0" w:space="0" w:color="auto"/>
        <w:left w:val="none" w:sz="0" w:space="0" w:color="auto"/>
        <w:bottom w:val="none" w:sz="0" w:space="0" w:color="auto"/>
        <w:right w:val="none" w:sz="0" w:space="0" w:color="auto"/>
      </w:divBdr>
    </w:div>
    <w:div w:id="339936087">
      <w:bodyDiv w:val="1"/>
      <w:marLeft w:val="0"/>
      <w:marRight w:val="0"/>
      <w:marTop w:val="0"/>
      <w:marBottom w:val="0"/>
      <w:divBdr>
        <w:top w:val="none" w:sz="0" w:space="0" w:color="auto"/>
        <w:left w:val="none" w:sz="0" w:space="0" w:color="auto"/>
        <w:bottom w:val="none" w:sz="0" w:space="0" w:color="auto"/>
        <w:right w:val="none" w:sz="0" w:space="0" w:color="auto"/>
      </w:divBdr>
    </w:div>
    <w:div w:id="349457120">
      <w:bodyDiv w:val="1"/>
      <w:marLeft w:val="0"/>
      <w:marRight w:val="0"/>
      <w:marTop w:val="0"/>
      <w:marBottom w:val="0"/>
      <w:divBdr>
        <w:top w:val="none" w:sz="0" w:space="0" w:color="auto"/>
        <w:left w:val="none" w:sz="0" w:space="0" w:color="auto"/>
        <w:bottom w:val="none" w:sz="0" w:space="0" w:color="auto"/>
        <w:right w:val="none" w:sz="0" w:space="0" w:color="auto"/>
      </w:divBdr>
    </w:div>
    <w:div w:id="357586248">
      <w:bodyDiv w:val="1"/>
      <w:marLeft w:val="0"/>
      <w:marRight w:val="0"/>
      <w:marTop w:val="0"/>
      <w:marBottom w:val="0"/>
      <w:divBdr>
        <w:top w:val="none" w:sz="0" w:space="0" w:color="auto"/>
        <w:left w:val="none" w:sz="0" w:space="0" w:color="auto"/>
        <w:bottom w:val="none" w:sz="0" w:space="0" w:color="auto"/>
        <w:right w:val="none" w:sz="0" w:space="0" w:color="auto"/>
      </w:divBdr>
    </w:div>
    <w:div w:id="366417177">
      <w:bodyDiv w:val="1"/>
      <w:marLeft w:val="0"/>
      <w:marRight w:val="0"/>
      <w:marTop w:val="0"/>
      <w:marBottom w:val="0"/>
      <w:divBdr>
        <w:top w:val="none" w:sz="0" w:space="0" w:color="auto"/>
        <w:left w:val="none" w:sz="0" w:space="0" w:color="auto"/>
        <w:bottom w:val="none" w:sz="0" w:space="0" w:color="auto"/>
        <w:right w:val="none" w:sz="0" w:space="0" w:color="auto"/>
      </w:divBdr>
    </w:div>
    <w:div w:id="447159714">
      <w:bodyDiv w:val="1"/>
      <w:marLeft w:val="0"/>
      <w:marRight w:val="0"/>
      <w:marTop w:val="0"/>
      <w:marBottom w:val="0"/>
      <w:divBdr>
        <w:top w:val="none" w:sz="0" w:space="0" w:color="auto"/>
        <w:left w:val="none" w:sz="0" w:space="0" w:color="auto"/>
        <w:bottom w:val="none" w:sz="0" w:space="0" w:color="auto"/>
        <w:right w:val="none" w:sz="0" w:space="0" w:color="auto"/>
      </w:divBdr>
    </w:div>
    <w:div w:id="480924848">
      <w:bodyDiv w:val="1"/>
      <w:marLeft w:val="0"/>
      <w:marRight w:val="0"/>
      <w:marTop w:val="0"/>
      <w:marBottom w:val="0"/>
      <w:divBdr>
        <w:top w:val="none" w:sz="0" w:space="0" w:color="auto"/>
        <w:left w:val="none" w:sz="0" w:space="0" w:color="auto"/>
        <w:bottom w:val="none" w:sz="0" w:space="0" w:color="auto"/>
        <w:right w:val="none" w:sz="0" w:space="0" w:color="auto"/>
      </w:divBdr>
    </w:div>
    <w:div w:id="485243648">
      <w:bodyDiv w:val="1"/>
      <w:marLeft w:val="0"/>
      <w:marRight w:val="0"/>
      <w:marTop w:val="0"/>
      <w:marBottom w:val="0"/>
      <w:divBdr>
        <w:top w:val="none" w:sz="0" w:space="0" w:color="auto"/>
        <w:left w:val="none" w:sz="0" w:space="0" w:color="auto"/>
        <w:bottom w:val="none" w:sz="0" w:space="0" w:color="auto"/>
        <w:right w:val="none" w:sz="0" w:space="0" w:color="auto"/>
      </w:divBdr>
    </w:div>
    <w:div w:id="498541254">
      <w:bodyDiv w:val="1"/>
      <w:marLeft w:val="0"/>
      <w:marRight w:val="0"/>
      <w:marTop w:val="0"/>
      <w:marBottom w:val="0"/>
      <w:divBdr>
        <w:top w:val="none" w:sz="0" w:space="0" w:color="auto"/>
        <w:left w:val="none" w:sz="0" w:space="0" w:color="auto"/>
        <w:bottom w:val="none" w:sz="0" w:space="0" w:color="auto"/>
        <w:right w:val="none" w:sz="0" w:space="0" w:color="auto"/>
      </w:divBdr>
    </w:div>
    <w:div w:id="533154955">
      <w:bodyDiv w:val="1"/>
      <w:marLeft w:val="0"/>
      <w:marRight w:val="0"/>
      <w:marTop w:val="0"/>
      <w:marBottom w:val="0"/>
      <w:divBdr>
        <w:top w:val="none" w:sz="0" w:space="0" w:color="auto"/>
        <w:left w:val="none" w:sz="0" w:space="0" w:color="auto"/>
        <w:bottom w:val="none" w:sz="0" w:space="0" w:color="auto"/>
        <w:right w:val="none" w:sz="0" w:space="0" w:color="auto"/>
      </w:divBdr>
    </w:div>
    <w:div w:id="560293408">
      <w:bodyDiv w:val="1"/>
      <w:marLeft w:val="0"/>
      <w:marRight w:val="0"/>
      <w:marTop w:val="0"/>
      <w:marBottom w:val="0"/>
      <w:divBdr>
        <w:top w:val="none" w:sz="0" w:space="0" w:color="auto"/>
        <w:left w:val="none" w:sz="0" w:space="0" w:color="auto"/>
        <w:bottom w:val="none" w:sz="0" w:space="0" w:color="auto"/>
        <w:right w:val="none" w:sz="0" w:space="0" w:color="auto"/>
      </w:divBdr>
    </w:div>
    <w:div w:id="588126144">
      <w:bodyDiv w:val="1"/>
      <w:marLeft w:val="0"/>
      <w:marRight w:val="0"/>
      <w:marTop w:val="0"/>
      <w:marBottom w:val="0"/>
      <w:divBdr>
        <w:top w:val="none" w:sz="0" w:space="0" w:color="auto"/>
        <w:left w:val="none" w:sz="0" w:space="0" w:color="auto"/>
        <w:bottom w:val="none" w:sz="0" w:space="0" w:color="auto"/>
        <w:right w:val="none" w:sz="0" w:space="0" w:color="auto"/>
      </w:divBdr>
    </w:div>
    <w:div w:id="588734845">
      <w:bodyDiv w:val="1"/>
      <w:marLeft w:val="0"/>
      <w:marRight w:val="0"/>
      <w:marTop w:val="0"/>
      <w:marBottom w:val="0"/>
      <w:divBdr>
        <w:top w:val="none" w:sz="0" w:space="0" w:color="auto"/>
        <w:left w:val="none" w:sz="0" w:space="0" w:color="auto"/>
        <w:bottom w:val="none" w:sz="0" w:space="0" w:color="auto"/>
        <w:right w:val="none" w:sz="0" w:space="0" w:color="auto"/>
      </w:divBdr>
    </w:div>
    <w:div w:id="613169531">
      <w:bodyDiv w:val="1"/>
      <w:marLeft w:val="0"/>
      <w:marRight w:val="0"/>
      <w:marTop w:val="0"/>
      <w:marBottom w:val="0"/>
      <w:divBdr>
        <w:top w:val="none" w:sz="0" w:space="0" w:color="auto"/>
        <w:left w:val="none" w:sz="0" w:space="0" w:color="auto"/>
        <w:bottom w:val="none" w:sz="0" w:space="0" w:color="auto"/>
        <w:right w:val="none" w:sz="0" w:space="0" w:color="auto"/>
      </w:divBdr>
    </w:div>
    <w:div w:id="643195678">
      <w:bodyDiv w:val="1"/>
      <w:marLeft w:val="0"/>
      <w:marRight w:val="0"/>
      <w:marTop w:val="0"/>
      <w:marBottom w:val="0"/>
      <w:divBdr>
        <w:top w:val="none" w:sz="0" w:space="0" w:color="auto"/>
        <w:left w:val="none" w:sz="0" w:space="0" w:color="auto"/>
        <w:bottom w:val="none" w:sz="0" w:space="0" w:color="auto"/>
        <w:right w:val="none" w:sz="0" w:space="0" w:color="auto"/>
      </w:divBdr>
    </w:div>
    <w:div w:id="652947949">
      <w:bodyDiv w:val="1"/>
      <w:marLeft w:val="0"/>
      <w:marRight w:val="0"/>
      <w:marTop w:val="0"/>
      <w:marBottom w:val="0"/>
      <w:divBdr>
        <w:top w:val="none" w:sz="0" w:space="0" w:color="auto"/>
        <w:left w:val="none" w:sz="0" w:space="0" w:color="auto"/>
        <w:bottom w:val="none" w:sz="0" w:space="0" w:color="auto"/>
        <w:right w:val="none" w:sz="0" w:space="0" w:color="auto"/>
      </w:divBdr>
    </w:div>
    <w:div w:id="681202214">
      <w:bodyDiv w:val="1"/>
      <w:marLeft w:val="0"/>
      <w:marRight w:val="0"/>
      <w:marTop w:val="0"/>
      <w:marBottom w:val="0"/>
      <w:divBdr>
        <w:top w:val="none" w:sz="0" w:space="0" w:color="auto"/>
        <w:left w:val="none" w:sz="0" w:space="0" w:color="auto"/>
        <w:bottom w:val="none" w:sz="0" w:space="0" w:color="auto"/>
        <w:right w:val="none" w:sz="0" w:space="0" w:color="auto"/>
      </w:divBdr>
    </w:div>
    <w:div w:id="681857018">
      <w:bodyDiv w:val="1"/>
      <w:marLeft w:val="0"/>
      <w:marRight w:val="0"/>
      <w:marTop w:val="0"/>
      <w:marBottom w:val="0"/>
      <w:divBdr>
        <w:top w:val="none" w:sz="0" w:space="0" w:color="auto"/>
        <w:left w:val="none" w:sz="0" w:space="0" w:color="auto"/>
        <w:bottom w:val="none" w:sz="0" w:space="0" w:color="auto"/>
        <w:right w:val="none" w:sz="0" w:space="0" w:color="auto"/>
      </w:divBdr>
    </w:div>
    <w:div w:id="696589074">
      <w:bodyDiv w:val="1"/>
      <w:marLeft w:val="0"/>
      <w:marRight w:val="0"/>
      <w:marTop w:val="0"/>
      <w:marBottom w:val="0"/>
      <w:divBdr>
        <w:top w:val="none" w:sz="0" w:space="0" w:color="auto"/>
        <w:left w:val="none" w:sz="0" w:space="0" w:color="auto"/>
        <w:bottom w:val="none" w:sz="0" w:space="0" w:color="auto"/>
        <w:right w:val="none" w:sz="0" w:space="0" w:color="auto"/>
      </w:divBdr>
    </w:div>
    <w:div w:id="705256140">
      <w:bodyDiv w:val="1"/>
      <w:marLeft w:val="0"/>
      <w:marRight w:val="0"/>
      <w:marTop w:val="0"/>
      <w:marBottom w:val="0"/>
      <w:divBdr>
        <w:top w:val="none" w:sz="0" w:space="0" w:color="auto"/>
        <w:left w:val="none" w:sz="0" w:space="0" w:color="auto"/>
        <w:bottom w:val="none" w:sz="0" w:space="0" w:color="auto"/>
        <w:right w:val="none" w:sz="0" w:space="0" w:color="auto"/>
      </w:divBdr>
    </w:div>
    <w:div w:id="711032414">
      <w:bodyDiv w:val="1"/>
      <w:marLeft w:val="0"/>
      <w:marRight w:val="0"/>
      <w:marTop w:val="0"/>
      <w:marBottom w:val="0"/>
      <w:divBdr>
        <w:top w:val="none" w:sz="0" w:space="0" w:color="auto"/>
        <w:left w:val="none" w:sz="0" w:space="0" w:color="auto"/>
        <w:bottom w:val="none" w:sz="0" w:space="0" w:color="auto"/>
        <w:right w:val="none" w:sz="0" w:space="0" w:color="auto"/>
      </w:divBdr>
    </w:div>
    <w:div w:id="729766388">
      <w:bodyDiv w:val="1"/>
      <w:marLeft w:val="0"/>
      <w:marRight w:val="0"/>
      <w:marTop w:val="0"/>
      <w:marBottom w:val="0"/>
      <w:divBdr>
        <w:top w:val="none" w:sz="0" w:space="0" w:color="auto"/>
        <w:left w:val="none" w:sz="0" w:space="0" w:color="auto"/>
        <w:bottom w:val="none" w:sz="0" w:space="0" w:color="auto"/>
        <w:right w:val="none" w:sz="0" w:space="0" w:color="auto"/>
      </w:divBdr>
    </w:div>
    <w:div w:id="732124280">
      <w:bodyDiv w:val="1"/>
      <w:marLeft w:val="0"/>
      <w:marRight w:val="0"/>
      <w:marTop w:val="0"/>
      <w:marBottom w:val="0"/>
      <w:divBdr>
        <w:top w:val="none" w:sz="0" w:space="0" w:color="auto"/>
        <w:left w:val="none" w:sz="0" w:space="0" w:color="auto"/>
        <w:bottom w:val="none" w:sz="0" w:space="0" w:color="auto"/>
        <w:right w:val="none" w:sz="0" w:space="0" w:color="auto"/>
      </w:divBdr>
    </w:div>
    <w:div w:id="735589862">
      <w:bodyDiv w:val="1"/>
      <w:marLeft w:val="0"/>
      <w:marRight w:val="0"/>
      <w:marTop w:val="0"/>
      <w:marBottom w:val="0"/>
      <w:divBdr>
        <w:top w:val="none" w:sz="0" w:space="0" w:color="auto"/>
        <w:left w:val="none" w:sz="0" w:space="0" w:color="auto"/>
        <w:bottom w:val="none" w:sz="0" w:space="0" w:color="auto"/>
        <w:right w:val="none" w:sz="0" w:space="0" w:color="auto"/>
      </w:divBdr>
    </w:div>
    <w:div w:id="744036398">
      <w:bodyDiv w:val="1"/>
      <w:marLeft w:val="0"/>
      <w:marRight w:val="0"/>
      <w:marTop w:val="0"/>
      <w:marBottom w:val="0"/>
      <w:divBdr>
        <w:top w:val="none" w:sz="0" w:space="0" w:color="auto"/>
        <w:left w:val="none" w:sz="0" w:space="0" w:color="auto"/>
        <w:bottom w:val="none" w:sz="0" w:space="0" w:color="auto"/>
        <w:right w:val="none" w:sz="0" w:space="0" w:color="auto"/>
      </w:divBdr>
    </w:div>
    <w:div w:id="750002153">
      <w:bodyDiv w:val="1"/>
      <w:marLeft w:val="0"/>
      <w:marRight w:val="0"/>
      <w:marTop w:val="0"/>
      <w:marBottom w:val="0"/>
      <w:divBdr>
        <w:top w:val="none" w:sz="0" w:space="0" w:color="auto"/>
        <w:left w:val="none" w:sz="0" w:space="0" w:color="auto"/>
        <w:bottom w:val="none" w:sz="0" w:space="0" w:color="auto"/>
        <w:right w:val="none" w:sz="0" w:space="0" w:color="auto"/>
      </w:divBdr>
    </w:div>
    <w:div w:id="77490552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559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221529">
      <w:bodyDiv w:val="1"/>
      <w:marLeft w:val="0"/>
      <w:marRight w:val="0"/>
      <w:marTop w:val="0"/>
      <w:marBottom w:val="0"/>
      <w:divBdr>
        <w:top w:val="none" w:sz="0" w:space="0" w:color="auto"/>
        <w:left w:val="none" w:sz="0" w:space="0" w:color="auto"/>
        <w:bottom w:val="none" w:sz="0" w:space="0" w:color="auto"/>
        <w:right w:val="none" w:sz="0" w:space="0" w:color="auto"/>
      </w:divBdr>
    </w:div>
    <w:div w:id="909775352">
      <w:bodyDiv w:val="1"/>
      <w:marLeft w:val="0"/>
      <w:marRight w:val="0"/>
      <w:marTop w:val="0"/>
      <w:marBottom w:val="0"/>
      <w:divBdr>
        <w:top w:val="none" w:sz="0" w:space="0" w:color="auto"/>
        <w:left w:val="none" w:sz="0" w:space="0" w:color="auto"/>
        <w:bottom w:val="none" w:sz="0" w:space="0" w:color="auto"/>
        <w:right w:val="none" w:sz="0" w:space="0" w:color="auto"/>
      </w:divBdr>
    </w:div>
    <w:div w:id="914702906">
      <w:bodyDiv w:val="1"/>
      <w:marLeft w:val="0"/>
      <w:marRight w:val="0"/>
      <w:marTop w:val="0"/>
      <w:marBottom w:val="0"/>
      <w:divBdr>
        <w:top w:val="none" w:sz="0" w:space="0" w:color="auto"/>
        <w:left w:val="none" w:sz="0" w:space="0" w:color="auto"/>
        <w:bottom w:val="none" w:sz="0" w:space="0" w:color="auto"/>
        <w:right w:val="none" w:sz="0" w:space="0" w:color="auto"/>
      </w:divBdr>
    </w:div>
    <w:div w:id="92839281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4619">
      <w:bodyDiv w:val="1"/>
      <w:marLeft w:val="0"/>
      <w:marRight w:val="0"/>
      <w:marTop w:val="0"/>
      <w:marBottom w:val="0"/>
      <w:divBdr>
        <w:top w:val="none" w:sz="0" w:space="0" w:color="auto"/>
        <w:left w:val="none" w:sz="0" w:space="0" w:color="auto"/>
        <w:bottom w:val="none" w:sz="0" w:space="0" w:color="auto"/>
        <w:right w:val="none" w:sz="0" w:space="0" w:color="auto"/>
      </w:divBdr>
    </w:div>
    <w:div w:id="935794165">
      <w:bodyDiv w:val="1"/>
      <w:marLeft w:val="0"/>
      <w:marRight w:val="0"/>
      <w:marTop w:val="0"/>
      <w:marBottom w:val="0"/>
      <w:divBdr>
        <w:top w:val="none" w:sz="0" w:space="0" w:color="auto"/>
        <w:left w:val="none" w:sz="0" w:space="0" w:color="auto"/>
        <w:bottom w:val="none" w:sz="0" w:space="0" w:color="auto"/>
        <w:right w:val="none" w:sz="0" w:space="0" w:color="auto"/>
      </w:divBdr>
    </w:div>
    <w:div w:id="970667310">
      <w:bodyDiv w:val="1"/>
      <w:marLeft w:val="0"/>
      <w:marRight w:val="0"/>
      <w:marTop w:val="0"/>
      <w:marBottom w:val="0"/>
      <w:divBdr>
        <w:top w:val="none" w:sz="0" w:space="0" w:color="auto"/>
        <w:left w:val="none" w:sz="0" w:space="0" w:color="auto"/>
        <w:bottom w:val="none" w:sz="0" w:space="0" w:color="auto"/>
        <w:right w:val="none" w:sz="0" w:space="0" w:color="auto"/>
      </w:divBdr>
    </w:div>
    <w:div w:id="971641534">
      <w:bodyDiv w:val="1"/>
      <w:marLeft w:val="0"/>
      <w:marRight w:val="0"/>
      <w:marTop w:val="0"/>
      <w:marBottom w:val="0"/>
      <w:divBdr>
        <w:top w:val="none" w:sz="0" w:space="0" w:color="auto"/>
        <w:left w:val="none" w:sz="0" w:space="0" w:color="auto"/>
        <w:bottom w:val="none" w:sz="0" w:space="0" w:color="auto"/>
        <w:right w:val="none" w:sz="0" w:space="0" w:color="auto"/>
      </w:divBdr>
    </w:div>
    <w:div w:id="1010184339">
      <w:bodyDiv w:val="1"/>
      <w:marLeft w:val="0"/>
      <w:marRight w:val="0"/>
      <w:marTop w:val="0"/>
      <w:marBottom w:val="0"/>
      <w:divBdr>
        <w:top w:val="none" w:sz="0" w:space="0" w:color="auto"/>
        <w:left w:val="none" w:sz="0" w:space="0" w:color="auto"/>
        <w:bottom w:val="none" w:sz="0" w:space="0" w:color="auto"/>
        <w:right w:val="none" w:sz="0" w:space="0" w:color="auto"/>
      </w:divBdr>
    </w:div>
    <w:div w:id="1098061286">
      <w:bodyDiv w:val="1"/>
      <w:marLeft w:val="0"/>
      <w:marRight w:val="0"/>
      <w:marTop w:val="0"/>
      <w:marBottom w:val="0"/>
      <w:divBdr>
        <w:top w:val="none" w:sz="0" w:space="0" w:color="auto"/>
        <w:left w:val="none" w:sz="0" w:space="0" w:color="auto"/>
        <w:bottom w:val="none" w:sz="0" w:space="0" w:color="auto"/>
        <w:right w:val="none" w:sz="0" w:space="0" w:color="auto"/>
      </w:divBdr>
    </w:div>
    <w:div w:id="1119568815">
      <w:bodyDiv w:val="1"/>
      <w:marLeft w:val="0"/>
      <w:marRight w:val="0"/>
      <w:marTop w:val="0"/>
      <w:marBottom w:val="0"/>
      <w:divBdr>
        <w:top w:val="none" w:sz="0" w:space="0" w:color="auto"/>
        <w:left w:val="none" w:sz="0" w:space="0" w:color="auto"/>
        <w:bottom w:val="none" w:sz="0" w:space="0" w:color="auto"/>
        <w:right w:val="none" w:sz="0" w:space="0" w:color="auto"/>
      </w:divBdr>
    </w:div>
    <w:div w:id="1128426490">
      <w:bodyDiv w:val="1"/>
      <w:marLeft w:val="0"/>
      <w:marRight w:val="0"/>
      <w:marTop w:val="0"/>
      <w:marBottom w:val="0"/>
      <w:divBdr>
        <w:top w:val="none" w:sz="0" w:space="0" w:color="auto"/>
        <w:left w:val="none" w:sz="0" w:space="0" w:color="auto"/>
        <w:bottom w:val="none" w:sz="0" w:space="0" w:color="auto"/>
        <w:right w:val="none" w:sz="0" w:space="0" w:color="auto"/>
      </w:divBdr>
    </w:div>
    <w:div w:id="1147742941">
      <w:bodyDiv w:val="1"/>
      <w:marLeft w:val="0"/>
      <w:marRight w:val="0"/>
      <w:marTop w:val="0"/>
      <w:marBottom w:val="0"/>
      <w:divBdr>
        <w:top w:val="none" w:sz="0" w:space="0" w:color="auto"/>
        <w:left w:val="none" w:sz="0" w:space="0" w:color="auto"/>
        <w:bottom w:val="none" w:sz="0" w:space="0" w:color="auto"/>
        <w:right w:val="none" w:sz="0" w:space="0" w:color="auto"/>
      </w:divBdr>
    </w:div>
    <w:div w:id="1238051175">
      <w:bodyDiv w:val="1"/>
      <w:marLeft w:val="0"/>
      <w:marRight w:val="0"/>
      <w:marTop w:val="0"/>
      <w:marBottom w:val="0"/>
      <w:divBdr>
        <w:top w:val="none" w:sz="0" w:space="0" w:color="auto"/>
        <w:left w:val="none" w:sz="0" w:space="0" w:color="auto"/>
        <w:bottom w:val="none" w:sz="0" w:space="0" w:color="auto"/>
        <w:right w:val="none" w:sz="0" w:space="0" w:color="auto"/>
      </w:divBdr>
    </w:div>
    <w:div w:id="1265771152">
      <w:bodyDiv w:val="1"/>
      <w:marLeft w:val="0"/>
      <w:marRight w:val="0"/>
      <w:marTop w:val="0"/>
      <w:marBottom w:val="0"/>
      <w:divBdr>
        <w:top w:val="none" w:sz="0" w:space="0" w:color="auto"/>
        <w:left w:val="none" w:sz="0" w:space="0" w:color="auto"/>
        <w:bottom w:val="none" w:sz="0" w:space="0" w:color="auto"/>
        <w:right w:val="none" w:sz="0" w:space="0" w:color="auto"/>
      </w:divBdr>
    </w:div>
    <w:div w:id="1300574466">
      <w:bodyDiv w:val="1"/>
      <w:marLeft w:val="0"/>
      <w:marRight w:val="0"/>
      <w:marTop w:val="0"/>
      <w:marBottom w:val="0"/>
      <w:divBdr>
        <w:top w:val="none" w:sz="0" w:space="0" w:color="auto"/>
        <w:left w:val="none" w:sz="0" w:space="0" w:color="auto"/>
        <w:bottom w:val="none" w:sz="0" w:space="0" w:color="auto"/>
        <w:right w:val="none" w:sz="0" w:space="0" w:color="auto"/>
      </w:divBdr>
    </w:div>
    <w:div w:id="1303080022">
      <w:bodyDiv w:val="1"/>
      <w:marLeft w:val="0"/>
      <w:marRight w:val="0"/>
      <w:marTop w:val="0"/>
      <w:marBottom w:val="0"/>
      <w:divBdr>
        <w:top w:val="none" w:sz="0" w:space="0" w:color="auto"/>
        <w:left w:val="none" w:sz="0" w:space="0" w:color="auto"/>
        <w:bottom w:val="none" w:sz="0" w:space="0" w:color="auto"/>
        <w:right w:val="none" w:sz="0" w:space="0" w:color="auto"/>
      </w:divBdr>
    </w:div>
    <w:div w:id="1319308883">
      <w:bodyDiv w:val="1"/>
      <w:marLeft w:val="0"/>
      <w:marRight w:val="0"/>
      <w:marTop w:val="0"/>
      <w:marBottom w:val="0"/>
      <w:divBdr>
        <w:top w:val="none" w:sz="0" w:space="0" w:color="auto"/>
        <w:left w:val="none" w:sz="0" w:space="0" w:color="auto"/>
        <w:bottom w:val="none" w:sz="0" w:space="0" w:color="auto"/>
        <w:right w:val="none" w:sz="0" w:space="0" w:color="auto"/>
      </w:divBdr>
    </w:div>
    <w:div w:id="1324510903">
      <w:bodyDiv w:val="1"/>
      <w:marLeft w:val="0"/>
      <w:marRight w:val="0"/>
      <w:marTop w:val="0"/>
      <w:marBottom w:val="0"/>
      <w:divBdr>
        <w:top w:val="none" w:sz="0" w:space="0" w:color="auto"/>
        <w:left w:val="none" w:sz="0" w:space="0" w:color="auto"/>
        <w:bottom w:val="none" w:sz="0" w:space="0" w:color="auto"/>
        <w:right w:val="none" w:sz="0" w:space="0" w:color="auto"/>
      </w:divBdr>
    </w:div>
    <w:div w:id="1360206831">
      <w:bodyDiv w:val="1"/>
      <w:marLeft w:val="0"/>
      <w:marRight w:val="0"/>
      <w:marTop w:val="0"/>
      <w:marBottom w:val="0"/>
      <w:divBdr>
        <w:top w:val="none" w:sz="0" w:space="0" w:color="auto"/>
        <w:left w:val="none" w:sz="0" w:space="0" w:color="auto"/>
        <w:bottom w:val="none" w:sz="0" w:space="0" w:color="auto"/>
        <w:right w:val="none" w:sz="0" w:space="0" w:color="auto"/>
      </w:divBdr>
    </w:div>
    <w:div w:id="142372401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7210038">
      <w:bodyDiv w:val="1"/>
      <w:marLeft w:val="0"/>
      <w:marRight w:val="0"/>
      <w:marTop w:val="0"/>
      <w:marBottom w:val="0"/>
      <w:divBdr>
        <w:top w:val="none" w:sz="0" w:space="0" w:color="auto"/>
        <w:left w:val="none" w:sz="0" w:space="0" w:color="auto"/>
        <w:bottom w:val="none" w:sz="0" w:space="0" w:color="auto"/>
        <w:right w:val="none" w:sz="0" w:space="0" w:color="auto"/>
      </w:divBdr>
    </w:div>
    <w:div w:id="1439329695">
      <w:bodyDiv w:val="1"/>
      <w:marLeft w:val="0"/>
      <w:marRight w:val="0"/>
      <w:marTop w:val="0"/>
      <w:marBottom w:val="0"/>
      <w:divBdr>
        <w:top w:val="none" w:sz="0" w:space="0" w:color="auto"/>
        <w:left w:val="none" w:sz="0" w:space="0" w:color="auto"/>
        <w:bottom w:val="none" w:sz="0" w:space="0" w:color="auto"/>
        <w:right w:val="none" w:sz="0" w:space="0" w:color="auto"/>
      </w:divBdr>
    </w:div>
    <w:div w:id="1445689349">
      <w:bodyDiv w:val="1"/>
      <w:marLeft w:val="0"/>
      <w:marRight w:val="0"/>
      <w:marTop w:val="0"/>
      <w:marBottom w:val="0"/>
      <w:divBdr>
        <w:top w:val="none" w:sz="0" w:space="0" w:color="auto"/>
        <w:left w:val="none" w:sz="0" w:space="0" w:color="auto"/>
        <w:bottom w:val="none" w:sz="0" w:space="0" w:color="auto"/>
        <w:right w:val="none" w:sz="0" w:space="0" w:color="auto"/>
      </w:divBdr>
    </w:div>
    <w:div w:id="1469205319">
      <w:bodyDiv w:val="1"/>
      <w:marLeft w:val="0"/>
      <w:marRight w:val="0"/>
      <w:marTop w:val="0"/>
      <w:marBottom w:val="0"/>
      <w:divBdr>
        <w:top w:val="none" w:sz="0" w:space="0" w:color="auto"/>
        <w:left w:val="none" w:sz="0" w:space="0" w:color="auto"/>
        <w:bottom w:val="none" w:sz="0" w:space="0" w:color="auto"/>
        <w:right w:val="none" w:sz="0" w:space="0" w:color="auto"/>
      </w:divBdr>
    </w:div>
    <w:div w:id="148231339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0925288">
      <w:bodyDiv w:val="1"/>
      <w:marLeft w:val="0"/>
      <w:marRight w:val="0"/>
      <w:marTop w:val="0"/>
      <w:marBottom w:val="0"/>
      <w:divBdr>
        <w:top w:val="none" w:sz="0" w:space="0" w:color="auto"/>
        <w:left w:val="none" w:sz="0" w:space="0" w:color="auto"/>
        <w:bottom w:val="none" w:sz="0" w:space="0" w:color="auto"/>
        <w:right w:val="none" w:sz="0" w:space="0" w:color="auto"/>
      </w:divBdr>
    </w:div>
    <w:div w:id="1521122886">
      <w:bodyDiv w:val="1"/>
      <w:marLeft w:val="0"/>
      <w:marRight w:val="0"/>
      <w:marTop w:val="0"/>
      <w:marBottom w:val="0"/>
      <w:divBdr>
        <w:top w:val="none" w:sz="0" w:space="0" w:color="auto"/>
        <w:left w:val="none" w:sz="0" w:space="0" w:color="auto"/>
        <w:bottom w:val="none" w:sz="0" w:space="0" w:color="auto"/>
        <w:right w:val="none" w:sz="0" w:space="0" w:color="auto"/>
      </w:divBdr>
    </w:div>
    <w:div w:id="1539970305">
      <w:bodyDiv w:val="1"/>
      <w:marLeft w:val="0"/>
      <w:marRight w:val="0"/>
      <w:marTop w:val="0"/>
      <w:marBottom w:val="0"/>
      <w:divBdr>
        <w:top w:val="none" w:sz="0" w:space="0" w:color="auto"/>
        <w:left w:val="none" w:sz="0" w:space="0" w:color="auto"/>
        <w:bottom w:val="none" w:sz="0" w:space="0" w:color="auto"/>
        <w:right w:val="none" w:sz="0" w:space="0" w:color="auto"/>
      </w:divBdr>
    </w:div>
    <w:div w:id="1562982473">
      <w:bodyDiv w:val="1"/>
      <w:marLeft w:val="0"/>
      <w:marRight w:val="0"/>
      <w:marTop w:val="0"/>
      <w:marBottom w:val="0"/>
      <w:divBdr>
        <w:top w:val="none" w:sz="0" w:space="0" w:color="auto"/>
        <w:left w:val="none" w:sz="0" w:space="0" w:color="auto"/>
        <w:bottom w:val="none" w:sz="0" w:space="0" w:color="auto"/>
        <w:right w:val="none" w:sz="0" w:space="0" w:color="auto"/>
      </w:divBdr>
    </w:div>
    <w:div w:id="1583636669">
      <w:bodyDiv w:val="1"/>
      <w:marLeft w:val="0"/>
      <w:marRight w:val="0"/>
      <w:marTop w:val="0"/>
      <w:marBottom w:val="0"/>
      <w:divBdr>
        <w:top w:val="none" w:sz="0" w:space="0" w:color="auto"/>
        <w:left w:val="none" w:sz="0" w:space="0" w:color="auto"/>
        <w:bottom w:val="none" w:sz="0" w:space="0" w:color="auto"/>
        <w:right w:val="none" w:sz="0" w:space="0" w:color="auto"/>
      </w:divBdr>
    </w:div>
    <w:div w:id="1583949008">
      <w:bodyDiv w:val="1"/>
      <w:marLeft w:val="0"/>
      <w:marRight w:val="0"/>
      <w:marTop w:val="0"/>
      <w:marBottom w:val="0"/>
      <w:divBdr>
        <w:top w:val="none" w:sz="0" w:space="0" w:color="auto"/>
        <w:left w:val="none" w:sz="0" w:space="0" w:color="auto"/>
        <w:bottom w:val="none" w:sz="0" w:space="0" w:color="auto"/>
        <w:right w:val="none" w:sz="0" w:space="0" w:color="auto"/>
      </w:divBdr>
    </w:div>
    <w:div w:id="1593927980">
      <w:bodyDiv w:val="1"/>
      <w:marLeft w:val="0"/>
      <w:marRight w:val="0"/>
      <w:marTop w:val="0"/>
      <w:marBottom w:val="0"/>
      <w:divBdr>
        <w:top w:val="none" w:sz="0" w:space="0" w:color="auto"/>
        <w:left w:val="none" w:sz="0" w:space="0" w:color="auto"/>
        <w:bottom w:val="none" w:sz="0" w:space="0" w:color="auto"/>
        <w:right w:val="none" w:sz="0" w:space="0" w:color="auto"/>
      </w:divBdr>
    </w:div>
    <w:div w:id="1597051554">
      <w:bodyDiv w:val="1"/>
      <w:marLeft w:val="0"/>
      <w:marRight w:val="0"/>
      <w:marTop w:val="0"/>
      <w:marBottom w:val="0"/>
      <w:divBdr>
        <w:top w:val="none" w:sz="0" w:space="0" w:color="auto"/>
        <w:left w:val="none" w:sz="0" w:space="0" w:color="auto"/>
        <w:bottom w:val="none" w:sz="0" w:space="0" w:color="auto"/>
        <w:right w:val="none" w:sz="0" w:space="0" w:color="auto"/>
      </w:divBdr>
    </w:div>
    <w:div w:id="1619726721">
      <w:bodyDiv w:val="1"/>
      <w:marLeft w:val="0"/>
      <w:marRight w:val="0"/>
      <w:marTop w:val="0"/>
      <w:marBottom w:val="0"/>
      <w:divBdr>
        <w:top w:val="none" w:sz="0" w:space="0" w:color="auto"/>
        <w:left w:val="none" w:sz="0" w:space="0" w:color="auto"/>
        <w:bottom w:val="none" w:sz="0" w:space="0" w:color="auto"/>
        <w:right w:val="none" w:sz="0" w:space="0" w:color="auto"/>
      </w:divBdr>
    </w:div>
    <w:div w:id="1621841552">
      <w:bodyDiv w:val="1"/>
      <w:marLeft w:val="0"/>
      <w:marRight w:val="0"/>
      <w:marTop w:val="0"/>
      <w:marBottom w:val="0"/>
      <w:divBdr>
        <w:top w:val="none" w:sz="0" w:space="0" w:color="auto"/>
        <w:left w:val="none" w:sz="0" w:space="0" w:color="auto"/>
        <w:bottom w:val="none" w:sz="0" w:space="0" w:color="auto"/>
        <w:right w:val="none" w:sz="0" w:space="0" w:color="auto"/>
      </w:divBdr>
    </w:div>
    <w:div w:id="1637103439">
      <w:bodyDiv w:val="1"/>
      <w:marLeft w:val="0"/>
      <w:marRight w:val="0"/>
      <w:marTop w:val="0"/>
      <w:marBottom w:val="0"/>
      <w:divBdr>
        <w:top w:val="none" w:sz="0" w:space="0" w:color="auto"/>
        <w:left w:val="none" w:sz="0" w:space="0" w:color="auto"/>
        <w:bottom w:val="none" w:sz="0" w:space="0" w:color="auto"/>
        <w:right w:val="none" w:sz="0" w:space="0" w:color="auto"/>
      </w:divBdr>
    </w:div>
    <w:div w:id="163991354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22276">
      <w:bodyDiv w:val="1"/>
      <w:marLeft w:val="0"/>
      <w:marRight w:val="0"/>
      <w:marTop w:val="0"/>
      <w:marBottom w:val="0"/>
      <w:divBdr>
        <w:top w:val="none" w:sz="0" w:space="0" w:color="auto"/>
        <w:left w:val="none" w:sz="0" w:space="0" w:color="auto"/>
        <w:bottom w:val="none" w:sz="0" w:space="0" w:color="auto"/>
        <w:right w:val="none" w:sz="0" w:space="0" w:color="auto"/>
      </w:divBdr>
    </w:div>
    <w:div w:id="1746104569">
      <w:bodyDiv w:val="1"/>
      <w:marLeft w:val="0"/>
      <w:marRight w:val="0"/>
      <w:marTop w:val="0"/>
      <w:marBottom w:val="0"/>
      <w:divBdr>
        <w:top w:val="none" w:sz="0" w:space="0" w:color="auto"/>
        <w:left w:val="none" w:sz="0" w:space="0" w:color="auto"/>
        <w:bottom w:val="none" w:sz="0" w:space="0" w:color="auto"/>
        <w:right w:val="none" w:sz="0" w:space="0" w:color="auto"/>
      </w:divBdr>
    </w:div>
    <w:div w:id="1775855166">
      <w:bodyDiv w:val="1"/>
      <w:marLeft w:val="0"/>
      <w:marRight w:val="0"/>
      <w:marTop w:val="0"/>
      <w:marBottom w:val="0"/>
      <w:divBdr>
        <w:top w:val="none" w:sz="0" w:space="0" w:color="auto"/>
        <w:left w:val="none" w:sz="0" w:space="0" w:color="auto"/>
        <w:bottom w:val="none" w:sz="0" w:space="0" w:color="auto"/>
        <w:right w:val="none" w:sz="0" w:space="0" w:color="auto"/>
      </w:divBdr>
    </w:div>
    <w:div w:id="1810901856">
      <w:bodyDiv w:val="1"/>
      <w:marLeft w:val="0"/>
      <w:marRight w:val="0"/>
      <w:marTop w:val="0"/>
      <w:marBottom w:val="0"/>
      <w:divBdr>
        <w:top w:val="none" w:sz="0" w:space="0" w:color="auto"/>
        <w:left w:val="none" w:sz="0" w:space="0" w:color="auto"/>
        <w:bottom w:val="none" w:sz="0" w:space="0" w:color="auto"/>
        <w:right w:val="none" w:sz="0" w:space="0" w:color="auto"/>
      </w:divBdr>
    </w:div>
    <w:div w:id="1882132972">
      <w:bodyDiv w:val="1"/>
      <w:marLeft w:val="0"/>
      <w:marRight w:val="0"/>
      <w:marTop w:val="0"/>
      <w:marBottom w:val="0"/>
      <w:divBdr>
        <w:top w:val="none" w:sz="0" w:space="0" w:color="auto"/>
        <w:left w:val="none" w:sz="0" w:space="0" w:color="auto"/>
        <w:bottom w:val="none" w:sz="0" w:space="0" w:color="auto"/>
        <w:right w:val="none" w:sz="0" w:space="0" w:color="auto"/>
      </w:divBdr>
    </w:div>
    <w:div w:id="1886679055">
      <w:bodyDiv w:val="1"/>
      <w:marLeft w:val="0"/>
      <w:marRight w:val="0"/>
      <w:marTop w:val="0"/>
      <w:marBottom w:val="0"/>
      <w:divBdr>
        <w:top w:val="none" w:sz="0" w:space="0" w:color="auto"/>
        <w:left w:val="none" w:sz="0" w:space="0" w:color="auto"/>
        <w:bottom w:val="none" w:sz="0" w:space="0" w:color="auto"/>
        <w:right w:val="none" w:sz="0" w:space="0" w:color="auto"/>
      </w:divBdr>
    </w:div>
    <w:div w:id="1897664062">
      <w:bodyDiv w:val="1"/>
      <w:marLeft w:val="0"/>
      <w:marRight w:val="0"/>
      <w:marTop w:val="0"/>
      <w:marBottom w:val="0"/>
      <w:divBdr>
        <w:top w:val="none" w:sz="0" w:space="0" w:color="auto"/>
        <w:left w:val="none" w:sz="0" w:space="0" w:color="auto"/>
        <w:bottom w:val="none" w:sz="0" w:space="0" w:color="auto"/>
        <w:right w:val="none" w:sz="0" w:space="0" w:color="auto"/>
      </w:divBdr>
    </w:div>
    <w:div w:id="1933976356">
      <w:bodyDiv w:val="1"/>
      <w:marLeft w:val="0"/>
      <w:marRight w:val="0"/>
      <w:marTop w:val="0"/>
      <w:marBottom w:val="0"/>
      <w:divBdr>
        <w:top w:val="none" w:sz="0" w:space="0" w:color="auto"/>
        <w:left w:val="none" w:sz="0" w:space="0" w:color="auto"/>
        <w:bottom w:val="none" w:sz="0" w:space="0" w:color="auto"/>
        <w:right w:val="none" w:sz="0" w:space="0" w:color="auto"/>
      </w:divBdr>
    </w:div>
    <w:div w:id="1940602530">
      <w:bodyDiv w:val="1"/>
      <w:marLeft w:val="0"/>
      <w:marRight w:val="0"/>
      <w:marTop w:val="0"/>
      <w:marBottom w:val="0"/>
      <w:divBdr>
        <w:top w:val="none" w:sz="0" w:space="0" w:color="auto"/>
        <w:left w:val="none" w:sz="0" w:space="0" w:color="auto"/>
        <w:bottom w:val="none" w:sz="0" w:space="0" w:color="auto"/>
        <w:right w:val="none" w:sz="0" w:space="0" w:color="auto"/>
      </w:divBdr>
    </w:div>
    <w:div w:id="1999073188">
      <w:bodyDiv w:val="1"/>
      <w:marLeft w:val="0"/>
      <w:marRight w:val="0"/>
      <w:marTop w:val="0"/>
      <w:marBottom w:val="0"/>
      <w:divBdr>
        <w:top w:val="none" w:sz="0" w:space="0" w:color="auto"/>
        <w:left w:val="none" w:sz="0" w:space="0" w:color="auto"/>
        <w:bottom w:val="none" w:sz="0" w:space="0" w:color="auto"/>
        <w:right w:val="none" w:sz="0" w:space="0" w:color="auto"/>
      </w:divBdr>
    </w:div>
    <w:div w:id="2039350926">
      <w:bodyDiv w:val="1"/>
      <w:marLeft w:val="0"/>
      <w:marRight w:val="0"/>
      <w:marTop w:val="0"/>
      <w:marBottom w:val="0"/>
      <w:divBdr>
        <w:top w:val="none" w:sz="0" w:space="0" w:color="auto"/>
        <w:left w:val="none" w:sz="0" w:space="0" w:color="auto"/>
        <w:bottom w:val="none" w:sz="0" w:space="0" w:color="auto"/>
        <w:right w:val="none" w:sz="0" w:space="0" w:color="auto"/>
      </w:divBdr>
    </w:div>
    <w:div w:id="2046249526">
      <w:bodyDiv w:val="1"/>
      <w:marLeft w:val="0"/>
      <w:marRight w:val="0"/>
      <w:marTop w:val="0"/>
      <w:marBottom w:val="0"/>
      <w:divBdr>
        <w:top w:val="none" w:sz="0" w:space="0" w:color="auto"/>
        <w:left w:val="none" w:sz="0" w:space="0" w:color="auto"/>
        <w:bottom w:val="none" w:sz="0" w:space="0" w:color="auto"/>
        <w:right w:val="none" w:sz="0" w:space="0" w:color="auto"/>
      </w:divBdr>
    </w:div>
    <w:div w:id="2092385530">
      <w:bodyDiv w:val="1"/>
      <w:marLeft w:val="0"/>
      <w:marRight w:val="0"/>
      <w:marTop w:val="0"/>
      <w:marBottom w:val="0"/>
      <w:divBdr>
        <w:top w:val="none" w:sz="0" w:space="0" w:color="auto"/>
        <w:left w:val="none" w:sz="0" w:space="0" w:color="auto"/>
        <w:bottom w:val="none" w:sz="0" w:space="0" w:color="auto"/>
        <w:right w:val="none" w:sz="0" w:space="0" w:color="auto"/>
      </w:divBdr>
    </w:div>
    <w:div w:id="2098285055">
      <w:bodyDiv w:val="1"/>
      <w:marLeft w:val="0"/>
      <w:marRight w:val="0"/>
      <w:marTop w:val="0"/>
      <w:marBottom w:val="0"/>
      <w:divBdr>
        <w:top w:val="none" w:sz="0" w:space="0" w:color="auto"/>
        <w:left w:val="none" w:sz="0" w:space="0" w:color="auto"/>
        <w:bottom w:val="none" w:sz="0" w:space="0" w:color="auto"/>
        <w:right w:val="none" w:sz="0" w:space="0" w:color="auto"/>
      </w:divBdr>
    </w:div>
    <w:div w:id="212345712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802E4-F8BA-43AC-B7B6-7EB15260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6</Pages>
  <Words>3114</Words>
  <Characters>17131</Characters>
  <Application>Microsoft Office Word</Application>
  <DocSecurity>0</DocSecurity>
  <Lines>142</Lines>
  <Paragraphs>40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Juliana Puello Méndez</cp:lastModifiedBy>
  <cp:revision>701</cp:revision>
  <cp:lastPrinted>2015-05-12T18:31:00Z</cp:lastPrinted>
  <dcterms:created xsi:type="dcterms:W3CDTF">2021-09-21T10:42:00Z</dcterms:created>
  <dcterms:modified xsi:type="dcterms:W3CDTF">2022-03-29T20:58:00Z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