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E5BF5"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1E5BF5" w:rsidRDefault="000A03B2" w:rsidP="00DE264A">
            <w:pPr>
              <w:tabs>
                <w:tab w:val="left" w:pos="-108"/>
              </w:tabs>
              <w:ind w:left="-108"/>
              <w:jc w:val="left"/>
              <w:rPr>
                <w:rFonts w:cs="Arial"/>
                <w:b/>
                <w:bCs/>
                <w:i/>
                <w:iCs/>
                <w:color w:val="000066"/>
                <w:sz w:val="12"/>
                <w:szCs w:val="12"/>
                <w:lang w:val="en-US" w:eastAsia="it-IT"/>
              </w:rPr>
            </w:pPr>
            <w:bookmarkStart w:id="0" w:name="_Hlk95232150"/>
            <w:bookmarkEnd w:id="0"/>
            <w:r w:rsidRPr="001E5BF5">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E5BF5">
              <w:rPr>
                <w:rFonts w:ascii="AdvP6960" w:hAnsi="AdvP6960" w:cs="AdvP6960"/>
                <w:color w:val="241F20"/>
                <w:szCs w:val="18"/>
                <w:lang w:val="en-US" w:eastAsia="it-IT"/>
              </w:rPr>
              <w:t xml:space="preserve"> </w:t>
            </w:r>
            <w:r w:rsidRPr="001E5BF5">
              <w:rPr>
                <w:rFonts w:cs="Arial"/>
                <w:b/>
                <w:bCs/>
                <w:i/>
                <w:iCs/>
                <w:color w:val="000066"/>
                <w:sz w:val="24"/>
                <w:szCs w:val="24"/>
                <w:lang w:val="en-US" w:eastAsia="it-IT"/>
              </w:rPr>
              <w:t>CHEMICAL ENGINEERING</w:t>
            </w:r>
            <w:r w:rsidRPr="001E5BF5">
              <w:rPr>
                <w:rFonts w:cs="Arial"/>
                <w:b/>
                <w:bCs/>
                <w:i/>
                <w:iCs/>
                <w:color w:val="0033FF"/>
                <w:sz w:val="24"/>
                <w:szCs w:val="24"/>
                <w:lang w:val="en-US" w:eastAsia="it-IT"/>
              </w:rPr>
              <w:t xml:space="preserve"> </w:t>
            </w:r>
            <w:r w:rsidRPr="001E5BF5">
              <w:rPr>
                <w:rFonts w:cs="Arial"/>
                <w:b/>
                <w:bCs/>
                <w:i/>
                <w:iCs/>
                <w:color w:val="666666"/>
                <w:sz w:val="24"/>
                <w:szCs w:val="24"/>
                <w:lang w:val="en-US" w:eastAsia="it-IT"/>
              </w:rPr>
              <w:t>TRANSACTIONS</w:t>
            </w:r>
            <w:r w:rsidRPr="001E5BF5">
              <w:rPr>
                <w:color w:val="333333"/>
                <w:sz w:val="24"/>
                <w:szCs w:val="24"/>
                <w:lang w:val="en-US" w:eastAsia="it-IT"/>
              </w:rPr>
              <w:t xml:space="preserve"> </w:t>
            </w:r>
            <w:r w:rsidRPr="001E5BF5">
              <w:rPr>
                <w:rFonts w:cs="Arial"/>
                <w:b/>
                <w:bCs/>
                <w:i/>
                <w:iCs/>
                <w:color w:val="000066"/>
                <w:sz w:val="27"/>
                <w:szCs w:val="27"/>
                <w:lang w:val="en-US" w:eastAsia="it-IT"/>
              </w:rPr>
              <w:br/>
            </w:r>
          </w:p>
          <w:p w14:paraId="4B780582" w14:textId="254CE268" w:rsidR="000A03B2" w:rsidRPr="001E5BF5" w:rsidRDefault="00A76EFC" w:rsidP="00604911">
            <w:pPr>
              <w:tabs>
                <w:tab w:val="left" w:pos="-108"/>
              </w:tabs>
              <w:ind w:left="-108"/>
              <w:rPr>
                <w:rFonts w:cs="Arial"/>
                <w:b/>
                <w:bCs/>
                <w:i/>
                <w:iCs/>
                <w:color w:val="000066"/>
                <w:sz w:val="22"/>
                <w:szCs w:val="22"/>
                <w:lang w:val="en-US" w:eastAsia="it-IT"/>
              </w:rPr>
            </w:pPr>
            <w:r w:rsidRPr="001E5BF5">
              <w:rPr>
                <w:rFonts w:cs="Arial"/>
                <w:b/>
                <w:bCs/>
                <w:i/>
                <w:iCs/>
                <w:color w:val="000066"/>
                <w:sz w:val="22"/>
                <w:szCs w:val="22"/>
                <w:lang w:val="en-US" w:eastAsia="it-IT"/>
              </w:rPr>
              <w:t xml:space="preserve">VOL. </w:t>
            </w:r>
            <w:r w:rsidR="00D46B7E" w:rsidRPr="001E5BF5">
              <w:rPr>
                <w:rFonts w:cs="Arial"/>
                <w:b/>
                <w:bCs/>
                <w:i/>
                <w:iCs/>
                <w:color w:val="000066"/>
                <w:sz w:val="22"/>
                <w:szCs w:val="22"/>
                <w:lang w:val="en-US" w:eastAsia="it-IT"/>
              </w:rPr>
              <w:t>9</w:t>
            </w:r>
            <w:r w:rsidR="00604911" w:rsidRPr="001E5BF5">
              <w:rPr>
                <w:rFonts w:cs="Arial"/>
                <w:b/>
                <w:bCs/>
                <w:i/>
                <w:iCs/>
                <w:color w:val="000066"/>
                <w:sz w:val="22"/>
                <w:szCs w:val="22"/>
                <w:lang w:val="en-US" w:eastAsia="it-IT"/>
              </w:rPr>
              <w:t>3</w:t>
            </w:r>
            <w:r w:rsidR="007B48F9" w:rsidRPr="001E5BF5">
              <w:rPr>
                <w:rFonts w:cs="Arial"/>
                <w:b/>
                <w:bCs/>
                <w:i/>
                <w:iCs/>
                <w:color w:val="000066"/>
                <w:sz w:val="22"/>
                <w:szCs w:val="22"/>
                <w:lang w:val="en-US" w:eastAsia="it-IT"/>
              </w:rPr>
              <w:t>,</w:t>
            </w:r>
            <w:r w:rsidR="00FA5F5F" w:rsidRPr="001E5BF5">
              <w:rPr>
                <w:rFonts w:cs="Arial"/>
                <w:b/>
                <w:bCs/>
                <w:i/>
                <w:iCs/>
                <w:color w:val="000066"/>
                <w:sz w:val="22"/>
                <w:szCs w:val="22"/>
                <w:lang w:val="en-US" w:eastAsia="it-IT"/>
              </w:rPr>
              <w:t xml:space="preserve"> 20</w:t>
            </w:r>
            <w:r w:rsidR="00DF5072" w:rsidRPr="001E5BF5">
              <w:rPr>
                <w:rFonts w:cs="Arial"/>
                <w:b/>
                <w:bCs/>
                <w:i/>
                <w:iCs/>
                <w:color w:val="000066"/>
                <w:sz w:val="22"/>
                <w:szCs w:val="22"/>
                <w:lang w:val="en-US" w:eastAsia="it-IT"/>
              </w:rPr>
              <w:t>2</w:t>
            </w:r>
            <w:r w:rsidR="007B48F9" w:rsidRPr="001E5BF5">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56782132" w14:textId="77777777" w:rsidR="000A03B2" w:rsidRPr="001E5BF5" w:rsidRDefault="000A03B2" w:rsidP="00CD5FE2">
            <w:pPr>
              <w:spacing w:line="140" w:lineRule="atLeast"/>
              <w:jc w:val="right"/>
              <w:rPr>
                <w:rFonts w:cs="Arial"/>
                <w:sz w:val="14"/>
                <w:szCs w:val="14"/>
                <w:lang w:val="en-US"/>
              </w:rPr>
            </w:pPr>
            <w:r w:rsidRPr="001E5BF5">
              <w:rPr>
                <w:rFonts w:cs="Arial"/>
                <w:sz w:val="14"/>
                <w:szCs w:val="14"/>
                <w:lang w:val="en-US"/>
              </w:rPr>
              <w:t>A publication of</w:t>
            </w:r>
          </w:p>
          <w:p w14:paraId="599E5441" w14:textId="77777777" w:rsidR="000A03B2" w:rsidRPr="001E5BF5" w:rsidRDefault="000A03B2" w:rsidP="00CD5FE2">
            <w:pPr>
              <w:jc w:val="right"/>
              <w:rPr>
                <w:lang w:val="en-US"/>
              </w:rPr>
            </w:pPr>
            <w:r w:rsidRPr="001E5BF5">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E5BF5" w14:paraId="380FA3CD" w14:textId="77777777" w:rsidTr="00DE264A">
        <w:trPr>
          <w:trHeight w:val="567"/>
          <w:jc w:val="center"/>
        </w:trPr>
        <w:tc>
          <w:tcPr>
            <w:tcW w:w="6946" w:type="dxa"/>
            <w:vMerge/>
            <w:tcBorders>
              <w:right w:val="single" w:sz="4" w:space="0" w:color="auto"/>
            </w:tcBorders>
          </w:tcPr>
          <w:p w14:paraId="39E5E4C1" w14:textId="77777777" w:rsidR="000A03B2" w:rsidRPr="001E5BF5"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1E5BF5" w:rsidRDefault="000A03B2" w:rsidP="00CD5FE2">
            <w:pPr>
              <w:spacing w:line="140" w:lineRule="atLeast"/>
              <w:jc w:val="right"/>
              <w:rPr>
                <w:rFonts w:cs="Arial"/>
                <w:sz w:val="14"/>
                <w:szCs w:val="14"/>
                <w:lang w:val="en-US"/>
              </w:rPr>
            </w:pPr>
            <w:r w:rsidRPr="001E5BF5">
              <w:rPr>
                <w:rFonts w:cs="Arial"/>
                <w:sz w:val="14"/>
                <w:szCs w:val="14"/>
                <w:lang w:val="en-US"/>
              </w:rPr>
              <w:t>The Italian Association</w:t>
            </w:r>
          </w:p>
          <w:p w14:paraId="7522B1D2" w14:textId="77777777" w:rsidR="000A03B2" w:rsidRPr="001E5BF5" w:rsidRDefault="000A03B2" w:rsidP="00CD5FE2">
            <w:pPr>
              <w:spacing w:line="140" w:lineRule="atLeast"/>
              <w:jc w:val="right"/>
              <w:rPr>
                <w:rFonts w:cs="Arial"/>
                <w:sz w:val="14"/>
                <w:szCs w:val="14"/>
                <w:lang w:val="en-US"/>
              </w:rPr>
            </w:pPr>
            <w:r w:rsidRPr="001E5BF5">
              <w:rPr>
                <w:rFonts w:cs="Arial"/>
                <w:sz w:val="14"/>
                <w:szCs w:val="14"/>
                <w:lang w:val="en-US"/>
              </w:rPr>
              <w:t>of Chemical Engineering</w:t>
            </w:r>
          </w:p>
          <w:p w14:paraId="4F0CC5DE" w14:textId="47FDB2FC" w:rsidR="000A03B2" w:rsidRPr="001E5BF5" w:rsidRDefault="000D0268" w:rsidP="00CD5FE2">
            <w:pPr>
              <w:spacing w:line="140" w:lineRule="atLeast"/>
              <w:jc w:val="right"/>
              <w:rPr>
                <w:rFonts w:cs="Arial"/>
                <w:sz w:val="13"/>
                <w:szCs w:val="13"/>
                <w:lang w:val="en-US"/>
              </w:rPr>
            </w:pPr>
            <w:r w:rsidRPr="001E5BF5">
              <w:rPr>
                <w:rFonts w:cs="Arial"/>
                <w:sz w:val="13"/>
                <w:szCs w:val="13"/>
                <w:lang w:val="en-US"/>
              </w:rPr>
              <w:t>Online at www.cetjournal.it</w:t>
            </w:r>
          </w:p>
        </w:tc>
      </w:tr>
      <w:tr w:rsidR="000A03B2" w:rsidRPr="001E5BF5" w14:paraId="2D1B7169" w14:textId="77777777" w:rsidTr="00DE264A">
        <w:trPr>
          <w:trHeight w:val="68"/>
          <w:jc w:val="center"/>
        </w:trPr>
        <w:tc>
          <w:tcPr>
            <w:tcW w:w="8789" w:type="dxa"/>
            <w:gridSpan w:val="2"/>
          </w:tcPr>
          <w:p w14:paraId="4B0BB442" w14:textId="73B2847B" w:rsidR="00300E56" w:rsidRPr="009043DC" w:rsidRDefault="00300E56" w:rsidP="00B57E6F">
            <w:pPr>
              <w:ind w:left="-107"/>
              <w:outlineLvl w:val="2"/>
              <w:rPr>
                <w:rFonts w:ascii="Tahoma" w:hAnsi="Tahoma" w:cs="Tahoma"/>
                <w:bCs/>
                <w:color w:val="000000"/>
                <w:sz w:val="14"/>
                <w:szCs w:val="14"/>
                <w:lang w:val="it-IT" w:eastAsia="it-IT"/>
              </w:rPr>
            </w:pPr>
            <w:r w:rsidRPr="009043DC">
              <w:rPr>
                <w:rFonts w:ascii="Tahoma" w:hAnsi="Tahoma" w:cs="Tahoma"/>
                <w:iCs/>
                <w:color w:val="333333"/>
                <w:sz w:val="14"/>
                <w:szCs w:val="14"/>
                <w:lang w:val="it-IT" w:eastAsia="it-IT"/>
              </w:rPr>
              <w:t>Guest Editors:</w:t>
            </w:r>
            <w:r w:rsidR="001D21AF" w:rsidRPr="009043DC">
              <w:rPr>
                <w:rFonts w:ascii="Tahoma" w:hAnsi="Tahoma" w:cs="Tahoma"/>
                <w:color w:val="000000"/>
                <w:sz w:val="14"/>
                <w:szCs w:val="14"/>
                <w:shd w:val="clear" w:color="auto" w:fill="FFFFFF"/>
                <w:lang w:val="it-IT"/>
              </w:rPr>
              <w:t xml:space="preserve"> </w:t>
            </w:r>
            <w:r w:rsidR="00AF6775" w:rsidRPr="009043DC">
              <w:rPr>
                <w:rFonts w:ascii="Tahoma" w:hAnsi="Tahoma" w:cs="Tahoma"/>
                <w:color w:val="000000"/>
                <w:sz w:val="14"/>
                <w:szCs w:val="14"/>
                <w:shd w:val="clear" w:color="auto" w:fill="FFFFFF"/>
                <w:lang w:val="it-IT"/>
              </w:rPr>
              <w:t>Marco Bravi,</w:t>
            </w:r>
            <w:r w:rsidR="00945AB6" w:rsidRPr="009043DC">
              <w:rPr>
                <w:rFonts w:ascii="Tahoma" w:hAnsi="Tahoma" w:cs="Tahoma"/>
                <w:color w:val="000000"/>
                <w:sz w:val="14"/>
                <w:szCs w:val="14"/>
                <w:shd w:val="clear" w:color="auto" w:fill="FFFFFF"/>
                <w:lang w:val="it-IT"/>
              </w:rPr>
              <w:t xml:space="preserve"> Alberto Brucato, Antonio </w:t>
            </w:r>
            <w:proofErr w:type="spellStart"/>
            <w:r w:rsidR="00945AB6" w:rsidRPr="009043DC">
              <w:rPr>
                <w:rFonts w:ascii="Tahoma" w:hAnsi="Tahoma" w:cs="Tahoma"/>
                <w:color w:val="000000"/>
                <w:sz w:val="14"/>
                <w:szCs w:val="14"/>
                <w:shd w:val="clear" w:color="auto" w:fill="FFFFFF"/>
                <w:lang w:val="it-IT"/>
              </w:rPr>
              <w:t>Marzocchella</w:t>
            </w:r>
            <w:proofErr w:type="spellEnd"/>
          </w:p>
          <w:p w14:paraId="1B0F1814" w14:textId="5B50B5BE" w:rsidR="000A03B2" w:rsidRPr="001E5BF5" w:rsidRDefault="00FA5F5F" w:rsidP="00604911">
            <w:pPr>
              <w:tabs>
                <w:tab w:val="left" w:pos="-108"/>
              </w:tabs>
              <w:spacing w:line="140" w:lineRule="atLeast"/>
              <w:ind w:left="-107"/>
              <w:jc w:val="left"/>
              <w:rPr>
                <w:lang w:val="en-US"/>
              </w:rPr>
            </w:pPr>
            <w:r w:rsidRPr="001E5BF5">
              <w:rPr>
                <w:rFonts w:ascii="Tahoma" w:hAnsi="Tahoma" w:cs="Tahoma"/>
                <w:iCs/>
                <w:color w:val="333333"/>
                <w:sz w:val="14"/>
                <w:szCs w:val="14"/>
                <w:lang w:val="en-US" w:eastAsia="it-IT"/>
              </w:rPr>
              <w:t>Copyright © 20</w:t>
            </w:r>
            <w:r w:rsidR="00DF5072" w:rsidRPr="001E5BF5">
              <w:rPr>
                <w:rFonts w:ascii="Tahoma" w:hAnsi="Tahoma" w:cs="Tahoma"/>
                <w:iCs/>
                <w:color w:val="333333"/>
                <w:sz w:val="14"/>
                <w:szCs w:val="14"/>
                <w:lang w:val="en-US" w:eastAsia="it-IT"/>
              </w:rPr>
              <w:t>2</w:t>
            </w:r>
            <w:r w:rsidR="00E72EAD" w:rsidRPr="001E5BF5">
              <w:rPr>
                <w:rFonts w:ascii="Tahoma" w:hAnsi="Tahoma" w:cs="Tahoma"/>
                <w:iCs/>
                <w:color w:val="333333"/>
                <w:sz w:val="14"/>
                <w:szCs w:val="14"/>
                <w:lang w:val="en-US" w:eastAsia="it-IT"/>
              </w:rPr>
              <w:t>2</w:t>
            </w:r>
            <w:r w:rsidR="00904C62" w:rsidRPr="001E5BF5">
              <w:rPr>
                <w:rFonts w:ascii="Tahoma" w:hAnsi="Tahoma" w:cs="Tahoma"/>
                <w:iCs/>
                <w:color w:val="333333"/>
                <w:sz w:val="14"/>
                <w:szCs w:val="14"/>
                <w:lang w:val="en-US" w:eastAsia="it-IT"/>
              </w:rPr>
              <w:t>, AIDIC Servizi S.r.l.</w:t>
            </w:r>
            <w:r w:rsidR="00300E56" w:rsidRPr="001E5BF5">
              <w:rPr>
                <w:rFonts w:ascii="Tahoma" w:hAnsi="Tahoma" w:cs="Tahoma"/>
                <w:iCs/>
                <w:color w:val="333333"/>
                <w:sz w:val="14"/>
                <w:szCs w:val="14"/>
                <w:lang w:val="en-US" w:eastAsia="it-IT"/>
              </w:rPr>
              <w:br/>
            </w:r>
            <w:r w:rsidR="00300E56" w:rsidRPr="001E5BF5">
              <w:rPr>
                <w:rFonts w:ascii="Tahoma" w:hAnsi="Tahoma" w:cs="Tahoma"/>
                <w:b/>
                <w:iCs/>
                <w:color w:val="000000"/>
                <w:sz w:val="14"/>
                <w:szCs w:val="14"/>
                <w:lang w:val="en-US" w:eastAsia="it-IT"/>
              </w:rPr>
              <w:t>ISBN</w:t>
            </w:r>
            <w:r w:rsidR="00300E56" w:rsidRPr="001E5BF5">
              <w:rPr>
                <w:rFonts w:ascii="Tahoma" w:hAnsi="Tahoma" w:cs="Tahoma"/>
                <w:iCs/>
                <w:color w:val="000000"/>
                <w:sz w:val="14"/>
                <w:szCs w:val="14"/>
                <w:lang w:val="en-US" w:eastAsia="it-IT"/>
              </w:rPr>
              <w:t xml:space="preserve"> </w:t>
            </w:r>
            <w:r w:rsidR="008D32B9" w:rsidRPr="001E5BF5">
              <w:rPr>
                <w:rFonts w:ascii="Tahoma" w:hAnsi="Tahoma" w:cs="Tahoma"/>
                <w:sz w:val="14"/>
                <w:szCs w:val="14"/>
                <w:lang w:val="en-US"/>
              </w:rPr>
              <w:t>978-88-95608</w:t>
            </w:r>
            <w:r w:rsidR="00D46B7E" w:rsidRPr="001E5BF5">
              <w:rPr>
                <w:rFonts w:ascii="Tahoma" w:hAnsi="Tahoma" w:cs="Tahoma"/>
                <w:sz w:val="14"/>
                <w:szCs w:val="14"/>
                <w:lang w:val="en-US"/>
              </w:rPr>
              <w:t>-</w:t>
            </w:r>
            <w:r w:rsidR="001D21AF" w:rsidRPr="001E5BF5">
              <w:rPr>
                <w:rFonts w:ascii="Tahoma" w:hAnsi="Tahoma" w:cs="Tahoma"/>
                <w:sz w:val="14"/>
                <w:szCs w:val="14"/>
                <w:lang w:val="en-US"/>
              </w:rPr>
              <w:t>9</w:t>
            </w:r>
            <w:r w:rsidR="00604911" w:rsidRPr="001E5BF5">
              <w:rPr>
                <w:rFonts w:ascii="Tahoma" w:hAnsi="Tahoma" w:cs="Tahoma"/>
                <w:sz w:val="14"/>
                <w:szCs w:val="14"/>
                <w:lang w:val="en-US"/>
              </w:rPr>
              <w:t>1</w:t>
            </w:r>
            <w:r w:rsidR="00D46B7E" w:rsidRPr="001E5BF5">
              <w:rPr>
                <w:rFonts w:ascii="Tahoma" w:hAnsi="Tahoma" w:cs="Tahoma"/>
                <w:sz w:val="14"/>
                <w:szCs w:val="14"/>
                <w:lang w:val="en-US"/>
              </w:rPr>
              <w:t>-</w:t>
            </w:r>
            <w:r w:rsidR="00604911" w:rsidRPr="001E5BF5">
              <w:rPr>
                <w:rFonts w:ascii="Tahoma" w:hAnsi="Tahoma" w:cs="Tahoma"/>
                <w:sz w:val="14"/>
                <w:szCs w:val="14"/>
                <w:lang w:val="en-US"/>
              </w:rPr>
              <w:t>4</w:t>
            </w:r>
            <w:r w:rsidR="007B48F9" w:rsidRPr="001E5BF5">
              <w:rPr>
                <w:rFonts w:ascii="Tahoma" w:hAnsi="Tahoma" w:cs="Tahoma"/>
                <w:iCs/>
                <w:color w:val="333333"/>
                <w:sz w:val="14"/>
                <w:szCs w:val="14"/>
                <w:lang w:val="en-US" w:eastAsia="it-IT"/>
              </w:rPr>
              <w:t>;</w:t>
            </w:r>
            <w:r w:rsidR="00300E56" w:rsidRPr="001E5BF5">
              <w:rPr>
                <w:rFonts w:ascii="Tahoma" w:hAnsi="Tahoma" w:cs="Tahoma"/>
                <w:iCs/>
                <w:color w:val="333333"/>
                <w:sz w:val="14"/>
                <w:szCs w:val="14"/>
                <w:lang w:val="en-US" w:eastAsia="it-IT"/>
              </w:rPr>
              <w:t xml:space="preserve"> </w:t>
            </w:r>
            <w:r w:rsidR="00300E56" w:rsidRPr="001E5BF5">
              <w:rPr>
                <w:rFonts w:ascii="Tahoma" w:hAnsi="Tahoma" w:cs="Tahoma"/>
                <w:b/>
                <w:iCs/>
                <w:color w:val="333333"/>
                <w:sz w:val="14"/>
                <w:szCs w:val="14"/>
                <w:lang w:val="en-US" w:eastAsia="it-IT"/>
              </w:rPr>
              <w:t>ISSN</w:t>
            </w:r>
            <w:r w:rsidR="00300E56" w:rsidRPr="001E5BF5">
              <w:rPr>
                <w:rFonts w:ascii="Tahoma" w:hAnsi="Tahoma" w:cs="Tahoma"/>
                <w:iCs/>
                <w:color w:val="333333"/>
                <w:sz w:val="14"/>
                <w:szCs w:val="14"/>
                <w:lang w:val="en-US" w:eastAsia="it-IT"/>
              </w:rPr>
              <w:t xml:space="preserve"> 2283-9216</w:t>
            </w:r>
          </w:p>
        </w:tc>
      </w:tr>
    </w:tbl>
    <w:p w14:paraId="10DAA130" w14:textId="77777777" w:rsidR="000A03B2" w:rsidRPr="001E5BF5" w:rsidRDefault="000A03B2" w:rsidP="000A03B2">
      <w:pPr>
        <w:pStyle w:val="CETAuthors"/>
        <w:rPr>
          <w:lang w:val="en-US"/>
        </w:rPr>
        <w:sectPr w:rsidR="000A03B2" w:rsidRPr="001E5BF5" w:rsidSect="00CD5FE2">
          <w:type w:val="continuous"/>
          <w:pgSz w:w="11906" w:h="16838" w:code="9"/>
          <w:pgMar w:top="1701" w:right="1418" w:bottom="1701" w:left="1701" w:header="1701" w:footer="0" w:gutter="0"/>
          <w:cols w:space="708"/>
          <w:titlePg/>
          <w:docGrid w:linePitch="360"/>
        </w:sectPr>
      </w:pPr>
    </w:p>
    <w:p w14:paraId="2E667253" w14:textId="7E2128EA" w:rsidR="00E978D0" w:rsidRPr="001E5BF5" w:rsidRDefault="00D3731B" w:rsidP="00E978D0">
      <w:pPr>
        <w:pStyle w:val="CETTitle"/>
        <w:rPr>
          <w:lang w:val="en-US"/>
        </w:rPr>
      </w:pPr>
      <w:r w:rsidRPr="001E5BF5">
        <w:rPr>
          <w:lang w:val="en-US"/>
        </w:rPr>
        <w:t xml:space="preserve">Repurposing Tempeh Fermentation: </w:t>
      </w:r>
      <w:proofErr w:type="gramStart"/>
      <w:r>
        <w:rPr>
          <w:lang w:val="en-US"/>
        </w:rPr>
        <w:t>a</w:t>
      </w:r>
      <w:proofErr w:type="gramEnd"/>
      <w:r w:rsidRPr="001E5BF5">
        <w:rPr>
          <w:lang w:val="en-US"/>
        </w:rPr>
        <w:t xml:space="preserve"> Promising Protein Source Using Food Residues </w:t>
      </w:r>
      <w:r>
        <w:rPr>
          <w:lang w:val="en-US"/>
        </w:rPr>
        <w:t>a</w:t>
      </w:r>
      <w:r w:rsidRPr="001E5BF5">
        <w:rPr>
          <w:lang w:val="en-US"/>
        </w:rPr>
        <w:t>nd Edible Filamentous Fungi</w:t>
      </w:r>
    </w:p>
    <w:p w14:paraId="0488FED2" w14:textId="10274FE4" w:rsidR="00B57E6F" w:rsidRPr="009043DC" w:rsidRDefault="00D3731B" w:rsidP="00B57E6F">
      <w:pPr>
        <w:pStyle w:val="CETAuthors"/>
        <w:rPr>
          <w:lang w:val="it-IT"/>
        </w:rPr>
      </w:pPr>
      <w:r>
        <w:rPr>
          <w:lang w:val="it-IT"/>
        </w:rPr>
        <w:t xml:space="preserve">Carlos E. </w:t>
      </w:r>
      <w:r w:rsidR="008C0246" w:rsidRPr="009043DC">
        <w:rPr>
          <w:lang w:val="it-IT"/>
        </w:rPr>
        <w:t>Gómez-Camacho</w:t>
      </w:r>
      <w:r w:rsidRPr="002F1682">
        <w:rPr>
          <w:lang w:val="it-IT"/>
        </w:rPr>
        <w:t>*</w:t>
      </w:r>
      <w:r>
        <w:rPr>
          <w:lang w:val="it-IT"/>
        </w:rPr>
        <w:t>, Chiara</w:t>
      </w:r>
      <w:r w:rsidR="008C0246" w:rsidRPr="009043DC">
        <w:rPr>
          <w:lang w:val="it-IT"/>
        </w:rPr>
        <w:t xml:space="preserve"> Mollea,</w:t>
      </w:r>
      <w:r>
        <w:rPr>
          <w:lang w:val="it-IT"/>
        </w:rPr>
        <w:t xml:space="preserve"> Italo</w:t>
      </w:r>
      <w:r w:rsidR="008C0246" w:rsidRPr="009043DC">
        <w:rPr>
          <w:lang w:val="it-IT"/>
        </w:rPr>
        <w:t xml:space="preserve"> Mazzarino,</w:t>
      </w:r>
      <w:r>
        <w:rPr>
          <w:lang w:val="it-IT"/>
        </w:rPr>
        <w:t xml:space="preserve"> Bernardo</w:t>
      </w:r>
      <w:r w:rsidR="008C0246" w:rsidRPr="009043DC">
        <w:rPr>
          <w:lang w:val="it-IT"/>
        </w:rPr>
        <w:t xml:space="preserve"> Ruggeri,</w:t>
      </w:r>
      <w:r>
        <w:rPr>
          <w:lang w:val="it-IT"/>
        </w:rPr>
        <w:t xml:space="preserve"> Francesca</w:t>
      </w:r>
      <w:r w:rsidR="008C0246" w:rsidRPr="009043DC">
        <w:rPr>
          <w:lang w:val="it-IT"/>
        </w:rPr>
        <w:t xml:space="preserve"> Bosco</w:t>
      </w:r>
      <w:r>
        <w:rPr>
          <w:lang w:val="it-IT"/>
        </w:rPr>
        <w:t>*</w:t>
      </w:r>
      <w:r w:rsidR="008C0246" w:rsidRPr="009043DC">
        <w:rPr>
          <w:lang w:val="it-IT"/>
        </w:rPr>
        <w:t xml:space="preserve"> </w:t>
      </w:r>
    </w:p>
    <w:p w14:paraId="6B2D21B3" w14:textId="17642A5F" w:rsidR="00B57E6F" w:rsidRPr="009043DC" w:rsidRDefault="00BB2B02" w:rsidP="00B57E6F">
      <w:pPr>
        <w:pStyle w:val="CETAddress"/>
        <w:rPr>
          <w:lang w:val="it-IT"/>
        </w:rPr>
      </w:pPr>
      <w:r w:rsidRPr="009043DC">
        <w:rPr>
          <w:lang w:val="it-IT"/>
        </w:rPr>
        <w:t>Politecnico di Torino, Dep. of Applied Science and Technology (DISAT), C/so Duca degli Abruzzi 24, 10129 Torino.</w:t>
      </w:r>
    </w:p>
    <w:p w14:paraId="73F1267A" w14:textId="7F7F42B9" w:rsidR="00B57E6F" w:rsidRPr="003E161F" w:rsidRDefault="00797801" w:rsidP="00B57E6F">
      <w:pPr>
        <w:pStyle w:val="CETemail"/>
      </w:pPr>
      <w:hyperlink r:id="rId10" w:history="1">
        <w:r w:rsidR="00B806C0" w:rsidRPr="003E161F">
          <w:rPr>
            <w:rStyle w:val="Hyperlink"/>
          </w:rPr>
          <w:t>carlos.gomezcamacho@polito.it</w:t>
        </w:r>
      </w:hyperlink>
      <w:r w:rsidR="00B806C0" w:rsidRPr="003E161F">
        <w:t xml:space="preserve"> and </w:t>
      </w:r>
      <w:hyperlink r:id="rId11" w:history="1">
        <w:r w:rsidR="00B806C0" w:rsidRPr="003E161F">
          <w:rPr>
            <w:rStyle w:val="Hyperlink"/>
          </w:rPr>
          <w:t>francesca.bosco@polito.it</w:t>
        </w:r>
      </w:hyperlink>
      <w:r w:rsidR="008C0246" w:rsidRPr="003E161F">
        <w:t xml:space="preserve"> </w:t>
      </w:r>
    </w:p>
    <w:p w14:paraId="6CB33EDB" w14:textId="03899AC2" w:rsidR="00BB2B02" w:rsidRPr="001E5BF5" w:rsidRDefault="0013290D" w:rsidP="0013290D">
      <w:pPr>
        <w:pStyle w:val="CETBodytext"/>
      </w:pPr>
      <w:r w:rsidRPr="001E5BF5">
        <w:t xml:space="preserve">Brewers' spent grains (BSG) are the main by-product of the brewery industry, accounting for </w:t>
      </w:r>
      <w:r w:rsidR="0032570F" w:rsidRPr="001E5BF5">
        <w:t xml:space="preserve">more than 80 % </w:t>
      </w:r>
      <w:r w:rsidRPr="001E5BF5">
        <w:t>of total produced by-products. Although this matrix is primarily composed of hemicellulose, cellulose, protein and lignin</w:t>
      </w:r>
      <w:r w:rsidR="0032570F" w:rsidRPr="001E5BF5">
        <w:t>,</w:t>
      </w:r>
      <w:r w:rsidRPr="001E5BF5">
        <w:t xml:space="preserve"> the current end-of-life scenario for BSG is as livestock feed.</w:t>
      </w:r>
      <w:r w:rsidR="0032570F" w:rsidRPr="001E5BF5">
        <w:t xml:space="preserve"> </w:t>
      </w:r>
      <w:r w:rsidRPr="001E5BF5">
        <w:t xml:space="preserve">In the present study, a </w:t>
      </w:r>
      <w:proofErr w:type="spellStart"/>
      <w:r w:rsidR="0032570F" w:rsidRPr="001E5BF5">
        <w:t>valorisation</w:t>
      </w:r>
      <w:proofErr w:type="spellEnd"/>
      <w:r w:rsidRPr="001E5BF5">
        <w:t xml:space="preserve"> approach for BSG that uses an edible fung</w:t>
      </w:r>
      <w:r w:rsidR="00DE5314" w:rsidRPr="001E5BF5">
        <w:t>us</w:t>
      </w:r>
      <w:r w:rsidRPr="001E5BF5">
        <w:t xml:space="preserve"> (</w:t>
      </w:r>
      <w:r w:rsidRPr="001E5BF5">
        <w:rPr>
          <w:i/>
          <w:iCs/>
        </w:rPr>
        <w:t xml:space="preserve">Rhizopus </w:t>
      </w:r>
      <w:proofErr w:type="spellStart"/>
      <w:r w:rsidRPr="001E5BF5">
        <w:rPr>
          <w:i/>
          <w:iCs/>
        </w:rPr>
        <w:t>oligosporus</w:t>
      </w:r>
      <w:proofErr w:type="spellEnd"/>
      <w:r w:rsidRPr="001E5BF5">
        <w:t>) in solid state fermentations (SSF)</w:t>
      </w:r>
      <w:r w:rsidR="00DE5314" w:rsidRPr="001E5BF5">
        <w:t xml:space="preserve"> is proposed</w:t>
      </w:r>
      <w:r w:rsidRPr="001E5BF5">
        <w:t xml:space="preserve">. First, a microbiological </w:t>
      </w:r>
      <w:r w:rsidR="0032570F" w:rsidRPr="001E5BF5">
        <w:t>characterization</w:t>
      </w:r>
      <w:r w:rsidRPr="001E5BF5">
        <w:t xml:space="preserve"> is performed, to shed light on the indigenous microorganisms that are present in the BSG matrix. Then, an </w:t>
      </w:r>
      <w:r w:rsidR="0032570F" w:rsidRPr="001E5BF5">
        <w:rPr>
          <w:i/>
          <w:iCs/>
        </w:rPr>
        <w:t>appropriate</w:t>
      </w:r>
      <w:r w:rsidRPr="001E5BF5">
        <w:rPr>
          <w:i/>
          <w:iCs/>
        </w:rPr>
        <w:t xml:space="preserve"> technology</w:t>
      </w:r>
      <w:r w:rsidRPr="001E5BF5">
        <w:t xml:space="preserve"> approach is used for </w:t>
      </w:r>
      <w:r w:rsidR="00DD5F6D" w:rsidRPr="001E5BF5">
        <w:t xml:space="preserve">the </w:t>
      </w:r>
      <w:r w:rsidRPr="001E5BF5">
        <w:t xml:space="preserve">SSF that can be conducted </w:t>
      </w:r>
      <w:r w:rsidR="00DE5314" w:rsidRPr="001E5BF5">
        <w:t xml:space="preserve">both </w:t>
      </w:r>
      <w:r w:rsidRPr="001E5BF5">
        <w:t>at laboratory and household level</w:t>
      </w:r>
      <w:r w:rsidR="00D07D4C" w:rsidRPr="001E5BF5">
        <w:t>s</w:t>
      </w:r>
      <w:r w:rsidRPr="001E5BF5">
        <w:t>.</w:t>
      </w:r>
      <w:r w:rsidR="0032570F" w:rsidRPr="001E5BF5">
        <w:t xml:space="preserve"> </w:t>
      </w:r>
      <w:r w:rsidR="00D07D4C" w:rsidRPr="001E5BF5">
        <w:t xml:space="preserve">In the SSF experiments, different temperature (30-35 °C), mass of </w:t>
      </w:r>
      <w:r w:rsidR="00211FEA" w:rsidRPr="001E5BF5">
        <w:t xml:space="preserve">BSG </w:t>
      </w:r>
      <w:r w:rsidR="00D07D4C" w:rsidRPr="001E5BF5">
        <w:t xml:space="preserve">substrate, inoculum ratio (10 and 15 % </w:t>
      </w:r>
      <w:r w:rsidR="00D07D4C" w:rsidRPr="001E5BF5">
        <w:rPr>
          <w:i/>
          <w:iCs/>
        </w:rPr>
        <w:t>v/m</w:t>
      </w:r>
      <w:r w:rsidR="00D07D4C" w:rsidRPr="001E5BF5">
        <w:t xml:space="preserve">) and drilling patters for the aeration of the systems are investigated. </w:t>
      </w:r>
      <w:r w:rsidR="001242B2" w:rsidRPr="001E5BF5">
        <w:t>The fermentation products were characterized by preparing homogenized samples; it was registered an increase in protein content (5-64%), a slight acidification (</w:t>
      </w:r>
      <w:proofErr w:type="spellStart"/>
      <w:r w:rsidR="001242B2" w:rsidRPr="001E5BF5">
        <w:t>ΔpH</w:t>
      </w:r>
      <w:proofErr w:type="spellEnd"/>
      <w:r w:rsidR="001242B2" w:rsidRPr="001E5BF5">
        <w:t>=0.1-1.2), a decrease of °Brix and the loss of organic matter (and water). The formation of the tempeh cakes was variable, and the differences are analyzed in terms of the</w:t>
      </w:r>
      <w:r w:rsidR="00211FEA" w:rsidRPr="001E5BF5">
        <w:t xml:space="preserve"> operational </w:t>
      </w:r>
      <w:r w:rsidR="001242B2" w:rsidRPr="001E5BF5">
        <w:t>parameters of each studied batch.</w:t>
      </w:r>
    </w:p>
    <w:p w14:paraId="3F89247E" w14:textId="77777777" w:rsidR="00BB2B02" w:rsidRPr="001E5BF5" w:rsidRDefault="00BB2B02" w:rsidP="00BB2B02">
      <w:pPr>
        <w:pStyle w:val="CETHeading1"/>
      </w:pPr>
      <w:r w:rsidRPr="001E5BF5">
        <w:t>Introduction</w:t>
      </w:r>
    </w:p>
    <w:p w14:paraId="35F86786" w14:textId="2C902A90" w:rsidR="00874BCA" w:rsidRPr="001E5BF5" w:rsidRDefault="00B02D56" w:rsidP="00D91F3D">
      <w:pPr>
        <w:pStyle w:val="CETBodytext"/>
        <w:rPr>
          <w:color w:val="FF0000"/>
        </w:rPr>
      </w:pPr>
      <w:r w:rsidRPr="001E5BF5">
        <w:t>The increase in the world population, with the consequent increase in the demand for food requires multidisciplinary solutions that do not destabilize and compromise the carrying capacity of natural ecosystems. In particular, the management of the elements of the Water-Energy-Food-Waste nexus is crucial for sustainable development</w:t>
      </w:r>
      <w:r w:rsidR="0051534D">
        <w:t xml:space="preserve"> </w:t>
      </w:r>
      <w:r w:rsidR="0051534D" w:rsidRPr="0051534D">
        <w:t>(Gómez-Camacho, Bosco and Ruggeri, 2020)</w:t>
      </w:r>
      <w:r w:rsidRPr="001E5BF5">
        <w:t>.</w:t>
      </w:r>
      <w:r w:rsidR="00D91F3D" w:rsidRPr="001E5BF5">
        <w:rPr>
          <w:color w:val="FF0000"/>
        </w:rPr>
        <w:t xml:space="preserve"> </w:t>
      </w:r>
      <w:r w:rsidR="00D91F3D" w:rsidRPr="001E5BF5">
        <w:t>The food production industry presents a high water, energy, land utilization and waste production footprints, which together pose a colossal challenge in environmental terms. Ecologically, humans are considered omnivores feeding on a mixture of first and second level trophic organisms; the human trophic level (HTL) being close to 2.2</w:t>
      </w:r>
      <w:r w:rsidR="0051534D">
        <w:t xml:space="preserve"> </w:t>
      </w:r>
      <w:r w:rsidR="0051534D" w:rsidRPr="0051534D">
        <w:t>(</w:t>
      </w:r>
      <w:proofErr w:type="spellStart"/>
      <w:r w:rsidR="0051534D" w:rsidRPr="0051534D">
        <w:t>Bonhommeau</w:t>
      </w:r>
      <w:proofErr w:type="spellEnd"/>
      <w:r w:rsidR="0051534D" w:rsidRPr="0051534D">
        <w:t xml:space="preserve"> et al., 2013)</w:t>
      </w:r>
      <w:r w:rsidR="00D91F3D" w:rsidRPr="001E5BF5">
        <w:t xml:space="preserve">. </w:t>
      </w:r>
      <w:r w:rsidR="00620EF2" w:rsidRPr="001E5BF5">
        <w:t xml:space="preserve">However, depending on the type of protein </w:t>
      </w:r>
      <w:r w:rsidR="00D732C4" w:rsidRPr="001E5BF5">
        <w:t>(e.g</w:t>
      </w:r>
      <w:r w:rsidR="00620EF2" w:rsidRPr="001E5BF5">
        <w:t xml:space="preserve">., of animal or plant origin) different nutritional profiles can be found (i.e., micronutrients, macronutrients, digestibility, bioactive compounds). </w:t>
      </w:r>
      <w:r w:rsidR="00211FEA" w:rsidRPr="001E5BF5">
        <w:t>Human d</w:t>
      </w:r>
      <w:r w:rsidR="00620EF2" w:rsidRPr="001E5BF5">
        <w:t xml:space="preserve">iets resulting in high HTL are believed to have an increased environmental burden compared to vegetal proteins-based diets, since the livestock industry has been identified as one of the main contributors to the anthropogenic emissions. </w:t>
      </w:r>
      <w:r w:rsidR="00DB3720" w:rsidRPr="001E5BF5">
        <w:t>Besides vegetal proteins, Single Cell Proteins (SCP) have been recently gaining ground as means to decrease</w:t>
      </w:r>
      <w:r w:rsidR="00205821" w:rsidRPr="001E5BF5">
        <w:t xml:space="preserve"> the</w:t>
      </w:r>
      <w:r w:rsidR="00DB3720" w:rsidRPr="001E5BF5">
        <w:t xml:space="preserve"> HTL</w:t>
      </w:r>
      <w:r w:rsidR="00384AF9" w:rsidRPr="001E5BF5">
        <w:t xml:space="preserve"> and to cope with environmental issues</w:t>
      </w:r>
      <w:r w:rsidR="00DB3720" w:rsidRPr="001E5BF5">
        <w:t xml:space="preserve">. </w:t>
      </w:r>
      <w:r w:rsidR="00D91F3D" w:rsidRPr="001E5BF5">
        <w:t xml:space="preserve">SCP </w:t>
      </w:r>
      <w:r w:rsidR="00874BCA" w:rsidRPr="001E5BF5">
        <w:t xml:space="preserve">can be produced through </w:t>
      </w:r>
      <w:r w:rsidR="00D91F3D" w:rsidRPr="001E5BF5">
        <w:t xml:space="preserve">microbial cultures, using eukaryotic or </w:t>
      </w:r>
      <w:r w:rsidR="00C5445F" w:rsidRPr="00800101">
        <w:t>prokaryotic</w:t>
      </w:r>
      <w:r w:rsidR="00D91F3D" w:rsidRPr="001E5BF5">
        <w:t xml:space="preserve"> microorganisms, such as yeasts, </w:t>
      </w:r>
      <w:r w:rsidR="00874BCA" w:rsidRPr="001E5BF5">
        <w:t>molds</w:t>
      </w:r>
      <w:r w:rsidR="00D91F3D" w:rsidRPr="001E5BF5">
        <w:t xml:space="preserve">, microalgae and bacteria (i.e., ideally containing &gt;30% protein in their biomass). </w:t>
      </w:r>
      <w:r w:rsidR="00874BCA" w:rsidRPr="001E5BF5">
        <w:t xml:space="preserve">Additionally, </w:t>
      </w:r>
      <w:r w:rsidR="00D91F3D" w:rsidRPr="001E5BF5">
        <w:t>SCP can also be grown on complex biomass (residual) substrates, thus offering the possibility to upgrade the protein content, to enhance the quality of fermented foods and/or to modulate the amino acids profile</w:t>
      </w:r>
      <w:r w:rsidR="000A19F6" w:rsidRPr="001E5BF5">
        <w:t xml:space="preserve"> </w:t>
      </w:r>
      <w:r w:rsidR="0051534D" w:rsidRPr="0051534D">
        <w:t>(</w:t>
      </w:r>
      <w:proofErr w:type="spellStart"/>
      <w:r w:rsidR="0051534D" w:rsidRPr="0051534D">
        <w:t>Bratosin</w:t>
      </w:r>
      <w:proofErr w:type="spellEnd"/>
      <w:r w:rsidR="004C11C1">
        <w:t xml:space="preserve"> et al.</w:t>
      </w:r>
      <w:r w:rsidR="0051534D" w:rsidRPr="0051534D">
        <w:t>, 2021)</w:t>
      </w:r>
      <w:r w:rsidR="00D91F3D" w:rsidRPr="001E5BF5">
        <w:t xml:space="preserve">. </w:t>
      </w:r>
    </w:p>
    <w:p w14:paraId="04F3969F" w14:textId="6A7676C3" w:rsidR="00760C47" w:rsidRPr="001E5BF5" w:rsidRDefault="00D91F3D" w:rsidP="00760C47">
      <w:pPr>
        <w:pStyle w:val="CETBodytext"/>
        <w:rPr>
          <w:color w:val="FF0000"/>
        </w:rPr>
      </w:pPr>
      <w:r w:rsidRPr="001E5BF5">
        <w:t xml:space="preserve">Residues </w:t>
      </w:r>
      <w:r w:rsidR="006439F8" w:rsidRPr="001E5BF5">
        <w:t xml:space="preserve">and by-products </w:t>
      </w:r>
      <w:r w:rsidRPr="001E5BF5">
        <w:t xml:space="preserve">from the brewing industry, </w:t>
      </w:r>
      <w:r w:rsidR="00874BCA" w:rsidRPr="001E5BF5">
        <w:t xml:space="preserve">such as </w:t>
      </w:r>
      <w:r w:rsidRPr="001E5BF5">
        <w:t>brewery wastewater (BWW), brewers’ spent yeast (BSY), and brewers’ spent grain (BSG) are produced in large quantities</w:t>
      </w:r>
      <w:r w:rsidR="006439F8" w:rsidRPr="001E5BF5">
        <w:t>. In particular, the latter is estimated to represent</w:t>
      </w:r>
      <w:r w:rsidRPr="001E5BF5">
        <w:t xml:space="preserve"> </w:t>
      </w:r>
      <w:r w:rsidR="006439F8" w:rsidRPr="001E5BF5">
        <w:t>85 % of the total by-products, with a</w:t>
      </w:r>
      <w:r w:rsidR="00D732C4" w:rsidRPr="001E5BF5">
        <w:t>n approximate</w:t>
      </w:r>
      <w:r w:rsidR="006439F8" w:rsidRPr="001E5BF5">
        <w:t xml:space="preserve"> yield of 0.2 kg </w:t>
      </w:r>
      <w:r w:rsidR="006439F8" w:rsidRPr="001E5BF5">
        <w:rPr>
          <w:vertAlign w:val="subscript"/>
        </w:rPr>
        <w:t>BSG</w:t>
      </w:r>
      <w:r w:rsidR="006439F8" w:rsidRPr="001E5BF5">
        <w:t xml:space="preserve">/L </w:t>
      </w:r>
      <w:r w:rsidR="006439F8" w:rsidRPr="001E5BF5">
        <w:rPr>
          <w:vertAlign w:val="subscript"/>
        </w:rPr>
        <w:t>beer</w:t>
      </w:r>
      <w:r w:rsidR="006439F8" w:rsidRPr="001E5BF5">
        <w:t>. BSG is a heterogeneou</w:t>
      </w:r>
      <w:r w:rsidR="00760C47" w:rsidRPr="001E5BF5">
        <w:t>s</w:t>
      </w:r>
      <w:r w:rsidR="006439F8" w:rsidRPr="001E5BF5">
        <w:t xml:space="preserve"> </w:t>
      </w:r>
      <w:r w:rsidR="00760C47" w:rsidRPr="001E5BF5">
        <w:t>matrix,</w:t>
      </w:r>
      <w:r w:rsidR="006439F8" w:rsidRPr="001E5BF5">
        <w:t xml:space="preserve"> and its main constituents are the seed coat–pericarp–husk layers</w:t>
      </w:r>
      <w:r w:rsidR="00760C47" w:rsidRPr="001E5BF5">
        <w:t xml:space="preserve">, starchy residues from the endosperm and debris from aleurone cells </w:t>
      </w:r>
      <w:r w:rsidR="006439F8" w:rsidRPr="001E5BF5">
        <w:t>of barley grains</w:t>
      </w:r>
      <w:r w:rsidR="00760C47" w:rsidRPr="001E5BF5">
        <w:t xml:space="preserve">. BSG is primarily of lignocellulosic nature, being </w:t>
      </w:r>
      <w:r w:rsidR="007E2ADA" w:rsidRPr="001E5BF5">
        <w:t>fiber</w:t>
      </w:r>
      <w:r w:rsidR="00760C47" w:rsidRPr="001E5BF5">
        <w:t xml:space="preserve"> (i.e., </w:t>
      </w:r>
      <w:r w:rsidR="00760C47" w:rsidRPr="001E5BF5">
        <w:lastRenderedPageBreak/>
        <w:t xml:space="preserve">hemicellulose and cellulose), protein and lignin the main fractions; </w:t>
      </w:r>
      <w:r w:rsidR="007E2ADA" w:rsidRPr="001E5BF5">
        <w:t>the fiber</w:t>
      </w:r>
      <w:r w:rsidR="00760C47" w:rsidRPr="001E5BF5">
        <w:t xml:space="preserve"> </w:t>
      </w:r>
      <w:r w:rsidR="007E2ADA" w:rsidRPr="001E5BF5">
        <w:t xml:space="preserve">fraction </w:t>
      </w:r>
      <w:r w:rsidR="00760C47" w:rsidRPr="001E5BF5">
        <w:t xml:space="preserve">is estimated </w:t>
      </w:r>
      <w:r w:rsidR="007E2ADA" w:rsidRPr="001E5BF5">
        <w:t xml:space="preserve">around 50 % (on a dry weight basis) while the </w:t>
      </w:r>
      <w:r w:rsidR="00760C47" w:rsidRPr="001E5BF5">
        <w:t>protein</w:t>
      </w:r>
      <w:r w:rsidR="007E2ADA" w:rsidRPr="001E5BF5">
        <w:t xml:space="preserve"> fraction can reach up to</w:t>
      </w:r>
      <w:r w:rsidR="00760C47" w:rsidRPr="001E5BF5">
        <w:t xml:space="preserve"> 30%.</w:t>
      </w:r>
      <w:r w:rsidR="007E2ADA" w:rsidRPr="001E5BF5">
        <w:t xml:space="preserve"> These high fiber and protein fractions could be of interest for </w:t>
      </w:r>
      <w:r w:rsidR="003248BC" w:rsidRPr="001E5BF5">
        <w:t xml:space="preserve">BSG </w:t>
      </w:r>
      <w:r w:rsidR="007E2ADA" w:rsidRPr="001E5BF5">
        <w:t>valorization</w:t>
      </w:r>
      <w:r w:rsidR="003248BC" w:rsidRPr="001E5BF5">
        <w:t xml:space="preserve"> processes</w:t>
      </w:r>
      <w:r w:rsidR="00FE43FA" w:rsidRPr="001E5BF5">
        <w:t>, particularly for the production of SCP</w:t>
      </w:r>
      <w:r w:rsidR="007E2ADA" w:rsidRPr="001E5BF5">
        <w:t xml:space="preserve">. </w:t>
      </w:r>
    </w:p>
    <w:p w14:paraId="28D494D4" w14:textId="70FFAE68" w:rsidR="00205821" w:rsidRPr="001E5BF5" w:rsidRDefault="00360734" w:rsidP="009D374C">
      <w:pPr>
        <w:pStyle w:val="CETBodytext"/>
      </w:pPr>
      <w:r w:rsidRPr="001E5BF5">
        <w:t>Tempeh is an Indonesian traditional food, its production is based on a fermentation process that binds the chosen substrate (e.g., soybeans, lentils,</w:t>
      </w:r>
      <w:r w:rsidR="00664B07" w:rsidRPr="001E5BF5">
        <w:t xml:space="preserve"> </w:t>
      </w:r>
      <w:proofErr w:type="spellStart"/>
      <w:r w:rsidR="00664B07" w:rsidRPr="001E5BF5">
        <w:t>faba</w:t>
      </w:r>
      <w:proofErr w:type="spellEnd"/>
      <w:r w:rsidR="00664B07" w:rsidRPr="001E5BF5">
        <w:t>,</w:t>
      </w:r>
      <w:r w:rsidRPr="001E5BF5">
        <w:t xml:space="preserve"> chickpeas) into mold-covered cakes. </w:t>
      </w:r>
      <w:r w:rsidR="004D307D" w:rsidRPr="001E5BF5">
        <w:t xml:space="preserve">Tempeh is known as a low-cost, health promoting fermented food product that has been a green source of protein as well as of other macronutrients and micronutrients. </w:t>
      </w:r>
      <w:r w:rsidR="008D33B8" w:rsidRPr="001E5BF5">
        <w:t>In traditional tempeh production processes, the final properties depend on</w:t>
      </w:r>
      <w:r w:rsidR="0051534D">
        <w:t xml:space="preserve"> </w:t>
      </w:r>
      <w:r w:rsidR="008D33B8" w:rsidRPr="001E5BF5">
        <w:t xml:space="preserve"> how the process is carried out and on the bacterial and fungal communities that act on the fermentation process</w:t>
      </w:r>
      <w:r w:rsidR="00EE4B19" w:rsidRPr="001E5BF5">
        <w:t xml:space="preserve"> </w:t>
      </w:r>
      <w:r w:rsidR="0051534D" w:rsidRPr="0051534D">
        <w:t>(</w:t>
      </w:r>
      <w:proofErr w:type="spellStart"/>
      <w:r w:rsidR="0051534D" w:rsidRPr="0051534D">
        <w:t>Radita</w:t>
      </w:r>
      <w:proofErr w:type="spellEnd"/>
      <w:r w:rsidR="0051534D" w:rsidRPr="0051534D">
        <w:t xml:space="preserve"> et al., 2018)(</w:t>
      </w:r>
      <w:proofErr w:type="spellStart"/>
      <w:r w:rsidR="0051534D" w:rsidRPr="0051534D">
        <w:t>Seumahu</w:t>
      </w:r>
      <w:proofErr w:type="spellEnd"/>
      <w:r w:rsidR="0051534D" w:rsidRPr="0051534D">
        <w:t xml:space="preserve"> et al., 2013)</w:t>
      </w:r>
      <w:r w:rsidR="008D33B8" w:rsidRPr="001E5BF5">
        <w:t>. Nevertheless, the formation of the white tempeh cake is mainly due to the action of the key microorganism in play,</w:t>
      </w:r>
      <w:r w:rsidR="001003B1" w:rsidRPr="001E5BF5">
        <w:t xml:space="preserve"> the genus</w:t>
      </w:r>
      <w:r w:rsidR="008D33B8" w:rsidRPr="001E5BF5">
        <w:t xml:space="preserve"> </w:t>
      </w:r>
      <w:r w:rsidR="008D33B8" w:rsidRPr="001E5BF5">
        <w:rPr>
          <w:i/>
          <w:iCs/>
        </w:rPr>
        <w:t>Rhizopus</w:t>
      </w:r>
      <w:r w:rsidR="001003B1" w:rsidRPr="001E5BF5">
        <w:t xml:space="preserve"> and</w:t>
      </w:r>
      <w:r w:rsidR="00D732C4" w:rsidRPr="001E5BF5">
        <w:t>,</w:t>
      </w:r>
      <w:r w:rsidR="001003B1" w:rsidRPr="001E5BF5">
        <w:t xml:space="preserve"> in particular</w:t>
      </w:r>
      <w:r w:rsidR="00D732C4" w:rsidRPr="001E5BF5">
        <w:t>,</w:t>
      </w:r>
      <w:r w:rsidR="00C01A35" w:rsidRPr="001E5BF5">
        <w:t xml:space="preserve"> the</w:t>
      </w:r>
      <w:r w:rsidR="001003B1" w:rsidRPr="001E5BF5">
        <w:rPr>
          <w:i/>
          <w:iCs/>
        </w:rPr>
        <w:t xml:space="preserve"> Rhizopus </w:t>
      </w:r>
      <w:proofErr w:type="spellStart"/>
      <w:r w:rsidR="008D33B8" w:rsidRPr="001E5BF5">
        <w:rPr>
          <w:i/>
          <w:iCs/>
        </w:rPr>
        <w:t>oligosporus</w:t>
      </w:r>
      <w:proofErr w:type="spellEnd"/>
      <w:r w:rsidR="00C01A35" w:rsidRPr="001E5BF5">
        <w:t xml:space="preserve"> </w:t>
      </w:r>
      <w:r w:rsidR="003D7762" w:rsidRPr="001E5BF5">
        <w:t>s</w:t>
      </w:r>
      <w:r w:rsidR="00C01A35" w:rsidRPr="001E5BF5">
        <w:t>pecie</w:t>
      </w:r>
      <w:r w:rsidR="00D07D4C" w:rsidRPr="001E5BF5">
        <w:t>s</w:t>
      </w:r>
      <w:r w:rsidR="00C01A35" w:rsidRPr="001E5BF5">
        <w:t>.</w:t>
      </w:r>
      <w:r w:rsidR="00E52247" w:rsidRPr="001E5BF5">
        <w:t xml:space="preserve"> The </w:t>
      </w:r>
      <w:r w:rsidR="001E0120" w:rsidRPr="001E5BF5">
        <w:t xml:space="preserve">formation of the </w:t>
      </w:r>
      <w:r w:rsidR="004506E0" w:rsidRPr="001E5BF5">
        <w:t xml:space="preserve">tempeh </w:t>
      </w:r>
      <w:r w:rsidR="001E0120" w:rsidRPr="001E5BF5">
        <w:t>cake</w:t>
      </w:r>
      <w:r w:rsidR="004506E0" w:rsidRPr="001E5BF5">
        <w:t xml:space="preserve"> occurs due to the ability of this </w:t>
      </w:r>
      <w:r w:rsidR="00E52247" w:rsidRPr="001E5BF5">
        <w:t>filamentous fung</w:t>
      </w:r>
      <w:r w:rsidR="003248BC" w:rsidRPr="001E5BF5">
        <w:t>us</w:t>
      </w:r>
      <w:r w:rsidR="00E52247" w:rsidRPr="001E5BF5">
        <w:t xml:space="preserve"> </w:t>
      </w:r>
      <w:r w:rsidR="004506E0" w:rsidRPr="001E5BF5">
        <w:t>to colonize solid</w:t>
      </w:r>
      <w:r w:rsidR="00E52247" w:rsidRPr="001E5BF5">
        <w:t xml:space="preserve"> </w:t>
      </w:r>
      <w:r w:rsidR="004506E0" w:rsidRPr="001E5BF5">
        <w:t>substrate matrices by continuously growing</w:t>
      </w:r>
      <w:r w:rsidR="00E52247" w:rsidRPr="001E5BF5">
        <w:t xml:space="preserve"> an expanding the mycelium,</w:t>
      </w:r>
      <w:r w:rsidR="00B615AE" w:rsidRPr="001E5BF5">
        <w:t xml:space="preserve"> </w:t>
      </w:r>
      <w:proofErr w:type="gramStart"/>
      <w:r w:rsidR="00B615AE" w:rsidRPr="001E5BF5">
        <w:t>i.e.</w:t>
      </w:r>
      <w:proofErr w:type="gramEnd"/>
      <w:r w:rsidR="00B615AE" w:rsidRPr="001E5BF5">
        <w:t xml:space="preserve"> the</w:t>
      </w:r>
      <w:r w:rsidR="00E52247" w:rsidRPr="001E5BF5">
        <w:t xml:space="preserve"> </w:t>
      </w:r>
      <w:r w:rsidR="00B615AE" w:rsidRPr="001E5BF5">
        <w:t>interconnected network of</w:t>
      </w:r>
      <w:r w:rsidR="00E52247" w:rsidRPr="001E5BF5">
        <w:t xml:space="preserve"> </w:t>
      </w:r>
      <w:r w:rsidR="00B615AE" w:rsidRPr="001E5BF5">
        <w:t xml:space="preserve">hyphae (and </w:t>
      </w:r>
      <w:r w:rsidR="00E52247" w:rsidRPr="001E5BF5">
        <w:t>hyphal apexes</w:t>
      </w:r>
      <w:r w:rsidR="00B615AE" w:rsidRPr="001E5BF5">
        <w:t>) that undergo</w:t>
      </w:r>
      <w:r w:rsidR="00E52247" w:rsidRPr="001E5BF5">
        <w:t xml:space="preserve"> branching </w:t>
      </w:r>
      <w:r w:rsidR="00E52247" w:rsidRPr="00800101">
        <w:t>and fusion</w:t>
      </w:r>
      <w:r w:rsidR="00DE022B" w:rsidRPr="00800101">
        <w:t xml:space="preserve"> (anastomosis)</w:t>
      </w:r>
      <w:r w:rsidR="00B615AE" w:rsidRPr="00800101">
        <w:t xml:space="preserve">. </w:t>
      </w:r>
      <w:r w:rsidR="00211FEA" w:rsidRPr="00800101">
        <w:t>In Tempeh</w:t>
      </w:r>
      <w:r w:rsidR="00211FEA" w:rsidRPr="001E5BF5">
        <w:t xml:space="preserve"> production, the</w:t>
      </w:r>
      <w:r w:rsidR="00B615AE" w:rsidRPr="001E5BF5">
        <w:t xml:space="preserve"> </w:t>
      </w:r>
      <w:r w:rsidR="00211FEA" w:rsidRPr="001E5BF5">
        <w:t>mycelium</w:t>
      </w:r>
      <w:r w:rsidR="00B615AE" w:rsidRPr="001E5BF5">
        <w:t xml:space="preserve"> </w:t>
      </w:r>
      <w:r w:rsidR="00BD099A" w:rsidRPr="001E5BF5">
        <w:t xml:space="preserve">growth </w:t>
      </w:r>
      <w:r w:rsidR="00211FEA" w:rsidRPr="001E5BF5">
        <w:t xml:space="preserve">occurs superficially </w:t>
      </w:r>
      <w:r w:rsidR="00211FEA" w:rsidRPr="00800101">
        <w:t>(</w:t>
      </w:r>
      <w:r w:rsidR="00BD099A" w:rsidRPr="00800101">
        <w:t xml:space="preserve">at the </w:t>
      </w:r>
      <w:r w:rsidR="00211FEA" w:rsidRPr="00800101">
        <w:t xml:space="preserve">more external </w:t>
      </w:r>
      <w:r w:rsidR="00BD099A" w:rsidRPr="00800101">
        <w:t>layers of the substrate</w:t>
      </w:r>
      <w:r w:rsidR="00211FEA" w:rsidRPr="00800101">
        <w:t xml:space="preserve"> matrix)</w:t>
      </w:r>
      <w:r w:rsidR="00800101">
        <w:t>,</w:t>
      </w:r>
      <w:r w:rsidR="00BD099A" w:rsidRPr="001E5BF5">
        <w:t xml:space="preserve"> and</w:t>
      </w:r>
      <w:r w:rsidR="00211FEA" w:rsidRPr="001E5BF5">
        <w:t xml:space="preserve"> </w:t>
      </w:r>
      <w:r w:rsidR="00CD329A" w:rsidRPr="001E5BF5">
        <w:t>the fungal hyphae also penetrate inside the matrix. Hence</w:t>
      </w:r>
      <w:r w:rsidR="00BD099A" w:rsidRPr="001E5BF5">
        <w:t xml:space="preserve">, </w:t>
      </w:r>
      <w:r w:rsidR="0096307B" w:rsidRPr="001E5BF5">
        <w:t xml:space="preserve">tempeh fermentations are driven by </w:t>
      </w:r>
      <w:r w:rsidR="00BD099A" w:rsidRPr="001E5BF5">
        <w:t>the concomitantly mycelium growth (</w:t>
      </w:r>
      <w:r w:rsidR="00CD329A" w:rsidRPr="001E5BF5">
        <w:t>superficial and penetrative</w:t>
      </w:r>
      <w:r w:rsidR="00BD099A" w:rsidRPr="001E5BF5">
        <w:t>) and the enzyme</w:t>
      </w:r>
      <w:r w:rsidR="006E73F5" w:rsidRPr="001E5BF5">
        <w:t>s</w:t>
      </w:r>
      <w:r w:rsidR="00BD099A" w:rsidRPr="001E5BF5">
        <w:t xml:space="preserve"> production and diffusion within the matrix</w:t>
      </w:r>
      <w:r w:rsidR="00CD329A" w:rsidRPr="001E5BF5">
        <w:t xml:space="preserve"> that serve for further growth</w:t>
      </w:r>
      <w:r w:rsidR="00BD099A" w:rsidRPr="001E5BF5">
        <w:t xml:space="preserve">. </w:t>
      </w:r>
      <w:r w:rsidR="00390FC4" w:rsidRPr="001E5BF5">
        <w:t xml:space="preserve">Fungal biotechnology </w:t>
      </w:r>
      <w:r w:rsidR="00CD329A" w:rsidRPr="001E5BF5">
        <w:t xml:space="preserve">expands beyond tempeh production, it </w:t>
      </w:r>
      <w:r w:rsidR="00390FC4" w:rsidRPr="001E5BF5">
        <w:t xml:space="preserve">is essential in different </w:t>
      </w:r>
      <w:r w:rsidR="004D307D" w:rsidRPr="001E5BF5">
        <w:t>industrial processes</w:t>
      </w:r>
      <w:r w:rsidR="00390FC4" w:rsidRPr="001E5BF5">
        <w:t xml:space="preserve"> besides food production</w:t>
      </w:r>
      <w:r w:rsidR="006E73F5" w:rsidRPr="001E5BF5">
        <w:t>,</w:t>
      </w:r>
      <w:r w:rsidR="009D374C" w:rsidRPr="001E5BF5">
        <w:t xml:space="preserve"> </w:t>
      </w:r>
      <w:r w:rsidR="00390FC4" w:rsidRPr="001E5BF5">
        <w:t xml:space="preserve">such as </w:t>
      </w:r>
      <w:r w:rsidR="004D307D" w:rsidRPr="001E5BF5">
        <w:t>enzymes, vitamins, polysaccharides, alcohols, pigments, lipids, a</w:t>
      </w:r>
      <w:r w:rsidR="00390FC4" w:rsidRPr="001E5BF5">
        <w:t xml:space="preserve">s well as in </w:t>
      </w:r>
      <w:r w:rsidR="004D307D" w:rsidRPr="001E5BF5">
        <w:t>bio</w:t>
      </w:r>
      <w:r w:rsidR="00390FC4" w:rsidRPr="001E5BF5">
        <w:t xml:space="preserve">remediation </w:t>
      </w:r>
      <w:r w:rsidR="004D307D" w:rsidRPr="001E5BF5">
        <w:t>processes</w:t>
      </w:r>
      <w:r w:rsidR="006E73F5" w:rsidRPr="001E5BF5">
        <w:t xml:space="preserve"> and it has also been proposed as key facilitator towards circular economic models</w:t>
      </w:r>
      <w:r w:rsidR="0051534D">
        <w:t xml:space="preserve"> </w:t>
      </w:r>
      <w:r w:rsidR="0051534D" w:rsidRPr="0051534D">
        <w:t>(Meyer et al., 2020)</w:t>
      </w:r>
      <w:r w:rsidR="004D307D" w:rsidRPr="001E5BF5">
        <w:t>.</w:t>
      </w:r>
      <w:r w:rsidR="009D374C" w:rsidRPr="001E5BF5">
        <w:t xml:space="preserve"> One valuable technique for fungal cultivation is to resemble the natural environment in which fungi naturally grow (and from which they are isolated)</w:t>
      </w:r>
      <w:r w:rsidR="00205821" w:rsidRPr="001E5BF5">
        <w:t>,</w:t>
      </w:r>
      <w:r w:rsidR="009D374C" w:rsidRPr="001E5BF5">
        <w:t xml:space="preserve"> which is called solid-state-fermentation (SSF). SSF processes </w:t>
      </w:r>
      <w:r w:rsidR="00DE022B">
        <w:t xml:space="preserve">can </w:t>
      </w:r>
      <w:r w:rsidR="009D374C" w:rsidRPr="001E5BF5">
        <w:t xml:space="preserve">take place </w:t>
      </w:r>
      <w:r w:rsidR="00DE022B">
        <w:t>at low water activity conditions (</w:t>
      </w:r>
      <w:r w:rsidR="0012089E">
        <w:t xml:space="preserve">i.e., </w:t>
      </w:r>
      <w:r w:rsidR="00DE022B">
        <w:t>A</w:t>
      </w:r>
      <w:r w:rsidR="00DE022B" w:rsidRPr="00800101">
        <w:rPr>
          <w:vertAlign w:val="subscript"/>
        </w:rPr>
        <w:t>w</w:t>
      </w:r>
      <w:r w:rsidR="0012089E">
        <w:rPr>
          <w:vertAlign w:val="subscript"/>
        </w:rPr>
        <w:t xml:space="preserve"> </w:t>
      </w:r>
      <w:r w:rsidR="0012089E" w:rsidRPr="00800101">
        <w:t>&gt;</w:t>
      </w:r>
      <w:r w:rsidR="0012089E">
        <w:t>0.6)</w:t>
      </w:r>
      <w:r w:rsidR="00F0547C" w:rsidRPr="001E5BF5">
        <w:t>, and SSF typically reaches higher productivity, uses low-cost substrates, and it requires less upstream processing steps compared to submerged fermentation (</w:t>
      </w:r>
      <w:proofErr w:type="spellStart"/>
      <w:r w:rsidR="00F0547C" w:rsidRPr="001E5BF5">
        <w:t>SmF</w:t>
      </w:r>
      <w:proofErr w:type="spellEnd"/>
      <w:r w:rsidR="00F0547C" w:rsidRPr="001E5BF5">
        <w:t>)</w:t>
      </w:r>
      <w:r w:rsidR="00CD329A" w:rsidRPr="001E5BF5">
        <w:rPr>
          <w:rStyle w:val="CommentReference"/>
        </w:rPr>
        <w:t xml:space="preserve">. </w:t>
      </w:r>
      <w:r w:rsidR="00F0547C" w:rsidRPr="001E5BF5">
        <w:t>However, SSF processes still face difficulties for process control (</w:t>
      </w:r>
      <w:r w:rsidR="00205821" w:rsidRPr="001E5BF5">
        <w:t xml:space="preserve">e.g. </w:t>
      </w:r>
      <w:r w:rsidR="00F0547C" w:rsidRPr="001E5BF5">
        <w:t>pH, moisture, substrate consumption, biomass growth) and scale-up, to maintain efficient spatial homogeneity, and</w:t>
      </w:r>
      <w:r w:rsidR="000E6F0F" w:rsidRPr="001E5BF5">
        <w:t xml:space="preserve"> additionally,</w:t>
      </w:r>
      <w:r w:rsidR="00F0547C" w:rsidRPr="001E5BF5">
        <w:t xml:space="preserve"> more downstream steps </w:t>
      </w:r>
      <w:r w:rsidR="000E6F0F" w:rsidRPr="001E5BF5">
        <w:t xml:space="preserve">might be required </w:t>
      </w:r>
      <w:r w:rsidR="00F0547C" w:rsidRPr="001E5BF5">
        <w:t>if high purity product</w:t>
      </w:r>
      <w:r w:rsidR="00205821" w:rsidRPr="001E5BF5">
        <w:t>s</w:t>
      </w:r>
      <w:r w:rsidR="00F0547C" w:rsidRPr="001E5BF5">
        <w:t xml:space="preserve"> </w:t>
      </w:r>
      <w:r w:rsidR="00205821" w:rsidRPr="001E5BF5">
        <w:t>are</w:t>
      </w:r>
      <w:r w:rsidR="00F0547C" w:rsidRPr="001E5BF5">
        <w:t xml:space="preserve"> </w:t>
      </w:r>
      <w:r w:rsidR="000E6F0F" w:rsidRPr="001E5BF5">
        <w:t xml:space="preserve">targeted. </w:t>
      </w:r>
      <w:r w:rsidR="00205821" w:rsidRPr="001E5BF5">
        <w:t>Lately, SSF is gaining ground as suitable option for the transformation of agro-industrial wastes and by-products</w:t>
      </w:r>
      <w:r w:rsidR="00B2516E" w:rsidRPr="001E5BF5">
        <w:t xml:space="preserve"> </w:t>
      </w:r>
      <w:r w:rsidR="00205821" w:rsidRPr="001E5BF5">
        <w:t>into value-added products</w:t>
      </w:r>
      <w:r w:rsidR="009D374C" w:rsidRPr="001E5BF5">
        <w:t xml:space="preserve">, </w:t>
      </w:r>
      <w:r w:rsidR="00B2516E" w:rsidRPr="001E5BF5">
        <w:t xml:space="preserve">either using molds or mushrooms. </w:t>
      </w:r>
    </w:p>
    <w:p w14:paraId="03349D91" w14:textId="72E04D08" w:rsidR="00205821" w:rsidRPr="001E5BF5" w:rsidRDefault="00205821" w:rsidP="009D374C">
      <w:pPr>
        <w:pStyle w:val="CETBodytext"/>
      </w:pPr>
      <w:r w:rsidRPr="001E5BF5">
        <w:t xml:space="preserve">In this study, </w:t>
      </w:r>
      <w:r w:rsidR="003A5FDC" w:rsidRPr="001E5BF5">
        <w:t xml:space="preserve">a microbiological characterization </w:t>
      </w:r>
      <w:r w:rsidR="0012089E" w:rsidRPr="00800101">
        <w:t>of</w:t>
      </w:r>
      <w:r w:rsidR="00DD5F6D" w:rsidRPr="00800101">
        <w:t xml:space="preserve"> BSG</w:t>
      </w:r>
      <w:r w:rsidR="0012089E">
        <w:t xml:space="preserve"> is done</w:t>
      </w:r>
      <w:r w:rsidR="00DD5F6D" w:rsidRPr="001E5BF5">
        <w:t xml:space="preserve">. </w:t>
      </w:r>
      <w:r w:rsidRPr="001E5BF5">
        <w:t xml:space="preserve">Subsequently, </w:t>
      </w:r>
      <w:r w:rsidR="00DD5F6D" w:rsidRPr="001E5BF5">
        <w:t xml:space="preserve">SSF were performed inoculating </w:t>
      </w:r>
      <w:r w:rsidR="00DD5F6D" w:rsidRPr="001E5BF5">
        <w:rPr>
          <w:i/>
          <w:iCs/>
        </w:rPr>
        <w:t xml:space="preserve">Rhizopus </w:t>
      </w:r>
      <w:proofErr w:type="spellStart"/>
      <w:r w:rsidR="00DD5F6D" w:rsidRPr="001E5BF5">
        <w:rPr>
          <w:i/>
          <w:iCs/>
        </w:rPr>
        <w:t>oligosporus</w:t>
      </w:r>
      <w:proofErr w:type="spellEnd"/>
      <w:r w:rsidR="00DD5F6D" w:rsidRPr="001E5BF5">
        <w:t xml:space="preserve"> on </w:t>
      </w:r>
      <w:r w:rsidRPr="001E5BF5">
        <w:t>BSG</w:t>
      </w:r>
      <w:r w:rsidR="00DD5F6D" w:rsidRPr="001E5BF5">
        <w:t xml:space="preserve">-packed </w:t>
      </w:r>
      <w:r w:rsidRPr="001E5BF5">
        <w:t>plastic bags</w:t>
      </w:r>
      <w:r w:rsidR="0093351D" w:rsidRPr="001E5BF5">
        <w:t xml:space="preserve"> and cultivated for 5 days using a home fermenter</w:t>
      </w:r>
      <w:r w:rsidR="00DD5F6D" w:rsidRPr="001E5BF5">
        <w:t>. T</w:t>
      </w:r>
      <w:r w:rsidRPr="001E5BF5">
        <w:t xml:space="preserve">he effects of some process parameters such as temperature, inoculum </w:t>
      </w:r>
      <w:r w:rsidR="00CD329A" w:rsidRPr="001E5BF5">
        <w:t>percentage</w:t>
      </w:r>
      <w:r w:rsidRPr="001E5BF5">
        <w:t xml:space="preserve">, mass of </w:t>
      </w:r>
      <w:r w:rsidR="00CD329A" w:rsidRPr="001E5BF5">
        <w:t>BSG</w:t>
      </w:r>
      <w:r w:rsidRPr="001E5BF5">
        <w:t xml:space="preserve"> and the interface</w:t>
      </w:r>
      <w:r w:rsidR="0012089E">
        <w:t xml:space="preserve"> area</w:t>
      </w:r>
      <w:r w:rsidR="00B2516E" w:rsidRPr="001E5BF5">
        <w:t xml:space="preserve"> are assessed. After the SSF tests, homogenized liquid samples are prepared to characterize the fermentation products and to measure the protein content compared to the raw BSG. </w:t>
      </w:r>
    </w:p>
    <w:p w14:paraId="299D4C7C" w14:textId="77777777" w:rsidR="00BB2B02" w:rsidRPr="001E5BF5" w:rsidRDefault="00BB2B02" w:rsidP="00BB2B02">
      <w:pPr>
        <w:pStyle w:val="CETHeading1"/>
      </w:pPr>
      <w:r w:rsidRPr="001E5BF5">
        <w:t xml:space="preserve">Materials and Methods </w:t>
      </w:r>
    </w:p>
    <w:p w14:paraId="1D87732D" w14:textId="705A457C" w:rsidR="00AE0F7F" w:rsidRPr="001E5BF5" w:rsidRDefault="00AE0F7F" w:rsidP="006540E4">
      <w:pPr>
        <w:pStyle w:val="CETheadingx"/>
      </w:pPr>
      <w:r w:rsidRPr="001E5BF5">
        <w:t>Substrate</w:t>
      </w:r>
    </w:p>
    <w:p w14:paraId="5B95CDBE" w14:textId="0FAAE568" w:rsidR="00CD329A" w:rsidRPr="001E5BF5" w:rsidRDefault="00CD329A" w:rsidP="00CD329A">
      <w:pPr>
        <w:pStyle w:val="CETBodytext"/>
      </w:pPr>
      <w:r w:rsidRPr="001E5BF5">
        <w:t>The substrate for the solid-state fermentation (SSF) tests was the Brewer’s Spent Grain (BSG), supplied by a local brewery company (</w:t>
      </w:r>
      <w:proofErr w:type="spellStart"/>
      <w:r w:rsidRPr="001E5BF5">
        <w:t>Birrificio</w:t>
      </w:r>
      <w:proofErr w:type="spellEnd"/>
      <w:r w:rsidRPr="001E5BF5">
        <w:t xml:space="preserve"> </w:t>
      </w:r>
      <w:proofErr w:type="spellStart"/>
      <w:r w:rsidRPr="001E5BF5">
        <w:t>Leumann</w:t>
      </w:r>
      <w:proofErr w:type="spellEnd"/>
      <w:r w:rsidRPr="001E5BF5">
        <w:t xml:space="preserve">, </w:t>
      </w:r>
      <w:proofErr w:type="spellStart"/>
      <w:r w:rsidRPr="001E5BF5">
        <w:t>Collegno</w:t>
      </w:r>
      <w:proofErr w:type="spellEnd"/>
      <w:r w:rsidRPr="001E5BF5">
        <w:t xml:space="preserve">, </w:t>
      </w:r>
      <w:proofErr w:type="spellStart"/>
      <w:r w:rsidRPr="001E5BF5">
        <w:t>ltaly</w:t>
      </w:r>
      <w:proofErr w:type="spellEnd"/>
      <w:r w:rsidRPr="001E5BF5">
        <w:t xml:space="preserve">). Immediately upon receipt, untreated fresh samples were stored in plastic containers, at -20 °C. Prior to the experiments, a thawing step was performed allowing the BSG to defrost at room temperature for about 2 hours. </w:t>
      </w:r>
    </w:p>
    <w:p w14:paraId="79684C67" w14:textId="77777777" w:rsidR="004052F4" w:rsidRPr="001E5BF5" w:rsidRDefault="004052F4" w:rsidP="004052F4">
      <w:pPr>
        <w:pStyle w:val="CETheadingx"/>
      </w:pPr>
      <w:r w:rsidRPr="001E5BF5">
        <w:t>Microbiological characterization of BSG</w:t>
      </w:r>
    </w:p>
    <w:p w14:paraId="7D1B779D" w14:textId="21F82F42" w:rsidR="00CD329A" w:rsidRPr="001E5BF5" w:rsidRDefault="00CD329A" w:rsidP="00CD329A">
      <w:pPr>
        <w:pStyle w:val="CETBodytext"/>
      </w:pPr>
      <w:r w:rsidRPr="001E5BF5">
        <w:t xml:space="preserve">A preliminary microbial characterization was carried out on malt extract agar medium, MEA (20 g/L malt extract, 20 g/L glucose, 2 g/L peptone and 20 g/L agar); aliquots, 20 mL, of steam sterilized (at the temperature 121 °C and pressure of 2 atm, for 20 min) MEA were poured into Petri dishes, </w:t>
      </w:r>
      <w:r w:rsidRPr="001E5BF5">
        <w:rPr>
          <w:rFonts w:cs="Arial"/>
        </w:rPr>
        <w:t>Ø</w:t>
      </w:r>
      <w:r w:rsidRPr="001E5BF5">
        <w:t xml:space="preserve"> 9 cm. Freshly thawed</w:t>
      </w:r>
      <w:r w:rsidRPr="001E5BF5" w:rsidDel="00335F76">
        <w:t xml:space="preserve"> </w:t>
      </w:r>
      <w:r w:rsidRPr="001E5BF5">
        <w:t xml:space="preserve">BSG, 0.2 g, was mixed with 500 </w:t>
      </w:r>
      <w:r w:rsidRPr="001E5BF5">
        <w:rPr>
          <w:rFonts w:cs="Arial"/>
        </w:rPr>
        <w:t>µ</w:t>
      </w:r>
      <w:r w:rsidRPr="001E5BF5">
        <w:t>l of sterile distilled water and directly spread over the surface of the solid medium. Two different conditions were tested: substrate as it is or grounded for 1 minute in a laboratory mill. Sealed plates were incubated, in the dark, at room temperature, for ten days. Every 24 hours, the plates were inspected, and the microbial growth was detected by the naked eye. At the end of the incubation, isolated colonies were also observed at the optical microscope</w:t>
      </w:r>
      <w:r w:rsidR="0012089E">
        <w:t xml:space="preserve"> (</w:t>
      </w:r>
      <w:proofErr w:type="spellStart"/>
      <w:r w:rsidR="0012089E">
        <w:t>x60</w:t>
      </w:r>
      <w:proofErr w:type="spellEnd"/>
      <w:r w:rsidR="0012089E">
        <w:t>)</w:t>
      </w:r>
      <w:r w:rsidRPr="001E5BF5">
        <w:t>.</w:t>
      </w:r>
    </w:p>
    <w:p w14:paraId="1F6E1074" w14:textId="61507650" w:rsidR="00BB2B02" w:rsidRPr="001E5BF5" w:rsidRDefault="00BB2B02" w:rsidP="006540E4">
      <w:pPr>
        <w:pStyle w:val="CETheadingx"/>
      </w:pPr>
      <w:r w:rsidRPr="001E5BF5">
        <w:t xml:space="preserve">Inoculum </w:t>
      </w:r>
    </w:p>
    <w:p w14:paraId="1AD83327" w14:textId="2B16F687" w:rsidR="008D25FD" w:rsidRPr="001E5BF5" w:rsidRDefault="00CD329A" w:rsidP="006540E4">
      <w:pPr>
        <w:pStyle w:val="CETBodytext"/>
      </w:pPr>
      <w:r w:rsidRPr="001E5BF5">
        <w:t xml:space="preserve">The inoculum for the SSF tests was prepared suspending in sterile distilled water: i) 3.3% </w:t>
      </w:r>
      <w:r w:rsidRPr="001E5BF5">
        <w:rPr>
          <w:i/>
          <w:iCs/>
        </w:rPr>
        <w:t>m/v</w:t>
      </w:r>
      <w:r w:rsidRPr="001E5BF5">
        <w:t xml:space="preserve"> powdered commercial tempeh starter (</w:t>
      </w:r>
      <w:proofErr w:type="spellStart"/>
      <w:r w:rsidRPr="001E5BF5">
        <w:t>Tempehtation</w:t>
      </w:r>
      <w:proofErr w:type="spellEnd"/>
      <w:r w:rsidRPr="001E5BF5">
        <w:t xml:space="preserve">, Edinburgh, United Kingdom), which comprises spores of </w:t>
      </w:r>
      <w:r w:rsidRPr="001E5BF5">
        <w:rPr>
          <w:i/>
          <w:iCs/>
        </w:rPr>
        <w:t xml:space="preserve">Rhizopus </w:t>
      </w:r>
      <w:proofErr w:type="spellStart"/>
      <w:r w:rsidRPr="001E5BF5">
        <w:rPr>
          <w:i/>
          <w:iCs/>
        </w:rPr>
        <w:t>oligosporus</w:t>
      </w:r>
      <w:proofErr w:type="spellEnd"/>
      <w:r w:rsidRPr="001E5BF5">
        <w:t xml:space="preserve"> and traces of organic rice flour, supplemented with ii) 0.3 % </w:t>
      </w:r>
      <w:r w:rsidRPr="001E5BF5">
        <w:rPr>
          <w:i/>
          <w:iCs/>
        </w:rPr>
        <w:t>m/v</w:t>
      </w:r>
      <w:r w:rsidRPr="001E5BF5">
        <w:t xml:space="preserve"> of rice flour. The concentration of </w:t>
      </w:r>
      <w:r w:rsidRPr="001E5BF5">
        <w:rPr>
          <w:i/>
          <w:iCs/>
        </w:rPr>
        <w:t xml:space="preserve">Rhizopus </w:t>
      </w:r>
      <w:proofErr w:type="spellStart"/>
      <w:r w:rsidRPr="001E5BF5">
        <w:rPr>
          <w:i/>
          <w:iCs/>
        </w:rPr>
        <w:t>oligosporus</w:t>
      </w:r>
      <w:proofErr w:type="spellEnd"/>
      <w:r w:rsidRPr="001E5BF5">
        <w:t xml:space="preserve"> spores in the suspension was evaluated by means of a 10-µm depth bacteria counting chamber (Hawksley, Lancing, UK) and adjusted to 1·10</w:t>
      </w:r>
      <w:r w:rsidRPr="001E5BF5">
        <w:rPr>
          <w:vertAlign w:val="superscript"/>
        </w:rPr>
        <w:t>8</w:t>
      </w:r>
      <w:r w:rsidRPr="001E5BF5">
        <w:t xml:space="preserve"> spores/mL</w:t>
      </w:r>
    </w:p>
    <w:p w14:paraId="4C78E3EA" w14:textId="46EBD68B" w:rsidR="00BB2B02" w:rsidRPr="001E5BF5" w:rsidRDefault="003D7762" w:rsidP="006540E4">
      <w:pPr>
        <w:pStyle w:val="CETheadingx"/>
      </w:pPr>
      <w:r w:rsidRPr="001E5BF5">
        <w:lastRenderedPageBreak/>
        <w:t xml:space="preserve">SSF </w:t>
      </w:r>
      <w:r w:rsidR="00BB2B02" w:rsidRPr="001E5BF5">
        <w:t>Fermentation tests</w:t>
      </w:r>
    </w:p>
    <w:p w14:paraId="2C16ABAF" w14:textId="19886FE1" w:rsidR="00CD329A" w:rsidRPr="001E5BF5" w:rsidRDefault="00CD329A" w:rsidP="00CD329A">
      <w:pPr>
        <w:pStyle w:val="CETBodytext"/>
      </w:pPr>
      <w:r w:rsidRPr="001E5BF5">
        <w:t xml:space="preserve">The SSF tests were performed using a </w:t>
      </w:r>
      <w:r w:rsidR="003E161F">
        <w:t xml:space="preserve">small-scale </w:t>
      </w:r>
      <w:r w:rsidRPr="003E161F">
        <w:t>fermenter</w:t>
      </w:r>
      <w:r w:rsidRPr="001E5BF5">
        <w:t xml:space="preserve"> (</w:t>
      </w:r>
      <w:proofErr w:type="spellStart"/>
      <w:r w:rsidRPr="001E5BF5">
        <w:t>MVPower</w:t>
      </w:r>
      <w:proofErr w:type="spellEnd"/>
      <w:r w:rsidRPr="001E5BF5">
        <w:t>, Guangdong, China) equipped with time and temperature controls. The design of experiment consisted in 4 batches (</w:t>
      </w:r>
      <w:r w:rsidRPr="001E5BF5">
        <w:rPr>
          <w:i/>
          <w:iCs/>
        </w:rPr>
        <w:t>I-IV</w:t>
      </w:r>
      <w:r w:rsidRPr="001E5BF5">
        <w:t xml:space="preserve">), and different key parameters were varied in each case. In brief, a portion of thawed BSG (two different packing masses were tested, 50 or 70 g of BSG) was packed into LDPE bags of 175 mL capacity (dimensions: 12x8 cm), and the BSG was inoculated with the inoculum suspension (i.e., two different </w:t>
      </w:r>
      <w:r w:rsidR="003E161F">
        <w:t xml:space="preserve">ratios </w:t>
      </w:r>
      <w:r w:rsidRPr="001E5BF5">
        <w:t>were tested</w:t>
      </w:r>
      <w:r w:rsidR="003E161F">
        <w:t>,</w:t>
      </w:r>
      <w:r w:rsidRPr="001E5BF5">
        <w:t xml:space="preserve"> 10 and 15 % </w:t>
      </w:r>
      <w:r w:rsidRPr="001E5BF5">
        <w:rPr>
          <w:i/>
          <w:iCs/>
        </w:rPr>
        <w:t>v/m</w:t>
      </w:r>
      <w:r w:rsidRPr="001E5BF5">
        <w:t xml:space="preserve">). </w:t>
      </w:r>
    </w:p>
    <w:p w14:paraId="1C06AECB" w14:textId="751B5BF9" w:rsidR="00C26743" w:rsidRPr="001E5BF5" w:rsidRDefault="0053538E" w:rsidP="003F0B11">
      <w:pPr>
        <w:pStyle w:val="CETBodytext"/>
      </w:pPr>
      <w:r w:rsidRPr="001E5BF5">
        <w:rPr>
          <w:noProof/>
        </w:rPr>
        <w:drawing>
          <wp:inline distT="0" distB="0" distL="0" distR="0" wp14:anchorId="35A46415" wp14:editId="4C26B610">
            <wp:extent cx="4398795" cy="114498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844" cy="1148124"/>
                    </a:xfrm>
                    <a:prstGeom prst="rect">
                      <a:avLst/>
                    </a:prstGeom>
                    <a:noFill/>
                    <a:ln>
                      <a:noFill/>
                    </a:ln>
                  </pic:spPr>
                </pic:pic>
              </a:graphicData>
            </a:graphic>
          </wp:inline>
        </w:drawing>
      </w:r>
    </w:p>
    <w:p w14:paraId="7713E4EE" w14:textId="3618BEA7" w:rsidR="00C26743" w:rsidRPr="001E5BF5" w:rsidRDefault="00C26743" w:rsidP="00B2516E">
      <w:pPr>
        <w:pStyle w:val="CETCaption"/>
        <w:rPr>
          <w:lang w:val="en-US"/>
        </w:rPr>
      </w:pPr>
      <w:r w:rsidRPr="001E5BF5">
        <w:rPr>
          <w:lang w:val="en-US"/>
        </w:rPr>
        <w:t xml:space="preserve">Figure 1. a) Blueprint of the drilling patterns (A, B and C) used in the SSF tests and b) photography of the </w:t>
      </w:r>
      <w:r w:rsidRPr="00800101">
        <w:rPr>
          <w:lang w:val="en-US"/>
        </w:rPr>
        <w:t>fermenter</w:t>
      </w:r>
      <w:r w:rsidRPr="001E5BF5">
        <w:rPr>
          <w:lang w:val="en-US"/>
        </w:rPr>
        <w:t xml:space="preserve"> used for the SSF tests. </w:t>
      </w:r>
    </w:p>
    <w:p w14:paraId="691F4035" w14:textId="639C8E72" w:rsidR="0053538E" w:rsidRPr="001E5BF5" w:rsidRDefault="0053538E" w:rsidP="0053538E">
      <w:pPr>
        <w:pStyle w:val="CETBodytext"/>
      </w:pPr>
      <w:r w:rsidRPr="001E5BF5">
        <w:t xml:space="preserve">The LDPE bags were then perforated following different drilling patterns (see </w:t>
      </w:r>
      <w:r w:rsidRPr="002F1682">
        <w:t>Figure 1a</w:t>
      </w:r>
      <w:r w:rsidRPr="001E5BF5">
        <w:t xml:space="preserve">). The temperature for the SSF experiments was in the 30-35 ° C range, and the fermentation lasted for 5 d. </w:t>
      </w:r>
      <w:r w:rsidRPr="001E5BF5">
        <w:rPr>
          <w:i/>
          <w:iCs/>
        </w:rPr>
        <w:t>Ad-hoc</w:t>
      </w:r>
      <w:r w:rsidRPr="001E5BF5">
        <w:t xml:space="preserve"> aluminum supports were used for each sample, allowing the horizontal placement of six samples per batch (see</w:t>
      </w:r>
      <w:r w:rsidRPr="001E5BF5">
        <w:rPr>
          <w:color w:val="FF0000"/>
        </w:rPr>
        <w:t xml:space="preserve"> </w:t>
      </w:r>
      <w:r w:rsidRPr="002F1682">
        <w:t>Figure 1b</w:t>
      </w:r>
      <w:r w:rsidRPr="001E5BF5">
        <w:t>) within the fermenter chamber (368x190x145 mm).</w:t>
      </w:r>
    </w:p>
    <w:p w14:paraId="54CC5DA6" w14:textId="595FCCD2" w:rsidR="00BB2B02" w:rsidRPr="001E5BF5" w:rsidRDefault="00BB2B02" w:rsidP="006540E4">
      <w:pPr>
        <w:pStyle w:val="CETheadingx"/>
      </w:pPr>
      <w:r w:rsidRPr="001E5BF5">
        <w:t>Analytical measurements</w:t>
      </w:r>
    </w:p>
    <w:p w14:paraId="4D1BC60C" w14:textId="30429F69" w:rsidR="00DC5AC9" w:rsidRPr="001E5BF5" w:rsidRDefault="00060839" w:rsidP="00DC5AC9">
      <w:pPr>
        <w:pStyle w:val="CETHeadingxx"/>
      </w:pPr>
      <w:r w:rsidRPr="001E5BF5">
        <w:t>Proximate analys</w:t>
      </w:r>
      <w:r w:rsidR="00DC5AC9" w:rsidRPr="001E5BF5">
        <w:t>i</w:t>
      </w:r>
      <w:r w:rsidRPr="001E5BF5">
        <w:t>s</w:t>
      </w:r>
    </w:p>
    <w:p w14:paraId="663332F5" w14:textId="77777777" w:rsidR="0053538E" w:rsidRPr="001E5BF5" w:rsidRDefault="0053538E" w:rsidP="0053538E">
      <w:pPr>
        <w:pStyle w:val="CETBodytext"/>
      </w:pPr>
      <w:r w:rsidRPr="001E5BF5">
        <w:t xml:space="preserve">The fresh and fermented BSG matrices were characterized through a simplified proximate analysis by measuring the dry matter (DM), the volatile solids (VS) and the ash fractions (AF). The DM fraction was calculated by gravimetrical difference, placing the samples in crucibles, and recording the mass loss after a drying step (105 °C) for 24 h (until constant weight), while the VS and AF fractions were determined after a subsequent drying step at 550 °C for 6 hours. </w:t>
      </w:r>
    </w:p>
    <w:p w14:paraId="7BBA72AB" w14:textId="50BBF763" w:rsidR="00DC5AC9" w:rsidRPr="001E5BF5" w:rsidRDefault="00DC5AC9" w:rsidP="00DC5AC9">
      <w:pPr>
        <w:pStyle w:val="CETHeadingxx"/>
      </w:pPr>
      <w:r w:rsidRPr="001E5BF5">
        <w:t>pH, titratable aci</w:t>
      </w:r>
      <w:r w:rsidR="00946497" w:rsidRPr="001E5BF5">
        <w:t>di</w:t>
      </w:r>
      <w:r w:rsidRPr="001E5BF5">
        <w:t>ty (TA), degree Brix (°Bx) and protein content</w:t>
      </w:r>
    </w:p>
    <w:p w14:paraId="7F3A1919" w14:textId="4CA6BEB6" w:rsidR="0053538E" w:rsidRPr="001E5BF5" w:rsidRDefault="0053538E" w:rsidP="0053538E">
      <w:pPr>
        <w:pStyle w:val="CETBodytext"/>
      </w:pPr>
      <w:r w:rsidRPr="001E5BF5">
        <w:t xml:space="preserve">Homogenized liquid samples were prepared using fresh BSG and fermented BSG, for the measurement of pH, titratable acidity (TA), degree Brix (°Bx), and the protein content. For these homogenized samples, 10 gr of the BSG samples (either fresh BSG or SSF-BSG) were suspended 1:3 </w:t>
      </w:r>
      <w:r w:rsidRPr="001E5BF5">
        <w:rPr>
          <w:i/>
          <w:iCs/>
        </w:rPr>
        <w:t>m/w</w:t>
      </w:r>
      <w:r w:rsidRPr="001E5BF5">
        <w:t xml:space="preserve"> in deionized water, they were blended for 10 min at 700 rpm using a laboratory mixer (RW 20 IKA WERKE, Staufen, Germany), and then centrifuged at 4000 rpm for 10 min. The measurements were performed on the resulting supernatant from the centrifugation. The pH measurements were performed using a </w:t>
      </w:r>
      <w:proofErr w:type="spellStart"/>
      <w:r w:rsidRPr="001E5BF5">
        <w:t>micropH</w:t>
      </w:r>
      <w:proofErr w:type="spellEnd"/>
      <w:r w:rsidRPr="001E5BF5">
        <w:t xml:space="preserve"> 2001 </w:t>
      </w:r>
      <w:proofErr w:type="spellStart"/>
      <w:r w:rsidRPr="001E5BF5">
        <w:t>pHmeter</w:t>
      </w:r>
      <w:proofErr w:type="spellEnd"/>
      <w:r w:rsidRPr="001E5BF5">
        <w:t xml:space="preserve"> (</w:t>
      </w:r>
      <w:proofErr w:type="spellStart"/>
      <w:r w:rsidRPr="001E5BF5">
        <w:t>Crison</w:t>
      </w:r>
      <w:proofErr w:type="spellEnd"/>
      <w:r w:rsidRPr="001E5BF5">
        <w:t xml:space="preserve"> Instruments SA, Barcelona, Spain). TA titrations were conducted on 5 mL of the supernatant (diluted 1:3 </w:t>
      </w:r>
      <w:r w:rsidRPr="001E5BF5">
        <w:rPr>
          <w:i/>
          <w:iCs/>
        </w:rPr>
        <w:t>v/v</w:t>
      </w:r>
      <w:r w:rsidRPr="001E5BF5">
        <w:t xml:space="preserve">) using a standardized 0.1 N NaOH solution as titrant and phenolphthalein (c. 100 </w:t>
      </w:r>
      <w:proofErr w:type="spellStart"/>
      <w:r w:rsidRPr="001E5BF5">
        <w:t>μL</w:t>
      </w:r>
      <w:proofErr w:type="spellEnd"/>
      <w:r w:rsidRPr="001E5BF5">
        <w:t xml:space="preserve">) as visual endpoint indicator under constant mixing conditions; the TA of the samples is expressed as mL of NaOH/mL homogenized samples. The °Bx were measured using a Brix refractometer (LAISS </w:t>
      </w:r>
      <w:proofErr w:type="spellStart"/>
      <w:r w:rsidRPr="001E5BF5">
        <w:t>Apparecchiature</w:t>
      </w:r>
      <w:proofErr w:type="spellEnd"/>
      <w:r w:rsidRPr="001E5BF5">
        <w:t xml:space="preserve"> </w:t>
      </w:r>
      <w:proofErr w:type="spellStart"/>
      <w:r w:rsidRPr="001E5BF5">
        <w:t>Scientifiche</w:t>
      </w:r>
      <w:proofErr w:type="spellEnd"/>
      <w:r w:rsidRPr="001E5BF5">
        <w:t>, Torino, Italy). A drop of the supernatant of fresh and fermented BSG samples was placed into the reading chamber of the refractometer; the °Bx readings were collected in duplicates. Lastly, the protein content was estimated by means of the direct reading of the absorbance values at 280 nm (A</w:t>
      </w:r>
      <w:r w:rsidRPr="001E5BF5">
        <w:rPr>
          <w:vertAlign w:val="subscript"/>
        </w:rPr>
        <w:t>280</w:t>
      </w:r>
      <w:r w:rsidRPr="001E5BF5">
        <w:t xml:space="preserve">). Protein concentration was calculated by means of a calibration line, defined in the 0-1 g/L range, using commercial Whey Proteins (BULK POWDERS™, Colchester, United Kingdom). </w:t>
      </w:r>
    </w:p>
    <w:p w14:paraId="5CCF6986" w14:textId="29EA6139" w:rsidR="00BD099A" w:rsidRPr="001E5BF5" w:rsidRDefault="00BD099A" w:rsidP="0096307B">
      <w:pPr>
        <w:pStyle w:val="CETHeadingxx"/>
      </w:pPr>
      <w:r w:rsidRPr="001E5BF5">
        <w:t>Visual estimation of</w:t>
      </w:r>
      <w:r w:rsidR="001F3354" w:rsidRPr="001E5BF5">
        <w:t xml:space="preserve"> </w:t>
      </w:r>
      <w:r w:rsidRPr="001E5BF5">
        <w:t>growth</w:t>
      </w:r>
    </w:p>
    <w:p w14:paraId="187FFB4A" w14:textId="16B3EAE4" w:rsidR="00952588" w:rsidRPr="001E5BF5" w:rsidRDefault="00BD099A" w:rsidP="00952588">
      <w:pPr>
        <w:pStyle w:val="CETBodytext"/>
      </w:pPr>
      <w:r w:rsidRPr="001E5BF5">
        <w:t>Visual</w:t>
      </w:r>
      <w:r w:rsidR="0096307B" w:rsidRPr="001E5BF5">
        <w:t xml:space="preserve"> assessments of fungal growth were performed after the fermentation time elapsed in the SSF tests. Operator-based </w:t>
      </w:r>
      <w:r w:rsidRPr="001E5BF5">
        <w:t>estimates</w:t>
      </w:r>
      <w:r w:rsidR="0096307B" w:rsidRPr="001E5BF5">
        <w:t xml:space="preserve"> were made by using </w:t>
      </w:r>
      <w:r w:rsidRPr="001E5BF5">
        <w:t>a</w:t>
      </w:r>
      <w:r w:rsidR="0096307B" w:rsidRPr="001E5BF5">
        <w:t xml:space="preserve"> qualitative scale (from 1 to 4)</w:t>
      </w:r>
      <w:r w:rsidRPr="001E5BF5">
        <w:t>,</w:t>
      </w:r>
      <w:r w:rsidR="008A5F3E" w:rsidRPr="001E5BF5">
        <w:t xml:space="preserve"> </w:t>
      </w:r>
      <w:r w:rsidRPr="001E5BF5">
        <w:t>in</w:t>
      </w:r>
      <w:r w:rsidR="0096307B" w:rsidRPr="001E5BF5">
        <w:t xml:space="preserve"> </w:t>
      </w:r>
      <w:r w:rsidRPr="001E5BF5">
        <w:t>which</w:t>
      </w:r>
      <w:r w:rsidR="0096307B" w:rsidRPr="001E5BF5">
        <w:t xml:space="preserve"> </w:t>
      </w:r>
      <w:r w:rsidRPr="001E5BF5">
        <w:t>1</w:t>
      </w:r>
      <w:r w:rsidR="0096307B" w:rsidRPr="001E5BF5">
        <w:t xml:space="preserve"> </w:t>
      </w:r>
      <w:r w:rsidRPr="001E5BF5">
        <w:t>indicates</w:t>
      </w:r>
      <w:r w:rsidR="0096307B" w:rsidRPr="001E5BF5">
        <w:t xml:space="preserve"> </w:t>
      </w:r>
      <w:r w:rsidRPr="001E5BF5">
        <w:t>barely</w:t>
      </w:r>
      <w:r w:rsidR="0096307B" w:rsidRPr="001E5BF5">
        <w:t xml:space="preserve"> </w:t>
      </w:r>
      <w:r w:rsidRPr="001E5BF5">
        <w:t>detectable</w:t>
      </w:r>
      <w:r w:rsidR="0096307B" w:rsidRPr="001E5BF5">
        <w:t xml:space="preserve"> </w:t>
      </w:r>
      <w:r w:rsidRPr="001E5BF5">
        <w:t>growth</w:t>
      </w:r>
      <w:r w:rsidR="0096307B" w:rsidRPr="001E5BF5">
        <w:t xml:space="preserve"> (i.e., without cake formation) </w:t>
      </w:r>
      <w:r w:rsidRPr="001E5BF5">
        <w:t>and</w:t>
      </w:r>
      <w:r w:rsidR="0096307B" w:rsidRPr="001E5BF5">
        <w:t xml:space="preserve"> </w:t>
      </w:r>
      <w:r w:rsidRPr="001E5BF5">
        <w:t>4</w:t>
      </w:r>
      <w:r w:rsidR="0096307B" w:rsidRPr="001E5BF5">
        <w:t xml:space="preserve"> </w:t>
      </w:r>
      <w:r w:rsidRPr="001E5BF5">
        <w:t>indicates</w:t>
      </w:r>
      <w:r w:rsidR="0096307B" w:rsidRPr="001E5BF5">
        <w:t xml:space="preserve"> proper cake formation and dense </w:t>
      </w:r>
      <w:r w:rsidR="001F3354" w:rsidRPr="001E5BF5">
        <w:t>appreciable</w:t>
      </w:r>
      <w:r w:rsidR="0096307B" w:rsidRPr="001E5BF5">
        <w:t xml:space="preserve"> </w:t>
      </w:r>
      <w:r w:rsidRPr="001E5BF5">
        <w:t>mycelium</w:t>
      </w:r>
      <w:r w:rsidR="0096307B" w:rsidRPr="001E5BF5">
        <w:t xml:space="preserve">, as shown in </w:t>
      </w:r>
      <w:r w:rsidR="0096307B" w:rsidRPr="002F1682">
        <w:t xml:space="preserve">Figure </w:t>
      </w:r>
      <w:r w:rsidR="00227916" w:rsidRPr="002F1682">
        <w:t>2</w:t>
      </w:r>
      <w:r w:rsidR="0096307B" w:rsidRPr="001E5BF5">
        <w:t xml:space="preserve">. </w:t>
      </w:r>
    </w:p>
    <w:p w14:paraId="4BBD671B" w14:textId="77777777" w:rsidR="008A5F3E" w:rsidRPr="001E5BF5" w:rsidRDefault="008A5F3E" w:rsidP="00952588">
      <w:pPr>
        <w:pStyle w:val="CETBodytext"/>
      </w:pPr>
    </w:p>
    <w:p w14:paraId="6E292EA3" w14:textId="39C1DCBC" w:rsidR="001F3354" w:rsidRDefault="001F3354" w:rsidP="00952588">
      <w:pPr>
        <w:pStyle w:val="CETBodytext"/>
        <w:rPr>
          <w:color w:val="FF0000"/>
        </w:rPr>
      </w:pPr>
    </w:p>
    <w:p w14:paraId="1184F2EE" w14:textId="08E37239" w:rsidR="00CF0CA6" w:rsidRPr="00CF0CA6" w:rsidRDefault="00CF0CA6" w:rsidP="00952588">
      <w:pPr>
        <w:pStyle w:val="CETBodytext"/>
        <w:rPr>
          <w:color w:val="FF0000"/>
          <w:lang w:val="en-GB"/>
        </w:rPr>
      </w:pPr>
      <w:r>
        <w:rPr>
          <w:noProof/>
          <w:color w:val="FF0000"/>
          <w:lang w:val="en-GB"/>
        </w:rPr>
        <w:lastRenderedPageBreak/>
        <w:drawing>
          <wp:inline distT="0" distB="0" distL="0" distR="0" wp14:anchorId="033B4D94" wp14:editId="55DB563E">
            <wp:extent cx="5501005" cy="1076325"/>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954" cy="1087663"/>
                    </a:xfrm>
                    <a:prstGeom prst="rect">
                      <a:avLst/>
                    </a:prstGeom>
                    <a:noFill/>
                  </pic:spPr>
                </pic:pic>
              </a:graphicData>
            </a:graphic>
          </wp:inline>
        </w:drawing>
      </w:r>
    </w:p>
    <w:p w14:paraId="3624E6E1" w14:textId="0770BC9B" w:rsidR="00C01A35" w:rsidRPr="001E5BF5" w:rsidRDefault="00C01A35" w:rsidP="00227916">
      <w:pPr>
        <w:pStyle w:val="CETCaption"/>
        <w:rPr>
          <w:lang w:val="en-US"/>
        </w:rPr>
      </w:pPr>
      <w:r w:rsidRPr="001E5BF5">
        <w:rPr>
          <w:lang w:val="en-US"/>
        </w:rPr>
        <w:t xml:space="preserve">Figure </w:t>
      </w:r>
      <w:r w:rsidR="00227916" w:rsidRPr="001E5BF5">
        <w:rPr>
          <w:lang w:val="en-US"/>
        </w:rPr>
        <w:t>2</w:t>
      </w:r>
      <w:r w:rsidRPr="001E5BF5">
        <w:rPr>
          <w:lang w:val="en-US"/>
        </w:rPr>
        <w:t xml:space="preserve">. </w:t>
      </w:r>
      <w:r w:rsidR="00227916" w:rsidRPr="001E5BF5">
        <w:rPr>
          <w:lang w:val="en-US"/>
        </w:rPr>
        <w:t>R</w:t>
      </w:r>
      <w:r w:rsidR="00DB65EB" w:rsidRPr="001E5BF5">
        <w:rPr>
          <w:lang w:val="en-US"/>
        </w:rPr>
        <w:t>eference</w:t>
      </w:r>
      <w:r w:rsidR="0093351D" w:rsidRPr="001E5BF5">
        <w:rPr>
          <w:lang w:val="en-US"/>
        </w:rPr>
        <w:t xml:space="preserve"> (visual)</w:t>
      </w:r>
      <w:r w:rsidR="00DB65EB" w:rsidRPr="001E5BF5">
        <w:rPr>
          <w:lang w:val="en-US"/>
        </w:rPr>
        <w:t xml:space="preserve"> scale </w:t>
      </w:r>
      <w:r w:rsidR="00227916" w:rsidRPr="001E5BF5">
        <w:rPr>
          <w:lang w:val="en-US"/>
        </w:rPr>
        <w:t>used for the</w:t>
      </w:r>
      <w:r w:rsidR="00DB65EB" w:rsidRPr="001E5BF5">
        <w:rPr>
          <w:lang w:val="en-US"/>
        </w:rPr>
        <w:t xml:space="preserve"> </w:t>
      </w:r>
      <w:r w:rsidR="00227916" w:rsidRPr="001E5BF5">
        <w:rPr>
          <w:lang w:val="en-US"/>
        </w:rPr>
        <w:t>visual</w:t>
      </w:r>
      <w:r w:rsidRPr="001E5BF5">
        <w:rPr>
          <w:lang w:val="en-US"/>
        </w:rPr>
        <w:t xml:space="preserve"> assessment</w:t>
      </w:r>
      <w:r w:rsidR="00DB65EB" w:rsidRPr="001E5BF5">
        <w:rPr>
          <w:lang w:val="en-US"/>
        </w:rPr>
        <w:t>s</w:t>
      </w:r>
      <w:r w:rsidR="00227916" w:rsidRPr="001E5BF5">
        <w:rPr>
          <w:lang w:val="en-US"/>
        </w:rPr>
        <w:t xml:space="preserve"> after the SSF tests. </w:t>
      </w:r>
    </w:p>
    <w:p w14:paraId="0486CC69" w14:textId="303EABF8" w:rsidR="00BB2B02" w:rsidRPr="001E5BF5" w:rsidRDefault="00BB2B02" w:rsidP="00BB2B02">
      <w:pPr>
        <w:pStyle w:val="CETHeading1"/>
        <w:tabs>
          <w:tab w:val="clear" w:pos="360"/>
          <w:tab w:val="right" w:pos="7100"/>
        </w:tabs>
        <w:jc w:val="both"/>
      </w:pPr>
      <w:r w:rsidRPr="001E5BF5">
        <w:t xml:space="preserve">Results </w:t>
      </w:r>
      <w:r w:rsidR="00BE102C" w:rsidRPr="001E5BF5">
        <w:t>and discussion</w:t>
      </w:r>
    </w:p>
    <w:p w14:paraId="1BEE6724" w14:textId="65D72FFB" w:rsidR="003A5FDC" w:rsidRPr="001E5BF5" w:rsidRDefault="00AA293B" w:rsidP="003A5FDC">
      <w:pPr>
        <w:pStyle w:val="CETheadingx"/>
      </w:pPr>
      <w:r w:rsidRPr="001E5BF5">
        <w:t>M</w:t>
      </w:r>
      <w:r w:rsidR="003A5FDC" w:rsidRPr="001E5BF5">
        <w:t>icrobiological characterization</w:t>
      </w:r>
    </w:p>
    <w:p w14:paraId="685E583B" w14:textId="13A48433" w:rsidR="001431AF" w:rsidRPr="001E5BF5" w:rsidRDefault="002F1D9A" w:rsidP="001431AF">
      <w:pPr>
        <w:pStyle w:val="CETBodytext"/>
      </w:pPr>
      <w:r w:rsidRPr="001E5BF5">
        <w:t>The incubation</w:t>
      </w:r>
      <w:r w:rsidR="00F415A7" w:rsidRPr="001E5BF5">
        <w:t xml:space="preserve">, </w:t>
      </w:r>
      <w:r w:rsidRPr="001E5BF5">
        <w:t>at room temperature</w:t>
      </w:r>
      <w:r w:rsidR="00F415A7" w:rsidRPr="001E5BF5">
        <w:t>,</w:t>
      </w:r>
      <w:r w:rsidRPr="001E5BF5">
        <w:t xml:space="preserve"> of BSG using </w:t>
      </w:r>
      <w:r w:rsidR="00F415A7" w:rsidRPr="001E5BF5">
        <w:t xml:space="preserve">MEA </w:t>
      </w:r>
      <w:r w:rsidRPr="001E5BF5">
        <w:t xml:space="preserve">medium led to the formation of </w:t>
      </w:r>
      <w:r w:rsidR="00F415A7" w:rsidRPr="001E5BF5">
        <w:t xml:space="preserve">unicellular microorganism </w:t>
      </w:r>
      <w:r w:rsidRPr="001E5BF5">
        <w:t xml:space="preserve">colonies. </w:t>
      </w:r>
      <w:r w:rsidR="00E54749" w:rsidRPr="001E5BF5">
        <w:t xml:space="preserve">In </w:t>
      </w:r>
      <w:r w:rsidR="00E54749" w:rsidRPr="002F1682">
        <w:t xml:space="preserve">Figure </w:t>
      </w:r>
      <w:r w:rsidR="00227916" w:rsidRPr="002F1682">
        <w:t>3</w:t>
      </w:r>
      <w:r w:rsidR="00E54749" w:rsidRPr="001E5BF5">
        <w:t>, it can be seen the</w:t>
      </w:r>
      <w:r w:rsidR="00F415A7" w:rsidRPr="001E5BF5">
        <w:t xml:space="preserve"> microbial growth, at different incubation time</w:t>
      </w:r>
      <w:r w:rsidR="00D14B3C" w:rsidRPr="001E5BF5">
        <w:t xml:space="preserve"> (72 h, 144 h and 240 h)</w:t>
      </w:r>
      <w:r w:rsidR="00F415A7" w:rsidRPr="001E5BF5">
        <w:t xml:space="preserve">, </w:t>
      </w:r>
      <w:r w:rsidR="00E54749" w:rsidRPr="001E5BF5">
        <w:t xml:space="preserve">of the raw sample (A) and the </w:t>
      </w:r>
      <w:r w:rsidR="00AA293B" w:rsidRPr="001E5BF5">
        <w:t>shredded</w:t>
      </w:r>
      <w:r w:rsidR="00D14B3C" w:rsidRPr="001E5BF5">
        <w:t xml:space="preserve"> </w:t>
      </w:r>
      <w:r w:rsidR="00E54749" w:rsidRPr="001E5BF5">
        <w:t>ones (B and C).</w:t>
      </w:r>
      <w:r w:rsidR="001431AF" w:rsidRPr="001431AF">
        <w:t xml:space="preserve"> </w:t>
      </w:r>
      <w:r w:rsidR="001431AF" w:rsidRPr="009043DC">
        <w:t>Samples at 240 h of incubation were also observed by means of optical microscopy, it was confirmed that</w:t>
      </w:r>
      <w:r w:rsidR="001431AF">
        <w:t xml:space="preserve"> </w:t>
      </w:r>
      <w:r w:rsidR="001431AF" w:rsidRPr="001E5BF5">
        <w:t>appreciable colonies growth can be attributed to bacteria and yeasts (</w:t>
      </w:r>
      <w:r w:rsidR="001431AF">
        <w:t xml:space="preserve">note for example orange colonies </w:t>
      </w:r>
      <w:r w:rsidR="001431AF" w:rsidRPr="001E5BF5">
        <w:t xml:space="preserve">in </w:t>
      </w:r>
      <w:r w:rsidR="001431AF" w:rsidRPr="002F1682">
        <w:t>Figure 3</w:t>
      </w:r>
      <w:r w:rsidR="001431AF" w:rsidRPr="001E5BF5">
        <w:t xml:space="preserve"> for the sample C at 240 h); the growth of filamentous fungi was not observed. This type of microbiological characterization is considered non-selective, the prevalence of bacteria and yeasts is consistent with the type of matrix under analysis and its production environmental conditions (i.e., the mashing step within breweries). </w:t>
      </w:r>
      <w:r w:rsidR="001431AF">
        <w:t>T</w:t>
      </w:r>
      <w:r w:rsidR="001431AF" w:rsidRPr="001E5BF5">
        <w:t xml:space="preserve">he lack of growth of filamentous fungi indicate that there are </w:t>
      </w:r>
      <w:r w:rsidR="001431AF">
        <w:t xml:space="preserve">rather </w:t>
      </w:r>
      <w:r w:rsidR="001431AF" w:rsidRPr="001E5BF5">
        <w:t xml:space="preserve">low competition chances </w:t>
      </w:r>
      <w:r w:rsidR="001431AF">
        <w:t>against</w:t>
      </w:r>
      <w:r w:rsidR="001431AF" w:rsidRPr="001E5BF5">
        <w:t xml:space="preserve"> the selected fungus (</w:t>
      </w:r>
      <w:r w:rsidR="001431AF" w:rsidRPr="001E5BF5">
        <w:rPr>
          <w:i/>
          <w:iCs/>
        </w:rPr>
        <w:t xml:space="preserve">Rhizopus </w:t>
      </w:r>
      <w:proofErr w:type="spellStart"/>
      <w:r w:rsidR="001431AF" w:rsidRPr="001E5BF5">
        <w:rPr>
          <w:i/>
          <w:iCs/>
        </w:rPr>
        <w:t>oligosporus</w:t>
      </w:r>
      <w:proofErr w:type="spellEnd"/>
      <w:r w:rsidR="001431AF" w:rsidRPr="001E5BF5">
        <w:t xml:space="preserve">) for the SSF tests </w:t>
      </w:r>
      <w:r w:rsidR="001431AF">
        <w:t>in the</w:t>
      </w:r>
      <w:r w:rsidR="001431AF" w:rsidRPr="001E5BF5">
        <w:t xml:space="preserve"> BSG</w:t>
      </w:r>
      <w:r w:rsidR="001431AF">
        <w:t xml:space="preserve"> matrix</w:t>
      </w:r>
      <w:r w:rsidR="001431AF" w:rsidRPr="001E5BF5">
        <w:t xml:space="preserve">.  </w:t>
      </w:r>
    </w:p>
    <w:p w14:paraId="3568831E" w14:textId="65B744D4" w:rsidR="002F1682" w:rsidRPr="002F1682" w:rsidRDefault="006D6CEC" w:rsidP="003A5FDC">
      <w:pPr>
        <w:pStyle w:val="CETBodytext"/>
        <w:rPr>
          <w:sz w:val="6"/>
          <w:szCs w:val="6"/>
        </w:rPr>
      </w:pPr>
      <w:r>
        <w:rPr>
          <w:noProof/>
          <w:sz w:val="6"/>
          <w:szCs w:val="6"/>
        </w:rPr>
        <w:drawing>
          <wp:inline distT="0" distB="0" distL="0" distR="0" wp14:anchorId="0C718D68" wp14:editId="79D6FBE8">
            <wp:extent cx="3477260" cy="1828468"/>
            <wp:effectExtent l="0" t="0" r="889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979" cy="1847250"/>
                    </a:xfrm>
                    <a:prstGeom prst="rect">
                      <a:avLst/>
                    </a:prstGeom>
                    <a:noFill/>
                  </pic:spPr>
                </pic:pic>
              </a:graphicData>
            </a:graphic>
          </wp:inline>
        </w:drawing>
      </w:r>
    </w:p>
    <w:p w14:paraId="201B1FEC" w14:textId="1EE151F5" w:rsidR="00E54749" w:rsidRPr="001E5BF5" w:rsidRDefault="00E54749" w:rsidP="00227916">
      <w:pPr>
        <w:pStyle w:val="CETCaption"/>
        <w:rPr>
          <w:lang w:val="en-US"/>
        </w:rPr>
      </w:pPr>
      <w:r w:rsidRPr="001E5BF5">
        <w:rPr>
          <w:lang w:val="en-US"/>
        </w:rPr>
        <w:t xml:space="preserve">Figure </w:t>
      </w:r>
      <w:r w:rsidR="00227916" w:rsidRPr="001E5BF5">
        <w:rPr>
          <w:lang w:val="en-US"/>
        </w:rPr>
        <w:t>3</w:t>
      </w:r>
      <w:r w:rsidRPr="001E5BF5">
        <w:rPr>
          <w:lang w:val="en-US"/>
        </w:rPr>
        <w:t xml:space="preserve">. </w:t>
      </w:r>
      <w:r w:rsidR="00227916" w:rsidRPr="001E5BF5">
        <w:rPr>
          <w:lang w:val="en-US"/>
        </w:rPr>
        <w:t>Raw (A) and shredded samples (B and C) of BSG plated on</w:t>
      </w:r>
      <w:r w:rsidR="00B50A4A">
        <w:rPr>
          <w:lang w:val="en-US"/>
        </w:rPr>
        <w:t xml:space="preserve"> MEA</w:t>
      </w:r>
      <w:r w:rsidR="00227916" w:rsidRPr="001E5BF5">
        <w:rPr>
          <w:lang w:val="en-US"/>
        </w:rPr>
        <w:t xml:space="preserve">.  </w:t>
      </w:r>
    </w:p>
    <w:p w14:paraId="1580F7AA" w14:textId="50F65D24" w:rsidR="00C80F04" w:rsidRPr="001E5BF5" w:rsidRDefault="00C81D93" w:rsidP="00C80F04">
      <w:pPr>
        <w:pStyle w:val="CETheadingx"/>
      </w:pPr>
      <w:r w:rsidRPr="001E5BF5">
        <w:t>SSF fermentation</w:t>
      </w:r>
    </w:p>
    <w:p w14:paraId="3223E6C8" w14:textId="20559946" w:rsidR="0098265E" w:rsidRPr="001E5BF5" w:rsidRDefault="00893E5C" w:rsidP="0093351D">
      <w:pPr>
        <w:pStyle w:val="CETBodytext"/>
      </w:pPr>
      <w:r w:rsidRPr="001E5BF5">
        <w:t>In</w:t>
      </w:r>
      <w:r w:rsidRPr="002F1682">
        <w:t xml:space="preserve"> Table </w:t>
      </w:r>
      <w:r w:rsidR="0098265E" w:rsidRPr="002F1682">
        <w:t>1</w:t>
      </w:r>
      <w:r w:rsidRPr="002F1682">
        <w:t xml:space="preserve"> </w:t>
      </w:r>
      <w:r w:rsidRPr="001E5BF5">
        <w:t xml:space="preserve">are reported the </w:t>
      </w:r>
      <w:r w:rsidR="002B4FA0" w:rsidRPr="001E5BF5">
        <w:t>proximate analysis</w:t>
      </w:r>
      <w:r w:rsidRPr="001E5BF5">
        <w:t xml:space="preserve"> of the initial raw BSG, of the fermented samples and the qualitative evaluation of the </w:t>
      </w:r>
      <w:r w:rsidR="004F4E3F" w:rsidRPr="001E5BF5">
        <w:t xml:space="preserve">mycelium </w:t>
      </w:r>
      <w:r w:rsidRPr="001E5BF5">
        <w:t>growth in each case.</w:t>
      </w:r>
      <w:r w:rsidR="00C54615" w:rsidRPr="001E5BF5">
        <w:t xml:space="preserve"> </w:t>
      </w:r>
      <w:r w:rsidR="00DD45C4" w:rsidRPr="001E5BF5">
        <w:t>Based on the moisture content and the gravimetric analysis of the samples, it can be seen that weight loss accounts for 1</w:t>
      </w:r>
      <w:r w:rsidR="008A5F3E" w:rsidRPr="001E5BF5">
        <w:t>2.26±3.03</w:t>
      </w:r>
      <w:r w:rsidR="00DD45C4" w:rsidRPr="001E5BF5">
        <w:t xml:space="preserve"> % of the initial weight, while water loss roughly represents half of the weight loss</w:t>
      </w:r>
      <w:r w:rsidR="008A5F3E" w:rsidRPr="001E5BF5">
        <w:t xml:space="preserve"> on average</w:t>
      </w:r>
      <w:r w:rsidR="00DD45C4" w:rsidRPr="001E5BF5">
        <w:t>.</w:t>
      </w:r>
      <w:r w:rsidR="008A5F3E" w:rsidRPr="001E5BF5">
        <w:t xml:space="preserve"> </w:t>
      </w:r>
      <w:r w:rsidR="00095915" w:rsidRPr="001E5BF5">
        <w:t xml:space="preserve">The difference can be attributed to loss of organic matter, due to </w:t>
      </w:r>
      <w:r w:rsidR="00505A88" w:rsidRPr="001E5BF5">
        <w:t>the aerobic fungal metabolism (i.e. CO</w:t>
      </w:r>
      <w:r w:rsidR="00505A88" w:rsidRPr="001E5BF5">
        <w:rPr>
          <w:vertAlign w:val="subscript"/>
        </w:rPr>
        <w:t xml:space="preserve">2 </w:t>
      </w:r>
      <w:r w:rsidR="00095915" w:rsidRPr="001E5BF5">
        <w:t>evolution and evaporation losses of volatile compounds</w:t>
      </w:r>
      <w:r w:rsidR="00505A88" w:rsidRPr="001E5BF5">
        <w:t>)</w:t>
      </w:r>
      <w:r w:rsidR="00095915" w:rsidRPr="001E5BF5">
        <w:t>.</w:t>
      </w:r>
      <w:r w:rsidR="000C711C" w:rsidRPr="001E5BF5">
        <w:t xml:space="preserve"> </w:t>
      </w:r>
      <w:r w:rsidR="007173F9" w:rsidRPr="001E5BF5">
        <w:t>Moreover</w:t>
      </w:r>
      <w:r w:rsidR="000C711C" w:rsidRPr="001E5BF5">
        <w:t>, a</w:t>
      </w:r>
      <w:r w:rsidR="00D00388" w:rsidRPr="001E5BF5">
        <w:t xml:space="preserve">n initial sugar content of 2.0 °Bx was measured in the BSG matrix, while after </w:t>
      </w:r>
      <w:r w:rsidR="008A5F3E" w:rsidRPr="001E5BF5">
        <w:t xml:space="preserve">the </w:t>
      </w:r>
      <w:r w:rsidR="00D00388" w:rsidRPr="001E5BF5">
        <w:t xml:space="preserve">SSF tests lower values were obtained (i.e., 0.95-1.55) in each case. Although the consumption of sugars </w:t>
      </w:r>
      <w:r w:rsidR="00582B4C" w:rsidRPr="001E5BF5">
        <w:t xml:space="preserve">(°Bx) </w:t>
      </w:r>
      <w:r w:rsidR="00D00388" w:rsidRPr="001E5BF5">
        <w:t xml:space="preserve">did not </w:t>
      </w:r>
      <w:r w:rsidR="00090B95" w:rsidRPr="001E5BF5">
        <w:t xml:space="preserve">fully </w:t>
      </w:r>
      <w:r w:rsidR="00D00388" w:rsidRPr="001E5BF5">
        <w:t xml:space="preserve">occur, this shows that the metabolism of </w:t>
      </w:r>
      <w:proofErr w:type="spellStart"/>
      <w:r w:rsidR="008A5F3E" w:rsidRPr="001E5BF5">
        <w:rPr>
          <w:i/>
          <w:iCs/>
        </w:rPr>
        <w:t>R</w:t>
      </w:r>
      <w:r w:rsidR="00D00388" w:rsidRPr="001E5BF5">
        <w:rPr>
          <w:i/>
          <w:iCs/>
        </w:rPr>
        <w:t>hizopous</w:t>
      </w:r>
      <w:proofErr w:type="spellEnd"/>
      <w:r w:rsidR="00090B95" w:rsidRPr="001E5BF5">
        <w:t xml:space="preserve"> </w:t>
      </w:r>
      <w:proofErr w:type="spellStart"/>
      <w:r w:rsidR="00090B95" w:rsidRPr="001E5BF5">
        <w:rPr>
          <w:i/>
          <w:iCs/>
        </w:rPr>
        <w:t>oligosporus</w:t>
      </w:r>
      <w:proofErr w:type="spellEnd"/>
      <w:r w:rsidR="00090B95" w:rsidRPr="001E5BF5">
        <w:t xml:space="preserve"> </w:t>
      </w:r>
      <w:r w:rsidR="003E161F">
        <w:t xml:space="preserve">partially </w:t>
      </w:r>
      <w:r w:rsidR="0098265E" w:rsidRPr="001E5BF5">
        <w:t>uses</w:t>
      </w:r>
      <w:r w:rsidR="00090B95" w:rsidRPr="001E5BF5">
        <w:t xml:space="preserve"> simple sugars as </w:t>
      </w:r>
      <w:r w:rsidR="00505A88" w:rsidRPr="001E5BF5">
        <w:t>C</w:t>
      </w:r>
      <w:r w:rsidR="00090B95" w:rsidRPr="001E5BF5">
        <w:t xml:space="preserve">-source for its </w:t>
      </w:r>
      <w:r w:rsidR="008A5F3E" w:rsidRPr="001E5BF5">
        <w:t xml:space="preserve">initial </w:t>
      </w:r>
      <w:r w:rsidR="00090B95" w:rsidRPr="001E5BF5">
        <w:t xml:space="preserve">growth on </w:t>
      </w:r>
      <w:r w:rsidR="00D00388" w:rsidRPr="001E5BF5">
        <w:t xml:space="preserve">BSG. </w:t>
      </w:r>
      <w:r w:rsidR="008A5F3E" w:rsidRPr="001E5BF5">
        <w:t>However, i</w:t>
      </w:r>
      <w:r w:rsidR="00D00388" w:rsidRPr="001E5BF5">
        <w:t xml:space="preserve">t should not be ruled out that the hydrolytic activity of the fungus on </w:t>
      </w:r>
      <w:r w:rsidR="008A5F3E" w:rsidRPr="001E5BF5">
        <w:t xml:space="preserve">the </w:t>
      </w:r>
      <w:r w:rsidR="00D00388" w:rsidRPr="001E5BF5">
        <w:t>complex sugars of the BSG can also generate simple sugars</w:t>
      </w:r>
      <w:r w:rsidR="008A5F3E" w:rsidRPr="001E5BF5">
        <w:t xml:space="preserve"> that might serve to support growth</w:t>
      </w:r>
      <w:r w:rsidR="00582B4C" w:rsidRPr="001E5BF5">
        <w:t xml:space="preserve"> from the residual starch contained in BSG</w:t>
      </w:r>
      <w:r w:rsidR="00D00388" w:rsidRPr="001E5BF5">
        <w:t>.</w:t>
      </w:r>
      <w:r w:rsidR="00095915" w:rsidRPr="001E5BF5">
        <w:t xml:space="preserve"> </w:t>
      </w:r>
      <w:r w:rsidR="0093351D" w:rsidRPr="001E5BF5">
        <w:t>Protein measurements suggested that</w:t>
      </w:r>
      <w:r w:rsidR="00505A88" w:rsidRPr="001E5BF5">
        <w:t>,</w:t>
      </w:r>
      <w:r w:rsidR="0093351D" w:rsidRPr="001E5BF5">
        <w:t xml:space="preserve"> after the SSF fermentations</w:t>
      </w:r>
      <w:r w:rsidR="00505A88" w:rsidRPr="001E5BF5">
        <w:t>,</w:t>
      </w:r>
      <w:r w:rsidR="0093351D" w:rsidRPr="001E5BF5">
        <w:t xml:space="preserve"> the protein content in the homogenized samples increases (i.e., 5-64 %) for all </w:t>
      </w:r>
      <w:r w:rsidR="00F11A65" w:rsidRPr="001E5BF5">
        <w:t xml:space="preserve">the </w:t>
      </w:r>
      <w:r w:rsidR="0093351D" w:rsidRPr="001E5BF5">
        <w:t xml:space="preserve">cases compared to the initial protein content in the BSG. Similar results can be found in the literature </w:t>
      </w:r>
      <w:r w:rsidR="0051534D" w:rsidRPr="0051534D">
        <w:t>(</w:t>
      </w:r>
      <w:proofErr w:type="spellStart"/>
      <w:r w:rsidR="0051534D" w:rsidRPr="0051534D">
        <w:t>Canedo</w:t>
      </w:r>
      <w:proofErr w:type="spellEnd"/>
      <w:r w:rsidR="0051534D" w:rsidRPr="0051534D">
        <w:t xml:space="preserve"> et al., 2016)</w:t>
      </w:r>
      <w:r w:rsidR="0093351D" w:rsidRPr="001E5BF5">
        <w:t>, where the crude protein content</w:t>
      </w:r>
      <w:r w:rsidR="00505A88" w:rsidRPr="001E5BF5">
        <w:t xml:space="preserve"> of</w:t>
      </w:r>
      <w:r w:rsidR="0093351D" w:rsidRPr="001E5BF5">
        <w:t xml:space="preserve"> </w:t>
      </w:r>
      <w:r w:rsidR="00505A88" w:rsidRPr="001E5BF5">
        <w:t xml:space="preserve">BSG </w:t>
      </w:r>
      <w:r w:rsidR="0093351D" w:rsidRPr="001E5BF5">
        <w:t xml:space="preserve">was reported to increase 46 % </w:t>
      </w:r>
      <w:r w:rsidR="00505A88" w:rsidRPr="001E5BF5">
        <w:rPr>
          <w:iCs/>
        </w:rPr>
        <w:t xml:space="preserve">in </w:t>
      </w:r>
      <w:r w:rsidR="00505A88" w:rsidRPr="001E5BF5">
        <w:t>SSF</w:t>
      </w:r>
      <w:r w:rsidR="00505A88" w:rsidRPr="001E5BF5">
        <w:rPr>
          <w:iCs/>
        </w:rPr>
        <w:t xml:space="preserve"> </w:t>
      </w:r>
      <w:r w:rsidR="00F11A65" w:rsidRPr="001E5BF5">
        <w:rPr>
          <w:iCs/>
        </w:rPr>
        <w:t xml:space="preserve">carried out </w:t>
      </w:r>
      <w:r w:rsidR="00505A88" w:rsidRPr="001E5BF5">
        <w:rPr>
          <w:iCs/>
        </w:rPr>
        <w:t xml:space="preserve">with </w:t>
      </w:r>
      <w:r w:rsidR="0093351D" w:rsidRPr="001E5BF5">
        <w:rPr>
          <w:i/>
          <w:iCs/>
        </w:rPr>
        <w:t xml:space="preserve">R. </w:t>
      </w:r>
      <w:proofErr w:type="spellStart"/>
      <w:r w:rsidR="0093351D" w:rsidRPr="001E5BF5">
        <w:rPr>
          <w:i/>
          <w:iCs/>
        </w:rPr>
        <w:t>oligosporus</w:t>
      </w:r>
      <w:proofErr w:type="spellEnd"/>
      <w:r w:rsidR="0093351D" w:rsidRPr="001E5BF5">
        <w:t xml:space="preserve"> without exogenous </w:t>
      </w:r>
      <w:r w:rsidR="00F11A65" w:rsidRPr="001E5BF5">
        <w:t>N</w:t>
      </w:r>
      <w:r w:rsidR="0093351D" w:rsidRPr="001E5BF5">
        <w:t>-source supplementation and up to 83 % increase when ammonium sulphate was supplied. However, the chosen simplified method for protein estimates (A</w:t>
      </w:r>
      <w:r w:rsidR="0093351D" w:rsidRPr="001E5BF5">
        <w:rPr>
          <w:vertAlign w:val="subscript"/>
        </w:rPr>
        <w:t>280</w:t>
      </w:r>
      <w:r w:rsidR="0093351D" w:rsidRPr="001E5BF5">
        <w:t xml:space="preserve">) serves primarily for the quantification of certain aromatic </w:t>
      </w:r>
      <w:proofErr w:type="spellStart"/>
      <w:r w:rsidR="0093351D" w:rsidRPr="001E5BF5">
        <w:t>aminoacids</w:t>
      </w:r>
      <w:proofErr w:type="spellEnd"/>
      <w:r w:rsidR="0093351D" w:rsidRPr="001E5BF5">
        <w:t xml:space="preserve"> (i.e., containing tryptophan, tyrosine and phenylalanine residues which have been demonstrated to be present in BSG)</w:t>
      </w:r>
      <w:r w:rsidR="0051534D" w:rsidRPr="0051534D">
        <w:t xml:space="preserve"> (Essien </w:t>
      </w:r>
      <w:r w:rsidR="004C11C1">
        <w:t>et al.</w:t>
      </w:r>
      <w:r w:rsidR="0051534D" w:rsidRPr="0051534D">
        <w:t>, 2010)</w:t>
      </w:r>
      <w:r w:rsidR="0093351D" w:rsidRPr="001E5BF5">
        <w:t xml:space="preserve"> without the use of additional reagents or processing steps.</w:t>
      </w:r>
    </w:p>
    <w:p w14:paraId="185FB62B" w14:textId="04D9C9EB" w:rsidR="00782BF5" w:rsidRPr="001E5BF5" w:rsidRDefault="00782BF5" w:rsidP="002F1682">
      <w:pPr>
        <w:pStyle w:val="CETTabletitle"/>
        <w:rPr>
          <w:lang w:val="en-US"/>
        </w:rPr>
      </w:pPr>
      <w:r w:rsidRPr="001E5BF5">
        <w:rPr>
          <w:lang w:val="en-US"/>
        </w:rPr>
        <w:lastRenderedPageBreak/>
        <w:t xml:space="preserve">Table </w:t>
      </w:r>
      <w:r w:rsidR="0098265E" w:rsidRPr="001E5BF5">
        <w:rPr>
          <w:lang w:val="en-US"/>
        </w:rPr>
        <w:t xml:space="preserve">1. Measured parameters in the raw BSG and SSF-BSG samples. </w:t>
      </w:r>
    </w:p>
    <w:tbl>
      <w:tblPr>
        <w:tblpPr w:leftFromText="180" w:rightFromText="180" w:vertAnchor="text" w:horzAnchor="margin" w:tblpXSpec="center" w:tblpY="153"/>
        <w:tblW w:w="4951"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326"/>
        <w:gridCol w:w="694"/>
        <w:gridCol w:w="653"/>
        <w:gridCol w:w="762"/>
        <w:gridCol w:w="687"/>
        <w:gridCol w:w="766"/>
        <w:gridCol w:w="766"/>
        <w:gridCol w:w="754"/>
        <w:gridCol w:w="760"/>
        <w:gridCol w:w="767"/>
        <w:gridCol w:w="766"/>
      </w:tblGrid>
      <w:tr w:rsidR="001E7A35" w:rsidRPr="001E5BF5" w14:paraId="1DAD3631" w14:textId="77777777" w:rsidTr="002F1682">
        <w:trPr>
          <w:trHeight w:val="190"/>
        </w:trPr>
        <w:tc>
          <w:tcPr>
            <w:tcW w:w="762" w:type="pct"/>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7D9D3C81"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Batch</w:t>
            </w:r>
          </w:p>
        </w:tc>
        <w:tc>
          <w:tcPr>
            <w:tcW w:w="399" w:type="pct"/>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14271538"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 </w:t>
            </w:r>
          </w:p>
        </w:tc>
        <w:tc>
          <w:tcPr>
            <w:tcW w:w="375" w:type="pct"/>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3A65D358" w14:textId="77777777" w:rsidR="00782BF5" w:rsidRPr="002F1682" w:rsidRDefault="00782BF5" w:rsidP="00782BF5">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Raw BSG</w:t>
            </w:r>
          </w:p>
        </w:tc>
        <w:tc>
          <w:tcPr>
            <w:tcW w:w="832" w:type="pct"/>
            <w:gridSpan w:val="2"/>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6F69B42D" w14:textId="77777777" w:rsidR="00782BF5" w:rsidRPr="002F1682" w:rsidRDefault="00782BF5" w:rsidP="002F1682">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I</w:t>
            </w:r>
          </w:p>
        </w:tc>
        <w:tc>
          <w:tcPr>
            <w:tcW w:w="880" w:type="pct"/>
            <w:gridSpan w:val="2"/>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4532210D" w14:textId="77777777" w:rsidR="00782BF5" w:rsidRPr="002F1682" w:rsidRDefault="00782BF5" w:rsidP="00782BF5">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II</w:t>
            </w:r>
          </w:p>
        </w:tc>
        <w:tc>
          <w:tcPr>
            <w:tcW w:w="870" w:type="pct"/>
            <w:gridSpan w:val="2"/>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2F2ACF8F" w14:textId="77777777" w:rsidR="00782BF5" w:rsidRPr="002F1682" w:rsidRDefault="00782BF5" w:rsidP="00782BF5">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III</w:t>
            </w:r>
          </w:p>
        </w:tc>
        <w:tc>
          <w:tcPr>
            <w:tcW w:w="882" w:type="pct"/>
            <w:gridSpan w:val="2"/>
            <w:tcBorders>
              <w:top w:val="single" w:sz="12"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186960A4" w14:textId="77777777" w:rsidR="00782BF5" w:rsidRPr="002F1682" w:rsidRDefault="00782BF5" w:rsidP="00782BF5">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IV</w:t>
            </w:r>
          </w:p>
        </w:tc>
      </w:tr>
      <w:tr w:rsidR="001E7A35" w:rsidRPr="001E5BF5" w14:paraId="300F7764" w14:textId="77777777" w:rsidTr="002F1682">
        <w:trPr>
          <w:trHeight w:val="139"/>
        </w:trPr>
        <w:tc>
          <w:tcPr>
            <w:tcW w:w="762" w:type="pct"/>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904BBA3"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Temperature</w:t>
            </w:r>
          </w:p>
        </w:tc>
        <w:tc>
          <w:tcPr>
            <w:tcW w:w="399" w:type="pct"/>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59F1AC7"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[°C]</w:t>
            </w:r>
          </w:p>
        </w:tc>
        <w:tc>
          <w:tcPr>
            <w:tcW w:w="375" w:type="pct"/>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3D337D6" w14:textId="77777777" w:rsidR="00782BF5" w:rsidRPr="002F1682" w:rsidRDefault="00782BF5" w:rsidP="002F1682">
            <w:pPr>
              <w:tabs>
                <w:tab w:val="clear" w:pos="7100"/>
              </w:tabs>
              <w:spacing w:line="240" w:lineRule="auto"/>
              <w:jc w:val="center"/>
              <w:textAlignment w:val="bottom"/>
              <w:rPr>
                <w:rFonts w:cs="Arial"/>
                <w:sz w:val="14"/>
                <w:szCs w:val="14"/>
                <w:lang w:val="en-US" w:eastAsia="en-GB"/>
              </w:rPr>
            </w:pPr>
            <w:r w:rsidRPr="002F1682">
              <w:rPr>
                <w:rFonts w:cs="Arial"/>
                <w:color w:val="000000"/>
                <w:kern w:val="24"/>
                <w:sz w:val="14"/>
                <w:szCs w:val="14"/>
                <w:lang w:val="en-US" w:eastAsia="en-GB"/>
              </w:rPr>
              <w:t>-</w:t>
            </w:r>
          </w:p>
        </w:tc>
        <w:tc>
          <w:tcPr>
            <w:tcW w:w="832" w:type="pct"/>
            <w:gridSpan w:val="2"/>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911C3A9" w14:textId="59981F75" w:rsidR="00782BF5" w:rsidRPr="002F1682" w:rsidRDefault="00782BF5" w:rsidP="002F1682">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30</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32</w:t>
            </w:r>
          </w:p>
        </w:tc>
        <w:tc>
          <w:tcPr>
            <w:tcW w:w="880" w:type="pct"/>
            <w:gridSpan w:val="2"/>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398C3011" w14:textId="5293F318" w:rsidR="00782BF5" w:rsidRPr="002F1682" w:rsidRDefault="00782BF5" w:rsidP="002F1682">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30</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32</w:t>
            </w:r>
          </w:p>
        </w:tc>
        <w:tc>
          <w:tcPr>
            <w:tcW w:w="870" w:type="pct"/>
            <w:gridSpan w:val="2"/>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21CD7D0" w14:textId="2DC2C3FC" w:rsidR="00782BF5" w:rsidRPr="002F1682" w:rsidRDefault="00782BF5" w:rsidP="002F1682">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30</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32</w:t>
            </w:r>
          </w:p>
        </w:tc>
        <w:tc>
          <w:tcPr>
            <w:tcW w:w="882" w:type="pct"/>
            <w:gridSpan w:val="2"/>
            <w:tcBorders>
              <w:top w:val="single" w:sz="8"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37902606" w14:textId="4A9030FB" w:rsidR="00782BF5" w:rsidRPr="002F1682" w:rsidRDefault="00782BF5" w:rsidP="002F1682">
            <w:pPr>
              <w:tabs>
                <w:tab w:val="clear" w:pos="7100"/>
              </w:tabs>
              <w:spacing w:line="240" w:lineRule="auto"/>
              <w:jc w:val="center"/>
              <w:textAlignment w:val="center"/>
              <w:rPr>
                <w:rFonts w:cs="Arial"/>
                <w:sz w:val="14"/>
                <w:szCs w:val="14"/>
                <w:lang w:val="en-US" w:eastAsia="en-GB"/>
              </w:rPr>
            </w:pPr>
            <w:r w:rsidRPr="002F1682">
              <w:rPr>
                <w:rFonts w:cs="Arial"/>
                <w:i/>
                <w:iCs/>
                <w:color w:val="000000"/>
                <w:kern w:val="24"/>
                <w:sz w:val="14"/>
                <w:szCs w:val="14"/>
                <w:lang w:val="en-US" w:eastAsia="en-GB"/>
              </w:rPr>
              <w:t>33</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w:t>
            </w:r>
            <w:r w:rsidR="004C11C1">
              <w:rPr>
                <w:rFonts w:cs="Arial"/>
                <w:i/>
                <w:iCs/>
                <w:color w:val="000000"/>
                <w:kern w:val="24"/>
                <w:sz w:val="14"/>
                <w:szCs w:val="14"/>
                <w:lang w:val="en-US" w:eastAsia="en-GB"/>
              </w:rPr>
              <w:t xml:space="preserve">  </w:t>
            </w:r>
            <w:r w:rsidRPr="002F1682">
              <w:rPr>
                <w:rFonts w:cs="Arial"/>
                <w:i/>
                <w:iCs/>
                <w:color w:val="000000"/>
                <w:kern w:val="24"/>
                <w:sz w:val="14"/>
                <w:szCs w:val="14"/>
                <w:lang w:val="en-US" w:eastAsia="en-GB"/>
              </w:rPr>
              <w:t>35</w:t>
            </w:r>
          </w:p>
        </w:tc>
      </w:tr>
      <w:tr w:rsidR="001E7A35" w:rsidRPr="001E5BF5" w14:paraId="65BFF19C"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C640E8B" w14:textId="0E1DB00A"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Nom</w:t>
            </w:r>
            <w:r w:rsidR="003E161F">
              <w:rPr>
                <w:rFonts w:cs="Arial"/>
                <w:i/>
                <w:iCs/>
                <w:color w:val="000000"/>
                <w:kern w:val="24"/>
                <w:sz w:val="14"/>
                <w:szCs w:val="14"/>
                <w:lang w:val="en-US" w:eastAsia="en-GB"/>
              </w:rPr>
              <w:t>.</w:t>
            </w:r>
            <w:r w:rsidRPr="002F1682">
              <w:rPr>
                <w:rFonts w:cs="Arial"/>
                <w:i/>
                <w:iCs/>
                <w:color w:val="000000"/>
                <w:kern w:val="24"/>
                <w:sz w:val="14"/>
                <w:szCs w:val="14"/>
                <w:lang w:val="en-US" w:eastAsia="en-GB"/>
              </w:rPr>
              <w:t xml:space="preserve"> </w:t>
            </w:r>
            <w:r w:rsidR="001E7A35" w:rsidRPr="002F1682">
              <w:rPr>
                <w:rFonts w:cs="Arial"/>
                <w:i/>
                <w:iCs/>
                <w:color w:val="000000"/>
                <w:kern w:val="24"/>
                <w:sz w:val="14"/>
                <w:szCs w:val="14"/>
                <w:lang w:val="en-US" w:eastAsia="en-GB"/>
              </w:rPr>
              <w:t xml:space="preserve">BSG </w:t>
            </w:r>
            <w:r w:rsidRPr="002F1682">
              <w:rPr>
                <w:rFonts w:cs="Arial"/>
                <w:i/>
                <w:iCs/>
                <w:color w:val="000000"/>
                <w:kern w:val="24"/>
                <w:sz w:val="14"/>
                <w:szCs w:val="14"/>
                <w:lang w:val="en-US" w:eastAsia="en-GB"/>
              </w:rPr>
              <w:t>mass</w:t>
            </w:r>
            <w:r w:rsidR="003E161F">
              <w:rPr>
                <w:rFonts w:cs="Arial"/>
                <w:i/>
                <w:iCs/>
                <w:color w:val="000000"/>
                <w:kern w:val="24"/>
                <w:sz w:val="14"/>
                <w:szCs w:val="14"/>
                <w:lang w:val="en-US" w:eastAsia="en-GB"/>
              </w:rPr>
              <w:t xml:space="preserve"> (S)</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58ED4D3"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[g]</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3874C76" w14:textId="77777777" w:rsidR="00782BF5" w:rsidRPr="002F1682" w:rsidRDefault="00782BF5" w:rsidP="002F1682">
            <w:pPr>
              <w:tabs>
                <w:tab w:val="clear" w:pos="7100"/>
              </w:tabs>
              <w:spacing w:line="240" w:lineRule="auto"/>
              <w:jc w:val="center"/>
              <w:textAlignment w:val="center"/>
              <w:rPr>
                <w:rFonts w:cs="Arial"/>
                <w:sz w:val="14"/>
                <w:szCs w:val="14"/>
                <w:lang w:val="en-US" w:eastAsia="en-GB"/>
              </w:rPr>
            </w:pPr>
            <w:r w:rsidRPr="002F1682">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88D3259"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50</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BD12DE4" w14:textId="5C9E4100"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50</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2DA4817"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50</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B0C600A"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70</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4CD36A1"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70</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FB56D8B" w14:textId="3E30846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70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E384A07"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70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07CFB42" w14:textId="6654305E"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70</w:t>
            </w:r>
          </w:p>
        </w:tc>
      </w:tr>
      <w:tr w:rsidR="001E7A35" w:rsidRPr="001E5BF5" w14:paraId="2656F83B" w14:textId="77777777" w:rsidTr="002F1682">
        <w:trPr>
          <w:trHeight w:val="139"/>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FA4D753" w14:textId="0DC5A530"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Inoculum</w:t>
            </w:r>
            <w:r w:rsidR="003E161F">
              <w:rPr>
                <w:rFonts w:cs="Arial"/>
                <w:i/>
                <w:iCs/>
                <w:color w:val="000000"/>
                <w:kern w:val="24"/>
                <w:sz w:val="14"/>
                <w:szCs w:val="14"/>
                <w:lang w:val="en-US" w:eastAsia="en-GB"/>
              </w:rPr>
              <w:t xml:space="preserve"> (I)</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1E542F9"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 xml:space="preserve">[% </w:t>
            </w:r>
            <w:r w:rsidRPr="002F1682">
              <w:rPr>
                <w:rFonts w:cs="Arial"/>
                <w:i/>
                <w:iCs/>
                <w:color w:val="000000"/>
                <w:kern w:val="24"/>
                <w:sz w:val="14"/>
                <w:szCs w:val="14"/>
                <w:lang w:val="en-US" w:eastAsia="en-GB"/>
              </w:rPr>
              <w:t>v/m</w:t>
            </w:r>
            <w:r w:rsidRPr="002F1682">
              <w:rPr>
                <w:rFonts w:cs="Arial"/>
                <w:color w:val="000000"/>
                <w:kern w:val="24"/>
                <w:sz w:val="14"/>
                <w:szCs w:val="14"/>
                <w:lang w:val="en-US" w:eastAsia="en-GB"/>
              </w:rPr>
              <w:t>]</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34730AA" w14:textId="77777777" w:rsidR="00782BF5" w:rsidRPr="002F1682" w:rsidRDefault="00782BF5" w:rsidP="002F1682">
            <w:pPr>
              <w:tabs>
                <w:tab w:val="clear" w:pos="7100"/>
              </w:tabs>
              <w:spacing w:line="240" w:lineRule="auto"/>
              <w:jc w:val="center"/>
              <w:textAlignment w:val="bottom"/>
              <w:rPr>
                <w:rFonts w:cs="Arial"/>
                <w:sz w:val="14"/>
                <w:szCs w:val="14"/>
                <w:lang w:val="en-US" w:eastAsia="en-GB"/>
              </w:rPr>
            </w:pPr>
            <w:r w:rsidRPr="002F1682">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D2293F2"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2926882" w14:textId="46D074E4"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5C0028A"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22E54A2" w14:textId="46213A80"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6717EEE"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B1F2D28" w14:textId="03CE1B04"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10 %</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6140FF5"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AB4D4DE"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15%</w:t>
            </w:r>
          </w:p>
        </w:tc>
      </w:tr>
      <w:tr w:rsidR="001E7A35" w:rsidRPr="001E5BF5" w14:paraId="7BA37CBA"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17DB005"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Drilled pattern</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DD69FAE" w14:textId="34D2FF11" w:rsidR="00782BF5" w:rsidRPr="002F1682" w:rsidRDefault="001E7A35" w:rsidP="002F1682">
            <w:pPr>
              <w:tabs>
                <w:tab w:val="clear" w:pos="7100"/>
              </w:tabs>
              <w:spacing w:line="240" w:lineRule="auto"/>
              <w:jc w:val="right"/>
              <w:textAlignment w:val="center"/>
              <w:rPr>
                <w:rFonts w:cs="Arial"/>
                <w:sz w:val="14"/>
                <w:szCs w:val="14"/>
                <w:lang w:val="en-US" w:eastAsia="en-GB"/>
              </w:rPr>
            </w:pPr>
            <w:r>
              <w:rPr>
                <w:rFonts w:cs="Arial"/>
                <w:color w:val="000000"/>
                <w:kern w:val="24"/>
                <w:sz w:val="14"/>
                <w:szCs w:val="14"/>
                <w:lang w:eastAsia="en-GB"/>
              </w:rPr>
              <w:t>[-]</w:t>
            </w:r>
            <w:r w:rsidR="00782BF5" w:rsidRPr="002F1682">
              <w:rPr>
                <w:rFonts w:cs="Arial"/>
                <w:color w:val="000000"/>
                <w:kern w:val="24"/>
                <w:sz w:val="14"/>
                <w:szCs w:val="14"/>
                <w:lang w:val="en-US" w:eastAsia="en-GB"/>
              </w:rPr>
              <w:t> </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DB8DDC2" w14:textId="77777777" w:rsidR="00782BF5" w:rsidRPr="002F1682" w:rsidRDefault="00782BF5" w:rsidP="002F1682">
            <w:pPr>
              <w:tabs>
                <w:tab w:val="clear" w:pos="7100"/>
              </w:tabs>
              <w:spacing w:line="240" w:lineRule="auto"/>
              <w:jc w:val="center"/>
              <w:textAlignment w:val="bottom"/>
              <w:rPr>
                <w:rFonts w:cs="Arial"/>
                <w:sz w:val="14"/>
                <w:szCs w:val="14"/>
                <w:lang w:val="en-US" w:eastAsia="en-GB"/>
              </w:rPr>
            </w:pPr>
            <w:r w:rsidRPr="002F1682">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8202595"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A</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44E9141"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B</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5275970"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B</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19EC3AD" w14:textId="14EF2C1E"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B</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2C5A135" w14:textId="08822FD0" w:rsidR="00782BF5" w:rsidRPr="002F1682" w:rsidRDefault="00121D3D"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A</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2C65489"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C</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DA5BCED"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B</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A4D8992" w14:textId="367C2F33"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C</w:t>
            </w:r>
          </w:p>
        </w:tc>
      </w:tr>
      <w:tr w:rsidR="001E7A35" w:rsidRPr="001E5BF5" w14:paraId="446B33AB" w14:textId="77777777" w:rsidTr="002F1682">
        <w:trPr>
          <w:trHeight w:val="139"/>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9F4F1D7"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Samples</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4EEB220"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n</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4345A7A" w14:textId="77777777" w:rsidR="00782BF5" w:rsidRPr="001E5BF5" w:rsidRDefault="00782BF5" w:rsidP="002F1682">
            <w:pPr>
              <w:tabs>
                <w:tab w:val="clear" w:pos="7100"/>
              </w:tabs>
              <w:spacing w:line="240" w:lineRule="auto"/>
              <w:jc w:val="center"/>
              <w:textAlignment w:val="bottom"/>
              <w:rPr>
                <w:rFonts w:cs="Arial"/>
                <w:sz w:val="14"/>
                <w:szCs w:val="14"/>
                <w:lang w:val="en-US" w:eastAsia="en-GB"/>
              </w:rPr>
            </w:pPr>
            <w:r w:rsidRPr="001E5BF5">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77FE6E4"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0C99A3D"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12ECEBC"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BBDBB18"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8BF556B"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3F3CD192"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B40B6DE"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CB41A8C" w14:textId="77777777"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p>
        </w:tc>
      </w:tr>
      <w:tr w:rsidR="001E7A35" w:rsidRPr="001E5BF5" w14:paraId="112F3D1E"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FA9F38C"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Initial mas</w:t>
            </w:r>
            <w:r w:rsidRPr="003E161F">
              <w:rPr>
                <w:rFonts w:cs="Arial"/>
                <w:i/>
                <w:iCs/>
                <w:color w:val="000000"/>
                <w:kern w:val="24"/>
                <w:sz w:val="14"/>
                <w:szCs w:val="14"/>
                <w:lang w:val="en-US" w:eastAsia="en-GB"/>
              </w:rPr>
              <w:t>s (S+I)</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5F12631"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[g]</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F52E198" w14:textId="77777777" w:rsidR="00782BF5" w:rsidRPr="001E5BF5" w:rsidRDefault="00782BF5" w:rsidP="002F1682">
            <w:pPr>
              <w:tabs>
                <w:tab w:val="clear" w:pos="7100"/>
              </w:tabs>
              <w:spacing w:line="240" w:lineRule="auto"/>
              <w:jc w:val="center"/>
              <w:textAlignment w:val="bottom"/>
              <w:rPr>
                <w:rFonts w:cs="Arial"/>
                <w:sz w:val="14"/>
                <w:szCs w:val="14"/>
                <w:lang w:val="en-US" w:eastAsia="en-GB"/>
              </w:rPr>
            </w:pPr>
            <w:r w:rsidRPr="001E5BF5">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FBF68D3"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55.80 ±</w:t>
            </w:r>
          </w:p>
          <w:p w14:paraId="09A55C1D" w14:textId="552B8920"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0.61</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7CB7A7C"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56.61 ± 0.47</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74575A5"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55.20 ±</w:t>
            </w:r>
          </w:p>
          <w:p w14:paraId="4426B87E" w14:textId="0238630D"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0.91</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B26EF10"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79.46 ±</w:t>
            </w:r>
          </w:p>
          <w:p w14:paraId="1C80A4A0" w14:textId="483C95B5"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0.76</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6028BD6"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78.41 ±</w:t>
            </w:r>
          </w:p>
          <w:p w14:paraId="0E38425A" w14:textId="57480C2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0.75</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F564154"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78.81 ± 0.43</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4A99425"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79.04 ±</w:t>
            </w:r>
          </w:p>
          <w:p w14:paraId="4B14E3B2" w14:textId="02065ADC"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0.48</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B6FF5A2"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82.29 ± 0.45</w:t>
            </w:r>
          </w:p>
        </w:tc>
      </w:tr>
      <w:tr w:rsidR="001E7A35" w:rsidRPr="001E5BF5" w14:paraId="0DD35562"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C4865B6"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Final mass </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072F1B3"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[g]</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34AF4029" w14:textId="77777777" w:rsidR="00782BF5" w:rsidRPr="001E5BF5" w:rsidRDefault="00782BF5" w:rsidP="002F1682">
            <w:pPr>
              <w:tabs>
                <w:tab w:val="clear" w:pos="7100"/>
              </w:tabs>
              <w:spacing w:line="240" w:lineRule="auto"/>
              <w:jc w:val="center"/>
              <w:textAlignment w:val="bottom"/>
              <w:rPr>
                <w:rFonts w:cs="Arial"/>
                <w:sz w:val="14"/>
                <w:szCs w:val="14"/>
                <w:lang w:val="en-US" w:eastAsia="en-GB"/>
              </w:rPr>
            </w:pPr>
            <w:r w:rsidRPr="001E5BF5">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1395755"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49.05 ±</w:t>
            </w:r>
          </w:p>
          <w:p w14:paraId="423D4075" w14:textId="48D8499E"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0.88</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2DEA0FF"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48.93 ± 1.05</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220C6BA"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48.71 ±</w:t>
            </w:r>
          </w:p>
          <w:p w14:paraId="71D31DF7" w14:textId="2C8D05DF"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1.10</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A0292F1"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71.84 ±</w:t>
            </w:r>
          </w:p>
          <w:p w14:paraId="4B3189EF" w14:textId="392713D4"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1.52</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E923FB2"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71.41 ±</w:t>
            </w:r>
          </w:p>
          <w:p w14:paraId="468583BE" w14:textId="2B30815C"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2.03</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B1BFBC6"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67.67 ± 0.98</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BF9421C"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64.69 ±</w:t>
            </w:r>
          </w:p>
          <w:p w14:paraId="4B96960C" w14:textId="7EDF7BFD"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3.40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B073042"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74.18 ± 1.72</w:t>
            </w:r>
          </w:p>
        </w:tc>
      </w:tr>
      <w:tr w:rsidR="001E7A35" w:rsidRPr="001E5BF5" w14:paraId="6946F1B2"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F7F3863"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Initial Moisture</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EA3191D"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 xml:space="preserve">[% </w:t>
            </w:r>
            <w:r w:rsidRPr="002F1682">
              <w:rPr>
                <w:rFonts w:cs="Arial"/>
                <w:i/>
                <w:iCs/>
                <w:color w:val="000000"/>
                <w:kern w:val="24"/>
                <w:sz w:val="14"/>
                <w:szCs w:val="14"/>
                <w:lang w:val="en-US" w:eastAsia="en-GB"/>
              </w:rPr>
              <w:t>w/w</w:t>
            </w:r>
            <w:r w:rsidRPr="002F1682">
              <w:rPr>
                <w:rFonts w:cs="Arial"/>
                <w:color w:val="000000"/>
                <w:kern w:val="24"/>
                <w:sz w:val="14"/>
                <w:szCs w:val="14"/>
                <w:lang w:val="en-US" w:eastAsia="en-GB"/>
              </w:rPr>
              <w:t>]</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2073DC8" w14:textId="77777777" w:rsidR="00782BF5" w:rsidRPr="001E5BF5" w:rsidRDefault="00782BF5" w:rsidP="00782BF5">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 xml:space="preserve">76.18 ± 0.73 </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44CDD8D"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78.31 ±</w:t>
            </w:r>
          </w:p>
          <w:p w14:paraId="4ADA101A" w14:textId="5EA4836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1.20</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AA8853F"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78.28 ± 1.44</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64E12E9"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78.34 ±</w:t>
            </w:r>
          </w:p>
          <w:p w14:paraId="1E0C8686" w14:textId="685124C9"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0.34</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A7A9670"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78.28 ±</w:t>
            </w:r>
          </w:p>
          <w:p w14:paraId="619184D7" w14:textId="0BFD193A"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1.36</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108600A"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78.31 ±</w:t>
            </w:r>
          </w:p>
          <w:p w14:paraId="26A214DB" w14:textId="07BD704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1.12</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306ECDA"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78.30 ± 0.90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1A50A1C"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78.29 ±</w:t>
            </w:r>
          </w:p>
          <w:p w14:paraId="2BB93220" w14:textId="0988519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0.70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AC4C1AD"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79.22 ± 0.45</w:t>
            </w:r>
          </w:p>
        </w:tc>
      </w:tr>
      <w:tr w:rsidR="001E7A35" w:rsidRPr="001E5BF5" w14:paraId="6D196718" w14:textId="77777777" w:rsidTr="00A22D4A">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1B33093"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Final Moisture</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325B5B5C"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 xml:space="preserve">[% </w:t>
            </w:r>
            <w:r w:rsidRPr="002F1682">
              <w:rPr>
                <w:rFonts w:cs="Arial"/>
                <w:i/>
                <w:iCs/>
                <w:color w:val="000000"/>
                <w:kern w:val="24"/>
                <w:sz w:val="14"/>
                <w:szCs w:val="14"/>
                <w:lang w:val="en-US" w:eastAsia="en-GB"/>
              </w:rPr>
              <w:t>w/w</w:t>
            </w:r>
            <w:r w:rsidRPr="002F1682">
              <w:rPr>
                <w:rFonts w:cs="Arial"/>
                <w:color w:val="000000"/>
                <w:kern w:val="24"/>
                <w:sz w:val="14"/>
                <w:szCs w:val="14"/>
                <w:lang w:val="en-US" w:eastAsia="en-GB"/>
              </w:rPr>
              <w:t>]</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5CC97BC" w14:textId="1D75552B" w:rsidR="00782BF5" w:rsidRPr="001E5BF5" w:rsidRDefault="00782BF5" w:rsidP="00A22D4A">
            <w:pPr>
              <w:tabs>
                <w:tab w:val="clear" w:pos="7100"/>
              </w:tabs>
              <w:spacing w:line="240" w:lineRule="auto"/>
              <w:jc w:val="center"/>
              <w:textAlignment w:val="bottom"/>
              <w:rPr>
                <w:rFonts w:cs="Arial"/>
                <w:sz w:val="14"/>
                <w:szCs w:val="14"/>
                <w:lang w:val="en-US" w:eastAsia="en-GB"/>
              </w:rPr>
            </w:pPr>
            <w:r w:rsidRPr="001E5BF5">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EE6D2D2"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81.37 ±</w:t>
            </w:r>
          </w:p>
          <w:p w14:paraId="44E5F3CB" w14:textId="4DAE0D5A"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0.28</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4C68D2F"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80.07 ± 1.65</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2AEB3F1"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81.01 ±</w:t>
            </w:r>
          </w:p>
          <w:p w14:paraId="10232722" w14:textId="29432231"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0.78</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6F1A52F"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82.43 ±</w:t>
            </w:r>
          </w:p>
          <w:p w14:paraId="2FA0FBC6" w14:textId="0F838C3E"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0.27</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B62BCF5"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80.90 ±</w:t>
            </w:r>
          </w:p>
          <w:p w14:paraId="4DE7AC27" w14:textId="44A7E33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1.51</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BC42A1C"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82.89 ± 0.56</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D7083B6"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80.49 ±</w:t>
            </w:r>
          </w:p>
          <w:p w14:paraId="3F905B20" w14:textId="77C493C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0.27</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004A422"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81.59 ± 0.33</w:t>
            </w:r>
          </w:p>
        </w:tc>
      </w:tr>
      <w:tr w:rsidR="001E7A35" w:rsidRPr="001E5BF5" w14:paraId="08730AC4"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0294ED26"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 xml:space="preserve">Ash Fraction </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65A6DCC"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color w:val="000000"/>
                <w:kern w:val="24"/>
                <w:sz w:val="14"/>
                <w:szCs w:val="14"/>
                <w:lang w:val="en-US" w:eastAsia="en-GB"/>
              </w:rPr>
              <w:t>[%]</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632FE47" w14:textId="19A6525E" w:rsidR="00782BF5" w:rsidRPr="001E5BF5" w:rsidRDefault="00782BF5" w:rsidP="00782BF5">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2.31 ± 0.41</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EFA4AD7"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4.52 ±</w:t>
            </w:r>
          </w:p>
          <w:p w14:paraId="1D51F277" w14:textId="136F068B"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0.08</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98BD2AA"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4.27 ±</w:t>
            </w:r>
          </w:p>
          <w:p w14:paraId="6BCF7EB1" w14:textId="25FAEC80"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0.14</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696405D"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4.44 ±</w:t>
            </w:r>
          </w:p>
          <w:p w14:paraId="123C46BD" w14:textId="588324F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0. 32</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9997948"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4.18 ±</w:t>
            </w:r>
          </w:p>
          <w:p w14:paraId="2D726CA5" w14:textId="761F0526"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0.35</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8E7C0D4"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4.48 ±</w:t>
            </w:r>
          </w:p>
          <w:p w14:paraId="19BEC152" w14:textId="15C02761"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0.33</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6501807"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4.73 ±</w:t>
            </w:r>
          </w:p>
          <w:p w14:paraId="460B364A" w14:textId="0828CE75"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0.19</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D5D6DD9"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3.52 ±</w:t>
            </w:r>
          </w:p>
          <w:p w14:paraId="372E8402" w14:textId="2E5161DD"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0.31</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0DC797F" w14:textId="03241DFA"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4.33 ±</w:t>
            </w:r>
          </w:p>
          <w:p w14:paraId="0E8B1360" w14:textId="1B9EA64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0.29</w:t>
            </w:r>
          </w:p>
        </w:tc>
      </w:tr>
      <w:tr w:rsidR="001E7A35" w:rsidRPr="001E5BF5" w14:paraId="7428655B"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070C038"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Sugars</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08AF4F8"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 BX]</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DE492A8" w14:textId="77777777" w:rsidR="00782BF5" w:rsidRPr="001E5BF5" w:rsidRDefault="00782BF5" w:rsidP="00782BF5">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 xml:space="preserve">2.00 ± 0.10 </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D059389"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1.10 ±</w:t>
            </w:r>
          </w:p>
          <w:p w14:paraId="34DAF23A" w14:textId="305D12CA"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0.10</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BC43468"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0.95 ±</w:t>
            </w:r>
          </w:p>
          <w:p w14:paraId="4E8B6194" w14:textId="7DA68D9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0.05</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37D28BD"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1.00 ±</w:t>
            </w:r>
          </w:p>
          <w:p w14:paraId="542B41AE" w14:textId="79921119"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0.10</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35D8DAB"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1.15 ±</w:t>
            </w:r>
          </w:p>
          <w:p w14:paraId="1A83A507" w14:textId="63A156D6"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0.05</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8634576"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0.90 ±</w:t>
            </w:r>
          </w:p>
          <w:p w14:paraId="475EB7D6" w14:textId="28D9A44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0.10</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1A8F31D"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1.25 ±</w:t>
            </w:r>
          </w:p>
          <w:p w14:paraId="17BF72B9" w14:textId="407F7748"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7CADBE6"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1.55 ±</w:t>
            </w:r>
          </w:p>
          <w:p w14:paraId="26A0DEDA" w14:textId="750FCFEF"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0.20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2EC320D"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1.25 ±</w:t>
            </w:r>
          </w:p>
          <w:p w14:paraId="04921B27" w14:textId="7AA8E84D"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0.10</w:t>
            </w:r>
          </w:p>
        </w:tc>
      </w:tr>
      <w:tr w:rsidR="001E7A35" w:rsidRPr="001E5BF5" w14:paraId="24B99252" w14:textId="77777777" w:rsidTr="002F1682">
        <w:trPr>
          <w:trHeight w:val="146"/>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CC54B1F"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pH</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7DFAFDD"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B6A95B0" w14:textId="77777777" w:rsidR="00782BF5" w:rsidRPr="001E5BF5" w:rsidRDefault="00782BF5" w:rsidP="00782BF5">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 xml:space="preserve">5.9 ± 0.1 </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2FD6A0F" w14:textId="3CE4C224"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5.6 ± 0.1</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EDABBA7"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5.3 ± 0.1</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85DFFC3"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5.6 ± 0.1</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929ACB0" w14:textId="2EF8B5C6"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5.8 ± 0.1</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ED2B568" w14:textId="1662267A"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5.6 ± 0.1</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486059D"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5.3 ± 0.1</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4921FAA"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4.7 ± 0.1</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4D5AF79" w14:textId="77777777"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5.6 ± 0.1</w:t>
            </w:r>
          </w:p>
        </w:tc>
      </w:tr>
      <w:tr w:rsidR="001E7A35" w:rsidRPr="001E5BF5" w14:paraId="304086BD"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E2F13B3"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TA</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F13B7E8"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w:t>
            </w:r>
            <w:proofErr w:type="spellStart"/>
            <w:r w:rsidRPr="002F1682">
              <w:rPr>
                <w:rFonts w:cs="Arial"/>
                <w:i/>
                <w:iCs/>
                <w:color w:val="000000"/>
                <w:kern w:val="24"/>
                <w:sz w:val="14"/>
                <w:szCs w:val="14"/>
                <w:lang w:val="en-US" w:eastAsia="en-GB"/>
              </w:rPr>
              <w:t>mL</w:t>
            </w:r>
            <w:r w:rsidRPr="002F1682">
              <w:rPr>
                <w:rFonts w:cs="Arial"/>
                <w:i/>
                <w:iCs/>
                <w:color w:val="000000"/>
                <w:kern w:val="24"/>
                <w:sz w:val="14"/>
                <w:szCs w:val="14"/>
                <w:vertAlign w:val="subscript"/>
                <w:lang w:val="en-US" w:eastAsia="en-GB"/>
              </w:rPr>
              <w:t>NaOH</w:t>
            </w:r>
            <w:proofErr w:type="spellEnd"/>
            <w:r w:rsidRPr="002F1682">
              <w:rPr>
                <w:rFonts w:cs="Arial"/>
                <w:i/>
                <w:iCs/>
                <w:color w:val="000000"/>
                <w:kern w:val="24"/>
                <w:sz w:val="14"/>
                <w:szCs w:val="14"/>
                <w:lang w:val="en-US" w:eastAsia="en-GB"/>
              </w:rPr>
              <w:t xml:space="preserve"> /mL]</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2831F1D" w14:textId="77777777" w:rsidR="00782BF5" w:rsidRPr="001E5BF5" w:rsidRDefault="00782BF5" w:rsidP="00782BF5">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 xml:space="preserve">0.35 ± 0.05 </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D7814DA"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0.75 ±</w:t>
            </w:r>
          </w:p>
          <w:p w14:paraId="5B4D81A9" w14:textId="4E6ADCFA"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0.07</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4CB3449"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0.50 ±</w:t>
            </w:r>
          </w:p>
          <w:p w14:paraId="47742056" w14:textId="10467E0F"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0.01</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61237727"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0.80 ±</w:t>
            </w:r>
          </w:p>
          <w:p w14:paraId="4D096B51" w14:textId="7B5EC090"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0.01</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7DF8A64"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0.50 ±</w:t>
            </w:r>
          </w:p>
          <w:p w14:paraId="7D66E7BA" w14:textId="7D0E609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0.01</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6D47347"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0.70 ±</w:t>
            </w:r>
          </w:p>
          <w:p w14:paraId="6FD4BA96" w14:textId="2B9BE8CE"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0.01</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21303531"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1.60 ±</w:t>
            </w:r>
          </w:p>
          <w:p w14:paraId="4F06FB9C" w14:textId="654952B1"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0.05</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1D0D252E"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1.20 ±</w:t>
            </w:r>
          </w:p>
          <w:p w14:paraId="59EF77E5" w14:textId="48F646C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0.50</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CE5F43F" w14:textId="77777777" w:rsidR="00DF16B4"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0.65 ±</w:t>
            </w:r>
          </w:p>
          <w:p w14:paraId="52D77F6E" w14:textId="2B058759"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0.20</w:t>
            </w:r>
          </w:p>
        </w:tc>
      </w:tr>
      <w:tr w:rsidR="001E7A35" w:rsidRPr="001E5BF5" w14:paraId="57FBFE93"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367DCA17"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Protein</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2BEAE7F"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[g/L]</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8390552" w14:textId="77777777" w:rsidR="00782BF5" w:rsidRPr="001E5BF5" w:rsidRDefault="00782BF5" w:rsidP="00782BF5">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4.77 ± 0.02</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8962335" w14:textId="0E263960"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7.13</w:t>
            </w:r>
          </w:p>
          <w:p w14:paraId="7E8DE3B1" w14:textId="2393CFC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 0.02</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318E72F0"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5.29 ±</w:t>
            </w:r>
          </w:p>
          <w:p w14:paraId="2464F364" w14:textId="6B73DBC2"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0.02</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595609CB"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6.77 ±</w:t>
            </w:r>
          </w:p>
          <w:p w14:paraId="4FDA00FE" w14:textId="56C2910B"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0.02</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4A7B9DED"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5.87 ±</w:t>
            </w:r>
          </w:p>
          <w:p w14:paraId="7964FCEB" w14:textId="01433EAC"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0.01</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A11FC2A"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6.25 ±</w:t>
            </w:r>
          </w:p>
          <w:p w14:paraId="3247ABBF" w14:textId="0BC800A3"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0.01</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782FE5F9"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7.85 ±</w:t>
            </w:r>
          </w:p>
          <w:p w14:paraId="02949947" w14:textId="12CD30E1"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0.02</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583A9FA"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5.03 ±</w:t>
            </w:r>
          </w:p>
          <w:p w14:paraId="19C8F8EF" w14:textId="64D8E78A"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0.03</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bottom"/>
            <w:hideMark/>
          </w:tcPr>
          <w:p w14:paraId="0F2AB758" w14:textId="77777777" w:rsidR="001E7A35" w:rsidRDefault="00782BF5" w:rsidP="002F1682">
            <w:pPr>
              <w:tabs>
                <w:tab w:val="clear" w:pos="7100"/>
              </w:tabs>
              <w:spacing w:line="240" w:lineRule="auto"/>
              <w:jc w:val="right"/>
              <w:textAlignment w:val="bottom"/>
              <w:rPr>
                <w:rFonts w:cs="Arial"/>
                <w:color w:val="000000"/>
                <w:kern w:val="24"/>
                <w:sz w:val="14"/>
                <w:szCs w:val="14"/>
                <w:lang w:val="en-US" w:eastAsia="en-GB"/>
              </w:rPr>
            </w:pPr>
            <w:r w:rsidRPr="001E5BF5">
              <w:rPr>
                <w:rFonts w:cs="Arial"/>
                <w:color w:val="000000"/>
                <w:kern w:val="24"/>
                <w:sz w:val="14"/>
                <w:szCs w:val="14"/>
                <w:lang w:val="en-US" w:eastAsia="en-GB"/>
              </w:rPr>
              <w:t>7.49 ±</w:t>
            </w:r>
          </w:p>
          <w:p w14:paraId="4E02AEE2" w14:textId="1B38511D" w:rsidR="00782BF5" w:rsidRPr="001E5BF5" w:rsidRDefault="00782BF5" w:rsidP="002F1682">
            <w:pPr>
              <w:tabs>
                <w:tab w:val="clear" w:pos="7100"/>
              </w:tabs>
              <w:spacing w:line="240" w:lineRule="auto"/>
              <w:jc w:val="right"/>
              <w:textAlignment w:val="bottom"/>
              <w:rPr>
                <w:rFonts w:cs="Arial"/>
                <w:sz w:val="14"/>
                <w:szCs w:val="14"/>
                <w:lang w:val="en-US" w:eastAsia="en-GB"/>
              </w:rPr>
            </w:pPr>
            <w:r w:rsidRPr="001E5BF5">
              <w:rPr>
                <w:rFonts w:cs="Arial"/>
                <w:color w:val="000000"/>
                <w:kern w:val="24"/>
                <w:sz w:val="14"/>
                <w:szCs w:val="14"/>
                <w:lang w:val="en-US" w:eastAsia="en-GB"/>
              </w:rPr>
              <w:t>0.03</w:t>
            </w:r>
          </w:p>
        </w:tc>
      </w:tr>
      <w:tr w:rsidR="001E7A35" w:rsidRPr="001E5BF5" w14:paraId="0606015B" w14:textId="77777777" w:rsidTr="002F1682">
        <w:trPr>
          <w:trHeight w:val="190"/>
        </w:trPr>
        <w:tc>
          <w:tcPr>
            <w:tcW w:w="762"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9622B82"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Mycelium Growth</w:t>
            </w:r>
          </w:p>
        </w:tc>
        <w:tc>
          <w:tcPr>
            <w:tcW w:w="399"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462C1FD3"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w:t>
            </w:r>
          </w:p>
        </w:tc>
        <w:tc>
          <w:tcPr>
            <w:tcW w:w="37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5CDB666" w14:textId="77777777" w:rsidR="00782BF5" w:rsidRPr="001E5BF5" w:rsidRDefault="00782BF5" w:rsidP="002F1682">
            <w:pPr>
              <w:tabs>
                <w:tab w:val="clear" w:pos="7100"/>
              </w:tabs>
              <w:spacing w:line="240" w:lineRule="auto"/>
              <w:jc w:val="center"/>
              <w:textAlignment w:val="center"/>
              <w:rPr>
                <w:rFonts w:cs="Arial"/>
                <w:sz w:val="14"/>
                <w:szCs w:val="14"/>
                <w:lang w:val="en-US" w:eastAsia="en-GB"/>
              </w:rPr>
            </w:pPr>
            <w:r w:rsidRPr="001E5BF5">
              <w:rPr>
                <w:rFonts w:cs="Arial"/>
                <w:color w:val="000000"/>
                <w:kern w:val="24"/>
                <w:sz w:val="14"/>
                <w:szCs w:val="14"/>
                <w:lang w:val="en-US" w:eastAsia="en-GB"/>
              </w:rPr>
              <w:t>-</w:t>
            </w:r>
          </w:p>
        </w:tc>
        <w:tc>
          <w:tcPr>
            <w:tcW w:w="438"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FDB2B3D" w14:textId="282C8B00"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4</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3</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2</w:t>
            </w:r>
          </w:p>
        </w:tc>
        <w:tc>
          <w:tcPr>
            <w:tcW w:w="395"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616A83C" w14:textId="74F757B4"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2</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2</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1</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5E410745" w14:textId="40CE4B3F"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 xml:space="preserve">3 </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3 </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3</w:t>
            </w:r>
          </w:p>
        </w:tc>
        <w:tc>
          <w:tcPr>
            <w:tcW w:w="440"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7FC0DD78" w14:textId="65141C0F"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4</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4</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3</w:t>
            </w:r>
          </w:p>
        </w:tc>
        <w:tc>
          <w:tcPr>
            <w:tcW w:w="433"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4FD4B04" w14:textId="4B7A231C"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4</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4 </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3</w:t>
            </w:r>
          </w:p>
        </w:tc>
        <w:tc>
          <w:tcPr>
            <w:tcW w:w="437"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2433AD33" w14:textId="02674B6A"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3</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3 </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2</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6D8841B6" w14:textId="4D177A20"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2</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2  </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1</w:t>
            </w:r>
          </w:p>
        </w:tc>
        <w:tc>
          <w:tcPr>
            <w:tcW w:w="441" w:type="pct"/>
            <w:tcBorders>
              <w:top w:val="single" w:sz="4" w:space="0" w:color="4F6228" w:themeColor="accent3" w:themeShade="80"/>
              <w:bottom w:val="single" w:sz="4" w:space="0" w:color="4F6228" w:themeColor="accent3" w:themeShade="80"/>
            </w:tcBorders>
            <w:shd w:val="clear" w:color="auto" w:fill="auto"/>
            <w:tcMar>
              <w:top w:w="15" w:type="dxa"/>
              <w:left w:w="15" w:type="dxa"/>
              <w:bottom w:w="0" w:type="dxa"/>
              <w:right w:w="15" w:type="dxa"/>
            </w:tcMar>
            <w:vAlign w:val="center"/>
            <w:hideMark/>
          </w:tcPr>
          <w:p w14:paraId="1F4DC833" w14:textId="737A8B66" w:rsidR="00782BF5" w:rsidRPr="001E5BF5" w:rsidRDefault="00782BF5" w:rsidP="002F1682">
            <w:pPr>
              <w:tabs>
                <w:tab w:val="clear" w:pos="7100"/>
              </w:tabs>
              <w:spacing w:line="240" w:lineRule="auto"/>
              <w:jc w:val="right"/>
              <w:textAlignment w:val="center"/>
              <w:rPr>
                <w:rFonts w:cs="Arial"/>
                <w:sz w:val="14"/>
                <w:szCs w:val="14"/>
                <w:lang w:val="en-US" w:eastAsia="en-GB"/>
              </w:rPr>
            </w:pPr>
            <w:r w:rsidRPr="001E5BF5">
              <w:rPr>
                <w:rFonts w:cs="Arial"/>
                <w:color w:val="000000"/>
                <w:kern w:val="24"/>
                <w:sz w:val="14"/>
                <w:szCs w:val="14"/>
                <w:lang w:val="en-US" w:eastAsia="en-GB"/>
              </w:rPr>
              <w:t xml:space="preserve">3 </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2</w:t>
            </w:r>
            <w:r w:rsidR="00DF16B4">
              <w:rPr>
                <w:rFonts w:cs="Arial"/>
                <w:color w:val="000000"/>
                <w:kern w:val="24"/>
                <w:sz w:val="14"/>
                <w:szCs w:val="14"/>
                <w:lang w:val="en-US" w:eastAsia="en-GB"/>
              </w:rPr>
              <w:t xml:space="preserve"> </w:t>
            </w:r>
            <w:r w:rsidRPr="001E5BF5">
              <w:rPr>
                <w:rFonts w:cs="Arial"/>
                <w:color w:val="000000"/>
                <w:kern w:val="24"/>
                <w:sz w:val="14"/>
                <w:szCs w:val="14"/>
                <w:lang w:val="en-US" w:eastAsia="en-GB"/>
              </w:rPr>
              <w:t xml:space="preserve">  1</w:t>
            </w:r>
          </w:p>
        </w:tc>
      </w:tr>
      <w:tr w:rsidR="001E7A35" w:rsidRPr="001E5BF5" w14:paraId="62008446" w14:textId="77777777" w:rsidTr="002F1682">
        <w:trPr>
          <w:trHeight w:val="190"/>
        </w:trPr>
        <w:tc>
          <w:tcPr>
            <w:tcW w:w="762"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2F6EB5B5" w14:textId="77777777" w:rsidR="00782BF5" w:rsidRPr="002F1682" w:rsidRDefault="00782BF5" w:rsidP="00782BF5">
            <w:pPr>
              <w:tabs>
                <w:tab w:val="clear" w:pos="7100"/>
              </w:tabs>
              <w:spacing w:line="240" w:lineRule="auto"/>
              <w:jc w:val="left"/>
              <w:textAlignment w:val="center"/>
              <w:rPr>
                <w:rFonts w:cs="Arial"/>
                <w:sz w:val="14"/>
                <w:szCs w:val="14"/>
                <w:lang w:val="en-US" w:eastAsia="en-GB"/>
              </w:rPr>
            </w:pPr>
            <w:r w:rsidRPr="002F1682">
              <w:rPr>
                <w:rFonts w:cs="Arial"/>
                <w:i/>
                <w:iCs/>
                <w:color w:val="000000"/>
                <w:kern w:val="24"/>
                <w:sz w:val="14"/>
                <w:szCs w:val="14"/>
                <w:lang w:val="en-US" w:eastAsia="en-GB"/>
              </w:rPr>
              <w:t>Codified Name</w:t>
            </w:r>
          </w:p>
        </w:tc>
        <w:tc>
          <w:tcPr>
            <w:tcW w:w="399"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453DBCB1" w14:textId="77777777" w:rsidR="00782BF5" w:rsidRPr="002F1682" w:rsidRDefault="00782BF5" w:rsidP="002F1682">
            <w:pPr>
              <w:tabs>
                <w:tab w:val="clear" w:pos="7100"/>
              </w:tabs>
              <w:spacing w:line="240" w:lineRule="auto"/>
              <w:jc w:val="right"/>
              <w:textAlignment w:val="center"/>
              <w:rPr>
                <w:rFonts w:cs="Arial"/>
                <w:sz w:val="14"/>
                <w:szCs w:val="14"/>
                <w:lang w:val="en-US" w:eastAsia="en-GB"/>
              </w:rPr>
            </w:pPr>
            <w:r w:rsidRPr="002F1682">
              <w:rPr>
                <w:rFonts w:cs="Arial"/>
                <w:i/>
                <w:iCs/>
                <w:color w:val="000000"/>
                <w:kern w:val="24"/>
                <w:sz w:val="14"/>
                <w:szCs w:val="14"/>
                <w:lang w:val="en-US" w:eastAsia="en-GB"/>
              </w:rPr>
              <w:t>[-]</w:t>
            </w:r>
          </w:p>
        </w:tc>
        <w:tc>
          <w:tcPr>
            <w:tcW w:w="375"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6C7CA744" w14:textId="77777777" w:rsidR="00782BF5" w:rsidRPr="001E5BF5" w:rsidRDefault="00782BF5" w:rsidP="002F1682">
            <w:pPr>
              <w:tabs>
                <w:tab w:val="clear" w:pos="7100"/>
              </w:tabs>
              <w:spacing w:line="240" w:lineRule="auto"/>
              <w:jc w:val="center"/>
              <w:textAlignment w:val="center"/>
              <w:rPr>
                <w:rFonts w:cs="Arial"/>
                <w:sz w:val="14"/>
                <w:szCs w:val="14"/>
                <w:lang w:val="en-US" w:eastAsia="en-GB"/>
              </w:rPr>
            </w:pPr>
            <w:r w:rsidRPr="001E5BF5">
              <w:rPr>
                <w:rFonts w:cs="Arial"/>
                <w:color w:val="000000"/>
                <w:kern w:val="24"/>
                <w:sz w:val="14"/>
                <w:szCs w:val="14"/>
                <w:lang w:val="en-US" w:eastAsia="en-GB"/>
              </w:rPr>
              <w:t>-</w:t>
            </w:r>
          </w:p>
        </w:tc>
        <w:tc>
          <w:tcPr>
            <w:tcW w:w="438"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0529DB29"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I/32/50/10/A</w:t>
            </w:r>
          </w:p>
        </w:tc>
        <w:tc>
          <w:tcPr>
            <w:tcW w:w="395"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31C96653"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I/32/50/10/B</w:t>
            </w:r>
          </w:p>
        </w:tc>
        <w:tc>
          <w:tcPr>
            <w:tcW w:w="440"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16673AFF"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II/32/50/10/B</w:t>
            </w:r>
          </w:p>
        </w:tc>
        <w:tc>
          <w:tcPr>
            <w:tcW w:w="440"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114F0EFF"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II/32/70/10/B</w:t>
            </w:r>
          </w:p>
        </w:tc>
        <w:tc>
          <w:tcPr>
            <w:tcW w:w="433"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20FF159E" w14:textId="5AA8C84B"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III/32/70/10/</w:t>
            </w:r>
            <w:r w:rsidR="00121D3D" w:rsidRPr="002F1682">
              <w:rPr>
                <w:rFonts w:cs="Arial"/>
                <w:i/>
                <w:iCs/>
                <w:color w:val="000000"/>
                <w:kern w:val="24"/>
                <w:sz w:val="12"/>
                <w:szCs w:val="12"/>
                <w:lang w:val="en-US" w:eastAsia="en-GB"/>
              </w:rPr>
              <w:t>A</w:t>
            </w:r>
          </w:p>
        </w:tc>
        <w:tc>
          <w:tcPr>
            <w:tcW w:w="437"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74ED2516"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III/32/70/10/C</w:t>
            </w:r>
          </w:p>
        </w:tc>
        <w:tc>
          <w:tcPr>
            <w:tcW w:w="441"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48B4C343"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IV/35/70/10/B</w:t>
            </w:r>
          </w:p>
        </w:tc>
        <w:tc>
          <w:tcPr>
            <w:tcW w:w="441" w:type="pct"/>
            <w:tcBorders>
              <w:top w:val="single" w:sz="4" w:space="0" w:color="4F6228" w:themeColor="accent3" w:themeShade="80"/>
              <w:bottom w:val="single" w:sz="8" w:space="0" w:color="4F6228" w:themeColor="accent3" w:themeShade="80"/>
            </w:tcBorders>
            <w:shd w:val="clear" w:color="auto" w:fill="auto"/>
            <w:tcMar>
              <w:top w:w="15" w:type="dxa"/>
              <w:left w:w="15" w:type="dxa"/>
              <w:bottom w:w="0" w:type="dxa"/>
              <w:right w:w="15" w:type="dxa"/>
            </w:tcMar>
            <w:vAlign w:val="center"/>
            <w:hideMark/>
          </w:tcPr>
          <w:p w14:paraId="59B3CE5C" w14:textId="77777777" w:rsidR="00782BF5" w:rsidRPr="002F1682" w:rsidRDefault="00782BF5" w:rsidP="002F1682">
            <w:pPr>
              <w:tabs>
                <w:tab w:val="clear" w:pos="7100"/>
              </w:tabs>
              <w:spacing w:line="240" w:lineRule="auto"/>
              <w:jc w:val="right"/>
              <w:textAlignment w:val="center"/>
              <w:rPr>
                <w:rFonts w:cs="Arial"/>
                <w:i/>
                <w:iCs/>
                <w:sz w:val="12"/>
                <w:szCs w:val="12"/>
                <w:lang w:val="en-US" w:eastAsia="en-GB"/>
              </w:rPr>
            </w:pPr>
            <w:r w:rsidRPr="002F1682">
              <w:rPr>
                <w:rFonts w:cs="Arial"/>
                <w:i/>
                <w:iCs/>
                <w:color w:val="000000"/>
                <w:kern w:val="24"/>
                <w:sz w:val="12"/>
                <w:szCs w:val="12"/>
                <w:lang w:val="en-US" w:eastAsia="en-GB"/>
              </w:rPr>
              <w:t>IV/35/70/15/B</w:t>
            </w:r>
          </w:p>
        </w:tc>
      </w:tr>
    </w:tbl>
    <w:p w14:paraId="194B1ACA" w14:textId="714F74F9" w:rsidR="00782BF5" w:rsidRPr="001E5BF5" w:rsidRDefault="00782BF5" w:rsidP="00BB2B02">
      <w:pPr>
        <w:pStyle w:val="CETBodytext"/>
      </w:pPr>
    </w:p>
    <w:p w14:paraId="65E4424C" w14:textId="75C502FB" w:rsidR="000C711C" w:rsidRPr="001E5BF5" w:rsidRDefault="00977BF5" w:rsidP="00BB2B02">
      <w:pPr>
        <w:pStyle w:val="CETBodytext"/>
      </w:pPr>
      <w:r w:rsidRPr="001E5BF5">
        <w:t>Hence, this method provides a suggestive approximate value of the total protein concentration for the complex matrices containing mixtures of different proteins</w:t>
      </w:r>
      <w:r w:rsidR="007A0C30" w:rsidRPr="001E5BF5">
        <w:t xml:space="preserve"> </w:t>
      </w:r>
      <w:r w:rsidR="0051534D" w:rsidRPr="0051534D">
        <w:t>(</w:t>
      </w:r>
      <w:proofErr w:type="spellStart"/>
      <w:r w:rsidR="0051534D" w:rsidRPr="0051534D">
        <w:t>Metsämuuronen</w:t>
      </w:r>
      <w:proofErr w:type="spellEnd"/>
      <w:r w:rsidR="004C11C1">
        <w:t xml:space="preserve"> et al.</w:t>
      </w:r>
      <w:r w:rsidR="0051534D" w:rsidRPr="0051534D">
        <w:t>, 2011)</w:t>
      </w:r>
      <w:r w:rsidRPr="001E5BF5">
        <w:t>.</w:t>
      </w:r>
      <w:r w:rsidR="007A0C30" w:rsidRPr="001E5BF5">
        <w:t xml:space="preserve"> In any case, the protein enrichment obtained in the homogenized samples may be due to the proteolytic fungal activity, which further makes the complex proteins in BSG more available in the liquid phase and </w:t>
      </w:r>
      <w:r w:rsidR="007941E9" w:rsidRPr="001E5BF5">
        <w:t xml:space="preserve">also </w:t>
      </w:r>
      <w:r w:rsidR="007A0C30" w:rsidRPr="001E5BF5">
        <w:t xml:space="preserve">due to the growth of biomass (i.e., </w:t>
      </w:r>
      <w:r w:rsidR="0098265E" w:rsidRPr="001E5BF5">
        <w:t xml:space="preserve">enrichment in </w:t>
      </w:r>
      <w:r w:rsidR="009E3A43" w:rsidRPr="001E5BF5">
        <w:t>fungal</w:t>
      </w:r>
      <w:r w:rsidR="009E3A43">
        <w:t xml:space="preserve"> </w:t>
      </w:r>
      <w:r w:rsidR="0098265E" w:rsidRPr="001E5BF5">
        <w:t>SCP</w:t>
      </w:r>
      <w:r w:rsidR="007A0C30" w:rsidRPr="001E5BF5">
        <w:t xml:space="preserve">) and its </w:t>
      </w:r>
      <w:r w:rsidR="0098265E" w:rsidRPr="001E5BF5">
        <w:t xml:space="preserve">(partial) </w:t>
      </w:r>
      <w:r w:rsidR="007A0C30" w:rsidRPr="001E5BF5">
        <w:t>disruption during the homogenization step.</w:t>
      </w:r>
      <w:r w:rsidR="003006EB" w:rsidRPr="001E5BF5">
        <w:t xml:space="preserve"> </w:t>
      </w:r>
      <w:r w:rsidR="000C711C" w:rsidRPr="001E5BF5">
        <w:t xml:space="preserve">Measurements of pH and titratable acidity followed consistent trends; starting from a pH of c. 5.9 of the BSG </w:t>
      </w:r>
      <w:r w:rsidR="007C3CBB" w:rsidRPr="001E5BF5">
        <w:t xml:space="preserve">then </w:t>
      </w:r>
      <w:r w:rsidR="000C711C" w:rsidRPr="001E5BF5">
        <w:t xml:space="preserve">a slight acidification was obtained in the SSF systems with final pH values in the </w:t>
      </w:r>
      <w:r w:rsidR="007C3CBB" w:rsidRPr="001E5BF5">
        <w:t xml:space="preserve">4.7-5.8 </w:t>
      </w:r>
      <w:r w:rsidR="000C711C" w:rsidRPr="001E5BF5">
        <w:t xml:space="preserve">range. The TA parameter indicated that the production of titratable acids with respect to the initial condition </w:t>
      </w:r>
      <w:r w:rsidR="007C3CBB" w:rsidRPr="001E5BF5">
        <w:t xml:space="preserve">considerably </w:t>
      </w:r>
      <w:r w:rsidR="000C711C" w:rsidRPr="001E5BF5">
        <w:t xml:space="preserve">increased, the final values </w:t>
      </w:r>
      <w:r w:rsidR="007C3CBB" w:rsidRPr="001E5BF5">
        <w:t xml:space="preserve">that </w:t>
      </w:r>
      <w:r w:rsidR="000C711C" w:rsidRPr="001E5BF5">
        <w:t>increased from 42 - 350% compared to the starting</w:t>
      </w:r>
      <w:r w:rsidR="00582B4C" w:rsidRPr="001E5BF5">
        <w:t xml:space="preserve"> </w:t>
      </w:r>
      <w:r w:rsidR="007941E9" w:rsidRPr="001E5BF5">
        <w:t>values</w:t>
      </w:r>
      <w:r w:rsidR="000C711C" w:rsidRPr="001E5BF5">
        <w:t>.</w:t>
      </w:r>
      <w:r w:rsidR="007C3CBB" w:rsidRPr="001E5BF5">
        <w:t xml:space="preserve"> </w:t>
      </w:r>
    </w:p>
    <w:p w14:paraId="54116B1F" w14:textId="42BC2A46" w:rsidR="004C11C1" w:rsidRDefault="004C11C1" w:rsidP="0093351D">
      <w:pPr>
        <w:pStyle w:val="CETBodytext"/>
      </w:pPr>
      <w:r w:rsidRPr="001E5BF5">
        <w:rPr>
          <w:noProof/>
        </w:rPr>
        <w:drawing>
          <wp:inline distT="0" distB="0" distL="0" distR="0" wp14:anchorId="47AEA8DB" wp14:editId="7F7ED215">
            <wp:extent cx="4409440" cy="2295525"/>
            <wp:effectExtent l="0" t="0" r="0" b="9525"/>
            <wp:docPr id="8" name="Picture 2">
              <a:extLst xmlns:a="http://schemas.openxmlformats.org/drawingml/2006/main">
                <a:ext uri="{FF2B5EF4-FFF2-40B4-BE49-F238E27FC236}">
                  <a16:creationId xmlns:a16="http://schemas.microsoft.com/office/drawing/2014/main" id="{23574EDD-86AF-424E-B193-1E78992050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574EDD-86AF-424E-B193-1E7899205079}"/>
                        </a:ext>
                      </a:extLst>
                    </pic:cNvPr>
                    <pic:cNvPicPr>
                      <a:picLocks noChangeAspect="1"/>
                    </pic:cNvPicPr>
                  </pic:nvPicPr>
                  <pic:blipFill>
                    <a:blip r:embed="rId15"/>
                    <a:stretch>
                      <a:fillRect/>
                    </a:stretch>
                  </pic:blipFill>
                  <pic:spPr>
                    <a:xfrm>
                      <a:off x="0" y="0"/>
                      <a:ext cx="4492236" cy="2338628"/>
                    </a:xfrm>
                    <a:prstGeom prst="rect">
                      <a:avLst/>
                    </a:prstGeom>
                  </pic:spPr>
                </pic:pic>
              </a:graphicData>
            </a:graphic>
          </wp:inline>
        </w:drawing>
      </w:r>
    </w:p>
    <w:p w14:paraId="141C3C50" w14:textId="77777777" w:rsidR="004C11C1" w:rsidRPr="001E5BF5" w:rsidRDefault="004C11C1" w:rsidP="004C11C1">
      <w:pPr>
        <w:pStyle w:val="CETCaption"/>
        <w:rPr>
          <w:lang w:val="en-US"/>
        </w:rPr>
      </w:pPr>
      <w:r w:rsidRPr="001E5BF5">
        <w:rPr>
          <w:lang w:val="en-US"/>
        </w:rPr>
        <w:t xml:space="preserve">Figure 4. Epi-illuminated micrographs of a) initial surface mycelium growth, b) increased surface mycelium density, and focus-stacked micrographs of transversal cuts showing the penetrative mycelium and the cake formation (c and d).  </w:t>
      </w:r>
    </w:p>
    <w:p w14:paraId="2E27E3C3" w14:textId="39CAE2B2" w:rsidR="0093351D" w:rsidRPr="001E5BF5" w:rsidRDefault="000C711C" w:rsidP="0093351D">
      <w:pPr>
        <w:pStyle w:val="CETBodytext"/>
      </w:pPr>
      <w:r w:rsidRPr="001E5BF5">
        <w:t xml:space="preserve">The growth of </w:t>
      </w:r>
      <w:r w:rsidRPr="001E5BF5">
        <w:rPr>
          <w:i/>
          <w:iCs/>
        </w:rPr>
        <w:t xml:space="preserve">R. </w:t>
      </w:r>
      <w:proofErr w:type="spellStart"/>
      <w:r w:rsidRPr="001E5BF5">
        <w:rPr>
          <w:i/>
          <w:iCs/>
        </w:rPr>
        <w:t>oligosporus</w:t>
      </w:r>
      <w:proofErr w:type="spellEnd"/>
      <w:r w:rsidRPr="001E5BF5">
        <w:t xml:space="preserve"> has been widely described as a two-stage process: a first </w:t>
      </w:r>
      <w:r w:rsidR="007941E9" w:rsidRPr="001E5BF5">
        <w:t xml:space="preserve">one, consisting of </w:t>
      </w:r>
      <w:r w:rsidRPr="001E5BF5">
        <w:t>spore germination and initial mycelium formation</w:t>
      </w:r>
      <w:r w:rsidR="0098265E" w:rsidRPr="001E5BF5">
        <w:t xml:space="preserve"> (see </w:t>
      </w:r>
      <w:r w:rsidR="0098265E" w:rsidRPr="002F1682">
        <w:t>Figure 4a</w:t>
      </w:r>
      <w:r w:rsidR="0098265E" w:rsidRPr="001E5BF5">
        <w:t>)</w:t>
      </w:r>
      <w:r w:rsidRPr="001E5BF5">
        <w:t xml:space="preserve">, while the second stage consists in the </w:t>
      </w:r>
      <w:r w:rsidR="007941E9" w:rsidRPr="001E5BF5">
        <w:t xml:space="preserve">increase of </w:t>
      </w:r>
      <w:r w:rsidR="00582B4C" w:rsidRPr="001E5BF5">
        <w:t xml:space="preserve">the surface </w:t>
      </w:r>
      <w:r w:rsidRPr="001E5BF5">
        <w:t xml:space="preserve">mycelium density </w:t>
      </w:r>
      <w:r w:rsidR="0098265E" w:rsidRPr="001E5BF5">
        <w:t>(</w:t>
      </w:r>
      <w:r w:rsidR="0098265E" w:rsidRPr="002F1682">
        <w:t>Figure 4b</w:t>
      </w:r>
      <w:r w:rsidR="0098265E" w:rsidRPr="001E5BF5">
        <w:t>)</w:t>
      </w:r>
      <w:r w:rsidRPr="001E5BF5">
        <w:t xml:space="preserve"> </w:t>
      </w:r>
      <w:r w:rsidR="00582B4C" w:rsidRPr="001E5BF5">
        <w:t>coupled</w:t>
      </w:r>
      <w:r w:rsidRPr="001E5BF5">
        <w:t xml:space="preserve"> to further penetrative</w:t>
      </w:r>
      <w:r w:rsidR="0098265E" w:rsidRPr="001E5BF5">
        <w:t xml:space="preserve"> (</w:t>
      </w:r>
      <w:r w:rsidR="0098265E" w:rsidRPr="002F1682">
        <w:t>Figure 4c and 4d</w:t>
      </w:r>
      <w:r w:rsidR="0098265E" w:rsidRPr="001E5BF5">
        <w:t>)</w:t>
      </w:r>
      <w:r w:rsidRPr="001E5BF5">
        <w:t xml:space="preserve"> growth. </w:t>
      </w:r>
      <w:r w:rsidR="007941E9" w:rsidRPr="001E5BF5">
        <w:t>In general, t</w:t>
      </w:r>
      <w:r w:rsidRPr="001E5BF5">
        <w:t xml:space="preserve">he results </w:t>
      </w:r>
      <w:r w:rsidR="003E161F">
        <w:t>demonstrated</w:t>
      </w:r>
      <w:r w:rsidR="009E3A43" w:rsidRPr="001E5BF5">
        <w:t xml:space="preserve"> </w:t>
      </w:r>
      <w:r w:rsidRPr="001E5BF5">
        <w:t xml:space="preserve">that the growth of </w:t>
      </w:r>
      <w:r w:rsidRPr="001E5BF5">
        <w:rPr>
          <w:i/>
          <w:iCs/>
        </w:rPr>
        <w:t xml:space="preserve">R. </w:t>
      </w:r>
      <w:proofErr w:type="spellStart"/>
      <w:r w:rsidRPr="001E5BF5">
        <w:rPr>
          <w:i/>
          <w:iCs/>
        </w:rPr>
        <w:t>oligosporus</w:t>
      </w:r>
      <w:proofErr w:type="spellEnd"/>
      <w:r w:rsidRPr="001E5BF5">
        <w:t xml:space="preserve"> on BSG is possible</w:t>
      </w:r>
      <w:r w:rsidR="003E161F">
        <w:t xml:space="preserve"> in open SSF</w:t>
      </w:r>
      <w:r w:rsidRPr="001E5BF5">
        <w:t xml:space="preserve">. However, not all </w:t>
      </w:r>
      <w:r w:rsidR="007941E9" w:rsidRPr="001E5BF5">
        <w:t xml:space="preserve">the </w:t>
      </w:r>
      <w:r w:rsidRPr="001E5BF5">
        <w:t>tested conditions resulted in the formation of the well-formed compact cakes of BSG tempeh</w:t>
      </w:r>
      <w:r w:rsidR="0098265E" w:rsidRPr="001E5BF5">
        <w:t xml:space="preserve">, although </w:t>
      </w:r>
      <w:r w:rsidR="0098265E" w:rsidRPr="001E5BF5">
        <w:lastRenderedPageBreak/>
        <w:t xml:space="preserve">protein enrichment </w:t>
      </w:r>
      <w:r w:rsidR="007941E9" w:rsidRPr="001E5BF5">
        <w:t xml:space="preserve">in </w:t>
      </w:r>
      <w:r w:rsidR="0098265E" w:rsidRPr="001E5BF5">
        <w:t xml:space="preserve">the homogenized samples was found for all </w:t>
      </w:r>
      <w:r w:rsidR="00582B4C" w:rsidRPr="001E5BF5">
        <w:t>systems</w:t>
      </w:r>
      <w:r w:rsidR="00782BF5" w:rsidRPr="001E5BF5">
        <w:t xml:space="preserve">. As shown in </w:t>
      </w:r>
      <w:r w:rsidR="00782BF5" w:rsidRPr="002F1682">
        <w:t xml:space="preserve">Table </w:t>
      </w:r>
      <w:r w:rsidR="0098265E" w:rsidRPr="002F1682">
        <w:t>1</w:t>
      </w:r>
      <w:r w:rsidR="00782BF5" w:rsidRPr="001E5BF5">
        <w:t xml:space="preserve">, </w:t>
      </w:r>
      <w:r w:rsidR="00C26743" w:rsidRPr="001E5BF5">
        <w:t xml:space="preserve">there were differences in the final </w:t>
      </w:r>
      <w:r w:rsidR="00582B4C" w:rsidRPr="001E5BF5">
        <w:t xml:space="preserve">mycelium growth (visual assessments) </w:t>
      </w:r>
      <w:r w:rsidR="00C26743" w:rsidRPr="001E5BF5">
        <w:t xml:space="preserve">within the same batch and between batches. </w:t>
      </w:r>
      <w:r w:rsidR="0098265E" w:rsidRPr="001E5BF5">
        <w:t>The q</w:t>
      </w:r>
      <w:r w:rsidR="00C26743" w:rsidRPr="001E5BF5">
        <w:t xml:space="preserve">ualitative </w:t>
      </w:r>
      <w:r w:rsidR="0098265E" w:rsidRPr="001E5BF5">
        <w:t xml:space="preserve">visual </w:t>
      </w:r>
      <w:r w:rsidR="00C26743" w:rsidRPr="001E5BF5">
        <w:t xml:space="preserve">evaluation is presented for each sample within batches to </w:t>
      </w:r>
      <w:r w:rsidR="0098265E" w:rsidRPr="001E5BF5">
        <w:t>serve as</w:t>
      </w:r>
      <w:r w:rsidR="00C26743" w:rsidRPr="001E5BF5">
        <w:t xml:space="preserve"> homogeneity</w:t>
      </w:r>
      <w:r w:rsidR="0098265E" w:rsidRPr="001E5BF5">
        <w:t xml:space="preserve"> indicator</w:t>
      </w:r>
      <w:r w:rsidR="00C26743" w:rsidRPr="001E5BF5">
        <w:t xml:space="preserve">. The best </w:t>
      </w:r>
      <w:r w:rsidR="0098265E" w:rsidRPr="001E5BF5">
        <w:t>mycelium growth with proper cake formation</w:t>
      </w:r>
      <w:r w:rsidR="0098265E" w:rsidRPr="001E5BF5">
        <w:rPr>
          <w:color w:val="FF0000"/>
        </w:rPr>
        <w:t xml:space="preserve"> </w:t>
      </w:r>
      <w:r w:rsidR="00C26743" w:rsidRPr="001E5BF5">
        <w:t xml:space="preserve">and </w:t>
      </w:r>
      <w:r w:rsidR="004D4BF0" w:rsidRPr="001E5BF5">
        <w:t xml:space="preserve">the </w:t>
      </w:r>
      <w:r w:rsidR="00C26743" w:rsidRPr="001E5BF5">
        <w:t xml:space="preserve">greater homogeneity </w:t>
      </w:r>
      <w:r w:rsidR="0098265E" w:rsidRPr="001E5BF5">
        <w:t>with</w:t>
      </w:r>
      <w:r w:rsidR="00C26743" w:rsidRPr="001E5BF5">
        <w:t xml:space="preserve">in the batch </w:t>
      </w:r>
      <w:r w:rsidR="0098265E" w:rsidRPr="001E5BF5">
        <w:t>corresponded to</w:t>
      </w:r>
      <w:r w:rsidR="00C26743" w:rsidRPr="001E5BF5">
        <w:t xml:space="preserve"> operating conditions </w:t>
      </w:r>
      <w:r w:rsidR="0098265E" w:rsidRPr="001E5BF5">
        <w:t xml:space="preserve">of </w:t>
      </w:r>
      <w:r w:rsidR="00C26743" w:rsidRPr="001E5BF5">
        <w:t xml:space="preserve">temperature </w:t>
      </w:r>
      <w:r w:rsidR="0098265E" w:rsidRPr="001E5BF5">
        <w:t>30-32</w:t>
      </w:r>
      <w:r w:rsidR="00C26743" w:rsidRPr="001E5BF5">
        <w:t xml:space="preserve"> °C, 70 g of</w:t>
      </w:r>
      <w:r w:rsidR="008F407F" w:rsidRPr="001E5BF5">
        <w:t xml:space="preserve"> packed</w:t>
      </w:r>
      <w:r w:rsidR="00C26743" w:rsidRPr="001E5BF5">
        <w:t xml:space="preserve"> BSG</w:t>
      </w:r>
      <w:r w:rsidR="008F407F" w:rsidRPr="001E5BF5">
        <w:t xml:space="preserve"> in the 175 mL bags</w:t>
      </w:r>
      <w:r w:rsidR="00C26743" w:rsidRPr="001E5BF5">
        <w:t>, inocul</w:t>
      </w:r>
      <w:r w:rsidR="008F407F" w:rsidRPr="001E5BF5">
        <w:t>ation with the</w:t>
      </w:r>
      <w:r w:rsidR="00C26743" w:rsidRPr="001E5BF5">
        <w:t xml:space="preserve"> suspension </w:t>
      </w:r>
      <w:r w:rsidR="004D4BF0" w:rsidRPr="001E5BF5">
        <w:t>(</w:t>
      </w:r>
      <w:r w:rsidR="00C26743" w:rsidRPr="001E5BF5">
        <w:t xml:space="preserve">10% </w:t>
      </w:r>
      <w:r w:rsidR="00C26743" w:rsidRPr="001E5BF5">
        <w:rPr>
          <w:i/>
          <w:iCs/>
        </w:rPr>
        <w:t>v/m</w:t>
      </w:r>
      <w:r w:rsidR="004D4BF0" w:rsidRPr="001E5BF5">
        <w:rPr>
          <w:i/>
          <w:iCs/>
        </w:rPr>
        <w:t>)</w:t>
      </w:r>
      <w:r w:rsidR="00C26743" w:rsidRPr="001E5BF5">
        <w:t xml:space="preserve"> and using perforation patterns A and B (i</w:t>
      </w:r>
      <w:r w:rsidR="008F407F" w:rsidRPr="001E5BF5">
        <w:t>.</w:t>
      </w:r>
      <w:r w:rsidR="00C26743" w:rsidRPr="001E5BF5">
        <w:t>e</w:t>
      </w:r>
      <w:r w:rsidR="008F407F" w:rsidRPr="001E5BF5">
        <w:t>.</w:t>
      </w:r>
      <w:r w:rsidR="00C26743" w:rsidRPr="001E5BF5">
        <w:t xml:space="preserve">, II /32/70/10/B and III/32/70/10/A). </w:t>
      </w:r>
      <w:r w:rsidR="008A0FE6" w:rsidRPr="001E5BF5">
        <w:t xml:space="preserve">For these batches, only slight acidification occurred (final pH in the 5.6-5.8), weight losses lied in the 8.9-9.6 % of the initial weight and water losses represent 30-40 % of the overall weight losses. Comparing both BSG nominal packing masses, the 50 g systems </w:t>
      </w:r>
      <w:r w:rsidR="006D6CEC">
        <w:t>showed</w:t>
      </w:r>
      <w:r w:rsidR="008A0FE6" w:rsidRPr="001E5BF5">
        <w:t xml:space="preserve"> less visible growth, while the 70 g packed systems exhibited better growth probably due to</w:t>
      </w:r>
      <w:r w:rsidR="004313AA" w:rsidRPr="001E5BF5">
        <w:t xml:space="preserve"> better </w:t>
      </w:r>
      <w:r w:rsidR="004D4BF0" w:rsidRPr="001E5BF5">
        <w:t xml:space="preserve">compacting conditions of the </w:t>
      </w:r>
      <w:r w:rsidR="004313AA" w:rsidRPr="001E5BF5">
        <w:t>bed</w:t>
      </w:r>
      <w:r w:rsidR="008A0FE6" w:rsidRPr="001E5BF5">
        <w:t>. However, the protein enrichment</w:t>
      </w:r>
      <w:r w:rsidR="004D4BF0" w:rsidRPr="001E5BF5">
        <w:t>,</w:t>
      </w:r>
      <w:r w:rsidR="008A0FE6" w:rsidRPr="001E5BF5">
        <w:t xml:space="preserve"> in the homogen</w:t>
      </w:r>
      <w:r w:rsidR="00390222" w:rsidRPr="001E5BF5">
        <w:t>ized samples</w:t>
      </w:r>
      <w:r w:rsidR="004D4BF0" w:rsidRPr="001E5BF5">
        <w:t>,</w:t>
      </w:r>
      <w:r w:rsidR="008A0FE6" w:rsidRPr="001E5BF5">
        <w:t xml:space="preserve"> d</w:t>
      </w:r>
      <w:r w:rsidR="00390222" w:rsidRPr="001E5BF5">
        <w:t>id</w:t>
      </w:r>
      <w:r w:rsidR="008A0FE6" w:rsidRPr="001E5BF5">
        <w:t xml:space="preserve"> not significantly </w:t>
      </w:r>
      <w:r w:rsidR="00390222" w:rsidRPr="001E5BF5">
        <w:t xml:space="preserve">differ based on </w:t>
      </w:r>
      <w:r w:rsidR="008A0FE6" w:rsidRPr="001E5BF5">
        <w:t xml:space="preserve">the nominal mass packed in each </w:t>
      </w:r>
      <w:r w:rsidR="00390222" w:rsidRPr="001E5BF5">
        <w:t>case.</w:t>
      </w:r>
      <w:r w:rsidR="004313AA" w:rsidRPr="001E5BF5">
        <w:t xml:space="preserve"> In contrast, the higher investigated temperatures (IV/35/70/10/B</w:t>
      </w:r>
      <w:r w:rsidR="004313AA" w:rsidRPr="001E5BF5">
        <w:tab/>
        <w:t xml:space="preserve"> and IV/35/70/15/B) resulted in lower growth, either using the medium or</w:t>
      </w:r>
      <w:r w:rsidR="0034315D">
        <w:t xml:space="preserve"> high</w:t>
      </w:r>
      <w:r w:rsidR="004313AA" w:rsidRPr="001E5BF5">
        <w:t xml:space="preserve"> </w:t>
      </w:r>
      <w:r w:rsidR="0034315D">
        <w:t>drilling</w:t>
      </w:r>
      <w:r w:rsidR="004313AA" w:rsidRPr="001E5BF5">
        <w:t xml:space="preserve"> patterns (B and C). These systems also presented higher water losses compared to the mean values ​​(probably due to the higher heat produced in the systems, which is a critical parameter in SSF).</w:t>
      </w:r>
      <w:r w:rsidR="008A0FE6" w:rsidRPr="001E5BF5">
        <w:t xml:space="preserve"> </w:t>
      </w:r>
      <w:r w:rsidR="0093351D" w:rsidRPr="001E5BF5">
        <w:rPr>
          <w:i/>
          <w:iCs/>
        </w:rPr>
        <w:t xml:space="preserve">Rhizopus </w:t>
      </w:r>
      <w:proofErr w:type="spellStart"/>
      <w:r w:rsidR="0093351D" w:rsidRPr="001E5BF5">
        <w:rPr>
          <w:i/>
          <w:iCs/>
        </w:rPr>
        <w:t>oligosporus</w:t>
      </w:r>
      <w:proofErr w:type="spellEnd"/>
      <w:r w:rsidR="0093351D" w:rsidRPr="001E5BF5">
        <w:t xml:space="preserve"> is widely known for its strong protease and lipase activities; as well as for its limited amylolytic capacity</w:t>
      </w:r>
      <w:r w:rsidR="0051534D">
        <w:t xml:space="preserve"> </w:t>
      </w:r>
      <w:r w:rsidR="0051534D" w:rsidRPr="0051534D">
        <w:t>(Shurtleff and Aoyagi, 2001)</w:t>
      </w:r>
      <w:r w:rsidR="0093351D" w:rsidRPr="001E5BF5">
        <w:t>. Th</w:t>
      </w:r>
      <w:r w:rsidR="004D4BF0" w:rsidRPr="001E5BF5">
        <w:t>ese metabolic properties</w:t>
      </w:r>
      <w:r w:rsidR="0093351D" w:rsidRPr="001E5BF5">
        <w:t xml:space="preserve"> explain the good compatibility between the BSG matrix and the mold under study.</w:t>
      </w:r>
    </w:p>
    <w:p w14:paraId="726DEF8E" w14:textId="77777777" w:rsidR="00BB2B02" w:rsidRPr="001E5BF5" w:rsidRDefault="00BB2B02" w:rsidP="00BB2B02">
      <w:pPr>
        <w:pStyle w:val="CETHeading1"/>
      </w:pPr>
      <w:r w:rsidRPr="001E5BF5">
        <w:t>Conclusions</w:t>
      </w:r>
    </w:p>
    <w:p w14:paraId="10DF2A14" w14:textId="14A077DF" w:rsidR="004313AA" w:rsidRPr="001E5BF5" w:rsidRDefault="00390222" w:rsidP="004313AA">
      <w:pPr>
        <w:pStyle w:val="CETBodytext"/>
      </w:pPr>
      <w:r w:rsidRPr="001E5BF5">
        <w:t>In this study, a</w:t>
      </w:r>
      <w:r w:rsidR="004D4BF0" w:rsidRPr="001E5BF5">
        <w:t xml:space="preserve"> new</w:t>
      </w:r>
      <w:r w:rsidRPr="001E5BF5">
        <w:t xml:space="preserve"> approach for the </w:t>
      </w:r>
      <w:r w:rsidR="00582B4C" w:rsidRPr="001E5BF5">
        <w:t>valorization</w:t>
      </w:r>
      <w:r w:rsidRPr="001E5BF5">
        <w:t xml:space="preserve"> of an important residue of the brewing industry</w:t>
      </w:r>
      <w:r w:rsidR="00517D6E" w:rsidRPr="001E5BF5">
        <w:t xml:space="preserve"> (</w:t>
      </w:r>
      <w:r w:rsidRPr="001E5BF5">
        <w:t>BSG</w:t>
      </w:r>
      <w:r w:rsidR="00517D6E" w:rsidRPr="001E5BF5">
        <w:t>)</w:t>
      </w:r>
      <w:r w:rsidRPr="001E5BF5">
        <w:t xml:space="preserve"> was studied. It was determined that the BSG matrix has an autochthonous flora that is predominantly </w:t>
      </w:r>
      <w:r w:rsidR="006D6CEC">
        <w:t>represented by</w:t>
      </w:r>
      <w:r w:rsidRPr="001E5BF5">
        <w:t xml:space="preserve"> bacteria and yeasts, the presence of filamentous fungi was not evidenced </w:t>
      </w:r>
      <w:r w:rsidR="00E2302E">
        <w:t xml:space="preserve">on </w:t>
      </w:r>
      <w:r w:rsidR="0034315D">
        <w:t>MEA</w:t>
      </w:r>
      <w:r w:rsidRPr="001E5BF5">
        <w:t xml:space="preserve"> </w:t>
      </w:r>
      <w:r w:rsidR="00E2302E">
        <w:t>plates</w:t>
      </w:r>
      <w:r w:rsidR="003E161F">
        <w:t xml:space="preserve"> </w:t>
      </w:r>
      <w:r w:rsidR="004313AA" w:rsidRPr="001E5BF5">
        <w:t>(</w:t>
      </w:r>
      <w:r w:rsidRPr="001E5BF5">
        <w:t>10 days</w:t>
      </w:r>
      <w:r w:rsidR="004313AA" w:rsidRPr="001E5BF5">
        <w:t>)</w:t>
      </w:r>
      <w:r w:rsidRPr="001E5BF5">
        <w:t xml:space="preserve">. </w:t>
      </w:r>
      <w:r w:rsidR="004313AA" w:rsidRPr="001E5BF5">
        <w:t>The</w:t>
      </w:r>
      <w:r w:rsidRPr="001E5BF5">
        <w:t xml:space="preserve"> </w:t>
      </w:r>
      <w:r w:rsidR="004313AA" w:rsidRPr="001E5BF5">
        <w:t xml:space="preserve">selected </w:t>
      </w:r>
      <w:r w:rsidRPr="001E5BF5">
        <w:t xml:space="preserve">commercially available strain of </w:t>
      </w:r>
      <w:r w:rsidRPr="001E5BF5">
        <w:rPr>
          <w:i/>
          <w:iCs/>
        </w:rPr>
        <w:t xml:space="preserve">Rhizopus </w:t>
      </w:r>
      <w:proofErr w:type="spellStart"/>
      <w:r w:rsidRPr="001E5BF5">
        <w:rPr>
          <w:i/>
          <w:iCs/>
        </w:rPr>
        <w:t>oligosporus</w:t>
      </w:r>
      <w:proofErr w:type="spellEnd"/>
      <w:r w:rsidRPr="001E5BF5">
        <w:t xml:space="preserve"> </w:t>
      </w:r>
      <w:r w:rsidR="00582B4C" w:rsidRPr="001E5BF5">
        <w:t>was</w:t>
      </w:r>
      <w:r w:rsidRPr="001E5BF5">
        <w:t xml:space="preserve"> capable </w:t>
      </w:r>
      <w:r w:rsidR="00E315E5" w:rsidRPr="001E5BF5">
        <w:t>to grow on</w:t>
      </w:r>
      <w:r w:rsidRPr="001E5BF5">
        <w:t xml:space="preserve"> BSG under open (non-sterile) solid-state fermentation conditions.</w:t>
      </w:r>
      <w:r w:rsidR="004F19F7" w:rsidRPr="001E5BF5">
        <w:t xml:space="preserve"> The present SSF procedure constitutes a good case study of </w:t>
      </w:r>
      <w:r w:rsidR="004F19F7" w:rsidRPr="001E5BF5">
        <w:rPr>
          <w:i/>
          <w:iCs/>
        </w:rPr>
        <w:t>appropriate technology</w:t>
      </w:r>
      <w:r w:rsidR="004F19F7" w:rsidRPr="001E5BF5">
        <w:t xml:space="preserve">, which can be applied to improve </w:t>
      </w:r>
      <w:r w:rsidR="003E161F">
        <w:t>(</w:t>
      </w:r>
      <w:r w:rsidR="004F19F7" w:rsidRPr="003E161F">
        <w:t>home</w:t>
      </w:r>
      <w:r w:rsidR="003E161F" w:rsidRPr="003E161F">
        <w:t>)</w:t>
      </w:r>
      <w:r w:rsidR="004F19F7" w:rsidRPr="003E161F">
        <w:t xml:space="preserve"> tempeh</w:t>
      </w:r>
      <w:r w:rsidR="004F19F7" w:rsidRPr="001E5BF5">
        <w:t xml:space="preserve"> fermentations and/or preliminary studies </w:t>
      </w:r>
      <w:r w:rsidR="00E315E5" w:rsidRPr="001E5BF5">
        <w:t xml:space="preserve">at </w:t>
      </w:r>
      <w:r w:rsidR="004F19F7" w:rsidRPr="001E5BF5">
        <w:t xml:space="preserve">the laboratory scale and to shed light on scale-up possibilities. </w:t>
      </w:r>
      <w:r w:rsidR="004313AA" w:rsidRPr="001E5BF5">
        <w:t xml:space="preserve">The </w:t>
      </w:r>
      <w:r w:rsidR="00517D6E" w:rsidRPr="001E5BF5">
        <w:t xml:space="preserve">obtained </w:t>
      </w:r>
      <w:r w:rsidR="004313AA" w:rsidRPr="001E5BF5">
        <w:t xml:space="preserve">results suggest that the BSG matrix is ​​compatible with </w:t>
      </w:r>
      <w:r w:rsidR="004313AA" w:rsidRPr="001E5BF5">
        <w:rPr>
          <w:i/>
          <w:iCs/>
        </w:rPr>
        <w:t xml:space="preserve">R. </w:t>
      </w:r>
      <w:proofErr w:type="spellStart"/>
      <w:r w:rsidR="004313AA" w:rsidRPr="001E5BF5">
        <w:rPr>
          <w:i/>
          <w:iCs/>
        </w:rPr>
        <w:t>oligosporus</w:t>
      </w:r>
      <w:proofErr w:type="spellEnd"/>
      <w:r w:rsidR="004313AA" w:rsidRPr="001E5BF5">
        <w:t xml:space="preserve">, which could be useful to cultivate SCP (i.e., formulating, for example, food products such as the shown cakes and combining the BSG with other substrates and/or </w:t>
      </w:r>
      <w:r w:rsidR="00582B4C" w:rsidRPr="001E5BF5">
        <w:t>pre-treatments</w:t>
      </w:r>
      <w:r w:rsidR="004313AA" w:rsidRPr="001E5BF5">
        <w:t xml:space="preserve">) or to produce protein-enriched extracts. This would be of great interest to modify the current end-of-life scenario that BSG undergoes and ideally valorize it for human nutrition, thus reducing the HTL. Further research is needed to assess </w:t>
      </w:r>
      <w:r w:rsidR="006D6CEC">
        <w:t>other</w:t>
      </w:r>
      <w:r w:rsidR="006D6CEC" w:rsidRPr="001E5BF5">
        <w:t xml:space="preserve"> </w:t>
      </w:r>
      <w:r w:rsidR="004313AA" w:rsidRPr="001E5BF5">
        <w:t xml:space="preserve">sensory properties of BSG tempeh, to investigate its proteomic profile in this type of SSF, and to characterize potential mycotoxins that might be </w:t>
      </w:r>
      <w:r w:rsidR="00E315E5" w:rsidRPr="001E5BF5">
        <w:t>produced during the fungal growth.</w:t>
      </w:r>
    </w:p>
    <w:p w14:paraId="7B69CAB7" w14:textId="14B66744" w:rsidR="00BB2B02" w:rsidRPr="001E5BF5" w:rsidRDefault="00B806C0" w:rsidP="004F19F7">
      <w:pPr>
        <w:pStyle w:val="CETReference"/>
        <w:rPr>
          <w:lang w:val="en-US"/>
        </w:rPr>
      </w:pPr>
      <w:r w:rsidRPr="001E5BF5">
        <w:rPr>
          <w:lang w:val="en-US"/>
        </w:rPr>
        <w:t>Acknowledgements</w:t>
      </w:r>
    </w:p>
    <w:p w14:paraId="449C8593" w14:textId="398787F2" w:rsidR="00B806C0" w:rsidRPr="001E5BF5" w:rsidRDefault="00B806C0" w:rsidP="00B806C0">
      <w:pPr>
        <w:pStyle w:val="CETBodytext"/>
      </w:pPr>
      <w:r w:rsidRPr="001E5BF5">
        <w:t>The authors kindly thank Andrea Manzini for his valuable support in the experimental tests and data compilation</w:t>
      </w:r>
      <w:r w:rsidR="004C11C1">
        <w:t>, as well as</w:t>
      </w:r>
      <w:r w:rsidR="0034315D">
        <w:t xml:space="preserve"> the </w:t>
      </w:r>
      <w:proofErr w:type="spellStart"/>
      <w:r w:rsidR="0034315D" w:rsidRPr="0034315D">
        <w:t>Birrificio</w:t>
      </w:r>
      <w:proofErr w:type="spellEnd"/>
      <w:r w:rsidR="0034315D" w:rsidRPr="0034315D">
        <w:t xml:space="preserve"> </w:t>
      </w:r>
      <w:proofErr w:type="spellStart"/>
      <w:r w:rsidR="0034315D" w:rsidRPr="0034315D">
        <w:t>Leumann</w:t>
      </w:r>
      <w:proofErr w:type="spellEnd"/>
      <w:r w:rsidR="0034315D">
        <w:t xml:space="preserve"> for supplying the BSG used in this study</w:t>
      </w:r>
      <w:r w:rsidR="004F6D61">
        <w:t>.</w:t>
      </w:r>
    </w:p>
    <w:p w14:paraId="2492CB03" w14:textId="6683D865" w:rsidR="00BB2B02" w:rsidRPr="001E5BF5" w:rsidRDefault="00BB2B02" w:rsidP="00BB2B02">
      <w:pPr>
        <w:pStyle w:val="CETReference"/>
        <w:rPr>
          <w:lang w:val="en-US"/>
        </w:rPr>
      </w:pPr>
      <w:r w:rsidRPr="001E5BF5">
        <w:rPr>
          <w:lang w:val="en-US"/>
        </w:rPr>
        <w:t>References</w:t>
      </w:r>
    </w:p>
    <w:p w14:paraId="1003F675" w14:textId="0CED558F" w:rsidR="0051534D" w:rsidRPr="002F1682" w:rsidRDefault="0051534D" w:rsidP="0051534D">
      <w:pPr>
        <w:pStyle w:val="CETBodytext"/>
        <w:rPr>
          <w:szCs w:val="18"/>
        </w:rPr>
      </w:pPr>
      <w:proofErr w:type="spellStart"/>
      <w:r w:rsidRPr="002F1682">
        <w:rPr>
          <w:szCs w:val="18"/>
        </w:rPr>
        <w:t>Bonhommeau</w:t>
      </w:r>
      <w:proofErr w:type="spellEnd"/>
      <w:r w:rsidRPr="002F1682">
        <w:rPr>
          <w:szCs w:val="18"/>
        </w:rPr>
        <w:t xml:space="preserve"> S. et al.</w:t>
      </w:r>
      <w:r w:rsidR="007555D1">
        <w:rPr>
          <w:szCs w:val="18"/>
        </w:rPr>
        <w:t>,</w:t>
      </w:r>
      <w:r w:rsidRPr="002F1682">
        <w:rPr>
          <w:szCs w:val="18"/>
        </w:rPr>
        <w:t xml:space="preserve"> 2013</w:t>
      </w:r>
      <w:r w:rsidR="007555D1">
        <w:rPr>
          <w:szCs w:val="18"/>
        </w:rPr>
        <w:t>,</w:t>
      </w:r>
      <w:r w:rsidRPr="002F1682">
        <w:rPr>
          <w:szCs w:val="18"/>
        </w:rPr>
        <w:t xml:space="preserve"> Eating up the world’s food web and the human trophic leve</w:t>
      </w:r>
      <w:r w:rsidR="007555D1">
        <w:rPr>
          <w:szCs w:val="18"/>
        </w:rPr>
        <w:t>l</w:t>
      </w:r>
      <w:r w:rsidRPr="002F1682">
        <w:rPr>
          <w:szCs w:val="18"/>
        </w:rPr>
        <w:t>,</w:t>
      </w:r>
      <w:r w:rsidR="00C9287E">
        <w:rPr>
          <w:szCs w:val="18"/>
        </w:rPr>
        <w:t xml:space="preserve"> PNAS,</w:t>
      </w:r>
      <w:r w:rsidRPr="002F1682">
        <w:rPr>
          <w:szCs w:val="18"/>
        </w:rPr>
        <w:t xml:space="preserve"> 110</w:t>
      </w:r>
      <w:r w:rsidR="007555D1">
        <w:rPr>
          <w:szCs w:val="18"/>
        </w:rPr>
        <w:t>(</w:t>
      </w:r>
      <w:r w:rsidRPr="002F1682">
        <w:rPr>
          <w:szCs w:val="18"/>
        </w:rPr>
        <w:t>51</w:t>
      </w:r>
      <w:r w:rsidR="007555D1">
        <w:rPr>
          <w:szCs w:val="18"/>
        </w:rPr>
        <w:t>)</w:t>
      </w:r>
      <w:r w:rsidRPr="002F1682">
        <w:rPr>
          <w:szCs w:val="18"/>
        </w:rPr>
        <w:t>, 2</w:t>
      </w:r>
      <w:r w:rsidR="007555D1">
        <w:rPr>
          <w:szCs w:val="18"/>
        </w:rPr>
        <w:t>t</w:t>
      </w:r>
      <w:r w:rsidRPr="002F1682">
        <w:rPr>
          <w:szCs w:val="18"/>
        </w:rPr>
        <w:t>0617–20620</w:t>
      </w:r>
    </w:p>
    <w:p w14:paraId="0312A932" w14:textId="78E8D131" w:rsidR="0051534D" w:rsidRPr="002F1682" w:rsidRDefault="0051534D" w:rsidP="0051534D">
      <w:pPr>
        <w:pStyle w:val="CETBodytext"/>
        <w:rPr>
          <w:szCs w:val="18"/>
        </w:rPr>
      </w:pPr>
      <w:proofErr w:type="spellStart"/>
      <w:r w:rsidRPr="002F1682">
        <w:rPr>
          <w:szCs w:val="18"/>
        </w:rPr>
        <w:t>Bratosin</w:t>
      </w:r>
      <w:proofErr w:type="spellEnd"/>
      <w:r w:rsidRPr="002F1682">
        <w:rPr>
          <w:szCs w:val="18"/>
        </w:rPr>
        <w:t xml:space="preserve"> B. C., </w:t>
      </w:r>
      <w:proofErr w:type="spellStart"/>
      <w:r w:rsidRPr="002F1682">
        <w:rPr>
          <w:szCs w:val="18"/>
        </w:rPr>
        <w:t>Darjan</w:t>
      </w:r>
      <w:proofErr w:type="spellEnd"/>
      <w:r w:rsidRPr="002F1682">
        <w:rPr>
          <w:szCs w:val="18"/>
        </w:rPr>
        <w:t xml:space="preserve"> S.</w:t>
      </w:r>
      <w:r w:rsidR="007555D1">
        <w:rPr>
          <w:szCs w:val="18"/>
        </w:rPr>
        <w:t>,</w:t>
      </w:r>
      <w:r w:rsidRPr="002F1682">
        <w:rPr>
          <w:szCs w:val="18"/>
        </w:rPr>
        <w:t xml:space="preserve"> </w:t>
      </w:r>
      <w:proofErr w:type="spellStart"/>
      <w:r w:rsidRPr="002F1682">
        <w:rPr>
          <w:szCs w:val="18"/>
        </w:rPr>
        <w:t>Vodnar</w:t>
      </w:r>
      <w:proofErr w:type="spellEnd"/>
      <w:r w:rsidRPr="002F1682">
        <w:rPr>
          <w:szCs w:val="18"/>
        </w:rPr>
        <w:t xml:space="preserve"> D. C.</w:t>
      </w:r>
      <w:r w:rsidR="007555D1">
        <w:rPr>
          <w:szCs w:val="18"/>
        </w:rPr>
        <w:t>,</w:t>
      </w:r>
      <w:r w:rsidRPr="002F1682">
        <w:rPr>
          <w:szCs w:val="18"/>
        </w:rPr>
        <w:t xml:space="preserve"> 2021</w:t>
      </w:r>
      <w:r w:rsidR="007555D1">
        <w:rPr>
          <w:szCs w:val="18"/>
        </w:rPr>
        <w:t xml:space="preserve">, </w:t>
      </w:r>
      <w:r w:rsidRPr="002F1682">
        <w:rPr>
          <w:szCs w:val="18"/>
        </w:rPr>
        <w:t>Single cell protein: A potential substitute in human and animal nutrition, Sustainability, 13(16),</w:t>
      </w:r>
      <w:r w:rsidR="007555D1">
        <w:rPr>
          <w:szCs w:val="18"/>
        </w:rPr>
        <w:t xml:space="preserve"> </w:t>
      </w:r>
      <w:r w:rsidRPr="002F1682">
        <w:rPr>
          <w:szCs w:val="18"/>
        </w:rPr>
        <w:t xml:space="preserve">1–24. </w:t>
      </w:r>
    </w:p>
    <w:p w14:paraId="7DF18999" w14:textId="0F94364B" w:rsidR="0051534D" w:rsidRPr="002F1682" w:rsidRDefault="0051534D" w:rsidP="0051534D">
      <w:pPr>
        <w:pStyle w:val="CETBodytext"/>
        <w:rPr>
          <w:szCs w:val="18"/>
        </w:rPr>
      </w:pPr>
      <w:proofErr w:type="spellStart"/>
      <w:r w:rsidRPr="002F1682">
        <w:rPr>
          <w:szCs w:val="18"/>
          <w:lang w:val="en-GB"/>
        </w:rPr>
        <w:t>Canedo</w:t>
      </w:r>
      <w:proofErr w:type="spellEnd"/>
      <w:r w:rsidRPr="002F1682">
        <w:rPr>
          <w:szCs w:val="18"/>
          <w:lang w:val="en-GB"/>
        </w:rPr>
        <w:t xml:space="preserve"> M. S. et al.</w:t>
      </w:r>
      <w:r w:rsidR="007555D1" w:rsidRPr="002F1682">
        <w:rPr>
          <w:szCs w:val="18"/>
          <w:lang w:val="en-GB"/>
        </w:rPr>
        <w:t>,</w:t>
      </w:r>
      <w:r w:rsidRPr="002F1682">
        <w:rPr>
          <w:szCs w:val="18"/>
          <w:lang w:val="en-GB"/>
        </w:rPr>
        <w:t xml:space="preserve"> </w:t>
      </w:r>
      <w:r w:rsidRPr="002F1682">
        <w:rPr>
          <w:szCs w:val="18"/>
        </w:rPr>
        <w:t>2016</w:t>
      </w:r>
      <w:r w:rsidR="007555D1">
        <w:rPr>
          <w:szCs w:val="18"/>
        </w:rPr>
        <w:t xml:space="preserve">, </w:t>
      </w:r>
      <w:r w:rsidRPr="002F1682">
        <w:rPr>
          <w:szCs w:val="18"/>
        </w:rPr>
        <w:t xml:space="preserve">Protein enrichment of brewery spent grain from </w:t>
      </w:r>
      <w:r w:rsidRPr="002F1682">
        <w:rPr>
          <w:i/>
          <w:iCs/>
          <w:szCs w:val="18"/>
        </w:rPr>
        <w:t xml:space="preserve">Rhizopus </w:t>
      </w:r>
      <w:proofErr w:type="spellStart"/>
      <w:r w:rsidRPr="002F1682">
        <w:rPr>
          <w:i/>
          <w:iCs/>
          <w:szCs w:val="18"/>
        </w:rPr>
        <w:t>oligosporus</w:t>
      </w:r>
      <w:proofErr w:type="spellEnd"/>
      <w:r w:rsidRPr="002F1682">
        <w:rPr>
          <w:szCs w:val="18"/>
        </w:rPr>
        <w:t xml:space="preserve"> by solid-state fermentation, Bioprocess and Biosystems Engineering, 39(7), 1105–1113.</w:t>
      </w:r>
    </w:p>
    <w:p w14:paraId="3638B9C2" w14:textId="12173608" w:rsidR="0051534D" w:rsidRPr="002F1682" w:rsidRDefault="0051534D" w:rsidP="0051534D">
      <w:pPr>
        <w:pStyle w:val="CETBodytext"/>
        <w:rPr>
          <w:szCs w:val="18"/>
        </w:rPr>
      </w:pPr>
      <w:r w:rsidRPr="002F1682">
        <w:rPr>
          <w:szCs w:val="18"/>
        </w:rPr>
        <w:t xml:space="preserve">Essien J. and </w:t>
      </w:r>
      <w:proofErr w:type="spellStart"/>
      <w:r w:rsidRPr="002F1682">
        <w:rPr>
          <w:szCs w:val="18"/>
        </w:rPr>
        <w:t>Udotong</w:t>
      </w:r>
      <w:proofErr w:type="spellEnd"/>
      <w:r w:rsidRPr="002F1682">
        <w:rPr>
          <w:szCs w:val="18"/>
        </w:rPr>
        <w:t xml:space="preserve"> I.</w:t>
      </w:r>
      <w:r w:rsidR="00C9287E">
        <w:rPr>
          <w:szCs w:val="18"/>
        </w:rPr>
        <w:t>,</w:t>
      </w:r>
      <w:r w:rsidRPr="002F1682">
        <w:rPr>
          <w:szCs w:val="18"/>
        </w:rPr>
        <w:t xml:space="preserve"> 2010</w:t>
      </w:r>
      <w:r w:rsidR="00C9287E">
        <w:rPr>
          <w:szCs w:val="18"/>
        </w:rPr>
        <w:t>,</w:t>
      </w:r>
      <w:r w:rsidRPr="002F1682">
        <w:rPr>
          <w:szCs w:val="18"/>
        </w:rPr>
        <w:t xml:space="preserve"> Amino Acid Profile of Biodegraded Brewers Spent Grains (BSG), Journal of Applied Sciences and Environmental Management, 12(1), 7–9. </w:t>
      </w:r>
    </w:p>
    <w:p w14:paraId="393B05BE" w14:textId="3CDF21C7" w:rsidR="0051534D" w:rsidRPr="002F1682" w:rsidRDefault="0051534D" w:rsidP="0051534D">
      <w:pPr>
        <w:pStyle w:val="CETBodytext"/>
        <w:rPr>
          <w:szCs w:val="18"/>
        </w:rPr>
      </w:pPr>
      <w:r w:rsidRPr="002F1682">
        <w:rPr>
          <w:szCs w:val="18"/>
        </w:rPr>
        <w:t>Gómez-Camacho C. E., Bosco F.</w:t>
      </w:r>
      <w:r w:rsidR="00C9287E">
        <w:rPr>
          <w:szCs w:val="18"/>
        </w:rPr>
        <w:t>,</w:t>
      </w:r>
      <w:r w:rsidRPr="002F1682">
        <w:rPr>
          <w:szCs w:val="18"/>
        </w:rPr>
        <w:t xml:space="preserve"> and Ruggeri B.</w:t>
      </w:r>
      <w:r w:rsidR="00C9287E">
        <w:rPr>
          <w:szCs w:val="18"/>
        </w:rPr>
        <w:t>,</w:t>
      </w:r>
      <w:r w:rsidRPr="002F1682">
        <w:rPr>
          <w:szCs w:val="18"/>
        </w:rPr>
        <w:t xml:space="preserve"> 2020</w:t>
      </w:r>
      <w:r w:rsidR="00C9287E">
        <w:rPr>
          <w:szCs w:val="18"/>
        </w:rPr>
        <w:t>,</w:t>
      </w:r>
      <w:r w:rsidRPr="002F1682">
        <w:rPr>
          <w:szCs w:val="18"/>
        </w:rPr>
        <w:t xml:space="preserve"> The role of microbial community engineering (MCE) in the Water-Energy-Food-Waste (WEFW) nexus, Chemical Engineering Transactions, 79, 397–402.</w:t>
      </w:r>
    </w:p>
    <w:p w14:paraId="285821B1" w14:textId="7B3C950A" w:rsidR="0051534D" w:rsidRPr="002F1682" w:rsidRDefault="0051534D" w:rsidP="0051534D">
      <w:pPr>
        <w:pStyle w:val="CETBodytext"/>
        <w:rPr>
          <w:szCs w:val="18"/>
        </w:rPr>
      </w:pPr>
      <w:proofErr w:type="spellStart"/>
      <w:r w:rsidRPr="002F1682">
        <w:rPr>
          <w:szCs w:val="18"/>
        </w:rPr>
        <w:t>Metsämuuronen</w:t>
      </w:r>
      <w:proofErr w:type="spellEnd"/>
      <w:r w:rsidRPr="002F1682">
        <w:rPr>
          <w:szCs w:val="18"/>
        </w:rPr>
        <w:t xml:space="preserve"> S., </w:t>
      </w:r>
      <w:proofErr w:type="spellStart"/>
      <w:r w:rsidRPr="002F1682">
        <w:rPr>
          <w:szCs w:val="18"/>
        </w:rPr>
        <w:t>Mänttäri</w:t>
      </w:r>
      <w:proofErr w:type="spellEnd"/>
      <w:r w:rsidRPr="002F1682">
        <w:rPr>
          <w:szCs w:val="18"/>
        </w:rPr>
        <w:t xml:space="preserve"> M.</w:t>
      </w:r>
      <w:r w:rsidR="00DF16B4">
        <w:rPr>
          <w:szCs w:val="18"/>
        </w:rPr>
        <w:t>,</w:t>
      </w:r>
      <w:r w:rsidRPr="002F1682">
        <w:rPr>
          <w:szCs w:val="18"/>
        </w:rPr>
        <w:t xml:space="preserve"> and </w:t>
      </w:r>
      <w:proofErr w:type="spellStart"/>
      <w:r w:rsidRPr="002F1682">
        <w:rPr>
          <w:szCs w:val="18"/>
        </w:rPr>
        <w:t>Nyström</w:t>
      </w:r>
      <w:proofErr w:type="spellEnd"/>
      <w:r w:rsidRPr="002F1682">
        <w:rPr>
          <w:szCs w:val="18"/>
        </w:rPr>
        <w:t xml:space="preserve"> M.</w:t>
      </w:r>
      <w:r w:rsidR="00DF16B4">
        <w:rPr>
          <w:szCs w:val="18"/>
        </w:rPr>
        <w:t>,</w:t>
      </w:r>
      <w:r w:rsidRPr="002F1682">
        <w:rPr>
          <w:szCs w:val="18"/>
        </w:rPr>
        <w:t xml:space="preserve"> 2011</w:t>
      </w:r>
      <w:r w:rsidR="00DF16B4">
        <w:rPr>
          <w:szCs w:val="18"/>
        </w:rPr>
        <w:t xml:space="preserve">, </w:t>
      </w:r>
      <w:r w:rsidRPr="002F1682">
        <w:rPr>
          <w:szCs w:val="18"/>
        </w:rPr>
        <w:t>Comparison of analysis methods for protein concentration and its use in UF fractionation of whey, Desalination, 283, 156–164.</w:t>
      </w:r>
    </w:p>
    <w:p w14:paraId="58114AB5" w14:textId="6F7991B8" w:rsidR="0051534D" w:rsidRPr="002F1682" w:rsidRDefault="0051534D" w:rsidP="0051534D">
      <w:pPr>
        <w:pStyle w:val="CETBodytext"/>
        <w:rPr>
          <w:szCs w:val="18"/>
        </w:rPr>
      </w:pPr>
      <w:r w:rsidRPr="002F1682">
        <w:rPr>
          <w:szCs w:val="18"/>
        </w:rPr>
        <w:t>Meyer V. et al.</w:t>
      </w:r>
      <w:r w:rsidR="00DF16B4">
        <w:rPr>
          <w:szCs w:val="18"/>
        </w:rPr>
        <w:t>,</w:t>
      </w:r>
      <w:r w:rsidRPr="002F1682">
        <w:rPr>
          <w:szCs w:val="18"/>
        </w:rPr>
        <w:t xml:space="preserve"> 2020</w:t>
      </w:r>
      <w:r w:rsidR="00DF16B4">
        <w:rPr>
          <w:szCs w:val="18"/>
        </w:rPr>
        <w:t>,</w:t>
      </w:r>
      <w:r w:rsidRPr="002F1682">
        <w:rPr>
          <w:szCs w:val="18"/>
        </w:rPr>
        <w:t xml:space="preserve"> Growing a circular economy with fungal biotechnology: A white paper, Fungal Biology and Biotechnology</w:t>
      </w:r>
      <w:r w:rsidR="00DF16B4">
        <w:rPr>
          <w:szCs w:val="18"/>
        </w:rPr>
        <w:t>,</w:t>
      </w:r>
      <w:r w:rsidRPr="002F1682">
        <w:rPr>
          <w:szCs w:val="18"/>
        </w:rPr>
        <w:t xml:space="preserve"> 7(1), 1–23. </w:t>
      </w:r>
    </w:p>
    <w:p w14:paraId="2A6BDF91" w14:textId="27F6387A" w:rsidR="0051534D" w:rsidRPr="002F1682" w:rsidRDefault="0051534D" w:rsidP="0051534D">
      <w:pPr>
        <w:pStyle w:val="CETBodytext"/>
        <w:rPr>
          <w:szCs w:val="18"/>
        </w:rPr>
      </w:pPr>
      <w:proofErr w:type="spellStart"/>
      <w:r w:rsidRPr="002F1682">
        <w:rPr>
          <w:szCs w:val="18"/>
        </w:rPr>
        <w:t>Radita</w:t>
      </w:r>
      <w:proofErr w:type="spellEnd"/>
      <w:r w:rsidRPr="002F1682">
        <w:rPr>
          <w:szCs w:val="18"/>
        </w:rPr>
        <w:t xml:space="preserve"> R. et al.</w:t>
      </w:r>
      <w:r w:rsidR="00DF16B4">
        <w:rPr>
          <w:szCs w:val="18"/>
        </w:rPr>
        <w:t>,</w:t>
      </w:r>
      <w:r w:rsidRPr="002F1682">
        <w:rPr>
          <w:szCs w:val="18"/>
        </w:rPr>
        <w:t xml:space="preserve"> 2018</w:t>
      </w:r>
      <w:r w:rsidR="00DF16B4">
        <w:rPr>
          <w:szCs w:val="18"/>
        </w:rPr>
        <w:t>,</w:t>
      </w:r>
      <w:r w:rsidRPr="002F1682">
        <w:rPr>
          <w:szCs w:val="18"/>
        </w:rPr>
        <w:t xml:space="preserve"> Firmicutes is the predominant bacteria in tempeh, International Food Research Journal, 25(6), 2313–2320.</w:t>
      </w:r>
    </w:p>
    <w:p w14:paraId="076C810A" w14:textId="1EB8A270" w:rsidR="0051534D" w:rsidRPr="002F1682" w:rsidRDefault="0051534D" w:rsidP="0051534D">
      <w:pPr>
        <w:pStyle w:val="CETBodytext"/>
        <w:rPr>
          <w:szCs w:val="18"/>
        </w:rPr>
      </w:pPr>
      <w:proofErr w:type="spellStart"/>
      <w:r w:rsidRPr="002F1682">
        <w:rPr>
          <w:szCs w:val="18"/>
        </w:rPr>
        <w:t>Seumahu</w:t>
      </w:r>
      <w:proofErr w:type="spellEnd"/>
      <w:r w:rsidRPr="002F1682">
        <w:rPr>
          <w:szCs w:val="18"/>
        </w:rPr>
        <w:t xml:space="preserve"> C. A. et al.</w:t>
      </w:r>
      <w:r w:rsidR="00DF16B4">
        <w:rPr>
          <w:szCs w:val="18"/>
        </w:rPr>
        <w:t>,</w:t>
      </w:r>
      <w:r w:rsidRPr="002F1682">
        <w:rPr>
          <w:szCs w:val="18"/>
        </w:rPr>
        <w:t xml:space="preserve"> 2013</w:t>
      </w:r>
      <w:r w:rsidR="00DF16B4">
        <w:rPr>
          <w:szCs w:val="18"/>
        </w:rPr>
        <w:t>,</w:t>
      </w:r>
      <w:r w:rsidRPr="002F1682">
        <w:rPr>
          <w:szCs w:val="18"/>
        </w:rPr>
        <w:t xml:space="preserve"> Bacterial and Fungal Communities in Tempeh as Reveal by Amplified Ribosomal Intergenic Sequence Analysis, Journal of Biosciences</w:t>
      </w:r>
      <w:r w:rsidR="00DF16B4">
        <w:rPr>
          <w:szCs w:val="18"/>
        </w:rPr>
        <w:t>,</w:t>
      </w:r>
      <w:r w:rsidRPr="002F1682">
        <w:rPr>
          <w:szCs w:val="18"/>
        </w:rPr>
        <w:t xml:space="preserve"> 20(2), 65–71. </w:t>
      </w:r>
    </w:p>
    <w:p w14:paraId="07A45DCD" w14:textId="47AF29B6" w:rsidR="00CF0CA6" w:rsidRPr="002F1682" w:rsidRDefault="0051534D" w:rsidP="00600535">
      <w:pPr>
        <w:pStyle w:val="CETBodytext"/>
        <w:rPr>
          <w:szCs w:val="18"/>
        </w:rPr>
      </w:pPr>
      <w:r w:rsidRPr="002F1682">
        <w:rPr>
          <w:szCs w:val="18"/>
        </w:rPr>
        <w:t>Shurtleff W. and Aoyagi</w:t>
      </w:r>
      <w:r w:rsidR="00DF16B4">
        <w:rPr>
          <w:szCs w:val="18"/>
        </w:rPr>
        <w:t xml:space="preserve"> </w:t>
      </w:r>
      <w:r w:rsidRPr="002F1682">
        <w:rPr>
          <w:szCs w:val="18"/>
        </w:rPr>
        <w:t>A.</w:t>
      </w:r>
      <w:r w:rsidR="00DF16B4">
        <w:rPr>
          <w:szCs w:val="18"/>
        </w:rPr>
        <w:t>,</w:t>
      </w:r>
      <w:r w:rsidRPr="002F1682">
        <w:rPr>
          <w:szCs w:val="18"/>
        </w:rPr>
        <w:t xml:space="preserve"> 2001</w:t>
      </w:r>
      <w:r w:rsidR="00DF16B4">
        <w:rPr>
          <w:szCs w:val="18"/>
        </w:rPr>
        <w:t>,</w:t>
      </w:r>
      <w:r w:rsidRPr="002F1682">
        <w:rPr>
          <w:szCs w:val="18"/>
        </w:rPr>
        <w:t xml:space="preserve"> The Book of Tempeh</w:t>
      </w:r>
      <w:r w:rsidR="00DF16B4">
        <w:rPr>
          <w:szCs w:val="18"/>
        </w:rPr>
        <w:t>,</w:t>
      </w:r>
      <w:r w:rsidRPr="002F1682">
        <w:rPr>
          <w:szCs w:val="18"/>
        </w:rPr>
        <w:t xml:space="preserve"> 2</w:t>
      </w:r>
      <w:r w:rsidRPr="002F1682">
        <w:rPr>
          <w:szCs w:val="18"/>
          <w:vertAlign w:val="superscript"/>
        </w:rPr>
        <w:t>nd</w:t>
      </w:r>
      <w:r w:rsidRPr="002F1682">
        <w:rPr>
          <w:szCs w:val="18"/>
        </w:rPr>
        <w:t xml:space="preserve"> ed</w:t>
      </w:r>
      <w:r w:rsidR="00DF16B4">
        <w:rPr>
          <w:szCs w:val="18"/>
        </w:rPr>
        <w:t>,</w:t>
      </w:r>
      <w:r w:rsidRPr="002F1682">
        <w:rPr>
          <w:szCs w:val="18"/>
        </w:rPr>
        <w:t xml:space="preserve"> Canada: Harper Colophon Books.</w:t>
      </w:r>
    </w:p>
    <w:sectPr w:rsidR="00CF0CA6" w:rsidRPr="002F168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66134" w14:textId="77777777" w:rsidR="00960F79" w:rsidRDefault="00960F79" w:rsidP="004F5E36">
      <w:r>
        <w:separator/>
      </w:r>
    </w:p>
  </w:endnote>
  <w:endnote w:type="continuationSeparator" w:id="0">
    <w:p w14:paraId="2247F201" w14:textId="77777777" w:rsidR="00960F79" w:rsidRDefault="00960F7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7C3D0" w14:textId="77777777" w:rsidR="00960F79" w:rsidRDefault="00960F79" w:rsidP="004F5E36">
      <w:r>
        <w:separator/>
      </w:r>
    </w:p>
  </w:footnote>
  <w:footnote w:type="continuationSeparator" w:id="0">
    <w:p w14:paraId="7A151636" w14:textId="77777777" w:rsidR="00960F79" w:rsidRDefault="00960F7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FB8BE1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985"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3B64"/>
    <w:rsid w:val="0003148D"/>
    <w:rsid w:val="00031EEC"/>
    <w:rsid w:val="00051566"/>
    <w:rsid w:val="000572BD"/>
    <w:rsid w:val="00060839"/>
    <w:rsid w:val="00062A9A"/>
    <w:rsid w:val="00062FCE"/>
    <w:rsid w:val="00065058"/>
    <w:rsid w:val="00081128"/>
    <w:rsid w:val="00086C39"/>
    <w:rsid w:val="00090B95"/>
    <w:rsid w:val="00095915"/>
    <w:rsid w:val="000A03B2"/>
    <w:rsid w:val="000A19F6"/>
    <w:rsid w:val="000A4CF9"/>
    <w:rsid w:val="000B7D17"/>
    <w:rsid w:val="000C711C"/>
    <w:rsid w:val="000D0268"/>
    <w:rsid w:val="000D34BE"/>
    <w:rsid w:val="000E00A8"/>
    <w:rsid w:val="000E102F"/>
    <w:rsid w:val="000E36F1"/>
    <w:rsid w:val="000E3A73"/>
    <w:rsid w:val="000E414A"/>
    <w:rsid w:val="000E6F0F"/>
    <w:rsid w:val="000F093C"/>
    <w:rsid w:val="000F787B"/>
    <w:rsid w:val="001003B1"/>
    <w:rsid w:val="0012089E"/>
    <w:rsid w:val="0012091F"/>
    <w:rsid w:val="00121D3D"/>
    <w:rsid w:val="001242B2"/>
    <w:rsid w:val="00126BC2"/>
    <w:rsid w:val="001308B6"/>
    <w:rsid w:val="0013121F"/>
    <w:rsid w:val="00131FE6"/>
    <w:rsid w:val="0013263F"/>
    <w:rsid w:val="0013290D"/>
    <w:rsid w:val="001331DF"/>
    <w:rsid w:val="00134DE4"/>
    <w:rsid w:val="0014034D"/>
    <w:rsid w:val="001431AF"/>
    <w:rsid w:val="00144D16"/>
    <w:rsid w:val="00150E59"/>
    <w:rsid w:val="00152DE3"/>
    <w:rsid w:val="00162246"/>
    <w:rsid w:val="00164CF9"/>
    <w:rsid w:val="001667A6"/>
    <w:rsid w:val="00167F69"/>
    <w:rsid w:val="00184AD6"/>
    <w:rsid w:val="001A4AF7"/>
    <w:rsid w:val="001B0349"/>
    <w:rsid w:val="001B1E93"/>
    <w:rsid w:val="001B65C1"/>
    <w:rsid w:val="001C0595"/>
    <w:rsid w:val="001C273D"/>
    <w:rsid w:val="001C684B"/>
    <w:rsid w:val="001D0CFB"/>
    <w:rsid w:val="001D21AF"/>
    <w:rsid w:val="001D53FC"/>
    <w:rsid w:val="001E0120"/>
    <w:rsid w:val="001E5BF5"/>
    <w:rsid w:val="001E7A35"/>
    <w:rsid w:val="001F1B44"/>
    <w:rsid w:val="001F3354"/>
    <w:rsid w:val="001F4244"/>
    <w:rsid w:val="001F42A5"/>
    <w:rsid w:val="001F7B9D"/>
    <w:rsid w:val="00201C93"/>
    <w:rsid w:val="00205821"/>
    <w:rsid w:val="00211FEA"/>
    <w:rsid w:val="002224B4"/>
    <w:rsid w:val="00227916"/>
    <w:rsid w:val="002346D2"/>
    <w:rsid w:val="002447EF"/>
    <w:rsid w:val="002463EC"/>
    <w:rsid w:val="00251550"/>
    <w:rsid w:val="0026158C"/>
    <w:rsid w:val="00263B05"/>
    <w:rsid w:val="0027221A"/>
    <w:rsid w:val="00274174"/>
    <w:rsid w:val="00275B61"/>
    <w:rsid w:val="00280FAF"/>
    <w:rsid w:val="00282656"/>
    <w:rsid w:val="00296B83"/>
    <w:rsid w:val="002A2615"/>
    <w:rsid w:val="002B1E55"/>
    <w:rsid w:val="002B4015"/>
    <w:rsid w:val="002B4FA0"/>
    <w:rsid w:val="002B78CE"/>
    <w:rsid w:val="002C2FB6"/>
    <w:rsid w:val="002D5E75"/>
    <w:rsid w:val="002E5FA7"/>
    <w:rsid w:val="002F1682"/>
    <w:rsid w:val="002F1D9A"/>
    <w:rsid w:val="002F3309"/>
    <w:rsid w:val="003006EB"/>
    <w:rsid w:val="003008CE"/>
    <w:rsid w:val="003009B7"/>
    <w:rsid w:val="00300E56"/>
    <w:rsid w:val="0030469C"/>
    <w:rsid w:val="00321CA6"/>
    <w:rsid w:val="00323763"/>
    <w:rsid w:val="003248BC"/>
    <w:rsid w:val="0032570F"/>
    <w:rsid w:val="00334C09"/>
    <w:rsid w:val="0034315D"/>
    <w:rsid w:val="00360734"/>
    <w:rsid w:val="0036524B"/>
    <w:rsid w:val="003723D4"/>
    <w:rsid w:val="00375EA2"/>
    <w:rsid w:val="00381905"/>
    <w:rsid w:val="00384AF9"/>
    <w:rsid w:val="00384CC8"/>
    <w:rsid w:val="003871FD"/>
    <w:rsid w:val="00390222"/>
    <w:rsid w:val="00390FC4"/>
    <w:rsid w:val="00397887"/>
    <w:rsid w:val="003A1E30"/>
    <w:rsid w:val="003A2829"/>
    <w:rsid w:val="003A5FDC"/>
    <w:rsid w:val="003A7D1C"/>
    <w:rsid w:val="003B304B"/>
    <w:rsid w:val="003B3146"/>
    <w:rsid w:val="003C2AA1"/>
    <w:rsid w:val="003D7762"/>
    <w:rsid w:val="003E161F"/>
    <w:rsid w:val="003F015E"/>
    <w:rsid w:val="003F0B11"/>
    <w:rsid w:val="00400414"/>
    <w:rsid w:val="004052F4"/>
    <w:rsid w:val="0041446B"/>
    <w:rsid w:val="004313AA"/>
    <w:rsid w:val="0044071E"/>
    <w:rsid w:val="0044329C"/>
    <w:rsid w:val="00444610"/>
    <w:rsid w:val="004506E0"/>
    <w:rsid w:val="00453E24"/>
    <w:rsid w:val="00457456"/>
    <w:rsid w:val="004577FE"/>
    <w:rsid w:val="00457B9C"/>
    <w:rsid w:val="0046164A"/>
    <w:rsid w:val="004628D2"/>
    <w:rsid w:val="00462DCD"/>
    <w:rsid w:val="004648AD"/>
    <w:rsid w:val="004703A9"/>
    <w:rsid w:val="004760DE"/>
    <w:rsid w:val="004763D7"/>
    <w:rsid w:val="00486513"/>
    <w:rsid w:val="004A004E"/>
    <w:rsid w:val="004A24CF"/>
    <w:rsid w:val="004C11C1"/>
    <w:rsid w:val="004C3D1D"/>
    <w:rsid w:val="004C7913"/>
    <w:rsid w:val="004D307D"/>
    <w:rsid w:val="004D4BF0"/>
    <w:rsid w:val="004D792E"/>
    <w:rsid w:val="004E4DD6"/>
    <w:rsid w:val="004F19F7"/>
    <w:rsid w:val="004F4E3F"/>
    <w:rsid w:val="004F5E36"/>
    <w:rsid w:val="004F6D61"/>
    <w:rsid w:val="00505A88"/>
    <w:rsid w:val="00507B47"/>
    <w:rsid w:val="00507BEF"/>
    <w:rsid w:val="00507CC9"/>
    <w:rsid w:val="00510F4B"/>
    <w:rsid w:val="005119A5"/>
    <w:rsid w:val="0051534D"/>
    <w:rsid w:val="00517D6E"/>
    <w:rsid w:val="005278B7"/>
    <w:rsid w:val="00532016"/>
    <w:rsid w:val="005346C8"/>
    <w:rsid w:val="0053538E"/>
    <w:rsid w:val="005373B6"/>
    <w:rsid w:val="005428E5"/>
    <w:rsid w:val="00542BA9"/>
    <w:rsid w:val="00543E7D"/>
    <w:rsid w:val="005454F5"/>
    <w:rsid w:val="00547A68"/>
    <w:rsid w:val="005531C9"/>
    <w:rsid w:val="00570C43"/>
    <w:rsid w:val="00575FBB"/>
    <w:rsid w:val="00582B4C"/>
    <w:rsid w:val="0059671A"/>
    <w:rsid w:val="005B1B04"/>
    <w:rsid w:val="005B2110"/>
    <w:rsid w:val="005B61E6"/>
    <w:rsid w:val="005C77E1"/>
    <w:rsid w:val="005D668A"/>
    <w:rsid w:val="005D6A2F"/>
    <w:rsid w:val="005E1A82"/>
    <w:rsid w:val="005E794C"/>
    <w:rsid w:val="005F0A28"/>
    <w:rsid w:val="005F0E5E"/>
    <w:rsid w:val="005F6C55"/>
    <w:rsid w:val="00600535"/>
    <w:rsid w:val="00604911"/>
    <w:rsid w:val="00610CD6"/>
    <w:rsid w:val="00612245"/>
    <w:rsid w:val="006130CD"/>
    <w:rsid w:val="00620DEE"/>
    <w:rsid w:val="00620EF2"/>
    <w:rsid w:val="00621F92"/>
    <w:rsid w:val="0062280A"/>
    <w:rsid w:val="006241C7"/>
    <w:rsid w:val="00625639"/>
    <w:rsid w:val="00631B33"/>
    <w:rsid w:val="0063480E"/>
    <w:rsid w:val="0064184D"/>
    <w:rsid w:val="006422CC"/>
    <w:rsid w:val="006439F8"/>
    <w:rsid w:val="00644E1C"/>
    <w:rsid w:val="006540E4"/>
    <w:rsid w:val="00660E3E"/>
    <w:rsid w:val="00662E74"/>
    <w:rsid w:val="00664B07"/>
    <w:rsid w:val="00665792"/>
    <w:rsid w:val="00680C23"/>
    <w:rsid w:val="00693766"/>
    <w:rsid w:val="006A3281"/>
    <w:rsid w:val="006B4888"/>
    <w:rsid w:val="006B7E95"/>
    <w:rsid w:val="006C2E45"/>
    <w:rsid w:val="006C359C"/>
    <w:rsid w:val="006C5579"/>
    <w:rsid w:val="006D6CEC"/>
    <w:rsid w:val="006D6E8B"/>
    <w:rsid w:val="006E737D"/>
    <w:rsid w:val="006E73F5"/>
    <w:rsid w:val="00702DB8"/>
    <w:rsid w:val="00713973"/>
    <w:rsid w:val="007173F9"/>
    <w:rsid w:val="00720A24"/>
    <w:rsid w:val="00732386"/>
    <w:rsid w:val="0073514D"/>
    <w:rsid w:val="00740917"/>
    <w:rsid w:val="00741AEA"/>
    <w:rsid w:val="007447F3"/>
    <w:rsid w:val="00754608"/>
    <w:rsid w:val="0075499F"/>
    <w:rsid w:val="007555D1"/>
    <w:rsid w:val="00760C47"/>
    <w:rsid w:val="007646F2"/>
    <w:rsid w:val="007661C8"/>
    <w:rsid w:val="0077098D"/>
    <w:rsid w:val="00782BF5"/>
    <w:rsid w:val="0078568B"/>
    <w:rsid w:val="007931FA"/>
    <w:rsid w:val="007941E9"/>
    <w:rsid w:val="00797801"/>
    <w:rsid w:val="007A0C30"/>
    <w:rsid w:val="007A4861"/>
    <w:rsid w:val="007A7BBA"/>
    <w:rsid w:val="007B0C50"/>
    <w:rsid w:val="007B48F9"/>
    <w:rsid w:val="007C09D9"/>
    <w:rsid w:val="007C1A43"/>
    <w:rsid w:val="007C3CBB"/>
    <w:rsid w:val="007E1DC1"/>
    <w:rsid w:val="007E2ADA"/>
    <w:rsid w:val="00800101"/>
    <w:rsid w:val="0080013E"/>
    <w:rsid w:val="008035A9"/>
    <w:rsid w:val="0080382C"/>
    <w:rsid w:val="00811F2C"/>
    <w:rsid w:val="00813288"/>
    <w:rsid w:val="008168FC"/>
    <w:rsid w:val="00830996"/>
    <w:rsid w:val="008345F1"/>
    <w:rsid w:val="00843F50"/>
    <w:rsid w:val="00845EFE"/>
    <w:rsid w:val="00865B07"/>
    <w:rsid w:val="008667EA"/>
    <w:rsid w:val="00874BCA"/>
    <w:rsid w:val="0087637F"/>
    <w:rsid w:val="008834C3"/>
    <w:rsid w:val="00892AD5"/>
    <w:rsid w:val="00893E5C"/>
    <w:rsid w:val="008A0FE6"/>
    <w:rsid w:val="008A1512"/>
    <w:rsid w:val="008A5F3E"/>
    <w:rsid w:val="008C0246"/>
    <w:rsid w:val="008D25FD"/>
    <w:rsid w:val="008D32B9"/>
    <w:rsid w:val="008D33B8"/>
    <w:rsid w:val="008D433B"/>
    <w:rsid w:val="008E566E"/>
    <w:rsid w:val="008F407F"/>
    <w:rsid w:val="008F4DEA"/>
    <w:rsid w:val="0090161A"/>
    <w:rsid w:val="00901EB6"/>
    <w:rsid w:val="009043DC"/>
    <w:rsid w:val="00904C62"/>
    <w:rsid w:val="00913A94"/>
    <w:rsid w:val="00922BA8"/>
    <w:rsid w:val="00924DAC"/>
    <w:rsid w:val="00925238"/>
    <w:rsid w:val="00927058"/>
    <w:rsid w:val="00930B3E"/>
    <w:rsid w:val="0093351D"/>
    <w:rsid w:val="00941D0A"/>
    <w:rsid w:val="00942750"/>
    <w:rsid w:val="009450CE"/>
    <w:rsid w:val="00945AB6"/>
    <w:rsid w:val="00946497"/>
    <w:rsid w:val="00947179"/>
    <w:rsid w:val="0095164B"/>
    <w:rsid w:val="00952588"/>
    <w:rsid w:val="00954090"/>
    <w:rsid w:val="009573E7"/>
    <w:rsid w:val="00960F79"/>
    <w:rsid w:val="0096307B"/>
    <w:rsid w:val="00963E05"/>
    <w:rsid w:val="00964A45"/>
    <w:rsid w:val="00967843"/>
    <w:rsid w:val="00967D54"/>
    <w:rsid w:val="00971028"/>
    <w:rsid w:val="00977BF5"/>
    <w:rsid w:val="009800C1"/>
    <w:rsid w:val="0098265E"/>
    <w:rsid w:val="00993B84"/>
    <w:rsid w:val="00996483"/>
    <w:rsid w:val="00996F5A"/>
    <w:rsid w:val="009B041A"/>
    <w:rsid w:val="009C37C3"/>
    <w:rsid w:val="009C7C86"/>
    <w:rsid w:val="009D2FF7"/>
    <w:rsid w:val="009D374C"/>
    <w:rsid w:val="009E3A43"/>
    <w:rsid w:val="009E7884"/>
    <w:rsid w:val="009E788A"/>
    <w:rsid w:val="009F0E08"/>
    <w:rsid w:val="00A126F5"/>
    <w:rsid w:val="00A1763D"/>
    <w:rsid w:val="00A17CEC"/>
    <w:rsid w:val="00A22D4A"/>
    <w:rsid w:val="00A236DC"/>
    <w:rsid w:val="00A27EF0"/>
    <w:rsid w:val="00A315EA"/>
    <w:rsid w:val="00A33BE9"/>
    <w:rsid w:val="00A354CC"/>
    <w:rsid w:val="00A42361"/>
    <w:rsid w:val="00A50B20"/>
    <w:rsid w:val="00A51390"/>
    <w:rsid w:val="00A60C30"/>
    <w:rsid w:val="00A60D13"/>
    <w:rsid w:val="00A65864"/>
    <w:rsid w:val="00A72745"/>
    <w:rsid w:val="00A76EFC"/>
    <w:rsid w:val="00A85A03"/>
    <w:rsid w:val="00A91010"/>
    <w:rsid w:val="00A97F29"/>
    <w:rsid w:val="00AA293B"/>
    <w:rsid w:val="00AA702E"/>
    <w:rsid w:val="00AB0964"/>
    <w:rsid w:val="00AB5011"/>
    <w:rsid w:val="00AC7368"/>
    <w:rsid w:val="00AC7DA8"/>
    <w:rsid w:val="00AD16B9"/>
    <w:rsid w:val="00AE0F7F"/>
    <w:rsid w:val="00AE377D"/>
    <w:rsid w:val="00AF0EBA"/>
    <w:rsid w:val="00AF3EC6"/>
    <w:rsid w:val="00AF6775"/>
    <w:rsid w:val="00B022C3"/>
    <w:rsid w:val="00B02C8A"/>
    <w:rsid w:val="00B02D56"/>
    <w:rsid w:val="00B11D44"/>
    <w:rsid w:val="00B164B3"/>
    <w:rsid w:val="00B17FBD"/>
    <w:rsid w:val="00B2516E"/>
    <w:rsid w:val="00B315A6"/>
    <w:rsid w:val="00B31813"/>
    <w:rsid w:val="00B33365"/>
    <w:rsid w:val="00B402C4"/>
    <w:rsid w:val="00B50A4A"/>
    <w:rsid w:val="00B52628"/>
    <w:rsid w:val="00B57B36"/>
    <w:rsid w:val="00B57E6F"/>
    <w:rsid w:val="00B615AE"/>
    <w:rsid w:val="00B806C0"/>
    <w:rsid w:val="00B8686D"/>
    <w:rsid w:val="00B93F69"/>
    <w:rsid w:val="00BB1DDC"/>
    <w:rsid w:val="00BB2B02"/>
    <w:rsid w:val="00BB4684"/>
    <w:rsid w:val="00BC30C9"/>
    <w:rsid w:val="00BD077D"/>
    <w:rsid w:val="00BD099A"/>
    <w:rsid w:val="00BE102C"/>
    <w:rsid w:val="00BE3E58"/>
    <w:rsid w:val="00BF05E2"/>
    <w:rsid w:val="00C01616"/>
    <w:rsid w:val="00C0162B"/>
    <w:rsid w:val="00C01A35"/>
    <w:rsid w:val="00C068ED"/>
    <w:rsid w:val="00C1018E"/>
    <w:rsid w:val="00C161C1"/>
    <w:rsid w:val="00C17ED4"/>
    <w:rsid w:val="00C22E0C"/>
    <w:rsid w:val="00C26743"/>
    <w:rsid w:val="00C345B1"/>
    <w:rsid w:val="00C40142"/>
    <w:rsid w:val="00C52C3C"/>
    <w:rsid w:val="00C5445F"/>
    <w:rsid w:val="00C54615"/>
    <w:rsid w:val="00C57182"/>
    <w:rsid w:val="00C57863"/>
    <w:rsid w:val="00C62FEB"/>
    <w:rsid w:val="00C64925"/>
    <w:rsid w:val="00C655FD"/>
    <w:rsid w:val="00C75407"/>
    <w:rsid w:val="00C80F04"/>
    <w:rsid w:val="00C81D93"/>
    <w:rsid w:val="00C870A8"/>
    <w:rsid w:val="00C9287E"/>
    <w:rsid w:val="00C94434"/>
    <w:rsid w:val="00C946B9"/>
    <w:rsid w:val="00CA0D75"/>
    <w:rsid w:val="00CA1C95"/>
    <w:rsid w:val="00CA4CE7"/>
    <w:rsid w:val="00CA5A9C"/>
    <w:rsid w:val="00CC4C20"/>
    <w:rsid w:val="00CD329A"/>
    <w:rsid w:val="00CD3517"/>
    <w:rsid w:val="00CD5FE2"/>
    <w:rsid w:val="00CE7C68"/>
    <w:rsid w:val="00CF0CA6"/>
    <w:rsid w:val="00D00388"/>
    <w:rsid w:val="00D02B4C"/>
    <w:rsid w:val="00D040C4"/>
    <w:rsid w:val="00D07D4C"/>
    <w:rsid w:val="00D14B3C"/>
    <w:rsid w:val="00D17B86"/>
    <w:rsid w:val="00D3731B"/>
    <w:rsid w:val="00D44C4E"/>
    <w:rsid w:val="00D46B7E"/>
    <w:rsid w:val="00D57C84"/>
    <w:rsid w:val="00D6057D"/>
    <w:rsid w:val="00D667FC"/>
    <w:rsid w:val="00D71640"/>
    <w:rsid w:val="00D732C4"/>
    <w:rsid w:val="00D73F77"/>
    <w:rsid w:val="00D836C5"/>
    <w:rsid w:val="00D84576"/>
    <w:rsid w:val="00D91F3D"/>
    <w:rsid w:val="00DA1399"/>
    <w:rsid w:val="00DA24C6"/>
    <w:rsid w:val="00DA4D7B"/>
    <w:rsid w:val="00DB23DE"/>
    <w:rsid w:val="00DB3720"/>
    <w:rsid w:val="00DB65EB"/>
    <w:rsid w:val="00DC5AC9"/>
    <w:rsid w:val="00DD29EE"/>
    <w:rsid w:val="00DD45C4"/>
    <w:rsid w:val="00DD5F6D"/>
    <w:rsid w:val="00DE022B"/>
    <w:rsid w:val="00DE264A"/>
    <w:rsid w:val="00DE3D83"/>
    <w:rsid w:val="00DE5314"/>
    <w:rsid w:val="00DF16B4"/>
    <w:rsid w:val="00DF18FB"/>
    <w:rsid w:val="00DF5072"/>
    <w:rsid w:val="00DF6876"/>
    <w:rsid w:val="00E0031C"/>
    <w:rsid w:val="00E029D2"/>
    <w:rsid w:val="00E02D18"/>
    <w:rsid w:val="00E041E7"/>
    <w:rsid w:val="00E15880"/>
    <w:rsid w:val="00E2302E"/>
    <w:rsid w:val="00E23CA1"/>
    <w:rsid w:val="00E26876"/>
    <w:rsid w:val="00E315E5"/>
    <w:rsid w:val="00E409A8"/>
    <w:rsid w:val="00E50C12"/>
    <w:rsid w:val="00E52247"/>
    <w:rsid w:val="00E54749"/>
    <w:rsid w:val="00E65B91"/>
    <w:rsid w:val="00E7209D"/>
    <w:rsid w:val="00E72EAD"/>
    <w:rsid w:val="00E77223"/>
    <w:rsid w:val="00E8528B"/>
    <w:rsid w:val="00E85B94"/>
    <w:rsid w:val="00E978D0"/>
    <w:rsid w:val="00EA4613"/>
    <w:rsid w:val="00EA7F91"/>
    <w:rsid w:val="00EB0731"/>
    <w:rsid w:val="00EB1523"/>
    <w:rsid w:val="00EC0E49"/>
    <w:rsid w:val="00EC101F"/>
    <w:rsid w:val="00EC1D9F"/>
    <w:rsid w:val="00EC238B"/>
    <w:rsid w:val="00EE0131"/>
    <w:rsid w:val="00EE17B0"/>
    <w:rsid w:val="00EE2FF9"/>
    <w:rsid w:val="00EE4B19"/>
    <w:rsid w:val="00EF06D9"/>
    <w:rsid w:val="00EF7E97"/>
    <w:rsid w:val="00F0547C"/>
    <w:rsid w:val="00F11A65"/>
    <w:rsid w:val="00F30C64"/>
    <w:rsid w:val="00F32BA2"/>
    <w:rsid w:val="00F32CDB"/>
    <w:rsid w:val="00F415A7"/>
    <w:rsid w:val="00F547F1"/>
    <w:rsid w:val="00F565FE"/>
    <w:rsid w:val="00F63A70"/>
    <w:rsid w:val="00F7534E"/>
    <w:rsid w:val="00FA1802"/>
    <w:rsid w:val="00FA21D0"/>
    <w:rsid w:val="00FA2AD9"/>
    <w:rsid w:val="00FA5F5F"/>
    <w:rsid w:val="00FB36D4"/>
    <w:rsid w:val="00FB730C"/>
    <w:rsid w:val="00FC04EE"/>
    <w:rsid w:val="00FC2695"/>
    <w:rsid w:val="00FC3E03"/>
    <w:rsid w:val="00FC3FC1"/>
    <w:rsid w:val="00FD2423"/>
    <w:rsid w:val="00FE43FA"/>
    <w:rsid w:val="00FE6DB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540E4"/>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540E4"/>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8C0246"/>
    <w:rPr>
      <w:color w:val="605E5C"/>
      <w:shd w:val="clear" w:color="auto" w:fill="E1DFDD"/>
    </w:rPr>
  </w:style>
  <w:style w:type="table" w:styleId="TableGridLight">
    <w:name w:val="Grid Table Light"/>
    <w:basedOn w:val="TableNormal"/>
    <w:uiPriority w:val="40"/>
    <w:rsid w:val="003A5F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A5F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11FE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988531">
      <w:bodyDiv w:val="1"/>
      <w:marLeft w:val="0"/>
      <w:marRight w:val="0"/>
      <w:marTop w:val="0"/>
      <w:marBottom w:val="0"/>
      <w:divBdr>
        <w:top w:val="none" w:sz="0" w:space="0" w:color="auto"/>
        <w:left w:val="none" w:sz="0" w:space="0" w:color="auto"/>
        <w:bottom w:val="none" w:sz="0" w:space="0" w:color="auto"/>
        <w:right w:val="none" w:sz="0" w:space="0" w:color="auto"/>
      </w:divBdr>
      <w:divsChild>
        <w:div w:id="1530489753">
          <w:marLeft w:val="0"/>
          <w:marRight w:val="0"/>
          <w:marTop w:val="0"/>
          <w:marBottom w:val="0"/>
          <w:divBdr>
            <w:top w:val="none" w:sz="0" w:space="0" w:color="auto"/>
            <w:left w:val="none" w:sz="0" w:space="0" w:color="auto"/>
            <w:bottom w:val="none" w:sz="0" w:space="0" w:color="auto"/>
            <w:right w:val="none" w:sz="0" w:space="0" w:color="auto"/>
          </w:divBdr>
        </w:div>
        <w:div w:id="2040466507">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2511">
      <w:bodyDiv w:val="1"/>
      <w:marLeft w:val="0"/>
      <w:marRight w:val="0"/>
      <w:marTop w:val="0"/>
      <w:marBottom w:val="0"/>
      <w:divBdr>
        <w:top w:val="none" w:sz="0" w:space="0" w:color="auto"/>
        <w:left w:val="none" w:sz="0" w:space="0" w:color="auto"/>
        <w:bottom w:val="none" w:sz="0" w:space="0" w:color="auto"/>
        <w:right w:val="none" w:sz="0" w:space="0" w:color="auto"/>
      </w:divBdr>
    </w:div>
    <w:div w:id="123739542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30528848">
      <w:bodyDiv w:val="1"/>
      <w:marLeft w:val="0"/>
      <w:marRight w:val="0"/>
      <w:marTop w:val="0"/>
      <w:marBottom w:val="0"/>
      <w:divBdr>
        <w:top w:val="none" w:sz="0" w:space="0" w:color="auto"/>
        <w:left w:val="none" w:sz="0" w:space="0" w:color="auto"/>
        <w:bottom w:val="none" w:sz="0" w:space="0" w:color="auto"/>
        <w:right w:val="none" w:sz="0" w:space="0" w:color="auto"/>
      </w:divBdr>
    </w:div>
    <w:div w:id="167040869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70052">
      <w:bodyDiv w:val="1"/>
      <w:marLeft w:val="0"/>
      <w:marRight w:val="0"/>
      <w:marTop w:val="0"/>
      <w:marBottom w:val="0"/>
      <w:divBdr>
        <w:top w:val="none" w:sz="0" w:space="0" w:color="auto"/>
        <w:left w:val="none" w:sz="0" w:space="0" w:color="auto"/>
        <w:bottom w:val="none" w:sz="0" w:space="0" w:color="auto"/>
        <w:right w:val="none" w:sz="0" w:space="0" w:color="auto"/>
      </w:divBdr>
    </w:div>
    <w:div w:id="207823811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esca.bosco@polito.i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carlos.gomezcamacho@polito.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4F2F8-C79B-4A83-8612-26A93164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3700</Words>
  <Characters>21091</Characters>
  <Application>Microsoft Office Word</Application>
  <DocSecurity>0</DocSecurity>
  <Lines>175</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Gomez Camacho  Carlos Enrique</cp:lastModifiedBy>
  <cp:revision>3</cp:revision>
  <cp:lastPrinted>2022-03-19T10:57:00Z</cp:lastPrinted>
  <dcterms:created xsi:type="dcterms:W3CDTF">2022-03-21T21:33:00Z</dcterms:created>
  <dcterms:modified xsi:type="dcterms:W3CDTF">2022-03-21T21:37:00Z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https://csl.mendeley.com/styles/461282961/apa</vt:lpwstr>
  </property>
  <property fmtid="{D5CDD505-2E9C-101B-9397-08002B2CF9AE}" pid="5" name="Mendeley Recent Style Name 0_1">
    <vt:lpwstr>American Psychological Association 6th edition - Carlos Gomez</vt:lpwstr>
  </property>
  <property fmtid="{D5CDD505-2E9C-101B-9397-08002B2CF9AE}" pid="6" name="Mendeley Recent Style Id 1_1">
    <vt:lpwstr>http://www.zotero.org/styles/harvard-cite-them-right</vt:lpwstr>
  </property>
  <property fmtid="{D5CDD505-2E9C-101B-9397-08002B2CF9AE}" pid="7" name="Mendeley Recent Style Name 1_1">
    <vt:lpwstr>Cite Them Right 10th edition - Harvard</vt:lpwstr>
  </property>
  <property fmtid="{D5CDD505-2E9C-101B-9397-08002B2CF9AE}" pid="8" name="Mendeley Recent Style Id 2_1">
    <vt:lpwstr>http://www.zotero.org/styles/energy</vt:lpwstr>
  </property>
  <property fmtid="{D5CDD505-2E9C-101B-9397-08002B2CF9AE}" pid="9" name="Mendeley Recent Style Name 2_1">
    <vt:lpwstr>Energy</vt:lpwstr>
  </property>
  <property fmtid="{D5CDD505-2E9C-101B-9397-08002B2CF9AE}" pid="10" name="Mendeley Recent Style Id 3_1">
    <vt:lpwstr>http://www.zotero.org/styles/energy-conversion-and-management</vt:lpwstr>
  </property>
  <property fmtid="{D5CDD505-2E9C-101B-9397-08002B2CF9AE}" pid="11" name="Mendeley Recent Style Name 3_1">
    <vt:lpwstr>Energy Conversion and Management</vt:lpwstr>
  </property>
  <property fmtid="{D5CDD505-2E9C-101B-9397-08002B2CF9AE}" pid="12" name="Mendeley Recent Style Id 4_1">
    <vt:lpwstr>http://www.zotero.org/styles/energy-strategy-reviews</vt:lpwstr>
  </property>
  <property fmtid="{D5CDD505-2E9C-101B-9397-08002B2CF9AE}" pid="13" name="Mendeley Recent Style Name 4_1">
    <vt:lpwstr>Energy Strategy Reviews</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http://www.zotero.org/styles/renewable-energy</vt:lpwstr>
  </property>
  <property fmtid="{D5CDD505-2E9C-101B-9397-08002B2CF9AE}" pid="21" name="Mendeley Recent Style Name 8_1">
    <vt:lpwstr>Renewable Energy</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1a9c1a3b-923b-31a2-8aae-b6a975777c24</vt:lpwstr>
  </property>
  <property fmtid="{D5CDD505-2E9C-101B-9397-08002B2CF9AE}" pid="26" name="Mendeley Citation Style_1">
    <vt:lpwstr>http://www.zotero.org/styles/harvard1</vt:lpwstr>
  </property>
</Properties>
</file>