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95125937"/>
            <w:bookmarkEnd w:id="0"/>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254CE268" w:rsidR="000A03B2" w:rsidRPr="00B57B36" w:rsidRDefault="00A76EFC" w:rsidP="00604911">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604911">
              <w:rPr>
                <w:rFonts w:cs="Arial"/>
                <w:b/>
                <w:bCs/>
                <w:i/>
                <w:iCs/>
                <w:color w:val="000066"/>
                <w:sz w:val="22"/>
                <w:szCs w:val="22"/>
                <w:lang w:eastAsia="it-IT"/>
              </w:rPr>
              <w:t>3</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73B2847B" w:rsidR="00300E56" w:rsidRPr="0044071E" w:rsidRDefault="00300E56" w:rsidP="00B57E6F">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Guest Editors:</w:t>
            </w:r>
            <w:r w:rsidR="001D21AF" w:rsidRPr="0044071E">
              <w:rPr>
                <w:rFonts w:ascii="Tahoma" w:hAnsi="Tahoma" w:cs="Tahoma"/>
                <w:color w:val="000000"/>
                <w:sz w:val="14"/>
                <w:szCs w:val="14"/>
                <w:shd w:val="clear" w:color="auto" w:fill="FFFFFF"/>
                <w:lang w:val="it-IT"/>
              </w:rPr>
              <w:t xml:space="preserve"> </w:t>
            </w:r>
            <w:r w:rsidR="00AF6775">
              <w:rPr>
                <w:rFonts w:ascii="Tahoma" w:hAnsi="Tahoma" w:cs="Tahoma"/>
                <w:color w:val="000000"/>
                <w:sz w:val="14"/>
                <w:szCs w:val="14"/>
                <w:shd w:val="clear" w:color="auto" w:fill="FFFFFF"/>
                <w:lang w:val="it-IT"/>
              </w:rPr>
              <w:t>Marco Bravi,</w:t>
            </w:r>
            <w:r w:rsidR="00945AB6">
              <w:rPr>
                <w:rFonts w:ascii="Tahoma" w:hAnsi="Tahoma" w:cs="Tahoma"/>
                <w:color w:val="000000"/>
                <w:sz w:val="14"/>
                <w:szCs w:val="14"/>
                <w:shd w:val="clear" w:color="auto" w:fill="FFFFFF"/>
                <w:lang w:val="it-IT"/>
              </w:rPr>
              <w:t xml:space="preserve"> Alberto Brucato, Antonio Marzocchella</w:t>
            </w:r>
          </w:p>
          <w:p w14:paraId="1B0F1814" w14:textId="5B50B5BE" w:rsidR="000A03B2" w:rsidRPr="00B57B36" w:rsidRDefault="00FA5F5F" w:rsidP="00604911">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w:t>
            </w:r>
            <w:r w:rsidR="001D21AF">
              <w:rPr>
                <w:rFonts w:ascii="Tahoma" w:hAnsi="Tahoma" w:cs="Tahoma"/>
                <w:sz w:val="14"/>
                <w:szCs w:val="14"/>
              </w:rPr>
              <w:t>9</w:t>
            </w:r>
            <w:r w:rsidR="00604911">
              <w:rPr>
                <w:rFonts w:ascii="Tahoma" w:hAnsi="Tahoma" w:cs="Tahoma"/>
                <w:sz w:val="14"/>
                <w:szCs w:val="14"/>
              </w:rPr>
              <w:t>1</w:t>
            </w:r>
            <w:r w:rsidR="00D46B7E">
              <w:rPr>
                <w:rFonts w:ascii="Tahoma" w:hAnsi="Tahoma" w:cs="Tahoma"/>
                <w:sz w:val="14"/>
                <w:szCs w:val="14"/>
              </w:rPr>
              <w:t>-</w:t>
            </w:r>
            <w:r w:rsidR="00604911">
              <w:rPr>
                <w:rFonts w:ascii="Tahoma" w:hAnsi="Tahoma" w:cs="Tahoma"/>
                <w:sz w:val="14"/>
                <w:szCs w:val="14"/>
              </w:rPr>
              <w:t>4</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2E667253" w14:textId="47E7439D" w:rsidR="00E978D0" w:rsidRPr="00B57B36" w:rsidRDefault="00F85811" w:rsidP="00E978D0">
      <w:pPr>
        <w:pStyle w:val="CETTitle"/>
      </w:pPr>
      <w:r w:rsidRPr="00FF6539">
        <w:t xml:space="preserve">Production </w:t>
      </w:r>
      <w:r>
        <w:t>o</w:t>
      </w:r>
      <w:r w:rsidRPr="00FF6539">
        <w:t>f Hydrogen, Ethanol</w:t>
      </w:r>
      <w:r>
        <w:t xml:space="preserve"> and</w:t>
      </w:r>
      <w:r w:rsidRPr="00FF6539">
        <w:t xml:space="preserve"> Organic Acids </w:t>
      </w:r>
      <w:r>
        <w:t>f</w:t>
      </w:r>
      <w:r w:rsidRPr="00FF6539">
        <w:t>rom Stale Bread Using Mixed Yeasts-Bacteria Microbial Consortia</w:t>
      </w:r>
    </w:p>
    <w:p w14:paraId="6B2D21B3" w14:textId="1CE85D1A" w:rsidR="00B57E6F" w:rsidRPr="00F85811" w:rsidRDefault="00F85811" w:rsidP="00FF6539">
      <w:pPr>
        <w:pStyle w:val="CETAuthors"/>
        <w:rPr>
          <w:lang w:val="it-IT"/>
        </w:rPr>
      </w:pPr>
      <w:r w:rsidRPr="00F85811">
        <w:rPr>
          <w:lang w:val="it-IT"/>
        </w:rPr>
        <w:t>Carlos E.</w:t>
      </w:r>
      <w:r w:rsidRPr="001E7F0E">
        <w:rPr>
          <w:lang w:val="it-IT"/>
        </w:rPr>
        <w:t xml:space="preserve"> </w:t>
      </w:r>
      <w:r w:rsidR="00FF6539" w:rsidRPr="00F85811">
        <w:rPr>
          <w:lang w:val="it-IT"/>
        </w:rPr>
        <w:t>Gómez-Camacho</w:t>
      </w:r>
      <w:r w:rsidR="001A2454" w:rsidRPr="00F85811">
        <w:rPr>
          <w:vertAlign w:val="superscript"/>
          <w:lang w:val="it-IT"/>
        </w:rPr>
        <w:t>a*</w:t>
      </w:r>
      <w:r w:rsidR="00FF6539" w:rsidRPr="00F85811">
        <w:rPr>
          <w:lang w:val="it-IT"/>
        </w:rPr>
        <w:t xml:space="preserve">, </w:t>
      </w:r>
      <w:r>
        <w:rPr>
          <w:lang w:val="it-IT"/>
        </w:rPr>
        <w:t xml:space="preserve">Romolo </w:t>
      </w:r>
      <w:r w:rsidR="00FF6539" w:rsidRPr="00F85811">
        <w:rPr>
          <w:lang w:val="it-IT"/>
        </w:rPr>
        <w:t xml:space="preserve">Di Sabatino </w:t>
      </w:r>
      <w:r w:rsidR="001A2454" w:rsidRPr="00F85811">
        <w:rPr>
          <w:vertAlign w:val="superscript"/>
          <w:lang w:val="it-IT"/>
        </w:rPr>
        <w:t>a,b</w:t>
      </w:r>
      <w:r w:rsidR="00FF6539" w:rsidRPr="00F85811">
        <w:rPr>
          <w:lang w:val="it-IT"/>
        </w:rPr>
        <w:t xml:space="preserve">, </w:t>
      </w:r>
      <w:r>
        <w:rPr>
          <w:lang w:val="it-IT"/>
        </w:rPr>
        <w:t xml:space="preserve">Francesca </w:t>
      </w:r>
      <w:r w:rsidR="00FF6539" w:rsidRPr="00F85811">
        <w:rPr>
          <w:lang w:val="it-IT"/>
        </w:rPr>
        <w:t>Bosco</w:t>
      </w:r>
      <w:r w:rsidR="001A2454" w:rsidRPr="00F85811">
        <w:rPr>
          <w:vertAlign w:val="superscript"/>
          <w:lang w:val="it-IT"/>
        </w:rPr>
        <w:t>a</w:t>
      </w:r>
      <w:r w:rsidR="00FF6539" w:rsidRPr="00F85811">
        <w:rPr>
          <w:lang w:val="it-IT"/>
        </w:rPr>
        <w:t xml:space="preserve">, </w:t>
      </w:r>
      <w:r>
        <w:rPr>
          <w:lang w:val="it-IT"/>
        </w:rPr>
        <w:t xml:space="preserve">Bernardo </w:t>
      </w:r>
      <w:r w:rsidR="00FF6539" w:rsidRPr="00F85811">
        <w:rPr>
          <w:lang w:val="it-IT"/>
        </w:rPr>
        <w:t xml:space="preserve">Ruggeri </w:t>
      </w:r>
      <w:r w:rsidR="001A2454" w:rsidRPr="00F85811">
        <w:rPr>
          <w:vertAlign w:val="superscript"/>
          <w:lang w:val="it-IT"/>
        </w:rPr>
        <w:t>a*</w:t>
      </w:r>
    </w:p>
    <w:p w14:paraId="3C718797" w14:textId="0152CEE0" w:rsidR="00FF6539" w:rsidRPr="00D64CA3" w:rsidRDefault="001A2454" w:rsidP="00B57E6F">
      <w:pPr>
        <w:pStyle w:val="CETAddress"/>
      </w:pPr>
      <w:r w:rsidRPr="00D64CA3">
        <w:rPr>
          <w:vertAlign w:val="superscript"/>
        </w:rPr>
        <w:t>a</w:t>
      </w:r>
      <w:r w:rsidR="00FF6539" w:rsidRPr="00D64CA3">
        <w:t>Politecnico di Torino, Dep. of Applied Science and Technology (DISAT), C/so Duca degli Abruzzi 24, 10129 Torino.</w:t>
      </w:r>
    </w:p>
    <w:p w14:paraId="23C1D695" w14:textId="1ADD8537" w:rsidR="001A2454" w:rsidRPr="00156556" w:rsidRDefault="001A2454" w:rsidP="00B57E6F">
      <w:pPr>
        <w:pStyle w:val="CETAddress"/>
      </w:pPr>
      <w:r w:rsidRPr="00156556">
        <w:rPr>
          <w:vertAlign w:val="superscript"/>
        </w:rPr>
        <w:t>b</w:t>
      </w:r>
      <w:r w:rsidR="00156556" w:rsidRPr="00156556">
        <w:t>University of Twente</w:t>
      </w:r>
      <w:r w:rsidR="00156556">
        <w:t>,</w:t>
      </w:r>
      <w:r w:rsidR="00156556" w:rsidRPr="00156556">
        <w:t xml:space="preserve"> Faculty of Science and Technology</w:t>
      </w:r>
      <w:r w:rsidR="00156556">
        <w:t>,</w:t>
      </w:r>
      <w:r w:rsidR="00156556" w:rsidRPr="00156556">
        <w:t xml:space="preserve"> Sustainable</w:t>
      </w:r>
      <w:r w:rsidR="00156556">
        <w:t xml:space="preserve"> P</w:t>
      </w:r>
      <w:r w:rsidR="00156556" w:rsidRPr="00156556">
        <w:t>rocess Technology, Enschede, The Netherlands</w:t>
      </w:r>
    </w:p>
    <w:p w14:paraId="73F1267A" w14:textId="39E7B21B" w:rsidR="00B57E6F" w:rsidRPr="001A2454" w:rsidRDefault="001A2454" w:rsidP="00FF6539">
      <w:pPr>
        <w:pStyle w:val="CETAddress"/>
      </w:pPr>
      <w:r w:rsidRPr="001A2454">
        <w:t>*</w:t>
      </w:r>
      <w:hyperlink r:id="rId10" w:history="1">
        <w:r w:rsidRPr="006A7386">
          <w:rPr>
            <w:rStyle w:val="Collegamentoipertestuale"/>
          </w:rPr>
          <w:t>carlos.gomezcamacho@polito.it</w:t>
        </w:r>
      </w:hyperlink>
      <w:r w:rsidRPr="001A2454">
        <w:t xml:space="preserve"> an</w:t>
      </w:r>
      <w:r>
        <w:t xml:space="preserve">d </w:t>
      </w:r>
      <w:hyperlink r:id="rId11" w:history="1">
        <w:r w:rsidRPr="006A7386">
          <w:rPr>
            <w:rStyle w:val="Collegamentoipertestuale"/>
          </w:rPr>
          <w:t>bernardo.ruggeri@polito.it</w:t>
        </w:r>
      </w:hyperlink>
      <w:r>
        <w:t xml:space="preserve"> </w:t>
      </w:r>
    </w:p>
    <w:p w14:paraId="119999B6" w14:textId="5AC0733C" w:rsidR="00FF6539" w:rsidRPr="001A2454" w:rsidRDefault="00FF6539" w:rsidP="00FF6539">
      <w:pPr>
        <w:pStyle w:val="CETAddress"/>
      </w:pPr>
    </w:p>
    <w:p w14:paraId="19057B6F" w14:textId="0B30A6A2" w:rsidR="00F1559B" w:rsidRPr="0078605F" w:rsidRDefault="0078605F" w:rsidP="001A2454">
      <w:pPr>
        <w:pStyle w:val="CETBodytext"/>
      </w:pPr>
      <w:r w:rsidRPr="0078605F">
        <w:t xml:space="preserve">One of the main methods for obtaining </w:t>
      </w:r>
      <w:r>
        <w:t xml:space="preserve">mixed </w:t>
      </w:r>
      <w:r w:rsidRPr="0078605F">
        <w:t>fermentative acidogenic inocula is the isolation of spore-forming bacteria</w:t>
      </w:r>
      <w:r>
        <w:t xml:space="preserve"> (SFB)</w:t>
      </w:r>
      <w:r w:rsidRPr="0078605F">
        <w:t xml:space="preserve"> from different mixed matrices. </w:t>
      </w:r>
      <w:r>
        <w:t>SFB</w:t>
      </w:r>
      <w:r w:rsidRPr="0078605F">
        <w:t xml:space="preserve"> have proven to be</w:t>
      </w:r>
      <w:r>
        <w:t xml:space="preserve"> suitable</w:t>
      </w:r>
      <w:r w:rsidRPr="0078605F">
        <w:t xml:space="preserve"> inocul</w:t>
      </w:r>
      <w:r>
        <w:t>a</w:t>
      </w:r>
      <w:r w:rsidRPr="0078605F">
        <w:t xml:space="preserve"> in </w:t>
      </w:r>
      <w:r>
        <w:t>D</w:t>
      </w:r>
      <w:r w:rsidRPr="0078605F">
        <w:t xml:space="preserve">ark </w:t>
      </w:r>
      <w:r>
        <w:t>F</w:t>
      </w:r>
      <w:r w:rsidRPr="0078605F">
        <w:t xml:space="preserve">ermentation systems, although they have certain limitations. In the present study, </w:t>
      </w:r>
      <w:r w:rsidR="007C7BAA">
        <w:t>the</w:t>
      </w:r>
      <w:r w:rsidR="007C7BAA" w:rsidRPr="0078605F">
        <w:t xml:space="preserve"> </w:t>
      </w:r>
      <w:r w:rsidRPr="0078605F">
        <w:t>formulati</w:t>
      </w:r>
      <w:r w:rsidR="00F832D2">
        <w:t xml:space="preserve">on of </w:t>
      </w:r>
      <w:r w:rsidRPr="0078605F">
        <w:t>a mixed consorti</w:t>
      </w:r>
      <w:r w:rsidR="007C7BAA">
        <w:t>um</w:t>
      </w:r>
      <w:r w:rsidRPr="0078605F">
        <w:t xml:space="preserve"> is studied, </w:t>
      </w:r>
      <w:r>
        <w:t xml:space="preserve">by </w:t>
      </w:r>
      <w:r w:rsidRPr="0078605F">
        <w:t xml:space="preserve">combining </w:t>
      </w:r>
      <w:r>
        <w:t>SFB</w:t>
      </w:r>
      <w:r w:rsidRPr="0078605F">
        <w:t xml:space="preserve"> </w:t>
      </w:r>
      <w:r>
        <w:t>a</w:t>
      </w:r>
      <w:r w:rsidRPr="0078605F">
        <w:t xml:space="preserve">nd Water </w:t>
      </w:r>
      <w:r>
        <w:t>K</w:t>
      </w:r>
      <w:r w:rsidRPr="0078605F">
        <w:t>efir</w:t>
      </w:r>
      <w:r>
        <w:t xml:space="preserve"> (WK)</w:t>
      </w:r>
      <w:r w:rsidR="00F832D2">
        <w:t xml:space="preserve"> </w:t>
      </w:r>
      <w:r w:rsidR="00F40ADA">
        <w:t>in Mixed-Yeast-bacteria (MYB) fermentations tests</w:t>
      </w:r>
      <w:r w:rsidRPr="0078605F">
        <w:t xml:space="preserve">. First, </w:t>
      </w:r>
      <w:r>
        <w:t>both</w:t>
      </w:r>
      <w:r w:rsidRPr="0078605F">
        <w:t xml:space="preserve"> inocula are properly selected and maintained.</w:t>
      </w:r>
      <w:r>
        <w:t xml:space="preserve"> Then</w:t>
      </w:r>
      <w:r w:rsidRPr="0078605F">
        <w:t xml:space="preserve">, </w:t>
      </w:r>
      <w:r w:rsidR="001A2454">
        <w:t xml:space="preserve">a scan of different pretreatments is performed </w:t>
      </w:r>
      <w:r w:rsidR="008A3417">
        <w:t>on</w:t>
      </w:r>
      <w:r w:rsidR="001A2454">
        <w:t xml:space="preserve"> stale bread that was selected as </w:t>
      </w:r>
      <w:r w:rsidR="008A3417">
        <w:t>retrieved</w:t>
      </w:r>
      <w:r w:rsidR="001A2454">
        <w:t xml:space="preserve"> substrate for </w:t>
      </w:r>
      <w:r w:rsidR="008A3417">
        <w:t>the MYB</w:t>
      </w:r>
      <w:r w:rsidR="001A2454">
        <w:t xml:space="preserve"> tests. MYB </w:t>
      </w:r>
      <w:r w:rsidR="00F832D2">
        <w:t xml:space="preserve">tests </w:t>
      </w:r>
      <w:r w:rsidR="001A2454">
        <w:t xml:space="preserve">are </w:t>
      </w:r>
      <w:r w:rsidR="008A3417">
        <w:t>conducted</w:t>
      </w:r>
      <w:r w:rsidR="001A2454">
        <w:t xml:space="preserve"> in </w:t>
      </w:r>
      <w:r w:rsidRPr="0078605F">
        <w:t xml:space="preserve">batch </w:t>
      </w:r>
      <w:r w:rsidR="001A2454">
        <w:t xml:space="preserve">mode, under </w:t>
      </w:r>
      <w:r w:rsidRPr="0078605F">
        <w:t xml:space="preserve">anaerobic </w:t>
      </w:r>
      <w:r w:rsidR="001A2454">
        <w:t xml:space="preserve">conditions, using </w:t>
      </w:r>
      <w:r w:rsidR="008A3417">
        <w:t xml:space="preserve">the </w:t>
      </w:r>
      <w:r w:rsidR="001A2454">
        <w:t>basic-pretreated stale bread.</w:t>
      </w:r>
      <w:r>
        <w:t xml:space="preserve"> </w:t>
      </w:r>
      <w:r w:rsidRPr="0078605F">
        <w:t>Systems inoculated with independent inocula (</w:t>
      </w:r>
      <w:r>
        <w:t xml:space="preserve">either SFB and WK, in a </w:t>
      </w:r>
      <w:r w:rsidRPr="0078605F">
        <w:t xml:space="preserve">10% </w:t>
      </w:r>
      <w:r w:rsidRPr="0078605F">
        <w:rPr>
          <w:i/>
          <w:iCs/>
        </w:rPr>
        <w:t>v/v</w:t>
      </w:r>
      <w:r w:rsidRPr="0078605F">
        <w:t xml:space="preserve">) and combined </w:t>
      </w:r>
      <w:r>
        <w:t>(WK+SPB</w:t>
      </w:r>
      <w:r w:rsidR="001A2454">
        <w:t xml:space="preserve">, </w:t>
      </w:r>
      <w:r w:rsidRPr="0078605F">
        <w:t xml:space="preserve">5+5% </w:t>
      </w:r>
      <w:r w:rsidRPr="001A2454">
        <w:rPr>
          <w:i/>
          <w:iCs/>
        </w:rPr>
        <w:t>v/v</w:t>
      </w:r>
      <w:r w:rsidRPr="0078605F">
        <w:t xml:space="preserve">) </w:t>
      </w:r>
      <w:r w:rsidR="001A2454">
        <w:t xml:space="preserve">are studied </w:t>
      </w:r>
      <w:r w:rsidRPr="0078605F">
        <w:t>in</w:t>
      </w:r>
      <w:r w:rsidR="001A2454">
        <w:t xml:space="preserve"> a</w:t>
      </w:r>
      <w:r w:rsidRPr="0078605F">
        <w:t xml:space="preserve"> three</w:t>
      </w:r>
      <w:r w:rsidR="001A2454">
        <w:t xml:space="preserve">-cycles </w:t>
      </w:r>
      <w:r w:rsidR="008A3417">
        <w:t>compatibility</w:t>
      </w:r>
      <w:r w:rsidRPr="0078605F">
        <w:t xml:space="preserve"> </w:t>
      </w:r>
      <w:r w:rsidR="001A2454">
        <w:t xml:space="preserve">experimental </w:t>
      </w:r>
      <w:r w:rsidR="008A3417">
        <w:t>campaign</w:t>
      </w:r>
      <w:r w:rsidRPr="0078605F">
        <w:t xml:space="preserve">. The gas </w:t>
      </w:r>
      <w:r w:rsidR="00AB72FD" w:rsidRPr="0078605F">
        <w:t>production</w:t>
      </w:r>
      <w:r w:rsidR="00AB72FD">
        <w:t xml:space="preserve"> and </w:t>
      </w:r>
      <w:r w:rsidR="00F832D2">
        <w:t>yield</w:t>
      </w:r>
      <w:r w:rsidR="00EF670A">
        <w:t xml:space="preserve">, </w:t>
      </w:r>
      <w:r w:rsidR="00F832D2">
        <w:t>its</w:t>
      </w:r>
      <w:r w:rsidRPr="0078605F">
        <w:t xml:space="preserve"> composition</w:t>
      </w:r>
      <w:r w:rsidR="00EF670A">
        <w:t xml:space="preserve"> and</w:t>
      </w:r>
      <w:r w:rsidRPr="0078605F">
        <w:t xml:space="preserve"> the </w:t>
      </w:r>
      <w:r w:rsidR="00B079F0">
        <w:t xml:space="preserve">liquid </w:t>
      </w:r>
      <w:r w:rsidRPr="0078605F">
        <w:t>t</w:t>
      </w:r>
      <w:r w:rsidR="00B079F0">
        <w:t>iters</w:t>
      </w:r>
      <w:r w:rsidR="00F832D2">
        <w:t xml:space="preserve"> </w:t>
      </w:r>
      <w:r w:rsidR="007C7BAA">
        <w:t xml:space="preserve">of organic acids and ethanol </w:t>
      </w:r>
      <w:r w:rsidRPr="0078605F">
        <w:t xml:space="preserve">are </w:t>
      </w:r>
      <w:r w:rsidR="001A2454">
        <w:t>measured to shed light on the fermentation dynamics in each case.</w:t>
      </w:r>
      <w:r w:rsidR="007A556C" w:rsidRPr="007A556C">
        <w:t xml:space="preserve"> </w:t>
      </w:r>
      <w:r w:rsidR="007A556C">
        <w:t>The</w:t>
      </w:r>
      <w:r w:rsidR="007A556C" w:rsidRPr="007A556C">
        <w:t xml:space="preserve"> adaptation cycle</w:t>
      </w:r>
      <w:r w:rsidR="007A556C">
        <w:t>s resulted in progressively reduc</w:t>
      </w:r>
      <w:r w:rsidR="00F832D2">
        <w:t>ed</w:t>
      </w:r>
      <w:r w:rsidR="007A556C" w:rsidRPr="007A556C">
        <w:t xml:space="preserve"> lag phase</w:t>
      </w:r>
      <w:r w:rsidR="007A556C">
        <w:t>s</w:t>
      </w:r>
      <w:r w:rsidR="007A556C" w:rsidRPr="007A556C">
        <w:t xml:space="preserve"> for </w:t>
      </w:r>
      <w:r w:rsidR="007A556C">
        <w:t>all systems</w:t>
      </w:r>
      <w:r w:rsidR="00EF670A">
        <w:t>, and i</w:t>
      </w:r>
      <w:r w:rsidR="00F832D2" w:rsidRPr="00F832D2">
        <w:t>nteresting</w:t>
      </w:r>
      <w:r w:rsidR="007A556C">
        <w:t xml:space="preserve"> </w:t>
      </w:r>
      <w:r w:rsidR="00F832D2">
        <w:t xml:space="preserve">results were obtained </w:t>
      </w:r>
      <w:r w:rsidR="00EF670A">
        <w:t>for the WK+SFB system, which exhibited</w:t>
      </w:r>
      <w:r w:rsidR="007A556C">
        <w:t xml:space="preserve"> higher h</w:t>
      </w:r>
      <w:r w:rsidR="007A556C" w:rsidRPr="007A556C">
        <w:t xml:space="preserve">ydrolytic activity </w:t>
      </w:r>
      <w:r w:rsidR="007A556C">
        <w:t xml:space="preserve">and </w:t>
      </w:r>
      <w:r w:rsidR="00EF670A">
        <w:t xml:space="preserve">achieved the </w:t>
      </w:r>
      <w:r w:rsidR="007A556C" w:rsidRPr="007A556C">
        <w:t>highest hydrogen, ethanol and organic acid producti</w:t>
      </w:r>
      <w:r w:rsidR="00EF670A">
        <w:t>vity.</w:t>
      </w:r>
    </w:p>
    <w:p w14:paraId="476B2F2E" w14:textId="77777777" w:rsidR="00600535" w:rsidRPr="00B57B36" w:rsidRDefault="00600535" w:rsidP="00600535">
      <w:pPr>
        <w:pStyle w:val="CETHeading1"/>
        <w:rPr>
          <w:lang w:val="en-GB"/>
        </w:rPr>
      </w:pPr>
      <w:r w:rsidRPr="00B57B36">
        <w:rPr>
          <w:lang w:val="en-GB"/>
        </w:rPr>
        <w:t>Introduction</w:t>
      </w:r>
    </w:p>
    <w:p w14:paraId="281E3AE4" w14:textId="460BDEC2" w:rsidR="00532A76" w:rsidRDefault="002F68D0" w:rsidP="005B4553">
      <w:pPr>
        <w:pStyle w:val="CETBodytext"/>
        <w:rPr>
          <w:rStyle w:val="CETBodytextCarattere"/>
        </w:rPr>
      </w:pPr>
      <w:r w:rsidRPr="002F68D0">
        <w:rPr>
          <w:rStyle w:val="CETBodytextCarattere"/>
        </w:rPr>
        <w:t xml:space="preserve">In recent years, the increase in environmental problems </w:t>
      </w:r>
      <w:r w:rsidR="002937AE">
        <w:rPr>
          <w:rStyle w:val="CETBodytextCarattere"/>
        </w:rPr>
        <w:t xml:space="preserve">has intensified the search of </w:t>
      </w:r>
      <w:r w:rsidRPr="002F68D0">
        <w:rPr>
          <w:rStyle w:val="CETBodytextCarattere"/>
        </w:rPr>
        <w:t xml:space="preserve">sustainable solutions to </w:t>
      </w:r>
      <w:r w:rsidR="002937AE">
        <w:rPr>
          <w:rStyle w:val="CETBodytextCarattere"/>
        </w:rPr>
        <w:t xml:space="preserve">meet societal needs. </w:t>
      </w:r>
      <w:r w:rsidR="00532A76">
        <w:rPr>
          <w:rStyle w:val="CETBodytextCarattere"/>
        </w:rPr>
        <w:t xml:space="preserve">Biorefinery </w:t>
      </w:r>
      <w:r w:rsidR="00EB0C45">
        <w:rPr>
          <w:rStyle w:val="CETBodytextCarattere"/>
        </w:rPr>
        <w:t xml:space="preserve">approaches indeed currently seek alternative pathways, primarily by exploiting biomass </w:t>
      </w:r>
      <w:r w:rsidR="00EB0C45" w:rsidRPr="00EB0C45">
        <w:rPr>
          <w:rStyle w:val="CETBodytextCarattere"/>
        </w:rPr>
        <w:t>renewable resource</w:t>
      </w:r>
      <w:r w:rsidR="00EB0C45">
        <w:rPr>
          <w:rStyle w:val="CETBodytextCarattere"/>
        </w:rPr>
        <w:t xml:space="preserve">s, for the production of </w:t>
      </w:r>
      <w:r w:rsidR="00EB0C45" w:rsidRPr="00EB0C45">
        <w:rPr>
          <w:rStyle w:val="CETBodytextCarattere"/>
        </w:rPr>
        <w:t xml:space="preserve">useful chemicals and </w:t>
      </w:r>
      <w:r w:rsidR="00EB0C45">
        <w:rPr>
          <w:rStyle w:val="CETBodytextCarattere"/>
        </w:rPr>
        <w:t>(bio)</w:t>
      </w:r>
      <w:r w:rsidR="00EB0C45" w:rsidRPr="00EB0C45">
        <w:rPr>
          <w:rStyle w:val="CETBodytextCarattere"/>
        </w:rPr>
        <w:t>fuels</w:t>
      </w:r>
      <w:r w:rsidR="00EB0C45">
        <w:rPr>
          <w:rStyle w:val="CETBodytextCarattere"/>
        </w:rPr>
        <w:t xml:space="preserve">. </w:t>
      </w:r>
      <w:r w:rsidR="00EB0C45" w:rsidRPr="00EB0C45">
        <w:rPr>
          <w:rStyle w:val="CETBodytextCarattere"/>
        </w:rPr>
        <w:t xml:space="preserve">Most biorefinery processes can be classified </w:t>
      </w:r>
      <w:r w:rsidR="005F6A5E">
        <w:rPr>
          <w:rStyle w:val="CETBodytextCarattere"/>
        </w:rPr>
        <w:t xml:space="preserve">under </w:t>
      </w:r>
      <w:r w:rsidR="007C7BAA">
        <w:rPr>
          <w:rStyle w:val="CETBodytextCarattere"/>
        </w:rPr>
        <w:t xml:space="preserve">the </w:t>
      </w:r>
      <w:r w:rsidR="00EB0C45" w:rsidRPr="00EB0C45">
        <w:rPr>
          <w:rStyle w:val="CETBodytextCarattere"/>
        </w:rPr>
        <w:t xml:space="preserve">thermo or </w:t>
      </w:r>
      <w:r w:rsidR="007C7BAA">
        <w:rPr>
          <w:rStyle w:val="CETBodytextCarattere"/>
        </w:rPr>
        <w:t xml:space="preserve">the </w:t>
      </w:r>
      <w:r w:rsidR="00EB0C45" w:rsidRPr="00EB0C45">
        <w:rPr>
          <w:rStyle w:val="CETBodytextCarattere"/>
        </w:rPr>
        <w:t>bio-based</w:t>
      </w:r>
      <w:r w:rsidR="007C7BAA">
        <w:rPr>
          <w:rStyle w:val="CETBodytextCarattere"/>
        </w:rPr>
        <w:t xml:space="preserve"> axis</w:t>
      </w:r>
      <w:r w:rsidR="00EB0C45" w:rsidRPr="00EB0C45">
        <w:rPr>
          <w:rStyle w:val="CETBodytextCarattere"/>
        </w:rPr>
        <w:t xml:space="preserve">. The difference lies in the principle that is exploited for the activation and conversion of biomass; each of them requires a different </w:t>
      </w:r>
      <w:r w:rsidR="005F6A5E">
        <w:rPr>
          <w:rStyle w:val="CETBodytextCarattere"/>
        </w:rPr>
        <w:t>technology</w:t>
      </w:r>
      <w:r w:rsidR="00EB0C45" w:rsidRPr="00EB0C45">
        <w:rPr>
          <w:rStyle w:val="CETBodytextCarattere"/>
        </w:rPr>
        <w:t xml:space="preserve"> chain (i.e., upstream </w:t>
      </w:r>
      <w:r w:rsidR="00EB0C45">
        <w:rPr>
          <w:rStyle w:val="CETBodytextCarattere"/>
        </w:rPr>
        <w:t>operations</w:t>
      </w:r>
      <w:r w:rsidR="00EB0C45" w:rsidRPr="00EB0C45">
        <w:rPr>
          <w:rStyle w:val="CETBodytextCarattere"/>
        </w:rPr>
        <w:t xml:space="preserve">, conversion processes and downstream </w:t>
      </w:r>
      <w:r w:rsidR="00EB0C45">
        <w:rPr>
          <w:rStyle w:val="CETBodytextCarattere"/>
        </w:rPr>
        <w:t xml:space="preserve">steps up to </w:t>
      </w:r>
      <w:r w:rsidR="00EB0C45" w:rsidRPr="00EB0C45">
        <w:rPr>
          <w:rStyle w:val="CETBodytextCarattere"/>
        </w:rPr>
        <w:t>final purification</w:t>
      </w:r>
      <w:r w:rsidR="00EB0C45">
        <w:rPr>
          <w:rStyle w:val="CETBodytextCarattere"/>
        </w:rPr>
        <w:t xml:space="preserve"> if it is required</w:t>
      </w:r>
      <w:r w:rsidR="00EB0C45" w:rsidRPr="00EB0C45">
        <w:rPr>
          <w:rStyle w:val="CETBodytextCarattere"/>
        </w:rPr>
        <w:t>).</w:t>
      </w:r>
      <w:r w:rsidR="00DD217F">
        <w:rPr>
          <w:rStyle w:val="CETBodytextCarattere"/>
        </w:rPr>
        <w:t xml:space="preserve"> </w:t>
      </w:r>
    </w:p>
    <w:p w14:paraId="534087F4" w14:textId="16F37565" w:rsidR="002850A8" w:rsidRPr="002850A8" w:rsidRDefault="000D3C1B" w:rsidP="002850A8">
      <w:pPr>
        <w:pStyle w:val="CETBodytext"/>
      </w:pPr>
      <w:r w:rsidRPr="000D3C1B">
        <w:t xml:space="preserve">A wide range of biotechnological processes have been proposed in the literature for the production of energy carriers and chemical compounds of interest. </w:t>
      </w:r>
      <w:r w:rsidR="00D05C0C">
        <w:t>T</w:t>
      </w:r>
      <w:r w:rsidRPr="000D3C1B">
        <w:t>he most consolidated applications</w:t>
      </w:r>
      <w:r>
        <w:t xml:space="preserve"> </w:t>
      </w:r>
      <w:r w:rsidR="005F6A5E" w:rsidRPr="005F6A5E">
        <w:t xml:space="preserve">to </w:t>
      </w:r>
      <w:r w:rsidR="005F6A5E">
        <w:t>valorize</w:t>
      </w:r>
      <w:r w:rsidR="005F6A5E" w:rsidRPr="005F6A5E">
        <w:t xml:space="preserve"> the organic matter</w:t>
      </w:r>
      <w:r w:rsidR="005F6A5E">
        <w:t xml:space="preserve"> (OM) </w:t>
      </w:r>
      <w:r>
        <w:t xml:space="preserve">are the aerobic and </w:t>
      </w:r>
      <w:r w:rsidR="005F6A5E">
        <w:t xml:space="preserve">the </w:t>
      </w:r>
      <w:r>
        <w:t xml:space="preserve">anaerobic treatment of </w:t>
      </w:r>
      <w:r w:rsidR="005F6A5E">
        <w:t>OM</w:t>
      </w:r>
      <w:r w:rsidR="00617608">
        <w:t xml:space="preserve"> (</w:t>
      </w:r>
      <w:r>
        <w:t>wastewater</w:t>
      </w:r>
      <w:r w:rsidR="00617608">
        <w:t xml:space="preserve">s, refuses, activated </w:t>
      </w:r>
      <w:r>
        <w:t>sludges,</w:t>
      </w:r>
      <w:r w:rsidR="00617608">
        <w:t xml:space="preserve"> etc</w:t>
      </w:r>
      <w:r w:rsidR="00745104">
        <w:t>.</w:t>
      </w:r>
      <w:r w:rsidR="00617608">
        <w:t>) and composting. These b</w:t>
      </w:r>
      <w:r w:rsidR="00864D6E" w:rsidRPr="00864D6E">
        <w:t xml:space="preserve">iotechnological processes </w:t>
      </w:r>
      <w:r w:rsidR="00D05C0C">
        <w:t>exploit the v</w:t>
      </w:r>
      <w:r w:rsidR="00D05C0C" w:rsidRPr="00D05C0C">
        <w:t>ast diversity</w:t>
      </w:r>
      <w:r w:rsidR="00D05C0C">
        <w:t xml:space="preserve"> of</w:t>
      </w:r>
      <w:r w:rsidR="00617608">
        <w:t xml:space="preserve"> microbial</w:t>
      </w:r>
      <w:r w:rsidR="00617608" w:rsidRPr="00864D6E">
        <w:t xml:space="preserve"> consortia </w:t>
      </w:r>
      <w:r w:rsidR="00617608">
        <w:t>instead of monocultures due to the complexity of the system</w:t>
      </w:r>
      <w:r w:rsidR="00D05C0C">
        <w:t>; but they provide key services such as</w:t>
      </w:r>
      <w:r w:rsidR="00617608">
        <w:t xml:space="preserve"> for water sanitation, </w:t>
      </w:r>
      <w:r w:rsidR="00617608" w:rsidRPr="00617608">
        <w:t xml:space="preserve">energy recovery alongside </w:t>
      </w:r>
      <w:r w:rsidR="00617608">
        <w:t xml:space="preserve">with </w:t>
      </w:r>
      <w:r w:rsidR="00617608" w:rsidRPr="00617608">
        <w:t xml:space="preserve">nutrient recycling </w:t>
      </w:r>
      <w:r w:rsidR="00617608">
        <w:t>by producing</w:t>
      </w:r>
      <w:r w:rsidR="00617608" w:rsidRPr="00617608">
        <w:t xml:space="preserve"> </w:t>
      </w:r>
      <w:r w:rsidR="009340D1" w:rsidRPr="009340D1">
        <w:t>organic soil conditioner</w:t>
      </w:r>
      <w:r w:rsidR="007C7BAA">
        <w:t>s</w:t>
      </w:r>
      <w:r w:rsidR="00F1559B">
        <w:t xml:space="preserve"> useful for the agricultural sector</w:t>
      </w:r>
      <w:r w:rsidR="00617608">
        <w:t xml:space="preserve">. </w:t>
      </w:r>
      <w:r w:rsidR="00D05C0C">
        <w:t>The</w:t>
      </w:r>
      <w:r w:rsidR="00617608" w:rsidRPr="00617608">
        <w:t xml:space="preserve"> </w:t>
      </w:r>
      <w:r w:rsidR="00617608">
        <w:t xml:space="preserve">Dark </w:t>
      </w:r>
      <w:r w:rsidR="00483D79">
        <w:t>Fermentation</w:t>
      </w:r>
      <w:r w:rsidR="00617608">
        <w:t xml:space="preserve"> (DF)</w:t>
      </w:r>
      <w:r w:rsidR="00617608" w:rsidRPr="00617608">
        <w:t xml:space="preserve"> </w:t>
      </w:r>
      <w:r w:rsidR="00D05C0C">
        <w:t xml:space="preserve">has been widely studied for </w:t>
      </w:r>
      <w:r w:rsidR="00617608" w:rsidRPr="00617608">
        <w:t xml:space="preserve">organic </w:t>
      </w:r>
      <w:r w:rsidR="00D05C0C">
        <w:t>residues; the process can be considered</w:t>
      </w:r>
      <w:r w:rsidR="00617608" w:rsidRPr="00617608">
        <w:t xml:space="preserve"> a truncated version of anaerobic digestion</w:t>
      </w:r>
      <w:r w:rsidR="009340D1">
        <w:t xml:space="preserve"> (AD)</w:t>
      </w:r>
      <w:r w:rsidR="00D05C0C">
        <w:t>, resulting in the production of</w:t>
      </w:r>
      <w:r w:rsidR="00617608" w:rsidRPr="00617608">
        <w:t xml:space="preserve"> biohydrogen in the gaseous phase and short-chain carboxylic acids in the liquid phase and eventually solvents (mainly ethanol and butanol).</w:t>
      </w:r>
      <w:r w:rsidR="00016167">
        <w:t xml:space="preserve"> </w:t>
      </w:r>
      <w:r w:rsidR="00CA69A8">
        <w:t>T</w:t>
      </w:r>
      <w:r w:rsidR="00D05C0C">
        <w:t xml:space="preserve">he </w:t>
      </w:r>
      <w:r w:rsidR="00717899" w:rsidRPr="00717899">
        <w:t>DF alone has not yet reached consolidated presence in biorefineries environments, since the energy sustainability of the process can be hardly reached</w:t>
      </w:r>
      <w:r w:rsidR="00EF670A">
        <w:t>. H</w:t>
      </w:r>
      <w:r w:rsidR="00717899" w:rsidRPr="00717899">
        <w:t>owever, DF has been candidate</w:t>
      </w:r>
      <w:r w:rsidR="00745104">
        <w:t>d</w:t>
      </w:r>
      <w:r w:rsidR="00717899" w:rsidRPr="00717899">
        <w:t xml:space="preserve"> as key processing unit within multistep technological chains, where DF </w:t>
      </w:r>
      <w:r w:rsidR="00CA69A8">
        <w:t>serve</w:t>
      </w:r>
      <w:r w:rsidR="00717899" w:rsidRPr="00717899">
        <w:t xml:space="preserve"> as biological pre-treatment for the hydrolysis and first fermentative cycles</w:t>
      </w:r>
      <w:r w:rsidR="00CA69A8">
        <w:t xml:space="preserve"> (i.e., </w:t>
      </w:r>
      <w:r w:rsidR="00717899" w:rsidRPr="00717899">
        <w:t>acidogenesis and acetogenesis</w:t>
      </w:r>
      <w:r w:rsidR="00CA69A8">
        <w:t>)</w:t>
      </w:r>
      <w:r w:rsidR="00EF670A">
        <w:t>, for example</w:t>
      </w:r>
      <w:r w:rsidR="009340D1">
        <w:t xml:space="preserve"> in two step AD </w:t>
      </w:r>
      <w:r w:rsidR="00EF670A">
        <w:t>(</w:t>
      </w:r>
      <w:r w:rsidR="009340D1" w:rsidRPr="009340D1">
        <w:t xml:space="preserve">increasing the </w:t>
      </w:r>
      <w:r w:rsidR="009340D1">
        <w:t xml:space="preserve">total </w:t>
      </w:r>
      <w:r w:rsidR="009340D1" w:rsidRPr="009340D1">
        <w:t xml:space="preserve">energy </w:t>
      </w:r>
      <w:r w:rsidR="009340D1">
        <w:t>produced as gas phase CH</w:t>
      </w:r>
      <w:r w:rsidR="009340D1" w:rsidRPr="00EF670A">
        <w:rPr>
          <w:vertAlign w:val="subscript"/>
        </w:rPr>
        <w:t>4</w:t>
      </w:r>
      <w:r w:rsidR="009340D1">
        <w:t>+H</w:t>
      </w:r>
      <w:r w:rsidR="009340D1" w:rsidRPr="00EF670A">
        <w:rPr>
          <w:vertAlign w:val="subscript"/>
        </w:rPr>
        <w:t>2</w:t>
      </w:r>
      <w:r w:rsidR="009340D1">
        <w:t xml:space="preserve">) </w:t>
      </w:r>
      <w:r w:rsidR="001E7F0E" w:rsidRPr="001E7F0E">
        <w:t>(Ruggeri et al., 2015)</w:t>
      </w:r>
      <w:r w:rsidR="00717899" w:rsidRPr="00717899">
        <w:t>.</w:t>
      </w:r>
      <w:r w:rsidR="00D57AFB" w:rsidRPr="00D57AFB">
        <w:t xml:space="preserve"> </w:t>
      </w:r>
      <w:r w:rsidR="00BD55B7" w:rsidRPr="00BD55B7">
        <w:t xml:space="preserve">The biotic phase </w:t>
      </w:r>
      <w:r w:rsidR="00B079F0">
        <w:t>in</w:t>
      </w:r>
      <w:r w:rsidR="00BD55B7" w:rsidRPr="00BD55B7">
        <w:t xml:space="preserve"> DF </w:t>
      </w:r>
      <w:r w:rsidR="00BD55B7">
        <w:lastRenderedPageBreak/>
        <w:t>consists of</w:t>
      </w:r>
      <w:r w:rsidR="00BD55B7" w:rsidRPr="00BD55B7">
        <w:t xml:space="preserve"> fermentative bacteria, </w:t>
      </w:r>
      <w:r w:rsidR="00BD55B7">
        <w:t xml:space="preserve">being </w:t>
      </w:r>
      <w:r w:rsidR="00BD55B7" w:rsidRPr="00BD55B7">
        <w:t xml:space="preserve">the </w:t>
      </w:r>
      <w:r w:rsidR="00BD55B7" w:rsidRPr="007C7BAA">
        <w:t>Firmicutes phylum</w:t>
      </w:r>
      <w:r w:rsidR="00BD55B7">
        <w:t xml:space="preserve"> (i.e., the anaerobic branch)</w:t>
      </w:r>
      <w:r w:rsidR="00BD55B7" w:rsidRPr="00BD55B7">
        <w:t xml:space="preserve"> the main responsible</w:t>
      </w:r>
      <w:r w:rsidR="00BA74A8">
        <w:t xml:space="preserve"> </w:t>
      </w:r>
      <w:r w:rsidR="00BA74A8" w:rsidRPr="00BA74A8">
        <w:t>(Gómez-Camacho et al., 2021)</w:t>
      </w:r>
      <w:r w:rsidR="00BD55B7" w:rsidRPr="00BD55B7">
        <w:t xml:space="preserve">. </w:t>
      </w:r>
      <w:r w:rsidR="00BD55B7">
        <w:t>Hence</w:t>
      </w:r>
      <w:r w:rsidR="00BD55B7" w:rsidRPr="00BD55B7">
        <w:t xml:space="preserve">, the selection of spore-forming microorganisms in different environments </w:t>
      </w:r>
      <w:r w:rsidR="00BD55B7">
        <w:t>has been</w:t>
      </w:r>
      <w:r w:rsidR="00BD55B7" w:rsidRPr="00BD55B7">
        <w:t xml:space="preserve"> useful for the preparation of</w:t>
      </w:r>
      <w:r w:rsidR="00BD55B7">
        <w:t xml:space="preserve"> DF</w:t>
      </w:r>
      <w:r w:rsidR="00BD55B7" w:rsidRPr="00BD55B7">
        <w:t xml:space="preserve"> inocula. But these consorti</w:t>
      </w:r>
      <w:r w:rsidR="00966847">
        <w:t>a</w:t>
      </w:r>
      <w:r w:rsidR="00BD55B7" w:rsidRPr="00BD55B7">
        <w:t xml:space="preserve"> </w:t>
      </w:r>
      <w:r w:rsidR="00966847">
        <w:t>typically require</w:t>
      </w:r>
      <w:r w:rsidR="00BD55B7" w:rsidRPr="00BD55B7">
        <w:t xml:space="preserve"> pH control</w:t>
      </w:r>
      <w:r w:rsidR="00966847">
        <w:t xml:space="preserve"> (due to the</w:t>
      </w:r>
      <w:r w:rsidR="00B079F0">
        <w:t xml:space="preserve"> high</w:t>
      </w:r>
      <w:r w:rsidR="00966847">
        <w:t xml:space="preserve"> organic acids production)</w:t>
      </w:r>
      <w:r w:rsidR="00BD55B7" w:rsidRPr="00BD55B7">
        <w:t xml:space="preserve"> and de</w:t>
      </w:r>
      <w:r w:rsidR="00966847">
        <w:t>gassing</w:t>
      </w:r>
      <w:r w:rsidR="00BD55B7" w:rsidRPr="00BD55B7">
        <w:t xml:space="preserve"> to achieve high productivities</w:t>
      </w:r>
      <w:r w:rsidR="00966847">
        <w:t>, and et</w:t>
      </w:r>
      <w:r w:rsidR="00CA69A8" w:rsidRPr="00D57AFB">
        <w:t xml:space="preserve">hanol </w:t>
      </w:r>
      <w:r w:rsidR="00966847">
        <w:t xml:space="preserve">is produced at </w:t>
      </w:r>
      <w:r w:rsidR="00D57AFB" w:rsidRPr="00D57AFB">
        <w:t>rather low titers</w:t>
      </w:r>
      <w:r w:rsidR="00BA74A8">
        <w:t xml:space="preserve"> </w:t>
      </w:r>
      <w:bookmarkStart w:id="1" w:name="_Hlk98960301"/>
      <w:r w:rsidR="00BA74A8" w:rsidRPr="00BA74A8">
        <w:t>(Ruggeri</w:t>
      </w:r>
      <w:r w:rsidR="00BA74A8">
        <w:t xml:space="preserve"> et al., </w:t>
      </w:r>
      <w:r w:rsidR="00BA74A8" w:rsidRPr="00BA74A8">
        <w:t>2015)</w:t>
      </w:r>
      <w:bookmarkEnd w:id="1"/>
      <w:r w:rsidR="00CA69A8">
        <w:t xml:space="preserve">. </w:t>
      </w:r>
      <w:r w:rsidR="002850A8">
        <w:t>Indeed, bioe</w:t>
      </w:r>
      <w:r w:rsidR="00966847">
        <w:t>thanol</w:t>
      </w:r>
      <w:r w:rsidR="002850A8">
        <w:t xml:space="preserve"> (as energy carrier)</w:t>
      </w:r>
      <w:r w:rsidR="00966847">
        <w:t xml:space="preserve"> is mainly produced </w:t>
      </w:r>
      <w:r w:rsidR="002850A8">
        <w:t>from</w:t>
      </w:r>
      <w:r w:rsidR="002850A8" w:rsidRPr="002850A8">
        <w:t xml:space="preserve"> </w:t>
      </w:r>
      <w:r w:rsidR="002850A8">
        <w:t xml:space="preserve">agricultural feedstocks (e.g., corn, sugarcane, sorghum), after intensive pre-treatments and downstream separations, using </w:t>
      </w:r>
      <w:r w:rsidR="002850A8" w:rsidRPr="00F1559B">
        <w:t>selecte</w:t>
      </w:r>
      <w:r w:rsidR="002850A8">
        <w:t>d</w:t>
      </w:r>
      <w:r w:rsidR="002850A8" w:rsidRPr="00F1559B">
        <w:t xml:space="preserve"> </w:t>
      </w:r>
      <w:r w:rsidR="002850A8" w:rsidRPr="00250E7B">
        <w:rPr>
          <w:i/>
          <w:iCs/>
        </w:rPr>
        <w:t xml:space="preserve">Saccharomyces </w:t>
      </w:r>
      <w:r w:rsidR="002850A8">
        <w:rPr>
          <w:i/>
          <w:iCs/>
        </w:rPr>
        <w:t>c</w:t>
      </w:r>
      <w:r w:rsidR="002850A8" w:rsidRPr="00250E7B">
        <w:rPr>
          <w:i/>
          <w:iCs/>
        </w:rPr>
        <w:t>erevisiae</w:t>
      </w:r>
      <w:r w:rsidR="009340D1" w:rsidRPr="009340D1">
        <w:t xml:space="preserve"> </w:t>
      </w:r>
      <w:r w:rsidR="009340D1" w:rsidRPr="00F1559B">
        <w:t>strains</w:t>
      </w:r>
      <w:r w:rsidR="002850A8">
        <w:rPr>
          <w:i/>
          <w:iCs/>
        </w:rPr>
        <w:t xml:space="preserve">. </w:t>
      </w:r>
      <w:r w:rsidR="002850A8" w:rsidRPr="00D57AFB">
        <w:t xml:space="preserve">However, </w:t>
      </w:r>
      <w:r w:rsidR="002850A8">
        <w:t xml:space="preserve">bioethanol production presents two critical bottlenecks: </w:t>
      </w:r>
      <w:r w:rsidR="009340D1">
        <w:t xml:space="preserve">first </w:t>
      </w:r>
      <w:r w:rsidR="002850A8" w:rsidRPr="00D57AFB">
        <w:t>the</w:t>
      </w:r>
      <w:r w:rsidR="009340D1">
        <w:t xml:space="preserve"> EROI</w:t>
      </w:r>
      <w:r w:rsidR="002850A8" w:rsidRPr="00D57AFB">
        <w:t xml:space="preserve"> </w:t>
      </w:r>
      <w:r w:rsidR="009340D1">
        <w:t>(E</w:t>
      </w:r>
      <w:r w:rsidR="002850A8">
        <w:t xml:space="preserve">nergy </w:t>
      </w:r>
      <w:r w:rsidR="009340D1">
        <w:t>R</w:t>
      </w:r>
      <w:r w:rsidR="002850A8" w:rsidRPr="00D57AFB">
        <w:t xml:space="preserve">eturn </w:t>
      </w:r>
      <w:r w:rsidR="009340D1">
        <w:t>O</w:t>
      </w:r>
      <w:r w:rsidR="002850A8" w:rsidRPr="00D57AFB">
        <w:t xml:space="preserve">n </w:t>
      </w:r>
      <w:r w:rsidR="009340D1">
        <w:t>I</w:t>
      </w:r>
      <w:r w:rsidR="002850A8" w:rsidRPr="00D57AFB">
        <w:t>nvestment</w:t>
      </w:r>
      <w:r w:rsidR="009340D1">
        <w:t xml:space="preserve">) analysis </w:t>
      </w:r>
      <w:r w:rsidR="002850A8" w:rsidRPr="00D57AFB">
        <w:t xml:space="preserve">has shown </w:t>
      </w:r>
      <w:r w:rsidR="00B07A3D" w:rsidRPr="00B07A3D">
        <w:t xml:space="preserve">poor or </w:t>
      </w:r>
      <w:r w:rsidR="007C7BAA">
        <w:t xml:space="preserve">questionable </w:t>
      </w:r>
      <w:r w:rsidR="002850A8" w:rsidRPr="00D57AFB">
        <w:t xml:space="preserve">energy </w:t>
      </w:r>
      <w:r w:rsidR="002850A8">
        <w:t>sustainability</w:t>
      </w:r>
      <w:r w:rsidR="0032763B">
        <w:t xml:space="preserve"> </w:t>
      </w:r>
      <w:r w:rsidR="00BA74A8" w:rsidRPr="00BA74A8">
        <w:t>(Hall</w:t>
      </w:r>
      <w:r w:rsidR="00BA74A8">
        <w:t xml:space="preserve"> et al.</w:t>
      </w:r>
      <w:r w:rsidR="00BA74A8" w:rsidRPr="00BA74A8">
        <w:t>, 2011)</w:t>
      </w:r>
      <w:r w:rsidR="002850A8">
        <w:t xml:space="preserve">, </w:t>
      </w:r>
      <w:r w:rsidR="007C7BAA">
        <w:t xml:space="preserve">and second, the </w:t>
      </w:r>
      <w:r w:rsidR="00B07A3D" w:rsidRPr="00F1559B">
        <w:rPr>
          <w:i/>
          <w:iCs/>
        </w:rPr>
        <w:t>food-fuel</w:t>
      </w:r>
      <w:r w:rsidR="00B07A3D" w:rsidRPr="00F1559B">
        <w:t xml:space="preserve"> conflict</w:t>
      </w:r>
      <w:r w:rsidR="00B07A3D">
        <w:t xml:space="preserve"> </w:t>
      </w:r>
      <w:r w:rsidR="00B07A3D" w:rsidRPr="00B07A3D">
        <w:t>it is not solved</w:t>
      </w:r>
      <w:r w:rsidR="002850A8" w:rsidRPr="00D57AFB">
        <w:t>.</w:t>
      </w:r>
    </w:p>
    <w:p w14:paraId="1164CDAD" w14:textId="21B801C8" w:rsidR="00966847" w:rsidRDefault="0053697C" w:rsidP="00966847">
      <w:pPr>
        <w:pStyle w:val="CETBodytext"/>
      </w:pPr>
      <w:r w:rsidRPr="0053697C">
        <w:t>An interesting environmental matrix</w:t>
      </w:r>
      <w:r>
        <w:t xml:space="preserve"> that can be exploited for engineering microbial communities</w:t>
      </w:r>
      <w:r w:rsidR="00BA74A8">
        <w:t xml:space="preserve"> </w:t>
      </w:r>
      <w:r w:rsidR="00BA74A8" w:rsidRPr="00BA74A8">
        <w:t>(Gómez-Camacho and Ruggeri, 2020)</w:t>
      </w:r>
      <w:r w:rsidR="0032763B">
        <w:t xml:space="preserve"> </w:t>
      </w:r>
      <w:r>
        <w:t>is water kefir</w:t>
      </w:r>
      <w:r w:rsidR="00807C52">
        <w:t xml:space="preserve"> (WK)</w:t>
      </w:r>
      <w:r>
        <w:t xml:space="preserve">, since its </w:t>
      </w:r>
      <w:r w:rsidRPr="0053697C">
        <w:t>ecological diversity includes</w:t>
      </w:r>
      <w:r>
        <w:t xml:space="preserve"> </w:t>
      </w:r>
      <w:r w:rsidR="0032763B">
        <w:t xml:space="preserve">mixed </w:t>
      </w:r>
      <w:r w:rsidRPr="0053697C">
        <w:t xml:space="preserve">lactic acid bacteria, </w:t>
      </w:r>
      <w:r w:rsidR="0032763B" w:rsidRPr="0053697C">
        <w:t>acetic acid bacteria</w:t>
      </w:r>
      <w:r w:rsidR="0032763B">
        <w:t xml:space="preserve"> and</w:t>
      </w:r>
      <w:r w:rsidR="0032763B" w:rsidRPr="0053697C">
        <w:t xml:space="preserve"> </w:t>
      </w:r>
      <w:r w:rsidRPr="0053697C">
        <w:t>yeasts</w:t>
      </w:r>
      <w:r w:rsidR="0032763B">
        <w:t xml:space="preserve"> (i.e., mainly</w:t>
      </w:r>
      <w:r w:rsidR="00C27E46">
        <w:t xml:space="preserve"> </w:t>
      </w:r>
      <w:r w:rsidR="0032763B" w:rsidRPr="007C7BAA">
        <w:t xml:space="preserve">Firmicutes, </w:t>
      </w:r>
      <w:r w:rsidR="00C27E46" w:rsidRPr="007C7BAA">
        <w:t>Actinomycetota, Proteobacteria</w:t>
      </w:r>
      <w:r w:rsidR="00C27E46">
        <w:t xml:space="preserve"> </w:t>
      </w:r>
      <w:r w:rsidR="003C12E0">
        <w:t xml:space="preserve">bacteria </w:t>
      </w:r>
      <w:r w:rsidR="00C27E46">
        <w:t xml:space="preserve">and </w:t>
      </w:r>
      <w:r w:rsidR="003C12E0" w:rsidRPr="007C7BAA">
        <w:t>Ascomycota</w:t>
      </w:r>
      <w:r w:rsidR="003C12E0">
        <w:t xml:space="preserve"> </w:t>
      </w:r>
      <w:r w:rsidR="00C27E46">
        <w:t>fu</w:t>
      </w:r>
      <w:r w:rsidR="003C12E0">
        <w:t>ngi</w:t>
      </w:r>
      <w:r w:rsidR="0032763B">
        <w:t xml:space="preserve">). </w:t>
      </w:r>
      <w:r w:rsidR="00807C52">
        <w:t xml:space="preserve">WK </w:t>
      </w:r>
      <w:r w:rsidR="00807C52" w:rsidRPr="00807C52">
        <w:t>is mainly used in home (probiotic) fermentations, under facultative aerobic conditions</w:t>
      </w:r>
      <w:r w:rsidR="00FE7BF3">
        <w:t xml:space="preserve"> and fed with a wide-range of substrates</w:t>
      </w:r>
      <w:r w:rsidR="00807C52" w:rsidRPr="00807C52">
        <w:t>,</w:t>
      </w:r>
      <w:r w:rsidR="00FE7BF3">
        <w:t xml:space="preserve"> although</w:t>
      </w:r>
      <w:r w:rsidR="00807C52" w:rsidRPr="00807C52">
        <w:t xml:space="preserve"> the robustness of the microbic community serves as a study</w:t>
      </w:r>
      <w:r w:rsidR="00807C52">
        <w:t>-</w:t>
      </w:r>
      <w:r w:rsidR="00807C52" w:rsidRPr="00807C52">
        <w:t xml:space="preserve">model and </w:t>
      </w:r>
      <w:r w:rsidR="00807C52">
        <w:t xml:space="preserve">as a platform </w:t>
      </w:r>
      <w:r w:rsidR="00807C52" w:rsidRPr="00807C52">
        <w:t xml:space="preserve">to select </w:t>
      </w:r>
      <w:r w:rsidR="00807C52">
        <w:t xml:space="preserve">microbial </w:t>
      </w:r>
      <w:r w:rsidR="00807C52" w:rsidRPr="00807C52">
        <w:t xml:space="preserve">groups of interest (due to </w:t>
      </w:r>
      <w:r w:rsidR="00B079F0">
        <w:t>its</w:t>
      </w:r>
      <w:r w:rsidR="00807C52" w:rsidRPr="00807C52">
        <w:t xml:space="preserve"> high metabolic plasticity).</w:t>
      </w:r>
      <w:r w:rsidR="00807C52">
        <w:t xml:space="preserve"> </w:t>
      </w:r>
      <w:r w:rsidR="00FE7BF3" w:rsidRPr="00FE7BF3">
        <w:t xml:space="preserve">The division of labor or functional specialization in WK fermentations </w:t>
      </w:r>
      <w:r w:rsidR="00B07A3D">
        <w:t xml:space="preserve">seems </w:t>
      </w:r>
      <w:r w:rsidR="007C7BAA">
        <w:t xml:space="preserve">to rely </w:t>
      </w:r>
      <w:r w:rsidR="00FE7BF3" w:rsidRPr="00FE7BF3">
        <w:t>in bacteria-yeasts interactions: while bacteria are responsible for the hydrolysis and the first acidogenic conversion of solubilized substrates, yeasts are mainly fed with the produced fermentable sugars for the production of ethanol. In turn, ethanol production can buffer the system avoiding low acidic conditions, but it can also cross-feed bacteria via (metabolic) ethanol oxidation reactions</w:t>
      </w:r>
      <w:r w:rsidR="00BA74A8">
        <w:t xml:space="preserve"> </w:t>
      </w:r>
      <w:r w:rsidR="00BA74A8" w:rsidRPr="00BA74A8">
        <w:t>(Melkonian et al., 2019)</w:t>
      </w:r>
      <w:r w:rsidR="00FE7BF3" w:rsidRPr="00FE7BF3">
        <w:t>.</w:t>
      </w:r>
      <w:r w:rsidR="00404F85">
        <w:t xml:space="preserve"> </w:t>
      </w:r>
    </w:p>
    <w:p w14:paraId="2ED65F2C" w14:textId="6A2D2ED2" w:rsidR="002850A8" w:rsidRDefault="00ED10E0" w:rsidP="00966847">
      <w:pPr>
        <w:pStyle w:val="CETBodytext"/>
      </w:pPr>
      <w:r w:rsidRPr="00ED10E0">
        <w:t>It has been widely hypothesized</w:t>
      </w:r>
      <w:r>
        <w:t xml:space="preserve"> in the literature</w:t>
      </w:r>
      <w:r w:rsidRPr="00ED10E0">
        <w:t xml:space="preserve"> that mixed yeasts-bacteria consortia could be a suitable</w:t>
      </w:r>
      <w:r>
        <w:t xml:space="preserve"> </w:t>
      </w:r>
      <w:r w:rsidRPr="00ED10E0">
        <w:t>catalyst for biorefinery process aiming</w:t>
      </w:r>
      <w:r w:rsidR="00B079F0">
        <w:t xml:space="preserve"> at</w:t>
      </w:r>
      <w:r w:rsidRPr="00ED10E0">
        <w:t xml:space="preserve"> the simultaneous production of ethanol, organic acids and hydrogen</w:t>
      </w:r>
      <w:r w:rsidR="00BA74A8">
        <w:t xml:space="preserve"> </w:t>
      </w:r>
      <w:r w:rsidR="00BA74A8" w:rsidRPr="00BA74A8">
        <w:t>(Dionisi and Silva, 2016)</w:t>
      </w:r>
      <w:r w:rsidRPr="00ED10E0">
        <w:t>.</w:t>
      </w:r>
      <w:r w:rsidR="00A36C42" w:rsidRPr="00A36C42">
        <w:t xml:space="preserve"> Ideally, by </w:t>
      </w:r>
      <w:r w:rsidR="00A36C42">
        <w:t>tuning</w:t>
      </w:r>
      <w:r w:rsidR="00A36C42" w:rsidRPr="00A36C42">
        <w:t xml:space="preserve"> high hydrolytic and acidogenic</w:t>
      </w:r>
      <w:r w:rsidR="00A36C42">
        <w:t>/solventogenic</w:t>
      </w:r>
      <w:r w:rsidR="00A36C42" w:rsidRPr="00A36C42">
        <w:t xml:space="preserve"> capabilities</w:t>
      </w:r>
      <w:r w:rsidR="00A36C42">
        <w:t xml:space="preserve"> within stable </w:t>
      </w:r>
      <w:r w:rsidR="00A36C42" w:rsidRPr="00ED10E0">
        <w:t>yeasts-bacteria consortia</w:t>
      </w:r>
      <w:r w:rsidR="00A36C42" w:rsidRPr="00A36C42">
        <w:t xml:space="preserve">, the </w:t>
      </w:r>
      <w:r w:rsidR="00B07A3D">
        <w:t xml:space="preserve">energy </w:t>
      </w:r>
      <w:r w:rsidR="00A36C42" w:rsidRPr="00A36C42">
        <w:t>intensive pre-treatments required for the</w:t>
      </w:r>
      <w:r w:rsidR="007C7BAA">
        <w:t xml:space="preserve"> sustainable</w:t>
      </w:r>
      <w:r w:rsidR="00A36C42" w:rsidRPr="00A36C42">
        <w:t xml:space="preserve"> production of ethanol</w:t>
      </w:r>
      <w:r w:rsidR="00A36C42">
        <w:t xml:space="preserve"> can be reduced (i.e., </w:t>
      </w:r>
      <w:r w:rsidR="00A36C42" w:rsidRPr="00A36C42">
        <w:t>as energy carrier</w:t>
      </w:r>
      <w:r w:rsidR="00A36C42">
        <w:t>)</w:t>
      </w:r>
      <w:r w:rsidR="00A36C42" w:rsidRPr="00A36C42">
        <w:t>, especially from retrieved biomass</w:t>
      </w:r>
      <w:r w:rsidR="00A36C42">
        <w:t>es</w:t>
      </w:r>
      <w:r w:rsidR="00A36C42" w:rsidRPr="00A36C42">
        <w:t>.</w:t>
      </w:r>
      <w:r w:rsidR="00A36C42">
        <w:t xml:space="preserve"> </w:t>
      </w:r>
    </w:p>
    <w:p w14:paraId="33BC4C21" w14:textId="6FBBCDD3" w:rsidR="005B4553" w:rsidRDefault="00A36C42" w:rsidP="005B4553">
      <w:pPr>
        <w:pStyle w:val="CETBodytext"/>
      </w:pPr>
      <w:r>
        <w:t xml:space="preserve">In this work, </w:t>
      </w:r>
      <w:r w:rsidR="00B07A3D">
        <w:t>preliminary</w:t>
      </w:r>
      <w:r>
        <w:t xml:space="preserve"> compatibility tests for</w:t>
      </w:r>
      <w:r w:rsidR="007C7BAA">
        <w:t xml:space="preserve"> formulating a</w:t>
      </w:r>
      <w:r>
        <w:t xml:space="preserve"> MYB inocul</w:t>
      </w:r>
      <w:r w:rsidR="00B07A3D">
        <w:t>um</w:t>
      </w:r>
      <w:r>
        <w:t xml:space="preserve"> are performed. First</w:t>
      </w:r>
      <w:r w:rsidR="00B32C86">
        <w:t>, t</w:t>
      </w:r>
      <w:r w:rsidR="002E397A" w:rsidRPr="002E397A">
        <w:t xml:space="preserve">wo indigenous sources of inoculum are </w:t>
      </w:r>
      <w:r w:rsidRPr="00B32C86">
        <w:t>selected and maintained</w:t>
      </w:r>
      <w:r w:rsidR="00B32C86">
        <w:t>, which contained</w:t>
      </w:r>
      <w:r w:rsidR="002E397A" w:rsidRPr="002E397A">
        <w:t xml:space="preserve"> mixed yeasts and bacteria: a </w:t>
      </w:r>
      <w:r>
        <w:t xml:space="preserve">home </w:t>
      </w:r>
      <w:r w:rsidR="002E397A" w:rsidRPr="002E397A">
        <w:t>culture of WK and SP</w:t>
      </w:r>
      <w:r w:rsidR="002E397A">
        <w:t>B</w:t>
      </w:r>
      <w:r>
        <w:t xml:space="preserve"> selected from</w:t>
      </w:r>
      <w:r w:rsidR="002E397A" w:rsidRPr="002E397A">
        <w:t xml:space="preserve"> </w:t>
      </w:r>
      <w:r w:rsidR="004B4D2A" w:rsidRPr="004B4D2A">
        <w:t xml:space="preserve">fresh </w:t>
      </w:r>
      <w:r w:rsidR="002E397A" w:rsidRPr="002E397A">
        <w:t>cattle manure.</w:t>
      </w:r>
      <w:r w:rsidR="007A20B2">
        <w:t xml:space="preserve"> </w:t>
      </w:r>
      <w:r w:rsidR="006A4557">
        <w:t>The</w:t>
      </w:r>
      <w:r w:rsidR="00B32C86">
        <w:t xml:space="preserve"> </w:t>
      </w:r>
      <w:r>
        <w:t>MYB</w:t>
      </w:r>
      <w:r w:rsidR="00B32C86">
        <w:t xml:space="preserve"> are performed </w:t>
      </w:r>
      <w:r>
        <w:t>using a</w:t>
      </w:r>
      <w:r w:rsidR="00B32C86">
        <w:t xml:space="preserve"> retrieved substrate (s</w:t>
      </w:r>
      <w:r w:rsidR="00205AB1">
        <w:t>tale bread</w:t>
      </w:r>
      <w:r w:rsidR="00B32C86">
        <w:t xml:space="preserve">), </w:t>
      </w:r>
      <w:r w:rsidR="00205AB1">
        <w:t xml:space="preserve">after </w:t>
      </w:r>
      <w:r w:rsidR="007A20B2">
        <w:t>an alkaline pretreatment</w:t>
      </w:r>
      <w:r w:rsidR="00205AB1">
        <w:t xml:space="preserve">. </w:t>
      </w:r>
      <w:r w:rsidR="009F112E" w:rsidRPr="009F112E">
        <w:t xml:space="preserve">The </w:t>
      </w:r>
      <w:r>
        <w:t xml:space="preserve">MYB </w:t>
      </w:r>
      <w:r w:rsidR="009F112E" w:rsidRPr="009F112E">
        <w:t xml:space="preserve">tests are carried out under anaerobic </w:t>
      </w:r>
      <w:r>
        <w:t xml:space="preserve">conditions, </w:t>
      </w:r>
      <w:r w:rsidR="009F112E" w:rsidRPr="009F112E">
        <w:t xml:space="preserve">at </w:t>
      </w:r>
      <w:r w:rsidR="00B32C86">
        <w:t>high substrate concentration</w:t>
      </w:r>
      <w:r>
        <w:t xml:space="preserve">, and using an inoculum </w:t>
      </w:r>
      <w:r w:rsidR="009F112E" w:rsidRPr="009F112E">
        <w:t xml:space="preserve">ratio of 10% </w:t>
      </w:r>
      <w:r w:rsidR="009F112E" w:rsidRPr="00B32C86">
        <w:rPr>
          <w:i/>
          <w:iCs/>
        </w:rPr>
        <w:t>v/v</w:t>
      </w:r>
      <w:r w:rsidR="009F112E" w:rsidRPr="009F112E">
        <w:t>. Both inocula</w:t>
      </w:r>
      <w:r>
        <w:t xml:space="preserve"> (SFB and WK)</w:t>
      </w:r>
      <w:r w:rsidR="009F112E" w:rsidRPr="009F112E">
        <w:t xml:space="preserve"> </w:t>
      </w:r>
      <w:r w:rsidR="004B4D2A">
        <w:t>were</w:t>
      </w:r>
      <w:r w:rsidR="009F112E" w:rsidRPr="009F112E">
        <w:t xml:space="preserve"> tested separately and </w:t>
      </w:r>
      <w:r w:rsidR="004B4D2A">
        <w:t xml:space="preserve">in </w:t>
      </w:r>
      <w:r>
        <w:t>combin</w:t>
      </w:r>
      <w:r w:rsidR="004B4D2A">
        <w:t>ation</w:t>
      </w:r>
      <w:r>
        <w:t xml:space="preserve"> (WK+SFB)</w:t>
      </w:r>
      <w:r w:rsidR="009F112E" w:rsidRPr="009F112E">
        <w:t xml:space="preserve"> to </w:t>
      </w:r>
      <w:r w:rsidR="004B4D2A">
        <w:t>observe</w:t>
      </w:r>
      <w:r w:rsidR="009F112E" w:rsidRPr="009F112E">
        <w:t xml:space="preserve"> synergistic effect</w:t>
      </w:r>
      <w:r w:rsidR="00B079F0">
        <w:t>s</w:t>
      </w:r>
      <w:r w:rsidR="009F112E" w:rsidRPr="009F112E">
        <w:t>. The production and composition of gas</w:t>
      </w:r>
      <w:r w:rsidR="004B4D2A">
        <w:t xml:space="preserve"> were</w:t>
      </w:r>
      <w:r w:rsidR="009F112E" w:rsidRPr="009F112E">
        <w:t xml:space="preserve"> monitored </w:t>
      </w:r>
      <w:r w:rsidR="000A3625" w:rsidRPr="009F112E">
        <w:t>online,</w:t>
      </w:r>
      <w:r w:rsidR="004B4D2A">
        <w:t xml:space="preserve"> while </w:t>
      </w:r>
      <w:r w:rsidR="002F132F">
        <w:t>the</w:t>
      </w:r>
      <w:r w:rsidR="00B35693">
        <w:t xml:space="preserve"> liquid phase </w:t>
      </w:r>
      <w:r w:rsidR="002F132F">
        <w:t xml:space="preserve">was analyzed at the end of the MYB </w:t>
      </w:r>
      <w:r w:rsidR="00D07227">
        <w:rPr>
          <w:lang w:val="en-GB"/>
        </w:rPr>
        <w:t>(</w:t>
      </w:r>
      <w:r w:rsidR="004B4D2A" w:rsidRPr="009F112E">
        <w:t>organic acids and ethanol</w:t>
      </w:r>
      <w:r w:rsidR="00D07227">
        <w:t>)</w:t>
      </w:r>
      <w:r w:rsidR="009F112E" w:rsidRPr="009F112E">
        <w:t xml:space="preserve">. </w:t>
      </w:r>
    </w:p>
    <w:p w14:paraId="25D15AC4" w14:textId="5FE1BF61" w:rsidR="00FF6539" w:rsidRDefault="00FF6539" w:rsidP="00E23CB2">
      <w:pPr>
        <w:pStyle w:val="CETHeading1"/>
      </w:pPr>
      <w:r>
        <w:t xml:space="preserve">Materials and Methods </w:t>
      </w:r>
    </w:p>
    <w:p w14:paraId="16C863BF" w14:textId="028EEED7" w:rsidR="00266049" w:rsidRDefault="003A59D3" w:rsidP="00980D6F">
      <w:pPr>
        <w:pStyle w:val="CETheadingx"/>
      </w:pPr>
      <w:r>
        <w:t>Inocula</w:t>
      </w:r>
    </w:p>
    <w:p w14:paraId="01B9F0AA" w14:textId="6752DA26" w:rsidR="003A59D3" w:rsidRDefault="003A59D3" w:rsidP="003A59D3">
      <w:pPr>
        <w:pStyle w:val="CETBodytext"/>
      </w:pPr>
      <w:r w:rsidRPr="003A59D3">
        <w:rPr>
          <w:rStyle w:val="CETHeadingxxChar"/>
        </w:rPr>
        <w:t>W</w:t>
      </w:r>
      <w:r>
        <w:rPr>
          <w:rStyle w:val="CETHeadingxxChar"/>
        </w:rPr>
        <w:t xml:space="preserve">ater </w:t>
      </w:r>
      <w:r w:rsidRPr="00674A1C">
        <w:rPr>
          <w:rStyle w:val="CETHeadingxxChar"/>
        </w:rPr>
        <w:t xml:space="preserve">Kefir grains </w:t>
      </w:r>
      <w:r w:rsidR="00BB5E0A" w:rsidRPr="00674A1C">
        <w:rPr>
          <w:rStyle w:val="CETHeadingxxChar"/>
        </w:rPr>
        <w:t>and</w:t>
      </w:r>
      <w:r w:rsidR="00597854" w:rsidRPr="00674A1C">
        <w:rPr>
          <w:rStyle w:val="CETHeadingxxChar"/>
        </w:rPr>
        <w:t xml:space="preserve"> Water Kefir broth</w:t>
      </w:r>
      <w:r w:rsidR="00BB5E0A">
        <w:t xml:space="preserve"> </w:t>
      </w:r>
    </w:p>
    <w:p w14:paraId="7957C53F" w14:textId="1FC28ABA" w:rsidR="00BB5E0A" w:rsidRDefault="003A59D3" w:rsidP="003A59D3">
      <w:pPr>
        <w:pStyle w:val="CETBodytext"/>
      </w:pPr>
      <w:r>
        <w:t>Household water kefir grains were obtained from a local donor in the city of Turin</w:t>
      </w:r>
      <w:r w:rsidR="001102B3">
        <w:t xml:space="preserve"> (WK</w:t>
      </w:r>
      <w:r w:rsidR="00BC60C1">
        <w:t>G2</w:t>
      </w:r>
      <w:r w:rsidR="001102B3">
        <w:t>G</w:t>
      </w:r>
      <w:r w:rsidR="00BC60C1">
        <w:t>0</w:t>
      </w:r>
      <w:r w:rsidR="001102B3">
        <w:t xml:space="preserve">) and kept under </w:t>
      </w:r>
      <w:r w:rsidR="001102B3" w:rsidRPr="001102B3">
        <w:t xml:space="preserve">refrigerated </w:t>
      </w:r>
      <w:r w:rsidR="00E8206B">
        <w:t>conditions</w:t>
      </w:r>
      <w:r w:rsidR="00597854">
        <w:t xml:space="preserve"> (Laboratorio Biotecnologico</w:t>
      </w:r>
      <w:r w:rsidR="00046A22">
        <w:t xml:space="preserve"> -</w:t>
      </w:r>
      <w:r w:rsidR="00597854">
        <w:t xml:space="preserve"> Politecnico di Torino, Turin, Italy)</w:t>
      </w:r>
      <w:r w:rsidR="00E8206B">
        <w:t xml:space="preserve">. </w:t>
      </w:r>
      <w:r w:rsidR="00BC60C1">
        <w:t xml:space="preserve">A fraction of these grains </w:t>
      </w:r>
      <w:r w:rsidR="00BC60C1" w:rsidRPr="00F40ADA">
        <w:t xml:space="preserve">(20 g) </w:t>
      </w:r>
      <w:r w:rsidR="00BC60C1">
        <w:t xml:space="preserve">was cultivated </w:t>
      </w:r>
      <w:r>
        <w:t>through a series of 8 consecutive backslopping in a bioreactor (</w:t>
      </w:r>
      <w:r w:rsidR="00BC60C1">
        <w:t xml:space="preserve">Minifors I </w:t>
      </w:r>
      <w:r>
        <w:t>Infors HT, Bottmingen, Switzerland)</w:t>
      </w:r>
      <w:r w:rsidR="00597854">
        <w:t xml:space="preserve">, using a sugar medium at 50 g/L (i.e., 50 % </w:t>
      </w:r>
      <w:r w:rsidR="00597854" w:rsidRPr="00F46330">
        <w:rPr>
          <w:i/>
          <w:iCs/>
        </w:rPr>
        <w:t>w/w</w:t>
      </w:r>
      <w:r w:rsidR="00597854">
        <w:t xml:space="preserve"> of glucose and 50 % </w:t>
      </w:r>
      <w:r w:rsidR="00597854" w:rsidRPr="00F46330">
        <w:rPr>
          <w:i/>
          <w:iCs/>
        </w:rPr>
        <w:t>w/w</w:t>
      </w:r>
      <w:r w:rsidR="00597854">
        <w:t xml:space="preserve"> of commercial sugar cane), low mesophilic conditions (22 °C) and an initial pH in the 5.5-6.0 range.</w:t>
      </w:r>
      <w:r w:rsidR="002F132F">
        <w:t xml:space="preserve"> </w:t>
      </w:r>
      <w:r w:rsidR="00597854">
        <w:t>These conditions were chosen based on literature references and preliminary tests aiming at enriching the broth in biomass, particularly yeasts. Continuous microscopic observations (BH-2 Olympus Italia Srl, Segrate, Italy) were performed to get insights into the bioti</w:t>
      </w:r>
      <w:r w:rsidR="00674A1C">
        <w:t>c</w:t>
      </w:r>
      <w:r w:rsidR="00597854">
        <w:t xml:space="preserve"> phase (</w:t>
      </w:r>
      <w:r w:rsidR="00F40ADA">
        <w:t>i.e., planktonic cells</w:t>
      </w:r>
      <w:r w:rsidR="00674A1C">
        <w:t xml:space="preserve"> in the liquid phase and entrapped cells within kefir grains) and their</w:t>
      </w:r>
      <w:r w:rsidR="00597854">
        <w:t xml:space="preserve"> qualitative abundance </w:t>
      </w:r>
      <w:r>
        <w:t>in the liquid phase</w:t>
      </w:r>
      <w:r w:rsidR="00597854">
        <w:t>.</w:t>
      </w:r>
      <w:r>
        <w:t xml:space="preserve"> </w:t>
      </w:r>
    </w:p>
    <w:p w14:paraId="23A2360C" w14:textId="07C13F6B" w:rsidR="00BB5E0A" w:rsidRDefault="00BB5E0A" w:rsidP="00980D6F">
      <w:pPr>
        <w:pStyle w:val="CETHeadingxx"/>
      </w:pPr>
      <w:r w:rsidRPr="00BB5E0A">
        <w:t>S</w:t>
      </w:r>
      <w:r>
        <w:t xml:space="preserve">pore-forming </w:t>
      </w:r>
      <w:r w:rsidRPr="00BB5E0A">
        <w:t>B</w:t>
      </w:r>
      <w:r>
        <w:t>acteria (SFB)</w:t>
      </w:r>
      <w:r w:rsidRPr="00BB5E0A">
        <w:t xml:space="preserve"> Inoculum </w:t>
      </w:r>
    </w:p>
    <w:p w14:paraId="67D7C510" w14:textId="31173EB2" w:rsidR="00BB5E0A" w:rsidRDefault="00147228" w:rsidP="003A59D3">
      <w:pPr>
        <w:pStyle w:val="CETBodytext"/>
      </w:pPr>
      <w:r>
        <w:t>Indigenous s</w:t>
      </w:r>
      <w:r w:rsidR="00BB5E0A" w:rsidRPr="00BB5E0A">
        <w:t xml:space="preserve">pore-forming bacteria </w:t>
      </w:r>
      <w:r w:rsidR="00BB5E0A">
        <w:t xml:space="preserve">(SFB) were selected from cattle manure. First, a slurry was produced by diluting </w:t>
      </w:r>
      <w:r w:rsidR="00BB5E0A" w:rsidRPr="00BB5E0A">
        <w:t>200 g of manure with distilled water</w:t>
      </w:r>
      <w:r>
        <w:t xml:space="preserve"> in </w:t>
      </w:r>
      <w:r w:rsidR="00BB5E0A" w:rsidRPr="00BB5E0A">
        <w:t xml:space="preserve">a 1:1 </w:t>
      </w:r>
      <w:r w:rsidR="00C560D5">
        <w:rPr>
          <w:i/>
          <w:iCs/>
        </w:rPr>
        <w:t>w</w:t>
      </w:r>
      <w:r w:rsidR="00BB5E0A" w:rsidRPr="00BB5E0A">
        <w:rPr>
          <w:i/>
          <w:iCs/>
        </w:rPr>
        <w:t>/</w:t>
      </w:r>
      <w:r w:rsidR="00C560D5">
        <w:rPr>
          <w:i/>
          <w:iCs/>
        </w:rPr>
        <w:t>w</w:t>
      </w:r>
      <w:r w:rsidR="00BB5E0A">
        <w:t xml:space="preserve"> </w:t>
      </w:r>
      <w:r w:rsidR="00BB5E0A" w:rsidRPr="00BB5E0A">
        <w:t xml:space="preserve">ratio. The obtained slurry was mixed for 2 h at 250 rpm in order to </w:t>
      </w:r>
      <w:r w:rsidR="00BB5E0A">
        <w:t xml:space="preserve">stress anaerobic SFB and </w:t>
      </w:r>
      <w:r w:rsidR="00F46330">
        <w:t xml:space="preserve">initiate the </w:t>
      </w:r>
      <w:r w:rsidR="00BB5E0A">
        <w:t>suppress</w:t>
      </w:r>
      <w:r w:rsidR="00F46330">
        <w:t>ion of</w:t>
      </w:r>
      <w:r w:rsidR="00BB5E0A">
        <w:t xml:space="preserve"> </w:t>
      </w:r>
      <w:r w:rsidR="004B4D2A">
        <w:t>the</w:t>
      </w:r>
      <w:r w:rsidR="00BB5E0A">
        <w:t xml:space="preserve"> </w:t>
      </w:r>
      <w:r w:rsidR="00F46330">
        <w:t xml:space="preserve">anaerobic </w:t>
      </w:r>
      <w:r w:rsidR="00BB5E0A">
        <w:t xml:space="preserve">methanogenic activity. After the homogenization and aeration step, </w:t>
      </w:r>
      <w:r>
        <w:t>the slurry was sequentially filtered three times using a</w:t>
      </w:r>
      <w:r w:rsidR="00BB5E0A" w:rsidRPr="00BB5E0A">
        <w:t xml:space="preserve"> 2 mm mesh sieve and </w:t>
      </w:r>
      <w:r>
        <w:t xml:space="preserve">afterwards using a cellulose filter. After the filtration step that removed large debris and clumps, </w:t>
      </w:r>
      <w:r w:rsidR="00C560D5">
        <w:t>SFB</w:t>
      </w:r>
      <w:r w:rsidR="00C560D5" w:rsidRPr="00C560D5">
        <w:t xml:space="preserve"> from </w:t>
      </w:r>
      <w:r w:rsidR="00C560D5">
        <w:t xml:space="preserve">the </w:t>
      </w:r>
      <w:r w:rsidR="00C560D5" w:rsidRPr="00C560D5">
        <w:t>mixed culture</w:t>
      </w:r>
      <w:r w:rsidR="00C560D5">
        <w:t xml:space="preserve"> were isolated by treating the filtrate with</w:t>
      </w:r>
      <w:r>
        <w:t xml:space="preserve"> ethanol (55 % </w:t>
      </w:r>
      <w:r w:rsidRPr="00250E7B">
        <w:rPr>
          <w:i/>
          <w:iCs/>
        </w:rPr>
        <w:t>v/v</w:t>
      </w:r>
      <w:r>
        <w:t>) for 24 h in order to promote the sporulation of indigenous SFB</w:t>
      </w:r>
      <w:r w:rsidR="00BA74A8">
        <w:t xml:space="preserve"> </w:t>
      </w:r>
      <w:r w:rsidR="00BA74A8" w:rsidRPr="00BA74A8">
        <w:t>(Koransky</w:t>
      </w:r>
      <w:r w:rsidR="00BA74A8">
        <w:t xml:space="preserve"> et al.</w:t>
      </w:r>
      <w:r w:rsidR="00BA74A8" w:rsidRPr="00BA74A8">
        <w:t>, 1978)</w:t>
      </w:r>
      <w:r>
        <w:t xml:space="preserve">. </w:t>
      </w:r>
    </w:p>
    <w:p w14:paraId="1F5632AF" w14:textId="73C517B7" w:rsidR="00EC0E9E" w:rsidRDefault="00EC0E9E" w:rsidP="00980D6F">
      <w:pPr>
        <w:pStyle w:val="CETheadingx"/>
      </w:pPr>
      <w:r>
        <w:t>Substrate and pretreatment</w:t>
      </w:r>
      <w:r w:rsidR="00D07227">
        <w:t>s</w:t>
      </w:r>
    </w:p>
    <w:p w14:paraId="77B523F0" w14:textId="473361DC" w:rsidR="00A5687F" w:rsidRDefault="00EC0E9E" w:rsidP="00A5687F">
      <w:pPr>
        <w:pStyle w:val="CETBodytext"/>
        <w:rPr>
          <w:rStyle w:val="sentence-wrapperwithout-hover"/>
        </w:rPr>
      </w:pPr>
      <w:r>
        <w:t xml:space="preserve">The substrate for the fermentation tests was stale commercial ground bread (Buongiorno Natura, Venice, Italy). Due to the complex and starchy nature of this matrix, different pre-treatments were tested in order to scan for </w:t>
      </w:r>
      <w:r>
        <w:lastRenderedPageBreak/>
        <w:t>suitable options</w:t>
      </w:r>
      <w:r w:rsidR="00A20B44">
        <w:t xml:space="preserve">. </w:t>
      </w:r>
      <w:r w:rsidR="000A3625">
        <w:t>F</w:t>
      </w:r>
      <w:r>
        <w:rPr>
          <w:rStyle w:val="sentence-wrapperwithout-hover"/>
        </w:rPr>
        <w:t>ive different types of pretreatments at room temperature</w:t>
      </w:r>
      <w:r w:rsidR="00A20B44">
        <w:rPr>
          <w:rStyle w:val="sentence-wrapperwithout-hover"/>
        </w:rPr>
        <w:t xml:space="preserve"> were performed</w:t>
      </w:r>
      <w:r>
        <w:rPr>
          <w:rStyle w:val="sentence-wrapperwithout-hover"/>
        </w:rPr>
        <w:t>: (BP) basic pretreatment</w:t>
      </w:r>
      <w:r w:rsidR="00A7513C">
        <w:rPr>
          <w:rStyle w:val="sentence-wrapperwithout-hover"/>
        </w:rPr>
        <w:t xml:space="preserve"> (0.1 M NaOH)</w:t>
      </w:r>
      <w:r>
        <w:rPr>
          <w:rStyle w:val="sentence-wrapperwithout-hover"/>
        </w:rPr>
        <w:t>; (AP) acid pretreatment</w:t>
      </w:r>
      <w:r w:rsidR="007A556C">
        <w:rPr>
          <w:rStyle w:val="sentence-wrapperwithout-hover"/>
        </w:rPr>
        <w:t xml:space="preserve"> (1.0 HCL)</w:t>
      </w:r>
      <w:r>
        <w:rPr>
          <w:rStyle w:val="sentence-wrapperwithout-hover"/>
        </w:rPr>
        <w:t>; (SP) salt pretreatment</w:t>
      </w:r>
      <w:r w:rsidR="007A556C">
        <w:rPr>
          <w:rStyle w:val="sentence-wrapperwithout-hover"/>
        </w:rPr>
        <w:t xml:space="preserve"> (1.0 M CaCl</w:t>
      </w:r>
      <w:r w:rsidR="007A556C" w:rsidRPr="007A556C">
        <w:rPr>
          <w:rStyle w:val="sentence-wrapperwithout-hover"/>
          <w:vertAlign w:val="subscript"/>
        </w:rPr>
        <w:t>2</w:t>
      </w:r>
      <w:r w:rsidR="007A556C">
        <w:rPr>
          <w:rStyle w:val="sentence-wrapperwithout-hover"/>
        </w:rPr>
        <w:t>)</w:t>
      </w:r>
      <w:r>
        <w:rPr>
          <w:rStyle w:val="sentence-wrapperwithout-hover"/>
        </w:rPr>
        <w:t>; (EP</w:t>
      </w:r>
      <w:r w:rsidR="00B33CFF">
        <w:rPr>
          <w:rStyle w:val="sentence-wrapperwithout-hover"/>
        </w:rPr>
        <w:t>* and EP**</w:t>
      </w:r>
      <w:r>
        <w:rPr>
          <w:rStyle w:val="sentence-wrapperwithout-hover"/>
        </w:rPr>
        <w:t xml:space="preserve">) </w:t>
      </w:r>
      <w:r w:rsidR="002F132F">
        <w:rPr>
          <w:rStyle w:val="sentence-wrapperwithout-hover"/>
        </w:rPr>
        <w:t xml:space="preserve">enzymatic </w:t>
      </w:r>
      <w:r w:rsidR="00E74F5F">
        <w:rPr>
          <w:rStyle w:val="sentence-wrapperwithout-hover"/>
        </w:rPr>
        <w:t xml:space="preserve">mix </w:t>
      </w:r>
      <w:r>
        <w:rPr>
          <w:rStyle w:val="sentence-wrapperwithout-hover"/>
        </w:rPr>
        <w:t>(Solgar Italia Spa, Padova, Italy) pretreatment at different concentration</w:t>
      </w:r>
      <w:r w:rsidR="007A556C">
        <w:rPr>
          <w:rStyle w:val="sentence-wrapperwithout-hover"/>
        </w:rPr>
        <w:t xml:space="preserve"> (1.0 and 10.0 % </w:t>
      </w:r>
      <w:r w:rsidR="007A556C" w:rsidRPr="007A556C">
        <w:rPr>
          <w:rStyle w:val="sentence-wrapperwithout-hover"/>
          <w:i/>
          <w:iCs/>
        </w:rPr>
        <w:t>w</w:t>
      </w:r>
      <w:r w:rsidR="007A556C" w:rsidRPr="007A556C">
        <w:rPr>
          <w:rStyle w:val="sentence-wrapperwithout-hover"/>
          <w:i/>
          <w:iCs/>
          <w:vertAlign w:val="subscript"/>
        </w:rPr>
        <w:t>enz</w:t>
      </w:r>
      <w:r w:rsidR="007A556C" w:rsidRPr="007A556C">
        <w:rPr>
          <w:rStyle w:val="sentence-wrapperwithout-hover"/>
          <w:i/>
          <w:iCs/>
        </w:rPr>
        <w:t>/w</w:t>
      </w:r>
      <w:r w:rsidR="007A556C" w:rsidRPr="007A556C">
        <w:rPr>
          <w:rStyle w:val="sentence-wrapperwithout-hover"/>
          <w:i/>
          <w:iCs/>
          <w:vertAlign w:val="subscript"/>
        </w:rPr>
        <w:t>TS</w:t>
      </w:r>
      <w:r w:rsidR="007A556C">
        <w:rPr>
          <w:rStyle w:val="sentence-wrapperwithout-hover"/>
          <w:i/>
          <w:iCs/>
        </w:rPr>
        <w:t>)</w:t>
      </w:r>
      <w:r>
        <w:rPr>
          <w:rStyle w:val="sentence-wrapperwithout-hover"/>
        </w:rPr>
        <w:t xml:space="preserve">; (ESP) </w:t>
      </w:r>
      <w:r w:rsidR="002F132F">
        <w:rPr>
          <w:rStyle w:val="sentence-wrapperwithout-hover"/>
        </w:rPr>
        <w:t xml:space="preserve">enzymatic </w:t>
      </w:r>
      <w:r w:rsidR="00E74F5F">
        <w:rPr>
          <w:rStyle w:val="sentence-wrapperwithout-hover"/>
        </w:rPr>
        <w:t xml:space="preserve">mix </w:t>
      </w:r>
      <w:r w:rsidR="004D7FF4">
        <w:rPr>
          <w:rStyle w:val="sentence-wrapperwithout-hover"/>
        </w:rPr>
        <w:t>plus salt (ESP) (1</w:t>
      </w:r>
      <w:r w:rsidR="004D7FF4" w:rsidRPr="007A556C">
        <w:rPr>
          <w:rStyle w:val="sentence-wrapperwithout-hover"/>
          <w:i/>
          <w:iCs/>
        </w:rPr>
        <w:t xml:space="preserve"> </w:t>
      </w:r>
      <w:r w:rsidR="004D7FF4">
        <w:rPr>
          <w:rStyle w:val="sentence-wrapperwithout-hover"/>
        </w:rPr>
        <w:t xml:space="preserve">% </w:t>
      </w:r>
      <w:r w:rsidR="004D7FF4" w:rsidRPr="007A556C">
        <w:rPr>
          <w:rStyle w:val="sentence-wrapperwithout-hover"/>
          <w:i/>
          <w:iCs/>
        </w:rPr>
        <w:t>w</w:t>
      </w:r>
      <w:r w:rsidR="004D7FF4" w:rsidRPr="007A556C">
        <w:rPr>
          <w:rStyle w:val="sentence-wrapperwithout-hover"/>
          <w:i/>
          <w:iCs/>
          <w:vertAlign w:val="subscript"/>
        </w:rPr>
        <w:t>enz</w:t>
      </w:r>
      <w:r w:rsidR="004D7FF4" w:rsidRPr="007A556C">
        <w:rPr>
          <w:rStyle w:val="sentence-wrapperwithout-hover"/>
          <w:i/>
          <w:iCs/>
        </w:rPr>
        <w:t>/w</w:t>
      </w:r>
      <w:r w:rsidR="004D7FF4" w:rsidRPr="007A556C">
        <w:rPr>
          <w:rStyle w:val="sentence-wrapperwithout-hover"/>
          <w:i/>
          <w:iCs/>
          <w:vertAlign w:val="subscript"/>
        </w:rPr>
        <w:t>TS</w:t>
      </w:r>
      <w:r w:rsidR="004D7FF4">
        <w:rPr>
          <w:rStyle w:val="sentence-wrapperwithout-hover"/>
          <w:i/>
          <w:iCs/>
          <w:vertAlign w:val="subscript"/>
        </w:rPr>
        <w:t xml:space="preserve"> </w:t>
      </w:r>
      <w:r w:rsidR="004D7FF4">
        <w:rPr>
          <w:rStyle w:val="sentence-wrapperwithout-hover"/>
          <w:i/>
          <w:iCs/>
        </w:rPr>
        <w:t xml:space="preserve">+ </w:t>
      </w:r>
      <w:r w:rsidR="004D7FF4">
        <w:rPr>
          <w:rStyle w:val="sentence-wrapperwithout-hover"/>
        </w:rPr>
        <w:t>1.0 M CaCl</w:t>
      </w:r>
      <w:r w:rsidR="004D7FF4" w:rsidRPr="007A556C">
        <w:rPr>
          <w:rStyle w:val="sentence-wrapperwithout-hover"/>
          <w:vertAlign w:val="subscript"/>
        </w:rPr>
        <w:t>2</w:t>
      </w:r>
      <w:r w:rsidR="004D7FF4">
        <w:rPr>
          <w:rStyle w:val="sentence-wrapperwithout-hover"/>
        </w:rPr>
        <w:t xml:space="preserve">) </w:t>
      </w:r>
      <w:r>
        <w:rPr>
          <w:rStyle w:val="sentence-wrapperwithout-hover"/>
        </w:rPr>
        <w:t>pretreatment</w:t>
      </w:r>
      <w:r w:rsidR="007A556C">
        <w:rPr>
          <w:rStyle w:val="sentence-wrapperwithout-hover"/>
        </w:rPr>
        <w:t>.</w:t>
      </w:r>
      <w:r>
        <w:rPr>
          <w:rStyle w:val="sentence-wrapperwithout-hover"/>
        </w:rPr>
        <w:t xml:space="preserve"> </w:t>
      </w:r>
      <w:r w:rsidR="00E74F5F">
        <w:rPr>
          <w:rStyle w:val="sentence-wrapperwithout-hover"/>
        </w:rPr>
        <w:t>After the pre</w:t>
      </w:r>
      <w:r w:rsidR="000A3625">
        <w:rPr>
          <w:rStyle w:val="sentence-wrapperwithout-hover"/>
        </w:rPr>
        <w:t>-</w:t>
      </w:r>
      <w:r w:rsidR="00E74F5F">
        <w:rPr>
          <w:rStyle w:val="sentence-wrapperwithout-hover"/>
        </w:rPr>
        <w:t xml:space="preserve">treatments, aliquots of 8 mL were centrifuged at 4000 rpm for 30 min </w:t>
      </w:r>
      <w:r w:rsidR="00E74F5F" w:rsidRPr="00E74F5F">
        <w:rPr>
          <w:rStyle w:val="sentence-wrapperwithout-hover"/>
        </w:rPr>
        <w:t xml:space="preserve">(IEC CL30 Thermo Scientific, Rodano, Italy) </w:t>
      </w:r>
      <w:r w:rsidR="00E74F5F">
        <w:rPr>
          <w:rStyle w:val="sentence-wrapperwithout-hover"/>
        </w:rPr>
        <w:t>and the supernatant was filtered through 0.4</w:t>
      </w:r>
      <w:r w:rsidR="00E74F5F" w:rsidRPr="00E74F5F">
        <w:rPr>
          <w:rStyle w:val="sentence-wrapperwithout-hover"/>
        </w:rPr>
        <w:t xml:space="preserve">5 </w:t>
      </w:r>
      <w:r w:rsidR="00E74F5F" w:rsidRPr="00E74F5F">
        <w:rPr>
          <w:lang w:val="en-GB"/>
        </w:rPr>
        <w:t xml:space="preserve">μm </w:t>
      </w:r>
      <w:r w:rsidR="00E74F5F">
        <w:rPr>
          <w:rStyle w:val="sentence-wrapperwithout-hover"/>
        </w:rPr>
        <w:t xml:space="preserve">filters. </w:t>
      </w:r>
      <w:r w:rsidR="00A20B44">
        <w:rPr>
          <w:rStyle w:val="sentence-wrapperwithout-hover"/>
        </w:rPr>
        <w:t xml:space="preserve">The effect of the pretreatment was evaluated </w:t>
      </w:r>
      <w:r w:rsidR="000A3625">
        <w:rPr>
          <w:rStyle w:val="sentence-wrapperwithout-hover"/>
        </w:rPr>
        <w:t>using</w:t>
      </w:r>
      <w:r w:rsidR="00A20B44">
        <w:rPr>
          <w:rStyle w:val="sentence-wrapperwithout-hover"/>
        </w:rPr>
        <w:t xml:space="preserve"> </w:t>
      </w:r>
      <w:r w:rsidR="00F40ADA">
        <w:rPr>
          <w:rStyle w:val="sentence-wrapperwithout-hover"/>
        </w:rPr>
        <w:t>absorbance readings</w:t>
      </w:r>
      <w:r w:rsidR="00A5687F" w:rsidRPr="00A5687F">
        <w:rPr>
          <w:rStyle w:val="sentence-wrapperwithout-hover"/>
        </w:rPr>
        <w:t xml:space="preserve"> </w:t>
      </w:r>
      <w:r w:rsidR="00F40ADA">
        <w:rPr>
          <w:rStyle w:val="sentence-wrapperwithout-hover"/>
        </w:rPr>
        <w:t>at 440 nm</w:t>
      </w:r>
      <w:r w:rsidR="00A5687F">
        <w:rPr>
          <w:rStyle w:val="sentence-wrapperwithout-hover"/>
        </w:rPr>
        <w:t xml:space="preserve"> </w:t>
      </w:r>
      <w:r w:rsidR="00F40ADA">
        <w:rPr>
          <w:rStyle w:val="sentence-wrapperwithout-hover"/>
        </w:rPr>
        <w:t xml:space="preserve">and </w:t>
      </w:r>
      <w:r w:rsidR="00A5687F" w:rsidRPr="00A5687F">
        <w:rPr>
          <w:rStyle w:val="sentence-wrapperwithout-hover"/>
        </w:rPr>
        <w:t>the</w:t>
      </w:r>
      <w:r>
        <w:rPr>
          <w:rStyle w:val="sentence-wrapperwithout-hover"/>
        </w:rPr>
        <w:t xml:space="preserve"> Brix degrees (°B</w:t>
      </w:r>
      <w:r w:rsidR="00371AE9">
        <w:rPr>
          <w:rStyle w:val="sentence-wrapperwithout-hover"/>
        </w:rPr>
        <w:t>x</w:t>
      </w:r>
      <w:r>
        <w:rPr>
          <w:rStyle w:val="sentence-wrapperwithout-hover"/>
        </w:rPr>
        <w:t>)</w:t>
      </w:r>
      <w:r w:rsidR="00DD217F">
        <w:rPr>
          <w:rStyle w:val="sentence-wrapperwithout-hover"/>
        </w:rPr>
        <w:t>; while</w:t>
      </w:r>
      <w:r w:rsidR="00A5687F">
        <w:rPr>
          <w:rStyle w:val="sentence-wrapperwithout-hover"/>
        </w:rPr>
        <w:t xml:space="preserve"> </w:t>
      </w:r>
      <w:r w:rsidR="00E74F5F">
        <w:rPr>
          <w:rStyle w:val="sentence-wrapperwithout-hover"/>
        </w:rPr>
        <w:t>the supernatant and the centrifugation residue were m</w:t>
      </w:r>
      <w:r w:rsidR="00A5687F">
        <w:rPr>
          <w:rStyle w:val="sentence-wrapperwithout-hover"/>
        </w:rPr>
        <w:t>orphological</w:t>
      </w:r>
      <w:r w:rsidR="00E74F5F">
        <w:rPr>
          <w:rStyle w:val="sentence-wrapperwithout-hover"/>
        </w:rPr>
        <w:t>ly</w:t>
      </w:r>
      <w:r w:rsidR="00A5687F">
        <w:rPr>
          <w:rStyle w:val="sentence-wrapperwithout-hover"/>
        </w:rPr>
        <w:t xml:space="preserve"> analy</w:t>
      </w:r>
      <w:r w:rsidR="00C76716">
        <w:rPr>
          <w:rStyle w:val="sentence-wrapperwithout-hover"/>
        </w:rPr>
        <w:t>z</w:t>
      </w:r>
      <w:r w:rsidR="00E74F5F">
        <w:rPr>
          <w:rStyle w:val="sentence-wrapperwithout-hover"/>
        </w:rPr>
        <w:t xml:space="preserve">ed </w:t>
      </w:r>
      <w:r w:rsidR="00A5687F">
        <w:rPr>
          <w:rStyle w:val="sentence-wrapperwithout-hover"/>
        </w:rPr>
        <w:t>through optical</w:t>
      </w:r>
      <w:r>
        <w:rPr>
          <w:rStyle w:val="sentence-wrapperwithout-hover"/>
        </w:rPr>
        <w:t xml:space="preserve"> microscopy</w:t>
      </w:r>
      <w:r w:rsidR="00A5687F">
        <w:rPr>
          <w:rStyle w:val="sentence-wrapperwithout-hover"/>
        </w:rPr>
        <w:t>.</w:t>
      </w:r>
      <w:r>
        <w:rPr>
          <w:rStyle w:val="sentence-wrapperwithout-hover"/>
        </w:rPr>
        <w:t xml:space="preserve"> </w:t>
      </w:r>
      <w:r w:rsidR="00E74F5F">
        <w:rPr>
          <w:rStyle w:val="sentence-wrapperwithout-hover"/>
        </w:rPr>
        <w:t>After the initial pretreatment scan, high performance liquid chromatography (HPLC) analysis</w:t>
      </w:r>
      <w:r w:rsidR="00645081">
        <w:rPr>
          <w:rStyle w:val="sentence-wrapperwithout-hover"/>
        </w:rPr>
        <w:t xml:space="preserve"> (see below)</w:t>
      </w:r>
      <w:r w:rsidR="00E74F5F">
        <w:rPr>
          <w:rStyle w:val="sentence-wrapperwithout-hover"/>
        </w:rPr>
        <w:t xml:space="preserve"> were performed on the raw and BP </w:t>
      </w:r>
      <w:r w:rsidR="00645081">
        <w:rPr>
          <w:rStyle w:val="sentence-wrapperwithout-hover"/>
        </w:rPr>
        <w:t xml:space="preserve">samples. </w:t>
      </w:r>
      <w:r w:rsidR="00AF57A5">
        <w:rPr>
          <w:rStyle w:val="sentence-wrapperwithout-hover"/>
        </w:rPr>
        <w:t xml:space="preserve">Prior to the fermentation tests, the substrate was prepared </w:t>
      </w:r>
      <w:r w:rsidR="000A3625">
        <w:rPr>
          <w:rStyle w:val="sentence-wrapperwithout-hover"/>
        </w:rPr>
        <w:t xml:space="preserve">(concentration: </w:t>
      </w:r>
      <w:r w:rsidR="00AF57A5">
        <w:rPr>
          <w:rStyle w:val="sentence-wrapperwithout-hover"/>
        </w:rPr>
        <w:t>100 g</w:t>
      </w:r>
      <w:r w:rsidR="00AF57A5" w:rsidRPr="000A3625">
        <w:rPr>
          <w:rStyle w:val="sentence-wrapperwithout-hover"/>
          <w:vertAlign w:val="subscript"/>
        </w:rPr>
        <w:t>TS</w:t>
      </w:r>
      <w:r w:rsidR="00AF57A5">
        <w:rPr>
          <w:rStyle w:val="sentence-wrapperwithout-hover"/>
        </w:rPr>
        <w:t>/L</w:t>
      </w:r>
      <w:r w:rsidR="000A3625">
        <w:rPr>
          <w:rStyle w:val="sentence-wrapperwithout-hover"/>
        </w:rPr>
        <w:t>)</w:t>
      </w:r>
      <w:r w:rsidR="00AF57A5">
        <w:rPr>
          <w:rStyle w:val="sentence-wrapperwithout-hover"/>
        </w:rPr>
        <w:t xml:space="preserve"> and it was treated with powdered NaOH up to pH=12</w:t>
      </w:r>
      <w:r w:rsidR="00B33CFF">
        <w:rPr>
          <w:rStyle w:val="sentence-wrapperwithout-hover"/>
        </w:rPr>
        <w:t>,</w:t>
      </w:r>
      <w:r w:rsidR="00AF57A5">
        <w:rPr>
          <w:rStyle w:val="sentence-wrapperwithout-hover"/>
        </w:rPr>
        <w:t xml:space="preserve"> for 24 h</w:t>
      </w:r>
      <w:r w:rsidR="00B33CFF">
        <w:rPr>
          <w:rStyle w:val="sentence-wrapperwithout-hover"/>
        </w:rPr>
        <w:t>;</w:t>
      </w:r>
      <w:r w:rsidR="000A3625">
        <w:rPr>
          <w:rStyle w:val="sentence-wrapperwithout-hover"/>
        </w:rPr>
        <w:t xml:space="preserve"> after</w:t>
      </w:r>
      <w:r w:rsidR="00B33CFF">
        <w:rPr>
          <w:rStyle w:val="sentence-wrapperwithout-hover"/>
        </w:rPr>
        <w:t>wards</w:t>
      </w:r>
      <w:r w:rsidR="000A3625">
        <w:rPr>
          <w:rStyle w:val="sentence-wrapperwithout-hover"/>
        </w:rPr>
        <w:t xml:space="preserve"> </w:t>
      </w:r>
      <w:r w:rsidR="00AF57A5">
        <w:rPr>
          <w:rStyle w:val="sentence-wrapperwithout-hover"/>
        </w:rPr>
        <w:t>the pH was readjusted to pH=7 using</w:t>
      </w:r>
      <w:r w:rsidR="00C661F2">
        <w:rPr>
          <w:rStyle w:val="sentence-wrapperwithout-hover"/>
        </w:rPr>
        <w:t xml:space="preserve"> a 10 M</w:t>
      </w:r>
      <w:r w:rsidR="00AF57A5">
        <w:rPr>
          <w:rStyle w:val="sentence-wrapperwithout-hover"/>
        </w:rPr>
        <w:t xml:space="preserve"> HCL</w:t>
      </w:r>
      <w:r w:rsidR="00C661F2">
        <w:rPr>
          <w:rStyle w:val="sentence-wrapperwithout-hover"/>
        </w:rPr>
        <w:t xml:space="preserve"> solution</w:t>
      </w:r>
      <w:r w:rsidR="00AF57A5">
        <w:rPr>
          <w:rStyle w:val="sentence-wrapperwithout-hover"/>
        </w:rPr>
        <w:t xml:space="preserve">. </w:t>
      </w:r>
    </w:p>
    <w:p w14:paraId="78A10BDA" w14:textId="1917ADC2" w:rsidR="00EC0E9E" w:rsidRDefault="00645081" w:rsidP="00980D6F">
      <w:pPr>
        <w:pStyle w:val="CETheadingx"/>
      </w:pPr>
      <w:r>
        <w:t xml:space="preserve">Mixed Yeasts-Bacteria (MYB) fermentation tests </w:t>
      </w:r>
    </w:p>
    <w:p w14:paraId="1EC424E7" w14:textId="5C6106B0" w:rsidR="004466BF" w:rsidRDefault="004A04C6" w:rsidP="00AF57A5">
      <w:pPr>
        <w:pStyle w:val="CETBodytext"/>
      </w:pPr>
      <w:r>
        <w:t xml:space="preserve">MYB </w:t>
      </w:r>
      <w:r w:rsidRPr="00D8345D">
        <w:t xml:space="preserve">fermentation tests </w:t>
      </w:r>
      <w:r w:rsidR="00FA5A4B">
        <w:t>were performed using a AMPTS II unit (</w:t>
      </w:r>
      <w:r w:rsidR="00FA5A4B" w:rsidRPr="00F506C9">
        <w:t>Bi</w:t>
      </w:r>
      <w:r w:rsidR="00FA5A4B">
        <w:t>o</w:t>
      </w:r>
      <w:r w:rsidR="00FA5A4B" w:rsidRPr="00F506C9">
        <w:t>process Control</w:t>
      </w:r>
      <w:r w:rsidR="00FA5A4B" w:rsidRPr="00FA5A4B">
        <w:t xml:space="preserve"> </w:t>
      </w:r>
      <w:r w:rsidR="00FA5A4B" w:rsidRPr="00F506C9">
        <w:t xml:space="preserve">AB, </w:t>
      </w:r>
      <w:r w:rsidR="00FA5A4B">
        <w:t xml:space="preserve">Lund, </w:t>
      </w:r>
      <w:r w:rsidR="00FA5A4B" w:rsidRPr="00F506C9">
        <w:t>Sweden</w:t>
      </w:r>
      <w:r w:rsidR="00FA5A4B">
        <w:t>); three consecutive cycles were performed. The inocula for the MYB fermentation tests were</w:t>
      </w:r>
      <w:r w:rsidR="000A3625">
        <w:t>:</w:t>
      </w:r>
      <w:r w:rsidR="00FA5A4B">
        <w:t xml:space="preserve"> water kefir broth (WK), and the isolated SFB from cattle manure. These inocula are tested separately </w:t>
      </w:r>
      <w:r w:rsidR="00AF57A5">
        <w:t xml:space="preserve">(WK, SFB) </w:t>
      </w:r>
      <w:r w:rsidR="00FA5A4B">
        <w:t xml:space="preserve">and </w:t>
      </w:r>
      <w:r w:rsidR="004D7FF4">
        <w:t xml:space="preserve">in </w:t>
      </w:r>
      <w:r w:rsidR="00FA5A4B">
        <w:t>combin</w:t>
      </w:r>
      <w:r w:rsidR="004D7FF4">
        <w:t>ation</w:t>
      </w:r>
      <w:r w:rsidR="00FA5A4B">
        <w:t xml:space="preserve"> (WK+SFB)</w:t>
      </w:r>
      <w:r w:rsidR="000A3625">
        <w:t xml:space="preserve">. </w:t>
      </w:r>
      <w:r w:rsidR="00AF57A5">
        <w:t xml:space="preserve">The batch MYB tests were conducted using 500 mL serum bottles with a working volume of 220 mL. After dosing the substrate (c. 200 mL of BP substrate) </w:t>
      </w:r>
      <w:r w:rsidR="004466BF">
        <w:t>and the corresponding inoculum</w:t>
      </w:r>
      <w:r w:rsidR="00F40ADA">
        <w:t xml:space="preserve"> for each case</w:t>
      </w:r>
      <w:r w:rsidR="000A3625">
        <w:t xml:space="preserve"> (10 % </w:t>
      </w:r>
      <w:r w:rsidR="000A3625" w:rsidRPr="000A3625">
        <w:rPr>
          <w:i/>
          <w:iCs/>
        </w:rPr>
        <w:t>v/v</w:t>
      </w:r>
      <w:r w:rsidR="000A3625">
        <w:t xml:space="preserve"> for the SFB and WK, and 5+5 % </w:t>
      </w:r>
      <w:r w:rsidR="000A3625" w:rsidRPr="000A3625">
        <w:rPr>
          <w:i/>
          <w:iCs/>
        </w:rPr>
        <w:t>v/v</w:t>
      </w:r>
      <w:r w:rsidR="000A3625">
        <w:t xml:space="preserve"> for the WK+SFB)</w:t>
      </w:r>
      <w:r w:rsidR="004466BF">
        <w:t>, the bottles were flu</w:t>
      </w:r>
      <w:r w:rsidR="00AE6308">
        <w:t>sh</w:t>
      </w:r>
      <w:r w:rsidR="004466BF">
        <w:t>ed with nitrogen</w:t>
      </w:r>
      <w:r w:rsidR="00AE6308">
        <w:t xml:space="preserve"> gas</w:t>
      </w:r>
      <w:r w:rsidR="004466BF">
        <w:t xml:space="preserve"> for 4 min to displace oxygen and reach anaerobic conditions</w:t>
      </w:r>
      <w:r w:rsidR="00AE6308">
        <w:t>;</w:t>
      </w:r>
      <w:r w:rsidR="004466BF">
        <w:t xml:space="preserve"> the bottles were then connected to the </w:t>
      </w:r>
      <w:r w:rsidR="00AF57A5">
        <w:t xml:space="preserve">absorption and </w:t>
      </w:r>
      <w:r w:rsidR="004466BF">
        <w:t>the</w:t>
      </w:r>
      <w:r w:rsidR="00AF57A5">
        <w:t xml:space="preserve"> gas measurement unit</w:t>
      </w:r>
      <w:r w:rsidR="004466BF">
        <w:t>s of the AMPTS II</w:t>
      </w:r>
      <w:r w:rsidR="00AF57A5">
        <w:t>.</w:t>
      </w:r>
      <w:r w:rsidR="004466BF">
        <w:t xml:space="preserve"> Four replicates for each tested inoculum are performed in each cycle, two were connected to gas absorption unit containing acidic water (pH=2.5-3</w:t>
      </w:r>
      <w:r w:rsidR="00AE6308">
        <w:t>.0</w:t>
      </w:r>
      <w:r w:rsidR="004466BF">
        <w:t xml:space="preserve">) to allow </w:t>
      </w:r>
      <w:r w:rsidR="00AE6308">
        <w:t>the total</w:t>
      </w:r>
      <w:r w:rsidR="004466BF">
        <w:t xml:space="preserve"> produced gas to be recorded</w:t>
      </w:r>
      <w:r w:rsidR="00AE6308">
        <w:t xml:space="preserve"> (H</w:t>
      </w:r>
      <w:r w:rsidR="00AE6308" w:rsidRPr="00AE6308">
        <w:rPr>
          <w:vertAlign w:val="subscript"/>
        </w:rPr>
        <w:t>2</w:t>
      </w:r>
      <w:r w:rsidR="00AE6308">
        <w:t>+CO</w:t>
      </w:r>
      <w:r w:rsidR="00AE6308" w:rsidRPr="00AE6308">
        <w:rPr>
          <w:vertAlign w:val="subscript"/>
        </w:rPr>
        <w:t>2</w:t>
      </w:r>
      <w:r w:rsidR="00AE6308">
        <w:t>)</w:t>
      </w:r>
      <w:r w:rsidR="004466BF">
        <w:t xml:space="preserve">, while the other two were connected to gas absorption bottles containing 3 M NaOH </w:t>
      </w:r>
      <w:r w:rsidR="00AE6308">
        <w:t>(i.e., CO</w:t>
      </w:r>
      <w:r w:rsidR="00AE6308" w:rsidRPr="00AE6308">
        <w:rPr>
          <w:vertAlign w:val="subscript"/>
        </w:rPr>
        <w:t>2</w:t>
      </w:r>
      <w:r w:rsidR="00AE6308">
        <w:rPr>
          <w:vertAlign w:val="subscript"/>
        </w:rPr>
        <w:t xml:space="preserve"> </w:t>
      </w:r>
      <w:r w:rsidR="00AE6308" w:rsidRPr="00AE6308">
        <w:t>entrapment)</w:t>
      </w:r>
      <w:r w:rsidR="00AE6308">
        <w:rPr>
          <w:vertAlign w:val="subscript"/>
        </w:rPr>
        <w:t xml:space="preserve"> </w:t>
      </w:r>
      <w:r w:rsidR="004466BF">
        <w:t xml:space="preserve">for </w:t>
      </w:r>
      <w:r w:rsidR="00AE6308">
        <w:t xml:space="preserve">hydrogen production recording. </w:t>
      </w:r>
      <w:r w:rsidR="000A3625">
        <w:t xml:space="preserve">The agitation of the systems was 150 rpm </w:t>
      </w:r>
      <w:r w:rsidR="00A37FE0">
        <w:t xml:space="preserve">with </w:t>
      </w:r>
      <w:r w:rsidR="001A2A57" w:rsidRPr="000A3625">
        <w:t xml:space="preserve">on/off </w:t>
      </w:r>
      <w:r w:rsidR="00A37FE0">
        <w:t>interval</w:t>
      </w:r>
      <w:r w:rsidR="00B651B0">
        <w:t>s</w:t>
      </w:r>
      <w:r w:rsidR="00A37FE0">
        <w:t xml:space="preserve"> of</w:t>
      </w:r>
      <w:r w:rsidR="000A3625" w:rsidRPr="000A3625">
        <w:t xml:space="preserve"> 5 minutes</w:t>
      </w:r>
      <w:r w:rsidR="000A3625">
        <w:t xml:space="preserve">. </w:t>
      </w:r>
      <w:r w:rsidR="00AE6308">
        <w:t xml:space="preserve">The gas production was monitored </w:t>
      </w:r>
      <w:r w:rsidR="00980D6F">
        <w:t xml:space="preserve">online </w:t>
      </w:r>
      <w:r w:rsidR="00AE6308">
        <w:t>using the web server of the AMPTS II unit, and the test</w:t>
      </w:r>
      <w:r w:rsidR="00F80AE9">
        <w:t>s</w:t>
      </w:r>
      <w:r w:rsidR="00AE6308">
        <w:t xml:space="preserve"> were stopped when the plateau </w:t>
      </w:r>
      <w:r w:rsidR="00A37FE0">
        <w:t>of</w:t>
      </w:r>
      <w:r w:rsidR="000459E4">
        <w:t xml:space="preserve"> the</w:t>
      </w:r>
      <w:r w:rsidR="00AE6308">
        <w:t xml:space="preserve"> gas production</w:t>
      </w:r>
      <w:r w:rsidR="007950D5">
        <w:t xml:space="preserve"> was reached</w:t>
      </w:r>
      <w:r w:rsidR="00AE6308">
        <w:t xml:space="preserve"> (</w:t>
      </w:r>
      <w:r w:rsidR="00980D6F">
        <w:t xml:space="preserve">c. </w:t>
      </w:r>
      <w:r w:rsidR="00AE6308">
        <w:t>48 h)</w:t>
      </w:r>
      <w:r w:rsidR="00046A22">
        <w:t xml:space="preserve">. </w:t>
      </w:r>
    </w:p>
    <w:p w14:paraId="5F5730C3" w14:textId="3248A444" w:rsidR="00645081" w:rsidRDefault="00046A22" w:rsidP="00980D6F">
      <w:pPr>
        <w:pStyle w:val="CETheadingx"/>
      </w:pPr>
      <w:r w:rsidRPr="00046A22">
        <w:t>Analytical measurements</w:t>
      </w:r>
    </w:p>
    <w:p w14:paraId="4185C126" w14:textId="584120AF" w:rsidR="00645081" w:rsidRDefault="000459E4" w:rsidP="00980D6F">
      <w:pPr>
        <w:pStyle w:val="CETHeadingxx"/>
      </w:pPr>
      <w:r w:rsidRPr="000459E4">
        <w:t>Proximate analysis</w:t>
      </w:r>
    </w:p>
    <w:p w14:paraId="055FABC3" w14:textId="7BA1C577" w:rsidR="00BB5E0A" w:rsidRDefault="000459E4" w:rsidP="00EC0E9E">
      <w:pPr>
        <w:pStyle w:val="CETBodytext"/>
        <w:rPr>
          <w:color w:val="FF0000"/>
        </w:rPr>
      </w:pPr>
      <w:r>
        <w:t>The raw substrate, the initial medium and the fermented broths were characterized by means of a proximate analysis, for the estimation of the moisture content (MC), the total solids (TS) and the volatile solids (VS)</w:t>
      </w:r>
      <w:r w:rsidR="00B33CFF">
        <w:t>,</w:t>
      </w:r>
      <w:r>
        <w:t xml:space="preserve"> and the ash fraction (AF) according to the standard APHA</w:t>
      </w:r>
      <w:r w:rsidRPr="000459E4">
        <w:t xml:space="preserve"> </w:t>
      </w:r>
      <w:r>
        <w:t>method</w:t>
      </w:r>
      <w:r w:rsidR="00A7513C">
        <w:t>.</w:t>
      </w:r>
      <w:r>
        <w:t xml:space="preserve"> </w:t>
      </w:r>
      <w:r w:rsidRPr="000459E4">
        <w:t xml:space="preserve">Gravimetric measurements </w:t>
      </w:r>
      <w:r>
        <w:t xml:space="preserve">were made using an </w:t>
      </w:r>
      <w:r w:rsidR="00EC0E9E" w:rsidRPr="000459E4">
        <w:t>analytical balance (</w:t>
      </w:r>
      <w:r w:rsidRPr="000459E4">
        <w:t xml:space="preserve">E42S </w:t>
      </w:r>
      <w:r w:rsidR="00EC0E9E" w:rsidRPr="000459E4">
        <w:t>Gibertini Elettronica, Novate Milanese, Italy)</w:t>
      </w:r>
      <w:r w:rsidR="00DD217F">
        <w:t>.</w:t>
      </w:r>
    </w:p>
    <w:p w14:paraId="73574599" w14:textId="7E447530" w:rsidR="00D731BE" w:rsidRPr="000459E4" w:rsidRDefault="000459E4" w:rsidP="00980D6F">
      <w:pPr>
        <w:pStyle w:val="CETHeadingxx"/>
      </w:pPr>
      <w:r w:rsidRPr="000459E4">
        <w:t>High-Performance Liquid Chromatography</w:t>
      </w:r>
      <w:r>
        <w:t xml:space="preserve"> (HPLC)</w:t>
      </w:r>
    </w:p>
    <w:p w14:paraId="65330ED3" w14:textId="3B40F311" w:rsidR="00F45FA8" w:rsidRDefault="000459E4" w:rsidP="000459E4">
      <w:pPr>
        <w:pStyle w:val="CETBodytext"/>
      </w:pPr>
      <w:r>
        <w:t xml:space="preserve">A </w:t>
      </w:r>
      <w:r w:rsidRPr="000459E4">
        <w:t xml:space="preserve">HPLC </w:t>
      </w:r>
      <w:r>
        <w:t xml:space="preserve">method was developed for the </w:t>
      </w:r>
      <w:r w:rsidR="00A42A16">
        <w:t xml:space="preserve">concomitantly </w:t>
      </w:r>
      <w:r w:rsidRPr="000459E4">
        <w:t>quantification of</w:t>
      </w:r>
      <w:r w:rsidR="00A42A16">
        <w:t xml:space="preserve"> key hydrolysis </w:t>
      </w:r>
      <w:r w:rsidR="001C5DE8">
        <w:t xml:space="preserve">carbohydrates </w:t>
      </w:r>
      <w:r w:rsidR="00A42A16">
        <w:t>and</w:t>
      </w:r>
      <w:r w:rsidRPr="000459E4">
        <w:t xml:space="preserve"> fermentation products (</w:t>
      </w:r>
      <w:r w:rsidR="00A42A16">
        <w:t xml:space="preserve">i.e., </w:t>
      </w:r>
      <w:r w:rsidRPr="000459E4">
        <w:t>maltose, organic acids and ethanol)</w:t>
      </w:r>
      <w:r w:rsidR="00A42A16">
        <w:t>.</w:t>
      </w:r>
      <w:r w:rsidR="001C5DE8">
        <w:t xml:space="preserve"> The samples were first centrifuged at 4</w:t>
      </w:r>
      <w:r w:rsidR="001D2EE0">
        <w:t>,</w:t>
      </w:r>
      <w:r w:rsidR="001C5DE8">
        <w:t>000 rpm for 20 min, then the supernatants were filtered</w:t>
      </w:r>
      <w:r w:rsidR="001C5DE8" w:rsidRPr="000459E4">
        <w:t xml:space="preserve"> with 0</w:t>
      </w:r>
      <w:r w:rsidR="001D2EE0">
        <w:t>.</w:t>
      </w:r>
      <w:r w:rsidR="001C5DE8" w:rsidRPr="000459E4">
        <w:t>45 μm cellulose ester filter</w:t>
      </w:r>
      <w:r w:rsidR="001C5DE8">
        <w:t xml:space="preserve">s. </w:t>
      </w:r>
      <w:r w:rsidR="00A42A16">
        <w:t xml:space="preserve">The HPLC system consisted </w:t>
      </w:r>
      <w:r w:rsidR="001C5DE8">
        <w:t>in</w:t>
      </w:r>
      <w:r w:rsidR="00A42A16">
        <w:t xml:space="preserve"> a</w:t>
      </w:r>
      <w:r w:rsidR="001C5DE8">
        <w:t>n</w:t>
      </w:r>
      <w:r w:rsidR="00A42A16">
        <w:t xml:space="preserve"> HPLC pump (</w:t>
      </w:r>
      <w:r w:rsidR="00A42A16" w:rsidRPr="00DD217F">
        <w:t>422 Kontron Instruments, Milan, Italy</w:t>
      </w:r>
      <w:r w:rsidR="00A42A16">
        <w:t>), a refractive index detector (RDI) (</w:t>
      </w:r>
      <w:r w:rsidR="001C5DE8">
        <w:t xml:space="preserve">RefractoMonitor IV Milton Roy, Riviera Beach, United States) and </w:t>
      </w:r>
      <w:r w:rsidR="001C5DE8" w:rsidRPr="001C5DE8">
        <w:t xml:space="preserve">a </w:t>
      </w:r>
      <w:r w:rsidR="00F45FA8">
        <w:t>s</w:t>
      </w:r>
      <w:r w:rsidR="00F45FA8" w:rsidRPr="00F45FA8">
        <w:t xml:space="preserve">ize </w:t>
      </w:r>
      <w:r w:rsidR="00F45FA8">
        <w:t>e</w:t>
      </w:r>
      <w:r w:rsidR="00F45FA8" w:rsidRPr="00F45FA8">
        <w:t>xclusion/</w:t>
      </w:r>
      <w:r w:rsidR="00F45FA8">
        <w:t>li</w:t>
      </w:r>
      <w:r w:rsidR="00F45FA8" w:rsidRPr="00F45FA8">
        <w:t xml:space="preserve">gand </w:t>
      </w:r>
      <w:r w:rsidR="00F45FA8">
        <w:t>e</w:t>
      </w:r>
      <w:r w:rsidR="00F45FA8" w:rsidRPr="00F45FA8">
        <w:t>xchange</w:t>
      </w:r>
      <w:r w:rsidR="00F45FA8">
        <w:t xml:space="preserve"> </w:t>
      </w:r>
      <w:r w:rsidR="001C5DE8" w:rsidRPr="001C5DE8">
        <w:t>column</w:t>
      </w:r>
      <w:r w:rsidR="001C5DE8">
        <w:t xml:space="preserve"> (</w:t>
      </w:r>
      <w:r w:rsidR="00F45FA8" w:rsidRPr="001C5DE8">
        <w:t xml:space="preserve">Aminex HPX-87H </w:t>
      </w:r>
      <w:r w:rsidR="001C5DE8">
        <w:t xml:space="preserve">Bio-rad, </w:t>
      </w:r>
      <w:r w:rsidR="00F45FA8">
        <w:t>C</w:t>
      </w:r>
      <w:r w:rsidR="001C5DE8">
        <w:t xml:space="preserve">alifornia, United States). The column was operated at 55 °C, under isocratic conditions using </w:t>
      </w:r>
      <w:r w:rsidR="001C5DE8" w:rsidRPr="001C5DE8">
        <w:t>5 mM H</w:t>
      </w:r>
      <w:r w:rsidR="001C5DE8" w:rsidRPr="001C5DE8">
        <w:rPr>
          <w:vertAlign w:val="subscript"/>
        </w:rPr>
        <w:t>2</w:t>
      </w:r>
      <w:r w:rsidR="001C5DE8" w:rsidRPr="001C5DE8">
        <w:t>SO</w:t>
      </w:r>
      <w:r w:rsidR="001C5DE8" w:rsidRPr="001C5DE8">
        <w:rPr>
          <w:vertAlign w:val="subscript"/>
        </w:rPr>
        <w:t xml:space="preserve">4 </w:t>
      </w:r>
      <w:r w:rsidR="001C5DE8" w:rsidRPr="001C5DE8">
        <w:t xml:space="preserve">as eluent at </w:t>
      </w:r>
      <w:r w:rsidR="001C5DE8">
        <w:t xml:space="preserve">a rate of </w:t>
      </w:r>
      <w:r w:rsidR="001C5DE8" w:rsidRPr="001C5DE8">
        <w:t>0</w:t>
      </w:r>
      <w:r w:rsidR="00DD217F">
        <w:t>.</w:t>
      </w:r>
      <w:r w:rsidR="001C5DE8" w:rsidRPr="001C5DE8">
        <w:t>8 mL</w:t>
      </w:r>
      <w:r w:rsidR="001C5DE8">
        <w:t>/</w:t>
      </w:r>
      <w:r w:rsidR="001C5DE8" w:rsidRPr="001C5DE8">
        <w:t>min</w:t>
      </w:r>
      <w:r w:rsidR="001C5DE8">
        <w:t>.</w:t>
      </w:r>
    </w:p>
    <w:p w14:paraId="6EEBFCC1" w14:textId="2F078D60" w:rsidR="00F45FA8" w:rsidRDefault="00F45FA8" w:rsidP="005E26DB">
      <w:pPr>
        <w:pStyle w:val="CETBodytext"/>
        <w:spacing w:before="120" w:after="120" w:line="240" w:lineRule="auto"/>
        <w:jc w:val="left"/>
      </w:pPr>
      <w:r w:rsidRPr="00F45FA8">
        <w:rPr>
          <w:rStyle w:val="CETHeadingxxChar"/>
        </w:rPr>
        <w:t>pH, titratable acidity (TA), degree Brix (°Bx</w:t>
      </w:r>
      <w:r w:rsidRPr="001A2A57">
        <w:rPr>
          <w:rStyle w:val="CETHeadingxxChar"/>
          <w:b w:val="0"/>
          <w:bCs/>
        </w:rPr>
        <w:t>)</w:t>
      </w:r>
      <w:r w:rsidR="00863100" w:rsidRPr="001A2A57">
        <w:rPr>
          <w:rStyle w:val="CETHeadingxxChar"/>
          <w:b w:val="0"/>
          <w:bCs/>
        </w:rPr>
        <w:t xml:space="preserve">, </w:t>
      </w:r>
      <w:r w:rsidR="00863100" w:rsidRPr="001A2A57">
        <w:rPr>
          <w:b/>
          <w:bCs/>
        </w:rPr>
        <w:t xml:space="preserve">absorbance measurements </w:t>
      </w:r>
    </w:p>
    <w:p w14:paraId="4F1BC781" w14:textId="77777777" w:rsidR="00863100" w:rsidRPr="007950D5" w:rsidRDefault="005B4553" w:rsidP="00863100">
      <w:pPr>
        <w:pStyle w:val="CETBodytext"/>
        <w:rPr>
          <w:color w:val="FF0000"/>
        </w:rPr>
      </w:pPr>
      <w:r>
        <w:rPr>
          <w:lang w:val="en-GB"/>
        </w:rPr>
        <w:t xml:space="preserve">The pH measurements were performed using a pH-meter (Micro-pH 2001 Crison Instruments SA, Barcelona, Spain). </w:t>
      </w:r>
      <w:r w:rsidRPr="005B4553">
        <w:t>The degree Brix (°Bx) were measured using a Brix refractometer (LAISS Apparecchiature Scientifiche, Torino, Italy), by placing a drop of centrifuged and filtered samples into the reading chamber of the refractometer</w:t>
      </w:r>
      <w:r w:rsidR="001A2A57">
        <w:t xml:space="preserve">. </w:t>
      </w:r>
      <w:r>
        <w:t xml:space="preserve">Titratable acidity (TA) measurements </w:t>
      </w:r>
      <w:r w:rsidR="00F45FA8" w:rsidRPr="005B4553">
        <w:t xml:space="preserve">were conducted on 5 mL of the </w:t>
      </w:r>
      <w:r w:rsidRPr="005B4553">
        <w:t>raw and fermented samples</w:t>
      </w:r>
      <w:r w:rsidR="00F45FA8" w:rsidRPr="005B4553">
        <w:t xml:space="preserve"> (diluted 1:</w:t>
      </w:r>
      <w:r w:rsidRPr="005B4553">
        <w:t xml:space="preserve">5 </w:t>
      </w:r>
      <w:r w:rsidR="00F45FA8" w:rsidRPr="005B4553">
        <w:rPr>
          <w:i/>
          <w:iCs/>
        </w:rPr>
        <w:t>v/v</w:t>
      </w:r>
      <w:r w:rsidRPr="005B4553">
        <w:t xml:space="preserve"> with distilled water</w:t>
      </w:r>
      <w:r w:rsidR="00F45FA8" w:rsidRPr="005B4553">
        <w:t>) using a standardized 0.1 N NaOH solution as titrant</w:t>
      </w:r>
      <w:r w:rsidR="00863100">
        <w:t>,</w:t>
      </w:r>
      <w:r w:rsidR="00F45FA8" w:rsidRPr="005B4553">
        <w:t xml:space="preserve"> and phenolphthalein (c. 100 μL</w:t>
      </w:r>
      <w:r>
        <w:t xml:space="preserve"> of a 60% </w:t>
      </w:r>
      <w:r w:rsidRPr="005B4553">
        <w:rPr>
          <w:i/>
          <w:iCs/>
        </w:rPr>
        <w:t>v/v</w:t>
      </w:r>
      <w:r>
        <w:t xml:space="preserve"> ethanol solution</w:t>
      </w:r>
      <w:r w:rsidR="00F45FA8" w:rsidRPr="005B4553">
        <w:t>) as visual endpoint indicator under constant mixing conditions</w:t>
      </w:r>
      <w:r w:rsidR="00980D6F">
        <w:t xml:space="preserve"> (</w:t>
      </w:r>
      <w:r w:rsidR="00F45FA8" w:rsidRPr="005B4553">
        <w:t xml:space="preserve">TA is expressed as </w:t>
      </w:r>
      <w:r w:rsidR="00980D6F" w:rsidRPr="005B4553">
        <w:t>eq</w:t>
      </w:r>
      <w:r w:rsidR="00980D6F">
        <w:t>.</w:t>
      </w:r>
      <w:r w:rsidR="00980D6F" w:rsidRPr="005B4553">
        <w:t xml:space="preserve"> </w:t>
      </w:r>
      <w:r w:rsidR="001A2A57">
        <w:t>grams acetic acid</w:t>
      </w:r>
      <w:r w:rsidR="00980D6F">
        <w:t xml:space="preserve">, </w:t>
      </w:r>
      <w:r w:rsidR="00F45FA8" w:rsidRPr="005B4553">
        <w:t>g</w:t>
      </w:r>
      <w:r w:rsidR="001A2A57" w:rsidRPr="001A2A57">
        <w:rPr>
          <w:vertAlign w:val="subscript"/>
        </w:rPr>
        <w:t>AA,eq</w:t>
      </w:r>
      <w:r w:rsidR="001A2A57" w:rsidRPr="001A2A57">
        <w:t>/L</w:t>
      </w:r>
      <w:r w:rsidR="001A2A57">
        <w:t>)</w:t>
      </w:r>
      <w:r w:rsidR="00863100" w:rsidRPr="00371AE9">
        <w:t xml:space="preserve">. The </w:t>
      </w:r>
      <w:r w:rsidR="00371AE9" w:rsidRPr="00371AE9">
        <w:t xml:space="preserve">absorbance measurements were performed using a </w:t>
      </w:r>
      <w:r w:rsidR="00863100" w:rsidRPr="00371AE9">
        <w:t>UV/VIS spectrophotometer (PerkinElmer, Waltham, USA)</w:t>
      </w:r>
      <w:r w:rsidR="00371AE9" w:rsidRPr="00371AE9">
        <w:t>; s</w:t>
      </w:r>
      <w:r w:rsidR="00863100" w:rsidRPr="00371AE9">
        <w:t>amples were centrifugated at 4</w:t>
      </w:r>
      <w:r w:rsidR="001D2EE0">
        <w:t>,</w:t>
      </w:r>
      <w:r w:rsidR="00863100" w:rsidRPr="00371AE9">
        <w:t>000 rpm for 30 minutes, filtered with a 0</w:t>
      </w:r>
      <w:r w:rsidR="001D2EE0">
        <w:t>.</w:t>
      </w:r>
      <w:r w:rsidR="00863100" w:rsidRPr="00371AE9">
        <w:t xml:space="preserve">45 μm cellulose ester filter and </w:t>
      </w:r>
      <w:r w:rsidR="00371AE9" w:rsidRPr="00371AE9">
        <w:t>properly</w:t>
      </w:r>
      <w:r w:rsidR="00863100" w:rsidRPr="00371AE9">
        <w:t xml:space="preserve"> diluted </w:t>
      </w:r>
      <w:r w:rsidR="00371AE9" w:rsidRPr="00371AE9">
        <w:t>to collect the readings</w:t>
      </w:r>
      <w:r w:rsidR="00863100" w:rsidRPr="00371AE9">
        <w:t>.</w:t>
      </w:r>
    </w:p>
    <w:p w14:paraId="243CB35B" w14:textId="1E36AB44" w:rsidR="002B7B3B" w:rsidRPr="004A2686" w:rsidRDefault="00D731BE" w:rsidP="004A2686">
      <w:pPr>
        <w:pStyle w:val="CETHeading1"/>
        <w:tabs>
          <w:tab w:val="clear" w:pos="360"/>
          <w:tab w:val="right" w:pos="7100"/>
        </w:tabs>
        <w:jc w:val="both"/>
        <w:rPr>
          <w:lang w:val="en-GB"/>
        </w:rPr>
      </w:pPr>
      <w:r>
        <w:rPr>
          <w:lang w:val="en-GB"/>
        </w:rPr>
        <w:t xml:space="preserve">Results </w:t>
      </w:r>
    </w:p>
    <w:p w14:paraId="51E07195" w14:textId="484D19D5" w:rsidR="002B7B3B" w:rsidRDefault="002B7B3B" w:rsidP="00980D6F">
      <w:pPr>
        <w:pStyle w:val="CETheadingx"/>
      </w:pPr>
      <w:r>
        <w:t xml:space="preserve">Inocula </w:t>
      </w:r>
    </w:p>
    <w:p w14:paraId="50E4EA8D" w14:textId="77777777" w:rsidR="00980D6F" w:rsidRPr="00980D6F" w:rsidRDefault="00980D6F" w:rsidP="00980D6F">
      <w:pPr>
        <w:pStyle w:val="CETBodytext"/>
      </w:pPr>
    </w:p>
    <w:p w14:paraId="63547302" w14:textId="39CD1175" w:rsidR="00DF526A" w:rsidRPr="00DF526A" w:rsidRDefault="00DF526A" w:rsidP="00DF526A">
      <w:pPr>
        <w:pStyle w:val="CETBodytext"/>
      </w:pPr>
      <w:r w:rsidRPr="003A59D3">
        <w:rPr>
          <w:rStyle w:val="CETHeadingxxChar"/>
        </w:rPr>
        <w:lastRenderedPageBreak/>
        <w:t>W</w:t>
      </w:r>
      <w:r>
        <w:rPr>
          <w:rStyle w:val="CETHeadingxxChar"/>
        </w:rPr>
        <w:t xml:space="preserve">ater </w:t>
      </w:r>
      <w:r w:rsidRPr="00674A1C">
        <w:rPr>
          <w:rStyle w:val="CETHeadingxxChar"/>
        </w:rPr>
        <w:t>Kefir grains and Water Kefir broth</w:t>
      </w:r>
    </w:p>
    <w:p w14:paraId="412180E1" w14:textId="1892F08B" w:rsidR="00B864D5" w:rsidRDefault="00DD217F" w:rsidP="00D731BE">
      <w:pPr>
        <w:pStyle w:val="CETBodytext"/>
      </w:pPr>
      <w:r w:rsidRPr="00912DAA">
        <w:t xml:space="preserve">The first </w:t>
      </w:r>
      <w:r w:rsidR="007672ED" w:rsidRPr="00912DAA">
        <w:t xml:space="preserve">studied </w:t>
      </w:r>
      <w:r w:rsidRPr="00912DAA">
        <w:t xml:space="preserve">source </w:t>
      </w:r>
      <w:r w:rsidR="007672ED" w:rsidRPr="00912DAA">
        <w:t xml:space="preserve">of inoculum </w:t>
      </w:r>
      <w:r w:rsidRPr="00912DAA">
        <w:t>was</w:t>
      </w:r>
      <w:r w:rsidR="007672ED" w:rsidRPr="00912DAA">
        <w:t xml:space="preserve"> water </w:t>
      </w:r>
      <w:r w:rsidRPr="00912DAA">
        <w:t>kefir grain</w:t>
      </w:r>
      <w:r w:rsidR="007672ED" w:rsidRPr="00912DAA">
        <w:t>s</w:t>
      </w:r>
      <w:r w:rsidRPr="00912DAA">
        <w:t>. Typically, kefir grains are used as inoculum source in backslopping cultivations, the result</w:t>
      </w:r>
      <w:r w:rsidR="007672ED" w:rsidRPr="00912DAA">
        <w:t>ing broth</w:t>
      </w:r>
      <w:r w:rsidRPr="00912DAA">
        <w:t xml:space="preserve"> (the kefir broth) is the desired product in homemade probiotics cultivations. A similar procedure was followed then for the maintenance of the grains (WKG) and to obtain biomass-enriched broths (WK) that could serve for the latter MYB fermentation tests.</w:t>
      </w:r>
      <w:r w:rsidR="00A10F8F" w:rsidRPr="00912DAA">
        <w:t xml:space="preserve"> While the first broths resulting from the backslopping cultivations were poor in biomass (predominantly bacterial biomass, </w:t>
      </w:r>
      <w:r w:rsidR="00A10F8F" w:rsidRPr="001E7F0E">
        <w:t>Figure 1a</w:t>
      </w:r>
      <w:r w:rsidR="00A10F8F" w:rsidRPr="00912DAA">
        <w:t xml:space="preserve">), </w:t>
      </w:r>
      <w:r w:rsidR="00912DAA" w:rsidRPr="00912DAA">
        <w:t xml:space="preserve">an enrichment in biomass was observed </w:t>
      </w:r>
      <w:r w:rsidR="00A10F8F" w:rsidRPr="00912DAA">
        <w:t xml:space="preserve">as the </w:t>
      </w:r>
      <w:r w:rsidR="008B5E23" w:rsidRPr="00912DAA">
        <w:t>backsloppings</w:t>
      </w:r>
      <w:r w:rsidR="00A10F8F" w:rsidRPr="00912DAA">
        <w:t xml:space="preserve"> progressed </w:t>
      </w:r>
      <w:r w:rsidR="00374986" w:rsidRPr="00912DAA">
        <w:t>(</w:t>
      </w:r>
      <w:r w:rsidR="00374986" w:rsidRPr="001E7F0E">
        <w:t>Figur</w:t>
      </w:r>
      <w:r w:rsidR="00D55882" w:rsidRPr="001E7F0E">
        <w:t>e</w:t>
      </w:r>
      <w:r w:rsidR="00374986" w:rsidRPr="001E7F0E">
        <w:t xml:space="preserve"> 1b</w:t>
      </w:r>
      <w:r w:rsidR="00374986" w:rsidRPr="00912DAA">
        <w:t>)</w:t>
      </w:r>
      <w:r w:rsidR="00A10F8F" w:rsidRPr="00912DAA">
        <w:t xml:space="preserve">, especially with respect to the yeasts. In fact, microscopic observations revealed that although </w:t>
      </w:r>
      <w:r w:rsidR="008B5E23" w:rsidRPr="00912DAA">
        <w:t>initial</w:t>
      </w:r>
      <w:r w:rsidR="00A10F8F" w:rsidRPr="00912DAA">
        <w:t xml:space="preserve"> broth</w:t>
      </w:r>
      <w:r w:rsidR="008B5E23" w:rsidRPr="00912DAA">
        <w:t>s</w:t>
      </w:r>
      <w:r w:rsidR="00A10F8F" w:rsidRPr="00912DAA">
        <w:t xml:space="preserve"> appeared to contain </w:t>
      </w:r>
      <w:r w:rsidR="008B5E23" w:rsidRPr="00912DAA">
        <w:t>few</w:t>
      </w:r>
      <w:r w:rsidR="00A10F8F" w:rsidRPr="00912DAA">
        <w:t xml:space="preserve"> </w:t>
      </w:r>
      <w:r w:rsidR="00C75954">
        <w:t xml:space="preserve">(vegetative) </w:t>
      </w:r>
      <w:r w:rsidR="00A10F8F" w:rsidRPr="00912DAA">
        <w:t>yeast</w:t>
      </w:r>
      <w:r w:rsidR="008B5E23" w:rsidRPr="00912DAA">
        <w:t xml:space="preserve"> cells</w:t>
      </w:r>
      <w:r w:rsidR="00A10F8F" w:rsidRPr="00912DAA">
        <w:t>, the WKG contained a significant amount in</w:t>
      </w:r>
      <w:r w:rsidR="00DB0642">
        <w:t xml:space="preserve"> both,</w:t>
      </w:r>
      <w:r w:rsidR="00A10F8F" w:rsidRPr="00912DAA">
        <w:t xml:space="preserve"> </w:t>
      </w:r>
      <w:r w:rsidR="00A10F8F" w:rsidRPr="00606C41">
        <w:t xml:space="preserve">the </w:t>
      </w:r>
      <w:r w:rsidR="00DB0642" w:rsidRPr="00606C41">
        <w:t>true septate and pseudohyphae forms</w:t>
      </w:r>
      <w:r w:rsidR="00DB0642">
        <w:rPr>
          <w:b/>
          <w:bCs/>
        </w:rPr>
        <w:t xml:space="preserve"> </w:t>
      </w:r>
      <w:r w:rsidR="00374986" w:rsidRPr="00912DAA">
        <w:t>(</w:t>
      </w:r>
      <w:r w:rsidR="00374986" w:rsidRPr="001E7F0E">
        <w:t>Figure 1c</w:t>
      </w:r>
      <w:r w:rsidR="00374986" w:rsidRPr="00912DAA">
        <w:t>)</w:t>
      </w:r>
      <w:r w:rsidR="00A10F8F" w:rsidRPr="00912DAA">
        <w:t>.</w:t>
      </w:r>
      <w:r w:rsidR="009E6A61" w:rsidRPr="00912DAA">
        <w:t xml:space="preserve"> </w:t>
      </w:r>
    </w:p>
    <w:p w14:paraId="02CF9A6D" w14:textId="26847233" w:rsidR="00B33CFF" w:rsidRDefault="00B33CFF" w:rsidP="00D731BE">
      <w:pPr>
        <w:pStyle w:val="CETBodytext"/>
      </w:pPr>
      <w:r>
        <w:rPr>
          <w:noProof/>
        </w:rPr>
        <w:drawing>
          <wp:inline distT="0" distB="0" distL="0" distR="0" wp14:anchorId="421DE119" wp14:editId="2F0541CD">
            <wp:extent cx="5636260" cy="2194560"/>
            <wp:effectExtent l="0" t="0" r="2540" b="0"/>
            <wp:docPr id="8" name="Picture 7">
              <a:extLst xmlns:a="http://schemas.openxmlformats.org/drawingml/2006/main">
                <a:ext uri="{FF2B5EF4-FFF2-40B4-BE49-F238E27FC236}">
                  <a16:creationId xmlns:a16="http://schemas.microsoft.com/office/drawing/2014/main" id="{05A077E5-1AE2-4242-88F7-D6258730A9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05A077E5-1AE2-4242-88F7-D6258730A9C7}"/>
                        </a:ext>
                      </a:extLst>
                    </pic:cNvPr>
                    <pic:cNvPicPr>
                      <a:picLocks noChangeAspect="1"/>
                    </pic:cNvPicPr>
                  </pic:nvPicPr>
                  <pic:blipFill>
                    <a:blip r:embed="rId12"/>
                    <a:stretch>
                      <a:fillRect/>
                    </a:stretch>
                  </pic:blipFill>
                  <pic:spPr>
                    <a:xfrm>
                      <a:off x="0" y="0"/>
                      <a:ext cx="5653036" cy="2201092"/>
                    </a:xfrm>
                    <a:prstGeom prst="rect">
                      <a:avLst/>
                    </a:prstGeom>
                  </pic:spPr>
                </pic:pic>
              </a:graphicData>
            </a:graphic>
          </wp:inline>
        </w:drawing>
      </w:r>
    </w:p>
    <w:p w14:paraId="2AB597D3" w14:textId="31BE6C87" w:rsidR="00B864D5" w:rsidRPr="00EA464E" w:rsidRDefault="00912DAA" w:rsidP="00B864D5">
      <w:pPr>
        <w:pStyle w:val="CETCaption"/>
      </w:pPr>
      <w:r w:rsidRPr="001E7F0E">
        <w:t>Figure 1</w:t>
      </w:r>
      <w:r w:rsidRPr="00C21776">
        <w:t>.</w:t>
      </w:r>
      <w:r w:rsidRPr="00EA464E">
        <w:t xml:space="preserve"> </w:t>
      </w:r>
      <w:r>
        <w:t xml:space="preserve">Micrographs of </w:t>
      </w:r>
      <w:r w:rsidRPr="00EA464E">
        <w:t xml:space="preserve">(a) </w:t>
      </w:r>
      <w:r>
        <w:t>BS1 WKG</w:t>
      </w:r>
      <w:r w:rsidRPr="00EA464E">
        <w:t xml:space="preserve"> broth</w:t>
      </w:r>
      <w:r>
        <w:t>,</w:t>
      </w:r>
      <w:r w:rsidRPr="00EA464E">
        <w:t xml:space="preserve"> (b) </w:t>
      </w:r>
      <w:r>
        <w:t>BS8 WKG</w:t>
      </w:r>
      <w:r w:rsidRPr="00EA464E">
        <w:t xml:space="preserve"> broth</w:t>
      </w:r>
      <w:r w:rsidRPr="00F40ADA">
        <w:t xml:space="preserve">, (c) focus-stacked </w:t>
      </w:r>
      <w:r w:rsidR="001D0849" w:rsidRPr="00F40ADA">
        <w:t>m</w:t>
      </w:r>
      <w:r w:rsidR="001D0849">
        <w:t>.</w:t>
      </w:r>
      <w:r w:rsidR="001D0849" w:rsidRPr="00F40ADA">
        <w:t xml:space="preserve"> </w:t>
      </w:r>
      <w:r w:rsidRPr="00F40ADA">
        <w:t>of a WKG</w:t>
      </w:r>
      <w:r w:rsidR="001D0849">
        <w:t xml:space="preserve">, (d) SFB inoculum, </w:t>
      </w:r>
      <w:r w:rsidR="001D0849" w:rsidRPr="00EA464E">
        <w:t xml:space="preserve">substrate </w:t>
      </w:r>
      <w:r w:rsidR="001D0849">
        <w:t>(e)</w:t>
      </w:r>
      <w:r w:rsidR="00B864D5" w:rsidRPr="00EA464E">
        <w:t xml:space="preserve"> </w:t>
      </w:r>
      <w:r w:rsidR="00B864D5">
        <w:t>before the pre-treatment</w:t>
      </w:r>
      <w:r w:rsidR="00245DC0">
        <w:t>,</w:t>
      </w:r>
      <w:r w:rsidR="00B864D5" w:rsidRPr="00EA464E">
        <w:t xml:space="preserve"> (</w:t>
      </w:r>
      <w:r w:rsidR="00245DC0">
        <w:t>f</w:t>
      </w:r>
      <w:r w:rsidR="00B864D5" w:rsidRPr="00EA464E">
        <w:t xml:space="preserve">) </w:t>
      </w:r>
      <w:r w:rsidR="00B864D5">
        <w:t xml:space="preserve">24 h </w:t>
      </w:r>
      <w:r w:rsidR="001D0849" w:rsidRPr="00EA464E">
        <w:t>NaOH</w:t>
      </w:r>
      <w:r w:rsidR="001D0849">
        <w:t>-</w:t>
      </w:r>
      <w:r w:rsidR="00B864D5">
        <w:t xml:space="preserve">treated. </w:t>
      </w:r>
    </w:p>
    <w:p w14:paraId="3156BC02" w14:textId="6AC7FA12" w:rsidR="00FB1F79" w:rsidRDefault="00DE3C69" w:rsidP="00FB1F79">
      <w:pPr>
        <w:pStyle w:val="CETBodytext"/>
        <w:rPr>
          <w:color w:val="000000" w:themeColor="text1"/>
          <w:lang w:val="en-GB"/>
        </w:rPr>
      </w:pPr>
      <w:r w:rsidRPr="00DE3C69">
        <w:rPr>
          <w:color w:val="000000" w:themeColor="text1"/>
          <w:lang w:val="en-GB"/>
        </w:rPr>
        <w:drawing>
          <wp:anchor distT="0" distB="0" distL="114300" distR="114300" simplePos="0" relativeHeight="251660288" behindDoc="0" locked="0" layoutInCell="1" allowOverlap="1" wp14:anchorId="0BF83B26" wp14:editId="0CE7E83F">
            <wp:simplePos x="0" y="0"/>
            <wp:positionH relativeFrom="column">
              <wp:posOffset>-112395</wp:posOffset>
            </wp:positionH>
            <wp:positionV relativeFrom="paragraph">
              <wp:posOffset>1299210</wp:posOffset>
            </wp:positionV>
            <wp:extent cx="5788660" cy="1349375"/>
            <wp:effectExtent l="0" t="0" r="0" b="3175"/>
            <wp:wrapSquare wrapText="bothSides"/>
            <wp:docPr id="31" name="Immagine 30">
              <a:extLst xmlns:a="http://schemas.openxmlformats.org/drawingml/2006/main">
                <a:ext uri="{FF2B5EF4-FFF2-40B4-BE49-F238E27FC236}">
                  <a16:creationId xmlns:a16="http://schemas.microsoft.com/office/drawing/2014/main" id="{5106C150-E019-47B4-BB3C-BB0309117E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 30">
                      <a:extLst>
                        <a:ext uri="{FF2B5EF4-FFF2-40B4-BE49-F238E27FC236}">
                          <a16:creationId xmlns:a16="http://schemas.microsoft.com/office/drawing/2014/main" id="{5106C150-E019-47B4-BB3C-BB0309117E3C}"/>
                        </a:ext>
                      </a:extLst>
                    </pic:cNvPr>
                    <pic:cNvPicPr>
                      <a:picLocks noChangeAspect="1"/>
                    </pic:cNvPicPr>
                  </pic:nvPicPr>
                  <pic:blipFill>
                    <a:blip r:embed="rId13"/>
                    <a:stretch>
                      <a:fillRect/>
                    </a:stretch>
                  </pic:blipFill>
                  <pic:spPr>
                    <a:xfrm>
                      <a:off x="0" y="0"/>
                      <a:ext cx="5788660" cy="1349375"/>
                    </a:xfrm>
                    <a:prstGeom prst="rect">
                      <a:avLst/>
                    </a:prstGeom>
                  </pic:spPr>
                </pic:pic>
              </a:graphicData>
            </a:graphic>
            <wp14:sizeRelH relativeFrom="margin">
              <wp14:pctWidth>0</wp14:pctWidth>
            </wp14:sizeRelH>
            <wp14:sizeRelV relativeFrom="margin">
              <wp14:pctHeight>0</wp14:pctHeight>
            </wp14:sizeRelV>
          </wp:anchor>
        </w:drawing>
      </w:r>
      <w:r w:rsidR="00374986" w:rsidRPr="00912DAA">
        <w:t xml:space="preserve">The backslopping cultivations proved consistent for all batches. That is, acidification </w:t>
      </w:r>
      <w:r w:rsidR="00912DAA" w:rsidRPr="00912DAA">
        <w:t>occurred</w:t>
      </w:r>
      <w:r w:rsidR="00374986" w:rsidRPr="00912DAA">
        <w:t xml:space="preserve"> in all systems typically starting from p</w:t>
      </w:r>
      <w:r w:rsidR="00912DAA">
        <w:t>H</w:t>
      </w:r>
      <w:r w:rsidR="00374986" w:rsidRPr="00912DAA">
        <w:t xml:space="preserve">=5.5-7.0 </w:t>
      </w:r>
      <w:r w:rsidR="00374986" w:rsidRPr="00374986">
        <w:t>values and finishing around pH=2.5-3.5 (although</w:t>
      </w:r>
      <w:r w:rsidR="00DB4FEB">
        <w:t>,</w:t>
      </w:r>
      <w:r w:rsidR="00374986" w:rsidRPr="00374986">
        <w:t xml:space="preserve"> BS 7 and BS 8 started from pH=3.2 probably due to </w:t>
      </w:r>
      <w:r w:rsidR="00912DAA" w:rsidRPr="00374986">
        <w:t>cumulative</w:t>
      </w:r>
      <w:r w:rsidR="00374986" w:rsidRPr="00374986">
        <w:t xml:space="preserve"> acidification of the grains)</w:t>
      </w:r>
      <w:r w:rsidR="00912DAA">
        <w:t xml:space="preserve"> (</w:t>
      </w:r>
      <w:r w:rsidR="00912DAA" w:rsidRPr="007950D5">
        <w:t>Figure 2a</w:t>
      </w:r>
      <w:r w:rsidR="00912DAA">
        <w:t>)</w:t>
      </w:r>
      <w:r w:rsidR="00374986" w:rsidRPr="00374986">
        <w:t>. Similarly, the final TA of each BS lied around 0.96-1.32 g AA</w:t>
      </w:r>
      <w:r w:rsidR="00374986" w:rsidRPr="00912DAA">
        <w:rPr>
          <w:vertAlign w:val="subscript"/>
        </w:rPr>
        <w:t>eq</w:t>
      </w:r>
      <w:r w:rsidR="00374986" w:rsidRPr="00374986">
        <w:t xml:space="preserve">/L, except from BS 7 which reached 1.90 g </w:t>
      </w:r>
      <w:r w:rsidR="00912DAA" w:rsidRPr="00374986">
        <w:t>AA</w:t>
      </w:r>
      <w:r w:rsidR="00912DAA" w:rsidRPr="00912DAA">
        <w:rPr>
          <w:vertAlign w:val="subscript"/>
        </w:rPr>
        <w:t>eq</w:t>
      </w:r>
      <w:r w:rsidR="00374986" w:rsidRPr="00374986">
        <w:t>/L</w:t>
      </w:r>
      <w:r w:rsidR="001D0849">
        <w:t xml:space="preserve"> (Figure 2b)</w:t>
      </w:r>
      <w:r w:rsidR="00374986" w:rsidRPr="00374986">
        <w:t xml:space="preserve">. Another key parameter, the ORP </w:t>
      </w:r>
      <w:r w:rsidR="00912DAA">
        <w:t xml:space="preserve">also </w:t>
      </w:r>
      <w:r w:rsidR="00374986" w:rsidRPr="00374986">
        <w:t xml:space="preserve">served to monitor the state of BS systems. </w:t>
      </w:r>
      <w:r w:rsidR="00FB1F79" w:rsidRPr="00374986">
        <w:t>During the first four BS, the ORP was predominantly in the aerobic range (i.e., 150-320 mV), while for the last four BS the dynamics of the culture switched towards more anaerobic potentials</w:t>
      </w:r>
      <w:r w:rsidR="00FB1F79">
        <w:t xml:space="preserve"> (</w:t>
      </w:r>
      <w:r w:rsidR="00FB1F79" w:rsidRPr="00912DAA">
        <w:t>finishing around -100 to 0 mV</w:t>
      </w:r>
      <w:r w:rsidR="00FB1F79">
        <w:t>)</w:t>
      </w:r>
      <w:r w:rsidR="001D0849">
        <w:t>(Figure 2c)</w:t>
      </w:r>
      <w:r w:rsidR="00FB1F79" w:rsidRPr="00374986">
        <w:t>.</w:t>
      </w:r>
      <w:r w:rsidR="00FB1F79" w:rsidRPr="00FB1F79">
        <w:rPr>
          <w:color w:val="000000" w:themeColor="text1"/>
          <w:lang w:val="en-GB"/>
        </w:rPr>
        <w:t xml:space="preserve"> </w:t>
      </w:r>
      <w:r w:rsidR="00FB1F79" w:rsidRPr="00160256">
        <w:rPr>
          <w:color w:val="000000" w:themeColor="text1"/>
          <w:lang w:val="en-GB"/>
        </w:rPr>
        <w:t>It was decided</w:t>
      </w:r>
      <w:r w:rsidR="00FB1F79">
        <w:rPr>
          <w:color w:val="000000" w:themeColor="text1"/>
          <w:lang w:val="en-GB"/>
        </w:rPr>
        <w:t xml:space="preserve"> </w:t>
      </w:r>
      <w:r w:rsidR="00FB1F79" w:rsidRPr="00160256">
        <w:rPr>
          <w:color w:val="000000" w:themeColor="text1"/>
          <w:lang w:val="en-GB"/>
        </w:rPr>
        <w:t xml:space="preserve">to use the latter system (BS 8) as inoculum in the MYB tests (i.e., termed WK) since this bioreactor culture method (under open conditions and using combined sugars) </w:t>
      </w:r>
      <w:r w:rsidR="00FB1F79" w:rsidRPr="007950D5">
        <w:rPr>
          <w:color w:val="000000" w:themeColor="text1"/>
          <w:lang w:val="en-GB"/>
        </w:rPr>
        <w:t xml:space="preserve">gave consistent results in terms of the </w:t>
      </w:r>
      <w:r w:rsidR="00245DC0">
        <w:rPr>
          <w:color w:val="000000" w:themeColor="text1"/>
          <w:lang w:val="en-GB"/>
        </w:rPr>
        <w:t xml:space="preserve">obtained </w:t>
      </w:r>
      <w:r w:rsidR="00FB1F79">
        <w:rPr>
          <w:color w:val="000000" w:themeColor="text1"/>
          <w:lang w:val="en-GB"/>
        </w:rPr>
        <w:t>trends</w:t>
      </w:r>
      <w:r w:rsidR="00FB1F79" w:rsidRPr="007950D5">
        <w:rPr>
          <w:color w:val="000000" w:themeColor="text1"/>
          <w:lang w:val="en-GB"/>
        </w:rPr>
        <w:t xml:space="preserve"> </w:t>
      </w:r>
      <w:r w:rsidR="00245DC0">
        <w:rPr>
          <w:color w:val="000000" w:themeColor="text1"/>
          <w:lang w:val="en-GB"/>
        </w:rPr>
        <w:t>among</w:t>
      </w:r>
      <w:r w:rsidR="00245DC0" w:rsidRPr="007950D5">
        <w:rPr>
          <w:color w:val="000000" w:themeColor="text1"/>
          <w:lang w:val="en-GB"/>
        </w:rPr>
        <w:t xml:space="preserve"> </w:t>
      </w:r>
      <w:r w:rsidR="00FB1F79" w:rsidRPr="007950D5">
        <w:rPr>
          <w:color w:val="000000" w:themeColor="text1"/>
          <w:lang w:val="en-GB"/>
        </w:rPr>
        <w:t xml:space="preserve">the </w:t>
      </w:r>
      <w:r w:rsidR="00245DC0">
        <w:rPr>
          <w:color w:val="000000" w:themeColor="text1"/>
          <w:lang w:val="en-GB"/>
        </w:rPr>
        <w:t>BS</w:t>
      </w:r>
      <w:r w:rsidR="00FB1F79" w:rsidRPr="007950D5">
        <w:rPr>
          <w:color w:val="000000" w:themeColor="text1"/>
          <w:lang w:val="en-GB"/>
        </w:rPr>
        <w:t>.</w:t>
      </w:r>
    </w:p>
    <w:p w14:paraId="3F0F92BF" w14:textId="01490EC3" w:rsidR="001D0849" w:rsidRDefault="001D0849" w:rsidP="00FB1F79">
      <w:pPr>
        <w:pStyle w:val="CETBodytext"/>
        <w:rPr>
          <w:color w:val="000000" w:themeColor="text1"/>
          <w:lang w:val="en-GB"/>
        </w:rPr>
      </w:pPr>
    </w:p>
    <w:p w14:paraId="37903B67" w14:textId="72E34892" w:rsidR="00FB1F79" w:rsidRPr="00912DAA" w:rsidRDefault="00FB1F79" w:rsidP="0076120A">
      <w:pPr>
        <w:pStyle w:val="CETBodytext"/>
      </w:pPr>
      <w:r w:rsidRPr="00F0797B">
        <w:rPr>
          <w:i/>
          <w:iCs/>
        </w:rPr>
        <w:t xml:space="preserve">Figure 2. </w:t>
      </w:r>
      <w:r w:rsidR="00980D6F" w:rsidRPr="00F0797B">
        <w:rPr>
          <w:i/>
          <w:iCs/>
        </w:rPr>
        <w:t xml:space="preserve">Measured </w:t>
      </w:r>
      <w:r w:rsidRPr="00F0797B">
        <w:rPr>
          <w:i/>
          <w:iCs/>
        </w:rPr>
        <w:t xml:space="preserve">parameters </w:t>
      </w:r>
      <w:r w:rsidR="00980D6F" w:rsidRPr="00F0797B">
        <w:rPr>
          <w:i/>
          <w:iCs/>
        </w:rPr>
        <w:t>in the</w:t>
      </w:r>
      <w:r w:rsidRPr="00F0797B">
        <w:rPr>
          <w:i/>
          <w:iCs/>
        </w:rPr>
        <w:t xml:space="preserve"> 8 backslopping of the WK inoculum maintenance: (a) pH</w:t>
      </w:r>
      <w:r w:rsidR="001D0849" w:rsidRPr="00F0797B">
        <w:rPr>
          <w:i/>
          <w:iCs/>
        </w:rPr>
        <w:t>,</w:t>
      </w:r>
      <w:r w:rsidRPr="00F0797B">
        <w:rPr>
          <w:i/>
          <w:iCs/>
        </w:rPr>
        <w:t xml:space="preserve"> (b) final TA</w:t>
      </w:r>
      <w:r w:rsidR="001D0849" w:rsidRPr="00F0797B">
        <w:rPr>
          <w:i/>
          <w:iCs/>
        </w:rPr>
        <w:t>,</w:t>
      </w:r>
      <w:r w:rsidRPr="00F0797B">
        <w:rPr>
          <w:i/>
          <w:iCs/>
        </w:rPr>
        <w:t xml:space="preserve"> </w:t>
      </w:r>
      <w:r w:rsidR="001D0849" w:rsidRPr="00F0797B">
        <w:rPr>
          <w:i/>
          <w:iCs/>
        </w:rPr>
        <w:t xml:space="preserve">and </w:t>
      </w:r>
      <w:r w:rsidRPr="00F0797B">
        <w:rPr>
          <w:i/>
          <w:iCs/>
        </w:rPr>
        <w:t>(c) ORP evolution</w:t>
      </w:r>
      <w:r w:rsidRPr="00912DAA">
        <w:t>.</w:t>
      </w:r>
    </w:p>
    <w:p w14:paraId="733A5524" w14:textId="492DC0D9" w:rsidR="00DF526A" w:rsidRPr="00DF526A" w:rsidRDefault="00DF526A" w:rsidP="00980D6F">
      <w:pPr>
        <w:pStyle w:val="CETHeadingxx"/>
      </w:pPr>
      <w:r w:rsidRPr="00DF526A">
        <w:t>Spore-forming Bacteria (SFB) Inoculum</w:t>
      </w:r>
    </w:p>
    <w:p w14:paraId="5821206C" w14:textId="078426A9" w:rsidR="002B7B3B" w:rsidRDefault="002B72ED" w:rsidP="00D731BE">
      <w:pPr>
        <w:pStyle w:val="CETBodytext"/>
      </w:pPr>
      <w:r w:rsidRPr="00DB4FEB">
        <w:t xml:space="preserve">In the literature there </w:t>
      </w:r>
      <w:r w:rsidR="00D54E72" w:rsidRPr="00DB4FEB">
        <w:t>are</w:t>
      </w:r>
      <w:r w:rsidRPr="00DB4FEB">
        <w:t xml:space="preserve"> a variety of methods for the selection of spore-forming bacteria (SPB) from mixed cultures, especially from bovine manure. SPB are selected in the context of biorefineries for their potential as Hydrogen-Forming Bacteria, which has already been demonstrated in DF, either by inoculating batch or continuous systems</w:t>
      </w:r>
      <w:r w:rsidR="00BA74A8">
        <w:t xml:space="preserve"> </w:t>
      </w:r>
      <w:r w:rsidR="00BA74A8" w:rsidRPr="00BA74A8">
        <w:t>(</w:t>
      </w:r>
      <w:r w:rsidR="001D0849">
        <w:t>Ruggeri et al., 2015</w:t>
      </w:r>
      <w:r w:rsidR="00BA74A8" w:rsidRPr="00BA74A8">
        <w:t>)</w:t>
      </w:r>
      <w:r w:rsidRPr="00DB4FEB">
        <w:t>. Starting from cattle manure, the preparation of the slurry in aerated conditions first allow</w:t>
      </w:r>
      <w:r w:rsidR="00245DC0">
        <w:t>ed</w:t>
      </w:r>
      <w:r w:rsidRPr="00DB4FEB">
        <w:t xml:space="preserve"> the inhibition of the methanogenic population, while the treatment at high concentrations of ethanol promotes proteins denaturation and the (partial) dissolution of bacterial cell membranes, which </w:t>
      </w:r>
      <w:r w:rsidRPr="00DB4FEB">
        <w:lastRenderedPageBreak/>
        <w:t xml:space="preserve">ultimately leads to bacteria </w:t>
      </w:r>
      <w:r w:rsidR="00EB59B6" w:rsidRPr="00DB4FEB">
        <w:t>cell deaths</w:t>
      </w:r>
      <w:r w:rsidRPr="001A6FE0">
        <w:t>. However,</w:t>
      </w:r>
      <w:r w:rsidR="00E14028" w:rsidRPr="001A6FE0">
        <w:t xml:space="preserve"> in mixed</w:t>
      </w:r>
      <w:r w:rsidRPr="001A6FE0">
        <w:t xml:space="preserve"> consortia</w:t>
      </w:r>
      <w:r w:rsidR="00E14028" w:rsidRPr="001A6FE0">
        <w:t xml:space="preserve"> where </w:t>
      </w:r>
      <w:r w:rsidR="00D83036">
        <w:t xml:space="preserve">microorganisms belonging to the </w:t>
      </w:r>
      <w:r w:rsidR="00E14028" w:rsidRPr="007950D5">
        <w:t xml:space="preserve">Firmicutes </w:t>
      </w:r>
      <w:r w:rsidR="00D83036" w:rsidRPr="007950D5">
        <w:t>phylum</w:t>
      </w:r>
      <w:r w:rsidR="00D83036">
        <w:t xml:space="preserve"> </w:t>
      </w:r>
      <w:r w:rsidR="00E14028" w:rsidRPr="001A6FE0">
        <w:t>are present, viable spores</w:t>
      </w:r>
      <w:r w:rsidR="00BA74A8">
        <w:t xml:space="preserve"> </w:t>
      </w:r>
      <w:r w:rsidR="00BA74A8" w:rsidRPr="00BA74A8">
        <w:t>(Gómez-Camacho et al., 2021)</w:t>
      </w:r>
      <w:r w:rsidR="001A2A57">
        <w:t xml:space="preserve"> </w:t>
      </w:r>
      <w:r w:rsidR="00E14028" w:rsidRPr="001A6FE0">
        <w:t>can withstand high</w:t>
      </w:r>
      <w:r w:rsidR="001A6FE0" w:rsidRPr="001A6FE0">
        <w:t xml:space="preserve"> chemicals (including ethanol)</w:t>
      </w:r>
      <w:r w:rsidR="00E14028" w:rsidRPr="001A6FE0">
        <w:t xml:space="preserve"> concentration</w:t>
      </w:r>
      <w:r w:rsidR="005612B8">
        <w:t>s</w:t>
      </w:r>
      <w:r w:rsidR="00E14028" w:rsidRPr="001A6FE0">
        <w:t>.</w:t>
      </w:r>
      <w:r w:rsidRPr="001A6FE0">
        <w:t xml:space="preserve"> </w:t>
      </w:r>
      <w:r w:rsidR="001D0849">
        <w:t xml:space="preserve">The resulting spores (SFB, Figure 1d) were used for the MYB tests. </w:t>
      </w:r>
    </w:p>
    <w:p w14:paraId="03CC9407" w14:textId="27600B67" w:rsidR="002B7B3B" w:rsidRDefault="002B7B3B" w:rsidP="00980D6F">
      <w:pPr>
        <w:pStyle w:val="CETheadingx"/>
      </w:pPr>
      <w:r>
        <w:t>Substrate and pretreatments</w:t>
      </w:r>
    </w:p>
    <w:p w14:paraId="068742CC" w14:textId="20F4C46F" w:rsidR="00404F85" w:rsidRDefault="00093CE6" w:rsidP="00404F85">
      <w:pPr>
        <w:pStyle w:val="CETBodytext"/>
        <w:rPr>
          <w:rStyle w:val="sentence-wrapperwithout-hover"/>
        </w:rPr>
      </w:pPr>
      <w:r>
        <w:t xml:space="preserve">The pretreatment </w:t>
      </w:r>
      <w:r w:rsidR="00E14028">
        <w:t xml:space="preserve">steps </w:t>
      </w:r>
      <w:r>
        <w:t>aim</w:t>
      </w:r>
      <w:r w:rsidR="00E14028">
        <w:t xml:space="preserve">ed at (partially) </w:t>
      </w:r>
      <w:r w:rsidR="0007443F" w:rsidRPr="0007443F">
        <w:t>destroy</w:t>
      </w:r>
      <w:r w:rsidR="00B651B0">
        <w:t>ing</w:t>
      </w:r>
      <w:r w:rsidR="0007443F" w:rsidRPr="0007443F">
        <w:t xml:space="preserve"> </w:t>
      </w:r>
      <w:r w:rsidR="00E14028">
        <w:t xml:space="preserve">the </w:t>
      </w:r>
      <w:r w:rsidR="0007443F" w:rsidRPr="0007443F">
        <w:t xml:space="preserve">spatially complex structures </w:t>
      </w:r>
      <w:r w:rsidR="0007443F">
        <w:t xml:space="preserve">of </w:t>
      </w:r>
      <w:r w:rsidR="00E14028">
        <w:t>substrate matrix, in order to reduce lag time in MYB fermentations</w:t>
      </w:r>
      <w:r w:rsidR="008A3417">
        <w:t xml:space="preserve"> and</w:t>
      </w:r>
      <w:r w:rsidR="00B43255">
        <w:t xml:space="preserve"> to</w:t>
      </w:r>
      <w:r w:rsidR="008A3417">
        <w:t xml:space="preserve"> </w:t>
      </w:r>
      <w:r w:rsidR="0007443F">
        <w:t>favor the availability of</w:t>
      </w:r>
      <w:r w:rsidR="008A3417">
        <w:t xml:space="preserve"> the substrate </w:t>
      </w:r>
      <w:r w:rsidR="0007443F">
        <w:t>to</w:t>
      </w:r>
      <w:r w:rsidR="008A3417">
        <w:t xml:space="preserve"> microorganisms</w:t>
      </w:r>
      <w:r w:rsidR="001613C4">
        <w:t>.</w:t>
      </w:r>
      <w:r w:rsidR="008A3417">
        <w:t xml:space="preserve"> </w:t>
      </w:r>
      <w:r w:rsidR="00B651B0">
        <w:t xml:space="preserve">The </w:t>
      </w:r>
      <w:r w:rsidR="00B651B0">
        <w:rPr>
          <w:rStyle w:val="sentence-wrapperwithout-hover"/>
        </w:rPr>
        <w:t>r</w:t>
      </w:r>
      <w:r w:rsidR="00EB59B6" w:rsidRPr="00EB59B6">
        <w:rPr>
          <w:rStyle w:val="sentence-wrapperwithout-hover"/>
        </w:rPr>
        <w:t xml:space="preserve">esults </w:t>
      </w:r>
      <w:r w:rsidR="00404F85">
        <w:rPr>
          <w:rStyle w:val="sentence-wrapperwithout-hover"/>
        </w:rPr>
        <w:t xml:space="preserve">(Table 1) </w:t>
      </w:r>
      <w:r w:rsidR="00B651B0">
        <w:rPr>
          <w:rStyle w:val="sentence-wrapperwithout-hover"/>
        </w:rPr>
        <w:t>indicated</w:t>
      </w:r>
      <w:r w:rsidR="00B651B0" w:rsidRPr="00EB59B6">
        <w:rPr>
          <w:rStyle w:val="sentence-wrapperwithout-hover"/>
        </w:rPr>
        <w:t xml:space="preserve"> </w:t>
      </w:r>
      <w:r w:rsidR="00EB59B6" w:rsidRPr="00EB59B6">
        <w:rPr>
          <w:rStyle w:val="sentence-wrapperwithout-hover"/>
        </w:rPr>
        <w:t xml:space="preserve">that </w:t>
      </w:r>
      <w:r w:rsidR="0007443F">
        <w:rPr>
          <w:rStyle w:val="sentence-wrapperwithout-hover"/>
        </w:rPr>
        <w:t>BP and AP</w:t>
      </w:r>
      <w:r w:rsidR="00EB59B6" w:rsidRPr="00EB59B6">
        <w:rPr>
          <w:rStyle w:val="sentence-wrapperwithout-hover"/>
        </w:rPr>
        <w:t xml:space="preserve"> pre-treatments resulted in similar °Bx and A</w:t>
      </w:r>
      <w:r w:rsidR="00EB59B6" w:rsidRPr="00DB4FEB">
        <w:rPr>
          <w:rStyle w:val="sentence-wrapperwithout-hover"/>
          <w:vertAlign w:val="subscript"/>
        </w:rPr>
        <w:t>440</w:t>
      </w:r>
      <w:r w:rsidR="00EB59B6" w:rsidRPr="00EB59B6">
        <w:rPr>
          <w:rStyle w:val="sentence-wrapperwithout-hover"/>
        </w:rPr>
        <w:t xml:space="preserve"> measurements, higher than the other</w:t>
      </w:r>
      <w:r w:rsidR="0007443F">
        <w:rPr>
          <w:rStyle w:val="sentence-wrapperwithout-hover"/>
        </w:rPr>
        <w:t>s</w:t>
      </w:r>
      <w:r w:rsidR="00EB59B6" w:rsidRPr="00EB59B6">
        <w:rPr>
          <w:rStyle w:val="sentence-wrapperwithout-hover"/>
        </w:rPr>
        <w:t xml:space="preserve"> </w:t>
      </w:r>
      <w:r w:rsidR="00B651B0" w:rsidRPr="00EB59B6">
        <w:rPr>
          <w:rStyle w:val="sentence-wrapperwithout-hover"/>
        </w:rPr>
        <w:t xml:space="preserve">tested </w:t>
      </w:r>
      <w:r w:rsidR="00B651B0">
        <w:rPr>
          <w:rStyle w:val="sentence-wrapperwithout-hover"/>
        </w:rPr>
        <w:t xml:space="preserve">pre-treatments methods </w:t>
      </w:r>
      <w:r w:rsidR="0007443F">
        <w:rPr>
          <w:rStyle w:val="sentence-wrapperwithout-hover"/>
        </w:rPr>
        <w:t>(SP, EP, ESP)</w:t>
      </w:r>
      <w:r w:rsidR="00EB59B6" w:rsidRPr="00EB59B6">
        <w:rPr>
          <w:rStyle w:val="sentence-wrapperwithout-hover"/>
        </w:rPr>
        <w:t xml:space="preserve">. For the </w:t>
      </w:r>
      <w:r w:rsidR="0007443F">
        <w:rPr>
          <w:rStyle w:val="sentence-wrapperwithout-hover"/>
        </w:rPr>
        <w:t>SP, EP, ESP</w:t>
      </w:r>
      <w:r w:rsidR="0007443F" w:rsidRPr="00EB59B6">
        <w:rPr>
          <w:rStyle w:val="sentence-wrapperwithout-hover"/>
        </w:rPr>
        <w:t xml:space="preserve"> </w:t>
      </w:r>
      <w:r w:rsidR="0007443F">
        <w:rPr>
          <w:rStyle w:val="sentence-wrapperwithout-hover"/>
        </w:rPr>
        <w:t>methods</w:t>
      </w:r>
      <w:r w:rsidR="00EB59B6" w:rsidRPr="00EB59B6">
        <w:rPr>
          <w:rStyle w:val="sentence-wrapperwithout-hover"/>
        </w:rPr>
        <w:t>, either lower °Bx or A</w:t>
      </w:r>
      <w:r w:rsidR="00EB59B6" w:rsidRPr="00DB4FEB">
        <w:rPr>
          <w:rStyle w:val="sentence-wrapperwithout-hover"/>
          <w:vertAlign w:val="subscript"/>
        </w:rPr>
        <w:t>440</w:t>
      </w:r>
      <w:r w:rsidR="00EB59B6" w:rsidRPr="00EB59B6">
        <w:rPr>
          <w:rStyle w:val="sentence-wrapperwithout-hover"/>
        </w:rPr>
        <w:t xml:space="preserve"> were found. An outlier °Bx reading was collected for the SP systems, probably due to the </w:t>
      </w:r>
      <w:r w:rsidR="00DB4FEB" w:rsidRPr="00EB59B6">
        <w:rPr>
          <w:rStyle w:val="sentence-wrapperwithout-hover"/>
        </w:rPr>
        <w:t>interference</w:t>
      </w:r>
      <w:r w:rsidR="00EB59B6" w:rsidRPr="00EB59B6">
        <w:rPr>
          <w:rStyle w:val="sentence-wrapperwithout-hover"/>
        </w:rPr>
        <w:t xml:space="preserve"> </w:t>
      </w:r>
      <w:r w:rsidR="00AB0CF4">
        <w:rPr>
          <w:rStyle w:val="sentence-wrapperwithout-hover"/>
        </w:rPr>
        <w:t>with</w:t>
      </w:r>
      <w:r w:rsidR="00EB59B6" w:rsidRPr="00EB59B6">
        <w:rPr>
          <w:rStyle w:val="sentence-wrapperwithout-hover"/>
        </w:rPr>
        <w:t xml:space="preserve"> salty solution. </w:t>
      </w:r>
      <w:r w:rsidR="00B43255">
        <w:rPr>
          <w:rStyle w:val="sentence-wrapperwithout-hover"/>
        </w:rPr>
        <w:t>A</w:t>
      </w:r>
      <w:r w:rsidR="00EB59B6" w:rsidRPr="00EB59B6">
        <w:rPr>
          <w:rStyle w:val="sentence-wrapperwithout-hover"/>
        </w:rPr>
        <w:t xml:space="preserve">lthough the </w:t>
      </w:r>
      <w:r w:rsidR="00AB0CF4">
        <w:rPr>
          <w:rStyle w:val="sentence-wrapperwithout-hover"/>
        </w:rPr>
        <w:t>EP</w:t>
      </w:r>
      <w:r w:rsidR="00245DC0">
        <w:rPr>
          <w:rStyle w:val="sentence-wrapperwithout-hover"/>
        </w:rPr>
        <w:t>**</w:t>
      </w:r>
      <w:r w:rsidR="00EB59B6" w:rsidRPr="00EB59B6">
        <w:rPr>
          <w:rStyle w:val="sentence-wrapperwithout-hover"/>
        </w:rPr>
        <w:t xml:space="preserve"> </w:t>
      </w:r>
      <w:r w:rsidR="00B43255">
        <w:rPr>
          <w:rStyle w:val="sentence-wrapperwithout-hover"/>
        </w:rPr>
        <w:t>resulted in</w:t>
      </w:r>
      <w:r w:rsidR="00EB59B6" w:rsidRPr="00EB59B6">
        <w:rPr>
          <w:rStyle w:val="sentence-wrapperwithout-hover"/>
        </w:rPr>
        <w:t xml:space="preserve"> high °Bx, the A</w:t>
      </w:r>
      <w:r w:rsidR="00EB59B6" w:rsidRPr="00DB4FEB">
        <w:rPr>
          <w:rStyle w:val="sentence-wrapperwithout-hover"/>
          <w:vertAlign w:val="subscript"/>
        </w:rPr>
        <w:t>440</w:t>
      </w:r>
      <w:r w:rsidR="00EB59B6" w:rsidRPr="00EB59B6">
        <w:rPr>
          <w:rStyle w:val="sentence-wrapperwithout-hover"/>
        </w:rPr>
        <w:t xml:space="preserve"> resulted much lower </w:t>
      </w:r>
      <w:r w:rsidR="00B43255">
        <w:rPr>
          <w:rStyle w:val="sentence-wrapperwithout-hover"/>
        </w:rPr>
        <w:t>compared to</w:t>
      </w:r>
      <w:r w:rsidR="00EB59B6" w:rsidRPr="00EB59B6">
        <w:rPr>
          <w:rStyle w:val="sentence-wrapperwithout-hover"/>
        </w:rPr>
        <w:t xml:space="preserve"> the AP and BP.</w:t>
      </w:r>
      <w:r w:rsidR="00404F85" w:rsidRPr="00404F85">
        <w:rPr>
          <w:rStyle w:val="sentence-wrapperwithout-hover"/>
        </w:rPr>
        <w:t xml:space="preserve"> </w:t>
      </w:r>
      <w:r w:rsidR="00404F85" w:rsidRPr="00DB4FEB">
        <w:rPr>
          <w:rStyle w:val="sentence-wrapperwithout-hover"/>
        </w:rPr>
        <w:t>The BP was then selected to</w:t>
      </w:r>
      <w:r w:rsidR="00404F85">
        <w:rPr>
          <w:rStyle w:val="sentence-wrapperwithout-hover"/>
        </w:rPr>
        <w:t xml:space="preserve"> treat the substrate</w:t>
      </w:r>
      <w:r w:rsidR="00404F85" w:rsidRPr="00DB4FEB">
        <w:rPr>
          <w:rStyle w:val="sentence-wrapperwithout-hover"/>
        </w:rPr>
        <w:t xml:space="preserve"> before the MYB fermentations</w:t>
      </w:r>
      <w:r w:rsidR="00404F85">
        <w:rPr>
          <w:rStyle w:val="sentence-wrapperwithout-hover"/>
        </w:rPr>
        <w:t xml:space="preserve"> tests</w:t>
      </w:r>
      <w:r w:rsidR="00404F85" w:rsidRPr="00DB4FEB">
        <w:rPr>
          <w:rStyle w:val="sentence-wrapperwithout-hover"/>
        </w:rPr>
        <w:t>.</w:t>
      </w:r>
      <w:r w:rsidR="00404F85">
        <w:rPr>
          <w:rStyle w:val="sentence-wrapperwithout-hover"/>
        </w:rPr>
        <w:t xml:space="preserve"> Additionally, microscopy analyses were performed to get insights into the </w:t>
      </w:r>
      <w:r w:rsidR="00404F85" w:rsidRPr="001E3CA9">
        <w:rPr>
          <w:rStyle w:val="sentence-wrapperwithout-hover"/>
        </w:rPr>
        <w:t xml:space="preserve">alkaline attack </w:t>
      </w:r>
      <w:r w:rsidR="00404F85">
        <w:rPr>
          <w:rStyle w:val="sentence-wrapperwithout-hover"/>
        </w:rPr>
        <w:t>mechanisms (BP)</w:t>
      </w:r>
      <w:r w:rsidR="00404F85" w:rsidRPr="001E3CA9">
        <w:rPr>
          <w:rStyle w:val="sentence-wrapperwithout-hover"/>
        </w:rPr>
        <w:t xml:space="preserve"> on </w:t>
      </w:r>
      <w:r w:rsidR="00404F85">
        <w:rPr>
          <w:rStyle w:val="sentence-wrapperwithout-hover"/>
        </w:rPr>
        <w:t xml:space="preserve">the </w:t>
      </w:r>
      <w:r w:rsidR="00404F85" w:rsidRPr="001E3CA9">
        <w:rPr>
          <w:rStyle w:val="sentence-wrapperwithout-hover"/>
        </w:rPr>
        <w:t>stale bread</w:t>
      </w:r>
      <w:r w:rsidR="00404F85">
        <w:rPr>
          <w:rStyle w:val="sentence-wrapperwithout-hover"/>
        </w:rPr>
        <w:t xml:space="preserve"> matrix</w:t>
      </w:r>
      <w:r w:rsidR="00404F85" w:rsidRPr="001E3CA9">
        <w:rPr>
          <w:rStyle w:val="sentence-wrapperwithout-hover"/>
        </w:rPr>
        <w:t>.</w:t>
      </w:r>
      <w:r w:rsidR="00404F85">
        <w:rPr>
          <w:rStyle w:val="sentence-wrapperwithout-hover"/>
        </w:rPr>
        <w:t xml:space="preserve"> In the raw substrate, whole starch gains could be appreciated (</w:t>
      </w:r>
      <w:r w:rsidR="00404F85" w:rsidRPr="00B651B0">
        <w:rPr>
          <w:rStyle w:val="sentence-wrapperwithout-hover"/>
        </w:rPr>
        <w:t xml:space="preserve">Figure </w:t>
      </w:r>
      <w:r w:rsidR="00404F85">
        <w:rPr>
          <w:rStyle w:val="sentence-wrapperwithout-hover"/>
        </w:rPr>
        <w:t xml:space="preserve">1e), and after the basic pretreatment, swelling of the starch </w:t>
      </w:r>
      <w:r w:rsidR="00404F85" w:rsidRPr="00863100">
        <w:rPr>
          <w:rStyle w:val="sentence-wrapperwithout-hover"/>
        </w:rPr>
        <w:t>granules and mechanical fracture in the central</w:t>
      </w:r>
      <w:r w:rsidR="00404F85">
        <w:rPr>
          <w:rStyle w:val="sentence-wrapperwithout-hover"/>
        </w:rPr>
        <w:t xml:space="preserve"> part of them (</w:t>
      </w:r>
      <w:r w:rsidR="00404F85" w:rsidRPr="00B651B0">
        <w:rPr>
          <w:rStyle w:val="sentence-wrapperwithout-hover"/>
        </w:rPr>
        <w:t xml:space="preserve">Figure </w:t>
      </w:r>
      <w:r w:rsidR="00404F85">
        <w:rPr>
          <w:rStyle w:val="sentence-wrapperwithout-hover"/>
        </w:rPr>
        <w:t>1f)</w:t>
      </w:r>
      <w:r w:rsidR="00404F85" w:rsidRPr="00863100">
        <w:rPr>
          <w:rStyle w:val="sentence-wrapperwithout-hover"/>
        </w:rPr>
        <w:t xml:space="preserve"> was </w:t>
      </w:r>
      <w:r w:rsidR="00404F85">
        <w:rPr>
          <w:rStyle w:val="sentence-wrapperwithout-hover"/>
        </w:rPr>
        <w:t xml:space="preserve">observed, as well as mixed residues in the suspension. This basic chemical attack on starch has also been reported in the literature for similar matrices </w:t>
      </w:r>
      <w:r w:rsidR="00404F85" w:rsidRPr="00BA74A8">
        <w:rPr>
          <w:rStyle w:val="sentence-wrapperwithout-hover"/>
        </w:rPr>
        <w:t>(Uthumporn et al., 2012)</w:t>
      </w:r>
      <w:r w:rsidR="00404F85">
        <w:rPr>
          <w:rStyle w:val="sentence-wrapperwithout-hover"/>
        </w:rPr>
        <w:t xml:space="preserve">. </w:t>
      </w:r>
    </w:p>
    <w:p w14:paraId="2A892E4D" w14:textId="7EB8B7EB" w:rsidR="00A455F9" w:rsidRDefault="009D5B56" w:rsidP="00DB4FEB">
      <w:pPr>
        <w:pStyle w:val="CETCaption"/>
      </w:pPr>
      <w:r w:rsidRPr="00404F85">
        <w:t xml:space="preserve">Table </w:t>
      </w:r>
      <w:r w:rsidR="00404F85" w:rsidRPr="00404F85">
        <w:t>1</w:t>
      </w:r>
      <w:r w:rsidRPr="00404F85">
        <w:t xml:space="preserve">. </w:t>
      </w:r>
      <w:r w:rsidR="00183D8B" w:rsidRPr="00404F85">
        <w:t>°</w:t>
      </w:r>
      <w:r w:rsidR="00183D8B">
        <w:t xml:space="preserve">Br and absorbance measurement of </w:t>
      </w:r>
      <w:r w:rsidR="006F2DF3">
        <w:t xml:space="preserve">different </w:t>
      </w:r>
      <w:r w:rsidR="00183D8B">
        <w:t>pre</w:t>
      </w:r>
      <w:r w:rsidR="00156556">
        <w:t>-</w:t>
      </w:r>
      <w:r w:rsidR="00183D8B">
        <w:t>treatment</w:t>
      </w:r>
      <w:r w:rsidR="006F2DF3">
        <w:t>s</w:t>
      </w:r>
      <w:r w:rsidR="00B24076">
        <w:t>.</w:t>
      </w:r>
    </w:p>
    <w:tbl>
      <w:tblPr>
        <w:tblW w:w="8777" w:type="dxa"/>
        <w:tblCellMar>
          <w:left w:w="0" w:type="dxa"/>
          <w:right w:w="0" w:type="dxa"/>
        </w:tblCellMar>
        <w:tblLook w:val="0600" w:firstRow="0" w:lastRow="0" w:firstColumn="0" w:lastColumn="0" w:noHBand="1" w:noVBand="1"/>
      </w:tblPr>
      <w:tblGrid>
        <w:gridCol w:w="1411"/>
        <w:gridCol w:w="1390"/>
        <w:gridCol w:w="996"/>
        <w:gridCol w:w="996"/>
        <w:gridCol w:w="996"/>
        <w:gridCol w:w="996"/>
        <w:gridCol w:w="996"/>
        <w:gridCol w:w="996"/>
      </w:tblGrid>
      <w:tr w:rsidR="00A12129" w:rsidRPr="00CE499C" w14:paraId="7A1E6842" w14:textId="77777777" w:rsidTr="005E6834">
        <w:trPr>
          <w:trHeight w:val="208"/>
        </w:trPr>
        <w:tc>
          <w:tcPr>
            <w:tcW w:w="1411" w:type="dxa"/>
            <w:tcBorders>
              <w:top w:val="single" w:sz="12" w:space="0" w:color="76923C" w:themeColor="accent3" w:themeShade="BF"/>
              <w:left w:val="nil"/>
              <w:bottom w:val="single" w:sz="12" w:space="0" w:color="76923C" w:themeColor="accent3" w:themeShade="BF"/>
              <w:right w:val="nil"/>
            </w:tcBorders>
            <w:shd w:val="clear" w:color="auto" w:fill="FFFFFF" w:themeFill="background1"/>
            <w:tcMar>
              <w:top w:w="15" w:type="dxa"/>
              <w:left w:w="15" w:type="dxa"/>
              <w:bottom w:w="0" w:type="dxa"/>
              <w:right w:w="15" w:type="dxa"/>
            </w:tcMar>
            <w:hideMark/>
          </w:tcPr>
          <w:p w14:paraId="37F53918" w14:textId="65D8966A" w:rsidR="00A12129" w:rsidRPr="00CE499C" w:rsidRDefault="00A12129" w:rsidP="005E6834">
            <w:pPr>
              <w:tabs>
                <w:tab w:val="clear" w:pos="7100"/>
              </w:tabs>
              <w:spacing w:line="240" w:lineRule="auto"/>
              <w:jc w:val="center"/>
              <w:textAlignment w:val="bottom"/>
              <w:rPr>
                <w:rFonts w:cs="Arial"/>
                <w:szCs w:val="18"/>
                <w:lang w:eastAsia="en-GB"/>
              </w:rPr>
            </w:pPr>
            <w:r w:rsidRPr="00CE499C">
              <w:rPr>
                <w:rFonts w:cs="Arial"/>
                <w:color w:val="000000"/>
                <w:kern w:val="24"/>
                <w:szCs w:val="18"/>
                <w:lang w:eastAsia="en-GB"/>
              </w:rPr>
              <w:t>Pre</w:t>
            </w:r>
            <w:r w:rsidR="00F52D84">
              <w:rPr>
                <w:rFonts w:cs="Arial"/>
                <w:color w:val="000000"/>
                <w:kern w:val="24"/>
                <w:szCs w:val="18"/>
                <w:lang w:eastAsia="en-GB"/>
              </w:rPr>
              <w:t>-</w:t>
            </w:r>
            <w:r w:rsidRPr="00CE499C">
              <w:rPr>
                <w:rFonts w:cs="Arial"/>
                <w:color w:val="000000"/>
                <w:kern w:val="24"/>
                <w:szCs w:val="18"/>
                <w:lang w:eastAsia="en-GB"/>
              </w:rPr>
              <w:t>treatment</w:t>
            </w:r>
          </w:p>
        </w:tc>
        <w:tc>
          <w:tcPr>
            <w:tcW w:w="1390" w:type="dxa"/>
            <w:tcBorders>
              <w:top w:val="single" w:sz="12" w:space="0" w:color="76923C" w:themeColor="accent3" w:themeShade="BF"/>
              <w:left w:val="nil"/>
              <w:bottom w:val="single" w:sz="12" w:space="0" w:color="76923C" w:themeColor="accent3" w:themeShade="BF"/>
              <w:right w:val="nil"/>
            </w:tcBorders>
            <w:shd w:val="clear" w:color="auto" w:fill="FFFFFF" w:themeFill="background1"/>
            <w:tcMar>
              <w:top w:w="15" w:type="dxa"/>
              <w:left w:w="15" w:type="dxa"/>
              <w:bottom w:w="0" w:type="dxa"/>
              <w:right w:w="15" w:type="dxa"/>
            </w:tcMar>
            <w:hideMark/>
          </w:tcPr>
          <w:p w14:paraId="559C2E27" w14:textId="77777777" w:rsidR="00A12129" w:rsidRPr="00CE499C" w:rsidRDefault="00A12129" w:rsidP="005E6834">
            <w:pPr>
              <w:tabs>
                <w:tab w:val="clear" w:pos="7100"/>
              </w:tabs>
              <w:spacing w:line="240" w:lineRule="auto"/>
              <w:jc w:val="center"/>
              <w:textAlignment w:val="bottom"/>
              <w:rPr>
                <w:rFonts w:cs="Arial"/>
                <w:szCs w:val="18"/>
                <w:lang w:eastAsia="en-GB"/>
              </w:rPr>
            </w:pPr>
            <w:r w:rsidRPr="00CE499C">
              <w:rPr>
                <w:rFonts w:cs="Arial"/>
                <w:color w:val="000000"/>
                <w:kern w:val="24"/>
                <w:szCs w:val="18"/>
                <w:lang w:eastAsia="en-GB"/>
              </w:rPr>
              <w:t>Raw substrate</w:t>
            </w:r>
          </w:p>
        </w:tc>
        <w:tc>
          <w:tcPr>
            <w:tcW w:w="996" w:type="dxa"/>
            <w:tcBorders>
              <w:top w:val="single" w:sz="12" w:space="0" w:color="76923C" w:themeColor="accent3" w:themeShade="BF"/>
              <w:left w:val="nil"/>
              <w:bottom w:val="single" w:sz="12" w:space="0" w:color="76923C" w:themeColor="accent3" w:themeShade="BF"/>
              <w:right w:val="nil"/>
            </w:tcBorders>
            <w:shd w:val="clear" w:color="auto" w:fill="FFFFFF" w:themeFill="background1"/>
            <w:tcMar>
              <w:top w:w="15" w:type="dxa"/>
              <w:left w:w="15" w:type="dxa"/>
              <w:bottom w:w="0" w:type="dxa"/>
              <w:right w:w="15" w:type="dxa"/>
            </w:tcMar>
            <w:hideMark/>
          </w:tcPr>
          <w:p w14:paraId="63A35F3D" w14:textId="77777777" w:rsidR="00A12129" w:rsidRPr="00CE499C" w:rsidRDefault="00A12129" w:rsidP="005E6834">
            <w:pPr>
              <w:tabs>
                <w:tab w:val="clear" w:pos="7100"/>
              </w:tabs>
              <w:spacing w:line="240" w:lineRule="auto"/>
              <w:jc w:val="center"/>
              <w:textAlignment w:val="bottom"/>
              <w:rPr>
                <w:rFonts w:cs="Arial"/>
                <w:szCs w:val="18"/>
                <w:lang w:eastAsia="en-GB"/>
              </w:rPr>
            </w:pPr>
            <w:r w:rsidRPr="00CE499C">
              <w:rPr>
                <w:rFonts w:cs="Arial"/>
                <w:color w:val="000000"/>
                <w:kern w:val="24"/>
                <w:szCs w:val="18"/>
                <w:lang w:eastAsia="en-GB"/>
              </w:rPr>
              <w:t>BP</w:t>
            </w:r>
          </w:p>
        </w:tc>
        <w:tc>
          <w:tcPr>
            <w:tcW w:w="996" w:type="dxa"/>
            <w:tcBorders>
              <w:top w:val="single" w:sz="12" w:space="0" w:color="76923C" w:themeColor="accent3" w:themeShade="BF"/>
              <w:left w:val="nil"/>
              <w:bottom w:val="single" w:sz="12" w:space="0" w:color="76923C" w:themeColor="accent3" w:themeShade="BF"/>
              <w:right w:val="nil"/>
            </w:tcBorders>
            <w:shd w:val="clear" w:color="auto" w:fill="FFFFFF" w:themeFill="background1"/>
            <w:tcMar>
              <w:top w:w="15" w:type="dxa"/>
              <w:left w:w="15" w:type="dxa"/>
              <w:bottom w:w="0" w:type="dxa"/>
              <w:right w:w="15" w:type="dxa"/>
            </w:tcMar>
            <w:hideMark/>
          </w:tcPr>
          <w:p w14:paraId="0D899588" w14:textId="77777777" w:rsidR="00A12129" w:rsidRPr="00CE499C" w:rsidRDefault="00A12129" w:rsidP="005E6834">
            <w:pPr>
              <w:tabs>
                <w:tab w:val="clear" w:pos="7100"/>
              </w:tabs>
              <w:spacing w:line="240" w:lineRule="auto"/>
              <w:jc w:val="center"/>
              <w:textAlignment w:val="bottom"/>
              <w:rPr>
                <w:rFonts w:cs="Arial"/>
                <w:szCs w:val="18"/>
                <w:lang w:eastAsia="en-GB"/>
              </w:rPr>
            </w:pPr>
            <w:r w:rsidRPr="00CE499C">
              <w:rPr>
                <w:rFonts w:cs="Arial"/>
                <w:color w:val="000000"/>
                <w:kern w:val="24"/>
                <w:szCs w:val="18"/>
                <w:lang w:eastAsia="en-GB"/>
              </w:rPr>
              <w:t>AP</w:t>
            </w:r>
          </w:p>
        </w:tc>
        <w:tc>
          <w:tcPr>
            <w:tcW w:w="996" w:type="dxa"/>
            <w:tcBorders>
              <w:top w:val="single" w:sz="12" w:space="0" w:color="76923C" w:themeColor="accent3" w:themeShade="BF"/>
              <w:left w:val="nil"/>
              <w:bottom w:val="single" w:sz="12" w:space="0" w:color="76923C" w:themeColor="accent3" w:themeShade="BF"/>
              <w:right w:val="nil"/>
            </w:tcBorders>
            <w:shd w:val="clear" w:color="auto" w:fill="FFFFFF" w:themeFill="background1"/>
            <w:tcMar>
              <w:top w:w="15" w:type="dxa"/>
              <w:left w:w="15" w:type="dxa"/>
              <w:bottom w:w="0" w:type="dxa"/>
              <w:right w:w="15" w:type="dxa"/>
            </w:tcMar>
            <w:hideMark/>
          </w:tcPr>
          <w:p w14:paraId="723A4B3C" w14:textId="77777777" w:rsidR="00A12129" w:rsidRPr="00CE499C" w:rsidRDefault="00A12129" w:rsidP="005E6834">
            <w:pPr>
              <w:tabs>
                <w:tab w:val="clear" w:pos="7100"/>
              </w:tabs>
              <w:spacing w:line="240" w:lineRule="auto"/>
              <w:jc w:val="center"/>
              <w:textAlignment w:val="bottom"/>
              <w:rPr>
                <w:rFonts w:cs="Arial"/>
                <w:szCs w:val="18"/>
                <w:lang w:eastAsia="en-GB"/>
              </w:rPr>
            </w:pPr>
            <w:r w:rsidRPr="00CE499C">
              <w:rPr>
                <w:rFonts w:cs="Arial"/>
                <w:color w:val="000000"/>
                <w:kern w:val="24"/>
                <w:szCs w:val="18"/>
                <w:lang w:eastAsia="en-GB"/>
              </w:rPr>
              <w:t>SP</w:t>
            </w:r>
          </w:p>
        </w:tc>
        <w:tc>
          <w:tcPr>
            <w:tcW w:w="996" w:type="dxa"/>
            <w:tcBorders>
              <w:top w:val="single" w:sz="12" w:space="0" w:color="76923C" w:themeColor="accent3" w:themeShade="BF"/>
              <w:left w:val="nil"/>
              <w:bottom w:val="single" w:sz="12" w:space="0" w:color="76923C" w:themeColor="accent3" w:themeShade="BF"/>
              <w:right w:val="nil"/>
            </w:tcBorders>
            <w:shd w:val="clear" w:color="auto" w:fill="FFFFFF" w:themeFill="background1"/>
            <w:tcMar>
              <w:top w:w="15" w:type="dxa"/>
              <w:left w:w="15" w:type="dxa"/>
              <w:bottom w:w="0" w:type="dxa"/>
              <w:right w:w="15" w:type="dxa"/>
            </w:tcMar>
            <w:hideMark/>
          </w:tcPr>
          <w:p w14:paraId="41652BEA" w14:textId="37356993" w:rsidR="00A12129" w:rsidRPr="00CE499C" w:rsidRDefault="00A12129" w:rsidP="005E6834">
            <w:pPr>
              <w:tabs>
                <w:tab w:val="clear" w:pos="7100"/>
              </w:tabs>
              <w:spacing w:line="240" w:lineRule="auto"/>
              <w:jc w:val="center"/>
              <w:textAlignment w:val="bottom"/>
              <w:rPr>
                <w:rFonts w:cs="Arial"/>
                <w:szCs w:val="18"/>
                <w:lang w:eastAsia="en-GB"/>
              </w:rPr>
            </w:pPr>
            <w:r w:rsidRPr="00CE499C">
              <w:rPr>
                <w:rFonts w:cs="Arial"/>
                <w:color w:val="000000"/>
                <w:kern w:val="24"/>
                <w:szCs w:val="18"/>
                <w:lang w:eastAsia="en-GB"/>
              </w:rPr>
              <w:t>EP</w:t>
            </w:r>
            <w:r w:rsidR="004B5C11">
              <w:rPr>
                <w:rFonts w:cs="Arial"/>
                <w:color w:val="000000"/>
                <w:kern w:val="24"/>
                <w:szCs w:val="18"/>
                <w:lang w:eastAsia="en-GB"/>
              </w:rPr>
              <w:t>*</w:t>
            </w:r>
          </w:p>
        </w:tc>
        <w:tc>
          <w:tcPr>
            <w:tcW w:w="996" w:type="dxa"/>
            <w:tcBorders>
              <w:top w:val="single" w:sz="12" w:space="0" w:color="76923C" w:themeColor="accent3" w:themeShade="BF"/>
              <w:left w:val="nil"/>
              <w:bottom w:val="single" w:sz="12" w:space="0" w:color="76923C" w:themeColor="accent3" w:themeShade="BF"/>
              <w:right w:val="nil"/>
            </w:tcBorders>
            <w:shd w:val="clear" w:color="auto" w:fill="FFFFFF" w:themeFill="background1"/>
            <w:tcMar>
              <w:top w:w="15" w:type="dxa"/>
              <w:left w:w="15" w:type="dxa"/>
              <w:bottom w:w="0" w:type="dxa"/>
              <w:right w:w="15" w:type="dxa"/>
            </w:tcMar>
            <w:hideMark/>
          </w:tcPr>
          <w:p w14:paraId="6152983B" w14:textId="77777777" w:rsidR="00A12129" w:rsidRPr="00CE499C" w:rsidRDefault="00A12129" w:rsidP="005E6834">
            <w:pPr>
              <w:tabs>
                <w:tab w:val="clear" w:pos="7100"/>
              </w:tabs>
              <w:spacing w:line="240" w:lineRule="auto"/>
              <w:jc w:val="center"/>
              <w:textAlignment w:val="bottom"/>
              <w:rPr>
                <w:rFonts w:cs="Arial"/>
                <w:szCs w:val="18"/>
                <w:lang w:eastAsia="en-GB"/>
              </w:rPr>
            </w:pPr>
            <w:r w:rsidRPr="00CE499C">
              <w:rPr>
                <w:rFonts w:cs="Arial"/>
                <w:color w:val="000000"/>
                <w:kern w:val="24"/>
                <w:szCs w:val="18"/>
                <w:lang w:eastAsia="en-GB"/>
              </w:rPr>
              <w:t>EP**</w:t>
            </w:r>
          </w:p>
        </w:tc>
        <w:tc>
          <w:tcPr>
            <w:tcW w:w="996" w:type="dxa"/>
            <w:tcBorders>
              <w:top w:val="single" w:sz="12" w:space="0" w:color="76923C" w:themeColor="accent3" w:themeShade="BF"/>
              <w:left w:val="nil"/>
              <w:bottom w:val="single" w:sz="12" w:space="0" w:color="76923C" w:themeColor="accent3" w:themeShade="BF"/>
              <w:right w:val="nil"/>
            </w:tcBorders>
            <w:shd w:val="clear" w:color="auto" w:fill="FFFFFF" w:themeFill="background1"/>
            <w:tcMar>
              <w:top w:w="15" w:type="dxa"/>
              <w:left w:w="15" w:type="dxa"/>
              <w:bottom w:w="0" w:type="dxa"/>
              <w:right w:w="15" w:type="dxa"/>
            </w:tcMar>
            <w:hideMark/>
          </w:tcPr>
          <w:p w14:paraId="38A702AD" w14:textId="77777777" w:rsidR="00A12129" w:rsidRPr="00CE499C" w:rsidRDefault="00A12129" w:rsidP="005E6834">
            <w:pPr>
              <w:tabs>
                <w:tab w:val="clear" w:pos="7100"/>
              </w:tabs>
              <w:spacing w:line="240" w:lineRule="auto"/>
              <w:jc w:val="center"/>
              <w:textAlignment w:val="bottom"/>
              <w:rPr>
                <w:rFonts w:cs="Arial"/>
                <w:szCs w:val="18"/>
                <w:lang w:eastAsia="en-GB"/>
              </w:rPr>
            </w:pPr>
            <w:r w:rsidRPr="00CE499C">
              <w:rPr>
                <w:rFonts w:cs="Arial"/>
                <w:color w:val="000000"/>
                <w:kern w:val="24"/>
                <w:szCs w:val="18"/>
                <w:lang w:eastAsia="en-GB"/>
              </w:rPr>
              <w:t>ESP</w:t>
            </w:r>
          </w:p>
        </w:tc>
      </w:tr>
      <w:tr w:rsidR="00A12129" w:rsidRPr="00CE499C" w14:paraId="782A07C8" w14:textId="77777777" w:rsidTr="005E6834">
        <w:trPr>
          <w:trHeight w:val="196"/>
        </w:trPr>
        <w:tc>
          <w:tcPr>
            <w:tcW w:w="1411" w:type="dxa"/>
            <w:tcBorders>
              <w:top w:val="single" w:sz="12" w:space="0" w:color="76923C" w:themeColor="accent3" w:themeShade="BF"/>
              <w:left w:val="nil"/>
              <w:bottom w:val="nil"/>
              <w:right w:val="nil"/>
            </w:tcBorders>
            <w:shd w:val="clear" w:color="auto" w:fill="FFFFFF" w:themeFill="background1"/>
            <w:tcMar>
              <w:top w:w="15" w:type="dxa"/>
              <w:left w:w="15" w:type="dxa"/>
              <w:bottom w:w="0" w:type="dxa"/>
              <w:right w:w="15" w:type="dxa"/>
            </w:tcMar>
            <w:vAlign w:val="bottom"/>
            <w:hideMark/>
          </w:tcPr>
          <w:p w14:paraId="7B929BC4" w14:textId="381AB70C" w:rsidR="00A12129" w:rsidRPr="00CE499C" w:rsidRDefault="00A12129" w:rsidP="005E6834">
            <w:pPr>
              <w:tabs>
                <w:tab w:val="clear" w:pos="7100"/>
              </w:tabs>
              <w:spacing w:line="240" w:lineRule="auto"/>
              <w:jc w:val="left"/>
              <w:textAlignment w:val="bottom"/>
              <w:rPr>
                <w:rFonts w:cs="Arial"/>
                <w:szCs w:val="18"/>
                <w:lang w:eastAsia="en-GB"/>
              </w:rPr>
            </w:pPr>
            <w:r>
              <w:rPr>
                <w:rFonts w:cs="Arial"/>
                <w:color w:val="000000"/>
                <w:kern w:val="24"/>
                <w:szCs w:val="18"/>
                <w:lang w:eastAsia="en-GB"/>
              </w:rPr>
              <w:t xml:space="preserve">Sugars  </w:t>
            </w:r>
            <w:r w:rsidR="007E4469">
              <w:rPr>
                <w:rFonts w:cs="Arial"/>
                <w:color w:val="000000"/>
                <w:kern w:val="24"/>
                <w:szCs w:val="18"/>
                <w:lang w:eastAsia="en-GB"/>
              </w:rPr>
              <w:t xml:space="preserve">    </w:t>
            </w:r>
            <w:r>
              <w:rPr>
                <w:rFonts w:cs="Arial"/>
                <w:color w:val="000000"/>
                <w:kern w:val="24"/>
                <w:szCs w:val="18"/>
                <w:lang w:eastAsia="en-GB"/>
              </w:rPr>
              <w:t>[°Bx]</w:t>
            </w:r>
          </w:p>
        </w:tc>
        <w:tc>
          <w:tcPr>
            <w:tcW w:w="1390" w:type="dxa"/>
            <w:tcBorders>
              <w:top w:val="single" w:sz="12" w:space="0" w:color="76923C" w:themeColor="accent3" w:themeShade="BF"/>
              <w:left w:val="nil"/>
              <w:bottom w:val="nil"/>
              <w:right w:val="nil"/>
            </w:tcBorders>
            <w:shd w:val="clear" w:color="auto" w:fill="FFFFFF" w:themeFill="background1"/>
            <w:tcMar>
              <w:top w:w="15" w:type="dxa"/>
              <w:left w:w="15" w:type="dxa"/>
              <w:bottom w:w="0" w:type="dxa"/>
              <w:right w:w="15" w:type="dxa"/>
            </w:tcMar>
            <w:vAlign w:val="center"/>
            <w:hideMark/>
          </w:tcPr>
          <w:p w14:paraId="426EAEB5" w14:textId="2302004E" w:rsidR="00A12129" w:rsidRPr="00CE499C" w:rsidRDefault="00A12129" w:rsidP="005E6834">
            <w:pPr>
              <w:tabs>
                <w:tab w:val="clear" w:pos="7100"/>
              </w:tabs>
              <w:spacing w:line="240" w:lineRule="auto"/>
              <w:jc w:val="center"/>
              <w:textAlignment w:val="bottom"/>
              <w:rPr>
                <w:rFonts w:cs="Arial"/>
                <w:szCs w:val="18"/>
                <w:lang w:eastAsia="en-GB"/>
              </w:rPr>
            </w:pPr>
            <w:r w:rsidRPr="00CE499C">
              <w:rPr>
                <w:rFonts w:cs="Arial"/>
                <w:color w:val="000000"/>
                <w:kern w:val="24"/>
                <w:szCs w:val="18"/>
                <w:lang w:eastAsia="en-GB"/>
              </w:rPr>
              <w:t>0</w:t>
            </w:r>
            <w:r w:rsidR="00D30A26">
              <w:rPr>
                <w:rFonts w:cs="Arial"/>
                <w:color w:val="000000"/>
                <w:kern w:val="24"/>
                <w:szCs w:val="18"/>
                <w:lang w:eastAsia="en-GB"/>
              </w:rPr>
              <w:t>.</w:t>
            </w:r>
            <w:r w:rsidRPr="00CE499C">
              <w:rPr>
                <w:rFonts w:cs="Arial"/>
                <w:color w:val="000000"/>
                <w:kern w:val="24"/>
                <w:szCs w:val="18"/>
                <w:lang w:eastAsia="en-GB"/>
              </w:rPr>
              <w:t>6</w:t>
            </w:r>
            <w:r>
              <w:rPr>
                <w:lang w:val="it-IT"/>
              </w:rPr>
              <w:t>±0</w:t>
            </w:r>
            <w:r w:rsidR="00D30A26">
              <w:rPr>
                <w:lang w:val="it-IT"/>
              </w:rPr>
              <w:t>.</w:t>
            </w:r>
            <w:r>
              <w:rPr>
                <w:lang w:val="it-IT"/>
              </w:rPr>
              <w:t>1</w:t>
            </w:r>
          </w:p>
        </w:tc>
        <w:tc>
          <w:tcPr>
            <w:tcW w:w="996" w:type="dxa"/>
            <w:tcBorders>
              <w:top w:val="single" w:sz="12" w:space="0" w:color="76923C" w:themeColor="accent3" w:themeShade="BF"/>
              <w:left w:val="nil"/>
              <w:bottom w:val="nil"/>
              <w:right w:val="nil"/>
            </w:tcBorders>
            <w:shd w:val="clear" w:color="auto" w:fill="FFFFFF" w:themeFill="background1"/>
            <w:tcMar>
              <w:top w:w="15" w:type="dxa"/>
              <w:left w:w="15" w:type="dxa"/>
              <w:bottom w:w="0" w:type="dxa"/>
              <w:right w:w="15" w:type="dxa"/>
            </w:tcMar>
            <w:vAlign w:val="center"/>
            <w:hideMark/>
          </w:tcPr>
          <w:p w14:paraId="2B311D03" w14:textId="4EEC09D8" w:rsidR="00A12129" w:rsidRPr="00CE499C" w:rsidRDefault="00A12129" w:rsidP="005E6834">
            <w:pPr>
              <w:tabs>
                <w:tab w:val="clear" w:pos="7100"/>
              </w:tabs>
              <w:spacing w:line="240" w:lineRule="auto"/>
              <w:jc w:val="center"/>
              <w:textAlignment w:val="bottom"/>
              <w:rPr>
                <w:rFonts w:cs="Arial"/>
                <w:szCs w:val="18"/>
                <w:lang w:eastAsia="en-GB"/>
              </w:rPr>
            </w:pPr>
            <w:r w:rsidRPr="00CE499C">
              <w:rPr>
                <w:rFonts w:cs="Arial"/>
                <w:color w:val="000000"/>
                <w:kern w:val="24"/>
                <w:szCs w:val="18"/>
                <w:lang w:eastAsia="en-GB"/>
              </w:rPr>
              <w:t>1</w:t>
            </w:r>
            <w:r w:rsidR="00D30A26">
              <w:rPr>
                <w:rFonts w:cs="Arial"/>
                <w:color w:val="000000"/>
                <w:kern w:val="24"/>
                <w:szCs w:val="18"/>
                <w:lang w:eastAsia="en-GB"/>
              </w:rPr>
              <w:t>.</w:t>
            </w:r>
            <w:r w:rsidRPr="00CE499C">
              <w:rPr>
                <w:rFonts w:cs="Arial"/>
                <w:color w:val="000000"/>
                <w:kern w:val="24"/>
                <w:szCs w:val="18"/>
                <w:lang w:eastAsia="en-GB"/>
              </w:rPr>
              <w:t>0</w:t>
            </w:r>
            <w:r>
              <w:rPr>
                <w:lang w:val="it-IT"/>
              </w:rPr>
              <w:t>±0</w:t>
            </w:r>
            <w:r w:rsidR="00D30A26">
              <w:rPr>
                <w:lang w:val="it-IT"/>
              </w:rPr>
              <w:t>.</w:t>
            </w:r>
            <w:r>
              <w:rPr>
                <w:lang w:val="it-IT"/>
              </w:rPr>
              <w:t>1</w:t>
            </w:r>
          </w:p>
        </w:tc>
        <w:tc>
          <w:tcPr>
            <w:tcW w:w="996" w:type="dxa"/>
            <w:tcBorders>
              <w:top w:val="single" w:sz="12" w:space="0" w:color="76923C" w:themeColor="accent3" w:themeShade="BF"/>
              <w:left w:val="nil"/>
              <w:bottom w:val="nil"/>
              <w:right w:val="nil"/>
            </w:tcBorders>
            <w:shd w:val="clear" w:color="auto" w:fill="FFFFFF" w:themeFill="background1"/>
            <w:tcMar>
              <w:top w:w="15" w:type="dxa"/>
              <w:left w:w="15" w:type="dxa"/>
              <w:bottom w:w="0" w:type="dxa"/>
              <w:right w:w="15" w:type="dxa"/>
            </w:tcMar>
            <w:vAlign w:val="center"/>
            <w:hideMark/>
          </w:tcPr>
          <w:p w14:paraId="1632CBF7" w14:textId="5C427492" w:rsidR="00A12129" w:rsidRPr="00CE499C" w:rsidRDefault="00A12129" w:rsidP="005E6834">
            <w:pPr>
              <w:tabs>
                <w:tab w:val="clear" w:pos="7100"/>
              </w:tabs>
              <w:spacing w:line="240" w:lineRule="auto"/>
              <w:jc w:val="center"/>
              <w:textAlignment w:val="bottom"/>
              <w:rPr>
                <w:rFonts w:cs="Arial"/>
                <w:szCs w:val="18"/>
                <w:lang w:eastAsia="en-GB"/>
              </w:rPr>
            </w:pPr>
            <w:r w:rsidRPr="00CE499C">
              <w:rPr>
                <w:rFonts w:cs="Arial"/>
                <w:color w:val="000000"/>
                <w:kern w:val="24"/>
                <w:szCs w:val="18"/>
                <w:lang w:eastAsia="en-GB"/>
              </w:rPr>
              <w:t>0</w:t>
            </w:r>
            <w:r w:rsidR="00D30A26">
              <w:rPr>
                <w:rFonts w:cs="Arial"/>
                <w:color w:val="000000"/>
                <w:kern w:val="24"/>
                <w:szCs w:val="18"/>
                <w:lang w:eastAsia="en-GB"/>
              </w:rPr>
              <w:t>.</w:t>
            </w:r>
            <w:r w:rsidRPr="00CE499C">
              <w:rPr>
                <w:rFonts w:cs="Arial"/>
                <w:color w:val="000000"/>
                <w:kern w:val="24"/>
                <w:szCs w:val="18"/>
                <w:lang w:eastAsia="en-GB"/>
              </w:rPr>
              <w:t>8</w:t>
            </w:r>
            <w:r>
              <w:rPr>
                <w:lang w:val="it-IT"/>
              </w:rPr>
              <w:t>±0</w:t>
            </w:r>
            <w:r w:rsidR="00D30A26">
              <w:rPr>
                <w:lang w:val="it-IT"/>
              </w:rPr>
              <w:t>.</w:t>
            </w:r>
            <w:r>
              <w:rPr>
                <w:lang w:val="it-IT"/>
              </w:rPr>
              <w:t>1</w:t>
            </w:r>
          </w:p>
        </w:tc>
        <w:tc>
          <w:tcPr>
            <w:tcW w:w="996" w:type="dxa"/>
            <w:tcBorders>
              <w:top w:val="single" w:sz="12" w:space="0" w:color="76923C" w:themeColor="accent3" w:themeShade="BF"/>
              <w:left w:val="nil"/>
              <w:bottom w:val="nil"/>
              <w:right w:val="nil"/>
            </w:tcBorders>
            <w:shd w:val="clear" w:color="auto" w:fill="FFFFFF" w:themeFill="background1"/>
            <w:tcMar>
              <w:top w:w="15" w:type="dxa"/>
              <w:left w:w="15" w:type="dxa"/>
              <w:bottom w:w="0" w:type="dxa"/>
              <w:right w:w="15" w:type="dxa"/>
            </w:tcMar>
            <w:vAlign w:val="center"/>
            <w:hideMark/>
          </w:tcPr>
          <w:p w14:paraId="35C78E56" w14:textId="1F68CCC8" w:rsidR="00A12129" w:rsidRPr="00CE499C" w:rsidRDefault="00A12129" w:rsidP="005E6834">
            <w:pPr>
              <w:tabs>
                <w:tab w:val="clear" w:pos="7100"/>
              </w:tabs>
              <w:spacing w:line="240" w:lineRule="auto"/>
              <w:jc w:val="center"/>
              <w:textAlignment w:val="bottom"/>
              <w:rPr>
                <w:rFonts w:cs="Arial"/>
                <w:szCs w:val="18"/>
                <w:lang w:eastAsia="en-GB"/>
              </w:rPr>
            </w:pPr>
            <w:r w:rsidRPr="00CE499C">
              <w:rPr>
                <w:rFonts w:cs="Arial"/>
                <w:color w:val="000000"/>
                <w:kern w:val="24"/>
                <w:szCs w:val="18"/>
                <w:lang w:eastAsia="en-GB"/>
              </w:rPr>
              <w:t>5</w:t>
            </w:r>
            <w:r w:rsidR="00D30A26">
              <w:rPr>
                <w:rFonts w:cs="Arial"/>
                <w:color w:val="000000"/>
                <w:kern w:val="24"/>
                <w:szCs w:val="18"/>
                <w:lang w:eastAsia="en-GB"/>
              </w:rPr>
              <w:t>.</w:t>
            </w:r>
            <w:r w:rsidRPr="00CE499C">
              <w:rPr>
                <w:rFonts w:cs="Arial"/>
                <w:color w:val="000000"/>
                <w:kern w:val="24"/>
                <w:szCs w:val="18"/>
                <w:lang w:eastAsia="en-GB"/>
              </w:rPr>
              <w:t>8</w:t>
            </w:r>
            <w:r>
              <w:rPr>
                <w:lang w:val="it-IT"/>
              </w:rPr>
              <w:t>±0</w:t>
            </w:r>
            <w:r w:rsidR="00D30A26">
              <w:rPr>
                <w:lang w:val="it-IT"/>
              </w:rPr>
              <w:t>.</w:t>
            </w:r>
            <w:r>
              <w:rPr>
                <w:lang w:val="it-IT"/>
              </w:rPr>
              <w:t>1</w:t>
            </w:r>
          </w:p>
        </w:tc>
        <w:tc>
          <w:tcPr>
            <w:tcW w:w="996" w:type="dxa"/>
            <w:tcBorders>
              <w:top w:val="single" w:sz="12" w:space="0" w:color="76923C" w:themeColor="accent3" w:themeShade="BF"/>
              <w:left w:val="nil"/>
              <w:bottom w:val="nil"/>
              <w:right w:val="nil"/>
            </w:tcBorders>
            <w:shd w:val="clear" w:color="auto" w:fill="FFFFFF" w:themeFill="background1"/>
            <w:tcMar>
              <w:top w:w="15" w:type="dxa"/>
              <w:left w:w="15" w:type="dxa"/>
              <w:bottom w:w="0" w:type="dxa"/>
              <w:right w:w="15" w:type="dxa"/>
            </w:tcMar>
            <w:vAlign w:val="center"/>
            <w:hideMark/>
          </w:tcPr>
          <w:p w14:paraId="43AC3748" w14:textId="47A120D6" w:rsidR="00A12129" w:rsidRPr="00CE499C" w:rsidRDefault="00A12129" w:rsidP="005E6834">
            <w:pPr>
              <w:tabs>
                <w:tab w:val="clear" w:pos="7100"/>
              </w:tabs>
              <w:spacing w:line="240" w:lineRule="auto"/>
              <w:jc w:val="center"/>
              <w:textAlignment w:val="bottom"/>
              <w:rPr>
                <w:rFonts w:cs="Arial"/>
                <w:szCs w:val="18"/>
                <w:lang w:eastAsia="en-GB"/>
              </w:rPr>
            </w:pPr>
            <w:r w:rsidRPr="00CE499C">
              <w:rPr>
                <w:rFonts w:cs="Arial"/>
                <w:color w:val="000000"/>
                <w:kern w:val="24"/>
                <w:szCs w:val="18"/>
                <w:lang w:eastAsia="en-GB"/>
              </w:rPr>
              <w:t>0</w:t>
            </w:r>
            <w:r w:rsidR="00D30A26">
              <w:rPr>
                <w:rFonts w:cs="Arial"/>
                <w:color w:val="000000"/>
                <w:kern w:val="24"/>
                <w:szCs w:val="18"/>
                <w:lang w:eastAsia="en-GB"/>
              </w:rPr>
              <w:t>.</w:t>
            </w:r>
            <w:r w:rsidRPr="00CE499C">
              <w:rPr>
                <w:rFonts w:cs="Arial"/>
                <w:color w:val="000000"/>
                <w:kern w:val="24"/>
                <w:szCs w:val="18"/>
                <w:lang w:eastAsia="en-GB"/>
              </w:rPr>
              <w:t>4</w:t>
            </w:r>
            <w:r>
              <w:rPr>
                <w:lang w:val="it-IT"/>
              </w:rPr>
              <w:t>±0</w:t>
            </w:r>
            <w:r w:rsidR="00D30A26">
              <w:rPr>
                <w:lang w:val="it-IT"/>
              </w:rPr>
              <w:t>.</w:t>
            </w:r>
            <w:r>
              <w:rPr>
                <w:lang w:val="it-IT"/>
              </w:rPr>
              <w:t>1</w:t>
            </w:r>
          </w:p>
        </w:tc>
        <w:tc>
          <w:tcPr>
            <w:tcW w:w="996" w:type="dxa"/>
            <w:tcBorders>
              <w:top w:val="single" w:sz="12" w:space="0" w:color="76923C" w:themeColor="accent3" w:themeShade="BF"/>
              <w:left w:val="nil"/>
              <w:bottom w:val="nil"/>
              <w:right w:val="nil"/>
            </w:tcBorders>
            <w:shd w:val="clear" w:color="auto" w:fill="FFFFFF" w:themeFill="background1"/>
            <w:tcMar>
              <w:top w:w="15" w:type="dxa"/>
              <w:left w:w="15" w:type="dxa"/>
              <w:bottom w:w="0" w:type="dxa"/>
              <w:right w:w="15" w:type="dxa"/>
            </w:tcMar>
            <w:vAlign w:val="center"/>
            <w:hideMark/>
          </w:tcPr>
          <w:p w14:paraId="40D1AE48" w14:textId="0962F76E" w:rsidR="00A12129" w:rsidRPr="00CE499C" w:rsidRDefault="00A12129" w:rsidP="005E6834">
            <w:pPr>
              <w:tabs>
                <w:tab w:val="clear" w:pos="7100"/>
              </w:tabs>
              <w:spacing w:line="240" w:lineRule="auto"/>
              <w:jc w:val="center"/>
              <w:textAlignment w:val="bottom"/>
              <w:rPr>
                <w:rFonts w:cs="Arial"/>
                <w:szCs w:val="18"/>
                <w:lang w:eastAsia="en-GB"/>
              </w:rPr>
            </w:pPr>
            <w:r w:rsidRPr="00CE499C">
              <w:rPr>
                <w:rFonts w:cs="Arial"/>
                <w:color w:val="000000"/>
                <w:kern w:val="24"/>
                <w:szCs w:val="18"/>
                <w:lang w:eastAsia="en-GB"/>
              </w:rPr>
              <w:t>0</w:t>
            </w:r>
            <w:r w:rsidR="00D30A26">
              <w:rPr>
                <w:rFonts w:cs="Arial"/>
                <w:color w:val="000000"/>
                <w:kern w:val="24"/>
                <w:szCs w:val="18"/>
                <w:lang w:eastAsia="en-GB"/>
              </w:rPr>
              <w:t>.</w:t>
            </w:r>
            <w:r w:rsidRPr="00CE499C">
              <w:rPr>
                <w:rFonts w:cs="Arial"/>
                <w:color w:val="000000"/>
                <w:kern w:val="24"/>
                <w:szCs w:val="18"/>
                <w:lang w:eastAsia="en-GB"/>
              </w:rPr>
              <w:t>9</w:t>
            </w:r>
            <w:r>
              <w:rPr>
                <w:lang w:val="it-IT"/>
              </w:rPr>
              <w:t>±0</w:t>
            </w:r>
            <w:r w:rsidR="00D30A26">
              <w:rPr>
                <w:lang w:val="it-IT"/>
              </w:rPr>
              <w:t>.</w:t>
            </w:r>
            <w:r>
              <w:rPr>
                <w:lang w:val="it-IT"/>
              </w:rPr>
              <w:t>1</w:t>
            </w:r>
          </w:p>
        </w:tc>
        <w:tc>
          <w:tcPr>
            <w:tcW w:w="996" w:type="dxa"/>
            <w:tcBorders>
              <w:top w:val="single" w:sz="12" w:space="0" w:color="76923C" w:themeColor="accent3" w:themeShade="BF"/>
              <w:left w:val="nil"/>
              <w:bottom w:val="nil"/>
              <w:right w:val="nil"/>
            </w:tcBorders>
            <w:shd w:val="clear" w:color="auto" w:fill="FFFFFF" w:themeFill="background1"/>
            <w:tcMar>
              <w:top w:w="15" w:type="dxa"/>
              <w:left w:w="15" w:type="dxa"/>
              <w:bottom w:w="0" w:type="dxa"/>
              <w:right w:w="15" w:type="dxa"/>
            </w:tcMar>
            <w:vAlign w:val="center"/>
            <w:hideMark/>
          </w:tcPr>
          <w:p w14:paraId="4717D3ED" w14:textId="6C5157EF" w:rsidR="00A12129" w:rsidRPr="00CE499C" w:rsidRDefault="00A12129" w:rsidP="005E6834">
            <w:pPr>
              <w:tabs>
                <w:tab w:val="clear" w:pos="7100"/>
              </w:tabs>
              <w:spacing w:line="240" w:lineRule="auto"/>
              <w:jc w:val="center"/>
              <w:textAlignment w:val="bottom"/>
              <w:rPr>
                <w:rFonts w:cs="Arial"/>
                <w:szCs w:val="18"/>
                <w:lang w:eastAsia="en-GB"/>
              </w:rPr>
            </w:pPr>
            <w:r w:rsidRPr="00CE499C">
              <w:rPr>
                <w:rFonts w:cs="Arial"/>
                <w:color w:val="000000"/>
                <w:kern w:val="24"/>
                <w:szCs w:val="18"/>
                <w:lang w:eastAsia="en-GB"/>
              </w:rPr>
              <w:t>0</w:t>
            </w:r>
            <w:r w:rsidR="00D30A26">
              <w:rPr>
                <w:rFonts w:cs="Arial"/>
                <w:color w:val="000000"/>
                <w:kern w:val="24"/>
                <w:szCs w:val="18"/>
                <w:lang w:eastAsia="en-GB"/>
              </w:rPr>
              <w:t>.</w:t>
            </w:r>
            <w:r w:rsidRPr="00CE499C">
              <w:rPr>
                <w:rFonts w:cs="Arial"/>
                <w:color w:val="000000"/>
                <w:kern w:val="24"/>
                <w:szCs w:val="18"/>
                <w:lang w:eastAsia="en-GB"/>
              </w:rPr>
              <w:t>5</w:t>
            </w:r>
            <w:r>
              <w:rPr>
                <w:lang w:val="it-IT"/>
              </w:rPr>
              <w:t>±0</w:t>
            </w:r>
            <w:r w:rsidR="00D30A26">
              <w:rPr>
                <w:lang w:val="it-IT"/>
              </w:rPr>
              <w:t>.</w:t>
            </w:r>
            <w:r>
              <w:rPr>
                <w:lang w:val="it-IT"/>
              </w:rPr>
              <w:t>1</w:t>
            </w:r>
          </w:p>
        </w:tc>
      </w:tr>
      <w:tr w:rsidR="00A12129" w:rsidRPr="00CE499C" w14:paraId="221F14CA" w14:textId="77777777" w:rsidTr="005E6834">
        <w:trPr>
          <w:trHeight w:val="122"/>
        </w:trPr>
        <w:tc>
          <w:tcPr>
            <w:tcW w:w="1411" w:type="dxa"/>
            <w:tcBorders>
              <w:top w:val="nil"/>
              <w:left w:val="nil"/>
              <w:bottom w:val="single" w:sz="12" w:space="0" w:color="76923C" w:themeColor="accent3" w:themeShade="BF"/>
              <w:right w:val="nil"/>
            </w:tcBorders>
            <w:shd w:val="clear" w:color="auto" w:fill="FFFFFF" w:themeFill="background1"/>
            <w:tcMar>
              <w:top w:w="15" w:type="dxa"/>
              <w:left w:w="15" w:type="dxa"/>
              <w:bottom w:w="0" w:type="dxa"/>
              <w:right w:w="15" w:type="dxa"/>
            </w:tcMar>
            <w:vAlign w:val="center"/>
            <w:hideMark/>
          </w:tcPr>
          <w:p w14:paraId="7F7977F1" w14:textId="3959668F" w:rsidR="00A12129" w:rsidRPr="00CE499C" w:rsidRDefault="00A12129" w:rsidP="007E4469">
            <w:pPr>
              <w:tabs>
                <w:tab w:val="clear" w:pos="7100"/>
              </w:tabs>
              <w:spacing w:line="240" w:lineRule="auto"/>
              <w:textAlignment w:val="bottom"/>
              <w:rPr>
                <w:rFonts w:cs="Arial"/>
                <w:szCs w:val="18"/>
                <w:lang w:eastAsia="en-GB"/>
              </w:rPr>
            </w:pPr>
            <w:r w:rsidRPr="00CE499C">
              <w:rPr>
                <w:rFonts w:cs="Arial"/>
                <w:color w:val="000000"/>
                <w:kern w:val="24"/>
                <w:szCs w:val="18"/>
                <w:lang w:eastAsia="en-GB"/>
              </w:rPr>
              <w:t>A</w:t>
            </w:r>
            <w:r w:rsidRPr="00CE499C">
              <w:rPr>
                <w:rFonts w:cs="Arial"/>
                <w:color w:val="000000"/>
                <w:kern w:val="24"/>
                <w:szCs w:val="18"/>
                <w:vertAlign w:val="subscript"/>
                <w:lang w:eastAsia="en-GB"/>
              </w:rPr>
              <w:t>440</w:t>
            </w:r>
            <w:r w:rsidR="007E4469" w:rsidRPr="007E4469">
              <w:rPr>
                <w:rFonts w:cs="Arial"/>
                <w:color w:val="000000"/>
                <w:kern w:val="24"/>
                <w:szCs w:val="18"/>
                <w:lang w:eastAsia="en-GB"/>
              </w:rPr>
              <w:t>·</w:t>
            </w:r>
            <w:r w:rsidR="007E4469">
              <w:rPr>
                <w:rFonts w:cs="Arial"/>
                <w:color w:val="000000"/>
                <w:kern w:val="24"/>
                <w:szCs w:val="18"/>
                <w:lang w:eastAsia="en-GB"/>
              </w:rPr>
              <w:t>10</w:t>
            </w:r>
            <w:r w:rsidR="007E4469">
              <w:rPr>
                <w:rFonts w:cs="Arial"/>
                <w:color w:val="000000"/>
                <w:kern w:val="24"/>
                <w:szCs w:val="18"/>
                <w:vertAlign w:val="superscript"/>
                <w:lang w:eastAsia="en-GB"/>
              </w:rPr>
              <w:t>3</w:t>
            </w:r>
            <w:r>
              <w:rPr>
                <w:rFonts w:cs="Arial"/>
                <w:color w:val="000000"/>
                <w:kern w:val="24"/>
                <w:szCs w:val="18"/>
                <w:lang w:eastAsia="en-GB"/>
              </w:rPr>
              <w:t xml:space="preserve">     </w:t>
            </w:r>
            <w:r w:rsidRPr="00CE499C">
              <w:rPr>
                <w:rFonts w:cs="Arial"/>
                <w:color w:val="000000"/>
                <w:kern w:val="24"/>
                <w:szCs w:val="18"/>
                <w:lang w:eastAsia="en-GB"/>
              </w:rPr>
              <w:t>[AU]</w:t>
            </w:r>
          </w:p>
        </w:tc>
        <w:tc>
          <w:tcPr>
            <w:tcW w:w="1390" w:type="dxa"/>
            <w:tcBorders>
              <w:top w:val="nil"/>
              <w:left w:val="nil"/>
              <w:bottom w:val="single" w:sz="12" w:space="0" w:color="76923C" w:themeColor="accent3" w:themeShade="BF"/>
              <w:right w:val="nil"/>
            </w:tcBorders>
            <w:shd w:val="clear" w:color="auto" w:fill="FFFFFF" w:themeFill="background1"/>
            <w:tcMar>
              <w:top w:w="15" w:type="dxa"/>
              <w:left w:w="15" w:type="dxa"/>
              <w:bottom w:w="0" w:type="dxa"/>
              <w:right w:w="15" w:type="dxa"/>
            </w:tcMar>
            <w:vAlign w:val="center"/>
            <w:hideMark/>
          </w:tcPr>
          <w:p w14:paraId="71FB5527" w14:textId="6E220611" w:rsidR="00A12129" w:rsidRPr="00CE499C" w:rsidRDefault="00A12129" w:rsidP="007E4469">
            <w:pPr>
              <w:tabs>
                <w:tab w:val="clear" w:pos="7100"/>
              </w:tabs>
              <w:spacing w:line="240" w:lineRule="auto"/>
              <w:jc w:val="center"/>
              <w:textAlignment w:val="bottom"/>
              <w:rPr>
                <w:rFonts w:cs="Arial"/>
                <w:szCs w:val="18"/>
                <w:lang w:eastAsia="en-GB"/>
              </w:rPr>
            </w:pPr>
            <w:r w:rsidRPr="00CE499C">
              <w:rPr>
                <w:rFonts w:cs="Arial"/>
                <w:color w:val="000000"/>
                <w:kern w:val="24"/>
                <w:szCs w:val="18"/>
                <w:lang w:eastAsia="en-GB"/>
              </w:rPr>
              <w:t>26</w:t>
            </w:r>
            <w:r>
              <w:rPr>
                <w:lang w:val="it-IT"/>
              </w:rPr>
              <w:t>±</w:t>
            </w:r>
            <w:r>
              <w:rPr>
                <w:lang w:eastAsia="en-GB"/>
              </w:rPr>
              <w:t>1</w:t>
            </w:r>
          </w:p>
        </w:tc>
        <w:tc>
          <w:tcPr>
            <w:tcW w:w="996" w:type="dxa"/>
            <w:tcBorders>
              <w:top w:val="nil"/>
              <w:left w:val="nil"/>
              <w:bottom w:val="single" w:sz="12" w:space="0" w:color="76923C" w:themeColor="accent3" w:themeShade="BF"/>
              <w:right w:val="nil"/>
            </w:tcBorders>
            <w:shd w:val="clear" w:color="auto" w:fill="FFFFFF" w:themeFill="background1"/>
            <w:tcMar>
              <w:top w:w="15" w:type="dxa"/>
              <w:left w:w="15" w:type="dxa"/>
              <w:bottom w:w="0" w:type="dxa"/>
              <w:right w:w="15" w:type="dxa"/>
            </w:tcMar>
            <w:vAlign w:val="center"/>
            <w:hideMark/>
          </w:tcPr>
          <w:p w14:paraId="51FEBC11" w14:textId="3078BB86" w:rsidR="00A12129" w:rsidRPr="00CE499C" w:rsidRDefault="00A12129" w:rsidP="007E4469">
            <w:pPr>
              <w:tabs>
                <w:tab w:val="clear" w:pos="7100"/>
              </w:tabs>
              <w:spacing w:line="240" w:lineRule="auto"/>
              <w:jc w:val="center"/>
              <w:textAlignment w:val="bottom"/>
              <w:rPr>
                <w:rFonts w:cs="Arial"/>
                <w:szCs w:val="18"/>
                <w:lang w:eastAsia="en-GB"/>
              </w:rPr>
            </w:pPr>
            <w:r w:rsidRPr="00CE499C">
              <w:rPr>
                <w:rFonts w:cs="Arial"/>
                <w:color w:val="000000"/>
                <w:kern w:val="24"/>
                <w:szCs w:val="18"/>
                <w:lang w:eastAsia="en-GB"/>
              </w:rPr>
              <w:t>97</w:t>
            </w:r>
            <w:r>
              <w:rPr>
                <w:lang w:val="it-IT"/>
              </w:rPr>
              <w:t>±</w:t>
            </w:r>
            <w:r>
              <w:rPr>
                <w:lang w:eastAsia="en-GB"/>
              </w:rPr>
              <w:t>1</w:t>
            </w:r>
          </w:p>
        </w:tc>
        <w:tc>
          <w:tcPr>
            <w:tcW w:w="996" w:type="dxa"/>
            <w:tcBorders>
              <w:top w:val="nil"/>
              <w:left w:val="nil"/>
              <w:bottom w:val="single" w:sz="12" w:space="0" w:color="76923C" w:themeColor="accent3" w:themeShade="BF"/>
              <w:right w:val="nil"/>
            </w:tcBorders>
            <w:shd w:val="clear" w:color="auto" w:fill="FFFFFF" w:themeFill="background1"/>
            <w:tcMar>
              <w:top w:w="15" w:type="dxa"/>
              <w:left w:w="15" w:type="dxa"/>
              <w:bottom w:w="0" w:type="dxa"/>
              <w:right w:w="15" w:type="dxa"/>
            </w:tcMar>
            <w:vAlign w:val="center"/>
            <w:hideMark/>
          </w:tcPr>
          <w:p w14:paraId="3481BE9B" w14:textId="4AA2ECAC" w:rsidR="00A12129" w:rsidRPr="00CE499C" w:rsidRDefault="00A12129" w:rsidP="005E6834">
            <w:pPr>
              <w:tabs>
                <w:tab w:val="clear" w:pos="7100"/>
              </w:tabs>
              <w:spacing w:line="240" w:lineRule="auto"/>
              <w:jc w:val="center"/>
              <w:textAlignment w:val="bottom"/>
              <w:rPr>
                <w:rFonts w:cs="Arial"/>
                <w:szCs w:val="18"/>
                <w:lang w:eastAsia="en-GB"/>
              </w:rPr>
            </w:pPr>
            <w:r w:rsidRPr="00CE499C">
              <w:rPr>
                <w:rFonts w:cs="Arial"/>
                <w:color w:val="000000"/>
                <w:kern w:val="24"/>
                <w:szCs w:val="18"/>
                <w:lang w:eastAsia="en-GB"/>
              </w:rPr>
              <w:t>96</w:t>
            </w:r>
            <w:r>
              <w:rPr>
                <w:lang w:val="it-IT"/>
              </w:rPr>
              <w:t>±</w:t>
            </w:r>
            <w:r>
              <w:rPr>
                <w:lang w:eastAsia="en-GB"/>
              </w:rPr>
              <w:t>1</w:t>
            </w:r>
          </w:p>
        </w:tc>
        <w:tc>
          <w:tcPr>
            <w:tcW w:w="996" w:type="dxa"/>
            <w:tcBorders>
              <w:top w:val="nil"/>
              <w:left w:val="nil"/>
              <w:bottom w:val="single" w:sz="12" w:space="0" w:color="76923C" w:themeColor="accent3" w:themeShade="BF"/>
              <w:right w:val="nil"/>
            </w:tcBorders>
            <w:shd w:val="clear" w:color="auto" w:fill="FFFFFF" w:themeFill="background1"/>
            <w:tcMar>
              <w:top w:w="15" w:type="dxa"/>
              <w:left w:w="15" w:type="dxa"/>
              <w:bottom w:w="0" w:type="dxa"/>
              <w:right w:w="15" w:type="dxa"/>
            </w:tcMar>
            <w:vAlign w:val="center"/>
            <w:hideMark/>
          </w:tcPr>
          <w:p w14:paraId="7079FF65" w14:textId="2AEBC39C" w:rsidR="00A12129" w:rsidRPr="00CE499C" w:rsidRDefault="00A12129" w:rsidP="005E6834">
            <w:pPr>
              <w:tabs>
                <w:tab w:val="clear" w:pos="7100"/>
              </w:tabs>
              <w:spacing w:line="240" w:lineRule="auto"/>
              <w:jc w:val="center"/>
              <w:textAlignment w:val="bottom"/>
              <w:rPr>
                <w:rFonts w:cs="Arial"/>
                <w:szCs w:val="18"/>
                <w:lang w:eastAsia="en-GB"/>
              </w:rPr>
            </w:pPr>
            <w:r w:rsidRPr="00CE499C">
              <w:rPr>
                <w:rFonts w:cs="Arial"/>
                <w:color w:val="000000"/>
                <w:kern w:val="24"/>
                <w:szCs w:val="18"/>
                <w:lang w:eastAsia="en-GB"/>
              </w:rPr>
              <w:t>58</w:t>
            </w:r>
            <w:r>
              <w:rPr>
                <w:lang w:val="it-IT"/>
              </w:rPr>
              <w:t>±</w:t>
            </w:r>
            <w:r w:rsidR="007E4469">
              <w:rPr>
                <w:lang w:val="it-IT"/>
              </w:rPr>
              <w:t xml:space="preserve"> </w:t>
            </w:r>
            <w:r>
              <w:rPr>
                <w:lang w:eastAsia="en-GB"/>
              </w:rPr>
              <w:t>1</w:t>
            </w:r>
          </w:p>
        </w:tc>
        <w:tc>
          <w:tcPr>
            <w:tcW w:w="996" w:type="dxa"/>
            <w:tcBorders>
              <w:top w:val="nil"/>
              <w:left w:val="nil"/>
              <w:bottom w:val="single" w:sz="12" w:space="0" w:color="76923C" w:themeColor="accent3" w:themeShade="BF"/>
              <w:right w:val="nil"/>
            </w:tcBorders>
            <w:shd w:val="clear" w:color="auto" w:fill="FFFFFF" w:themeFill="background1"/>
            <w:tcMar>
              <w:top w:w="15" w:type="dxa"/>
              <w:left w:w="15" w:type="dxa"/>
              <w:bottom w:w="0" w:type="dxa"/>
              <w:right w:w="15" w:type="dxa"/>
            </w:tcMar>
            <w:vAlign w:val="center"/>
            <w:hideMark/>
          </w:tcPr>
          <w:p w14:paraId="1347C3A6" w14:textId="46945861" w:rsidR="00A12129" w:rsidRPr="00CE499C" w:rsidRDefault="00A12129" w:rsidP="005E6834">
            <w:pPr>
              <w:tabs>
                <w:tab w:val="clear" w:pos="7100"/>
              </w:tabs>
              <w:spacing w:line="240" w:lineRule="auto"/>
              <w:jc w:val="center"/>
              <w:textAlignment w:val="bottom"/>
              <w:rPr>
                <w:rFonts w:cs="Arial"/>
                <w:szCs w:val="18"/>
                <w:lang w:eastAsia="en-GB"/>
              </w:rPr>
            </w:pPr>
            <w:r w:rsidRPr="00CE499C">
              <w:rPr>
                <w:rFonts w:cs="Arial"/>
                <w:color w:val="000000"/>
                <w:kern w:val="24"/>
                <w:szCs w:val="18"/>
                <w:lang w:eastAsia="en-GB"/>
              </w:rPr>
              <w:t>9</w:t>
            </w:r>
            <w:r>
              <w:rPr>
                <w:lang w:val="it-IT"/>
              </w:rPr>
              <w:t>±2</w:t>
            </w:r>
          </w:p>
        </w:tc>
        <w:tc>
          <w:tcPr>
            <w:tcW w:w="996" w:type="dxa"/>
            <w:tcBorders>
              <w:top w:val="nil"/>
              <w:left w:val="nil"/>
              <w:bottom w:val="single" w:sz="12" w:space="0" w:color="76923C" w:themeColor="accent3" w:themeShade="BF"/>
              <w:right w:val="nil"/>
            </w:tcBorders>
            <w:shd w:val="clear" w:color="auto" w:fill="FFFFFF" w:themeFill="background1"/>
            <w:tcMar>
              <w:top w:w="15" w:type="dxa"/>
              <w:left w:w="15" w:type="dxa"/>
              <w:bottom w:w="0" w:type="dxa"/>
              <w:right w:w="15" w:type="dxa"/>
            </w:tcMar>
            <w:vAlign w:val="center"/>
            <w:hideMark/>
          </w:tcPr>
          <w:p w14:paraId="28E675D4" w14:textId="1C53DDDF" w:rsidR="00A12129" w:rsidRPr="00CE499C" w:rsidRDefault="00A12129" w:rsidP="007E4469">
            <w:pPr>
              <w:tabs>
                <w:tab w:val="clear" w:pos="7100"/>
              </w:tabs>
              <w:spacing w:line="240" w:lineRule="auto"/>
              <w:jc w:val="center"/>
              <w:textAlignment w:val="bottom"/>
              <w:rPr>
                <w:rFonts w:cs="Arial"/>
                <w:szCs w:val="18"/>
                <w:lang w:eastAsia="en-GB"/>
              </w:rPr>
            </w:pPr>
            <w:r w:rsidRPr="00CE499C">
              <w:rPr>
                <w:rFonts w:cs="Arial"/>
                <w:color w:val="000000"/>
                <w:kern w:val="24"/>
                <w:szCs w:val="18"/>
                <w:lang w:eastAsia="en-GB"/>
              </w:rPr>
              <w:t>4</w:t>
            </w:r>
            <w:r>
              <w:rPr>
                <w:rFonts w:cs="Arial"/>
                <w:color w:val="000000"/>
                <w:kern w:val="24"/>
                <w:szCs w:val="18"/>
                <w:lang w:eastAsia="en-GB"/>
              </w:rPr>
              <w:t>1</w:t>
            </w:r>
            <w:r>
              <w:rPr>
                <w:lang w:val="it-IT"/>
              </w:rPr>
              <w:t>±8</w:t>
            </w:r>
          </w:p>
        </w:tc>
        <w:tc>
          <w:tcPr>
            <w:tcW w:w="996" w:type="dxa"/>
            <w:tcBorders>
              <w:top w:val="nil"/>
              <w:left w:val="nil"/>
              <w:bottom w:val="single" w:sz="12" w:space="0" w:color="76923C" w:themeColor="accent3" w:themeShade="BF"/>
              <w:right w:val="nil"/>
            </w:tcBorders>
            <w:shd w:val="clear" w:color="auto" w:fill="FFFFFF" w:themeFill="background1"/>
            <w:tcMar>
              <w:top w:w="15" w:type="dxa"/>
              <w:left w:w="15" w:type="dxa"/>
              <w:bottom w:w="0" w:type="dxa"/>
              <w:right w:w="15" w:type="dxa"/>
            </w:tcMar>
            <w:vAlign w:val="center"/>
            <w:hideMark/>
          </w:tcPr>
          <w:p w14:paraId="2C4304E2" w14:textId="5FE2A63C" w:rsidR="00A12129" w:rsidRPr="00CE499C" w:rsidRDefault="00A12129" w:rsidP="007E4469">
            <w:pPr>
              <w:tabs>
                <w:tab w:val="clear" w:pos="7100"/>
              </w:tabs>
              <w:spacing w:line="240" w:lineRule="auto"/>
              <w:jc w:val="center"/>
              <w:textAlignment w:val="bottom"/>
              <w:rPr>
                <w:rFonts w:cs="Arial"/>
                <w:szCs w:val="18"/>
                <w:lang w:eastAsia="en-GB"/>
              </w:rPr>
            </w:pPr>
            <w:r w:rsidRPr="00CE499C">
              <w:rPr>
                <w:rFonts w:cs="Arial"/>
                <w:color w:val="000000"/>
                <w:kern w:val="24"/>
                <w:szCs w:val="18"/>
                <w:lang w:eastAsia="en-GB"/>
              </w:rPr>
              <w:t>12</w:t>
            </w:r>
            <w:r>
              <w:rPr>
                <w:lang w:val="it-IT"/>
              </w:rPr>
              <w:t>±10</w:t>
            </w:r>
          </w:p>
        </w:tc>
      </w:tr>
    </w:tbl>
    <w:p w14:paraId="71A2A815" w14:textId="08173494" w:rsidR="00DB4FEB" w:rsidRDefault="00DB4FEB" w:rsidP="00DB4FEB">
      <w:pPr>
        <w:pStyle w:val="CETBodytext"/>
        <w:rPr>
          <w:rFonts w:cs="Arial"/>
          <w:i/>
          <w:iCs/>
          <w:sz w:val="14"/>
          <w:szCs w:val="14"/>
        </w:rPr>
      </w:pPr>
    </w:p>
    <w:p w14:paraId="01214D9A" w14:textId="7B672ECF" w:rsidR="002B7B3B" w:rsidRDefault="002B7B3B" w:rsidP="00980D6F">
      <w:pPr>
        <w:pStyle w:val="CETheadingx"/>
      </w:pPr>
      <w:r>
        <w:t>Mixed Yeast-Bacteria</w:t>
      </w:r>
      <w:r w:rsidR="00156556">
        <w:t xml:space="preserve"> (MYB)</w:t>
      </w:r>
      <w:r>
        <w:t xml:space="preserve"> fermentation tests</w:t>
      </w:r>
    </w:p>
    <w:p w14:paraId="61641A77" w14:textId="7DD58B66" w:rsidR="00D65F47" w:rsidRDefault="0011617C" w:rsidP="00BD6003">
      <w:pPr>
        <w:pStyle w:val="CETBodytext"/>
      </w:pPr>
      <w:r w:rsidRPr="0011617C">
        <w:rPr>
          <w:i/>
          <w:iCs/>
          <w:noProof/>
          <w:lang w:val="en-GB"/>
        </w:rPr>
        <w:drawing>
          <wp:anchor distT="0" distB="0" distL="114300" distR="114300" simplePos="0" relativeHeight="251659264" behindDoc="0" locked="0" layoutInCell="1" allowOverlap="1" wp14:anchorId="5602415D" wp14:editId="0F1687FC">
            <wp:simplePos x="0" y="0"/>
            <wp:positionH relativeFrom="column">
              <wp:posOffset>-1270</wp:posOffset>
            </wp:positionH>
            <wp:positionV relativeFrom="paragraph">
              <wp:posOffset>1588770</wp:posOffset>
            </wp:positionV>
            <wp:extent cx="5672787" cy="1360800"/>
            <wp:effectExtent l="0" t="0" r="4445" b="0"/>
            <wp:wrapSquare wrapText="bothSides"/>
            <wp:docPr id="30" name="Immagine 29">
              <a:extLst xmlns:a="http://schemas.openxmlformats.org/drawingml/2006/main">
                <a:ext uri="{FF2B5EF4-FFF2-40B4-BE49-F238E27FC236}">
                  <a16:creationId xmlns:a16="http://schemas.microsoft.com/office/drawing/2014/main" id="{3D21C9D9-F08F-4E5B-AD9A-3FC870F034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29">
                      <a:extLst>
                        <a:ext uri="{FF2B5EF4-FFF2-40B4-BE49-F238E27FC236}">
                          <a16:creationId xmlns:a16="http://schemas.microsoft.com/office/drawing/2014/main" id="{3D21C9D9-F08F-4E5B-AD9A-3FC870F03410}"/>
                        </a:ext>
                      </a:extLst>
                    </pic:cNvPr>
                    <pic:cNvPicPr>
                      <a:picLocks noChangeAspect="1"/>
                    </pic:cNvPicPr>
                  </pic:nvPicPr>
                  <pic:blipFill>
                    <a:blip r:embed="rId14"/>
                    <a:stretch>
                      <a:fillRect/>
                    </a:stretch>
                  </pic:blipFill>
                  <pic:spPr>
                    <a:xfrm>
                      <a:off x="0" y="0"/>
                      <a:ext cx="5672787" cy="1360800"/>
                    </a:xfrm>
                    <a:prstGeom prst="rect">
                      <a:avLst/>
                    </a:prstGeom>
                  </pic:spPr>
                </pic:pic>
              </a:graphicData>
            </a:graphic>
            <wp14:sizeRelH relativeFrom="margin">
              <wp14:pctWidth>0</wp14:pctWidth>
            </wp14:sizeRelH>
            <wp14:sizeRelV relativeFrom="margin">
              <wp14:pctHeight>0</wp14:pctHeight>
            </wp14:sizeRelV>
          </wp:anchor>
        </w:drawing>
      </w:r>
      <w:r w:rsidR="009F2E1D" w:rsidRPr="009F2E1D">
        <w:rPr>
          <w:lang w:val="en-GB"/>
        </w:rPr>
        <w:t xml:space="preserve">For the MYB tests, </w:t>
      </w:r>
      <w:r w:rsidR="009F2E1D">
        <w:rPr>
          <w:lang w:val="en-GB"/>
        </w:rPr>
        <w:t xml:space="preserve">the </w:t>
      </w:r>
      <w:r w:rsidR="009F2E1D" w:rsidRPr="009F2E1D">
        <w:rPr>
          <w:lang w:val="en-GB"/>
        </w:rPr>
        <w:t xml:space="preserve">previously selected </w:t>
      </w:r>
      <w:r w:rsidR="009F2E1D">
        <w:rPr>
          <w:lang w:val="en-GB"/>
        </w:rPr>
        <w:t xml:space="preserve">and maintained </w:t>
      </w:r>
      <w:r w:rsidR="009F2E1D" w:rsidRPr="009F2E1D">
        <w:rPr>
          <w:lang w:val="en-GB"/>
        </w:rPr>
        <w:t>inocu</w:t>
      </w:r>
      <w:r w:rsidR="009F2E1D">
        <w:rPr>
          <w:lang w:val="en-GB"/>
        </w:rPr>
        <w:t>la</w:t>
      </w:r>
      <w:r w:rsidR="009F2E1D" w:rsidRPr="009F2E1D">
        <w:rPr>
          <w:lang w:val="en-GB"/>
        </w:rPr>
        <w:t xml:space="preserve"> (</w:t>
      </w:r>
      <w:r w:rsidR="009F2E1D">
        <w:rPr>
          <w:lang w:val="en-GB"/>
        </w:rPr>
        <w:t xml:space="preserve">see </w:t>
      </w:r>
      <w:r w:rsidR="009F2E1D" w:rsidRPr="009F2E1D">
        <w:rPr>
          <w:lang w:val="en-GB"/>
        </w:rPr>
        <w:t xml:space="preserve">section 3.1) (i.e., WK and SFB) were tested separately and together to </w:t>
      </w:r>
      <w:r w:rsidR="009F2E1D">
        <w:rPr>
          <w:lang w:val="en-GB"/>
        </w:rPr>
        <w:t>assess the</w:t>
      </w:r>
      <w:r w:rsidR="009F2E1D" w:rsidRPr="009F2E1D">
        <w:rPr>
          <w:lang w:val="en-GB"/>
        </w:rPr>
        <w:t xml:space="preserve"> effect</w:t>
      </w:r>
      <w:r w:rsidR="009F2E1D">
        <w:rPr>
          <w:lang w:val="en-GB"/>
        </w:rPr>
        <w:t>s</w:t>
      </w:r>
      <w:r w:rsidR="009F2E1D" w:rsidRPr="009F2E1D">
        <w:rPr>
          <w:lang w:val="en-GB"/>
        </w:rPr>
        <w:t xml:space="preserve"> of a mixed inoculum</w:t>
      </w:r>
      <w:r w:rsidR="009F2E1D">
        <w:rPr>
          <w:lang w:val="en-GB"/>
        </w:rPr>
        <w:t xml:space="preserve"> (WK+SFB)</w:t>
      </w:r>
      <w:r w:rsidR="009F2E1D" w:rsidRPr="009F2E1D">
        <w:rPr>
          <w:lang w:val="en-GB"/>
        </w:rPr>
        <w:t xml:space="preserve">. Three cycles were carried out to adapt each inoculum to the alkali-treated substrate. </w:t>
      </w:r>
      <w:r w:rsidR="00BD6003" w:rsidRPr="000065AF">
        <w:t xml:space="preserve">Gas evolution in anaerobic fermentative systems is a key </w:t>
      </w:r>
      <w:r w:rsidR="00BD6003" w:rsidRPr="000065AF">
        <w:rPr>
          <w:i/>
          <w:iCs/>
        </w:rPr>
        <w:t>probe parameter</w:t>
      </w:r>
      <w:r w:rsidR="00BD6003" w:rsidRPr="000065AF">
        <w:t xml:space="preserve"> which can be used to infer the growth dynamics of mixed cultures, particularly at the early development stage</w:t>
      </w:r>
      <w:r w:rsidR="00BD6003">
        <w:t xml:space="preserve"> for </w:t>
      </w:r>
      <w:r w:rsidR="00B651B0">
        <w:t>formulating inocula</w:t>
      </w:r>
      <w:r w:rsidR="00BD6003" w:rsidRPr="000065AF">
        <w:t xml:space="preserve">. </w:t>
      </w:r>
      <w:r w:rsidR="00404F85" w:rsidRPr="000065AF">
        <w:t xml:space="preserve">Throughout the adaptation cycles, it </w:t>
      </w:r>
      <w:r w:rsidR="00404F85">
        <w:t>was</w:t>
      </w:r>
      <w:r w:rsidR="00404F85" w:rsidRPr="000065AF">
        <w:t xml:space="preserve"> observed</w:t>
      </w:r>
      <w:r w:rsidR="00404F85">
        <w:t xml:space="preserve"> that</w:t>
      </w:r>
      <w:r w:rsidR="00404F85" w:rsidRPr="000065AF">
        <w:t xml:space="preserve"> the lag phase for gas production progressively decreases for all the tested inocula</w:t>
      </w:r>
      <w:r w:rsidR="008504AA">
        <w:t xml:space="preserve"> (Figure 3)</w:t>
      </w:r>
      <w:r w:rsidR="00404F85" w:rsidRPr="000065AF">
        <w:t xml:space="preserve">. </w:t>
      </w:r>
      <w:r w:rsidR="00404F85" w:rsidRPr="00E8777D">
        <w:t>Similarly, the accumulated gas production also increase</w:t>
      </w:r>
      <w:r w:rsidR="00404F85">
        <w:t>d</w:t>
      </w:r>
      <w:r w:rsidR="00404F85" w:rsidRPr="00E8777D">
        <w:t xml:space="preserve"> </w:t>
      </w:r>
      <w:r w:rsidR="00404F85">
        <w:t>from the first cycle to the second, while the third cycle resulted in lower yields for the WK and the mixed inoculum (WK+SFB). For the SFB, gas production further increased in the third cycle. This latter fact could be due to the refrigerated storage lapse between the second and third cycle, which was longer than the first one. Since WK and WK+SFB also contain a large proportion of yeasts during storage, the community composition could have been modified and the effects were reflected as lower gas production.</w:t>
      </w:r>
    </w:p>
    <w:p w14:paraId="086B543D" w14:textId="77777777" w:rsidR="005B1EB3" w:rsidRDefault="005B1EB3" w:rsidP="0011617C">
      <w:pPr>
        <w:pStyle w:val="CETBodytext"/>
        <w:rPr>
          <w:i/>
          <w:iCs/>
        </w:rPr>
      </w:pPr>
    </w:p>
    <w:p w14:paraId="45AD22B9" w14:textId="5B4F332E" w:rsidR="00074B41" w:rsidRPr="0011617C" w:rsidRDefault="00074B41" w:rsidP="0011617C">
      <w:pPr>
        <w:pStyle w:val="CETBodytext"/>
      </w:pPr>
      <w:r w:rsidRPr="0011617C">
        <w:rPr>
          <w:i/>
          <w:iCs/>
        </w:rPr>
        <w:t xml:space="preserve">Figure </w:t>
      </w:r>
      <w:r w:rsidR="008504AA" w:rsidRPr="0011617C">
        <w:rPr>
          <w:i/>
          <w:iCs/>
        </w:rPr>
        <w:t>3</w:t>
      </w:r>
      <w:r w:rsidRPr="0011617C">
        <w:rPr>
          <w:i/>
          <w:iCs/>
        </w:rPr>
        <w:t>. Gas evolution and composition during the three adaption cycles for a) WK; b) SFB; and c) WK+SFB</w:t>
      </w:r>
      <w:r>
        <w:t>.</w:t>
      </w:r>
    </w:p>
    <w:p w14:paraId="1B8A3543" w14:textId="77777777" w:rsidR="0011617C" w:rsidRDefault="0011617C" w:rsidP="00D731BE">
      <w:pPr>
        <w:pStyle w:val="CETBodytext"/>
      </w:pPr>
    </w:p>
    <w:p w14:paraId="21FABA70" w14:textId="5A0561EA" w:rsidR="00F166AF" w:rsidRPr="00074B41" w:rsidRDefault="008A3417" w:rsidP="00D731BE">
      <w:pPr>
        <w:pStyle w:val="CETBodytext"/>
      </w:pPr>
      <w:r>
        <w:t>T</w:t>
      </w:r>
      <w:r w:rsidR="00BD6003">
        <w:t xml:space="preserve">he SFB inoculum </w:t>
      </w:r>
      <w:r>
        <w:t>was able to</w:t>
      </w:r>
      <w:r w:rsidR="00BD6003">
        <w:t xml:space="preserve"> maintain (and progressively increase) gas production capabilities</w:t>
      </w:r>
      <w:r w:rsidR="00AB0CF4">
        <w:t>.</w:t>
      </w:r>
      <w:r>
        <w:t xml:space="preserve"> </w:t>
      </w:r>
      <w:r w:rsidR="00AB0CF4">
        <w:t>T</w:t>
      </w:r>
      <w:r>
        <w:t xml:space="preserve">hese gas production curves </w:t>
      </w:r>
      <w:r w:rsidR="00AB0CF4">
        <w:t>suggest</w:t>
      </w:r>
      <w:r w:rsidR="00B651B0">
        <w:t>ed</w:t>
      </w:r>
      <w:r w:rsidR="00AB0CF4">
        <w:t xml:space="preserve"> the presence of</w:t>
      </w:r>
      <w:r w:rsidRPr="00E8777D">
        <w:t xml:space="preserve"> a well-</w:t>
      </w:r>
      <w:r>
        <w:t>con</w:t>
      </w:r>
      <w:r w:rsidRPr="00E8777D">
        <w:t xml:space="preserve">formed fermentative microbial community, </w:t>
      </w:r>
      <w:r w:rsidR="00AB0CF4" w:rsidRPr="00AB0CF4">
        <w:t xml:space="preserve">showing </w:t>
      </w:r>
      <w:r w:rsidRPr="00E8777D">
        <w:t xml:space="preserve">latent, exponential production, and </w:t>
      </w:r>
      <w:r w:rsidR="00B651B0" w:rsidRPr="00E8777D">
        <w:t>final stationary phase</w:t>
      </w:r>
      <w:r w:rsidR="00B651B0">
        <w:t>s</w:t>
      </w:r>
      <w:r w:rsidR="00BD6003">
        <w:t>.</w:t>
      </w:r>
      <w:r>
        <w:t xml:space="preserve"> </w:t>
      </w:r>
      <w:r w:rsidRPr="00E8777D">
        <w:t>For the WK, well defined gas production curves were obtained during the first</w:t>
      </w:r>
      <w:r>
        <w:t xml:space="preserve"> and third</w:t>
      </w:r>
      <w:r w:rsidRPr="00E8777D">
        <w:t xml:space="preserve"> cycles; while in the </w:t>
      </w:r>
      <w:r>
        <w:t>second t</w:t>
      </w:r>
      <w:r w:rsidRPr="00E8777D">
        <w:t xml:space="preserve">he exponential phase </w:t>
      </w:r>
      <w:r>
        <w:t>was</w:t>
      </w:r>
      <w:r w:rsidRPr="00E8777D">
        <w:t xml:space="preserve"> not well defined</w:t>
      </w:r>
      <w:r>
        <w:t>. This behavior is typically associated</w:t>
      </w:r>
      <w:r w:rsidRPr="00E8777D">
        <w:t xml:space="preserve"> </w:t>
      </w:r>
      <w:r>
        <w:t>to</w:t>
      </w:r>
      <w:r w:rsidRPr="00E8777D">
        <w:t xml:space="preserve"> configurational changes within microbial communit</w:t>
      </w:r>
      <w:r>
        <w:t>ies</w:t>
      </w:r>
      <w:r w:rsidRPr="00E8777D">
        <w:t xml:space="preserve"> (either to adapt </w:t>
      </w:r>
      <w:r>
        <w:t>its</w:t>
      </w:r>
      <w:r w:rsidRPr="00E8777D">
        <w:t xml:space="preserve"> hydrolytic capacities </w:t>
      </w:r>
      <w:r>
        <w:t>maintaining the populations abundance or to change the relative abundance of microbial groups within the consortia</w:t>
      </w:r>
      <w:r w:rsidRPr="00E8777D">
        <w:t>).</w:t>
      </w:r>
      <w:r w:rsidR="008B63E7">
        <w:t xml:space="preserve"> </w:t>
      </w:r>
      <w:r w:rsidR="00187446">
        <w:t>The combined inoculum (WK+SFB)</w:t>
      </w:r>
      <w:r w:rsidR="001227BF">
        <w:t xml:space="preserve"> </w:t>
      </w:r>
      <w:r w:rsidR="00187446" w:rsidRPr="00187446">
        <w:t xml:space="preserve">showed </w:t>
      </w:r>
      <w:r w:rsidR="001227BF">
        <w:t xml:space="preserve">gas evolution </w:t>
      </w:r>
      <w:r w:rsidR="00187446" w:rsidRPr="00187446">
        <w:t>curves with less pronounced exponential phases, probably due to the compatibility process of the two mixed consorti</w:t>
      </w:r>
      <w:r w:rsidR="001227BF">
        <w:t>a</w:t>
      </w:r>
      <w:r w:rsidR="00187446" w:rsidRPr="00187446">
        <w:t>.</w:t>
      </w:r>
      <w:r w:rsidR="00B611A9" w:rsidRPr="00B611A9">
        <w:t xml:space="preserve"> After the third adaptation cycle</w:t>
      </w:r>
      <w:r w:rsidR="00B611A9">
        <w:t xml:space="preserve"> (Table </w:t>
      </w:r>
      <w:r w:rsidR="00404F85">
        <w:t>2</w:t>
      </w:r>
      <w:r w:rsidR="00B611A9">
        <w:t>)</w:t>
      </w:r>
      <w:r w:rsidR="00B611A9" w:rsidRPr="00B611A9">
        <w:t xml:space="preserve">, the SFB system achieved the higher gas production (251.50 mL), WK achieved </w:t>
      </w:r>
      <w:r w:rsidR="00B611A9" w:rsidRPr="00B611A9">
        <w:lastRenderedPageBreak/>
        <w:t xml:space="preserve">(114.83 mL), while the mixed inoculum resulted in an intermediate value between them (170.01 mL). The composition of the gas phase in SFB systems reached 33.40 % </w:t>
      </w:r>
      <w:r w:rsidR="00B611A9" w:rsidRPr="00B611A9">
        <w:rPr>
          <w:i/>
          <w:iCs/>
        </w:rPr>
        <w:t>v/v</w:t>
      </w:r>
      <w:r w:rsidR="00B611A9">
        <w:t xml:space="preserve"> </w:t>
      </w:r>
      <w:r w:rsidR="00B611A9" w:rsidRPr="00B611A9">
        <w:t xml:space="preserve">of </w:t>
      </w:r>
      <w:r w:rsidR="00B611A9">
        <w:t>H</w:t>
      </w:r>
      <w:r w:rsidR="00B611A9" w:rsidRPr="00B611A9">
        <w:rPr>
          <w:vertAlign w:val="subscript"/>
        </w:rPr>
        <w:t>2</w:t>
      </w:r>
      <w:r w:rsidR="00B611A9" w:rsidRPr="00B611A9">
        <w:t xml:space="preserve">, while </w:t>
      </w:r>
      <w:r w:rsidR="00B611A9">
        <w:t>the</w:t>
      </w:r>
      <w:r w:rsidR="00B611A9" w:rsidRPr="00B611A9">
        <w:t xml:space="preserve"> WK and WK+SFB systems was higher than 95</w:t>
      </w:r>
      <w:r w:rsidR="00B651B0">
        <w:t>.00</w:t>
      </w:r>
      <w:r w:rsidR="00B611A9">
        <w:t xml:space="preserve"> </w:t>
      </w:r>
      <w:r w:rsidR="00B611A9" w:rsidRPr="00B611A9">
        <w:t xml:space="preserve">% </w:t>
      </w:r>
      <w:r w:rsidR="00B611A9" w:rsidRPr="00B611A9">
        <w:rPr>
          <w:i/>
          <w:iCs/>
        </w:rPr>
        <w:t>v/v</w:t>
      </w:r>
      <w:r w:rsidR="00B611A9" w:rsidRPr="00B611A9">
        <w:t xml:space="preserve">. Hence, the higher </w:t>
      </w:r>
      <w:r w:rsidR="008B63E7">
        <w:t xml:space="preserve">hydrogen </w:t>
      </w:r>
      <w:r w:rsidR="00B611A9" w:rsidRPr="00B611A9">
        <w:t>yields (8.09 L</w:t>
      </w:r>
      <w:r w:rsidR="00B611A9" w:rsidRPr="00B611A9">
        <w:rPr>
          <w:vertAlign w:val="subscript"/>
        </w:rPr>
        <w:t>H2</w:t>
      </w:r>
      <w:r w:rsidR="00B611A9" w:rsidRPr="00B611A9">
        <w:t>/</w:t>
      </w:r>
      <w:r w:rsidR="00B611A9">
        <w:t>k</w:t>
      </w:r>
      <w:r w:rsidR="00B611A9" w:rsidRPr="00B611A9">
        <w:t>g</w:t>
      </w:r>
      <w:r w:rsidR="00B611A9" w:rsidRPr="00B611A9">
        <w:rPr>
          <w:vertAlign w:val="subscript"/>
        </w:rPr>
        <w:t>TS0</w:t>
      </w:r>
      <w:r w:rsidR="00B611A9" w:rsidRPr="00B611A9">
        <w:t>) were attained for the mixed inocula</w:t>
      </w:r>
      <w:r w:rsidR="00B611A9">
        <w:t>.</w:t>
      </w:r>
      <w:r w:rsidR="008B63E7">
        <w:t xml:space="preserve"> An initial </w:t>
      </w:r>
      <w:r w:rsidR="00DB79E5" w:rsidRPr="00DB79E5">
        <w:t>maltose concentration of 1.43</w:t>
      </w:r>
      <w:r w:rsidR="00207730">
        <w:t xml:space="preserve"> </w:t>
      </w:r>
      <w:r w:rsidR="00207730" w:rsidRPr="00207730">
        <w:rPr>
          <w:i/>
          <w:iCs/>
        </w:rPr>
        <w:t>w/v</w:t>
      </w:r>
      <w:r w:rsidR="00DB79E5" w:rsidRPr="00DB79E5">
        <w:t xml:space="preserve"> </w:t>
      </w:r>
      <w:r w:rsidR="00207730">
        <w:t xml:space="preserve">% </w:t>
      </w:r>
      <w:r w:rsidR="00DB79E5" w:rsidRPr="00DB79E5">
        <w:t>was measured</w:t>
      </w:r>
      <w:r w:rsidR="008B63E7">
        <w:t xml:space="preserve">, and in </w:t>
      </w:r>
      <w:r w:rsidR="00DB79E5" w:rsidRPr="00DB79E5">
        <w:t>the final MYB broths</w:t>
      </w:r>
      <w:r w:rsidR="00207730">
        <w:t>,</w:t>
      </w:r>
      <w:r w:rsidR="00DB79E5" w:rsidRPr="00DB79E5">
        <w:t xml:space="preserve"> the maltose </w:t>
      </w:r>
      <w:r w:rsidR="00207730" w:rsidRPr="00DB79E5">
        <w:t>concentration</w:t>
      </w:r>
      <w:r w:rsidR="00DB79E5" w:rsidRPr="00DB79E5">
        <w:t xml:space="preserve"> was slightly higher for the WK system (+ 7 %), 250 % higher for the SFB and almost 300 </w:t>
      </w:r>
      <w:r w:rsidR="00207730">
        <w:t>% more</w:t>
      </w:r>
      <w:r w:rsidR="00DB79E5" w:rsidRPr="00DB79E5">
        <w:t xml:space="preserve"> for the WK+SFB system. This</w:t>
      </w:r>
      <w:r w:rsidR="008B63E7">
        <w:t xml:space="preserve"> fact might indicate</w:t>
      </w:r>
      <w:r w:rsidR="00DB79E5" w:rsidRPr="00DB79E5">
        <w:t xml:space="preserve"> that the mixed system presented enhanced hydrolytic </w:t>
      </w:r>
      <w:r w:rsidR="008B63E7" w:rsidRPr="00DB79E5">
        <w:t>capabi</w:t>
      </w:r>
      <w:r w:rsidR="008B63E7">
        <w:t>lities</w:t>
      </w:r>
      <w:r w:rsidR="00DB79E5" w:rsidRPr="00DB79E5">
        <w:t xml:space="preserve"> compared to the </w:t>
      </w:r>
      <w:r w:rsidR="008B63E7">
        <w:t>independent</w:t>
      </w:r>
      <w:r w:rsidR="00DB79E5" w:rsidRPr="00DB79E5">
        <w:t xml:space="preserve"> inocula, </w:t>
      </w:r>
      <w:r w:rsidR="008B63E7">
        <w:t>based on the further degradation of</w:t>
      </w:r>
      <w:r w:rsidR="00DB79E5" w:rsidRPr="00DB79E5">
        <w:t xml:space="preserve"> the</w:t>
      </w:r>
      <w:r w:rsidR="00207730">
        <w:t xml:space="preserve"> (partially)</w:t>
      </w:r>
      <w:r w:rsidR="00DB79E5" w:rsidRPr="00DB79E5">
        <w:t xml:space="preserve"> basic-hydrolyzed starch</w:t>
      </w:r>
      <w:r w:rsidR="00207730">
        <w:t xml:space="preserve"> residues</w:t>
      </w:r>
      <w:r w:rsidR="00DB79E5" w:rsidRPr="00DB79E5">
        <w:t xml:space="preserve"> into maltose. </w:t>
      </w:r>
      <w:r w:rsidR="0010027F" w:rsidRPr="0010027F">
        <w:rPr>
          <w:lang w:val="en-GB"/>
        </w:rPr>
        <w:t>Significant differences were also encountered in the liquid metabolic products for each system</w:t>
      </w:r>
      <w:r w:rsidR="0010027F">
        <w:rPr>
          <w:lang w:val="en-GB"/>
        </w:rPr>
        <w:t xml:space="preserve"> (Table </w:t>
      </w:r>
      <w:r w:rsidR="002D16F5">
        <w:rPr>
          <w:lang w:val="en-GB"/>
        </w:rPr>
        <w:t>2</w:t>
      </w:r>
      <w:r w:rsidR="0010027F">
        <w:rPr>
          <w:lang w:val="en-GB"/>
        </w:rPr>
        <w:t>)</w:t>
      </w:r>
      <w:r w:rsidR="0010027F" w:rsidRPr="0010027F">
        <w:rPr>
          <w:lang w:val="en-GB"/>
        </w:rPr>
        <w:t>. After the third adaptation cycle, for the WK system, mainly lactic</w:t>
      </w:r>
      <w:r w:rsidR="00BD6003">
        <w:rPr>
          <w:lang w:val="en-GB"/>
        </w:rPr>
        <w:t xml:space="preserve"> acid</w:t>
      </w:r>
      <w:r w:rsidR="0010027F" w:rsidRPr="0010027F">
        <w:rPr>
          <w:lang w:val="en-GB"/>
        </w:rPr>
        <w:t xml:space="preserve"> and ethanol were detected, while for the SFB the predominant titters correspond to lactic acid (twice as much as the WK) and ethanol (almost 8-fold increase compared to WK). Interestingly, the combined system exhibited the higher metabolic activity, presenting similar titters of lactic acid </w:t>
      </w:r>
      <w:r w:rsidR="0010027F">
        <w:rPr>
          <w:lang w:val="en-GB"/>
        </w:rPr>
        <w:t>compared to the SFB, higher acetic acid compared to the WK (27 % increase) and the greatest ethanol production, achievin</w:t>
      </w:r>
      <w:r w:rsidR="0010027F" w:rsidRPr="009A2842">
        <w:rPr>
          <w:lang w:val="en-GB"/>
        </w:rPr>
        <w:t xml:space="preserve">g </w:t>
      </w:r>
      <w:r w:rsidR="009A2842" w:rsidRPr="009A2842">
        <w:rPr>
          <w:lang w:val="en-GB"/>
        </w:rPr>
        <w:t>2.45 g/L</w:t>
      </w:r>
      <w:r w:rsidR="0010027F" w:rsidRPr="009A2842">
        <w:rPr>
          <w:lang w:val="en-GB"/>
        </w:rPr>
        <w:t>.</w:t>
      </w:r>
    </w:p>
    <w:p w14:paraId="5C18161C" w14:textId="47807303" w:rsidR="003D7185" w:rsidRPr="00D65F47" w:rsidRDefault="00B24076" w:rsidP="009F2E1D">
      <w:pPr>
        <w:pStyle w:val="CETCaption"/>
        <w:rPr>
          <w:color w:val="FF0000"/>
        </w:rPr>
      </w:pPr>
      <w:r w:rsidRPr="00404F85">
        <w:t>Table</w:t>
      </w:r>
      <w:r w:rsidR="00404F85" w:rsidRPr="00404F85">
        <w:t xml:space="preserve"> 2</w:t>
      </w:r>
      <w:r w:rsidRPr="004B5C11">
        <w:t xml:space="preserve">. </w:t>
      </w:r>
      <w:r w:rsidR="004B5C11" w:rsidRPr="004B5C11">
        <w:t>Gas and liquid phase products of the three formulated inocula (III cycle MYB)</w:t>
      </w:r>
      <w:r w:rsidR="00406FA9" w:rsidRPr="004B5C11">
        <w:t>.</w:t>
      </w:r>
    </w:p>
    <w:tbl>
      <w:tblPr>
        <w:tblW w:w="8712"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850"/>
        <w:gridCol w:w="1250"/>
        <w:gridCol w:w="964"/>
        <w:gridCol w:w="820"/>
        <w:gridCol w:w="867"/>
        <w:gridCol w:w="771"/>
        <w:gridCol w:w="684"/>
        <w:gridCol w:w="771"/>
        <w:gridCol w:w="964"/>
        <w:gridCol w:w="771"/>
      </w:tblGrid>
      <w:tr w:rsidR="00594857" w14:paraId="71089FB3" w14:textId="77777777" w:rsidTr="00F52D84">
        <w:trPr>
          <w:trHeight w:val="250"/>
        </w:trPr>
        <w:tc>
          <w:tcPr>
            <w:tcW w:w="851" w:type="dxa"/>
            <w:tcBorders>
              <w:top w:val="single" w:sz="12" w:space="0" w:color="008000"/>
              <w:left w:val="nil"/>
              <w:bottom w:val="single" w:sz="6" w:space="0" w:color="008000"/>
              <w:right w:val="nil"/>
            </w:tcBorders>
            <w:shd w:val="clear" w:color="auto" w:fill="FFFFFF"/>
            <w:hideMark/>
          </w:tcPr>
          <w:p w14:paraId="1CBDA892" w14:textId="77777777" w:rsidR="007E4469" w:rsidRDefault="007E4469" w:rsidP="005E6834">
            <w:pPr>
              <w:jc w:val="left"/>
              <w:rPr>
                <w:lang w:val="it-IT"/>
              </w:rPr>
            </w:pPr>
            <w:r>
              <w:rPr>
                <w:lang w:val="it-IT"/>
              </w:rPr>
              <w:t>Inocula</w:t>
            </w:r>
          </w:p>
        </w:tc>
        <w:tc>
          <w:tcPr>
            <w:tcW w:w="1250" w:type="dxa"/>
            <w:tcBorders>
              <w:top w:val="single" w:sz="12" w:space="0" w:color="008000"/>
              <w:left w:val="nil"/>
              <w:bottom w:val="single" w:sz="6" w:space="0" w:color="008000"/>
              <w:right w:val="nil"/>
            </w:tcBorders>
            <w:shd w:val="clear" w:color="auto" w:fill="FFFFFF"/>
            <w:hideMark/>
          </w:tcPr>
          <w:p w14:paraId="32F8AE93" w14:textId="77777777" w:rsidR="007E4469" w:rsidRDefault="007E4469" w:rsidP="005E6834">
            <w:pPr>
              <w:jc w:val="center"/>
              <w:rPr>
                <w:lang w:val="it-IT"/>
              </w:rPr>
            </w:pPr>
            <w:r>
              <w:rPr>
                <w:lang w:val="it-IT"/>
              </w:rPr>
              <w:t>V</w:t>
            </w:r>
            <w:r>
              <w:rPr>
                <w:vertAlign w:val="subscript"/>
                <w:lang w:val="it-IT"/>
              </w:rPr>
              <w:t>cum</w:t>
            </w:r>
            <w:r>
              <w:rPr>
                <w:lang w:val="it-IT"/>
              </w:rPr>
              <w:t xml:space="preserve"> </w:t>
            </w:r>
          </w:p>
        </w:tc>
        <w:tc>
          <w:tcPr>
            <w:tcW w:w="0" w:type="auto"/>
            <w:tcBorders>
              <w:top w:val="single" w:sz="12" w:space="0" w:color="008000"/>
              <w:left w:val="nil"/>
              <w:bottom w:val="single" w:sz="6" w:space="0" w:color="008000"/>
              <w:right w:val="nil"/>
            </w:tcBorders>
            <w:shd w:val="clear" w:color="auto" w:fill="FFFFFF"/>
            <w:hideMark/>
          </w:tcPr>
          <w:p w14:paraId="094E0676" w14:textId="77777777" w:rsidR="007E4469" w:rsidRDefault="007E4469" w:rsidP="005E6834">
            <w:pPr>
              <w:jc w:val="center"/>
              <w:rPr>
                <w:lang w:val="it-IT"/>
              </w:rPr>
            </w:pPr>
            <w:r>
              <w:rPr>
                <w:lang w:val="it-IT"/>
              </w:rPr>
              <w:t>% H</w:t>
            </w:r>
            <w:r>
              <w:rPr>
                <w:vertAlign w:val="subscript"/>
                <w:lang w:val="it-IT"/>
              </w:rPr>
              <w:t>2</w:t>
            </w:r>
            <w:r>
              <w:rPr>
                <w:lang w:val="it-IT"/>
              </w:rPr>
              <w:t xml:space="preserve"> </w:t>
            </w:r>
          </w:p>
        </w:tc>
        <w:tc>
          <w:tcPr>
            <w:tcW w:w="0" w:type="auto"/>
            <w:tcBorders>
              <w:top w:val="single" w:sz="12" w:space="0" w:color="008000"/>
              <w:left w:val="nil"/>
              <w:bottom w:val="single" w:sz="6" w:space="0" w:color="008000"/>
              <w:right w:val="nil"/>
            </w:tcBorders>
            <w:shd w:val="clear" w:color="auto" w:fill="FFFFFF"/>
            <w:hideMark/>
          </w:tcPr>
          <w:p w14:paraId="115A942B" w14:textId="77777777" w:rsidR="007E4469" w:rsidRDefault="007E4469" w:rsidP="005E6834">
            <w:pPr>
              <w:jc w:val="center"/>
              <w:rPr>
                <w:lang w:val="it-IT"/>
              </w:rPr>
            </w:pPr>
            <w:r>
              <w:rPr>
                <w:lang w:val="it-IT"/>
              </w:rPr>
              <w:t>Y</w:t>
            </w:r>
            <w:r w:rsidRPr="00156556">
              <w:rPr>
                <w:vertAlign w:val="subscript"/>
                <w:lang w:val="it-IT"/>
              </w:rPr>
              <w:t>P/S</w:t>
            </w:r>
            <w:r>
              <w:rPr>
                <w:sz w:val="16"/>
                <w:szCs w:val="18"/>
                <w:vertAlign w:val="subscript"/>
                <w:lang w:val="it-IT"/>
              </w:rPr>
              <w:t xml:space="preserve"> </w:t>
            </w:r>
          </w:p>
        </w:tc>
        <w:tc>
          <w:tcPr>
            <w:tcW w:w="0" w:type="auto"/>
            <w:tcBorders>
              <w:top w:val="single" w:sz="12" w:space="0" w:color="008000"/>
              <w:left w:val="nil"/>
              <w:bottom w:val="single" w:sz="6" w:space="0" w:color="008000"/>
              <w:right w:val="nil"/>
            </w:tcBorders>
            <w:shd w:val="clear" w:color="auto" w:fill="FFFFFF"/>
            <w:hideMark/>
          </w:tcPr>
          <w:p w14:paraId="5AF2EB0B" w14:textId="77777777" w:rsidR="007E4469" w:rsidRDefault="007E4469" w:rsidP="005E6834">
            <w:pPr>
              <w:jc w:val="center"/>
              <w:rPr>
                <w:lang w:val="it-IT"/>
              </w:rPr>
            </w:pPr>
            <w:r>
              <w:rPr>
                <w:lang w:val="it-IT"/>
              </w:rPr>
              <w:t xml:space="preserve">ΔTS </w:t>
            </w:r>
          </w:p>
        </w:tc>
        <w:tc>
          <w:tcPr>
            <w:tcW w:w="0" w:type="auto"/>
            <w:tcBorders>
              <w:top w:val="single" w:sz="12" w:space="0" w:color="008000"/>
              <w:left w:val="nil"/>
              <w:bottom w:val="single" w:sz="6" w:space="0" w:color="008000"/>
              <w:right w:val="nil"/>
            </w:tcBorders>
            <w:shd w:val="clear" w:color="auto" w:fill="FFFFFF"/>
            <w:hideMark/>
          </w:tcPr>
          <w:p w14:paraId="342FF264" w14:textId="77777777" w:rsidR="007E4469" w:rsidRDefault="007E4469" w:rsidP="005E6834">
            <w:pPr>
              <w:jc w:val="center"/>
              <w:rPr>
                <w:lang w:val="it-IT"/>
              </w:rPr>
            </w:pPr>
            <w:r>
              <w:rPr>
                <w:lang w:val="it-IT"/>
              </w:rPr>
              <w:t xml:space="preserve">λ </w:t>
            </w:r>
          </w:p>
        </w:tc>
        <w:tc>
          <w:tcPr>
            <w:tcW w:w="0" w:type="auto"/>
            <w:tcBorders>
              <w:top w:val="single" w:sz="12" w:space="0" w:color="008000"/>
              <w:left w:val="nil"/>
              <w:bottom w:val="single" w:sz="6" w:space="0" w:color="008000"/>
              <w:right w:val="nil"/>
            </w:tcBorders>
            <w:shd w:val="clear" w:color="auto" w:fill="FFFFFF"/>
            <w:hideMark/>
          </w:tcPr>
          <w:p w14:paraId="2E72C7A9" w14:textId="77777777" w:rsidR="007E4469" w:rsidRDefault="007E4469" w:rsidP="005E6834">
            <w:pPr>
              <w:jc w:val="center"/>
              <w:rPr>
                <w:lang w:val="it-IT"/>
              </w:rPr>
            </w:pPr>
            <w:r>
              <w:rPr>
                <w:lang w:val="it-IT"/>
              </w:rPr>
              <w:t xml:space="preserve">Maltose </w:t>
            </w:r>
          </w:p>
        </w:tc>
        <w:tc>
          <w:tcPr>
            <w:tcW w:w="0" w:type="auto"/>
            <w:tcBorders>
              <w:top w:val="single" w:sz="12" w:space="0" w:color="008000"/>
              <w:left w:val="nil"/>
              <w:bottom w:val="single" w:sz="6" w:space="0" w:color="008000"/>
              <w:right w:val="nil"/>
            </w:tcBorders>
            <w:shd w:val="clear" w:color="auto" w:fill="FFFFFF"/>
            <w:hideMark/>
          </w:tcPr>
          <w:p w14:paraId="0462765D" w14:textId="6EEAB84E" w:rsidR="007E4469" w:rsidRDefault="007E4469" w:rsidP="005E6834">
            <w:pPr>
              <w:jc w:val="center"/>
              <w:rPr>
                <w:lang w:val="it-IT"/>
              </w:rPr>
            </w:pPr>
            <w:r>
              <w:rPr>
                <w:lang w:val="it-IT"/>
              </w:rPr>
              <w:t>L</w:t>
            </w:r>
            <w:r w:rsidR="00F52D84">
              <w:rPr>
                <w:lang w:val="it-IT"/>
              </w:rPr>
              <w:t>A</w:t>
            </w:r>
            <w:r>
              <w:rPr>
                <w:lang w:val="it-IT"/>
              </w:rPr>
              <w:t xml:space="preserve"> </w:t>
            </w:r>
          </w:p>
        </w:tc>
        <w:tc>
          <w:tcPr>
            <w:tcW w:w="0" w:type="auto"/>
            <w:tcBorders>
              <w:top w:val="single" w:sz="12" w:space="0" w:color="008000"/>
              <w:left w:val="nil"/>
              <w:bottom w:val="single" w:sz="6" w:space="0" w:color="008000"/>
              <w:right w:val="nil"/>
            </w:tcBorders>
            <w:shd w:val="clear" w:color="auto" w:fill="FFFFFF"/>
            <w:hideMark/>
          </w:tcPr>
          <w:p w14:paraId="50638AB4" w14:textId="430BC285" w:rsidR="007E4469" w:rsidRDefault="007E4469" w:rsidP="005E6834">
            <w:pPr>
              <w:jc w:val="center"/>
              <w:rPr>
                <w:lang w:val="it-IT"/>
              </w:rPr>
            </w:pPr>
            <w:r>
              <w:rPr>
                <w:lang w:val="it-IT"/>
              </w:rPr>
              <w:t>A</w:t>
            </w:r>
            <w:r w:rsidR="00F52D84">
              <w:rPr>
                <w:lang w:val="it-IT"/>
              </w:rPr>
              <w:t>A</w:t>
            </w:r>
            <w:r>
              <w:rPr>
                <w:lang w:val="it-IT"/>
              </w:rPr>
              <w:t xml:space="preserve"> </w:t>
            </w:r>
          </w:p>
        </w:tc>
        <w:tc>
          <w:tcPr>
            <w:tcW w:w="0" w:type="auto"/>
            <w:tcBorders>
              <w:top w:val="single" w:sz="12" w:space="0" w:color="008000"/>
              <w:left w:val="nil"/>
              <w:bottom w:val="single" w:sz="6" w:space="0" w:color="008000"/>
              <w:right w:val="nil"/>
            </w:tcBorders>
            <w:shd w:val="clear" w:color="auto" w:fill="FFFFFF"/>
            <w:hideMark/>
          </w:tcPr>
          <w:p w14:paraId="15CCE8B8" w14:textId="35324D9F" w:rsidR="007E4469" w:rsidRDefault="007E4469" w:rsidP="005E6834">
            <w:pPr>
              <w:jc w:val="center"/>
              <w:rPr>
                <w:lang w:val="it-IT"/>
              </w:rPr>
            </w:pPr>
            <w:r>
              <w:rPr>
                <w:lang w:val="it-IT"/>
              </w:rPr>
              <w:t>Et</w:t>
            </w:r>
            <w:r w:rsidR="00F52D84">
              <w:rPr>
                <w:lang w:val="it-IT"/>
              </w:rPr>
              <w:t>OH</w:t>
            </w:r>
            <w:r>
              <w:rPr>
                <w:lang w:val="it-IT"/>
              </w:rPr>
              <w:t xml:space="preserve"> </w:t>
            </w:r>
          </w:p>
        </w:tc>
      </w:tr>
      <w:tr w:rsidR="00594857" w14:paraId="19496B6E" w14:textId="77777777" w:rsidTr="00F52D84">
        <w:trPr>
          <w:trHeight w:val="259"/>
        </w:trPr>
        <w:tc>
          <w:tcPr>
            <w:tcW w:w="851" w:type="dxa"/>
            <w:tcBorders>
              <w:top w:val="single" w:sz="12" w:space="0" w:color="008000"/>
              <w:left w:val="nil"/>
              <w:bottom w:val="single" w:sz="6" w:space="0" w:color="008000"/>
              <w:right w:val="nil"/>
            </w:tcBorders>
            <w:shd w:val="clear" w:color="auto" w:fill="FFFFFF"/>
          </w:tcPr>
          <w:p w14:paraId="72E39374" w14:textId="77777777" w:rsidR="007E4469" w:rsidRDefault="007E4469" w:rsidP="005E6834">
            <w:pPr>
              <w:jc w:val="left"/>
              <w:rPr>
                <w:lang w:val="it-IT"/>
              </w:rPr>
            </w:pPr>
          </w:p>
        </w:tc>
        <w:tc>
          <w:tcPr>
            <w:tcW w:w="1250" w:type="dxa"/>
            <w:tcBorders>
              <w:top w:val="single" w:sz="12" w:space="0" w:color="008000"/>
              <w:left w:val="nil"/>
              <w:bottom w:val="single" w:sz="6" w:space="0" w:color="008000"/>
              <w:right w:val="nil"/>
            </w:tcBorders>
            <w:shd w:val="clear" w:color="auto" w:fill="FFFFFF"/>
          </w:tcPr>
          <w:p w14:paraId="1F9CCC0B" w14:textId="77777777" w:rsidR="007E4469" w:rsidRPr="00695874" w:rsidRDefault="007E4469" w:rsidP="005E6834">
            <w:pPr>
              <w:jc w:val="center"/>
              <w:rPr>
                <w:sz w:val="16"/>
                <w:szCs w:val="16"/>
                <w:lang w:val="it-IT"/>
              </w:rPr>
            </w:pPr>
            <w:r w:rsidRPr="00695874">
              <w:rPr>
                <w:sz w:val="16"/>
                <w:szCs w:val="16"/>
                <w:lang w:val="it-IT"/>
              </w:rPr>
              <w:t>[mL]</w:t>
            </w:r>
          </w:p>
        </w:tc>
        <w:tc>
          <w:tcPr>
            <w:tcW w:w="0" w:type="auto"/>
            <w:tcBorders>
              <w:top w:val="single" w:sz="12" w:space="0" w:color="008000"/>
              <w:left w:val="nil"/>
              <w:bottom w:val="single" w:sz="6" w:space="0" w:color="008000"/>
              <w:right w:val="nil"/>
            </w:tcBorders>
            <w:shd w:val="clear" w:color="auto" w:fill="FFFFFF"/>
          </w:tcPr>
          <w:p w14:paraId="5D4C820F" w14:textId="77777777" w:rsidR="007E4469" w:rsidRPr="00695874" w:rsidRDefault="007E4469" w:rsidP="005E6834">
            <w:pPr>
              <w:jc w:val="center"/>
              <w:rPr>
                <w:sz w:val="16"/>
                <w:szCs w:val="16"/>
                <w:lang w:val="it-IT"/>
              </w:rPr>
            </w:pPr>
            <w:r w:rsidRPr="00695874">
              <w:rPr>
                <w:sz w:val="16"/>
                <w:szCs w:val="16"/>
                <w:lang w:val="it-IT"/>
              </w:rPr>
              <w:t>[</w:t>
            </w:r>
            <w:r w:rsidRPr="00695874">
              <w:rPr>
                <w:i/>
                <w:iCs/>
                <w:sz w:val="16"/>
                <w:szCs w:val="16"/>
                <w:lang w:val="it-IT"/>
              </w:rPr>
              <w:t>v/v</w:t>
            </w:r>
            <w:r w:rsidRPr="00695874">
              <w:rPr>
                <w:sz w:val="16"/>
                <w:szCs w:val="16"/>
                <w:lang w:val="it-IT"/>
              </w:rPr>
              <w:t>]</w:t>
            </w:r>
          </w:p>
        </w:tc>
        <w:tc>
          <w:tcPr>
            <w:tcW w:w="0" w:type="auto"/>
            <w:tcBorders>
              <w:top w:val="single" w:sz="12" w:space="0" w:color="008000"/>
              <w:left w:val="nil"/>
              <w:bottom w:val="single" w:sz="6" w:space="0" w:color="008000"/>
              <w:right w:val="nil"/>
            </w:tcBorders>
            <w:shd w:val="clear" w:color="auto" w:fill="FFFFFF"/>
          </w:tcPr>
          <w:p w14:paraId="5B265EE7" w14:textId="77777777" w:rsidR="007E4469" w:rsidRPr="00695874" w:rsidRDefault="007E4469" w:rsidP="005E6834">
            <w:pPr>
              <w:jc w:val="center"/>
              <w:rPr>
                <w:sz w:val="16"/>
                <w:szCs w:val="16"/>
                <w:lang w:val="it-IT"/>
              </w:rPr>
            </w:pPr>
            <w:r w:rsidRPr="00695874">
              <w:rPr>
                <w:sz w:val="16"/>
                <w:szCs w:val="16"/>
                <w:lang w:val="it-IT"/>
              </w:rPr>
              <w:t>[mL</w:t>
            </w:r>
            <w:r w:rsidRPr="00695874">
              <w:rPr>
                <w:sz w:val="16"/>
                <w:szCs w:val="16"/>
                <w:vertAlign w:val="subscript"/>
                <w:lang w:val="it-IT"/>
              </w:rPr>
              <w:t>H2</w:t>
            </w:r>
            <w:r w:rsidRPr="00695874">
              <w:rPr>
                <w:sz w:val="16"/>
                <w:szCs w:val="16"/>
                <w:lang w:val="it-IT"/>
              </w:rPr>
              <w:t>/g</w:t>
            </w:r>
            <w:r w:rsidRPr="00695874">
              <w:rPr>
                <w:sz w:val="16"/>
                <w:szCs w:val="16"/>
                <w:vertAlign w:val="subscript"/>
                <w:lang w:val="it-IT"/>
              </w:rPr>
              <w:t>TS0</w:t>
            </w:r>
            <w:r w:rsidRPr="00695874">
              <w:rPr>
                <w:sz w:val="16"/>
                <w:szCs w:val="16"/>
                <w:lang w:val="it-IT"/>
              </w:rPr>
              <w:t>]</w:t>
            </w:r>
          </w:p>
        </w:tc>
        <w:tc>
          <w:tcPr>
            <w:tcW w:w="0" w:type="auto"/>
            <w:tcBorders>
              <w:top w:val="single" w:sz="12" w:space="0" w:color="008000"/>
              <w:left w:val="nil"/>
              <w:bottom w:val="single" w:sz="6" w:space="0" w:color="008000"/>
              <w:right w:val="nil"/>
            </w:tcBorders>
            <w:shd w:val="clear" w:color="auto" w:fill="FFFFFF"/>
          </w:tcPr>
          <w:p w14:paraId="6A139B82" w14:textId="77777777" w:rsidR="007E4469" w:rsidRPr="00695874" w:rsidRDefault="007E4469" w:rsidP="005E6834">
            <w:pPr>
              <w:jc w:val="center"/>
              <w:rPr>
                <w:sz w:val="16"/>
                <w:szCs w:val="16"/>
                <w:lang w:val="it-IT"/>
              </w:rPr>
            </w:pPr>
            <w:r w:rsidRPr="00695874">
              <w:rPr>
                <w:sz w:val="16"/>
                <w:szCs w:val="16"/>
                <w:lang w:val="it-IT"/>
              </w:rPr>
              <w:t>[%]</w:t>
            </w:r>
          </w:p>
        </w:tc>
        <w:tc>
          <w:tcPr>
            <w:tcW w:w="0" w:type="auto"/>
            <w:tcBorders>
              <w:top w:val="single" w:sz="12" w:space="0" w:color="008000"/>
              <w:left w:val="nil"/>
              <w:bottom w:val="single" w:sz="6" w:space="0" w:color="008000"/>
              <w:right w:val="nil"/>
            </w:tcBorders>
            <w:shd w:val="clear" w:color="auto" w:fill="FFFFFF"/>
          </w:tcPr>
          <w:p w14:paraId="0D41B108" w14:textId="77777777" w:rsidR="007E4469" w:rsidRPr="00695874" w:rsidRDefault="007E4469" w:rsidP="005E6834">
            <w:pPr>
              <w:jc w:val="center"/>
              <w:rPr>
                <w:sz w:val="16"/>
                <w:szCs w:val="16"/>
                <w:lang w:val="it-IT"/>
              </w:rPr>
            </w:pPr>
            <w:r w:rsidRPr="00695874">
              <w:rPr>
                <w:sz w:val="16"/>
                <w:szCs w:val="16"/>
                <w:lang w:val="it-IT"/>
              </w:rPr>
              <w:t>[h]</w:t>
            </w:r>
          </w:p>
        </w:tc>
        <w:tc>
          <w:tcPr>
            <w:tcW w:w="0" w:type="auto"/>
            <w:tcBorders>
              <w:top w:val="single" w:sz="12" w:space="0" w:color="008000"/>
              <w:left w:val="nil"/>
              <w:bottom w:val="single" w:sz="6" w:space="0" w:color="008000"/>
              <w:right w:val="nil"/>
            </w:tcBorders>
            <w:shd w:val="clear" w:color="auto" w:fill="FFFFFF"/>
          </w:tcPr>
          <w:p w14:paraId="2C313B7A" w14:textId="77777777" w:rsidR="007E4469" w:rsidRPr="00695874" w:rsidRDefault="007E4469" w:rsidP="005E6834">
            <w:pPr>
              <w:jc w:val="center"/>
              <w:rPr>
                <w:sz w:val="16"/>
                <w:szCs w:val="16"/>
                <w:lang w:val="it-IT"/>
              </w:rPr>
            </w:pPr>
            <w:r w:rsidRPr="00695874">
              <w:rPr>
                <w:sz w:val="16"/>
                <w:szCs w:val="16"/>
                <w:lang w:val="it-IT"/>
              </w:rPr>
              <w:t>[g/L]</w:t>
            </w:r>
          </w:p>
        </w:tc>
        <w:tc>
          <w:tcPr>
            <w:tcW w:w="0" w:type="auto"/>
            <w:tcBorders>
              <w:top w:val="single" w:sz="12" w:space="0" w:color="008000"/>
              <w:left w:val="nil"/>
              <w:bottom w:val="single" w:sz="6" w:space="0" w:color="008000"/>
              <w:right w:val="nil"/>
            </w:tcBorders>
            <w:shd w:val="clear" w:color="auto" w:fill="FFFFFF"/>
          </w:tcPr>
          <w:p w14:paraId="77C37A4E" w14:textId="77777777" w:rsidR="007E4469" w:rsidRPr="00695874" w:rsidRDefault="007E4469" w:rsidP="005E6834">
            <w:pPr>
              <w:jc w:val="center"/>
              <w:rPr>
                <w:sz w:val="16"/>
                <w:szCs w:val="16"/>
                <w:lang w:val="it-IT"/>
              </w:rPr>
            </w:pPr>
            <w:r w:rsidRPr="00695874">
              <w:rPr>
                <w:sz w:val="16"/>
                <w:szCs w:val="16"/>
                <w:lang w:val="it-IT"/>
              </w:rPr>
              <w:t>[g/L]</w:t>
            </w:r>
          </w:p>
        </w:tc>
        <w:tc>
          <w:tcPr>
            <w:tcW w:w="0" w:type="auto"/>
            <w:tcBorders>
              <w:top w:val="single" w:sz="12" w:space="0" w:color="008000"/>
              <w:left w:val="nil"/>
              <w:bottom w:val="single" w:sz="6" w:space="0" w:color="008000"/>
              <w:right w:val="nil"/>
            </w:tcBorders>
            <w:shd w:val="clear" w:color="auto" w:fill="FFFFFF"/>
          </w:tcPr>
          <w:p w14:paraId="2137EB03" w14:textId="77777777" w:rsidR="007E4469" w:rsidRPr="00695874" w:rsidRDefault="007E4469" w:rsidP="005E6834">
            <w:pPr>
              <w:jc w:val="center"/>
              <w:rPr>
                <w:sz w:val="16"/>
                <w:szCs w:val="16"/>
                <w:lang w:val="it-IT"/>
              </w:rPr>
            </w:pPr>
            <w:r w:rsidRPr="00695874">
              <w:rPr>
                <w:sz w:val="16"/>
                <w:szCs w:val="16"/>
                <w:lang w:val="it-IT"/>
              </w:rPr>
              <w:t>[g/L]</w:t>
            </w:r>
          </w:p>
        </w:tc>
        <w:tc>
          <w:tcPr>
            <w:tcW w:w="0" w:type="auto"/>
            <w:tcBorders>
              <w:top w:val="single" w:sz="12" w:space="0" w:color="008000"/>
              <w:left w:val="nil"/>
              <w:bottom w:val="single" w:sz="6" w:space="0" w:color="008000"/>
              <w:right w:val="nil"/>
            </w:tcBorders>
            <w:shd w:val="clear" w:color="auto" w:fill="FFFFFF"/>
          </w:tcPr>
          <w:p w14:paraId="793FA27C" w14:textId="77777777" w:rsidR="007E4469" w:rsidRPr="00695874" w:rsidRDefault="007E4469" w:rsidP="005E6834">
            <w:pPr>
              <w:jc w:val="center"/>
              <w:rPr>
                <w:sz w:val="16"/>
                <w:szCs w:val="16"/>
                <w:lang w:val="it-IT"/>
              </w:rPr>
            </w:pPr>
            <w:r w:rsidRPr="00695874">
              <w:rPr>
                <w:sz w:val="16"/>
                <w:szCs w:val="16"/>
                <w:lang w:val="it-IT"/>
              </w:rPr>
              <w:t>[g/L]</w:t>
            </w:r>
          </w:p>
        </w:tc>
      </w:tr>
      <w:tr w:rsidR="00594857" w14:paraId="1033EDA2" w14:textId="77777777" w:rsidTr="00F52D84">
        <w:trPr>
          <w:trHeight w:val="250"/>
        </w:trPr>
        <w:tc>
          <w:tcPr>
            <w:tcW w:w="851" w:type="dxa"/>
            <w:tcBorders>
              <w:top w:val="single" w:sz="6" w:space="0" w:color="008000"/>
              <w:left w:val="nil"/>
              <w:bottom w:val="nil"/>
              <w:right w:val="nil"/>
            </w:tcBorders>
            <w:shd w:val="clear" w:color="auto" w:fill="FFFFFF"/>
            <w:hideMark/>
          </w:tcPr>
          <w:p w14:paraId="30AB2285" w14:textId="77777777" w:rsidR="007E4469" w:rsidRDefault="007E4469" w:rsidP="005E6834">
            <w:pPr>
              <w:jc w:val="left"/>
              <w:rPr>
                <w:lang w:val="it-IT"/>
              </w:rPr>
            </w:pPr>
            <w:r>
              <w:rPr>
                <w:lang w:val="it-IT"/>
              </w:rPr>
              <w:t>WK</w:t>
            </w:r>
          </w:p>
        </w:tc>
        <w:tc>
          <w:tcPr>
            <w:tcW w:w="1250" w:type="dxa"/>
            <w:tcBorders>
              <w:top w:val="single" w:sz="6" w:space="0" w:color="008000"/>
              <w:left w:val="nil"/>
              <w:bottom w:val="nil"/>
              <w:right w:val="nil"/>
            </w:tcBorders>
            <w:shd w:val="clear" w:color="auto" w:fill="FFFFFF"/>
            <w:hideMark/>
          </w:tcPr>
          <w:p w14:paraId="3D126D82" w14:textId="6EC3F7D9" w:rsidR="007E4469" w:rsidRPr="00695874" w:rsidRDefault="007E4469" w:rsidP="00F52D84">
            <w:pPr>
              <w:jc w:val="center"/>
              <w:rPr>
                <w:sz w:val="16"/>
                <w:szCs w:val="18"/>
                <w:lang w:val="it-IT"/>
              </w:rPr>
            </w:pPr>
            <w:r w:rsidRPr="00695874">
              <w:rPr>
                <w:sz w:val="16"/>
                <w:szCs w:val="18"/>
                <w:lang w:val="it-IT"/>
              </w:rPr>
              <w:t>114</w:t>
            </w:r>
            <w:r w:rsidR="00594857">
              <w:rPr>
                <w:sz w:val="16"/>
                <w:szCs w:val="18"/>
                <w:lang w:val="it-IT"/>
              </w:rPr>
              <w:t>.</w:t>
            </w:r>
            <w:r w:rsidRPr="00695874">
              <w:rPr>
                <w:sz w:val="16"/>
                <w:szCs w:val="18"/>
                <w:lang w:val="it-IT"/>
              </w:rPr>
              <w:t>83±9</w:t>
            </w:r>
            <w:r w:rsidR="00594857">
              <w:rPr>
                <w:sz w:val="16"/>
                <w:szCs w:val="18"/>
                <w:lang w:val="it-IT"/>
              </w:rPr>
              <w:t>.</w:t>
            </w:r>
            <w:r w:rsidRPr="00695874">
              <w:rPr>
                <w:sz w:val="16"/>
                <w:szCs w:val="18"/>
                <w:lang w:val="it-IT"/>
              </w:rPr>
              <w:t>90</w:t>
            </w:r>
          </w:p>
        </w:tc>
        <w:tc>
          <w:tcPr>
            <w:tcW w:w="0" w:type="auto"/>
            <w:tcBorders>
              <w:top w:val="single" w:sz="6" w:space="0" w:color="008000"/>
              <w:left w:val="nil"/>
              <w:bottom w:val="nil"/>
              <w:right w:val="nil"/>
            </w:tcBorders>
            <w:shd w:val="clear" w:color="auto" w:fill="FFFFFF"/>
            <w:hideMark/>
          </w:tcPr>
          <w:p w14:paraId="252B9F07" w14:textId="4ADD4DE5" w:rsidR="007E4469" w:rsidRPr="00695874" w:rsidRDefault="007E4469" w:rsidP="00F52D84">
            <w:pPr>
              <w:jc w:val="center"/>
              <w:rPr>
                <w:sz w:val="16"/>
                <w:szCs w:val="18"/>
                <w:lang w:val="it-IT"/>
              </w:rPr>
            </w:pPr>
            <w:r w:rsidRPr="00695874">
              <w:rPr>
                <w:sz w:val="16"/>
                <w:szCs w:val="18"/>
                <w:lang w:val="it-IT"/>
              </w:rPr>
              <w:t>96</w:t>
            </w:r>
            <w:r w:rsidR="00594857">
              <w:rPr>
                <w:sz w:val="16"/>
                <w:szCs w:val="18"/>
                <w:lang w:val="it-IT"/>
              </w:rPr>
              <w:t>.</w:t>
            </w:r>
            <w:r w:rsidRPr="00695874">
              <w:rPr>
                <w:sz w:val="16"/>
                <w:szCs w:val="18"/>
                <w:lang w:val="it-IT"/>
              </w:rPr>
              <w:t>62±</w:t>
            </w:r>
            <w:r w:rsidR="00695874">
              <w:rPr>
                <w:sz w:val="16"/>
                <w:szCs w:val="18"/>
                <w:lang w:val="it-IT"/>
              </w:rPr>
              <w:t>4</w:t>
            </w:r>
            <w:r w:rsidR="00594857">
              <w:rPr>
                <w:sz w:val="16"/>
                <w:szCs w:val="18"/>
                <w:lang w:val="it-IT"/>
              </w:rPr>
              <w:t>.</w:t>
            </w:r>
            <w:r w:rsidR="00695874">
              <w:rPr>
                <w:sz w:val="16"/>
                <w:szCs w:val="18"/>
                <w:lang w:val="it-IT"/>
              </w:rPr>
              <w:t>91</w:t>
            </w:r>
          </w:p>
        </w:tc>
        <w:tc>
          <w:tcPr>
            <w:tcW w:w="0" w:type="auto"/>
            <w:tcBorders>
              <w:top w:val="single" w:sz="6" w:space="0" w:color="008000"/>
              <w:left w:val="nil"/>
              <w:bottom w:val="nil"/>
              <w:right w:val="nil"/>
            </w:tcBorders>
            <w:shd w:val="clear" w:color="auto" w:fill="FFFFFF"/>
            <w:hideMark/>
          </w:tcPr>
          <w:p w14:paraId="15809D9F" w14:textId="235C652D" w:rsidR="007E4469" w:rsidRPr="00695874" w:rsidRDefault="007E4469" w:rsidP="005E6834">
            <w:pPr>
              <w:jc w:val="center"/>
              <w:rPr>
                <w:sz w:val="16"/>
                <w:szCs w:val="18"/>
                <w:lang w:val="it-IT"/>
              </w:rPr>
            </w:pPr>
            <w:r w:rsidRPr="00695874">
              <w:rPr>
                <w:sz w:val="16"/>
                <w:szCs w:val="18"/>
                <w:lang w:val="it-IT"/>
              </w:rPr>
              <w:t>5</w:t>
            </w:r>
            <w:r w:rsidR="00594857">
              <w:rPr>
                <w:sz w:val="16"/>
                <w:szCs w:val="18"/>
                <w:lang w:val="it-IT"/>
              </w:rPr>
              <w:t>.</w:t>
            </w:r>
            <w:r w:rsidR="004B5C11" w:rsidRPr="00695874">
              <w:rPr>
                <w:sz w:val="16"/>
                <w:szCs w:val="18"/>
                <w:lang w:val="it-IT"/>
              </w:rPr>
              <w:t>5</w:t>
            </w:r>
            <w:r w:rsidR="00695874" w:rsidRPr="00695874">
              <w:rPr>
                <w:sz w:val="16"/>
                <w:szCs w:val="18"/>
                <w:lang w:val="it-IT"/>
              </w:rPr>
              <w:t>±</w:t>
            </w:r>
            <w:r w:rsidR="00AC1331">
              <w:rPr>
                <w:sz w:val="16"/>
                <w:szCs w:val="18"/>
                <w:lang w:val="it-IT"/>
              </w:rPr>
              <w:t>0</w:t>
            </w:r>
            <w:r w:rsidR="00594857">
              <w:rPr>
                <w:sz w:val="16"/>
                <w:szCs w:val="18"/>
                <w:lang w:val="it-IT"/>
              </w:rPr>
              <w:t>.</w:t>
            </w:r>
            <w:r w:rsidR="00AC1331">
              <w:rPr>
                <w:sz w:val="16"/>
                <w:szCs w:val="18"/>
                <w:lang w:val="it-IT"/>
              </w:rPr>
              <w:t>9</w:t>
            </w:r>
          </w:p>
        </w:tc>
        <w:tc>
          <w:tcPr>
            <w:tcW w:w="0" w:type="auto"/>
            <w:tcBorders>
              <w:top w:val="single" w:sz="6" w:space="0" w:color="008000"/>
              <w:left w:val="nil"/>
              <w:bottom w:val="nil"/>
              <w:right w:val="nil"/>
            </w:tcBorders>
            <w:shd w:val="clear" w:color="auto" w:fill="FFFFFF"/>
            <w:hideMark/>
          </w:tcPr>
          <w:p w14:paraId="5DD5F3FC" w14:textId="6F5FC035" w:rsidR="007E4469" w:rsidRPr="00695874" w:rsidRDefault="007E4469" w:rsidP="004B5C11">
            <w:pPr>
              <w:jc w:val="center"/>
              <w:rPr>
                <w:sz w:val="16"/>
                <w:szCs w:val="18"/>
                <w:lang w:val="it-IT"/>
              </w:rPr>
            </w:pPr>
            <w:r w:rsidRPr="00695874">
              <w:rPr>
                <w:sz w:val="16"/>
                <w:szCs w:val="18"/>
                <w:lang w:val="it-IT"/>
              </w:rPr>
              <w:t>6</w:t>
            </w:r>
            <w:r w:rsidR="00594857">
              <w:rPr>
                <w:sz w:val="16"/>
                <w:szCs w:val="18"/>
                <w:lang w:val="it-IT"/>
              </w:rPr>
              <w:t>.</w:t>
            </w:r>
            <w:r w:rsidRPr="00695874">
              <w:rPr>
                <w:sz w:val="16"/>
                <w:szCs w:val="18"/>
                <w:lang w:val="it-IT"/>
              </w:rPr>
              <w:t>00±0</w:t>
            </w:r>
            <w:r w:rsidR="00594857">
              <w:rPr>
                <w:sz w:val="16"/>
                <w:szCs w:val="18"/>
                <w:lang w:val="it-IT"/>
              </w:rPr>
              <w:t>.</w:t>
            </w:r>
            <w:r w:rsidRPr="00695874">
              <w:rPr>
                <w:sz w:val="16"/>
                <w:szCs w:val="18"/>
                <w:lang w:val="it-IT"/>
              </w:rPr>
              <w:t>02</w:t>
            </w:r>
          </w:p>
        </w:tc>
        <w:tc>
          <w:tcPr>
            <w:tcW w:w="0" w:type="auto"/>
            <w:tcBorders>
              <w:top w:val="single" w:sz="6" w:space="0" w:color="008000"/>
              <w:left w:val="nil"/>
              <w:bottom w:val="nil"/>
              <w:right w:val="nil"/>
            </w:tcBorders>
            <w:shd w:val="clear" w:color="auto" w:fill="FFFFFF"/>
            <w:hideMark/>
          </w:tcPr>
          <w:p w14:paraId="6F2107C6" w14:textId="274B55C6" w:rsidR="007E4469" w:rsidRPr="00695874" w:rsidRDefault="007E4469" w:rsidP="004B5C11">
            <w:pPr>
              <w:jc w:val="center"/>
              <w:rPr>
                <w:sz w:val="16"/>
                <w:szCs w:val="18"/>
                <w:lang w:val="it-IT"/>
              </w:rPr>
            </w:pPr>
            <w:r w:rsidRPr="00695874">
              <w:rPr>
                <w:sz w:val="16"/>
                <w:szCs w:val="18"/>
                <w:lang w:val="it-IT"/>
              </w:rPr>
              <w:t>5</w:t>
            </w:r>
            <w:r w:rsidR="00594857">
              <w:rPr>
                <w:sz w:val="16"/>
                <w:szCs w:val="18"/>
                <w:lang w:val="it-IT"/>
              </w:rPr>
              <w:t>.</w:t>
            </w:r>
            <w:r w:rsidRPr="00695874">
              <w:rPr>
                <w:sz w:val="16"/>
                <w:szCs w:val="18"/>
                <w:lang w:val="it-IT"/>
              </w:rPr>
              <w:t>48±0</w:t>
            </w:r>
            <w:r w:rsidR="00594857">
              <w:rPr>
                <w:sz w:val="16"/>
                <w:szCs w:val="18"/>
                <w:lang w:val="it-IT"/>
              </w:rPr>
              <w:t>.</w:t>
            </w:r>
            <w:r w:rsidRPr="00695874">
              <w:rPr>
                <w:sz w:val="16"/>
                <w:szCs w:val="18"/>
                <w:lang w:val="it-IT"/>
              </w:rPr>
              <w:t>71</w:t>
            </w:r>
          </w:p>
        </w:tc>
        <w:tc>
          <w:tcPr>
            <w:tcW w:w="0" w:type="auto"/>
            <w:tcBorders>
              <w:top w:val="single" w:sz="6" w:space="0" w:color="008000"/>
              <w:left w:val="nil"/>
              <w:bottom w:val="nil"/>
              <w:right w:val="nil"/>
            </w:tcBorders>
            <w:shd w:val="clear" w:color="auto" w:fill="FFFFFF"/>
            <w:hideMark/>
          </w:tcPr>
          <w:p w14:paraId="29A736F2" w14:textId="5E6F9AD9" w:rsidR="007E4469" w:rsidRPr="00695874" w:rsidRDefault="007E4469" w:rsidP="004B5C11">
            <w:pPr>
              <w:jc w:val="center"/>
              <w:rPr>
                <w:sz w:val="16"/>
                <w:szCs w:val="18"/>
                <w:lang w:val="it-IT"/>
              </w:rPr>
            </w:pPr>
            <w:r w:rsidRPr="00695874">
              <w:rPr>
                <w:sz w:val="16"/>
                <w:szCs w:val="18"/>
                <w:lang w:val="it-IT"/>
              </w:rPr>
              <w:t>15</w:t>
            </w:r>
            <w:r w:rsidR="00594857">
              <w:rPr>
                <w:sz w:val="16"/>
                <w:szCs w:val="18"/>
                <w:lang w:val="it-IT"/>
              </w:rPr>
              <w:t>.</w:t>
            </w:r>
            <w:r w:rsidRPr="00695874">
              <w:rPr>
                <w:sz w:val="16"/>
                <w:szCs w:val="18"/>
                <w:lang w:val="it-IT"/>
              </w:rPr>
              <w:t>4±1</w:t>
            </w:r>
            <w:r w:rsidR="00594857">
              <w:rPr>
                <w:sz w:val="16"/>
                <w:szCs w:val="18"/>
                <w:lang w:val="it-IT"/>
              </w:rPr>
              <w:t>.</w:t>
            </w:r>
            <w:r w:rsidRPr="00695874">
              <w:rPr>
                <w:sz w:val="16"/>
                <w:szCs w:val="18"/>
                <w:lang w:val="it-IT"/>
              </w:rPr>
              <w:t>1</w:t>
            </w:r>
          </w:p>
        </w:tc>
        <w:tc>
          <w:tcPr>
            <w:tcW w:w="0" w:type="auto"/>
            <w:tcBorders>
              <w:top w:val="single" w:sz="6" w:space="0" w:color="008000"/>
              <w:left w:val="nil"/>
              <w:bottom w:val="nil"/>
              <w:right w:val="nil"/>
            </w:tcBorders>
            <w:shd w:val="clear" w:color="auto" w:fill="FFFFFF"/>
            <w:hideMark/>
          </w:tcPr>
          <w:p w14:paraId="376E0D2D" w14:textId="4144F5AD" w:rsidR="007E4469" w:rsidRPr="00695874" w:rsidRDefault="007E4469" w:rsidP="004B5C11">
            <w:pPr>
              <w:jc w:val="center"/>
              <w:rPr>
                <w:sz w:val="16"/>
                <w:szCs w:val="18"/>
                <w:lang w:val="it-IT"/>
              </w:rPr>
            </w:pPr>
            <w:r w:rsidRPr="00695874">
              <w:rPr>
                <w:sz w:val="16"/>
                <w:szCs w:val="18"/>
                <w:lang w:val="it-IT"/>
              </w:rPr>
              <w:t>1</w:t>
            </w:r>
            <w:r w:rsidR="00594857">
              <w:rPr>
                <w:sz w:val="16"/>
                <w:szCs w:val="18"/>
                <w:lang w:val="it-IT"/>
              </w:rPr>
              <w:t>.</w:t>
            </w:r>
            <w:r w:rsidRPr="00695874">
              <w:rPr>
                <w:sz w:val="16"/>
                <w:szCs w:val="18"/>
                <w:lang w:val="it-IT"/>
              </w:rPr>
              <w:t>20±0</w:t>
            </w:r>
            <w:r w:rsidR="00594857">
              <w:rPr>
                <w:sz w:val="16"/>
                <w:szCs w:val="18"/>
                <w:lang w:val="it-IT"/>
              </w:rPr>
              <w:t>.3</w:t>
            </w:r>
            <w:r w:rsidRPr="00695874">
              <w:rPr>
                <w:sz w:val="16"/>
                <w:szCs w:val="18"/>
                <w:lang w:val="it-IT"/>
              </w:rPr>
              <w:t>6</w:t>
            </w:r>
          </w:p>
        </w:tc>
        <w:tc>
          <w:tcPr>
            <w:tcW w:w="0" w:type="auto"/>
            <w:tcBorders>
              <w:top w:val="single" w:sz="6" w:space="0" w:color="008000"/>
              <w:left w:val="nil"/>
              <w:bottom w:val="nil"/>
              <w:right w:val="nil"/>
            </w:tcBorders>
            <w:shd w:val="clear" w:color="auto" w:fill="FFFFFF"/>
            <w:hideMark/>
          </w:tcPr>
          <w:p w14:paraId="4DCCBDC3" w14:textId="4EBF7173" w:rsidR="007E4469" w:rsidRPr="00695874" w:rsidRDefault="007E4469" w:rsidP="004B5C11">
            <w:pPr>
              <w:jc w:val="center"/>
              <w:rPr>
                <w:sz w:val="16"/>
                <w:szCs w:val="18"/>
                <w:lang w:val="it-IT"/>
              </w:rPr>
            </w:pPr>
            <w:r w:rsidRPr="00695874">
              <w:rPr>
                <w:sz w:val="16"/>
                <w:szCs w:val="18"/>
                <w:lang w:val="it-IT"/>
              </w:rPr>
              <w:t>18</w:t>
            </w:r>
            <w:r w:rsidR="00594857">
              <w:rPr>
                <w:sz w:val="16"/>
                <w:szCs w:val="18"/>
                <w:lang w:val="it-IT"/>
              </w:rPr>
              <w:t>.</w:t>
            </w:r>
            <w:r w:rsidRPr="00695874">
              <w:rPr>
                <w:sz w:val="16"/>
                <w:szCs w:val="18"/>
                <w:lang w:val="it-IT"/>
              </w:rPr>
              <w:t>48±3</w:t>
            </w:r>
            <w:r w:rsidR="00594857">
              <w:rPr>
                <w:sz w:val="16"/>
                <w:szCs w:val="18"/>
                <w:lang w:val="it-IT"/>
              </w:rPr>
              <w:t>.</w:t>
            </w:r>
            <w:r w:rsidRPr="00695874">
              <w:rPr>
                <w:sz w:val="16"/>
                <w:szCs w:val="18"/>
                <w:lang w:val="it-IT"/>
              </w:rPr>
              <w:t>88</w:t>
            </w:r>
          </w:p>
        </w:tc>
        <w:tc>
          <w:tcPr>
            <w:tcW w:w="0" w:type="auto"/>
            <w:tcBorders>
              <w:top w:val="single" w:sz="6" w:space="0" w:color="008000"/>
              <w:left w:val="nil"/>
              <w:bottom w:val="nil"/>
              <w:right w:val="nil"/>
            </w:tcBorders>
            <w:shd w:val="clear" w:color="auto" w:fill="FFFFFF"/>
            <w:hideMark/>
          </w:tcPr>
          <w:p w14:paraId="77DDB9F5" w14:textId="442C3500" w:rsidR="007E4469" w:rsidRPr="00695874" w:rsidRDefault="007E4469" w:rsidP="004B5C11">
            <w:pPr>
              <w:jc w:val="center"/>
              <w:rPr>
                <w:sz w:val="16"/>
                <w:szCs w:val="18"/>
                <w:lang w:val="it-IT"/>
              </w:rPr>
            </w:pPr>
            <w:r w:rsidRPr="00695874">
              <w:rPr>
                <w:sz w:val="16"/>
                <w:szCs w:val="18"/>
                <w:lang w:val="it-IT"/>
              </w:rPr>
              <w:t>0</w:t>
            </w:r>
            <w:r w:rsidR="00594857">
              <w:rPr>
                <w:sz w:val="16"/>
                <w:szCs w:val="18"/>
                <w:lang w:val="it-IT"/>
              </w:rPr>
              <w:t>.</w:t>
            </w:r>
            <w:r w:rsidRPr="00695874">
              <w:rPr>
                <w:sz w:val="16"/>
                <w:szCs w:val="18"/>
                <w:lang w:val="it-IT"/>
              </w:rPr>
              <w:t>24±0</w:t>
            </w:r>
            <w:r w:rsidR="00594857">
              <w:rPr>
                <w:sz w:val="16"/>
                <w:szCs w:val="18"/>
                <w:lang w:val="it-IT"/>
              </w:rPr>
              <w:t>.</w:t>
            </w:r>
            <w:r w:rsidRPr="00695874">
              <w:rPr>
                <w:sz w:val="16"/>
                <w:szCs w:val="18"/>
                <w:lang w:val="it-IT"/>
              </w:rPr>
              <w:t>15</w:t>
            </w:r>
          </w:p>
        </w:tc>
      </w:tr>
      <w:tr w:rsidR="00594857" w14:paraId="789C9C81" w14:textId="77777777" w:rsidTr="00F52D84">
        <w:trPr>
          <w:trHeight w:val="250"/>
        </w:trPr>
        <w:tc>
          <w:tcPr>
            <w:tcW w:w="851" w:type="dxa"/>
            <w:tcBorders>
              <w:top w:val="nil"/>
              <w:left w:val="nil"/>
              <w:bottom w:val="nil"/>
              <w:right w:val="nil"/>
            </w:tcBorders>
            <w:shd w:val="clear" w:color="auto" w:fill="auto"/>
            <w:hideMark/>
          </w:tcPr>
          <w:p w14:paraId="33301C9F" w14:textId="77777777" w:rsidR="007E4469" w:rsidRDefault="007E4469" w:rsidP="005E6834">
            <w:pPr>
              <w:ind w:right="-1"/>
              <w:jc w:val="left"/>
              <w:rPr>
                <w:rFonts w:cs="Arial"/>
                <w:szCs w:val="18"/>
                <w:lang w:val="it-IT"/>
              </w:rPr>
            </w:pPr>
            <w:r>
              <w:rPr>
                <w:lang w:val="it-IT"/>
              </w:rPr>
              <w:t>SFB</w:t>
            </w:r>
          </w:p>
        </w:tc>
        <w:tc>
          <w:tcPr>
            <w:tcW w:w="1250" w:type="dxa"/>
            <w:tcBorders>
              <w:top w:val="nil"/>
              <w:left w:val="nil"/>
              <w:bottom w:val="nil"/>
              <w:right w:val="nil"/>
            </w:tcBorders>
            <w:shd w:val="clear" w:color="auto" w:fill="auto"/>
            <w:hideMark/>
          </w:tcPr>
          <w:p w14:paraId="7EA00844" w14:textId="1F020E6A" w:rsidR="007E4469" w:rsidRPr="00695874" w:rsidRDefault="007E4469" w:rsidP="00F52D84">
            <w:pPr>
              <w:ind w:right="-1"/>
              <w:jc w:val="center"/>
              <w:rPr>
                <w:rFonts w:cs="Arial"/>
                <w:sz w:val="16"/>
                <w:szCs w:val="18"/>
                <w:lang w:val="it-IT"/>
              </w:rPr>
            </w:pPr>
            <w:r w:rsidRPr="00695874">
              <w:rPr>
                <w:rFonts w:cs="Arial"/>
                <w:sz w:val="16"/>
                <w:szCs w:val="18"/>
                <w:lang w:val="it-IT"/>
              </w:rPr>
              <w:t>251</w:t>
            </w:r>
            <w:r w:rsidR="00594857">
              <w:rPr>
                <w:rFonts w:cs="Arial"/>
                <w:sz w:val="16"/>
                <w:szCs w:val="18"/>
                <w:lang w:val="it-IT"/>
              </w:rPr>
              <w:t>.</w:t>
            </w:r>
            <w:r w:rsidRPr="00695874">
              <w:rPr>
                <w:rFonts w:cs="Arial"/>
                <w:sz w:val="16"/>
                <w:szCs w:val="18"/>
                <w:lang w:val="it-IT"/>
              </w:rPr>
              <w:t>50</w:t>
            </w:r>
            <w:r w:rsidRPr="00695874">
              <w:rPr>
                <w:sz w:val="16"/>
                <w:szCs w:val="18"/>
                <w:lang w:val="it-IT"/>
              </w:rPr>
              <w:t>±72</w:t>
            </w:r>
            <w:r w:rsidR="00594857">
              <w:rPr>
                <w:sz w:val="16"/>
                <w:szCs w:val="18"/>
                <w:lang w:val="it-IT"/>
              </w:rPr>
              <w:t>.</w:t>
            </w:r>
            <w:r w:rsidRPr="00695874">
              <w:rPr>
                <w:sz w:val="16"/>
                <w:szCs w:val="18"/>
                <w:lang w:val="it-IT"/>
              </w:rPr>
              <w:t>13</w:t>
            </w:r>
          </w:p>
        </w:tc>
        <w:tc>
          <w:tcPr>
            <w:tcW w:w="0" w:type="auto"/>
            <w:tcBorders>
              <w:top w:val="nil"/>
              <w:left w:val="nil"/>
              <w:bottom w:val="nil"/>
              <w:right w:val="nil"/>
            </w:tcBorders>
            <w:shd w:val="clear" w:color="auto" w:fill="auto"/>
            <w:hideMark/>
          </w:tcPr>
          <w:p w14:paraId="6CC33407" w14:textId="45601D08" w:rsidR="007E4469" w:rsidRPr="00695874" w:rsidRDefault="007E4469" w:rsidP="00F52D84">
            <w:pPr>
              <w:ind w:right="-1"/>
              <w:jc w:val="center"/>
              <w:rPr>
                <w:rFonts w:cs="Arial"/>
                <w:sz w:val="16"/>
                <w:szCs w:val="18"/>
                <w:lang w:val="it-IT"/>
              </w:rPr>
            </w:pPr>
            <w:r w:rsidRPr="00695874">
              <w:rPr>
                <w:rFonts w:cs="Arial"/>
                <w:sz w:val="16"/>
                <w:szCs w:val="18"/>
                <w:lang w:val="it-IT"/>
              </w:rPr>
              <w:t>33</w:t>
            </w:r>
            <w:r w:rsidR="00594857">
              <w:rPr>
                <w:rFonts w:cs="Arial"/>
                <w:sz w:val="16"/>
                <w:szCs w:val="18"/>
                <w:lang w:val="it-IT"/>
              </w:rPr>
              <w:t>.</w:t>
            </w:r>
            <w:r w:rsidRPr="00695874">
              <w:rPr>
                <w:rFonts w:cs="Arial"/>
                <w:sz w:val="16"/>
                <w:szCs w:val="18"/>
                <w:lang w:val="it-IT"/>
              </w:rPr>
              <w:t>40</w:t>
            </w:r>
            <w:r w:rsidRPr="00695874">
              <w:rPr>
                <w:sz w:val="16"/>
                <w:szCs w:val="18"/>
                <w:lang w:val="it-IT"/>
              </w:rPr>
              <w:t>±</w:t>
            </w:r>
            <w:r w:rsidR="00695874">
              <w:rPr>
                <w:sz w:val="16"/>
                <w:szCs w:val="18"/>
                <w:lang w:val="it-IT"/>
              </w:rPr>
              <w:t>31</w:t>
            </w:r>
            <w:r w:rsidR="00594857">
              <w:rPr>
                <w:sz w:val="16"/>
                <w:szCs w:val="18"/>
                <w:lang w:val="it-IT"/>
              </w:rPr>
              <w:t>.</w:t>
            </w:r>
            <w:r w:rsidR="00695874">
              <w:rPr>
                <w:sz w:val="16"/>
                <w:szCs w:val="18"/>
                <w:lang w:val="it-IT"/>
              </w:rPr>
              <w:t>22</w:t>
            </w:r>
          </w:p>
        </w:tc>
        <w:tc>
          <w:tcPr>
            <w:tcW w:w="0" w:type="auto"/>
            <w:tcBorders>
              <w:top w:val="nil"/>
              <w:left w:val="nil"/>
              <w:bottom w:val="nil"/>
              <w:right w:val="nil"/>
            </w:tcBorders>
            <w:shd w:val="clear" w:color="auto" w:fill="auto"/>
            <w:hideMark/>
          </w:tcPr>
          <w:p w14:paraId="17AFF22C" w14:textId="0E329DB2" w:rsidR="007E4469" w:rsidRPr="00695874" w:rsidRDefault="007E4469" w:rsidP="005E6834">
            <w:pPr>
              <w:ind w:right="-1"/>
              <w:jc w:val="center"/>
              <w:rPr>
                <w:rFonts w:cs="Arial"/>
                <w:sz w:val="16"/>
                <w:szCs w:val="18"/>
                <w:lang w:val="it-IT"/>
              </w:rPr>
            </w:pPr>
            <w:r w:rsidRPr="00695874">
              <w:rPr>
                <w:rFonts w:cs="Arial"/>
                <w:sz w:val="16"/>
                <w:szCs w:val="18"/>
                <w:lang w:val="it-IT"/>
              </w:rPr>
              <w:t>4</w:t>
            </w:r>
            <w:r w:rsidR="00594857">
              <w:rPr>
                <w:rFonts w:cs="Arial"/>
                <w:sz w:val="16"/>
                <w:szCs w:val="18"/>
                <w:lang w:val="it-IT"/>
              </w:rPr>
              <w:t>.</w:t>
            </w:r>
            <w:r w:rsidR="004B5C11" w:rsidRPr="00695874">
              <w:rPr>
                <w:rFonts w:cs="Arial"/>
                <w:sz w:val="16"/>
                <w:szCs w:val="18"/>
                <w:lang w:val="it-IT"/>
              </w:rPr>
              <w:t>2</w:t>
            </w:r>
            <w:r w:rsidR="00695874" w:rsidRPr="00695874">
              <w:rPr>
                <w:sz w:val="16"/>
                <w:szCs w:val="18"/>
                <w:lang w:val="it-IT"/>
              </w:rPr>
              <w:t>±</w:t>
            </w:r>
            <w:r w:rsidR="00AC1331">
              <w:rPr>
                <w:sz w:val="16"/>
                <w:szCs w:val="18"/>
                <w:lang w:val="it-IT"/>
              </w:rPr>
              <w:t>1</w:t>
            </w:r>
            <w:r w:rsidR="00594857">
              <w:rPr>
                <w:sz w:val="16"/>
                <w:szCs w:val="18"/>
                <w:lang w:val="it-IT"/>
              </w:rPr>
              <w:t>.</w:t>
            </w:r>
            <w:r w:rsidR="00AC1331">
              <w:rPr>
                <w:sz w:val="16"/>
                <w:szCs w:val="18"/>
                <w:lang w:val="it-IT"/>
              </w:rPr>
              <w:t>1</w:t>
            </w:r>
          </w:p>
        </w:tc>
        <w:tc>
          <w:tcPr>
            <w:tcW w:w="0" w:type="auto"/>
            <w:tcBorders>
              <w:top w:val="nil"/>
              <w:left w:val="nil"/>
              <w:bottom w:val="nil"/>
              <w:right w:val="nil"/>
            </w:tcBorders>
            <w:shd w:val="clear" w:color="auto" w:fill="auto"/>
            <w:hideMark/>
          </w:tcPr>
          <w:p w14:paraId="5C763180" w14:textId="52B88D77" w:rsidR="007E4469" w:rsidRPr="00695874" w:rsidRDefault="007E4469" w:rsidP="004B5C11">
            <w:pPr>
              <w:jc w:val="center"/>
              <w:rPr>
                <w:rFonts w:cs="Arial"/>
                <w:sz w:val="16"/>
                <w:szCs w:val="18"/>
                <w:lang w:val="it-IT"/>
              </w:rPr>
            </w:pPr>
            <w:r w:rsidRPr="00695874">
              <w:rPr>
                <w:rFonts w:cs="Arial"/>
                <w:sz w:val="16"/>
                <w:szCs w:val="18"/>
                <w:lang w:val="it-IT"/>
              </w:rPr>
              <w:t>8</w:t>
            </w:r>
            <w:r w:rsidR="00594857">
              <w:rPr>
                <w:rFonts w:cs="Arial"/>
                <w:sz w:val="16"/>
                <w:szCs w:val="18"/>
                <w:lang w:val="it-IT"/>
              </w:rPr>
              <w:t>.</w:t>
            </w:r>
            <w:r w:rsidRPr="00695874">
              <w:rPr>
                <w:rFonts w:cs="Arial"/>
                <w:sz w:val="16"/>
                <w:szCs w:val="18"/>
                <w:lang w:val="it-IT"/>
              </w:rPr>
              <w:t>00</w:t>
            </w:r>
            <w:r w:rsidRPr="00695874">
              <w:rPr>
                <w:sz w:val="16"/>
                <w:szCs w:val="18"/>
                <w:lang w:val="it-IT"/>
              </w:rPr>
              <w:t>±0</w:t>
            </w:r>
            <w:r w:rsidR="00594857">
              <w:rPr>
                <w:sz w:val="16"/>
                <w:szCs w:val="18"/>
                <w:lang w:val="it-IT"/>
              </w:rPr>
              <w:t>.</w:t>
            </w:r>
            <w:r w:rsidRPr="00695874">
              <w:rPr>
                <w:sz w:val="16"/>
                <w:szCs w:val="18"/>
                <w:lang w:val="it-IT"/>
              </w:rPr>
              <w:t>04</w:t>
            </w:r>
            <w:r w:rsidRPr="00695874">
              <w:rPr>
                <w:rFonts w:cs="Arial"/>
                <w:sz w:val="16"/>
                <w:szCs w:val="18"/>
                <w:lang w:val="it-IT"/>
              </w:rPr>
              <w:t xml:space="preserve"> </w:t>
            </w:r>
          </w:p>
        </w:tc>
        <w:tc>
          <w:tcPr>
            <w:tcW w:w="0" w:type="auto"/>
            <w:tcBorders>
              <w:top w:val="nil"/>
              <w:left w:val="nil"/>
              <w:bottom w:val="nil"/>
              <w:right w:val="nil"/>
            </w:tcBorders>
            <w:shd w:val="clear" w:color="auto" w:fill="auto"/>
            <w:hideMark/>
          </w:tcPr>
          <w:p w14:paraId="24BD500D" w14:textId="1F6C9AEA" w:rsidR="007E4469" w:rsidRPr="00695874" w:rsidRDefault="007E4469" w:rsidP="004B5C11">
            <w:pPr>
              <w:jc w:val="center"/>
              <w:rPr>
                <w:rFonts w:cs="Arial"/>
                <w:sz w:val="16"/>
                <w:szCs w:val="18"/>
                <w:lang w:val="it-IT"/>
              </w:rPr>
            </w:pPr>
            <w:r w:rsidRPr="00695874">
              <w:rPr>
                <w:rFonts w:cs="Arial"/>
                <w:sz w:val="16"/>
                <w:szCs w:val="18"/>
                <w:lang w:val="it-IT"/>
              </w:rPr>
              <w:t>5</w:t>
            </w:r>
            <w:r w:rsidR="00594857">
              <w:rPr>
                <w:rFonts w:cs="Arial"/>
                <w:sz w:val="16"/>
                <w:szCs w:val="18"/>
                <w:lang w:val="it-IT"/>
              </w:rPr>
              <w:t>.</w:t>
            </w:r>
            <w:r w:rsidRPr="00695874">
              <w:rPr>
                <w:rFonts w:cs="Arial"/>
                <w:sz w:val="16"/>
                <w:szCs w:val="18"/>
                <w:lang w:val="it-IT"/>
              </w:rPr>
              <w:t>89</w:t>
            </w:r>
            <w:r w:rsidRPr="00695874">
              <w:rPr>
                <w:sz w:val="16"/>
                <w:szCs w:val="18"/>
                <w:lang w:val="it-IT"/>
              </w:rPr>
              <w:t>±0</w:t>
            </w:r>
            <w:r w:rsidR="00594857">
              <w:rPr>
                <w:sz w:val="16"/>
                <w:szCs w:val="18"/>
                <w:lang w:val="it-IT"/>
              </w:rPr>
              <w:t>.</w:t>
            </w:r>
            <w:r w:rsidRPr="00695874">
              <w:rPr>
                <w:sz w:val="16"/>
                <w:szCs w:val="18"/>
                <w:lang w:val="it-IT"/>
              </w:rPr>
              <w:t>21</w:t>
            </w:r>
          </w:p>
        </w:tc>
        <w:tc>
          <w:tcPr>
            <w:tcW w:w="0" w:type="auto"/>
            <w:tcBorders>
              <w:top w:val="nil"/>
              <w:left w:val="nil"/>
              <w:bottom w:val="nil"/>
              <w:right w:val="nil"/>
            </w:tcBorders>
            <w:shd w:val="clear" w:color="auto" w:fill="auto"/>
            <w:hideMark/>
          </w:tcPr>
          <w:p w14:paraId="6A2E83A5" w14:textId="49FE4DC9" w:rsidR="007E4469" w:rsidRPr="00695874" w:rsidRDefault="007E4469" w:rsidP="004B5C11">
            <w:pPr>
              <w:ind w:right="-1"/>
              <w:jc w:val="center"/>
              <w:rPr>
                <w:rFonts w:cs="Arial"/>
                <w:sz w:val="16"/>
                <w:szCs w:val="18"/>
                <w:lang w:val="it-IT"/>
              </w:rPr>
            </w:pPr>
            <w:r w:rsidRPr="00695874">
              <w:rPr>
                <w:rFonts w:cs="Arial"/>
                <w:sz w:val="16"/>
                <w:szCs w:val="18"/>
                <w:lang w:val="it-IT"/>
              </w:rPr>
              <w:t>38</w:t>
            </w:r>
            <w:r w:rsidR="00594857">
              <w:rPr>
                <w:rFonts w:cs="Arial"/>
                <w:sz w:val="16"/>
                <w:szCs w:val="18"/>
                <w:lang w:val="it-IT"/>
              </w:rPr>
              <w:t>.</w:t>
            </w:r>
            <w:r w:rsidRPr="00695874">
              <w:rPr>
                <w:rFonts w:cs="Arial"/>
                <w:sz w:val="16"/>
                <w:szCs w:val="18"/>
                <w:lang w:val="it-IT"/>
              </w:rPr>
              <w:t>0±3</w:t>
            </w:r>
            <w:r w:rsidR="00594857">
              <w:rPr>
                <w:rFonts w:cs="Arial"/>
                <w:sz w:val="16"/>
                <w:szCs w:val="18"/>
                <w:lang w:val="it-IT"/>
              </w:rPr>
              <w:t>.</w:t>
            </w:r>
            <w:r w:rsidRPr="00695874">
              <w:rPr>
                <w:rFonts w:cs="Arial"/>
                <w:sz w:val="16"/>
                <w:szCs w:val="18"/>
                <w:lang w:val="it-IT"/>
              </w:rPr>
              <w:t>1</w:t>
            </w:r>
          </w:p>
        </w:tc>
        <w:tc>
          <w:tcPr>
            <w:tcW w:w="0" w:type="auto"/>
            <w:tcBorders>
              <w:top w:val="nil"/>
              <w:left w:val="nil"/>
              <w:bottom w:val="nil"/>
              <w:right w:val="nil"/>
            </w:tcBorders>
            <w:shd w:val="clear" w:color="auto" w:fill="auto"/>
            <w:hideMark/>
          </w:tcPr>
          <w:p w14:paraId="7F3DBC8C" w14:textId="1472A3C6" w:rsidR="007E4469" w:rsidRPr="00695874" w:rsidRDefault="007E4469" w:rsidP="004B5C11">
            <w:pPr>
              <w:ind w:right="-1"/>
              <w:jc w:val="center"/>
              <w:rPr>
                <w:rFonts w:cs="Arial"/>
                <w:sz w:val="16"/>
                <w:szCs w:val="18"/>
                <w:lang w:val="it-IT"/>
              </w:rPr>
            </w:pPr>
            <w:r w:rsidRPr="00695874">
              <w:rPr>
                <w:rFonts w:cs="Arial"/>
                <w:sz w:val="16"/>
                <w:szCs w:val="18"/>
                <w:lang w:val="it-IT"/>
              </w:rPr>
              <w:t>2</w:t>
            </w:r>
            <w:r w:rsidR="00594857">
              <w:rPr>
                <w:rFonts w:cs="Arial"/>
                <w:sz w:val="16"/>
                <w:szCs w:val="18"/>
                <w:lang w:val="it-IT"/>
              </w:rPr>
              <w:t>.</w:t>
            </w:r>
            <w:r w:rsidRPr="00695874">
              <w:rPr>
                <w:rFonts w:cs="Arial"/>
                <w:sz w:val="16"/>
                <w:szCs w:val="18"/>
                <w:lang w:val="it-IT"/>
              </w:rPr>
              <w:t>88±0</w:t>
            </w:r>
            <w:r w:rsidR="00594857">
              <w:rPr>
                <w:rFonts w:cs="Arial"/>
                <w:sz w:val="16"/>
                <w:szCs w:val="18"/>
                <w:lang w:val="it-IT"/>
              </w:rPr>
              <w:t>.</w:t>
            </w:r>
            <w:r w:rsidRPr="00695874">
              <w:rPr>
                <w:rFonts w:cs="Arial"/>
                <w:sz w:val="16"/>
                <w:szCs w:val="18"/>
                <w:lang w:val="it-IT"/>
              </w:rPr>
              <w:t>72</w:t>
            </w:r>
          </w:p>
        </w:tc>
        <w:tc>
          <w:tcPr>
            <w:tcW w:w="0" w:type="auto"/>
            <w:tcBorders>
              <w:top w:val="nil"/>
              <w:left w:val="nil"/>
              <w:bottom w:val="nil"/>
              <w:right w:val="nil"/>
            </w:tcBorders>
            <w:shd w:val="clear" w:color="auto" w:fill="auto"/>
            <w:vAlign w:val="center"/>
            <w:hideMark/>
          </w:tcPr>
          <w:p w14:paraId="7E774290" w14:textId="41763490" w:rsidR="007E4469" w:rsidRPr="00695874" w:rsidRDefault="004B5C11" w:rsidP="004B5C11">
            <w:pPr>
              <w:ind w:right="-1"/>
              <w:jc w:val="center"/>
              <w:rPr>
                <w:rFonts w:cs="Arial"/>
                <w:sz w:val="16"/>
                <w:szCs w:val="18"/>
                <w:lang w:val="it-IT"/>
              </w:rPr>
            </w:pPr>
            <w:r w:rsidRPr="00695874">
              <w:rPr>
                <w:rFonts w:cs="Arial"/>
                <w:sz w:val="16"/>
                <w:szCs w:val="18"/>
                <w:lang w:val="it-IT"/>
              </w:rPr>
              <w:t>n.d.</w:t>
            </w:r>
          </w:p>
        </w:tc>
        <w:tc>
          <w:tcPr>
            <w:tcW w:w="0" w:type="auto"/>
            <w:tcBorders>
              <w:top w:val="nil"/>
              <w:left w:val="nil"/>
              <w:bottom w:val="nil"/>
              <w:right w:val="nil"/>
            </w:tcBorders>
            <w:shd w:val="clear" w:color="auto" w:fill="auto"/>
            <w:hideMark/>
          </w:tcPr>
          <w:p w14:paraId="2D6436F2" w14:textId="65AD842F" w:rsidR="007E4469" w:rsidRPr="00695874" w:rsidRDefault="007E4469" w:rsidP="004B5C11">
            <w:pPr>
              <w:ind w:right="-1"/>
              <w:jc w:val="center"/>
              <w:rPr>
                <w:rFonts w:cs="Arial"/>
                <w:sz w:val="16"/>
                <w:szCs w:val="18"/>
                <w:lang w:val="it-IT"/>
              </w:rPr>
            </w:pPr>
            <w:r w:rsidRPr="00695874">
              <w:rPr>
                <w:rFonts w:cs="Arial"/>
                <w:sz w:val="16"/>
                <w:szCs w:val="18"/>
                <w:lang w:val="it-IT"/>
              </w:rPr>
              <w:t>1</w:t>
            </w:r>
            <w:r w:rsidR="00594857">
              <w:rPr>
                <w:rFonts w:cs="Arial"/>
                <w:sz w:val="16"/>
                <w:szCs w:val="18"/>
                <w:lang w:val="it-IT"/>
              </w:rPr>
              <w:t>.</w:t>
            </w:r>
            <w:r w:rsidRPr="00695874">
              <w:rPr>
                <w:rFonts w:cs="Arial"/>
                <w:sz w:val="16"/>
                <w:szCs w:val="18"/>
                <w:lang w:val="it-IT"/>
              </w:rPr>
              <w:t>82±1</w:t>
            </w:r>
            <w:r w:rsidR="00594857">
              <w:rPr>
                <w:rFonts w:cs="Arial"/>
                <w:sz w:val="16"/>
                <w:szCs w:val="18"/>
                <w:lang w:val="it-IT"/>
              </w:rPr>
              <w:t>.</w:t>
            </w:r>
            <w:r w:rsidRPr="00695874">
              <w:rPr>
                <w:rFonts w:cs="Arial"/>
                <w:sz w:val="16"/>
                <w:szCs w:val="18"/>
                <w:lang w:val="it-IT"/>
              </w:rPr>
              <w:t>34</w:t>
            </w:r>
          </w:p>
        </w:tc>
      </w:tr>
      <w:tr w:rsidR="00594857" w14:paraId="4CBDDBC1" w14:textId="77777777" w:rsidTr="00F52D84">
        <w:trPr>
          <w:trHeight w:val="259"/>
        </w:trPr>
        <w:tc>
          <w:tcPr>
            <w:tcW w:w="851" w:type="dxa"/>
            <w:tcBorders>
              <w:top w:val="nil"/>
              <w:left w:val="nil"/>
              <w:bottom w:val="single" w:sz="18" w:space="0" w:color="5C732F"/>
              <w:right w:val="nil"/>
            </w:tcBorders>
            <w:shd w:val="clear" w:color="auto" w:fill="FFFFFF"/>
            <w:hideMark/>
          </w:tcPr>
          <w:p w14:paraId="2B2D02B7" w14:textId="77777777" w:rsidR="007E4469" w:rsidRDefault="007E4469" w:rsidP="005E6834">
            <w:pPr>
              <w:ind w:right="-1"/>
              <w:jc w:val="left"/>
              <w:rPr>
                <w:rFonts w:cs="Arial"/>
                <w:szCs w:val="18"/>
                <w:lang w:val="it-IT"/>
              </w:rPr>
            </w:pPr>
            <w:r>
              <w:rPr>
                <w:rFonts w:cs="Arial"/>
                <w:szCs w:val="18"/>
                <w:lang w:val="it-IT"/>
              </w:rPr>
              <w:t>WK+SFB</w:t>
            </w:r>
          </w:p>
        </w:tc>
        <w:tc>
          <w:tcPr>
            <w:tcW w:w="1250" w:type="dxa"/>
            <w:tcBorders>
              <w:top w:val="nil"/>
              <w:left w:val="nil"/>
              <w:bottom w:val="single" w:sz="18" w:space="0" w:color="5C732F"/>
              <w:right w:val="nil"/>
            </w:tcBorders>
            <w:shd w:val="clear" w:color="auto" w:fill="FFFFFF"/>
            <w:hideMark/>
          </w:tcPr>
          <w:p w14:paraId="10B2E9B1" w14:textId="043236DE" w:rsidR="007E4469" w:rsidRPr="00695874" w:rsidRDefault="007E4469" w:rsidP="00F52D84">
            <w:pPr>
              <w:ind w:right="-1"/>
              <w:jc w:val="center"/>
              <w:rPr>
                <w:rFonts w:cs="Arial"/>
                <w:sz w:val="16"/>
                <w:szCs w:val="18"/>
                <w:lang w:val="it-IT"/>
              </w:rPr>
            </w:pPr>
            <w:r w:rsidRPr="00695874">
              <w:rPr>
                <w:rFonts w:cs="Arial"/>
                <w:sz w:val="16"/>
                <w:szCs w:val="18"/>
                <w:lang w:val="it-IT"/>
              </w:rPr>
              <w:t>170</w:t>
            </w:r>
            <w:r w:rsidR="00594857">
              <w:rPr>
                <w:rFonts w:cs="Arial"/>
                <w:sz w:val="16"/>
                <w:szCs w:val="18"/>
                <w:lang w:val="it-IT"/>
              </w:rPr>
              <w:t>.</w:t>
            </w:r>
            <w:r w:rsidRPr="00695874">
              <w:rPr>
                <w:rFonts w:cs="Arial"/>
                <w:sz w:val="16"/>
                <w:szCs w:val="18"/>
                <w:lang w:val="it-IT"/>
              </w:rPr>
              <w:t>01</w:t>
            </w:r>
            <w:r w:rsidRPr="00695874">
              <w:rPr>
                <w:sz w:val="16"/>
                <w:szCs w:val="18"/>
                <w:lang w:val="it-IT"/>
              </w:rPr>
              <w:t>±10</w:t>
            </w:r>
            <w:r w:rsidR="00594857">
              <w:rPr>
                <w:sz w:val="16"/>
                <w:szCs w:val="18"/>
                <w:lang w:val="it-IT"/>
              </w:rPr>
              <w:t>.</w:t>
            </w:r>
            <w:r w:rsidRPr="00695874">
              <w:rPr>
                <w:sz w:val="16"/>
                <w:szCs w:val="18"/>
                <w:lang w:val="it-IT"/>
              </w:rPr>
              <w:t>39</w:t>
            </w:r>
          </w:p>
        </w:tc>
        <w:tc>
          <w:tcPr>
            <w:tcW w:w="0" w:type="auto"/>
            <w:tcBorders>
              <w:top w:val="nil"/>
              <w:left w:val="nil"/>
              <w:bottom w:val="single" w:sz="18" w:space="0" w:color="5C732F"/>
              <w:right w:val="nil"/>
            </w:tcBorders>
            <w:shd w:val="clear" w:color="auto" w:fill="FFFFFF"/>
            <w:hideMark/>
          </w:tcPr>
          <w:p w14:paraId="533ED6E6" w14:textId="15253AFC" w:rsidR="007E4469" w:rsidRPr="00695874" w:rsidRDefault="007E4469" w:rsidP="00F52D84">
            <w:pPr>
              <w:ind w:right="-1"/>
              <w:jc w:val="center"/>
              <w:rPr>
                <w:rFonts w:cs="Arial"/>
                <w:sz w:val="16"/>
                <w:szCs w:val="18"/>
                <w:lang w:val="it-IT"/>
              </w:rPr>
            </w:pPr>
            <w:r w:rsidRPr="00695874">
              <w:rPr>
                <w:rFonts w:cs="Arial"/>
                <w:sz w:val="16"/>
                <w:szCs w:val="18"/>
                <w:lang w:val="it-IT"/>
              </w:rPr>
              <w:t>95</w:t>
            </w:r>
            <w:r w:rsidR="00594857">
              <w:rPr>
                <w:rFonts w:cs="Arial"/>
                <w:sz w:val="16"/>
                <w:szCs w:val="18"/>
                <w:lang w:val="it-IT"/>
              </w:rPr>
              <w:t>.</w:t>
            </w:r>
            <w:r w:rsidRPr="00695874">
              <w:rPr>
                <w:rFonts w:cs="Arial"/>
                <w:sz w:val="16"/>
                <w:szCs w:val="18"/>
                <w:lang w:val="it-IT"/>
              </w:rPr>
              <w:t>44</w:t>
            </w:r>
            <w:r w:rsidRPr="00695874">
              <w:rPr>
                <w:sz w:val="16"/>
                <w:szCs w:val="18"/>
                <w:lang w:val="it-IT"/>
              </w:rPr>
              <w:t>±</w:t>
            </w:r>
            <w:r w:rsidR="00695874">
              <w:rPr>
                <w:sz w:val="16"/>
                <w:szCs w:val="18"/>
                <w:lang w:val="it-IT"/>
              </w:rPr>
              <w:t>20</w:t>
            </w:r>
            <w:r w:rsidR="00594857">
              <w:rPr>
                <w:sz w:val="16"/>
                <w:szCs w:val="18"/>
                <w:lang w:val="it-IT"/>
              </w:rPr>
              <w:t>.</w:t>
            </w:r>
            <w:r w:rsidR="00695874">
              <w:rPr>
                <w:sz w:val="16"/>
                <w:szCs w:val="18"/>
                <w:lang w:val="it-IT"/>
              </w:rPr>
              <w:t>54</w:t>
            </w:r>
          </w:p>
        </w:tc>
        <w:tc>
          <w:tcPr>
            <w:tcW w:w="0" w:type="auto"/>
            <w:tcBorders>
              <w:top w:val="nil"/>
              <w:left w:val="nil"/>
              <w:bottom w:val="single" w:sz="18" w:space="0" w:color="5C732F"/>
              <w:right w:val="nil"/>
            </w:tcBorders>
            <w:shd w:val="clear" w:color="auto" w:fill="FFFFFF"/>
            <w:hideMark/>
          </w:tcPr>
          <w:p w14:paraId="2CC7050E" w14:textId="752FB3CD" w:rsidR="007E4469" w:rsidRPr="00695874" w:rsidRDefault="007E4469" w:rsidP="005E6834">
            <w:pPr>
              <w:ind w:right="-1"/>
              <w:jc w:val="center"/>
              <w:rPr>
                <w:rFonts w:cs="Arial"/>
                <w:sz w:val="16"/>
                <w:szCs w:val="18"/>
                <w:lang w:val="it-IT"/>
              </w:rPr>
            </w:pPr>
            <w:r w:rsidRPr="00695874">
              <w:rPr>
                <w:rFonts w:cs="Arial"/>
                <w:sz w:val="16"/>
                <w:szCs w:val="18"/>
                <w:lang w:val="it-IT"/>
              </w:rPr>
              <w:t>8</w:t>
            </w:r>
            <w:r w:rsidR="00594857">
              <w:rPr>
                <w:rFonts w:cs="Arial"/>
                <w:sz w:val="16"/>
                <w:szCs w:val="18"/>
                <w:lang w:val="it-IT"/>
              </w:rPr>
              <w:t>.</w:t>
            </w:r>
            <w:r w:rsidR="004B5C11" w:rsidRPr="00695874">
              <w:rPr>
                <w:rFonts w:cs="Arial"/>
                <w:sz w:val="16"/>
                <w:szCs w:val="18"/>
                <w:lang w:val="it-IT"/>
              </w:rPr>
              <w:t>1</w:t>
            </w:r>
            <w:r w:rsidR="00695874" w:rsidRPr="00695874">
              <w:rPr>
                <w:sz w:val="16"/>
                <w:szCs w:val="18"/>
                <w:lang w:val="it-IT"/>
              </w:rPr>
              <w:t>±</w:t>
            </w:r>
            <w:r w:rsidR="00AC1331">
              <w:rPr>
                <w:sz w:val="16"/>
                <w:szCs w:val="18"/>
                <w:lang w:val="it-IT"/>
              </w:rPr>
              <w:t>0</w:t>
            </w:r>
            <w:r w:rsidR="00594857">
              <w:rPr>
                <w:sz w:val="16"/>
                <w:szCs w:val="18"/>
                <w:lang w:val="it-IT"/>
              </w:rPr>
              <w:t>.</w:t>
            </w:r>
            <w:r w:rsidR="00AC1331">
              <w:rPr>
                <w:sz w:val="16"/>
                <w:szCs w:val="18"/>
                <w:lang w:val="it-IT"/>
              </w:rPr>
              <w:t>8</w:t>
            </w:r>
          </w:p>
        </w:tc>
        <w:tc>
          <w:tcPr>
            <w:tcW w:w="0" w:type="auto"/>
            <w:tcBorders>
              <w:top w:val="nil"/>
              <w:left w:val="nil"/>
              <w:bottom w:val="single" w:sz="18" w:space="0" w:color="5C732F"/>
              <w:right w:val="nil"/>
            </w:tcBorders>
            <w:shd w:val="clear" w:color="auto" w:fill="FFFFFF"/>
            <w:hideMark/>
          </w:tcPr>
          <w:p w14:paraId="77E31F43" w14:textId="6B56B361" w:rsidR="007E4469" w:rsidRPr="00695874" w:rsidRDefault="007E4469" w:rsidP="004B5C11">
            <w:pPr>
              <w:jc w:val="center"/>
              <w:rPr>
                <w:rFonts w:cs="Arial"/>
                <w:sz w:val="16"/>
                <w:szCs w:val="18"/>
                <w:lang w:val="it-IT"/>
              </w:rPr>
            </w:pPr>
            <w:r w:rsidRPr="00695874">
              <w:rPr>
                <w:rFonts w:cs="Arial"/>
                <w:sz w:val="16"/>
                <w:szCs w:val="18"/>
                <w:lang w:val="it-IT"/>
              </w:rPr>
              <w:t>11</w:t>
            </w:r>
            <w:r w:rsidR="00594857">
              <w:rPr>
                <w:rFonts w:cs="Arial"/>
                <w:sz w:val="16"/>
                <w:szCs w:val="18"/>
                <w:lang w:val="it-IT"/>
              </w:rPr>
              <w:t>.</w:t>
            </w:r>
            <w:r w:rsidRPr="00695874">
              <w:rPr>
                <w:rFonts w:cs="Arial"/>
                <w:sz w:val="16"/>
                <w:szCs w:val="18"/>
                <w:lang w:val="it-IT"/>
              </w:rPr>
              <w:t>00</w:t>
            </w:r>
            <w:r w:rsidRPr="00695874">
              <w:rPr>
                <w:sz w:val="16"/>
                <w:szCs w:val="18"/>
                <w:lang w:val="it-IT"/>
              </w:rPr>
              <w:t>±0</w:t>
            </w:r>
            <w:r w:rsidR="00594857">
              <w:rPr>
                <w:sz w:val="16"/>
                <w:szCs w:val="18"/>
                <w:lang w:val="it-IT"/>
              </w:rPr>
              <w:t>.</w:t>
            </w:r>
            <w:r w:rsidRPr="00695874">
              <w:rPr>
                <w:sz w:val="16"/>
                <w:szCs w:val="18"/>
                <w:lang w:val="it-IT"/>
              </w:rPr>
              <w:t>04</w:t>
            </w:r>
          </w:p>
        </w:tc>
        <w:tc>
          <w:tcPr>
            <w:tcW w:w="0" w:type="auto"/>
            <w:tcBorders>
              <w:top w:val="nil"/>
              <w:left w:val="nil"/>
              <w:bottom w:val="single" w:sz="18" w:space="0" w:color="5C732F"/>
              <w:right w:val="nil"/>
            </w:tcBorders>
            <w:shd w:val="clear" w:color="auto" w:fill="FFFFFF"/>
            <w:hideMark/>
          </w:tcPr>
          <w:p w14:paraId="4A756A62" w14:textId="54433F30" w:rsidR="007E4469" w:rsidRPr="00695874" w:rsidRDefault="007E4469" w:rsidP="004B5C11">
            <w:pPr>
              <w:jc w:val="center"/>
              <w:rPr>
                <w:rFonts w:cs="Arial"/>
                <w:sz w:val="16"/>
                <w:szCs w:val="18"/>
                <w:lang w:val="it-IT"/>
              </w:rPr>
            </w:pPr>
            <w:r w:rsidRPr="00695874">
              <w:rPr>
                <w:rFonts w:cs="Arial"/>
                <w:sz w:val="16"/>
                <w:szCs w:val="18"/>
                <w:lang w:val="it-IT"/>
              </w:rPr>
              <w:t>4</w:t>
            </w:r>
            <w:r w:rsidR="00594857">
              <w:rPr>
                <w:rFonts w:cs="Arial"/>
                <w:sz w:val="16"/>
                <w:szCs w:val="18"/>
                <w:lang w:val="it-IT"/>
              </w:rPr>
              <w:t>.</w:t>
            </w:r>
            <w:r w:rsidRPr="00695874">
              <w:rPr>
                <w:rFonts w:cs="Arial"/>
                <w:sz w:val="16"/>
                <w:szCs w:val="18"/>
                <w:lang w:val="it-IT"/>
              </w:rPr>
              <w:t>16</w:t>
            </w:r>
            <w:r w:rsidRPr="00695874">
              <w:rPr>
                <w:sz w:val="16"/>
                <w:szCs w:val="18"/>
                <w:lang w:val="it-IT"/>
              </w:rPr>
              <w:t>±0</w:t>
            </w:r>
            <w:r w:rsidR="00594857">
              <w:rPr>
                <w:sz w:val="16"/>
                <w:szCs w:val="18"/>
                <w:lang w:val="it-IT"/>
              </w:rPr>
              <w:t>.</w:t>
            </w:r>
            <w:r w:rsidRPr="00695874">
              <w:rPr>
                <w:sz w:val="16"/>
                <w:szCs w:val="18"/>
                <w:lang w:val="it-IT"/>
              </w:rPr>
              <w:t>54</w:t>
            </w:r>
          </w:p>
        </w:tc>
        <w:tc>
          <w:tcPr>
            <w:tcW w:w="0" w:type="auto"/>
            <w:tcBorders>
              <w:top w:val="nil"/>
              <w:left w:val="nil"/>
              <w:bottom w:val="single" w:sz="18" w:space="0" w:color="5C732F"/>
              <w:right w:val="nil"/>
            </w:tcBorders>
            <w:shd w:val="clear" w:color="auto" w:fill="FFFFFF"/>
            <w:hideMark/>
          </w:tcPr>
          <w:p w14:paraId="469BD793" w14:textId="23E124D2" w:rsidR="007E4469" w:rsidRPr="00695874" w:rsidRDefault="007E4469" w:rsidP="004B5C11">
            <w:pPr>
              <w:ind w:right="-1"/>
              <w:jc w:val="center"/>
              <w:rPr>
                <w:rFonts w:cs="Arial"/>
                <w:sz w:val="16"/>
                <w:szCs w:val="18"/>
                <w:lang w:val="it-IT"/>
              </w:rPr>
            </w:pPr>
            <w:r w:rsidRPr="00695874">
              <w:rPr>
                <w:rFonts w:cs="Arial"/>
                <w:sz w:val="16"/>
                <w:szCs w:val="18"/>
                <w:lang w:val="it-IT"/>
              </w:rPr>
              <w:t>41</w:t>
            </w:r>
            <w:r w:rsidR="00594857">
              <w:rPr>
                <w:rFonts w:cs="Arial"/>
                <w:sz w:val="16"/>
                <w:szCs w:val="18"/>
                <w:lang w:val="it-IT"/>
              </w:rPr>
              <w:t>.</w:t>
            </w:r>
            <w:r w:rsidRPr="00695874">
              <w:rPr>
                <w:rFonts w:cs="Arial"/>
                <w:sz w:val="16"/>
                <w:szCs w:val="18"/>
                <w:lang w:val="it-IT"/>
              </w:rPr>
              <w:t>6±2</w:t>
            </w:r>
            <w:r w:rsidR="00594857">
              <w:rPr>
                <w:rFonts w:cs="Arial"/>
                <w:sz w:val="16"/>
                <w:szCs w:val="18"/>
                <w:lang w:val="it-IT"/>
              </w:rPr>
              <w:t>.</w:t>
            </w:r>
            <w:r w:rsidRPr="00695874">
              <w:rPr>
                <w:rFonts w:cs="Arial"/>
                <w:sz w:val="16"/>
                <w:szCs w:val="18"/>
                <w:lang w:val="it-IT"/>
              </w:rPr>
              <w:t>3</w:t>
            </w:r>
          </w:p>
        </w:tc>
        <w:tc>
          <w:tcPr>
            <w:tcW w:w="0" w:type="auto"/>
            <w:tcBorders>
              <w:top w:val="nil"/>
              <w:left w:val="nil"/>
              <w:bottom w:val="single" w:sz="18" w:space="0" w:color="5C732F"/>
              <w:right w:val="nil"/>
            </w:tcBorders>
            <w:shd w:val="clear" w:color="auto" w:fill="FFFFFF"/>
            <w:hideMark/>
          </w:tcPr>
          <w:p w14:paraId="0C837996" w14:textId="1169C027" w:rsidR="007E4469" w:rsidRPr="00695874" w:rsidRDefault="007E4469" w:rsidP="004B5C11">
            <w:pPr>
              <w:ind w:right="-1"/>
              <w:jc w:val="center"/>
              <w:rPr>
                <w:rFonts w:cs="Arial"/>
                <w:sz w:val="16"/>
                <w:szCs w:val="18"/>
                <w:lang w:val="it-IT"/>
              </w:rPr>
            </w:pPr>
            <w:r w:rsidRPr="00695874">
              <w:rPr>
                <w:rFonts w:cs="Arial"/>
                <w:sz w:val="16"/>
                <w:szCs w:val="18"/>
                <w:lang w:val="it-IT"/>
              </w:rPr>
              <w:t>2</w:t>
            </w:r>
            <w:r w:rsidR="00594857">
              <w:rPr>
                <w:rFonts w:cs="Arial"/>
                <w:sz w:val="16"/>
                <w:szCs w:val="18"/>
                <w:lang w:val="it-IT"/>
              </w:rPr>
              <w:t>.</w:t>
            </w:r>
            <w:r w:rsidRPr="00695874">
              <w:rPr>
                <w:rFonts w:cs="Arial"/>
                <w:sz w:val="16"/>
                <w:szCs w:val="18"/>
                <w:lang w:val="it-IT"/>
              </w:rPr>
              <w:t>88±1</w:t>
            </w:r>
            <w:r w:rsidR="00594857">
              <w:rPr>
                <w:rFonts w:cs="Arial"/>
                <w:sz w:val="16"/>
                <w:szCs w:val="18"/>
                <w:lang w:val="it-IT"/>
              </w:rPr>
              <w:t>.</w:t>
            </w:r>
            <w:r w:rsidRPr="00695874">
              <w:rPr>
                <w:rFonts w:cs="Arial"/>
                <w:sz w:val="16"/>
                <w:szCs w:val="18"/>
                <w:lang w:val="it-IT"/>
              </w:rPr>
              <w:t>44</w:t>
            </w:r>
          </w:p>
        </w:tc>
        <w:tc>
          <w:tcPr>
            <w:tcW w:w="0" w:type="auto"/>
            <w:tcBorders>
              <w:top w:val="nil"/>
              <w:left w:val="nil"/>
              <w:bottom w:val="single" w:sz="18" w:space="0" w:color="5C732F"/>
              <w:right w:val="nil"/>
            </w:tcBorders>
            <w:shd w:val="clear" w:color="auto" w:fill="FFFFFF"/>
            <w:hideMark/>
          </w:tcPr>
          <w:p w14:paraId="5958FFB9" w14:textId="5DD32F1E" w:rsidR="007E4469" w:rsidRPr="00695874" w:rsidRDefault="007E4469" w:rsidP="004B5C11">
            <w:pPr>
              <w:ind w:right="-1"/>
              <w:jc w:val="center"/>
              <w:rPr>
                <w:rFonts w:cs="Arial"/>
                <w:sz w:val="16"/>
                <w:szCs w:val="18"/>
                <w:lang w:val="it-IT"/>
              </w:rPr>
            </w:pPr>
            <w:r w:rsidRPr="00695874">
              <w:rPr>
                <w:rFonts w:cs="Arial"/>
                <w:sz w:val="16"/>
                <w:szCs w:val="18"/>
                <w:lang w:val="it-IT"/>
              </w:rPr>
              <w:t>23</w:t>
            </w:r>
            <w:r w:rsidR="00594857">
              <w:rPr>
                <w:rFonts w:cs="Arial"/>
                <w:sz w:val="16"/>
                <w:szCs w:val="18"/>
                <w:lang w:val="it-IT"/>
              </w:rPr>
              <w:t>.</w:t>
            </w:r>
            <w:r w:rsidRPr="00695874">
              <w:rPr>
                <w:rFonts w:cs="Arial"/>
                <w:sz w:val="16"/>
                <w:szCs w:val="18"/>
                <w:lang w:val="it-IT"/>
              </w:rPr>
              <w:t>52±12</w:t>
            </w:r>
            <w:r w:rsidR="00594857">
              <w:rPr>
                <w:rFonts w:cs="Arial"/>
                <w:sz w:val="16"/>
                <w:szCs w:val="18"/>
                <w:lang w:val="it-IT"/>
              </w:rPr>
              <w:t>.</w:t>
            </w:r>
            <w:r w:rsidRPr="00695874">
              <w:rPr>
                <w:rFonts w:cs="Arial"/>
                <w:sz w:val="16"/>
                <w:szCs w:val="18"/>
                <w:lang w:val="it-IT"/>
              </w:rPr>
              <w:t>18</w:t>
            </w:r>
          </w:p>
        </w:tc>
        <w:tc>
          <w:tcPr>
            <w:tcW w:w="0" w:type="auto"/>
            <w:tcBorders>
              <w:top w:val="nil"/>
              <w:left w:val="nil"/>
              <w:bottom w:val="single" w:sz="18" w:space="0" w:color="5C732F"/>
              <w:right w:val="nil"/>
            </w:tcBorders>
            <w:shd w:val="clear" w:color="auto" w:fill="FFFFFF"/>
            <w:hideMark/>
          </w:tcPr>
          <w:p w14:paraId="1C3F8AD5" w14:textId="636C4C29" w:rsidR="007E4469" w:rsidRPr="00695874" w:rsidRDefault="007E4469" w:rsidP="004B5C11">
            <w:pPr>
              <w:ind w:right="-1"/>
              <w:jc w:val="center"/>
              <w:rPr>
                <w:rFonts w:cs="Arial"/>
                <w:sz w:val="16"/>
                <w:szCs w:val="18"/>
                <w:lang w:val="it-IT"/>
              </w:rPr>
            </w:pPr>
            <w:r w:rsidRPr="00695874">
              <w:rPr>
                <w:rFonts w:cs="Arial"/>
                <w:sz w:val="16"/>
                <w:szCs w:val="18"/>
                <w:lang w:val="it-IT"/>
              </w:rPr>
              <w:t>2</w:t>
            </w:r>
            <w:r w:rsidR="00594857">
              <w:rPr>
                <w:rFonts w:cs="Arial"/>
                <w:sz w:val="16"/>
                <w:szCs w:val="18"/>
                <w:lang w:val="it-IT"/>
              </w:rPr>
              <w:t>.</w:t>
            </w:r>
            <w:r w:rsidRPr="00695874">
              <w:rPr>
                <w:rFonts w:cs="Arial"/>
                <w:sz w:val="16"/>
                <w:szCs w:val="18"/>
                <w:lang w:val="it-IT"/>
              </w:rPr>
              <w:t>45±1</w:t>
            </w:r>
            <w:r w:rsidR="00594857">
              <w:rPr>
                <w:rFonts w:cs="Arial"/>
                <w:sz w:val="16"/>
                <w:szCs w:val="18"/>
                <w:lang w:val="it-IT"/>
              </w:rPr>
              <w:t>.</w:t>
            </w:r>
            <w:r w:rsidRPr="00695874">
              <w:rPr>
                <w:rFonts w:cs="Arial"/>
                <w:sz w:val="16"/>
                <w:szCs w:val="18"/>
                <w:lang w:val="it-IT"/>
              </w:rPr>
              <w:t>26</w:t>
            </w:r>
          </w:p>
        </w:tc>
      </w:tr>
    </w:tbl>
    <w:p w14:paraId="0CE8DCAC" w14:textId="4D4E267E" w:rsidR="00F52D84" w:rsidRPr="00F52D84" w:rsidRDefault="00F52D84" w:rsidP="00980D6F">
      <w:pPr>
        <w:pStyle w:val="CETHeading1"/>
        <w:numPr>
          <w:ilvl w:val="0"/>
          <w:numId w:val="0"/>
        </w:numPr>
        <w:spacing w:before="0"/>
        <w:rPr>
          <w:b w:val="0"/>
          <w:i/>
          <w:iCs/>
          <w:sz w:val="14"/>
          <w:szCs w:val="14"/>
        </w:rPr>
      </w:pPr>
      <w:r w:rsidRPr="00F52D84">
        <w:rPr>
          <w:b w:val="0"/>
          <w:i/>
          <w:iCs/>
          <w:sz w:val="14"/>
          <w:szCs w:val="14"/>
        </w:rPr>
        <w:t>LA: lactic acid; AA: acetic acid; EtOH: ethanol</w:t>
      </w:r>
      <w:r w:rsidR="004B5C11">
        <w:rPr>
          <w:b w:val="0"/>
          <w:i/>
          <w:iCs/>
          <w:sz w:val="14"/>
          <w:szCs w:val="14"/>
        </w:rPr>
        <w:t>.</w:t>
      </w:r>
    </w:p>
    <w:p w14:paraId="68D26B83" w14:textId="38A0D3C4" w:rsidR="00600535" w:rsidRPr="00F166AF" w:rsidRDefault="00600535" w:rsidP="00600535">
      <w:pPr>
        <w:pStyle w:val="CETHeading1"/>
        <w:rPr>
          <w:lang w:val="en-GB"/>
        </w:rPr>
      </w:pPr>
      <w:r w:rsidRPr="00F166AF">
        <w:rPr>
          <w:lang w:val="en-GB"/>
        </w:rPr>
        <w:t>Conclusions</w:t>
      </w:r>
    </w:p>
    <w:p w14:paraId="46E55E66" w14:textId="6D5C5174" w:rsidR="008D325B" w:rsidRDefault="001227BF" w:rsidP="00D731BE">
      <w:pPr>
        <w:pStyle w:val="CETBodytext"/>
        <w:rPr>
          <w:lang w:val="en-GB"/>
        </w:rPr>
      </w:pPr>
      <w:r w:rsidRPr="001227BF">
        <w:rPr>
          <w:lang w:val="en-GB"/>
        </w:rPr>
        <w:t xml:space="preserve">Inocula compatibility tests were performed by mixing two indigenous sources, consisting in Spore-Forming Bacteria </w:t>
      </w:r>
      <w:r w:rsidR="00BD6003">
        <w:rPr>
          <w:lang w:val="en-GB"/>
        </w:rPr>
        <w:t xml:space="preserve">(SFB) </w:t>
      </w:r>
      <w:r w:rsidRPr="001227BF">
        <w:rPr>
          <w:lang w:val="en-GB"/>
        </w:rPr>
        <w:t>and Water Kefir</w:t>
      </w:r>
      <w:r w:rsidR="00BD6003">
        <w:rPr>
          <w:lang w:val="en-GB"/>
        </w:rPr>
        <w:t xml:space="preserve"> (WK)</w:t>
      </w:r>
      <w:r w:rsidRPr="001227BF">
        <w:rPr>
          <w:lang w:val="en-GB"/>
        </w:rPr>
        <w:t>. These inocula were first properly selected</w:t>
      </w:r>
      <w:r w:rsidR="00BD6003" w:rsidRPr="00BD6003">
        <w:rPr>
          <w:lang w:val="en-GB"/>
        </w:rPr>
        <w:t xml:space="preserve"> </w:t>
      </w:r>
      <w:r w:rsidR="00BD6003">
        <w:rPr>
          <w:lang w:val="en-GB"/>
        </w:rPr>
        <w:t xml:space="preserve">and </w:t>
      </w:r>
      <w:r w:rsidR="00BD6003" w:rsidRPr="001227BF">
        <w:rPr>
          <w:lang w:val="en-GB"/>
        </w:rPr>
        <w:t>maintained</w:t>
      </w:r>
      <w:r w:rsidRPr="001227BF">
        <w:rPr>
          <w:lang w:val="en-GB"/>
        </w:rPr>
        <w:t xml:space="preserve">, and then were tested to ascertain the synergistic effects </w:t>
      </w:r>
      <w:r w:rsidR="00BD6003" w:rsidRPr="001227BF">
        <w:rPr>
          <w:lang w:val="en-GB"/>
        </w:rPr>
        <w:t>(SFB+WK)</w:t>
      </w:r>
      <w:r w:rsidR="00BD6003">
        <w:rPr>
          <w:lang w:val="en-GB"/>
        </w:rPr>
        <w:t xml:space="preserve"> </w:t>
      </w:r>
      <w:r w:rsidRPr="001227BF">
        <w:rPr>
          <w:lang w:val="en-GB"/>
        </w:rPr>
        <w:t>in mixed yeast</w:t>
      </w:r>
      <w:r w:rsidR="008B63E7">
        <w:rPr>
          <w:lang w:val="en-GB"/>
        </w:rPr>
        <w:t>s-</w:t>
      </w:r>
      <w:r w:rsidRPr="001227BF">
        <w:rPr>
          <w:lang w:val="en-GB"/>
        </w:rPr>
        <w:t>bacteria</w:t>
      </w:r>
      <w:r w:rsidR="00BD6003">
        <w:rPr>
          <w:lang w:val="en-GB"/>
        </w:rPr>
        <w:t xml:space="preserve"> batch anaerobic</w:t>
      </w:r>
      <w:r w:rsidR="008B63E7">
        <w:rPr>
          <w:lang w:val="en-GB"/>
        </w:rPr>
        <w:t xml:space="preserve"> fermentation</w:t>
      </w:r>
      <w:r w:rsidRPr="001227BF">
        <w:rPr>
          <w:lang w:val="en-GB"/>
        </w:rPr>
        <w:t xml:space="preserve"> tests using a </w:t>
      </w:r>
      <w:r w:rsidR="007A556C">
        <w:rPr>
          <w:lang w:val="en-GB"/>
        </w:rPr>
        <w:t>residual biomass</w:t>
      </w:r>
      <w:r w:rsidRPr="001227BF">
        <w:rPr>
          <w:lang w:val="en-GB"/>
        </w:rPr>
        <w:t xml:space="preserve"> (stale bread) as substrate.</w:t>
      </w:r>
      <w:r w:rsidR="007A556C">
        <w:rPr>
          <w:lang w:val="en-GB"/>
        </w:rPr>
        <w:t xml:space="preserve"> </w:t>
      </w:r>
      <w:r w:rsidR="00A0201A">
        <w:rPr>
          <w:lang w:val="en-GB"/>
        </w:rPr>
        <w:t>The</w:t>
      </w:r>
      <w:r w:rsidR="00A0201A" w:rsidRPr="001227BF">
        <w:rPr>
          <w:lang w:val="en-GB"/>
        </w:rPr>
        <w:t xml:space="preserve"> </w:t>
      </w:r>
      <w:r w:rsidRPr="001227BF">
        <w:rPr>
          <w:lang w:val="en-GB"/>
        </w:rPr>
        <w:t xml:space="preserve">basic </w:t>
      </w:r>
      <w:r w:rsidR="00BD6003" w:rsidRPr="001227BF">
        <w:rPr>
          <w:lang w:val="en-GB"/>
        </w:rPr>
        <w:t>pre-treatment</w:t>
      </w:r>
      <w:r w:rsidRPr="001227BF">
        <w:rPr>
          <w:lang w:val="en-GB"/>
        </w:rPr>
        <w:t xml:space="preserve"> was </w:t>
      </w:r>
      <w:r w:rsidR="007A556C">
        <w:rPr>
          <w:lang w:val="en-GB"/>
        </w:rPr>
        <w:t xml:space="preserve">applied on the substrate </w:t>
      </w:r>
      <w:r w:rsidRPr="001227BF">
        <w:rPr>
          <w:lang w:val="en-GB"/>
        </w:rPr>
        <w:t>and during the inocula compatibility cycles, a decreasing lag phase and increasing gas evolution were observed.</w:t>
      </w:r>
      <w:r w:rsidR="00BD6003">
        <w:rPr>
          <w:lang w:val="en-GB"/>
        </w:rPr>
        <w:t xml:space="preserve"> </w:t>
      </w:r>
      <w:r w:rsidR="00F47BBB" w:rsidRPr="00F47BBB">
        <w:rPr>
          <w:lang w:val="en-GB"/>
        </w:rPr>
        <w:t>H</w:t>
      </w:r>
      <w:r w:rsidR="009320AD" w:rsidRPr="00F47BBB">
        <w:rPr>
          <w:lang w:val="en-GB"/>
        </w:rPr>
        <w:t>ydroly</w:t>
      </w:r>
      <w:r w:rsidR="00E31968" w:rsidRPr="00F47BBB">
        <w:rPr>
          <w:lang w:val="en-GB"/>
        </w:rPr>
        <w:t>tic</w:t>
      </w:r>
      <w:r w:rsidR="009320AD" w:rsidRPr="00F47BBB">
        <w:rPr>
          <w:lang w:val="en-GB"/>
        </w:rPr>
        <w:t xml:space="preserve"> activity </w:t>
      </w:r>
      <w:r w:rsidR="00F47BBB" w:rsidRPr="00F47BBB">
        <w:rPr>
          <w:lang w:val="en-GB"/>
        </w:rPr>
        <w:t xml:space="preserve">was encountered in all systems, </w:t>
      </w:r>
      <w:r w:rsidR="009253AF" w:rsidRPr="00F47BBB">
        <w:rPr>
          <w:lang w:val="en-GB"/>
        </w:rPr>
        <w:t>but</w:t>
      </w:r>
      <w:r w:rsidR="0035551E" w:rsidRPr="00F47BBB">
        <w:rPr>
          <w:lang w:val="en-GB"/>
        </w:rPr>
        <w:t xml:space="preserve"> the</w:t>
      </w:r>
      <w:r w:rsidR="00BD19F0" w:rsidRPr="00F47BBB">
        <w:rPr>
          <w:lang w:val="en-GB"/>
        </w:rPr>
        <w:t xml:space="preserve"> </w:t>
      </w:r>
      <w:r w:rsidR="00A0201A">
        <w:rPr>
          <w:lang w:val="en-GB"/>
        </w:rPr>
        <w:t xml:space="preserve">(SFB+WK) system </w:t>
      </w:r>
      <w:r w:rsidR="00F47BBB" w:rsidRPr="00F47BBB">
        <w:rPr>
          <w:lang w:val="en-GB"/>
        </w:rPr>
        <w:t>resulted in higher maltose concentrations</w:t>
      </w:r>
      <w:r w:rsidR="00E12EEA" w:rsidRPr="00F47BBB">
        <w:rPr>
          <w:lang w:val="en-GB"/>
        </w:rPr>
        <w:t xml:space="preserve"> </w:t>
      </w:r>
      <w:r w:rsidR="00567D81" w:rsidRPr="00F47BBB">
        <w:rPr>
          <w:lang w:val="en-GB"/>
        </w:rPr>
        <w:t xml:space="preserve">compared </w:t>
      </w:r>
      <w:r w:rsidR="00A51DE3" w:rsidRPr="00F47BBB">
        <w:rPr>
          <w:lang w:val="en-GB"/>
        </w:rPr>
        <w:t>to the other</w:t>
      </w:r>
      <w:r w:rsidR="00F47BBB" w:rsidRPr="00F47BBB">
        <w:rPr>
          <w:lang w:val="en-GB"/>
        </w:rPr>
        <w:t>s</w:t>
      </w:r>
      <w:r w:rsidR="008D5A97">
        <w:rPr>
          <w:lang w:val="en-GB"/>
        </w:rPr>
        <w:t>, as well as</w:t>
      </w:r>
      <w:r w:rsidR="008D325B">
        <w:rPr>
          <w:lang w:val="en-GB"/>
        </w:rPr>
        <w:t xml:space="preserve"> </w:t>
      </w:r>
      <w:r w:rsidR="00F47BBB">
        <w:rPr>
          <w:lang w:val="en-GB"/>
        </w:rPr>
        <w:t>the highest</w:t>
      </w:r>
      <w:r w:rsidR="00885D25" w:rsidRPr="00F47BBB">
        <w:rPr>
          <w:lang w:val="en-GB"/>
        </w:rPr>
        <w:t xml:space="preserve"> hydrogen,</w:t>
      </w:r>
      <w:r w:rsidR="008D5A97">
        <w:rPr>
          <w:lang w:val="en-GB"/>
        </w:rPr>
        <w:t xml:space="preserve"> </w:t>
      </w:r>
      <w:r w:rsidR="00885D25" w:rsidRPr="00F47BBB">
        <w:rPr>
          <w:lang w:val="en-GB"/>
        </w:rPr>
        <w:t>ethanol and organic acid producti</w:t>
      </w:r>
      <w:r w:rsidR="00F47BBB">
        <w:rPr>
          <w:lang w:val="en-GB"/>
        </w:rPr>
        <w:t>vit</w:t>
      </w:r>
      <w:r w:rsidR="008D5A97">
        <w:rPr>
          <w:lang w:val="en-GB"/>
        </w:rPr>
        <w:t>ies</w:t>
      </w:r>
      <w:r w:rsidR="00F47BBB">
        <w:rPr>
          <w:lang w:val="en-GB"/>
        </w:rPr>
        <w:t>.</w:t>
      </w:r>
      <w:r w:rsidR="00885D25" w:rsidRPr="00F47BBB">
        <w:rPr>
          <w:lang w:val="en-GB"/>
        </w:rPr>
        <w:t xml:space="preserve"> </w:t>
      </w:r>
      <w:r w:rsidR="00F47BBB">
        <w:rPr>
          <w:lang w:val="en-GB"/>
        </w:rPr>
        <w:t>H</w:t>
      </w:r>
      <w:r w:rsidR="008D325B">
        <w:rPr>
          <w:lang w:val="en-GB"/>
        </w:rPr>
        <w:t>ence</w:t>
      </w:r>
      <w:r w:rsidR="00F47BBB">
        <w:rPr>
          <w:lang w:val="en-GB"/>
        </w:rPr>
        <w:t>, it</w:t>
      </w:r>
      <w:r w:rsidR="00885D25" w:rsidRPr="00F47BBB">
        <w:rPr>
          <w:lang w:val="en-GB"/>
        </w:rPr>
        <w:t xml:space="preserve"> is possible conclude that WK+SFB consortia</w:t>
      </w:r>
      <w:r w:rsidR="008D325B">
        <w:rPr>
          <w:lang w:val="en-GB"/>
        </w:rPr>
        <w:t xml:space="preserve"> could be a promising inoculum for MYB tests. </w:t>
      </w:r>
      <w:r w:rsidR="008B63E7">
        <w:rPr>
          <w:lang w:val="en-GB"/>
        </w:rPr>
        <w:t>Although</w:t>
      </w:r>
      <w:r w:rsidR="008D325B">
        <w:rPr>
          <w:lang w:val="en-GB"/>
        </w:rPr>
        <w:t>, t</w:t>
      </w:r>
      <w:r w:rsidR="008D325B" w:rsidRPr="008D325B">
        <w:rPr>
          <w:lang w:val="en-GB"/>
        </w:rPr>
        <w:t>his type of compatibility test</w:t>
      </w:r>
      <w:r w:rsidR="008D325B">
        <w:rPr>
          <w:lang w:val="en-GB"/>
        </w:rPr>
        <w:t xml:space="preserve">s </w:t>
      </w:r>
      <w:r w:rsidR="008D325B" w:rsidRPr="008D325B">
        <w:rPr>
          <w:lang w:val="en-GB"/>
        </w:rPr>
        <w:t>is limited by the lack of pH control</w:t>
      </w:r>
      <w:r w:rsidR="00F53BB7">
        <w:rPr>
          <w:lang w:val="en-GB"/>
        </w:rPr>
        <w:t xml:space="preserve"> and quantitative microbial groups identification, </w:t>
      </w:r>
      <w:r w:rsidR="008D325B" w:rsidRPr="008D325B">
        <w:rPr>
          <w:lang w:val="en-GB"/>
        </w:rPr>
        <w:t>it sheds light on</w:t>
      </w:r>
      <w:r w:rsidR="00F53BB7">
        <w:rPr>
          <w:lang w:val="en-GB"/>
        </w:rPr>
        <w:t xml:space="preserve"> the</w:t>
      </w:r>
      <w:r w:rsidR="008D325B" w:rsidRPr="008D325B">
        <w:rPr>
          <w:lang w:val="en-GB"/>
        </w:rPr>
        <w:t xml:space="preserve"> </w:t>
      </w:r>
      <w:r w:rsidR="008B63E7">
        <w:rPr>
          <w:lang w:val="en-GB"/>
        </w:rPr>
        <w:t xml:space="preserve">initial performance </w:t>
      </w:r>
      <w:r w:rsidR="00F53BB7">
        <w:rPr>
          <w:lang w:val="en-GB"/>
        </w:rPr>
        <w:t xml:space="preserve">of the systems. Further investigations </w:t>
      </w:r>
      <w:r w:rsidR="002C042B" w:rsidRPr="002C042B">
        <w:rPr>
          <w:lang w:val="en-GB"/>
        </w:rPr>
        <w:t>should</w:t>
      </w:r>
      <w:r w:rsidR="007950D5">
        <w:rPr>
          <w:lang w:val="en-GB"/>
        </w:rPr>
        <w:t xml:space="preserve"> asses the effects of</w:t>
      </w:r>
      <w:r w:rsidR="008D325B" w:rsidRPr="008D325B">
        <w:rPr>
          <w:lang w:val="en-GB"/>
        </w:rPr>
        <w:t xml:space="preserve"> the </w:t>
      </w:r>
      <w:r w:rsidR="007950D5">
        <w:rPr>
          <w:lang w:val="en-GB"/>
        </w:rPr>
        <w:t xml:space="preserve">mixing </w:t>
      </w:r>
      <w:r w:rsidR="008D325B" w:rsidRPr="008D325B">
        <w:rPr>
          <w:lang w:val="en-GB"/>
        </w:rPr>
        <w:t xml:space="preserve">ratio </w:t>
      </w:r>
      <w:r w:rsidR="007950D5">
        <w:rPr>
          <w:lang w:val="en-GB"/>
        </w:rPr>
        <w:t>between</w:t>
      </w:r>
      <w:r w:rsidR="008D325B" w:rsidRPr="008D325B">
        <w:rPr>
          <w:lang w:val="en-GB"/>
        </w:rPr>
        <w:t xml:space="preserve"> inocula</w:t>
      </w:r>
      <w:r w:rsidR="007950D5">
        <w:rPr>
          <w:lang w:val="en-GB"/>
        </w:rPr>
        <w:t xml:space="preserve"> </w:t>
      </w:r>
      <w:r w:rsidR="008D325B" w:rsidRPr="008D325B">
        <w:rPr>
          <w:lang w:val="en-GB"/>
        </w:rPr>
        <w:t xml:space="preserve">(here only 1:1 </w:t>
      </w:r>
      <w:r w:rsidR="008D325B" w:rsidRPr="008D325B">
        <w:rPr>
          <w:i/>
          <w:iCs/>
          <w:lang w:val="en-GB"/>
        </w:rPr>
        <w:t xml:space="preserve">v/v </w:t>
      </w:r>
      <w:r w:rsidR="008D325B" w:rsidRPr="008D325B">
        <w:rPr>
          <w:lang w:val="en-GB"/>
        </w:rPr>
        <w:t>was tested)</w:t>
      </w:r>
      <w:r w:rsidR="00F53BB7">
        <w:rPr>
          <w:lang w:val="en-GB"/>
        </w:rPr>
        <w:t xml:space="preserve">, test </w:t>
      </w:r>
      <w:r w:rsidR="00F53BB7" w:rsidRPr="008D325B">
        <w:rPr>
          <w:lang w:val="en-GB"/>
        </w:rPr>
        <w:t>lower substrate</w:t>
      </w:r>
      <w:r w:rsidR="00F53BB7">
        <w:rPr>
          <w:lang w:val="en-GB"/>
        </w:rPr>
        <w:t xml:space="preserve"> loads or manipulate the consortia to tune the metabolism towards the desired products, </w:t>
      </w:r>
      <w:r w:rsidR="007A556C">
        <w:rPr>
          <w:lang w:val="en-GB"/>
        </w:rPr>
        <w:t>as well as</w:t>
      </w:r>
      <w:r w:rsidR="00F53BB7">
        <w:rPr>
          <w:lang w:val="en-GB"/>
        </w:rPr>
        <w:t xml:space="preserve"> </w:t>
      </w:r>
      <w:r w:rsidR="002C042B" w:rsidRPr="002C042B">
        <w:rPr>
          <w:lang w:val="en-GB"/>
        </w:rPr>
        <w:t xml:space="preserve">to investigate </w:t>
      </w:r>
      <w:r w:rsidR="00F53BB7">
        <w:rPr>
          <w:lang w:val="en-GB"/>
        </w:rPr>
        <w:t xml:space="preserve">the fermentation dynamics </w:t>
      </w:r>
      <w:r w:rsidR="008D325B">
        <w:rPr>
          <w:lang w:val="en-GB"/>
        </w:rPr>
        <w:t xml:space="preserve">for </w:t>
      </w:r>
      <w:r w:rsidR="008D325B" w:rsidRPr="008D325B">
        <w:rPr>
          <w:lang w:val="en-GB"/>
        </w:rPr>
        <w:t>scaling</w:t>
      </w:r>
      <w:r w:rsidR="008D325B">
        <w:rPr>
          <w:lang w:val="en-GB"/>
        </w:rPr>
        <w:t>-up purposes</w:t>
      </w:r>
      <w:r w:rsidR="002C042B">
        <w:rPr>
          <w:lang w:val="en-GB"/>
        </w:rPr>
        <w:t>.</w:t>
      </w:r>
    </w:p>
    <w:p w14:paraId="653A701B" w14:textId="721E9D74" w:rsidR="00F45FA8" w:rsidRPr="00C21776" w:rsidRDefault="00600535" w:rsidP="00C21776">
      <w:pPr>
        <w:pStyle w:val="CETReference"/>
      </w:pPr>
      <w:r w:rsidRPr="00B57B36">
        <w:t>References</w:t>
      </w:r>
    </w:p>
    <w:p w14:paraId="14A0EBE7" w14:textId="211FC91C" w:rsidR="00C21776" w:rsidRDefault="00C21776" w:rsidP="001E7F0E">
      <w:pPr>
        <w:pStyle w:val="CETReferencetext"/>
        <w:ind w:left="0" w:firstLine="0"/>
      </w:pPr>
      <w:r>
        <w:t>Dionisi D. and Silva I.M.O., 2016, Production of ethanol, organic acids and hydrogen: an opportunity for mixed culture biotechnology?, Reviews in Environmental Science and Biotechnology, 15(2), 213–242.</w:t>
      </w:r>
    </w:p>
    <w:p w14:paraId="7C86B57C" w14:textId="478CFFE8" w:rsidR="00C21776" w:rsidRDefault="00C21776" w:rsidP="001E7F0E">
      <w:pPr>
        <w:pStyle w:val="CETReferencetext"/>
        <w:ind w:left="0" w:firstLine="0"/>
      </w:pPr>
      <w:r>
        <w:t>Gómez-Camacho C. E. et al., 2021, Monitoring the Physiological State in the Dark Fermentation of Maize/Grass Silage Using Flow Cytometry and Electrooptic Polarizability Measurements, Bioenergy Res</w:t>
      </w:r>
      <w:r w:rsidR="001E7F0E">
        <w:t>.</w:t>
      </w:r>
      <w:r>
        <w:t xml:space="preserve">, 14(3), 910–923. </w:t>
      </w:r>
    </w:p>
    <w:p w14:paraId="1C237BBF" w14:textId="693BA552" w:rsidR="00C21776" w:rsidRPr="001E7F0E" w:rsidRDefault="00C21776" w:rsidP="00C21776">
      <w:pPr>
        <w:pStyle w:val="CETReferencetext"/>
        <w:ind w:left="0" w:firstLine="0"/>
      </w:pPr>
      <w:r>
        <w:t xml:space="preserve">Gómez-Camacho C. E. and Ruggeri B., 2020, Microbial engineering community (MCE): Selecting key players in microbiomes, Chemical Engineering Transactions, 79, 469–474. </w:t>
      </w:r>
    </w:p>
    <w:p w14:paraId="7E27A319" w14:textId="15F481F9" w:rsidR="00C21776" w:rsidRDefault="00C21776" w:rsidP="001E7F0E">
      <w:pPr>
        <w:pStyle w:val="CETReferencetext"/>
        <w:ind w:left="0" w:firstLine="0"/>
      </w:pPr>
      <w:r>
        <w:t xml:space="preserve">Hall C., Dale B., Pimentel D., 2011, Seeking to understand the reasons for different energy return on investment (EROI) estimates for biofuels, Sustainability, 3(12), 2413–2432. </w:t>
      </w:r>
    </w:p>
    <w:p w14:paraId="51A8FD2D" w14:textId="5AF44687" w:rsidR="00C21776" w:rsidRDefault="00C21776" w:rsidP="001E7F0E">
      <w:pPr>
        <w:pStyle w:val="CETReferencetext"/>
        <w:ind w:left="0" w:firstLine="0"/>
      </w:pPr>
      <w:r>
        <w:t>Koransky J. R., Allen S. D., and Dowell V. R., 1978, Use of Ethanol for Selective Isolation of Spore-forming Microorganisms, 35(4), 762–765.</w:t>
      </w:r>
    </w:p>
    <w:p w14:paraId="5B05945E" w14:textId="6E024168" w:rsidR="00C21776" w:rsidRDefault="00C21776" w:rsidP="001E7F0E">
      <w:pPr>
        <w:pStyle w:val="CETReferencetext"/>
        <w:ind w:left="0" w:firstLine="0"/>
      </w:pPr>
      <w:r>
        <w:t>Melkonian C. et al., 2019, Finding functional differences between species in a microbial community: Case studies in wine fermentation and Kefir culture, Frontiers in Microbiology, 10, pp. 1–14.</w:t>
      </w:r>
    </w:p>
    <w:p w14:paraId="0019BF02" w14:textId="6437099D" w:rsidR="00C21776" w:rsidRDefault="00C21776" w:rsidP="001E7F0E">
      <w:pPr>
        <w:pStyle w:val="CETReferencetext"/>
        <w:ind w:left="0" w:firstLine="0"/>
      </w:pPr>
      <w:r>
        <w:t>Ruggeri B., Tommasi T., and Sanfilippo, S., 2015, Pre-treatment to Increase Hydrogen Producing Bacteria HPB, in BioH2 &amp; BioCH4 Through Anaerobic Digestion, Springer London, pp. 25–36.</w:t>
      </w:r>
    </w:p>
    <w:p w14:paraId="633745D6" w14:textId="5CC89E14" w:rsidR="0083275E" w:rsidRPr="00980D6F" w:rsidRDefault="00C21776" w:rsidP="00980D6F">
      <w:pPr>
        <w:pStyle w:val="CETReferencetext"/>
        <w:ind w:left="0" w:firstLine="0"/>
      </w:pPr>
      <w:r>
        <w:t>Uthumporn U. et al., 2012, Effects of NaOH treatment of cereal starch granules on the extent of granular starch hydrolysis, Colloid and Polymer Science, 290(15), 1481–1491.</w:t>
      </w:r>
    </w:p>
    <w:sectPr w:rsidR="0083275E" w:rsidRPr="00980D6F"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BCD19" w14:textId="77777777" w:rsidR="00F208A8" w:rsidRDefault="00F208A8" w:rsidP="004F5E36">
      <w:r>
        <w:separator/>
      </w:r>
    </w:p>
  </w:endnote>
  <w:endnote w:type="continuationSeparator" w:id="0">
    <w:p w14:paraId="541EB35E" w14:textId="77777777" w:rsidR="00F208A8" w:rsidRDefault="00F208A8"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5E977" w14:textId="77777777" w:rsidR="00F208A8" w:rsidRDefault="00F208A8" w:rsidP="004F5E36">
      <w:r>
        <w:separator/>
      </w:r>
    </w:p>
  </w:footnote>
  <w:footnote w:type="continuationSeparator" w:id="0">
    <w:p w14:paraId="269CB43D" w14:textId="77777777" w:rsidR="00F208A8" w:rsidRDefault="00F208A8"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BCF204FC"/>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4235"/>
    <w:rsid w:val="000052FB"/>
    <w:rsid w:val="000065AF"/>
    <w:rsid w:val="000117CB"/>
    <w:rsid w:val="00016161"/>
    <w:rsid w:val="00016167"/>
    <w:rsid w:val="0001642D"/>
    <w:rsid w:val="000165FC"/>
    <w:rsid w:val="0002491D"/>
    <w:rsid w:val="0003148D"/>
    <w:rsid w:val="00031EEC"/>
    <w:rsid w:val="00041BB0"/>
    <w:rsid w:val="000459E4"/>
    <w:rsid w:val="00046061"/>
    <w:rsid w:val="000468A9"/>
    <w:rsid w:val="00046A22"/>
    <w:rsid w:val="00051566"/>
    <w:rsid w:val="00052C5F"/>
    <w:rsid w:val="00054E5B"/>
    <w:rsid w:val="0005521A"/>
    <w:rsid w:val="00056887"/>
    <w:rsid w:val="00062A9A"/>
    <w:rsid w:val="00065058"/>
    <w:rsid w:val="000665BA"/>
    <w:rsid w:val="0006789D"/>
    <w:rsid w:val="0007443F"/>
    <w:rsid w:val="00074B41"/>
    <w:rsid w:val="00082421"/>
    <w:rsid w:val="000839B5"/>
    <w:rsid w:val="00086C39"/>
    <w:rsid w:val="000876C8"/>
    <w:rsid w:val="00091238"/>
    <w:rsid w:val="00093CE6"/>
    <w:rsid w:val="000A03B2"/>
    <w:rsid w:val="000A07E8"/>
    <w:rsid w:val="000A117A"/>
    <w:rsid w:val="000A291B"/>
    <w:rsid w:val="000A3625"/>
    <w:rsid w:val="000C75CF"/>
    <w:rsid w:val="000D0268"/>
    <w:rsid w:val="000D034E"/>
    <w:rsid w:val="000D34BE"/>
    <w:rsid w:val="000D3C1B"/>
    <w:rsid w:val="000E102F"/>
    <w:rsid w:val="000E36F1"/>
    <w:rsid w:val="000E3A73"/>
    <w:rsid w:val="000E414A"/>
    <w:rsid w:val="000F093C"/>
    <w:rsid w:val="000F1CCF"/>
    <w:rsid w:val="000F722B"/>
    <w:rsid w:val="000F787B"/>
    <w:rsid w:val="0010027F"/>
    <w:rsid w:val="001033DB"/>
    <w:rsid w:val="001079A8"/>
    <w:rsid w:val="001102B3"/>
    <w:rsid w:val="0011617C"/>
    <w:rsid w:val="00117EF1"/>
    <w:rsid w:val="0012091F"/>
    <w:rsid w:val="001227BF"/>
    <w:rsid w:val="00126BC2"/>
    <w:rsid w:val="001308B6"/>
    <w:rsid w:val="0013121F"/>
    <w:rsid w:val="00131FE6"/>
    <w:rsid w:val="00132020"/>
    <w:rsid w:val="0013263F"/>
    <w:rsid w:val="001331DF"/>
    <w:rsid w:val="00134DE4"/>
    <w:rsid w:val="0014034D"/>
    <w:rsid w:val="00140547"/>
    <w:rsid w:val="001420EB"/>
    <w:rsid w:val="0014315E"/>
    <w:rsid w:val="00144D16"/>
    <w:rsid w:val="00147228"/>
    <w:rsid w:val="00150E59"/>
    <w:rsid w:val="00152DE3"/>
    <w:rsid w:val="00153815"/>
    <w:rsid w:val="00156556"/>
    <w:rsid w:val="00160256"/>
    <w:rsid w:val="001613C4"/>
    <w:rsid w:val="00162538"/>
    <w:rsid w:val="0016410E"/>
    <w:rsid w:val="00164CF9"/>
    <w:rsid w:val="001667A6"/>
    <w:rsid w:val="001833A5"/>
    <w:rsid w:val="00183D8B"/>
    <w:rsid w:val="00184A7F"/>
    <w:rsid w:val="00184AD6"/>
    <w:rsid w:val="00187446"/>
    <w:rsid w:val="001A240D"/>
    <w:rsid w:val="001A2454"/>
    <w:rsid w:val="001A2A57"/>
    <w:rsid w:val="001A4AF7"/>
    <w:rsid w:val="001A6FE0"/>
    <w:rsid w:val="001A7C5A"/>
    <w:rsid w:val="001B0349"/>
    <w:rsid w:val="001B1E93"/>
    <w:rsid w:val="001B1F73"/>
    <w:rsid w:val="001B65C1"/>
    <w:rsid w:val="001C0CF6"/>
    <w:rsid w:val="001C5DE8"/>
    <w:rsid w:val="001C684B"/>
    <w:rsid w:val="001C69EF"/>
    <w:rsid w:val="001D0849"/>
    <w:rsid w:val="001D0CFB"/>
    <w:rsid w:val="001D21AF"/>
    <w:rsid w:val="001D2EE0"/>
    <w:rsid w:val="001D53FC"/>
    <w:rsid w:val="001E07C3"/>
    <w:rsid w:val="001E2D07"/>
    <w:rsid w:val="001E3CA9"/>
    <w:rsid w:val="001E7F0E"/>
    <w:rsid w:val="001F1CB9"/>
    <w:rsid w:val="001F2DFD"/>
    <w:rsid w:val="001F42A5"/>
    <w:rsid w:val="001F7B9D"/>
    <w:rsid w:val="00201C93"/>
    <w:rsid w:val="00201EAF"/>
    <w:rsid w:val="00203589"/>
    <w:rsid w:val="00203EF0"/>
    <w:rsid w:val="00204829"/>
    <w:rsid w:val="00205AB1"/>
    <w:rsid w:val="00207730"/>
    <w:rsid w:val="00211DAA"/>
    <w:rsid w:val="00215361"/>
    <w:rsid w:val="00215CAA"/>
    <w:rsid w:val="002224B4"/>
    <w:rsid w:val="00227052"/>
    <w:rsid w:val="0023210E"/>
    <w:rsid w:val="00236CA4"/>
    <w:rsid w:val="00236E2A"/>
    <w:rsid w:val="00237231"/>
    <w:rsid w:val="00241E61"/>
    <w:rsid w:val="002447EF"/>
    <w:rsid w:val="00245DC0"/>
    <w:rsid w:val="00246C11"/>
    <w:rsid w:val="002508C5"/>
    <w:rsid w:val="00250E7B"/>
    <w:rsid w:val="00251550"/>
    <w:rsid w:val="00256869"/>
    <w:rsid w:val="00263B05"/>
    <w:rsid w:val="00266049"/>
    <w:rsid w:val="00267F0B"/>
    <w:rsid w:val="0027221A"/>
    <w:rsid w:val="00274A67"/>
    <w:rsid w:val="00275B61"/>
    <w:rsid w:val="00276DAB"/>
    <w:rsid w:val="00277F59"/>
    <w:rsid w:val="00280FAF"/>
    <w:rsid w:val="00282424"/>
    <w:rsid w:val="00282656"/>
    <w:rsid w:val="002850A8"/>
    <w:rsid w:val="0029213B"/>
    <w:rsid w:val="002937AE"/>
    <w:rsid w:val="002962CA"/>
    <w:rsid w:val="00296B83"/>
    <w:rsid w:val="002A266C"/>
    <w:rsid w:val="002A6103"/>
    <w:rsid w:val="002B4015"/>
    <w:rsid w:val="002B44B5"/>
    <w:rsid w:val="002B72ED"/>
    <w:rsid w:val="002B74AC"/>
    <w:rsid w:val="002B78CE"/>
    <w:rsid w:val="002B7B3B"/>
    <w:rsid w:val="002C042B"/>
    <w:rsid w:val="002C2FB6"/>
    <w:rsid w:val="002C3BBD"/>
    <w:rsid w:val="002C7BE9"/>
    <w:rsid w:val="002D16F5"/>
    <w:rsid w:val="002D175D"/>
    <w:rsid w:val="002D67D9"/>
    <w:rsid w:val="002E079E"/>
    <w:rsid w:val="002E397A"/>
    <w:rsid w:val="002E5FA7"/>
    <w:rsid w:val="002F132F"/>
    <w:rsid w:val="002F3309"/>
    <w:rsid w:val="002F68D0"/>
    <w:rsid w:val="003008CE"/>
    <w:rsid w:val="003009B7"/>
    <w:rsid w:val="00300CBA"/>
    <w:rsid w:val="00300E56"/>
    <w:rsid w:val="00300F6E"/>
    <w:rsid w:val="0030285F"/>
    <w:rsid w:val="0030469C"/>
    <w:rsid w:val="00305677"/>
    <w:rsid w:val="00306F4C"/>
    <w:rsid w:val="003105A0"/>
    <w:rsid w:val="00321CA6"/>
    <w:rsid w:val="00323763"/>
    <w:rsid w:val="0032763B"/>
    <w:rsid w:val="00327F32"/>
    <w:rsid w:val="00334C09"/>
    <w:rsid w:val="00336503"/>
    <w:rsid w:val="00336E37"/>
    <w:rsid w:val="00340159"/>
    <w:rsid w:val="00354569"/>
    <w:rsid w:val="0035551E"/>
    <w:rsid w:val="00355DFF"/>
    <w:rsid w:val="00361393"/>
    <w:rsid w:val="00362284"/>
    <w:rsid w:val="00364867"/>
    <w:rsid w:val="003660DC"/>
    <w:rsid w:val="00366595"/>
    <w:rsid w:val="00367CCC"/>
    <w:rsid w:val="00371AE9"/>
    <w:rsid w:val="003723D4"/>
    <w:rsid w:val="00373B36"/>
    <w:rsid w:val="00374986"/>
    <w:rsid w:val="0037534A"/>
    <w:rsid w:val="003759AC"/>
    <w:rsid w:val="00381905"/>
    <w:rsid w:val="00384CC8"/>
    <w:rsid w:val="00385ACF"/>
    <w:rsid w:val="003862FC"/>
    <w:rsid w:val="00386DD9"/>
    <w:rsid w:val="003871FD"/>
    <w:rsid w:val="00390322"/>
    <w:rsid w:val="00391C8F"/>
    <w:rsid w:val="00392651"/>
    <w:rsid w:val="003A0E32"/>
    <w:rsid w:val="003A1E30"/>
    <w:rsid w:val="003A2099"/>
    <w:rsid w:val="003A2829"/>
    <w:rsid w:val="003A3A1E"/>
    <w:rsid w:val="003A59D3"/>
    <w:rsid w:val="003A7D1C"/>
    <w:rsid w:val="003B0B38"/>
    <w:rsid w:val="003B304B"/>
    <w:rsid w:val="003B3146"/>
    <w:rsid w:val="003C0520"/>
    <w:rsid w:val="003C12E0"/>
    <w:rsid w:val="003C28B1"/>
    <w:rsid w:val="003C28B9"/>
    <w:rsid w:val="003C2CE5"/>
    <w:rsid w:val="003C3717"/>
    <w:rsid w:val="003C48C1"/>
    <w:rsid w:val="003D313F"/>
    <w:rsid w:val="003D614A"/>
    <w:rsid w:val="003D7185"/>
    <w:rsid w:val="003E1277"/>
    <w:rsid w:val="003E74F9"/>
    <w:rsid w:val="003F015E"/>
    <w:rsid w:val="003F10B9"/>
    <w:rsid w:val="00400414"/>
    <w:rsid w:val="00400D7F"/>
    <w:rsid w:val="00404F85"/>
    <w:rsid w:val="004051E1"/>
    <w:rsid w:val="00405A70"/>
    <w:rsid w:val="00405F61"/>
    <w:rsid w:val="00406FA9"/>
    <w:rsid w:val="004070FB"/>
    <w:rsid w:val="004107A7"/>
    <w:rsid w:val="0041174C"/>
    <w:rsid w:val="004132CF"/>
    <w:rsid w:val="00413A60"/>
    <w:rsid w:val="00413E64"/>
    <w:rsid w:val="0041446B"/>
    <w:rsid w:val="00414C76"/>
    <w:rsid w:val="00416BFD"/>
    <w:rsid w:val="004205CA"/>
    <w:rsid w:val="00436F4E"/>
    <w:rsid w:val="0044071E"/>
    <w:rsid w:val="004407A5"/>
    <w:rsid w:val="00441409"/>
    <w:rsid w:val="0044329C"/>
    <w:rsid w:val="00443886"/>
    <w:rsid w:val="00444CA5"/>
    <w:rsid w:val="00446441"/>
    <w:rsid w:val="004466BF"/>
    <w:rsid w:val="00451CCD"/>
    <w:rsid w:val="00452C4C"/>
    <w:rsid w:val="00453E24"/>
    <w:rsid w:val="00457456"/>
    <w:rsid w:val="004577FE"/>
    <w:rsid w:val="00457B9C"/>
    <w:rsid w:val="0046164A"/>
    <w:rsid w:val="004628D2"/>
    <w:rsid w:val="00462C1D"/>
    <w:rsid w:val="00462DCD"/>
    <w:rsid w:val="004648AD"/>
    <w:rsid w:val="00466ADE"/>
    <w:rsid w:val="004703A9"/>
    <w:rsid w:val="00472BAA"/>
    <w:rsid w:val="004760DE"/>
    <w:rsid w:val="004763D7"/>
    <w:rsid w:val="00480CCE"/>
    <w:rsid w:val="00483D79"/>
    <w:rsid w:val="0048434C"/>
    <w:rsid w:val="00487CB8"/>
    <w:rsid w:val="00493A48"/>
    <w:rsid w:val="004A004E"/>
    <w:rsid w:val="004A04C6"/>
    <w:rsid w:val="004A0DCD"/>
    <w:rsid w:val="004A24CF"/>
    <w:rsid w:val="004A2686"/>
    <w:rsid w:val="004A5938"/>
    <w:rsid w:val="004A7675"/>
    <w:rsid w:val="004A7B39"/>
    <w:rsid w:val="004B06E6"/>
    <w:rsid w:val="004B4425"/>
    <w:rsid w:val="004B4D2A"/>
    <w:rsid w:val="004B5C11"/>
    <w:rsid w:val="004C0189"/>
    <w:rsid w:val="004C3D1D"/>
    <w:rsid w:val="004C7913"/>
    <w:rsid w:val="004D04B7"/>
    <w:rsid w:val="004D7FF4"/>
    <w:rsid w:val="004E4DD6"/>
    <w:rsid w:val="004F145F"/>
    <w:rsid w:val="004F5E36"/>
    <w:rsid w:val="004F5E78"/>
    <w:rsid w:val="00503D1D"/>
    <w:rsid w:val="005049CE"/>
    <w:rsid w:val="0050533F"/>
    <w:rsid w:val="00507B47"/>
    <w:rsid w:val="00507BEF"/>
    <w:rsid w:val="00507CC9"/>
    <w:rsid w:val="00507E5C"/>
    <w:rsid w:val="005119A5"/>
    <w:rsid w:val="00512B3F"/>
    <w:rsid w:val="0051704F"/>
    <w:rsid w:val="00517330"/>
    <w:rsid w:val="00520B67"/>
    <w:rsid w:val="00523426"/>
    <w:rsid w:val="00524435"/>
    <w:rsid w:val="005278B7"/>
    <w:rsid w:val="00532016"/>
    <w:rsid w:val="00532A76"/>
    <w:rsid w:val="00532D2D"/>
    <w:rsid w:val="005346C8"/>
    <w:rsid w:val="0053697C"/>
    <w:rsid w:val="00540713"/>
    <w:rsid w:val="00543484"/>
    <w:rsid w:val="00543E7D"/>
    <w:rsid w:val="0054469D"/>
    <w:rsid w:val="00547A68"/>
    <w:rsid w:val="0055187B"/>
    <w:rsid w:val="005531C9"/>
    <w:rsid w:val="00553BA9"/>
    <w:rsid w:val="005565DF"/>
    <w:rsid w:val="005612B8"/>
    <w:rsid w:val="00564ED3"/>
    <w:rsid w:val="00567D81"/>
    <w:rsid w:val="00570C43"/>
    <w:rsid w:val="00572AD8"/>
    <w:rsid w:val="00580F79"/>
    <w:rsid w:val="00583754"/>
    <w:rsid w:val="00583B6E"/>
    <w:rsid w:val="00593136"/>
    <w:rsid w:val="00593E11"/>
    <w:rsid w:val="00594857"/>
    <w:rsid w:val="00595964"/>
    <w:rsid w:val="00597269"/>
    <w:rsid w:val="00597854"/>
    <w:rsid w:val="005A2144"/>
    <w:rsid w:val="005A5635"/>
    <w:rsid w:val="005A5A4D"/>
    <w:rsid w:val="005B1EB3"/>
    <w:rsid w:val="005B2110"/>
    <w:rsid w:val="005B2F18"/>
    <w:rsid w:val="005B34CF"/>
    <w:rsid w:val="005B3A24"/>
    <w:rsid w:val="005B43E2"/>
    <w:rsid w:val="005B4434"/>
    <w:rsid w:val="005B4553"/>
    <w:rsid w:val="005B61E6"/>
    <w:rsid w:val="005B755F"/>
    <w:rsid w:val="005C4BD8"/>
    <w:rsid w:val="005C502A"/>
    <w:rsid w:val="005C56D5"/>
    <w:rsid w:val="005C77E1"/>
    <w:rsid w:val="005D668A"/>
    <w:rsid w:val="005D6A2F"/>
    <w:rsid w:val="005E02C2"/>
    <w:rsid w:val="005E1A82"/>
    <w:rsid w:val="005E1FE2"/>
    <w:rsid w:val="005E26DB"/>
    <w:rsid w:val="005E5E68"/>
    <w:rsid w:val="005E794C"/>
    <w:rsid w:val="005F0A28"/>
    <w:rsid w:val="005F0E5E"/>
    <w:rsid w:val="005F5122"/>
    <w:rsid w:val="005F689F"/>
    <w:rsid w:val="005F6A5E"/>
    <w:rsid w:val="005F7B52"/>
    <w:rsid w:val="00600535"/>
    <w:rsid w:val="006022D6"/>
    <w:rsid w:val="00604911"/>
    <w:rsid w:val="00606C41"/>
    <w:rsid w:val="00610CD6"/>
    <w:rsid w:val="00613055"/>
    <w:rsid w:val="0061365E"/>
    <w:rsid w:val="00613E2D"/>
    <w:rsid w:val="00614180"/>
    <w:rsid w:val="006146E6"/>
    <w:rsid w:val="00617608"/>
    <w:rsid w:val="00620DEE"/>
    <w:rsid w:val="00621F92"/>
    <w:rsid w:val="00622737"/>
    <w:rsid w:val="0062280A"/>
    <w:rsid w:val="00625639"/>
    <w:rsid w:val="006305A9"/>
    <w:rsid w:val="00630F78"/>
    <w:rsid w:val="00631B33"/>
    <w:rsid w:val="00634D5A"/>
    <w:rsid w:val="0064184D"/>
    <w:rsid w:val="006418AD"/>
    <w:rsid w:val="006422CC"/>
    <w:rsid w:val="00642733"/>
    <w:rsid w:val="00643C02"/>
    <w:rsid w:val="00645081"/>
    <w:rsid w:val="00650C76"/>
    <w:rsid w:val="00652FF9"/>
    <w:rsid w:val="0065349C"/>
    <w:rsid w:val="006546C1"/>
    <w:rsid w:val="00654B58"/>
    <w:rsid w:val="00660E3E"/>
    <w:rsid w:val="00662E74"/>
    <w:rsid w:val="00665A8C"/>
    <w:rsid w:val="00670619"/>
    <w:rsid w:val="00674A1C"/>
    <w:rsid w:val="00680C23"/>
    <w:rsid w:val="00682922"/>
    <w:rsid w:val="00693766"/>
    <w:rsid w:val="00695874"/>
    <w:rsid w:val="00697450"/>
    <w:rsid w:val="006A3281"/>
    <w:rsid w:val="006A4557"/>
    <w:rsid w:val="006B038B"/>
    <w:rsid w:val="006B4888"/>
    <w:rsid w:val="006C0F5C"/>
    <w:rsid w:val="006C2E45"/>
    <w:rsid w:val="006C359C"/>
    <w:rsid w:val="006C5579"/>
    <w:rsid w:val="006D38C6"/>
    <w:rsid w:val="006D5449"/>
    <w:rsid w:val="006D6E8B"/>
    <w:rsid w:val="006E0206"/>
    <w:rsid w:val="006E1153"/>
    <w:rsid w:val="006E635F"/>
    <w:rsid w:val="006E6F79"/>
    <w:rsid w:val="006E737D"/>
    <w:rsid w:val="006F0C86"/>
    <w:rsid w:val="006F2DF3"/>
    <w:rsid w:val="006F4606"/>
    <w:rsid w:val="006F543F"/>
    <w:rsid w:val="006F6F3F"/>
    <w:rsid w:val="00701DAC"/>
    <w:rsid w:val="00702771"/>
    <w:rsid w:val="00702DB8"/>
    <w:rsid w:val="007035C1"/>
    <w:rsid w:val="00703833"/>
    <w:rsid w:val="00713973"/>
    <w:rsid w:val="00714A65"/>
    <w:rsid w:val="00717899"/>
    <w:rsid w:val="00720A24"/>
    <w:rsid w:val="007215FE"/>
    <w:rsid w:val="00732386"/>
    <w:rsid w:val="0073514D"/>
    <w:rsid w:val="0073678A"/>
    <w:rsid w:val="00743E61"/>
    <w:rsid w:val="007447F3"/>
    <w:rsid w:val="00745104"/>
    <w:rsid w:val="007459AA"/>
    <w:rsid w:val="00746452"/>
    <w:rsid w:val="00750BD4"/>
    <w:rsid w:val="00752F7B"/>
    <w:rsid w:val="0075499F"/>
    <w:rsid w:val="007551D8"/>
    <w:rsid w:val="0076120A"/>
    <w:rsid w:val="007661C8"/>
    <w:rsid w:val="00766EEA"/>
    <w:rsid w:val="007672ED"/>
    <w:rsid w:val="00767480"/>
    <w:rsid w:val="0077098D"/>
    <w:rsid w:val="007716C7"/>
    <w:rsid w:val="00773428"/>
    <w:rsid w:val="0078605F"/>
    <w:rsid w:val="00787919"/>
    <w:rsid w:val="00787947"/>
    <w:rsid w:val="00790B36"/>
    <w:rsid w:val="007931FA"/>
    <w:rsid w:val="007950D5"/>
    <w:rsid w:val="007A20B2"/>
    <w:rsid w:val="007A4861"/>
    <w:rsid w:val="007A556C"/>
    <w:rsid w:val="007A7BBA"/>
    <w:rsid w:val="007A7F41"/>
    <w:rsid w:val="007B0C50"/>
    <w:rsid w:val="007B2108"/>
    <w:rsid w:val="007B48F9"/>
    <w:rsid w:val="007C1A43"/>
    <w:rsid w:val="007C7BAA"/>
    <w:rsid w:val="007D2803"/>
    <w:rsid w:val="007E4469"/>
    <w:rsid w:val="007F1507"/>
    <w:rsid w:val="007F5506"/>
    <w:rsid w:val="0080013E"/>
    <w:rsid w:val="008005B5"/>
    <w:rsid w:val="00805225"/>
    <w:rsid w:val="00807C52"/>
    <w:rsid w:val="00807DAB"/>
    <w:rsid w:val="00812A67"/>
    <w:rsid w:val="00812C67"/>
    <w:rsid w:val="0081301B"/>
    <w:rsid w:val="00813288"/>
    <w:rsid w:val="008168FC"/>
    <w:rsid w:val="00824F8F"/>
    <w:rsid w:val="00825E27"/>
    <w:rsid w:val="008268E0"/>
    <w:rsid w:val="00830996"/>
    <w:rsid w:val="008312B5"/>
    <w:rsid w:val="00831909"/>
    <w:rsid w:val="0083275E"/>
    <w:rsid w:val="008345F1"/>
    <w:rsid w:val="00845D21"/>
    <w:rsid w:val="008504AA"/>
    <w:rsid w:val="00856DB0"/>
    <w:rsid w:val="00863100"/>
    <w:rsid w:val="00863D71"/>
    <w:rsid w:val="008646A0"/>
    <w:rsid w:val="00864D6E"/>
    <w:rsid w:val="00865B07"/>
    <w:rsid w:val="008667EA"/>
    <w:rsid w:val="00875217"/>
    <w:rsid w:val="008755F4"/>
    <w:rsid w:val="00875FAC"/>
    <w:rsid w:val="008760CF"/>
    <w:rsid w:val="0087637F"/>
    <w:rsid w:val="008857C2"/>
    <w:rsid w:val="00885D25"/>
    <w:rsid w:val="00892AD5"/>
    <w:rsid w:val="008A0CF0"/>
    <w:rsid w:val="008A1512"/>
    <w:rsid w:val="008A163E"/>
    <w:rsid w:val="008A3417"/>
    <w:rsid w:val="008B05F4"/>
    <w:rsid w:val="008B167D"/>
    <w:rsid w:val="008B5BF1"/>
    <w:rsid w:val="008B5DA3"/>
    <w:rsid w:val="008B5E23"/>
    <w:rsid w:val="008B63E7"/>
    <w:rsid w:val="008C0086"/>
    <w:rsid w:val="008C01EE"/>
    <w:rsid w:val="008C33E1"/>
    <w:rsid w:val="008C4050"/>
    <w:rsid w:val="008C4A8E"/>
    <w:rsid w:val="008C67D1"/>
    <w:rsid w:val="008D325B"/>
    <w:rsid w:val="008D32B9"/>
    <w:rsid w:val="008D433B"/>
    <w:rsid w:val="008D5A97"/>
    <w:rsid w:val="008E1AA9"/>
    <w:rsid w:val="008E566E"/>
    <w:rsid w:val="008E6476"/>
    <w:rsid w:val="008F4518"/>
    <w:rsid w:val="00900175"/>
    <w:rsid w:val="0090161A"/>
    <w:rsid w:val="00901EB6"/>
    <w:rsid w:val="00902E8D"/>
    <w:rsid w:val="00904C62"/>
    <w:rsid w:val="00910BEF"/>
    <w:rsid w:val="00910E89"/>
    <w:rsid w:val="00912DAA"/>
    <w:rsid w:val="00920088"/>
    <w:rsid w:val="00922BA8"/>
    <w:rsid w:val="00924DAC"/>
    <w:rsid w:val="009253AF"/>
    <w:rsid w:val="00927058"/>
    <w:rsid w:val="009320AD"/>
    <w:rsid w:val="009340D1"/>
    <w:rsid w:val="00942750"/>
    <w:rsid w:val="009450CE"/>
    <w:rsid w:val="00945AB6"/>
    <w:rsid w:val="0094623E"/>
    <w:rsid w:val="00947179"/>
    <w:rsid w:val="0095164B"/>
    <w:rsid w:val="009538A0"/>
    <w:rsid w:val="00954090"/>
    <w:rsid w:val="009573E7"/>
    <w:rsid w:val="00960A84"/>
    <w:rsid w:val="00963E05"/>
    <w:rsid w:val="00964590"/>
    <w:rsid w:val="00964A45"/>
    <w:rsid w:val="00965963"/>
    <w:rsid w:val="00966847"/>
    <w:rsid w:val="00966F91"/>
    <w:rsid w:val="00967843"/>
    <w:rsid w:val="00967D54"/>
    <w:rsid w:val="00971028"/>
    <w:rsid w:val="009722C6"/>
    <w:rsid w:val="00980D6F"/>
    <w:rsid w:val="009816C8"/>
    <w:rsid w:val="00981753"/>
    <w:rsid w:val="00982BFC"/>
    <w:rsid w:val="00990AF0"/>
    <w:rsid w:val="009929D2"/>
    <w:rsid w:val="00993B84"/>
    <w:rsid w:val="00995D96"/>
    <w:rsid w:val="00996483"/>
    <w:rsid w:val="00996F5A"/>
    <w:rsid w:val="009A2842"/>
    <w:rsid w:val="009A6D9A"/>
    <w:rsid w:val="009B041A"/>
    <w:rsid w:val="009C37C3"/>
    <w:rsid w:val="009C4067"/>
    <w:rsid w:val="009C7C86"/>
    <w:rsid w:val="009C7E1C"/>
    <w:rsid w:val="009D10A1"/>
    <w:rsid w:val="009D2FF7"/>
    <w:rsid w:val="009D471A"/>
    <w:rsid w:val="009D5B56"/>
    <w:rsid w:val="009E4CB0"/>
    <w:rsid w:val="009E6424"/>
    <w:rsid w:val="009E6A61"/>
    <w:rsid w:val="009E7884"/>
    <w:rsid w:val="009E788A"/>
    <w:rsid w:val="009F0E08"/>
    <w:rsid w:val="009F112E"/>
    <w:rsid w:val="009F2E1D"/>
    <w:rsid w:val="009F47B6"/>
    <w:rsid w:val="009F7AB5"/>
    <w:rsid w:val="00A0201A"/>
    <w:rsid w:val="00A0321E"/>
    <w:rsid w:val="00A04564"/>
    <w:rsid w:val="00A104AF"/>
    <w:rsid w:val="00A10F8F"/>
    <w:rsid w:val="00A12129"/>
    <w:rsid w:val="00A14B73"/>
    <w:rsid w:val="00A16927"/>
    <w:rsid w:val="00A1763D"/>
    <w:rsid w:val="00A17CEC"/>
    <w:rsid w:val="00A2022A"/>
    <w:rsid w:val="00A20B44"/>
    <w:rsid w:val="00A23A8B"/>
    <w:rsid w:val="00A23B41"/>
    <w:rsid w:val="00A23F2A"/>
    <w:rsid w:val="00A27EF0"/>
    <w:rsid w:val="00A3038B"/>
    <w:rsid w:val="00A30473"/>
    <w:rsid w:val="00A36C42"/>
    <w:rsid w:val="00A37FE0"/>
    <w:rsid w:val="00A41188"/>
    <w:rsid w:val="00A42361"/>
    <w:rsid w:val="00A42A16"/>
    <w:rsid w:val="00A455F9"/>
    <w:rsid w:val="00A46F95"/>
    <w:rsid w:val="00A50B20"/>
    <w:rsid w:val="00A51390"/>
    <w:rsid w:val="00A51DE3"/>
    <w:rsid w:val="00A553C7"/>
    <w:rsid w:val="00A5554A"/>
    <w:rsid w:val="00A5687F"/>
    <w:rsid w:val="00A60D13"/>
    <w:rsid w:val="00A64B9B"/>
    <w:rsid w:val="00A66246"/>
    <w:rsid w:val="00A72745"/>
    <w:rsid w:val="00A7343B"/>
    <w:rsid w:val="00A73F17"/>
    <w:rsid w:val="00A7513C"/>
    <w:rsid w:val="00A76EFC"/>
    <w:rsid w:val="00A81AEA"/>
    <w:rsid w:val="00A851DA"/>
    <w:rsid w:val="00A8556D"/>
    <w:rsid w:val="00A87DD5"/>
    <w:rsid w:val="00A87EF5"/>
    <w:rsid w:val="00A900E5"/>
    <w:rsid w:val="00A91010"/>
    <w:rsid w:val="00A92C95"/>
    <w:rsid w:val="00A97F29"/>
    <w:rsid w:val="00AA05DD"/>
    <w:rsid w:val="00AA66EB"/>
    <w:rsid w:val="00AA702E"/>
    <w:rsid w:val="00AB0964"/>
    <w:rsid w:val="00AB0CF4"/>
    <w:rsid w:val="00AB1E9F"/>
    <w:rsid w:val="00AB48E4"/>
    <w:rsid w:val="00AB5011"/>
    <w:rsid w:val="00AB72FD"/>
    <w:rsid w:val="00AC01C0"/>
    <w:rsid w:val="00AC1331"/>
    <w:rsid w:val="00AC4FF3"/>
    <w:rsid w:val="00AC7368"/>
    <w:rsid w:val="00AD16B9"/>
    <w:rsid w:val="00AD41EB"/>
    <w:rsid w:val="00AD775C"/>
    <w:rsid w:val="00AE17C7"/>
    <w:rsid w:val="00AE1C49"/>
    <w:rsid w:val="00AE1DF7"/>
    <w:rsid w:val="00AE20DD"/>
    <w:rsid w:val="00AE377D"/>
    <w:rsid w:val="00AE6308"/>
    <w:rsid w:val="00AE6FB6"/>
    <w:rsid w:val="00AF0EBA"/>
    <w:rsid w:val="00AF40D2"/>
    <w:rsid w:val="00AF57A5"/>
    <w:rsid w:val="00AF6775"/>
    <w:rsid w:val="00B02C8A"/>
    <w:rsid w:val="00B0467A"/>
    <w:rsid w:val="00B079F0"/>
    <w:rsid w:val="00B07A3D"/>
    <w:rsid w:val="00B176E2"/>
    <w:rsid w:val="00B17FBD"/>
    <w:rsid w:val="00B20F4F"/>
    <w:rsid w:val="00B24076"/>
    <w:rsid w:val="00B24AE8"/>
    <w:rsid w:val="00B315A6"/>
    <w:rsid w:val="00B31813"/>
    <w:rsid w:val="00B32C86"/>
    <w:rsid w:val="00B33365"/>
    <w:rsid w:val="00B33CFF"/>
    <w:rsid w:val="00B35693"/>
    <w:rsid w:val="00B40FD2"/>
    <w:rsid w:val="00B43255"/>
    <w:rsid w:val="00B437B9"/>
    <w:rsid w:val="00B51023"/>
    <w:rsid w:val="00B57B36"/>
    <w:rsid w:val="00B57E6F"/>
    <w:rsid w:val="00B611A9"/>
    <w:rsid w:val="00B651B0"/>
    <w:rsid w:val="00B80DEF"/>
    <w:rsid w:val="00B843FA"/>
    <w:rsid w:val="00B864D5"/>
    <w:rsid w:val="00B8686D"/>
    <w:rsid w:val="00B87A62"/>
    <w:rsid w:val="00B93F69"/>
    <w:rsid w:val="00BA15D9"/>
    <w:rsid w:val="00BA498A"/>
    <w:rsid w:val="00BA5AA0"/>
    <w:rsid w:val="00BA6964"/>
    <w:rsid w:val="00BA74A8"/>
    <w:rsid w:val="00BB1423"/>
    <w:rsid w:val="00BB1DDC"/>
    <w:rsid w:val="00BB2ACF"/>
    <w:rsid w:val="00BB303E"/>
    <w:rsid w:val="00BB5E0A"/>
    <w:rsid w:val="00BB6692"/>
    <w:rsid w:val="00BC0087"/>
    <w:rsid w:val="00BC0C8C"/>
    <w:rsid w:val="00BC30C9"/>
    <w:rsid w:val="00BC60C1"/>
    <w:rsid w:val="00BD077D"/>
    <w:rsid w:val="00BD19F0"/>
    <w:rsid w:val="00BD3E99"/>
    <w:rsid w:val="00BD54B7"/>
    <w:rsid w:val="00BD55B7"/>
    <w:rsid w:val="00BD6003"/>
    <w:rsid w:val="00BD6706"/>
    <w:rsid w:val="00BE164F"/>
    <w:rsid w:val="00BE21B0"/>
    <w:rsid w:val="00BE351E"/>
    <w:rsid w:val="00BE3E58"/>
    <w:rsid w:val="00BE6645"/>
    <w:rsid w:val="00BE66A4"/>
    <w:rsid w:val="00BF7270"/>
    <w:rsid w:val="00C01616"/>
    <w:rsid w:val="00C0162B"/>
    <w:rsid w:val="00C01A81"/>
    <w:rsid w:val="00C068ED"/>
    <w:rsid w:val="00C13C02"/>
    <w:rsid w:val="00C1715E"/>
    <w:rsid w:val="00C17FD3"/>
    <w:rsid w:val="00C21776"/>
    <w:rsid w:val="00C22E0C"/>
    <w:rsid w:val="00C23CBA"/>
    <w:rsid w:val="00C27589"/>
    <w:rsid w:val="00C279A7"/>
    <w:rsid w:val="00C27E46"/>
    <w:rsid w:val="00C32088"/>
    <w:rsid w:val="00C32FF8"/>
    <w:rsid w:val="00C345B1"/>
    <w:rsid w:val="00C36B59"/>
    <w:rsid w:val="00C40142"/>
    <w:rsid w:val="00C52162"/>
    <w:rsid w:val="00C52C3C"/>
    <w:rsid w:val="00C54A5F"/>
    <w:rsid w:val="00C560D5"/>
    <w:rsid w:val="00C56D94"/>
    <w:rsid w:val="00C57182"/>
    <w:rsid w:val="00C57863"/>
    <w:rsid w:val="00C57C44"/>
    <w:rsid w:val="00C62405"/>
    <w:rsid w:val="00C64CDE"/>
    <w:rsid w:val="00C655FD"/>
    <w:rsid w:val="00C65BD3"/>
    <w:rsid w:val="00C661F2"/>
    <w:rsid w:val="00C667A1"/>
    <w:rsid w:val="00C72B54"/>
    <w:rsid w:val="00C73B94"/>
    <w:rsid w:val="00C75407"/>
    <w:rsid w:val="00C75954"/>
    <w:rsid w:val="00C76716"/>
    <w:rsid w:val="00C84B05"/>
    <w:rsid w:val="00C870A8"/>
    <w:rsid w:val="00C91C7F"/>
    <w:rsid w:val="00C9262F"/>
    <w:rsid w:val="00C94434"/>
    <w:rsid w:val="00C94EDB"/>
    <w:rsid w:val="00CA0D75"/>
    <w:rsid w:val="00CA1228"/>
    <w:rsid w:val="00CA1C95"/>
    <w:rsid w:val="00CA5A9C"/>
    <w:rsid w:val="00CA69A8"/>
    <w:rsid w:val="00CB2939"/>
    <w:rsid w:val="00CB5056"/>
    <w:rsid w:val="00CC17E3"/>
    <w:rsid w:val="00CC20C9"/>
    <w:rsid w:val="00CC4C20"/>
    <w:rsid w:val="00CD3517"/>
    <w:rsid w:val="00CD5FE2"/>
    <w:rsid w:val="00CD7585"/>
    <w:rsid w:val="00CE2D23"/>
    <w:rsid w:val="00CE499C"/>
    <w:rsid w:val="00CE7C68"/>
    <w:rsid w:val="00CF2CB2"/>
    <w:rsid w:val="00D011C0"/>
    <w:rsid w:val="00D01DFF"/>
    <w:rsid w:val="00D02B4C"/>
    <w:rsid w:val="00D03895"/>
    <w:rsid w:val="00D040C4"/>
    <w:rsid w:val="00D0483C"/>
    <w:rsid w:val="00D05C0C"/>
    <w:rsid w:val="00D06E17"/>
    <w:rsid w:val="00D07227"/>
    <w:rsid w:val="00D075B4"/>
    <w:rsid w:val="00D078F6"/>
    <w:rsid w:val="00D11D20"/>
    <w:rsid w:val="00D15BB5"/>
    <w:rsid w:val="00D17C02"/>
    <w:rsid w:val="00D21B51"/>
    <w:rsid w:val="00D22CCB"/>
    <w:rsid w:val="00D30A26"/>
    <w:rsid w:val="00D36077"/>
    <w:rsid w:val="00D44C4E"/>
    <w:rsid w:val="00D44DF5"/>
    <w:rsid w:val="00D46B7E"/>
    <w:rsid w:val="00D47501"/>
    <w:rsid w:val="00D51590"/>
    <w:rsid w:val="00D51A25"/>
    <w:rsid w:val="00D54E72"/>
    <w:rsid w:val="00D55882"/>
    <w:rsid w:val="00D57571"/>
    <w:rsid w:val="00D57AFB"/>
    <w:rsid w:val="00D57C84"/>
    <w:rsid w:val="00D6057D"/>
    <w:rsid w:val="00D64CA3"/>
    <w:rsid w:val="00D65F47"/>
    <w:rsid w:val="00D66570"/>
    <w:rsid w:val="00D71640"/>
    <w:rsid w:val="00D731BE"/>
    <w:rsid w:val="00D81545"/>
    <w:rsid w:val="00D83036"/>
    <w:rsid w:val="00D836C5"/>
    <w:rsid w:val="00D84576"/>
    <w:rsid w:val="00D94CD2"/>
    <w:rsid w:val="00D97BCB"/>
    <w:rsid w:val="00DA1399"/>
    <w:rsid w:val="00DA24C6"/>
    <w:rsid w:val="00DA4D7B"/>
    <w:rsid w:val="00DB0642"/>
    <w:rsid w:val="00DB2D52"/>
    <w:rsid w:val="00DB4FEB"/>
    <w:rsid w:val="00DB79E5"/>
    <w:rsid w:val="00DC71EA"/>
    <w:rsid w:val="00DC7217"/>
    <w:rsid w:val="00DD04BA"/>
    <w:rsid w:val="00DD217F"/>
    <w:rsid w:val="00DD7F1F"/>
    <w:rsid w:val="00DE2601"/>
    <w:rsid w:val="00DE264A"/>
    <w:rsid w:val="00DE3C69"/>
    <w:rsid w:val="00DE6B61"/>
    <w:rsid w:val="00DE7D47"/>
    <w:rsid w:val="00DF5072"/>
    <w:rsid w:val="00DF526A"/>
    <w:rsid w:val="00E02D18"/>
    <w:rsid w:val="00E039E8"/>
    <w:rsid w:val="00E0410A"/>
    <w:rsid w:val="00E041E7"/>
    <w:rsid w:val="00E04228"/>
    <w:rsid w:val="00E07394"/>
    <w:rsid w:val="00E078D0"/>
    <w:rsid w:val="00E120F8"/>
    <w:rsid w:val="00E12EEA"/>
    <w:rsid w:val="00E14028"/>
    <w:rsid w:val="00E21BE2"/>
    <w:rsid w:val="00E23CA1"/>
    <w:rsid w:val="00E2671B"/>
    <w:rsid w:val="00E31968"/>
    <w:rsid w:val="00E334FC"/>
    <w:rsid w:val="00E343B1"/>
    <w:rsid w:val="00E34F39"/>
    <w:rsid w:val="00E35260"/>
    <w:rsid w:val="00E409A8"/>
    <w:rsid w:val="00E50C12"/>
    <w:rsid w:val="00E51EF0"/>
    <w:rsid w:val="00E5508D"/>
    <w:rsid w:val="00E6060D"/>
    <w:rsid w:val="00E637EA"/>
    <w:rsid w:val="00E65B91"/>
    <w:rsid w:val="00E703E7"/>
    <w:rsid w:val="00E7209D"/>
    <w:rsid w:val="00E720A5"/>
    <w:rsid w:val="00E72EAD"/>
    <w:rsid w:val="00E74A5E"/>
    <w:rsid w:val="00E74F5F"/>
    <w:rsid w:val="00E77223"/>
    <w:rsid w:val="00E8206B"/>
    <w:rsid w:val="00E8528B"/>
    <w:rsid w:val="00E85B94"/>
    <w:rsid w:val="00E8777D"/>
    <w:rsid w:val="00E92C58"/>
    <w:rsid w:val="00E978D0"/>
    <w:rsid w:val="00EA2689"/>
    <w:rsid w:val="00EA4613"/>
    <w:rsid w:val="00EA464E"/>
    <w:rsid w:val="00EA7F91"/>
    <w:rsid w:val="00EB0C45"/>
    <w:rsid w:val="00EB1523"/>
    <w:rsid w:val="00EB2127"/>
    <w:rsid w:val="00EB59B6"/>
    <w:rsid w:val="00EC0BB1"/>
    <w:rsid w:val="00EC0E49"/>
    <w:rsid w:val="00EC0E9E"/>
    <w:rsid w:val="00EC101F"/>
    <w:rsid w:val="00EC1D9F"/>
    <w:rsid w:val="00EC4717"/>
    <w:rsid w:val="00EC7353"/>
    <w:rsid w:val="00ED0096"/>
    <w:rsid w:val="00ED0FB9"/>
    <w:rsid w:val="00ED10E0"/>
    <w:rsid w:val="00EE0131"/>
    <w:rsid w:val="00EE17B0"/>
    <w:rsid w:val="00EE3624"/>
    <w:rsid w:val="00EE5896"/>
    <w:rsid w:val="00EE6806"/>
    <w:rsid w:val="00EF06D9"/>
    <w:rsid w:val="00EF5ACE"/>
    <w:rsid w:val="00EF670A"/>
    <w:rsid w:val="00F021F0"/>
    <w:rsid w:val="00F03CAA"/>
    <w:rsid w:val="00F05262"/>
    <w:rsid w:val="00F0797B"/>
    <w:rsid w:val="00F07994"/>
    <w:rsid w:val="00F14E17"/>
    <w:rsid w:val="00F1559B"/>
    <w:rsid w:val="00F166AF"/>
    <w:rsid w:val="00F208A8"/>
    <w:rsid w:val="00F22897"/>
    <w:rsid w:val="00F255AF"/>
    <w:rsid w:val="00F30C64"/>
    <w:rsid w:val="00F32BA2"/>
    <w:rsid w:val="00F32CDB"/>
    <w:rsid w:val="00F33B26"/>
    <w:rsid w:val="00F343DC"/>
    <w:rsid w:val="00F40ADA"/>
    <w:rsid w:val="00F45FA8"/>
    <w:rsid w:val="00F46330"/>
    <w:rsid w:val="00F47BBB"/>
    <w:rsid w:val="00F515E6"/>
    <w:rsid w:val="00F52D84"/>
    <w:rsid w:val="00F53BB7"/>
    <w:rsid w:val="00F565FE"/>
    <w:rsid w:val="00F578F8"/>
    <w:rsid w:val="00F63A70"/>
    <w:rsid w:val="00F71A13"/>
    <w:rsid w:val="00F73C8E"/>
    <w:rsid w:val="00F7534E"/>
    <w:rsid w:val="00F80AE9"/>
    <w:rsid w:val="00F81821"/>
    <w:rsid w:val="00F832D2"/>
    <w:rsid w:val="00F85811"/>
    <w:rsid w:val="00F90C06"/>
    <w:rsid w:val="00F938E3"/>
    <w:rsid w:val="00FA1802"/>
    <w:rsid w:val="00FA21D0"/>
    <w:rsid w:val="00FA5A4B"/>
    <w:rsid w:val="00FA5F5F"/>
    <w:rsid w:val="00FB0C2E"/>
    <w:rsid w:val="00FB1F79"/>
    <w:rsid w:val="00FB245C"/>
    <w:rsid w:val="00FB2567"/>
    <w:rsid w:val="00FB3A66"/>
    <w:rsid w:val="00FB5862"/>
    <w:rsid w:val="00FB728F"/>
    <w:rsid w:val="00FB730C"/>
    <w:rsid w:val="00FB751B"/>
    <w:rsid w:val="00FC2695"/>
    <w:rsid w:val="00FC3E03"/>
    <w:rsid w:val="00FC3FC1"/>
    <w:rsid w:val="00FC5DC9"/>
    <w:rsid w:val="00FC7E43"/>
    <w:rsid w:val="00FD3609"/>
    <w:rsid w:val="00FE119B"/>
    <w:rsid w:val="00FE7267"/>
    <w:rsid w:val="00FE7BF3"/>
    <w:rsid w:val="00FF06C0"/>
    <w:rsid w:val="00FF0EA1"/>
    <w:rsid w:val="00FF29E4"/>
    <w:rsid w:val="00FF56B3"/>
    <w:rsid w:val="00FF653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38FB97BB-A0D8-4D21-A626-DEB2BAB95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980D6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980D6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sentence-wrapperwithout-hover">
    <w:name w:val="sentence-wrapper_without-hover"/>
    <w:basedOn w:val="Carpredefinitoparagrafo"/>
    <w:rsid w:val="00EC0E9E"/>
  </w:style>
  <w:style w:type="character" w:customStyle="1" w:styleId="texttranslation">
    <w:name w:val="text__translation"/>
    <w:basedOn w:val="Carpredefinitoparagrafo"/>
    <w:rsid w:val="005B4553"/>
  </w:style>
  <w:style w:type="character" w:styleId="Menzionenonrisolta">
    <w:name w:val="Unresolved Mention"/>
    <w:basedOn w:val="Carpredefinitoparagrafo"/>
    <w:uiPriority w:val="99"/>
    <w:semiHidden/>
    <w:unhideWhenUsed/>
    <w:rsid w:val="001A2454"/>
    <w:rPr>
      <w:color w:val="605E5C"/>
      <w:shd w:val="clear" w:color="auto" w:fill="E1DFDD"/>
    </w:rPr>
  </w:style>
  <w:style w:type="paragraph" w:styleId="Revisione">
    <w:name w:val="Revision"/>
    <w:hidden/>
    <w:uiPriority w:val="99"/>
    <w:semiHidden/>
    <w:rsid w:val="00F832D2"/>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124646">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77407897">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rnardo.ruggeri@polito.i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arlos.gomezcamacho@polito.i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83C3F-18B4-40D2-BFA5-DCF057B05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3963</Words>
  <Characters>22590</Characters>
  <Application>Microsoft Office Word</Application>
  <DocSecurity>0</DocSecurity>
  <Lines>188</Lines>
  <Paragraphs>52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Romolo Di Sabatino</cp:lastModifiedBy>
  <cp:revision>27</cp:revision>
  <cp:lastPrinted>2015-05-12T18:31:00Z</cp:lastPrinted>
  <dcterms:created xsi:type="dcterms:W3CDTF">2022-03-27T15:51:00Z</dcterms:created>
  <dcterms:modified xsi:type="dcterms:W3CDTF">2022-03-27T19:45:00Z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Recent Style Id 0_1">
    <vt:lpwstr>https://csl.mendeley.com/styles/461282961/apa</vt:lpwstr>
  </property>
  <property fmtid="{D5CDD505-2E9C-101B-9397-08002B2CF9AE}" pid="5" name="Mendeley Recent Style Name 0_1">
    <vt:lpwstr>American Psychological Association 6th edition - Carlos Gomez</vt:lpwstr>
  </property>
  <property fmtid="{D5CDD505-2E9C-101B-9397-08002B2CF9AE}" pid="6" name="Mendeley Recent Style Id 1_1">
    <vt:lpwstr>http://www.zotero.org/styles/harvard-cite-them-right</vt:lpwstr>
  </property>
  <property fmtid="{D5CDD505-2E9C-101B-9397-08002B2CF9AE}" pid="7" name="Mendeley Recent Style Name 1_1">
    <vt:lpwstr>Cite Them Right 10th edition - Harvard</vt:lpwstr>
  </property>
  <property fmtid="{D5CDD505-2E9C-101B-9397-08002B2CF9AE}" pid="8" name="Mendeley Recent Style Id 2_1">
    <vt:lpwstr>http://www.zotero.org/styles/energy</vt:lpwstr>
  </property>
  <property fmtid="{D5CDD505-2E9C-101B-9397-08002B2CF9AE}" pid="9" name="Mendeley Recent Style Name 2_1">
    <vt:lpwstr>Energy</vt:lpwstr>
  </property>
  <property fmtid="{D5CDD505-2E9C-101B-9397-08002B2CF9AE}" pid="10" name="Mendeley Recent Style Id 3_1">
    <vt:lpwstr>http://www.zotero.org/styles/energy-conversion-and-management</vt:lpwstr>
  </property>
  <property fmtid="{D5CDD505-2E9C-101B-9397-08002B2CF9AE}" pid="11" name="Mendeley Recent Style Name 3_1">
    <vt:lpwstr>Energy Conversion and Management</vt:lpwstr>
  </property>
  <property fmtid="{D5CDD505-2E9C-101B-9397-08002B2CF9AE}" pid="12" name="Mendeley Recent Style Id 4_1">
    <vt:lpwstr>http://www.zotero.org/styles/energy-strategy-reviews</vt:lpwstr>
  </property>
  <property fmtid="{D5CDD505-2E9C-101B-9397-08002B2CF9AE}" pid="13" name="Mendeley Recent Style Name 4_1">
    <vt:lpwstr>Energy Strategy Reviews</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(deprecated)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http://www.zotero.org/styles/nature</vt:lpwstr>
  </property>
  <property fmtid="{D5CDD505-2E9C-101B-9397-08002B2CF9AE}" pid="19" name="Mendeley Recent Style Name 7_1">
    <vt:lpwstr>Nature</vt:lpwstr>
  </property>
  <property fmtid="{D5CDD505-2E9C-101B-9397-08002B2CF9AE}" pid="20" name="Mendeley Recent Style Id 8_1">
    <vt:lpwstr>http://www.zotero.org/styles/renewable-energy</vt:lpwstr>
  </property>
  <property fmtid="{D5CDD505-2E9C-101B-9397-08002B2CF9AE}" pid="21" name="Mendeley Recent Style Name 8_1">
    <vt:lpwstr>Renewable Energy</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Document_1">
    <vt:lpwstr>True</vt:lpwstr>
  </property>
  <property fmtid="{D5CDD505-2E9C-101B-9397-08002B2CF9AE}" pid="25" name="Mendeley Unique User Id_1">
    <vt:lpwstr>1a9c1a3b-923b-31a2-8aae-b6a975777c24</vt:lpwstr>
  </property>
  <property fmtid="{D5CDD505-2E9C-101B-9397-08002B2CF9AE}" pid="26" name="Mendeley Citation Style_1">
    <vt:lpwstr>http://www.zotero.org/styles/harvard1</vt:lpwstr>
  </property>
</Properties>
</file>