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5C50AE86" w14:textId="77777777" w:rsidTr="00DE264A">
        <w:trPr>
          <w:trHeight w:val="852"/>
          <w:jc w:val="center"/>
        </w:trPr>
        <w:tc>
          <w:tcPr>
            <w:tcW w:w="6946" w:type="dxa"/>
            <w:vMerge w:val="restart"/>
            <w:tcBorders>
              <w:right w:val="single" w:sz="4" w:space="0" w:color="auto"/>
            </w:tcBorders>
          </w:tcPr>
          <w:p w14:paraId="5C50AE82"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5C50AFA2" wp14:editId="5C50AFA3">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5C50AE83" w14:textId="77777777"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843EAC">
              <w:rPr>
                <w:rFonts w:cs="Arial"/>
                <w:b/>
                <w:bCs/>
                <w:i/>
                <w:iCs/>
                <w:color w:val="000066"/>
                <w:sz w:val="22"/>
                <w:szCs w:val="22"/>
                <w:lang w:eastAsia="it-IT"/>
              </w:rPr>
              <w:t xml:space="preserve">   </w:t>
            </w:r>
            <w:proofErr w:type="gramStart"/>
            <w:r w:rsidR="00843EAC">
              <w:rPr>
                <w:rFonts w:cs="Arial"/>
                <w:b/>
                <w:bCs/>
                <w:i/>
                <w:iCs/>
                <w:color w:val="000066"/>
                <w:sz w:val="22"/>
                <w:szCs w:val="22"/>
                <w:lang w:eastAsia="it-IT"/>
              </w:rPr>
              <w:t xml:space="preserve"> </w:t>
            </w:r>
            <w:r w:rsidR="004761E9">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723169">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C50AE84"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C50AE85" w14:textId="77777777" w:rsidR="000A03B2" w:rsidRPr="00B57B36" w:rsidRDefault="000A03B2" w:rsidP="00CD5FE2">
            <w:pPr>
              <w:jc w:val="right"/>
            </w:pPr>
            <w:r w:rsidRPr="00B57B36">
              <w:rPr>
                <w:noProof/>
                <w:lang w:val="it-IT" w:eastAsia="it-IT"/>
              </w:rPr>
              <w:drawing>
                <wp:inline distT="0" distB="0" distL="0" distR="0" wp14:anchorId="5C50AFA4" wp14:editId="5C50AFA5">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5C50AE8B" w14:textId="77777777" w:rsidTr="00DE264A">
        <w:trPr>
          <w:trHeight w:val="567"/>
          <w:jc w:val="center"/>
        </w:trPr>
        <w:tc>
          <w:tcPr>
            <w:tcW w:w="6946" w:type="dxa"/>
            <w:vMerge/>
            <w:tcBorders>
              <w:right w:val="single" w:sz="4" w:space="0" w:color="auto"/>
            </w:tcBorders>
          </w:tcPr>
          <w:p w14:paraId="5C50AE87"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5C50AE8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5C50AE89"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5C50AE8A" w14:textId="77777777"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5C50AE8E" w14:textId="77777777" w:rsidTr="00DE264A">
        <w:trPr>
          <w:trHeight w:val="68"/>
          <w:jc w:val="center"/>
        </w:trPr>
        <w:tc>
          <w:tcPr>
            <w:tcW w:w="8789" w:type="dxa"/>
            <w:gridSpan w:val="2"/>
          </w:tcPr>
          <w:p w14:paraId="5C50AE8C" w14:textId="77777777" w:rsidR="00AA7D26" w:rsidRPr="003A6FC6" w:rsidRDefault="00AA7D26" w:rsidP="00AA7D26">
            <w:pPr>
              <w:ind w:left="-107"/>
              <w:outlineLvl w:val="2"/>
              <w:rPr>
                <w:rFonts w:ascii="Tahoma" w:hAnsi="Tahoma" w:cs="Tahoma"/>
                <w:bCs/>
                <w:color w:val="000000"/>
                <w:sz w:val="14"/>
                <w:szCs w:val="14"/>
                <w:lang w:val="it-IT" w:eastAsia="it-IT"/>
              </w:rPr>
            </w:pPr>
            <w:r w:rsidRPr="003A6FC6">
              <w:rPr>
                <w:rFonts w:ascii="Tahoma" w:hAnsi="Tahoma" w:cs="Tahoma"/>
                <w:iCs/>
                <w:color w:val="333333"/>
                <w:sz w:val="14"/>
                <w:szCs w:val="14"/>
                <w:lang w:val="it-IT" w:eastAsia="it-IT"/>
              </w:rPr>
              <w:t>Guest Editors:</w:t>
            </w:r>
            <w:r w:rsidRPr="003A6FC6">
              <w:rPr>
                <w:rFonts w:ascii="Tahoma" w:hAnsi="Tahoma" w:cs="Tahoma"/>
                <w:color w:val="000000"/>
                <w:sz w:val="14"/>
                <w:szCs w:val="14"/>
                <w:shd w:val="clear" w:color="auto" w:fill="FFFFFF"/>
                <w:lang w:val="it-IT"/>
              </w:rPr>
              <w:t xml:space="preserve"> </w:t>
            </w:r>
            <w:r w:rsidR="00843EAC">
              <w:rPr>
                <w:rFonts w:ascii="Tahoma" w:hAnsi="Tahoma" w:cs="Tahoma"/>
                <w:color w:val="000000"/>
                <w:sz w:val="14"/>
                <w:szCs w:val="14"/>
                <w:shd w:val="clear" w:color="auto" w:fill="FFFFFF"/>
                <w:lang w:val="it-IT"/>
              </w:rPr>
              <w:t>Marco Bravi, Antonio Marzocchella, Giuseppe Caputo</w:t>
            </w:r>
          </w:p>
          <w:p w14:paraId="5C50AE8D" w14:textId="77777777"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843EAC">
              <w:rPr>
                <w:rFonts w:ascii="Tahoma" w:hAnsi="Tahoma" w:cs="Tahoma"/>
                <w:iCs/>
                <w:color w:val="333333"/>
                <w:sz w:val="14"/>
                <w:szCs w:val="14"/>
                <w:lang w:eastAsia="it-IT"/>
              </w:rPr>
              <w:t>4</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723169">
              <w:rPr>
                <w:rFonts w:ascii="Tahoma" w:hAnsi="Tahoma" w:cs="Tahoma"/>
                <w:sz w:val="14"/>
                <w:szCs w:val="14"/>
              </w:rPr>
              <w:t>10-6</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5C50AE8F" w14:textId="77777777" w:rsidR="00E978D0" w:rsidRPr="00B57B36" w:rsidRDefault="00956BD6" w:rsidP="00E978D0">
      <w:pPr>
        <w:pStyle w:val="CETTitle"/>
      </w:pPr>
      <w:r>
        <w:t>C</w:t>
      </w:r>
      <w:r w:rsidR="002A7A49">
        <w:t>haracterization of laccase adsorption on lignocellulosic biomasses</w:t>
      </w:r>
    </w:p>
    <w:p w14:paraId="5C50AE90" w14:textId="256A0F1E" w:rsidR="00B57E6F" w:rsidRPr="001C513C" w:rsidRDefault="002A7A49" w:rsidP="00AE3A0D">
      <w:pPr>
        <w:pStyle w:val="CETAuthors"/>
        <w:rPr>
          <w:lang w:val="it-IT"/>
        </w:rPr>
      </w:pPr>
      <w:r w:rsidRPr="001C513C">
        <w:rPr>
          <w:lang w:val="it-IT"/>
        </w:rPr>
        <w:t>Adriana Posilipo</w:t>
      </w:r>
      <w:r w:rsidR="00B57E6F" w:rsidRPr="001C513C">
        <w:rPr>
          <w:vertAlign w:val="superscript"/>
          <w:lang w:val="it-IT"/>
        </w:rPr>
        <w:t>a</w:t>
      </w:r>
      <w:r w:rsidR="00B57E6F" w:rsidRPr="001C513C">
        <w:rPr>
          <w:lang w:val="it-IT"/>
        </w:rPr>
        <w:t xml:space="preserve">, </w:t>
      </w:r>
      <w:r w:rsidRPr="001C513C">
        <w:rPr>
          <w:lang w:val="it-IT"/>
        </w:rPr>
        <w:t>Maria E</w:t>
      </w:r>
      <w:r w:rsidR="00232071">
        <w:rPr>
          <w:lang w:val="it-IT"/>
        </w:rPr>
        <w:t>lena</w:t>
      </w:r>
      <w:r w:rsidR="00153661" w:rsidRPr="001C513C">
        <w:rPr>
          <w:lang w:val="it-IT"/>
        </w:rPr>
        <w:t xml:space="preserve"> </w:t>
      </w:r>
      <w:r w:rsidRPr="001C513C">
        <w:rPr>
          <w:lang w:val="it-IT"/>
        </w:rPr>
        <w:t>Russo</w:t>
      </w:r>
      <w:r w:rsidR="00B57E6F" w:rsidRPr="001C513C">
        <w:rPr>
          <w:vertAlign w:val="superscript"/>
          <w:lang w:val="it-IT"/>
        </w:rPr>
        <w:t>b</w:t>
      </w:r>
      <w:r w:rsidR="009C0985" w:rsidRPr="001C513C">
        <w:rPr>
          <w:vertAlign w:val="superscript"/>
          <w:lang w:val="it-IT"/>
        </w:rPr>
        <w:t>*</w:t>
      </w:r>
      <w:r w:rsidR="00B57E6F" w:rsidRPr="001C513C">
        <w:rPr>
          <w:lang w:val="it-IT"/>
        </w:rPr>
        <w:t>,</w:t>
      </w:r>
      <w:r w:rsidR="00F46669" w:rsidRPr="001C513C">
        <w:rPr>
          <w:lang w:val="it-IT"/>
        </w:rPr>
        <w:t xml:space="preserve"> A</w:t>
      </w:r>
      <w:r w:rsidR="00BF2188" w:rsidRPr="001C513C">
        <w:rPr>
          <w:lang w:val="it-IT"/>
        </w:rPr>
        <w:t xml:space="preserve">ntonio </w:t>
      </w:r>
      <w:r w:rsidR="00F46669" w:rsidRPr="001C513C">
        <w:rPr>
          <w:lang w:val="it-IT"/>
        </w:rPr>
        <w:t>Marzocchella</w:t>
      </w:r>
      <w:r w:rsidR="00F46669" w:rsidRPr="001C513C">
        <w:rPr>
          <w:vertAlign w:val="superscript"/>
          <w:lang w:val="it-IT"/>
        </w:rPr>
        <w:t>a</w:t>
      </w:r>
    </w:p>
    <w:p w14:paraId="5C50AE91" w14:textId="77777777" w:rsidR="00AE3A0D" w:rsidRPr="00AE3A0D" w:rsidRDefault="00AE3A0D" w:rsidP="00AE3A0D">
      <w:pPr>
        <w:pStyle w:val="CETAddress"/>
        <w:rPr>
          <w:lang w:val="it-IT"/>
        </w:rPr>
      </w:pPr>
      <w:r w:rsidRPr="00AE3A0D">
        <w:rPr>
          <w:vertAlign w:val="superscript"/>
          <w:lang w:val="it-IT"/>
        </w:rPr>
        <w:t>a</w:t>
      </w:r>
      <w:r w:rsidRPr="00AE3A0D">
        <w:rPr>
          <w:lang w:val="it-IT"/>
        </w:rPr>
        <w:t>Dipartimento di Ingegneria Chimica dei Materiali e della Produzione Industriale, Università degli Studi di Napoli Federico II, P.le V. Tecchio 80, 80125 Napoli, Italy</w:t>
      </w:r>
    </w:p>
    <w:p w14:paraId="5C50AE93" w14:textId="201C5660" w:rsidR="00E44FFF" w:rsidRDefault="00AE3A0D" w:rsidP="00AE3A0D">
      <w:pPr>
        <w:pStyle w:val="CETAddress"/>
        <w:rPr>
          <w:lang w:val="it-IT"/>
        </w:rPr>
      </w:pPr>
      <w:r w:rsidRPr="00AE3A0D">
        <w:rPr>
          <w:vertAlign w:val="superscript"/>
          <w:lang w:val="it-IT"/>
        </w:rPr>
        <w:t>b</w:t>
      </w:r>
      <w:r w:rsidRPr="00AE3A0D">
        <w:rPr>
          <w:lang w:val="it-IT"/>
        </w:rPr>
        <w:t>Istituto di Scienze e Tecnologie per l’Energia e la Mobilità Sostenibili, Consiglio Nazionale delle Ricerche, P.le V. Tecchio 80, 80125 Napoli, Italy</w:t>
      </w:r>
    </w:p>
    <w:p w14:paraId="5C50AE94" w14:textId="3D387B99" w:rsidR="00543689" w:rsidRPr="00FC066F" w:rsidRDefault="00625ED9" w:rsidP="00AE3A0D">
      <w:pPr>
        <w:pStyle w:val="CETAddress"/>
        <w:rPr>
          <w:rStyle w:val="Collegamentoipertestuale"/>
          <w:color w:val="auto"/>
        </w:rPr>
      </w:pPr>
      <w:r w:rsidRPr="00FC066F">
        <w:t>mariaelena.russo@stems.cnr.it</w:t>
      </w:r>
    </w:p>
    <w:p w14:paraId="5C50AE95" w14:textId="77777777" w:rsidR="001C513C" w:rsidRPr="00FC066F" w:rsidRDefault="001C513C" w:rsidP="00AE3A0D">
      <w:pPr>
        <w:pStyle w:val="CETAddress"/>
      </w:pPr>
    </w:p>
    <w:p w14:paraId="5C50AE96" w14:textId="15C0A1B7" w:rsidR="00DA24C6" w:rsidRPr="00F814B3" w:rsidRDefault="009C0985" w:rsidP="005328E4">
      <w:pPr>
        <w:pStyle w:val="CETListbullets"/>
        <w:ind w:left="0" w:firstLine="0"/>
        <w:rPr>
          <w:lang w:val="en-US"/>
        </w:rPr>
      </w:pPr>
      <w:r>
        <w:rPr>
          <w:lang w:val="en-US"/>
        </w:rPr>
        <w:t>B</w:t>
      </w:r>
      <w:r w:rsidR="005328E4" w:rsidRPr="005328E4">
        <w:rPr>
          <w:lang w:val="en-US"/>
        </w:rPr>
        <w:t xml:space="preserve">iorefinery is a valid alternative to fossil-based processes through the transformation of lignocellulosic biomasses (LB) into </w:t>
      </w:r>
      <w:r>
        <w:rPr>
          <w:lang w:val="en-US"/>
        </w:rPr>
        <w:t xml:space="preserve">a spectrum of </w:t>
      </w:r>
      <w:r w:rsidR="005328E4" w:rsidRPr="005328E4">
        <w:rPr>
          <w:lang w:val="en-US"/>
        </w:rPr>
        <w:t>chemicals and biofuels (Cherubini, 2010). The sugar-based platform consists of</w:t>
      </w:r>
      <w:r w:rsidR="00625ED9">
        <w:rPr>
          <w:lang w:val="en-US"/>
        </w:rPr>
        <w:t xml:space="preserve"> I)</w:t>
      </w:r>
      <w:r w:rsidR="005328E4" w:rsidRPr="005328E4">
        <w:rPr>
          <w:lang w:val="en-US"/>
        </w:rPr>
        <w:t xml:space="preserve"> one or more biomass pretreatments aimed at modifying/removing lignin</w:t>
      </w:r>
      <w:r w:rsidR="00625ED9">
        <w:rPr>
          <w:lang w:val="en-US"/>
        </w:rPr>
        <w:t>; II)</w:t>
      </w:r>
      <w:r w:rsidR="005328E4" w:rsidRPr="005328E4">
        <w:rPr>
          <w:lang w:val="en-US"/>
        </w:rPr>
        <w:t xml:space="preserve"> cellulose and hemicellulose enzymatic hydrolysis</w:t>
      </w:r>
      <w:r w:rsidR="00625ED9">
        <w:rPr>
          <w:lang w:val="en-US"/>
        </w:rPr>
        <w:t xml:space="preserve">; </w:t>
      </w:r>
      <w:r w:rsidR="005328E4" w:rsidRPr="005328E4">
        <w:rPr>
          <w:lang w:val="en-US"/>
        </w:rPr>
        <w:t>II</w:t>
      </w:r>
      <w:r w:rsidR="00625ED9">
        <w:rPr>
          <w:lang w:val="en-US"/>
        </w:rPr>
        <w:t>I</w:t>
      </w:r>
      <w:r w:rsidR="005328E4" w:rsidRPr="005328E4">
        <w:rPr>
          <w:lang w:val="en-US"/>
        </w:rPr>
        <w:t xml:space="preserve">) </w:t>
      </w:r>
      <w:r w:rsidR="00625ED9">
        <w:rPr>
          <w:lang w:val="en-US"/>
        </w:rPr>
        <w:t xml:space="preserve">the fermentation of </w:t>
      </w:r>
      <w:r w:rsidR="005328E4" w:rsidRPr="005328E4">
        <w:rPr>
          <w:lang w:val="en-US"/>
        </w:rPr>
        <w:t xml:space="preserve">the released pentose and hexose sugars. Pretreatment of lignocellulosic biomass is a key step. Biochemical pretreatments may be the best alternative in terms of process sustainability. Laccases – multicopper oxidoreductases - are among the most proposed enzymes for this purpose. </w:t>
      </w:r>
      <w:r w:rsidR="00625ED9">
        <w:rPr>
          <w:lang w:val="en-US"/>
        </w:rPr>
        <w:t xml:space="preserve">The present </w:t>
      </w:r>
      <w:r w:rsidR="005328E4" w:rsidRPr="005328E4">
        <w:rPr>
          <w:lang w:val="en-US"/>
        </w:rPr>
        <w:t>study</w:t>
      </w:r>
      <w:r w:rsidR="00625ED9">
        <w:rPr>
          <w:lang w:val="en-US"/>
        </w:rPr>
        <w:t xml:space="preserve"> reports </w:t>
      </w:r>
      <w:r w:rsidR="005328E4" w:rsidRPr="005328E4">
        <w:rPr>
          <w:lang w:val="en-US"/>
        </w:rPr>
        <w:t>the adsorption of a recombinant fungal laccase</w:t>
      </w:r>
      <w:r w:rsidR="00625ED9">
        <w:rPr>
          <w:lang w:val="en-US"/>
        </w:rPr>
        <w:t xml:space="preserve"> -</w:t>
      </w:r>
      <w:r w:rsidR="00625ED9" w:rsidRPr="005328E4">
        <w:rPr>
          <w:lang w:val="en-US"/>
        </w:rPr>
        <w:t xml:space="preserve"> </w:t>
      </w:r>
      <w:r w:rsidR="005328E4" w:rsidRPr="005328E4">
        <w:rPr>
          <w:lang w:val="en-US"/>
        </w:rPr>
        <w:t>PoxA1b, previously proposed for the delignification of several LBs</w:t>
      </w:r>
      <w:r w:rsidR="00625ED9">
        <w:rPr>
          <w:lang w:val="en-US"/>
        </w:rPr>
        <w:t xml:space="preserve"> -</w:t>
      </w:r>
      <w:r w:rsidR="00625ED9" w:rsidRPr="005328E4">
        <w:rPr>
          <w:lang w:val="en-US"/>
        </w:rPr>
        <w:t xml:space="preserve"> </w:t>
      </w:r>
      <w:r w:rsidR="005328E4" w:rsidRPr="005328E4">
        <w:rPr>
          <w:lang w:val="en-US"/>
        </w:rPr>
        <w:t xml:space="preserve">on coffee </w:t>
      </w:r>
      <w:proofErr w:type="spellStart"/>
      <w:r w:rsidR="005328E4" w:rsidRPr="005328E4">
        <w:rPr>
          <w:lang w:val="en-US"/>
        </w:rPr>
        <w:t>silverskin</w:t>
      </w:r>
      <w:proofErr w:type="spellEnd"/>
      <w:r w:rsidR="005328E4" w:rsidRPr="005328E4">
        <w:rPr>
          <w:lang w:val="en-US"/>
        </w:rPr>
        <w:t xml:space="preserve"> and </w:t>
      </w:r>
      <w:r w:rsidR="00081A35">
        <w:rPr>
          <w:lang w:val="en-US"/>
        </w:rPr>
        <w:t>C</w:t>
      </w:r>
      <w:r w:rsidR="005328E4" w:rsidRPr="005328E4">
        <w:rPr>
          <w:lang w:val="en-US"/>
        </w:rPr>
        <w:t xml:space="preserve">ardoon stalks. The milled and sieved biomasses (0.5 - 1 mm) were </w:t>
      </w:r>
      <w:r w:rsidR="00625ED9">
        <w:rPr>
          <w:lang w:val="en-US"/>
        </w:rPr>
        <w:t xml:space="preserve">dispersed in </w:t>
      </w:r>
      <w:r w:rsidR="005328E4" w:rsidRPr="005328E4">
        <w:rPr>
          <w:lang w:val="en-US"/>
        </w:rPr>
        <w:t xml:space="preserve">PoxA1b solutions </w:t>
      </w:r>
      <w:r w:rsidR="00625ED9">
        <w:rPr>
          <w:lang w:val="en-US"/>
        </w:rPr>
        <w:t xml:space="preserve">at several </w:t>
      </w:r>
      <w:r w:rsidR="005328E4" w:rsidRPr="005328E4">
        <w:rPr>
          <w:lang w:val="en-US"/>
        </w:rPr>
        <w:t>initial enzyme concentration</w:t>
      </w:r>
      <w:r w:rsidR="00A13D67">
        <w:rPr>
          <w:lang w:val="en-US"/>
        </w:rPr>
        <w:t>s</w:t>
      </w:r>
      <w:r w:rsidR="005328E4" w:rsidRPr="005328E4">
        <w:rPr>
          <w:lang w:val="en-US"/>
        </w:rPr>
        <w:t xml:space="preserve">. </w:t>
      </w:r>
      <w:r w:rsidR="00625ED9">
        <w:rPr>
          <w:lang w:val="en-US"/>
        </w:rPr>
        <w:t xml:space="preserve">The </w:t>
      </w:r>
      <w:r w:rsidR="005328E4" w:rsidRPr="005328E4">
        <w:rPr>
          <w:lang w:val="en-US"/>
        </w:rPr>
        <w:t>preliminary characterization point</w:t>
      </w:r>
      <w:r w:rsidR="00625ED9">
        <w:rPr>
          <w:lang w:val="en-US"/>
        </w:rPr>
        <w:t>ed</w:t>
      </w:r>
      <w:r w:rsidR="005328E4" w:rsidRPr="005328E4">
        <w:rPr>
          <w:lang w:val="en-US"/>
        </w:rPr>
        <w:t xml:space="preserve"> out two occurring phenomena: the adsorption of the laccases on the biomass surface</w:t>
      </w:r>
      <w:r w:rsidR="00625ED9">
        <w:rPr>
          <w:lang w:val="en-US"/>
        </w:rPr>
        <w:t>,</w:t>
      </w:r>
      <w:r w:rsidR="005328E4" w:rsidRPr="005328E4">
        <w:rPr>
          <w:lang w:val="en-US"/>
        </w:rPr>
        <w:t xml:space="preserve"> and its effect on the further adsorption of cellulases in the enzymatic hydrolysis step. </w:t>
      </w:r>
      <w:r w:rsidR="00966E0F" w:rsidRPr="00966E0F">
        <w:rPr>
          <w:lang w:val="en-US"/>
        </w:rPr>
        <w:t>P</w:t>
      </w:r>
      <w:r w:rsidR="005328E4" w:rsidRPr="00966E0F">
        <w:rPr>
          <w:lang w:val="en-US"/>
        </w:rPr>
        <w:t>erspectives</w:t>
      </w:r>
      <w:r w:rsidR="005328E4" w:rsidRPr="005328E4">
        <w:rPr>
          <w:lang w:val="en-US"/>
        </w:rPr>
        <w:t xml:space="preserve"> </w:t>
      </w:r>
      <w:r w:rsidR="00966E0F">
        <w:rPr>
          <w:lang w:val="en-US"/>
        </w:rPr>
        <w:t>on</w:t>
      </w:r>
      <w:r w:rsidR="00966E0F" w:rsidRPr="005328E4">
        <w:rPr>
          <w:lang w:val="en-US"/>
        </w:rPr>
        <w:t xml:space="preserve"> </w:t>
      </w:r>
      <w:r w:rsidR="005328E4" w:rsidRPr="005328E4">
        <w:rPr>
          <w:lang w:val="en-US"/>
        </w:rPr>
        <w:t xml:space="preserve">future studies </w:t>
      </w:r>
      <w:r w:rsidR="00966E0F">
        <w:rPr>
          <w:lang w:val="en-US"/>
        </w:rPr>
        <w:t xml:space="preserve">include </w:t>
      </w:r>
      <w:r w:rsidR="00942394">
        <w:rPr>
          <w:lang w:val="en-US"/>
        </w:rPr>
        <w:t>tuning</w:t>
      </w:r>
      <w:r w:rsidR="005328E4" w:rsidRPr="005328E4">
        <w:rPr>
          <w:lang w:val="en-US"/>
        </w:rPr>
        <w:t xml:space="preserve"> the adsorption-related phenomena and </w:t>
      </w:r>
      <w:proofErr w:type="spellStart"/>
      <w:r w:rsidR="005328E4" w:rsidRPr="005328E4">
        <w:rPr>
          <w:lang w:val="en-US"/>
        </w:rPr>
        <w:t>maximi</w:t>
      </w:r>
      <w:r w:rsidR="00942394">
        <w:rPr>
          <w:lang w:val="en-US"/>
        </w:rPr>
        <w:t>sing</w:t>
      </w:r>
      <w:proofErr w:type="spellEnd"/>
      <w:r w:rsidR="005328E4" w:rsidRPr="005328E4">
        <w:rPr>
          <w:lang w:val="en-US"/>
        </w:rPr>
        <w:t xml:space="preserve"> the impact of the biochemical pretreatments in the delignification of LBs for biorefinery purposes.</w:t>
      </w:r>
    </w:p>
    <w:p w14:paraId="5C50AE97" w14:textId="77777777" w:rsidR="00600535" w:rsidRDefault="00600535" w:rsidP="00600535">
      <w:pPr>
        <w:pStyle w:val="CETHeading1"/>
        <w:rPr>
          <w:lang w:val="en-GB"/>
        </w:rPr>
      </w:pPr>
      <w:r w:rsidRPr="00B57B36">
        <w:rPr>
          <w:lang w:val="en-GB"/>
        </w:rPr>
        <w:t>Introduction</w:t>
      </w:r>
    </w:p>
    <w:p w14:paraId="5C50AE98" w14:textId="4EA5CD9D" w:rsidR="00BD30E9" w:rsidRPr="00BD30E9" w:rsidRDefault="00BD30E9" w:rsidP="00BD30E9">
      <w:pPr>
        <w:pStyle w:val="CETBodytext"/>
        <w:rPr>
          <w:lang w:val="en-GB"/>
        </w:rPr>
      </w:pPr>
      <w:r w:rsidRPr="00BD30E9">
        <w:rPr>
          <w:lang w:val="en-GB"/>
        </w:rPr>
        <w:t xml:space="preserve">The </w:t>
      </w:r>
      <w:r w:rsidR="004166F9">
        <w:rPr>
          <w:lang w:val="en-GB"/>
        </w:rPr>
        <w:t>exploitation</w:t>
      </w:r>
      <w:r w:rsidR="004166F9" w:rsidRPr="00BD30E9">
        <w:rPr>
          <w:lang w:val="en-GB"/>
        </w:rPr>
        <w:t xml:space="preserve"> </w:t>
      </w:r>
      <w:r w:rsidRPr="00BD30E9">
        <w:rPr>
          <w:lang w:val="en-GB"/>
        </w:rPr>
        <w:t xml:space="preserve">of waste lignocellulosic biomass as a non-fossil carbon source </w:t>
      </w:r>
      <w:r w:rsidR="004166F9">
        <w:rPr>
          <w:lang w:val="en-GB"/>
        </w:rPr>
        <w:t>via</w:t>
      </w:r>
      <w:r w:rsidR="004166F9" w:rsidRPr="00BD30E9">
        <w:rPr>
          <w:lang w:val="en-GB"/>
        </w:rPr>
        <w:t xml:space="preserve"> </w:t>
      </w:r>
      <w:r w:rsidRPr="00BD30E9">
        <w:rPr>
          <w:lang w:val="en-GB"/>
        </w:rPr>
        <w:t xml:space="preserve">biorefinery processes is an effective strategy for producing biofuels and high-value-added bio-based products (Alberts et al., IRENA, 2016). The saccharification of lignocellulosic biomass (LB) requires several steps to efficiently produce liquid hydrolysate </w:t>
      </w:r>
      <w:r w:rsidR="009C0985">
        <w:rPr>
          <w:lang w:val="en-GB"/>
        </w:rPr>
        <w:t>at</w:t>
      </w:r>
      <w:r w:rsidR="009C0985" w:rsidRPr="00BD30E9">
        <w:rPr>
          <w:lang w:val="en-GB"/>
        </w:rPr>
        <w:t xml:space="preserve"> </w:t>
      </w:r>
      <w:r w:rsidRPr="00BD30E9">
        <w:rPr>
          <w:lang w:val="en-GB"/>
        </w:rPr>
        <w:t xml:space="preserve">a high monomeric sugar titre and </w:t>
      </w:r>
      <w:r w:rsidR="004166F9">
        <w:rPr>
          <w:lang w:val="en-GB"/>
        </w:rPr>
        <w:t xml:space="preserve">to </w:t>
      </w:r>
      <w:r w:rsidRPr="00BD30E9">
        <w:rPr>
          <w:lang w:val="en-GB"/>
        </w:rPr>
        <w:t xml:space="preserve">maximize the </w:t>
      </w:r>
      <w:r w:rsidR="004166F9">
        <w:rPr>
          <w:lang w:val="en-GB"/>
        </w:rPr>
        <w:t>(hemi)</w:t>
      </w:r>
      <w:r w:rsidRPr="00BD30E9">
        <w:rPr>
          <w:lang w:val="en-GB"/>
        </w:rPr>
        <w:t>cellulose conversion. Among the</w:t>
      </w:r>
      <w:r w:rsidR="004166F9">
        <w:rPr>
          <w:lang w:val="en-GB"/>
        </w:rPr>
        <w:t xml:space="preserve"> step</w:t>
      </w:r>
      <w:r w:rsidR="00F3406F">
        <w:rPr>
          <w:lang w:val="en-GB"/>
        </w:rPr>
        <w:t>s</w:t>
      </w:r>
      <w:r w:rsidRPr="00BD30E9">
        <w:rPr>
          <w:lang w:val="en-GB"/>
        </w:rPr>
        <w:t xml:space="preserve">, the pre-treatment is necessary to modify the structure and composition of the LB through the increase of available specific surface and </w:t>
      </w:r>
      <w:r w:rsidR="004166F9">
        <w:rPr>
          <w:lang w:val="en-GB"/>
        </w:rPr>
        <w:t xml:space="preserve">the </w:t>
      </w:r>
      <w:r w:rsidRPr="00BD30E9">
        <w:rPr>
          <w:lang w:val="en-GB"/>
        </w:rPr>
        <w:t>decrease of lignin content</w:t>
      </w:r>
      <w:r w:rsidR="004166F9">
        <w:rPr>
          <w:lang w:val="en-GB"/>
        </w:rPr>
        <w:t>. All actions aimed to</w:t>
      </w:r>
      <w:r w:rsidRPr="00BD30E9">
        <w:rPr>
          <w:lang w:val="en-GB"/>
        </w:rPr>
        <w:t xml:space="preserve"> </w:t>
      </w:r>
      <w:r w:rsidR="004166F9">
        <w:rPr>
          <w:lang w:val="en-GB"/>
        </w:rPr>
        <w:t xml:space="preserve">increase the </w:t>
      </w:r>
      <w:r w:rsidRPr="00BD30E9">
        <w:rPr>
          <w:lang w:val="en-GB"/>
        </w:rPr>
        <w:t>polysaccharide</w:t>
      </w:r>
      <w:r w:rsidR="00F3406F">
        <w:rPr>
          <w:lang w:val="en-GB"/>
        </w:rPr>
        <w:t>s</w:t>
      </w:r>
      <w:r w:rsidRPr="00BD30E9">
        <w:rPr>
          <w:lang w:val="en-GB"/>
        </w:rPr>
        <w:t xml:space="preserve"> </w:t>
      </w:r>
      <w:r w:rsidR="004166F9">
        <w:rPr>
          <w:lang w:val="en-GB"/>
        </w:rPr>
        <w:t xml:space="preserve">accessibility </w:t>
      </w:r>
      <w:r w:rsidRPr="00BD30E9">
        <w:rPr>
          <w:lang w:val="en-GB"/>
        </w:rPr>
        <w:t xml:space="preserve">for enzymatic hydrolysis (EH). EH step is </w:t>
      </w:r>
      <w:r w:rsidR="00493B70" w:rsidRPr="00BD30E9">
        <w:rPr>
          <w:lang w:val="en-GB"/>
        </w:rPr>
        <w:t>catalysed</w:t>
      </w:r>
      <w:r w:rsidRPr="00BD30E9">
        <w:rPr>
          <w:lang w:val="en-GB"/>
        </w:rPr>
        <w:t xml:space="preserve"> by cellulases and results in the production of sugars that can be used as substrates for industrial fermentation processes (Cherubini, 2010). Biological/biochemical pre-treatments are the most eco-friendly alternative among the pretreatment strategies proposed so far (</w:t>
      </w:r>
      <w:proofErr w:type="spellStart"/>
      <w:r w:rsidRPr="00BD30E9">
        <w:rPr>
          <w:lang w:val="en-GB"/>
        </w:rPr>
        <w:t>Fillat</w:t>
      </w:r>
      <w:proofErr w:type="spellEnd"/>
      <w:r w:rsidRPr="00BD30E9">
        <w:rPr>
          <w:lang w:val="en-GB"/>
        </w:rPr>
        <w:t xml:space="preserve"> et al., 2017). Indeed, the modification of lignin fraction can be obtained by using microorganisms </w:t>
      </w:r>
      <w:r w:rsidR="004166F9">
        <w:rPr>
          <w:lang w:val="en-GB"/>
        </w:rPr>
        <w:t>(</w:t>
      </w:r>
      <w:proofErr w:type="gramStart"/>
      <w:r w:rsidR="004166F9">
        <w:rPr>
          <w:lang w:val="en-GB"/>
        </w:rPr>
        <w:t>e.g.</w:t>
      </w:r>
      <w:proofErr w:type="gramEnd"/>
      <w:r w:rsidR="004166F9">
        <w:rPr>
          <w:lang w:val="en-GB"/>
        </w:rPr>
        <w:t xml:space="preserve"> fung</w:t>
      </w:r>
      <w:r w:rsidR="005F497E">
        <w:rPr>
          <w:lang w:val="en-GB"/>
        </w:rPr>
        <w:t>i</w:t>
      </w:r>
      <w:r w:rsidR="004166F9">
        <w:rPr>
          <w:lang w:val="en-GB"/>
        </w:rPr>
        <w:t xml:space="preserve">) and </w:t>
      </w:r>
      <w:r w:rsidRPr="00BD30E9">
        <w:rPr>
          <w:lang w:val="en-GB"/>
        </w:rPr>
        <w:t>enzymes (</w:t>
      </w:r>
      <w:r w:rsidR="004166F9">
        <w:rPr>
          <w:lang w:val="en-GB"/>
        </w:rPr>
        <w:t xml:space="preserve">e.g. </w:t>
      </w:r>
      <w:r w:rsidRPr="00BD30E9">
        <w:rPr>
          <w:lang w:val="en-GB"/>
        </w:rPr>
        <w:t>laccases, phenol oxidases</w:t>
      </w:r>
      <w:r w:rsidR="004166F9" w:rsidRPr="00BD30E9">
        <w:rPr>
          <w:lang w:val="en-GB"/>
        </w:rPr>
        <w:t>)</w:t>
      </w:r>
      <w:r w:rsidR="004166F9">
        <w:rPr>
          <w:lang w:val="en-GB"/>
        </w:rPr>
        <w:t xml:space="preserve">. All actions are aimed </w:t>
      </w:r>
      <w:r w:rsidR="00EC4DA5">
        <w:rPr>
          <w:lang w:val="en-GB"/>
        </w:rPr>
        <w:t>at</w:t>
      </w:r>
      <w:r w:rsidR="004166F9">
        <w:rPr>
          <w:lang w:val="en-GB"/>
        </w:rPr>
        <w:t xml:space="preserve"> </w:t>
      </w:r>
      <w:r w:rsidRPr="00BD30E9">
        <w:rPr>
          <w:lang w:val="en-GB"/>
        </w:rPr>
        <w:t>minimi</w:t>
      </w:r>
      <w:r w:rsidR="00EC4DA5">
        <w:rPr>
          <w:lang w:val="en-GB"/>
        </w:rPr>
        <w:t>sing</w:t>
      </w:r>
      <w:r w:rsidRPr="00BD30E9">
        <w:rPr>
          <w:lang w:val="en-GB"/>
        </w:rPr>
        <w:t xml:space="preserve"> the production of inhibitors that </w:t>
      </w:r>
      <w:r w:rsidR="004166F9">
        <w:rPr>
          <w:lang w:val="en-GB"/>
        </w:rPr>
        <w:t xml:space="preserve">could </w:t>
      </w:r>
      <w:r w:rsidRPr="00BD30E9">
        <w:rPr>
          <w:lang w:val="en-GB"/>
        </w:rPr>
        <w:t xml:space="preserve">affect the EH and fermentation stages under mild operating conditions that do not impact </w:t>
      </w:r>
      <w:r w:rsidR="00EC4DA5">
        <w:rPr>
          <w:lang w:val="en-GB"/>
        </w:rPr>
        <w:t xml:space="preserve">the </w:t>
      </w:r>
      <w:r w:rsidRPr="00BD30E9">
        <w:rPr>
          <w:lang w:val="en-GB"/>
        </w:rPr>
        <w:t>overall costs and energy duty of the biorefinery process (Sharma et al., 2019). Laccases are among the most used and well-known ‘lignin-active’ enzymes. They are multicopper oxidoreductases that act on lignin by oxidizing phenolic subunits and produc</w:t>
      </w:r>
      <w:r w:rsidR="005F497E">
        <w:rPr>
          <w:lang w:val="en-GB"/>
        </w:rPr>
        <w:t>e</w:t>
      </w:r>
      <w:r w:rsidRPr="00BD30E9">
        <w:rPr>
          <w:lang w:val="en-GB"/>
        </w:rPr>
        <w:t xml:space="preserve"> water as a </w:t>
      </w:r>
      <w:r w:rsidR="005F497E">
        <w:rPr>
          <w:lang w:val="en-GB"/>
        </w:rPr>
        <w:t>by-</w:t>
      </w:r>
      <w:r w:rsidRPr="00BD30E9">
        <w:rPr>
          <w:lang w:val="en-GB"/>
        </w:rPr>
        <w:t xml:space="preserve">product (Plácido and Capareda,2015). Laccases are produced by a wide range of microorganisms, including fungi, bacteria and archaea and have been widely studied against lignin model substrate and LB substrate with a lignin content between 17 to 24% (Giacobbe et al., 2018). </w:t>
      </w:r>
      <w:r w:rsidR="005F497E">
        <w:rPr>
          <w:lang w:val="en-GB"/>
        </w:rPr>
        <w:t>T</w:t>
      </w:r>
      <w:r w:rsidR="005F497E" w:rsidRPr="00BD30E9">
        <w:rPr>
          <w:lang w:val="en-GB"/>
        </w:rPr>
        <w:t xml:space="preserve">he </w:t>
      </w:r>
      <w:r w:rsidRPr="00BD30E9">
        <w:rPr>
          <w:lang w:val="en-GB"/>
        </w:rPr>
        <w:t>heterogeneous nature of the process catalysed by laccases in the case of lignin</w:t>
      </w:r>
      <w:r w:rsidR="00B512B9">
        <w:rPr>
          <w:lang w:val="en-GB"/>
        </w:rPr>
        <w:t xml:space="preserve">-substrate </w:t>
      </w:r>
      <w:r w:rsidRPr="00BD30E9">
        <w:rPr>
          <w:lang w:val="en-GB"/>
        </w:rPr>
        <w:t xml:space="preserve">embedded in LB solid particles, the homology between </w:t>
      </w:r>
      <w:r w:rsidR="00B512B9">
        <w:rPr>
          <w:lang w:val="en-GB"/>
        </w:rPr>
        <w:t>the lignin-destructive</w:t>
      </w:r>
      <w:r w:rsidR="00B512B9" w:rsidRPr="00BD30E9">
        <w:rPr>
          <w:lang w:val="en-GB"/>
        </w:rPr>
        <w:t xml:space="preserve"> </w:t>
      </w:r>
      <w:r w:rsidRPr="00BD30E9">
        <w:rPr>
          <w:lang w:val="en-GB"/>
        </w:rPr>
        <w:t xml:space="preserve">process and the EH catalysed by cellulases can be considered to set the methodologies for the investigation of phenomena </w:t>
      </w:r>
      <w:r w:rsidR="00B512B9">
        <w:rPr>
          <w:lang w:val="en-GB"/>
        </w:rPr>
        <w:t xml:space="preserve">responsible of </w:t>
      </w:r>
      <w:r w:rsidRPr="00BD30E9">
        <w:rPr>
          <w:lang w:val="en-GB"/>
        </w:rPr>
        <w:t>the biochemical modification of lignin chains. Among these</w:t>
      </w:r>
      <w:r w:rsidR="00B512B9">
        <w:rPr>
          <w:lang w:val="en-GB"/>
        </w:rPr>
        <w:t xml:space="preserve"> phenomena</w:t>
      </w:r>
      <w:r w:rsidRPr="00BD30E9">
        <w:rPr>
          <w:lang w:val="en-GB"/>
        </w:rPr>
        <w:t xml:space="preserve">, the adsorption of the </w:t>
      </w:r>
      <w:r w:rsidRPr="00BD30E9">
        <w:rPr>
          <w:lang w:val="en-GB"/>
        </w:rPr>
        <w:lastRenderedPageBreak/>
        <w:t xml:space="preserve">biocatalyst (laccases) on the surface of LB particles </w:t>
      </w:r>
      <w:r w:rsidR="00B512B9">
        <w:rPr>
          <w:lang w:val="en-GB"/>
        </w:rPr>
        <w:t xml:space="preserve">is expected to </w:t>
      </w:r>
      <w:r w:rsidRPr="00BD30E9">
        <w:rPr>
          <w:lang w:val="en-GB"/>
        </w:rPr>
        <w:t>have effects in regulating the effective loading of enzymes in the LB slurry as it is already proved for the EH process.</w:t>
      </w:r>
    </w:p>
    <w:p w14:paraId="5C50AE99" w14:textId="12ECDC16" w:rsidR="00D05AE4" w:rsidRPr="00F578E8" w:rsidRDefault="00B512B9" w:rsidP="00BD30E9">
      <w:pPr>
        <w:pStyle w:val="CETBodytext"/>
        <w:rPr>
          <w:lang w:val="en-GB"/>
        </w:rPr>
      </w:pPr>
      <w:r>
        <w:rPr>
          <w:lang w:val="en-GB"/>
        </w:rPr>
        <w:t xml:space="preserve">The present contribution reports </w:t>
      </w:r>
      <w:r w:rsidR="00BD30E9" w:rsidRPr="00BD30E9">
        <w:rPr>
          <w:lang w:val="en-GB"/>
        </w:rPr>
        <w:t>a preliminary characterization of the adsorption of PoxA1b</w:t>
      </w:r>
      <w:r>
        <w:rPr>
          <w:lang w:val="en-GB"/>
        </w:rPr>
        <w:t xml:space="preserve"> -</w:t>
      </w:r>
      <w:r w:rsidRPr="00BD30E9">
        <w:rPr>
          <w:lang w:val="en-GB"/>
        </w:rPr>
        <w:t xml:space="preserve"> </w:t>
      </w:r>
      <w:r w:rsidR="00BD30E9" w:rsidRPr="00BD30E9">
        <w:rPr>
          <w:lang w:val="en-GB"/>
        </w:rPr>
        <w:t xml:space="preserve">a laccase from </w:t>
      </w:r>
      <w:proofErr w:type="spellStart"/>
      <w:r w:rsidR="00F06FFE" w:rsidRPr="00F06FFE">
        <w:rPr>
          <w:i/>
          <w:iCs/>
          <w:lang w:val="en-GB"/>
        </w:rPr>
        <w:t>Pleurotus</w:t>
      </w:r>
      <w:proofErr w:type="spellEnd"/>
      <w:r w:rsidR="00F06FFE" w:rsidRPr="00F06FFE">
        <w:rPr>
          <w:i/>
          <w:iCs/>
          <w:lang w:val="en-GB"/>
        </w:rPr>
        <w:t xml:space="preserve"> </w:t>
      </w:r>
      <w:proofErr w:type="spellStart"/>
      <w:r w:rsidR="00F06FFE" w:rsidRPr="00F06FFE">
        <w:rPr>
          <w:i/>
          <w:iCs/>
          <w:lang w:val="en-GB"/>
        </w:rPr>
        <w:t>ost</w:t>
      </w:r>
      <w:r w:rsidR="00EA7F7B">
        <w:rPr>
          <w:i/>
          <w:iCs/>
          <w:lang w:val="en-GB"/>
        </w:rPr>
        <w:t>r</w:t>
      </w:r>
      <w:r w:rsidR="00F06FFE" w:rsidRPr="00F06FFE">
        <w:rPr>
          <w:i/>
          <w:iCs/>
          <w:lang w:val="en-GB"/>
        </w:rPr>
        <w:t>eatus</w:t>
      </w:r>
      <w:proofErr w:type="spellEnd"/>
      <w:r>
        <w:rPr>
          <w:lang w:val="en-GB"/>
        </w:rPr>
        <w:t xml:space="preserve"> -</w:t>
      </w:r>
      <w:r w:rsidRPr="00BD30E9">
        <w:rPr>
          <w:lang w:val="en-GB"/>
        </w:rPr>
        <w:t xml:space="preserve"> </w:t>
      </w:r>
      <w:r w:rsidR="00BD30E9" w:rsidRPr="00BD30E9">
        <w:rPr>
          <w:lang w:val="en-GB"/>
        </w:rPr>
        <w:t xml:space="preserve">was performed using two LBs: coffee </w:t>
      </w:r>
      <w:proofErr w:type="spellStart"/>
      <w:r w:rsidR="00BD30E9" w:rsidRPr="00BD30E9">
        <w:rPr>
          <w:lang w:val="en-GB"/>
        </w:rPr>
        <w:t>silverskin</w:t>
      </w:r>
      <w:proofErr w:type="spellEnd"/>
      <w:r w:rsidR="00BD30E9" w:rsidRPr="00BD30E9">
        <w:rPr>
          <w:lang w:val="en-GB"/>
        </w:rPr>
        <w:t xml:space="preserve"> </w:t>
      </w:r>
      <w:r w:rsidR="002C621F">
        <w:rPr>
          <w:lang w:val="en-GB"/>
        </w:rPr>
        <w:t>(</w:t>
      </w:r>
      <w:r w:rsidR="00BD30E9" w:rsidRPr="00BD30E9">
        <w:rPr>
          <w:lang w:val="en-GB"/>
        </w:rPr>
        <w:t xml:space="preserve">an </w:t>
      </w:r>
      <w:proofErr w:type="spellStart"/>
      <w:r w:rsidR="00BD30E9" w:rsidRPr="00BD30E9">
        <w:rPr>
          <w:lang w:val="en-GB"/>
        </w:rPr>
        <w:t>agro</w:t>
      </w:r>
      <w:proofErr w:type="spellEnd"/>
      <w:r w:rsidR="00BD30E9" w:rsidRPr="00BD30E9">
        <w:rPr>
          <w:lang w:val="en-GB"/>
        </w:rPr>
        <w:t>-food waste of the coffee bean-roasting process</w:t>
      </w:r>
      <w:r w:rsidR="002C621F">
        <w:rPr>
          <w:lang w:val="en-GB"/>
        </w:rPr>
        <w:t>),</w:t>
      </w:r>
      <w:r w:rsidRPr="00BD30E9">
        <w:rPr>
          <w:lang w:val="en-GB"/>
        </w:rPr>
        <w:t xml:space="preserve"> </w:t>
      </w:r>
      <w:r w:rsidR="00BD30E9" w:rsidRPr="00BD30E9">
        <w:rPr>
          <w:lang w:val="en-GB"/>
        </w:rPr>
        <w:t xml:space="preserve">and </w:t>
      </w:r>
      <w:r w:rsidR="00340A44">
        <w:rPr>
          <w:lang w:val="en-GB"/>
        </w:rPr>
        <w:t>C</w:t>
      </w:r>
      <w:r w:rsidR="00BD30E9" w:rsidRPr="00BD30E9">
        <w:rPr>
          <w:lang w:val="en-GB"/>
        </w:rPr>
        <w:t>ardoon stalks</w:t>
      </w:r>
      <w:r w:rsidR="002C621F">
        <w:rPr>
          <w:lang w:val="en-GB"/>
        </w:rPr>
        <w:t xml:space="preserve"> (</w:t>
      </w:r>
      <w:r w:rsidR="00BD30E9" w:rsidRPr="00BD30E9">
        <w:rPr>
          <w:lang w:val="en-GB"/>
        </w:rPr>
        <w:t xml:space="preserve">a crop spread in the Mediterranean area and used </w:t>
      </w:r>
      <w:r w:rsidR="002C621F">
        <w:rPr>
          <w:lang w:val="en-GB"/>
        </w:rPr>
        <w:t xml:space="preserve">as </w:t>
      </w:r>
      <w:r w:rsidR="00BD30E9" w:rsidRPr="00BD30E9">
        <w:rPr>
          <w:lang w:val="en-GB"/>
        </w:rPr>
        <w:t xml:space="preserve">energy </w:t>
      </w:r>
      <w:r w:rsidR="002C621F">
        <w:rPr>
          <w:lang w:val="en-GB"/>
        </w:rPr>
        <w:t>resource)</w:t>
      </w:r>
      <w:r w:rsidR="00BD30E9" w:rsidRPr="00BD30E9">
        <w:rPr>
          <w:lang w:val="en-GB"/>
        </w:rPr>
        <w:t>.</w:t>
      </w:r>
    </w:p>
    <w:p w14:paraId="5C50AE9A" w14:textId="77777777" w:rsidR="00283EBC" w:rsidRPr="00F578E8" w:rsidRDefault="00283EBC" w:rsidP="00283EBC">
      <w:pPr>
        <w:pStyle w:val="CETBodytext"/>
        <w:rPr>
          <w:lang w:val="en-GB"/>
        </w:rPr>
      </w:pPr>
    </w:p>
    <w:p w14:paraId="5C50AE9B" w14:textId="08EC4414" w:rsidR="00C96EF1" w:rsidRPr="00F578E8" w:rsidRDefault="00EA41BC" w:rsidP="00EA41BC">
      <w:pPr>
        <w:pStyle w:val="CETHeading1"/>
      </w:pPr>
      <w:r w:rsidRPr="00F578E8">
        <w:t>Materials and methods</w:t>
      </w:r>
    </w:p>
    <w:p w14:paraId="5C50AE9C" w14:textId="77777777" w:rsidR="00F952E0" w:rsidRPr="00F578E8" w:rsidRDefault="009A0DF1" w:rsidP="00540D2B">
      <w:pPr>
        <w:pStyle w:val="CETheadingx"/>
      </w:pPr>
      <w:r w:rsidRPr="00F578E8">
        <w:t>Lignocellulosic biomass</w:t>
      </w:r>
    </w:p>
    <w:p w14:paraId="5C50AE9D" w14:textId="1460D9A7" w:rsidR="00F952E0" w:rsidRPr="00F578E8" w:rsidRDefault="00F952E0" w:rsidP="00F952E0">
      <w:pPr>
        <w:pStyle w:val="CETBodytext"/>
        <w:rPr>
          <w:lang w:val="en-GB"/>
        </w:rPr>
      </w:pPr>
      <w:r w:rsidRPr="00F578E8">
        <w:rPr>
          <w:lang w:val="en-GB"/>
        </w:rPr>
        <w:t xml:space="preserve">Coffee </w:t>
      </w:r>
      <w:proofErr w:type="spellStart"/>
      <w:r w:rsidR="005E010C" w:rsidRPr="00F578E8">
        <w:rPr>
          <w:lang w:val="en-GB"/>
        </w:rPr>
        <w:t>silverskin</w:t>
      </w:r>
      <w:proofErr w:type="spellEnd"/>
      <w:r w:rsidR="005E010C" w:rsidRPr="00F578E8">
        <w:rPr>
          <w:lang w:val="en-GB"/>
        </w:rPr>
        <w:t xml:space="preserve"> </w:t>
      </w:r>
      <w:r w:rsidRPr="00F578E8">
        <w:rPr>
          <w:lang w:val="en-GB"/>
        </w:rPr>
        <w:t>(CSS)</w:t>
      </w:r>
      <w:r w:rsidR="00CA6F37" w:rsidRPr="00F578E8">
        <w:rPr>
          <w:lang w:val="en-GB"/>
        </w:rPr>
        <w:t xml:space="preserve"> and </w:t>
      </w:r>
      <w:r w:rsidR="009A0DF1" w:rsidRPr="00F578E8">
        <w:rPr>
          <w:i/>
          <w:iCs/>
          <w:lang w:val="en-GB"/>
        </w:rPr>
        <w:t>Cynara cardunculus</w:t>
      </w:r>
      <w:r w:rsidR="009A0DF1" w:rsidRPr="00F578E8">
        <w:rPr>
          <w:lang w:val="en-GB"/>
        </w:rPr>
        <w:t xml:space="preserve"> (</w:t>
      </w:r>
      <w:r w:rsidR="00340A44">
        <w:rPr>
          <w:lang w:val="en-GB"/>
        </w:rPr>
        <w:t>C</w:t>
      </w:r>
      <w:r w:rsidR="005B121A" w:rsidRPr="00F578E8">
        <w:rPr>
          <w:lang w:val="en-GB"/>
        </w:rPr>
        <w:t>ardoon</w:t>
      </w:r>
      <w:r w:rsidR="009A0DF1" w:rsidRPr="00F578E8">
        <w:rPr>
          <w:lang w:val="en-GB"/>
        </w:rPr>
        <w:t xml:space="preserve">) </w:t>
      </w:r>
      <w:r w:rsidR="005E010C" w:rsidRPr="00F578E8">
        <w:rPr>
          <w:lang w:val="en-GB"/>
        </w:rPr>
        <w:t>stalks</w:t>
      </w:r>
      <w:r w:rsidRPr="00F578E8">
        <w:t xml:space="preserve"> w</w:t>
      </w:r>
      <w:r w:rsidR="00196E50" w:rsidRPr="00F578E8">
        <w:t>ere</w:t>
      </w:r>
      <w:r w:rsidRPr="00F578E8">
        <w:t xml:space="preserve"> milled</w:t>
      </w:r>
      <w:r w:rsidR="00196E50" w:rsidRPr="00F578E8">
        <w:t xml:space="preserve"> and sieved</w:t>
      </w:r>
      <w:r w:rsidRPr="00F578E8">
        <w:t xml:space="preserve"> in a steel blade mill (MF 1</w:t>
      </w:r>
      <w:r w:rsidRPr="00F578E8">
        <w:rPr>
          <w:lang w:val="en-GB"/>
        </w:rPr>
        <w:t xml:space="preserve">0, IKA, </w:t>
      </w:r>
      <w:proofErr w:type="spellStart"/>
      <w:r w:rsidRPr="00F578E8">
        <w:rPr>
          <w:lang w:val="en-GB"/>
        </w:rPr>
        <w:t>Staufen</w:t>
      </w:r>
      <w:proofErr w:type="spellEnd"/>
      <w:r w:rsidRPr="00F578E8">
        <w:rPr>
          <w:lang w:val="en-GB"/>
        </w:rPr>
        <w:t>, Germany) in the ra</w:t>
      </w:r>
      <w:r w:rsidR="0086778B">
        <w:rPr>
          <w:lang w:val="en-GB"/>
        </w:rPr>
        <w:t>n</w:t>
      </w:r>
      <w:r w:rsidRPr="00F578E8">
        <w:rPr>
          <w:lang w:val="en-GB"/>
        </w:rPr>
        <w:t>ge 0.5-1 mm</w:t>
      </w:r>
      <w:r w:rsidR="00317AE0">
        <w:rPr>
          <w:lang w:val="en-GB"/>
        </w:rPr>
        <w:t>.</w:t>
      </w:r>
      <w:r w:rsidR="00317AE0" w:rsidRPr="00F578E8">
        <w:rPr>
          <w:lang w:val="en-GB"/>
        </w:rPr>
        <w:t xml:space="preserve"> </w:t>
      </w:r>
      <w:r w:rsidR="00317AE0">
        <w:rPr>
          <w:lang w:val="en-GB"/>
        </w:rPr>
        <w:t xml:space="preserve">The powder was </w:t>
      </w:r>
      <w:r w:rsidRPr="00F578E8">
        <w:rPr>
          <w:lang w:val="en-GB"/>
        </w:rPr>
        <w:t>stored in boxes at room temperature until use.</w:t>
      </w:r>
      <w:r w:rsidR="00377EE9" w:rsidRPr="00F578E8">
        <w:rPr>
          <w:lang w:val="en-GB"/>
        </w:rPr>
        <w:t xml:space="preserve"> The composition of the </w:t>
      </w:r>
      <w:r w:rsidR="00317AE0">
        <w:rPr>
          <w:lang w:val="en-GB"/>
        </w:rPr>
        <w:t xml:space="preserve">raw </w:t>
      </w:r>
      <w:r w:rsidR="00377EE9" w:rsidRPr="00F578E8">
        <w:rPr>
          <w:lang w:val="en-GB"/>
        </w:rPr>
        <w:t xml:space="preserve">biomass was assessed </w:t>
      </w:r>
      <w:r w:rsidR="00317AE0">
        <w:rPr>
          <w:lang w:val="en-GB"/>
        </w:rPr>
        <w:t xml:space="preserve">according to the </w:t>
      </w:r>
      <w:r w:rsidR="00377EE9" w:rsidRPr="00F578E8">
        <w:rPr>
          <w:lang w:val="en-GB"/>
        </w:rPr>
        <w:t>acid hydrolysis method (</w:t>
      </w:r>
      <w:r w:rsidR="00377EE9" w:rsidRPr="00F578E8">
        <w:t>Sluiter et al., 2008)</w:t>
      </w:r>
      <w:r w:rsidR="00377EE9" w:rsidRPr="00F578E8">
        <w:rPr>
          <w:lang w:val="en-GB"/>
        </w:rPr>
        <w:t xml:space="preserve"> and data are reported in Table 1.</w:t>
      </w:r>
    </w:p>
    <w:p w14:paraId="5C50AEBA" w14:textId="77777777" w:rsidR="00F952E0" w:rsidRPr="00F578E8" w:rsidRDefault="00196E50" w:rsidP="00540D2B">
      <w:pPr>
        <w:pStyle w:val="CETheadingx"/>
      </w:pPr>
      <w:r w:rsidRPr="00F578E8">
        <w:t>Enzymes</w:t>
      </w:r>
    </w:p>
    <w:p w14:paraId="5C50AEBB" w14:textId="361EF44B" w:rsidR="00912AB0" w:rsidRPr="008A4CA9" w:rsidRDefault="00912AB0" w:rsidP="008A4CA9">
      <w:pPr>
        <w:pStyle w:val="CETBodytext"/>
      </w:pPr>
      <w:r w:rsidRPr="00912AB0">
        <w:t xml:space="preserve">The recombinant laccase PoxA1b from </w:t>
      </w:r>
      <w:r w:rsidR="00EA7F7B" w:rsidRPr="008A4CA9">
        <w:rPr>
          <w:i/>
          <w:iCs/>
        </w:rPr>
        <w:t>P</w:t>
      </w:r>
      <w:r w:rsidR="00EA7F7B">
        <w:rPr>
          <w:i/>
          <w:iCs/>
        </w:rPr>
        <w:t>.</w:t>
      </w:r>
      <w:r w:rsidR="00EA7F7B" w:rsidRPr="008A4CA9">
        <w:rPr>
          <w:i/>
          <w:iCs/>
        </w:rPr>
        <w:t xml:space="preserve"> </w:t>
      </w:r>
      <w:proofErr w:type="spellStart"/>
      <w:r w:rsidRPr="008A4CA9">
        <w:rPr>
          <w:i/>
          <w:iCs/>
        </w:rPr>
        <w:t>ostreatus</w:t>
      </w:r>
      <w:proofErr w:type="spellEnd"/>
      <w:r w:rsidRPr="00912AB0">
        <w:t xml:space="preserve"> expressed in </w:t>
      </w:r>
      <w:r w:rsidRPr="008A4CA9">
        <w:rPr>
          <w:i/>
          <w:iCs/>
        </w:rPr>
        <w:t>Pichia pastoris</w:t>
      </w:r>
      <w:r w:rsidRPr="00912AB0">
        <w:t xml:space="preserve"> was kindly donated by </w:t>
      </w:r>
      <w:proofErr w:type="spellStart"/>
      <w:r w:rsidRPr="00232071">
        <w:t>Biopox</w:t>
      </w:r>
      <w:proofErr w:type="spellEnd"/>
      <w:r w:rsidRPr="00232071">
        <w:t xml:space="preserve"> </w:t>
      </w:r>
      <w:proofErr w:type="spellStart"/>
      <w:r w:rsidRPr="00232071">
        <w:t>s.r.l</w:t>
      </w:r>
      <w:proofErr w:type="spellEnd"/>
      <w:r w:rsidRPr="00232071">
        <w:t xml:space="preserve">. (Napoli, Italy). </w:t>
      </w:r>
      <w:proofErr w:type="spellStart"/>
      <w:r w:rsidRPr="00232071">
        <w:t>Cellic</w:t>
      </w:r>
      <w:proofErr w:type="spellEnd"/>
      <w:r w:rsidRPr="00232071">
        <w:t>® Ctec2 is a commercial cellulase cocktail (Novozymes Latin America,</w:t>
      </w:r>
      <w:r w:rsidRPr="00912AB0">
        <w:t xml:space="preserve"> </w:t>
      </w:r>
      <w:proofErr w:type="spellStart"/>
      <w:r w:rsidRPr="00912AB0">
        <w:t>Araucária</w:t>
      </w:r>
      <w:proofErr w:type="spellEnd"/>
      <w:r w:rsidRPr="00912AB0">
        <w:t>, PR, Brazil) used for the enzymatic hydrolysis tests and composed of high concentration</w:t>
      </w:r>
      <w:r w:rsidR="00E46A88">
        <w:t>s</w:t>
      </w:r>
      <w:r w:rsidRPr="00912AB0">
        <w:t xml:space="preserve"> of cellulases, </w:t>
      </w:r>
      <w:proofErr w:type="spellStart"/>
      <w:r w:rsidRPr="00912AB0">
        <w:t>hemicellulases</w:t>
      </w:r>
      <w:proofErr w:type="spellEnd"/>
      <w:r w:rsidRPr="00912AB0">
        <w:t xml:space="preserve">, and β-glucosidases. The total enzyme concentration was assessed </w:t>
      </w:r>
      <w:r w:rsidR="00316430">
        <w:t>using</w:t>
      </w:r>
      <w:r w:rsidR="00B512B9">
        <w:t xml:space="preserve"> </w:t>
      </w:r>
      <w:r w:rsidRPr="00912AB0">
        <w:t xml:space="preserve">Bradford’s assay (Bradford, 1976), and the cellulase activity was </w:t>
      </w:r>
      <w:r w:rsidR="00B512B9">
        <w:t xml:space="preserve">assessed </w:t>
      </w:r>
      <w:r w:rsidRPr="00912AB0">
        <w:t xml:space="preserve">in terms of Filter Paper Units (FPU) (Adney and Baker,1996). The activity of laccases was </w:t>
      </w:r>
      <w:r w:rsidR="00D34F23">
        <w:t>assayed</w:t>
      </w:r>
      <w:r w:rsidR="00D34F23" w:rsidRPr="00912AB0">
        <w:t xml:space="preserve"> </w:t>
      </w:r>
      <w:r w:rsidRPr="00912AB0">
        <w:t>following the oxidation of 2,2'-Azino-</w:t>
      </w:r>
      <w:proofErr w:type="gramStart"/>
      <w:r w:rsidRPr="00912AB0">
        <w:t>bis(</w:t>
      </w:r>
      <w:proofErr w:type="gramEnd"/>
      <w:r w:rsidRPr="00912AB0">
        <w:t>3-ethylbenzothiazoline-6-sulfonic acid) (ABTS) (Macellaro et al.,2014).</w:t>
      </w:r>
    </w:p>
    <w:p w14:paraId="5C50AEBC" w14:textId="23A598F0" w:rsidR="00EA41BC" w:rsidRPr="00F578E8" w:rsidRDefault="00F952E0" w:rsidP="00540D2B">
      <w:pPr>
        <w:pStyle w:val="CETheadingx"/>
      </w:pPr>
      <w:r w:rsidRPr="00F578E8">
        <w:t xml:space="preserve"> Biomass </w:t>
      </w:r>
      <w:r w:rsidR="00BE221F">
        <w:t>pretreatment with PoxA1b</w:t>
      </w:r>
    </w:p>
    <w:p w14:paraId="5C50AEBD" w14:textId="77777777" w:rsidR="0005158B" w:rsidRPr="00F578E8" w:rsidRDefault="00DE7BB0" w:rsidP="0005158B">
      <w:pPr>
        <w:pStyle w:val="CETBodytext"/>
      </w:pPr>
      <w:r w:rsidRPr="00F578E8">
        <w:t>R</w:t>
      </w:r>
      <w:r w:rsidR="00A73B45" w:rsidRPr="00F578E8">
        <w:t>aw LB</w:t>
      </w:r>
      <w:r w:rsidR="00C76949" w:rsidRPr="00F578E8">
        <w:t>s</w:t>
      </w:r>
      <w:r w:rsidR="00A73B45" w:rsidRPr="00F578E8">
        <w:t xml:space="preserve"> were washed </w:t>
      </w:r>
      <w:r w:rsidR="008E2539" w:rsidRPr="00F578E8">
        <w:t xml:space="preserve">with 0.05 M sodium citrate buffer pH 4.8 </w:t>
      </w:r>
      <w:r w:rsidR="00A73B45" w:rsidRPr="00F578E8">
        <w:t xml:space="preserve">in a continuous flow column </w:t>
      </w:r>
      <w:r w:rsidR="008E2539" w:rsidRPr="00F578E8">
        <w:t xml:space="preserve">at room temperature </w:t>
      </w:r>
      <w:r w:rsidR="0002570F" w:rsidRPr="00F578E8">
        <w:t xml:space="preserve">to allow </w:t>
      </w:r>
      <w:r w:rsidR="002D1AD4" w:rsidRPr="00F578E8">
        <w:t xml:space="preserve">the </w:t>
      </w:r>
      <w:r w:rsidRPr="00F578E8">
        <w:t xml:space="preserve">desorption of </w:t>
      </w:r>
      <w:r w:rsidR="002D1AD4" w:rsidRPr="00F578E8">
        <w:t>proteins</w:t>
      </w:r>
      <w:r w:rsidR="00290226" w:rsidRPr="00F578E8">
        <w:t xml:space="preserve"> present</w:t>
      </w:r>
      <w:r w:rsidR="0002570F" w:rsidRPr="00F578E8">
        <w:t xml:space="preserve"> on the surface of the particles</w:t>
      </w:r>
      <w:r w:rsidR="00290226" w:rsidRPr="00F578E8">
        <w:t>.</w:t>
      </w:r>
    </w:p>
    <w:p w14:paraId="5C50AEBE" w14:textId="21A0263A" w:rsidR="00714040" w:rsidRPr="00F578E8" w:rsidRDefault="00747BB1" w:rsidP="00B3631E">
      <w:pPr>
        <w:pStyle w:val="CETBodytext"/>
      </w:pPr>
      <w:r w:rsidRPr="00F578E8">
        <w:t xml:space="preserve">The </w:t>
      </w:r>
      <w:r w:rsidR="00DE7BB0" w:rsidRPr="00F578E8">
        <w:t xml:space="preserve">laccase activity </w:t>
      </w:r>
      <w:r w:rsidR="00316047" w:rsidRPr="00F578E8">
        <w:t>for delignification tests</w:t>
      </w:r>
      <w:r w:rsidRPr="00F578E8">
        <w:t xml:space="preserve"> was set between </w:t>
      </w:r>
      <w:r w:rsidR="004A3B28">
        <w:t xml:space="preserve">0.8 </w:t>
      </w:r>
      <w:r w:rsidRPr="00F578E8">
        <w:t>and</w:t>
      </w:r>
      <w:r w:rsidR="006740CB" w:rsidRPr="00F578E8">
        <w:t xml:space="preserve"> </w:t>
      </w:r>
      <w:r w:rsidR="004A3B28">
        <w:t>31.2</w:t>
      </w:r>
      <w:r w:rsidRPr="00F578E8">
        <w:t xml:space="preserve"> U/</w:t>
      </w:r>
      <w:proofErr w:type="spellStart"/>
      <w:r w:rsidRPr="00F578E8">
        <w:t>mL</w:t>
      </w:r>
      <w:r w:rsidR="006740CB" w:rsidRPr="00F578E8">
        <w:t>.</w:t>
      </w:r>
      <w:proofErr w:type="spellEnd"/>
      <w:r w:rsidR="006740CB" w:rsidRPr="00F578E8">
        <w:t xml:space="preserve"> </w:t>
      </w:r>
      <w:r w:rsidR="00DE7BB0" w:rsidRPr="00F578E8">
        <w:t>D</w:t>
      </w:r>
      <w:r w:rsidRPr="00F578E8">
        <w:t xml:space="preserve">elignification tests were performed with </w:t>
      </w:r>
      <w:r w:rsidR="00B12A3B" w:rsidRPr="00F578E8">
        <w:t>5% w/v</w:t>
      </w:r>
      <w:r w:rsidRPr="00F578E8">
        <w:t xml:space="preserve"> substrate </w:t>
      </w:r>
      <w:r w:rsidR="00DE7BB0" w:rsidRPr="00F578E8">
        <w:t xml:space="preserve">(washed LB) </w:t>
      </w:r>
      <w:r w:rsidRPr="00F578E8">
        <w:t>in</w:t>
      </w:r>
      <w:r w:rsidR="00CF7C76" w:rsidRPr="00F578E8">
        <w:t xml:space="preserve"> 30 mL of</w:t>
      </w:r>
      <w:r w:rsidRPr="00F578E8">
        <w:t xml:space="preserve"> 0.05 M sodium citrate buffer pH 4.8 in </w:t>
      </w:r>
      <w:r w:rsidR="00CF7C76" w:rsidRPr="00F578E8">
        <w:t xml:space="preserve">100 mL </w:t>
      </w:r>
      <w:r w:rsidRPr="00F578E8">
        <w:t>glass bottles</w:t>
      </w:r>
      <w:r w:rsidR="00773EF5" w:rsidRPr="00F578E8">
        <w:t xml:space="preserve"> </w:t>
      </w:r>
      <w:r w:rsidRPr="00F578E8">
        <w:t xml:space="preserve">at 28°C </w:t>
      </w:r>
      <w:r w:rsidR="00DE7BB0" w:rsidRPr="00F578E8">
        <w:t xml:space="preserve">in an </w:t>
      </w:r>
      <w:r w:rsidR="00807A78" w:rsidRPr="00F578E8">
        <w:t>incubator</w:t>
      </w:r>
      <w:r w:rsidR="006740CB" w:rsidRPr="00F578E8">
        <w:t xml:space="preserve"> (</w:t>
      </w:r>
      <w:proofErr w:type="spellStart"/>
      <w:r w:rsidR="00807A78" w:rsidRPr="00F578E8">
        <w:rPr>
          <w:lang w:val="en-GB"/>
        </w:rPr>
        <w:t>bioSan</w:t>
      </w:r>
      <w:proofErr w:type="spellEnd"/>
      <w:r w:rsidR="00807A78" w:rsidRPr="00F578E8">
        <w:rPr>
          <w:lang w:val="en-GB"/>
        </w:rPr>
        <w:t xml:space="preserve"> PSU-10i) </w:t>
      </w:r>
      <w:r w:rsidR="00DE7BB0" w:rsidRPr="00F578E8">
        <w:rPr>
          <w:lang w:val="en-GB"/>
        </w:rPr>
        <w:t>equipped with</w:t>
      </w:r>
      <w:r w:rsidR="001B46BB">
        <w:rPr>
          <w:lang w:val="en-GB"/>
        </w:rPr>
        <w:t xml:space="preserve"> an</w:t>
      </w:r>
      <w:r w:rsidR="00DE7BB0" w:rsidRPr="00F578E8">
        <w:rPr>
          <w:lang w:val="en-GB"/>
        </w:rPr>
        <w:t xml:space="preserve"> </w:t>
      </w:r>
      <w:r w:rsidR="00DE7BB0" w:rsidRPr="00F578E8">
        <w:t xml:space="preserve">orbital shaker set </w:t>
      </w:r>
      <w:r w:rsidRPr="00F578E8">
        <w:t>at 200 rpm for 24h.</w:t>
      </w:r>
      <w:r w:rsidR="00F96F10">
        <w:t xml:space="preserve"> </w:t>
      </w:r>
      <w:r w:rsidR="004531A2">
        <w:t>T</w:t>
      </w:r>
      <w:r w:rsidR="00F96F10">
        <w:t xml:space="preserve">he initial protein concentration </w:t>
      </w:r>
      <w:r w:rsidR="004531A2">
        <w:t xml:space="preserve">in the slurry </w:t>
      </w:r>
      <w:r w:rsidR="00F96F10">
        <w:t xml:space="preserve">was assessed, then aliquots </w:t>
      </w:r>
      <w:r w:rsidR="004531A2">
        <w:t xml:space="preserve">were </w:t>
      </w:r>
      <w:r w:rsidR="0081508D">
        <w:t xml:space="preserve">prepared </w:t>
      </w:r>
      <w:r w:rsidR="008215BA">
        <w:t>as substrate control sample</w:t>
      </w:r>
      <w:r w:rsidR="00CC66F9">
        <w:t>s</w:t>
      </w:r>
      <w:r w:rsidR="008215BA">
        <w:t xml:space="preserve"> and pretreatment samples were PoxA1B solution was added at the desired concentration. </w:t>
      </w:r>
    </w:p>
    <w:p w14:paraId="5C50AEC1" w14:textId="2E10D80C" w:rsidR="00975263" w:rsidRDefault="008D73F8" w:rsidP="00975263">
      <w:pPr>
        <w:pStyle w:val="CETBodytext"/>
      </w:pPr>
      <w:r>
        <w:t>The liquid samples were centrifugated at 13000 rpm for 10 min to separate solid and liquid phases at time</w:t>
      </w:r>
      <w:r w:rsidR="00555493">
        <w:t>s</w:t>
      </w:r>
      <w:r>
        <w:t xml:space="preserve"> 0, 30, and 60 min and t</w:t>
      </w:r>
      <w:r w:rsidR="00975263">
        <w:t xml:space="preserve">he adsorption of </w:t>
      </w:r>
      <w:r w:rsidR="00BE221F">
        <w:t>PoxA1b</w:t>
      </w:r>
      <w:r w:rsidR="00975263">
        <w:t xml:space="preserve"> on LB samples was monitored by measuring the protein concentration and the laccase activity in the liquid phase. </w:t>
      </w:r>
      <w:r w:rsidR="00B83528">
        <w:t xml:space="preserve">The free </w:t>
      </w:r>
      <w:r w:rsidR="00CF511C">
        <w:t>P</w:t>
      </w:r>
      <w:r w:rsidR="00B83528">
        <w:t xml:space="preserve">oxA1b content of the liquid was calculated subtracting the protein content of the substrate control to the total dissolved protein in the liquid </w:t>
      </w:r>
      <w:r w:rsidR="00CB3EB5">
        <w:t xml:space="preserve">at any time. </w:t>
      </w:r>
      <w:r w:rsidR="00975263">
        <w:t>The amount of adsorbed enzyme (E</w:t>
      </w:r>
      <w:r w:rsidR="00975263" w:rsidRPr="00094A05">
        <w:rPr>
          <w:vertAlign w:val="subscript"/>
        </w:rPr>
        <w:t>ads</w:t>
      </w:r>
      <w:r w:rsidR="00975263">
        <w:t xml:space="preserve">) was assessed </w:t>
      </w:r>
      <w:r w:rsidR="00614181">
        <w:t xml:space="preserve">according to the </w:t>
      </w:r>
      <w:r w:rsidR="00975263">
        <w:t xml:space="preserve">mass balance </w:t>
      </w:r>
      <w:r w:rsidR="00614181">
        <w:t xml:space="preserve">referred to </w:t>
      </w:r>
      <w:r w:rsidR="00975263">
        <w:t xml:space="preserve">the </w:t>
      </w:r>
      <w:r w:rsidR="00CB3EB5">
        <w:t>PoxA1b</w:t>
      </w:r>
      <w:r w:rsidR="00975263">
        <w:t xml:space="preserve"> content </w:t>
      </w:r>
      <w:r w:rsidR="002C621F">
        <w:t xml:space="preserve">and </w:t>
      </w:r>
      <w:r w:rsidR="00A93872">
        <w:t xml:space="preserve">extended to </w:t>
      </w:r>
      <w:r w:rsidR="00975263">
        <w:t xml:space="preserve">the </w:t>
      </w:r>
      <w:r w:rsidR="00A93872">
        <w:t xml:space="preserve">reactor </w:t>
      </w:r>
      <w:r w:rsidR="00975263">
        <w:t>closed system (liquid and solid LB).</w:t>
      </w:r>
    </w:p>
    <w:p w14:paraId="5C50AEC2" w14:textId="249543EA" w:rsidR="00D26AE8" w:rsidRPr="00F578E8" w:rsidRDefault="00966E0F" w:rsidP="00975263">
      <w:pPr>
        <w:pStyle w:val="CETBodytext"/>
      </w:pPr>
      <w:r w:rsidRPr="00966E0F">
        <w:t>Any</w:t>
      </w:r>
      <w:r w:rsidR="00975263" w:rsidRPr="00966E0F">
        <w:t xml:space="preserve"> effect of compounds released by the LB on </w:t>
      </w:r>
      <w:r w:rsidR="00C82FC8" w:rsidRPr="00966E0F">
        <w:t xml:space="preserve">PoxA1b </w:t>
      </w:r>
      <w:r w:rsidR="00975263" w:rsidRPr="00966E0F">
        <w:t>activity</w:t>
      </w:r>
      <w:r w:rsidR="00A93872" w:rsidRPr="00966E0F">
        <w:t xml:space="preserve"> was assessed</w:t>
      </w:r>
      <w:r w:rsidR="00A03259" w:rsidRPr="00966E0F">
        <w:t xml:space="preserve"> also </w:t>
      </w:r>
      <w:r w:rsidR="00C82FC8" w:rsidRPr="00966E0F">
        <w:t>incubating the enzyme with</w:t>
      </w:r>
      <w:r w:rsidR="00C82FC8" w:rsidRPr="004303A0">
        <w:t xml:space="preserve"> the liquid equilibrated with the cardoon biomass</w:t>
      </w:r>
      <w:r w:rsidR="00A93872" w:rsidRPr="004303A0">
        <w:t>.</w:t>
      </w:r>
      <w:r w:rsidR="00975263">
        <w:t xml:space="preserve"> </w:t>
      </w:r>
      <w:r w:rsidR="00A93872">
        <w:t>Pre</w:t>
      </w:r>
      <w:r w:rsidR="00975263">
        <w:t>-washed LB w</w:t>
      </w:r>
      <w:r w:rsidR="000C5972">
        <w:t>as</w:t>
      </w:r>
      <w:r w:rsidR="00975263">
        <w:t xml:space="preserve"> suspended in 0.05 M sodium citrate buffer at 5% w/v final substrate concentration and </w:t>
      </w:r>
      <w:r w:rsidR="00A93872">
        <w:t xml:space="preserve">located on </w:t>
      </w:r>
      <w:r w:rsidR="00975263">
        <w:t xml:space="preserve">the orbital shaker incubator at 200 rpm, 28°C for 30 min. The release of proteins in the liquid </w:t>
      </w:r>
      <w:r w:rsidR="00A93872">
        <w:t xml:space="preserve">phase </w:t>
      </w:r>
      <w:r w:rsidR="00975263">
        <w:t xml:space="preserve">was </w:t>
      </w:r>
      <w:r w:rsidR="002C621F">
        <w:t xml:space="preserve">checked </w:t>
      </w:r>
      <w:r w:rsidR="00975263">
        <w:t>by protein concentration assay at time 0 and 30 minutes</w:t>
      </w:r>
      <w:r w:rsidR="00A93872">
        <w:t>. T</w:t>
      </w:r>
      <w:r w:rsidR="00975263">
        <w:t xml:space="preserve">he liquid phase was separated by centrifugation and mixed with a PoxA1b stock solution </w:t>
      </w:r>
      <w:r w:rsidR="00A93872">
        <w:t xml:space="preserve">at </w:t>
      </w:r>
      <w:r w:rsidR="00975263">
        <w:t xml:space="preserve">0 5.8 IU/mL final activity (≈ 16 mg/L). </w:t>
      </w:r>
      <w:r w:rsidR="002C621F">
        <w:t xml:space="preserve">The </w:t>
      </w:r>
      <w:r w:rsidR="004347A1">
        <w:t xml:space="preserve">solution </w:t>
      </w:r>
      <w:r w:rsidR="002C621F">
        <w:t xml:space="preserve">was </w:t>
      </w:r>
      <w:r w:rsidR="00975263">
        <w:t>kep</w:t>
      </w:r>
      <w:r w:rsidR="002C621F">
        <w:t>t</w:t>
      </w:r>
      <w:r w:rsidR="00975263">
        <w:t xml:space="preserve"> at 28°C </w:t>
      </w:r>
      <w:r w:rsidR="002C621F">
        <w:t xml:space="preserve">and agitated </w:t>
      </w:r>
      <w:r w:rsidR="00F94668">
        <w:t>with</w:t>
      </w:r>
      <w:r w:rsidR="002C621F">
        <w:t xml:space="preserve"> </w:t>
      </w:r>
      <w:r w:rsidR="00975263">
        <w:t>an orbital shaker at 200 rpm.</w:t>
      </w:r>
      <w:r w:rsidR="002C621F">
        <w:t xml:space="preserve"> The activity of PoxA1b in the liquid phase was monitored for 60 min.</w:t>
      </w:r>
    </w:p>
    <w:p w14:paraId="5C50AEC3" w14:textId="77777777" w:rsidR="00714040" w:rsidRPr="00F578E8" w:rsidRDefault="00714040" w:rsidP="00540D2B">
      <w:pPr>
        <w:pStyle w:val="CETheadingx"/>
      </w:pPr>
      <w:r w:rsidRPr="00F578E8">
        <w:t>Enzymatic hydrolysis</w:t>
      </w:r>
    </w:p>
    <w:p w14:paraId="5C50AEC4" w14:textId="18D15652" w:rsidR="00BA25BC" w:rsidRDefault="004A0B84" w:rsidP="00714040">
      <w:pPr>
        <w:pStyle w:val="CETBodytext"/>
      </w:pPr>
      <w:r w:rsidRPr="00F578E8">
        <w:t xml:space="preserve">The </w:t>
      </w:r>
      <w:r w:rsidR="001B0792" w:rsidRPr="00F578E8">
        <w:t xml:space="preserve">LB </w:t>
      </w:r>
      <w:r w:rsidRPr="00F578E8">
        <w:t xml:space="preserve">samples </w:t>
      </w:r>
      <w:r w:rsidR="001B0792" w:rsidRPr="00F578E8">
        <w:t xml:space="preserve">recovered </w:t>
      </w:r>
      <w:r w:rsidR="00A93872">
        <w:t xml:space="preserve">after the </w:t>
      </w:r>
      <w:r w:rsidR="001B0792" w:rsidRPr="00F578E8">
        <w:t xml:space="preserve">pretreatment with laccases </w:t>
      </w:r>
      <w:r w:rsidR="00DD7C35" w:rsidRPr="00F578E8">
        <w:t xml:space="preserve">were incubated </w:t>
      </w:r>
      <w:r w:rsidR="001B0792" w:rsidRPr="00F578E8">
        <w:t>for</w:t>
      </w:r>
      <w:r w:rsidR="00416898" w:rsidRPr="00F578E8">
        <w:t xml:space="preserve"> 4 hours</w:t>
      </w:r>
      <w:r w:rsidR="001B0792" w:rsidRPr="00F578E8">
        <w:t xml:space="preserve"> </w:t>
      </w:r>
      <w:r w:rsidR="00BA25BC" w:rsidRPr="00F578E8">
        <w:t xml:space="preserve">at 50°C </w:t>
      </w:r>
      <w:r w:rsidR="004C70FD" w:rsidRPr="00F578E8">
        <w:t xml:space="preserve">to </w:t>
      </w:r>
      <w:r w:rsidR="00D05FD8">
        <w:t>de</w:t>
      </w:r>
      <w:r w:rsidR="004C70FD" w:rsidRPr="00F578E8">
        <w:t xml:space="preserve">activate laccases </w:t>
      </w:r>
      <w:r w:rsidR="001B0792" w:rsidRPr="00F578E8">
        <w:t>(</w:t>
      </w:r>
      <w:r w:rsidR="00BA25BC" w:rsidRPr="00F578E8">
        <w:t>Niglio et al</w:t>
      </w:r>
      <w:r w:rsidR="001B0792" w:rsidRPr="00F578E8">
        <w:t xml:space="preserve">., </w:t>
      </w:r>
      <w:r w:rsidR="00BA25BC" w:rsidRPr="00F578E8">
        <w:t>2019</w:t>
      </w:r>
      <w:r w:rsidR="00416898" w:rsidRPr="00F578E8">
        <w:t>)</w:t>
      </w:r>
      <w:r w:rsidR="001B0792" w:rsidRPr="00F578E8">
        <w:t xml:space="preserve">. </w:t>
      </w:r>
      <w:r w:rsidR="00CB5436">
        <w:t>T</w:t>
      </w:r>
      <w:r w:rsidR="001B0792" w:rsidRPr="00F578E8">
        <w:t xml:space="preserve">he </w:t>
      </w:r>
      <w:r w:rsidR="00BA25BC" w:rsidRPr="00F578E8">
        <w:t>solid</w:t>
      </w:r>
      <w:r w:rsidR="00CB5436">
        <w:t xml:space="preserve"> phase</w:t>
      </w:r>
      <w:r w:rsidR="00BA25BC" w:rsidRPr="00F578E8">
        <w:t xml:space="preserve"> </w:t>
      </w:r>
      <w:r w:rsidR="00CB5436">
        <w:t xml:space="preserve">was harvested </w:t>
      </w:r>
      <w:r w:rsidR="00BA25BC" w:rsidRPr="00F578E8">
        <w:t>by centrifugation and vacuum filtration</w:t>
      </w:r>
      <w:r w:rsidR="00607BF0">
        <w:t>,</w:t>
      </w:r>
      <w:r w:rsidR="001B0792" w:rsidRPr="00F578E8">
        <w:t xml:space="preserve"> </w:t>
      </w:r>
      <w:r w:rsidR="00607BF0">
        <w:t>po</w:t>
      </w:r>
      <w:r w:rsidR="00D05FD8">
        <w:t>o</w:t>
      </w:r>
      <w:r w:rsidR="00607BF0">
        <w:t xml:space="preserve">led </w:t>
      </w:r>
      <w:r w:rsidR="00D05FD8">
        <w:t>together,</w:t>
      </w:r>
      <w:r w:rsidR="00607BF0">
        <w:t xml:space="preserve"> and </w:t>
      </w:r>
      <w:r w:rsidR="001B0792" w:rsidRPr="00F578E8">
        <w:t xml:space="preserve">resuspended in the </w:t>
      </w:r>
      <w:r w:rsidR="00BA25BC" w:rsidRPr="00F578E8">
        <w:t>Celli</w:t>
      </w:r>
      <w:r w:rsidR="004C70FD" w:rsidRPr="00F578E8">
        <w:t xml:space="preserve">® </w:t>
      </w:r>
      <w:r w:rsidR="001B0792" w:rsidRPr="00F578E8">
        <w:t xml:space="preserve">CTec2 solution to reach </w:t>
      </w:r>
      <w:r w:rsidR="00607BF0">
        <w:t xml:space="preserve">a sufficient volume for the hydrolysis tests </w:t>
      </w:r>
      <w:r w:rsidR="002C621F">
        <w:t xml:space="preserve">set </w:t>
      </w:r>
      <w:r w:rsidR="00607BF0">
        <w:t xml:space="preserve">at </w:t>
      </w:r>
      <w:r w:rsidR="00607BF0" w:rsidRPr="00F578E8">
        <w:t xml:space="preserve">5%w/v </w:t>
      </w:r>
      <w:r w:rsidR="00607BF0">
        <w:t xml:space="preserve">biomass </w:t>
      </w:r>
      <w:r w:rsidR="00607BF0" w:rsidRPr="00F578E8">
        <w:t>in 50 mL centrifuge tubes</w:t>
      </w:r>
      <w:r w:rsidR="00607BF0">
        <w:t xml:space="preserve">, and </w:t>
      </w:r>
      <w:r w:rsidR="001B0792" w:rsidRPr="00F578E8">
        <w:t>1 g/L protein</w:t>
      </w:r>
      <w:r w:rsidR="00BA25BC" w:rsidRPr="00F578E8">
        <w:t>.</w:t>
      </w:r>
      <w:r w:rsidR="004C70FD" w:rsidRPr="00F578E8">
        <w:t xml:space="preserve"> </w:t>
      </w:r>
      <w:r w:rsidR="001B0792" w:rsidRPr="00F578E8">
        <w:t xml:space="preserve">The slurry was kept for </w:t>
      </w:r>
      <w:r w:rsidR="00BA25BC" w:rsidRPr="00F578E8">
        <w:t>30 min on a rotary shaker at 40 rpm</w:t>
      </w:r>
      <w:r w:rsidR="001B0792" w:rsidRPr="00F578E8">
        <w:t xml:space="preserve"> and 25°C to allow adsorption of cellulases</w:t>
      </w:r>
      <w:r w:rsidR="00BA25BC" w:rsidRPr="00F578E8">
        <w:t xml:space="preserve">. </w:t>
      </w:r>
      <w:r w:rsidR="00607BF0">
        <w:t>T</w:t>
      </w:r>
      <w:r w:rsidR="00B82E2F" w:rsidRPr="00F578E8">
        <w:t xml:space="preserve">he hydrolysis step </w:t>
      </w:r>
      <w:r w:rsidR="002C621F">
        <w:t xml:space="preserve">was </w:t>
      </w:r>
      <w:r w:rsidR="00607BF0">
        <w:t xml:space="preserve">carried out </w:t>
      </w:r>
      <w:r w:rsidR="00635E83" w:rsidRPr="00F578E8">
        <w:t xml:space="preserve">at 5% w/v for </w:t>
      </w:r>
      <w:r w:rsidR="00EB2914" w:rsidRPr="00F578E8">
        <w:t>CSS and</w:t>
      </w:r>
      <w:r w:rsidR="00607BF0" w:rsidRPr="00F578E8">
        <w:t xml:space="preserve"> </w:t>
      </w:r>
      <w:r w:rsidR="00BA25BC" w:rsidRPr="00F578E8">
        <w:t>up to 10% w/v</w:t>
      </w:r>
      <w:r w:rsidR="00B82E2F" w:rsidRPr="00F578E8">
        <w:t xml:space="preserve"> in the case of </w:t>
      </w:r>
      <w:r w:rsidR="00340A44">
        <w:t>C</w:t>
      </w:r>
      <w:r w:rsidR="00B82E2F" w:rsidRPr="00F578E8">
        <w:t>ardoon</w:t>
      </w:r>
      <w:r w:rsidR="00635E83" w:rsidRPr="00F578E8">
        <w:t xml:space="preserve"> </w:t>
      </w:r>
      <w:r w:rsidR="00607BF0">
        <w:t xml:space="preserve">according to </w:t>
      </w:r>
      <w:r w:rsidR="00EB2914">
        <w:t xml:space="preserve">a </w:t>
      </w:r>
      <w:r w:rsidR="00C31C9C" w:rsidRPr="00F578E8">
        <w:t>previous optimization study (</w:t>
      </w:r>
      <w:proofErr w:type="spellStart"/>
      <w:r w:rsidR="00C31C9C" w:rsidRPr="00F578E8">
        <w:t>Posilipo</w:t>
      </w:r>
      <w:proofErr w:type="spellEnd"/>
      <w:r w:rsidR="00C31C9C" w:rsidRPr="00F578E8">
        <w:t xml:space="preserve"> et al., </w:t>
      </w:r>
      <w:r w:rsidR="00EB2914">
        <w:t>2024</w:t>
      </w:r>
      <w:r w:rsidR="00C31C9C" w:rsidRPr="00F578E8">
        <w:t>)</w:t>
      </w:r>
      <w:r w:rsidR="00E75951" w:rsidRPr="00F578E8">
        <w:t xml:space="preserve">. The slurry </w:t>
      </w:r>
      <w:r w:rsidR="00650445" w:rsidRPr="00F578E8">
        <w:t>was</w:t>
      </w:r>
      <w:r w:rsidR="00E75951" w:rsidRPr="00F578E8">
        <w:t xml:space="preserve"> </w:t>
      </w:r>
      <w:r w:rsidR="00BA25BC" w:rsidRPr="00F578E8">
        <w:t xml:space="preserve">transferred in glass bottles </w:t>
      </w:r>
      <w:r w:rsidR="001B0792" w:rsidRPr="00F578E8">
        <w:t xml:space="preserve">and put </w:t>
      </w:r>
      <w:r w:rsidR="00BA25BC" w:rsidRPr="00F578E8">
        <w:t>at 50°C</w:t>
      </w:r>
      <w:r w:rsidR="004449E5" w:rsidRPr="00F578E8">
        <w:t xml:space="preserve">, </w:t>
      </w:r>
      <w:r w:rsidR="001B0792" w:rsidRPr="00F578E8">
        <w:t xml:space="preserve">on an </w:t>
      </w:r>
      <w:r w:rsidR="00BA25BC" w:rsidRPr="00F578E8">
        <w:t xml:space="preserve">orbital shaker (120 rpm) for </w:t>
      </w:r>
      <w:r w:rsidR="002217F2" w:rsidRPr="00F578E8">
        <w:t xml:space="preserve">48h </w:t>
      </w:r>
      <w:r w:rsidR="001B0792" w:rsidRPr="00F578E8">
        <w:t>to allow the onset and progress of the enzymatic hydrolysis of cellulose and hemicellulose</w:t>
      </w:r>
      <w:r w:rsidR="00BA25BC" w:rsidRPr="00F578E8">
        <w:t>.</w:t>
      </w:r>
      <w:r w:rsidR="002217F2" w:rsidRPr="00F578E8">
        <w:t xml:space="preserve"> Sugar concentration in the liquid phase was assessed at 1, 24, and 48h by HPLC </w:t>
      </w:r>
      <w:r w:rsidR="002C621F">
        <w:t xml:space="preserve">of the liquid phase recovered by </w:t>
      </w:r>
      <w:r w:rsidR="002217F2" w:rsidRPr="00F578E8">
        <w:t>filtration of the LB slurry (13000 rpm (</w:t>
      </w:r>
      <w:proofErr w:type="spellStart"/>
      <w:r w:rsidR="002217F2" w:rsidRPr="00F578E8">
        <w:t>Minispin</w:t>
      </w:r>
      <w:proofErr w:type="spellEnd"/>
      <w:r w:rsidR="002217F2" w:rsidRPr="00F578E8">
        <w:t xml:space="preserve">, Eppendorf) and PVDF 13 mm, 0.22 </w:t>
      </w:r>
      <w:proofErr w:type="spellStart"/>
      <w:r w:rsidR="002217F2" w:rsidRPr="00F578E8">
        <w:rPr>
          <w:rFonts w:ascii="Calibri" w:hAnsi="Calibri" w:cs="Calibri"/>
        </w:rPr>
        <w:t>μ</w:t>
      </w:r>
      <w:r w:rsidR="002217F2" w:rsidRPr="00F578E8">
        <w:t>m</w:t>
      </w:r>
      <w:proofErr w:type="spellEnd"/>
      <w:r w:rsidR="002217F2" w:rsidRPr="00F578E8">
        <w:t xml:space="preserve"> filters</w:t>
      </w:r>
      <w:r w:rsidR="00966E0F">
        <w:t xml:space="preserve">, </w:t>
      </w:r>
      <w:proofErr w:type="spellStart"/>
      <w:r w:rsidR="002217F2" w:rsidRPr="00F578E8">
        <w:t>Millex</w:t>
      </w:r>
      <w:proofErr w:type="spellEnd"/>
      <w:r w:rsidR="002C621F">
        <w:t>)</w:t>
      </w:r>
      <w:r w:rsidR="002217F2" w:rsidRPr="00F578E8">
        <w:t>.</w:t>
      </w:r>
    </w:p>
    <w:p w14:paraId="563EDF44" w14:textId="7173CC9C" w:rsidR="00F7044D" w:rsidRPr="00F578E8" w:rsidRDefault="00F7044D" w:rsidP="00714040">
      <w:pPr>
        <w:pStyle w:val="CETBodytext"/>
      </w:pPr>
      <w:r>
        <w:t xml:space="preserve">The glucose </w:t>
      </w:r>
      <w:r w:rsidR="00EB2914">
        <w:t xml:space="preserve">and </w:t>
      </w:r>
      <w:r>
        <w:t>xylose yield</w:t>
      </w:r>
      <w:r w:rsidR="00EB2914">
        <w:t>s</w:t>
      </w:r>
      <w:r>
        <w:t xml:space="preserve"> w</w:t>
      </w:r>
      <w:r w:rsidR="00EB2914">
        <w:t>ere</w:t>
      </w:r>
      <w:r>
        <w:t xml:space="preserve"> assesse</w:t>
      </w:r>
      <w:r w:rsidR="00EB2914">
        <w:t>d</w:t>
      </w:r>
      <w:r>
        <w:t xml:space="preserve"> as the ratio between the</w:t>
      </w:r>
      <w:r w:rsidR="00340A44">
        <w:t xml:space="preserve"> sugar concentration in </w:t>
      </w:r>
      <w:r w:rsidR="008429D7">
        <w:t xml:space="preserve">the </w:t>
      </w:r>
      <w:r w:rsidR="00340A44">
        <w:t xml:space="preserve">liquid phase </w:t>
      </w:r>
      <w:r>
        <w:t>and th</w:t>
      </w:r>
      <w:r w:rsidR="00340A44">
        <w:t>e theoretical sugar concentration at the onset of the hydrolysis test.</w:t>
      </w:r>
    </w:p>
    <w:p w14:paraId="5C50AEC5" w14:textId="77777777" w:rsidR="00666E41" w:rsidRPr="00F578E8" w:rsidRDefault="00666E41" w:rsidP="00714040">
      <w:pPr>
        <w:pStyle w:val="CETBodytext"/>
      </w:pPr>
    </w:p>
    <w:p w14:paraId="5C50AEC6" w14:textId="253E0FF3" w:rsidR="00F82E03" w:rsidRPr="00F578E8" w:rsidRDefault="006700F7" w:rsidP="00540D2B">
      <w:pPr>
        <w:pStyle w:val="CETheadingx"/>
      </w:pPr>
      <w:r w:rsidRPr="00F578E8">
        <w:t>Analy</w:t>
      </w:r>
      <w:r w:rsidR="002E11C8">
        <w:t>tical methods</w:t>
      </w:r>
    </w:p>
    <w:p w14:paraId="5C50AEC7" w14:textId="1B040901" w:rsidR="00666E41" w:rsidRPr="00F578E8" w:rsidRDefault="00666E41" w:rsidP="00666E41">
      <w:pPr>
        <w:pStyle w:val="CETBodytext"/>
      </w:pPr>
      <w:r w:rsidRPr="00F578E8">
        <w:t xml:space="preserve">The </w:t>
      </w:r>
      <w:r w:rsidR="006F3CCE" w:rsidRPr="00F578E8">
        <w:t xml:space="preserve">concentration of </w:t>
      </w:r>
      <w:r w:rsidR="002217F2" w:rsidRPr="00F578E8">
        <w:t xml:space="preserve">monomeric </w:t>
      </w:r>
      <w:r w:rsidRPr="00F578E8">
        <w:t xml:space="preserve">sugars </w:t>
      </w:r>
      <w:r w:rsidR="005D4104">
        <w:t>–</w:t>
      </w:r>
      <w:r w:rsidR="00060CAF">
        <w:t xml:space="preserve"> </w:t>
      </w:r>
      <w:r w:rsidR="002217F2" w:rsidRPr="00F578E8">
        <w:t>glucose, xylose</w:t>
      </w:r>
      <w:r w:rsidR="00E969E0" w:rsidRPr="00F578E8">
        <w:t>, arabinose</w:t>
      </w:r>
      <w:r w:rsidR="00060CAF">
        <w:t>-</w:t>
      </w:r>
      <w:r w:rsidR="00060CAF" w:rsidRPr="00F578E8">
        <w:t xml:space="preserve"> </w:t>
      </w:r>
      <w:r w:rsidRPr="00F578E8">
        <w:t xml:space="preserve">in the liquid </w:t>
      </w:r>
      <w:r w:rsidR="002217F2" w:rsidRPr="00F578E8">
        <w:t xml:space="preserve">samples </w:t>
      </w:r>
      <w:r w:rsidR="00060CAF" w:rsidRPr="00F578E8">
        <w:t>w</w:t>
      </w:r>
      <w:r w:rsidR="00060CAF">
        <w:t xml:space="preserve">as </w:t>
      </w:r>
      <w:r w:rsidRPr="00F578E8">
        <w:t>assessed by HPLC (Agilent 1100 Series</w:t>
      </w:r>
      <w:r w:rsidR="00B95123" w:rsidRPr="00F578E8">
        <w:t>)</w:t>
      </w:r>
      <w:r w:rsidR="004303A0">
        <w:t>,</w:t>
      </w:r>
      <w:r w:rsidRPr="00F578E8">
        <w:t xml:space="preserve"> </w:t>
      </w:r>
      <w:r w:rsidR="004303A0">
        <w:t xml:space="preserve">equipped with Refractive Index Detector, </w:t>
      </w:r>
      <w:r w:rsidR="00B95123" w:rsidRPr="00F578E8">
        <w:t xml:space="preserve">using </w:t>
      </w:r>
      <w:proofErr w:type="spellStart"/>
      <w:r w:rsidRPr="00F578E8">
        <w:t>Rezex</w:t>
      </w:r>
      <w:proofErr w:type="spellEnd"/>
      <w:r w:rsidRPr="00F578E8">
        <w:t xml:space="preserve"> RHM-Monosaccharide H</w:t>
      </w:r>
      <w:r w:rsidRPr="00F578E8">
        <w:rPr>
          <w:vertAlign w:val="superscript"/>
        </w:rPr>
        <w:t>+</w:t>
      </w:r>
      <w:r w:rsidRPr="00F578E8">
        <w:t xml:space="preserve"> Column</w:t>
      </w:r>
      <w:r w:rsidR="00B95123" w:rsidRPr="00F578E8">
        <w:t xml:space="preserve">, </w:t>
      </w:r>
      <w:r w:rsidR="004D4BFF">
        <w:t xml:space="preserve">at room temperature, </w:t>
      </w:r>
      <w:r w:rsidR="002217F2" w:rsidRPr="00F578E8">
        <w:t xml:space="preserve">with </w:t>
      </w:r>
      <w:r w:rsidR="00B95123" w:rsidRPr="00F578E8">
        <w:t xml:space="preserve">0.6 mL/min </w:t>
      </w:r>
      <w:r w:rsidR="002217F2" w:rsidRPr="00F578E8">
        <w:t xml:space="preserve">flow of </w:t>
      </w:r>
      <w:r w:rsidR="00B95123" w:rsidRPr="00F578E8">
        <w:t xml:space="preserve">HPLC grade </w:t>
      </w:r>
      <w:r w:rsidR="002217F2" w:rsidRPr="00F578E8">
        <w:t xml:space="preserve">water </w:t>
      </w:r>
      <w:r w:rsidR="00B95123" w:rsidRPr="00F578E8">
        <w:t>as mobile phase.</w:t>
      </w:r>
    </w:p>
    <w:p w14:paraId="5C50AEC8" w14:textId="77777777" w:rsidR="00706D95" w:rsidRPr="00F578E8" w:rsidRDefault="00706D95" w:rsidP="00666E41">
      <w:pPr>
        <w:pStyle w:val="CETBodytext"/>
      </w:pPr>
    </w:p>
    <w:p w14:paraId="5C50AEC9" w14:textId="77777777" w:rsidR="000032E0" w:rsidRPr="00F578E8" w:rsidRDefault="00706D95" w:rsidP="00531604">
      <w:pPr>
        <w:pStyle w:val="CETHeading1"/>
      </w:pPr>
      <w:r w:rsidRPr="00F578E8">
        <w:t>Results and discussions</w:t>
      </w:r>
    </w:p>
    <w:p w14:paraId="5C50AECA" w14:textId="77777777" w:rsidR="008243A0" w:rsidRPr="00F578E8" w:rsidRDefault="00C47B35" w:rsidP="00540D2B">
      <w:pPr>
        <w:pStyle w:val="CETheadingx"/>
      </w:pPr>
      <w:r w:rsidRPr="00F578E8">
        <w:t xml:space="preserve">Lignocellulose substrates </w:t>
      </w:r>
      <w:r w:rsidR="008243A0" w:rsidRPr="00F578E8">
        <w:t>composition</w:t>
      </w:r>
    </w:p>
    <w:p w14:paraId="5C50AECB" w14:textId="648E0EA3" w:rsidR="008243A0" w:rsidRDefault="00B24228" w:rsidP="00E95461">
      <w:pPr>
        <w:pStyle w:val="CETBodytext"/>
      </w:pPr>
      <w:r>
        <w:t xml:space="preserve">The composition of the lignocellulosic biomasses is reported in Table 1. CSS </w:t>
      </w:r>
      <w:r w:rsidR="00540D2B">
        <w:t xml:space="preserve">is characterized by </w:t>
      </w:r>
      <w:r>
        <w:t>lignin and sugar concentration</w:t>
      </w:r>
      <w:r w:rsidR="005B22BB">
        <w:t>s</w:t>
      </w:r>
      <w:r>
        <w:t xml:space="preserve"> </w:t>
      </w:r>
      <w:r w:rsidR="00540D2B">
        <w:t xml:space="preserve">smaller than those measured for </w:t>
      </w:r>
      <w:r>
        <w:t xml:space="preserve">Cardoon stalks. </w:t>
      </w:r>
      <w:r w:rsidR="003362B8">
        <w:t>T</w:t>
      </w:r>
      <w:r>
        <w:t xml:space="preserve">he method by Sluiter et al. (2008) provides a </w:t>
      </w:r>
      <w:r w:rsidR="00DD117C">
        <w:t xml:space="preserve">percentage of </w:t>
      </w:r>
      <w:r>
        <w:t xml:space="preserve">detected compounds between 57.4 (CSS) and </w:t>
      </w:r>
      <w:r w:rsidR="001D7BB8">
        <w:t xml:space="preserve">67.1 </w:t>
      </w:r>
      <w:r>
        <w:t>% (Cardoon</w:t>
      </w:r>
      <w:r>
        <w:rPr>
          <w:rStyle w:val="Enfasicorsivo"/>
          <w:color w:val="0E101A"/>
        </w:rPr>
        <w:t>) </w:t>
      </w:r>
      <w:r>
        <w:t>(</w:t>
      </w:r>
      <w:proofErr w:type="spellStart"/>
      <w:r>
        <w:t>Posilipo</w:t>
      </w:r>
      <w:proofErr w:type="spellEnd"/>
      <w:r>
        <w:t xml:space="preserve"> and Russo, 2022; </w:t>
      </w:r>
      <w:proofErr w:type="spellStart"/>
      <w:r>
        <w:t>Posilipo</w:t>
      </w:r>
      <w:proofErr w:type="spellEnd"/>
      <w:r>
        <w:t xml:space="preserve"> et al., </w:t>
      </w:r>
      <w:r w:rsidR="005D4104">
        <w:t>2024</w:t>
      </w:r>
      <w:r>
        <w:t>).</w:t>
      </w:r>
    </w:p>
    <w:p w14:paraId="39C11CD6" w14:textId="77777777" w:rsidR="004303A0" w:rsidRPr="00F578E8" w:rsidRDefault="004303A0" w:rsidP="004303A0">
      <w:pPr>
        <w:pStyle w:val="CETTabletitle"/>
      </w:pPr>
      <w:r w:rsidRPr="00F578E8">
        <w:t>Table 1: polysaccharides fractions of lignocellulosic biomasses</w:t>
      </w:r>
      <w:r>
        <w:t>. AIR= Acid Insoluble Residue, ASL= Acid Soluble Residue</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gridCol w:w="1134"/>
        <w:gridCol w:w="1134"/>
        <w:gridCol w:w="1134"/>
      </w:tblGrid>
      <w:tr w:rsidR="004303A0" w:rsidRPr="00F578E8" w14:paraId="7E2EE5CA" w14:textId="77777777" w:rsidTr="00647FCF">
        <w:tc>
          <w:tcPr>
            <w:tcW w:w="1134" w:type="dxa"/>
            <w:tcBorders>
              <w:top w:val="single" w:sz="12" w:space="0" w:color="008000"/>
              <w:bottom w:val="single" w:sz="6" w:space="0" w:color="008000"/>
            </w:tcBorders>
            <w:shd w:val="clear" w:color="auto" w:fill="FFFFFF"/>
          </w:tcPr>
          <w:p w14:paraId="407C04ED" w14:textId="77777777" w:rsidR="004303A0" w:rsidRDefault="004303A0" w:rsidP="00647FCF">
            <w:pPr>
              <w:pStyle w:val="CETBodytext"/>
              <w:jc w:val="left"/>
              <w:rPr>
                <w:lang w:val="en-GB"/>
              </w:rPr>
            </w:pPr>
            <w:r w:rsidRPr="00F578E8">
              <w:rPr>
                <w:lang w:val="en-GB"/>
              </w:rPr>
              <w:t xml:space="preserve"> </w:t>
            </w:r>
          </w:p>
        </w:tc>
        <w:tc>
          <w:tcPr>
            <w:tcW w:w="1134" w:type="dxa"/>
            <w:tcBorders>
              <w:top w:val="single" w:sz="12" w:space="0" w:color="008000"/>
              <w:bottom w:val="single" w:sz="6" w:space="0" w:color="008000"/>
            </w:tcBorders>
            <w:shd w:val="clear" w:color="auto" w:fill="FFFFFF"/>
          </w:tcPr>
          <w:p w14:paraId="70D5C100" w14:textId="77777777" w:rsidR="004303A0" w:rsidRDefault="004303A0" w:rsidP="00647FCF">
            <w:pPr>
              <w:pStyle w:val="CETBodytext"/>
              <w:jc w:val="left"/>
              <w:rPr>
                <w:lang w:val="en-GB"/>
              </w:rPr>
            </w:pPr>
            <w:r w:rsidRPr="00F578E8">
              <w:rPr>
                <w:lang w:val="en-GB"/>
              </w:rPr>
              <w:t xml:space="preserve">AIR, </w:t>
            </w:r>
          </w:p>
          <w:p w14:paraId="535A1316" w14:textId="77777777" w:rsidR="004303A0" w:rsidRDefault="004303A0" w:rsidP="00647FCF">
            <w:pPr>
              <w:pStyle w:val="CETBodytext"/>
              <w:jc w:val="left"/>
              <w:rPr>
                <w:lang w:val="en-GB"/>
              </w:rPr>
            </w:pPr>
            <w:r w:rsidRPr="00F578E8">
              <w:rPr>
                <w:lang w:val="en-GB"/>
              </w:rPr>
              <w:t>% dry basis</w:t>
            </w:r>
          </w:p>
        </w:tc>
        <w:tc>
          <w:tcPr>
            <w:tcW w:w="1134" w:type="dxa"/>
            <w:tcBorders>
              <w:top w:val="single" w:sz="12" w:space="0" w:color="008000"/>
              <w:bottom w:val="single" w:sz="6" w:space="0" w:color="008000"/>
            </w:tcBorders>
            <w:shd w:val="clear" w:color="auto" w:fill="FFFFFF"/>
          </w:tcPr>
          <w:p w14:paraId="419B1706" w14:textId="77777777" w:rsidR="004303A0" w:rsidRDefault="004303A0" w:rsidP="00647FCF">
            <w:pPr>
              <w:pStyle w:val="CETBodytext"/>
              <w:jc w:val="left"/>
              <w:rPr>
                <w:lang w:val="en-GB"/>
              </w:rPr>
            </w:pPr>
            <w:r w:rsidRPr="00F578E8">
              <w:rPr>
                <w:lang w:val="en-GB"/>
              </w:rPr>
              <w:t xml:space="preserve">ASL, </w:t>
            </w:r>
          </w:p>
          <w:p w14:paraId="75CF0776" w14:textId="77777777" w:rsidR="004303A0" w:rsidRDefault="004303A0" w:rsidP="00647FCF">
            <w:pPr>
              <w:pStyle w:val="CETBodytext"/>
              <w:jc w:val="left"/>
              <w:rPr>
                <w:lang w:val="en-GB"/>
              </w:rPr>
            </w:pPr>
            <w:r w:rsidRPr="00F578E8">
              <w:rPr>
                <w:lang w:val="en-GB"/>
              </w:rPr>
              <w:t>% dry basis</w:t>
            </w:r>
          </w:p>
        </w:tc>
        <w:tc>
          <w:tcPr>
            <w:tcW w:w="1134" w:type="dxa"/>
            <w:tcBorders>
              <w:top w:val="single" w:sz="12" w:space="0" w:color="008000"/>
              <w:bottom w:val="single" w:sz="6" w:space="0" w:color="008000"/>
            </w:tcBorders>
            <w:shd w:val="clear" w:color="auto" w:fill="FFFFFF"/>
          </w:tcPr>
          <w:p w14:paraId="225E223F" w14:textId="77777777" w:rsidR="004303A0" w:rsidRDefault="004303A0" w:rsidP="00647FCF">
            <w:pPr>
              <w:pStyle w:val="CETBodytext"/>
              <w:ind w:right="-1"/>
              <w:jc w:val="left"/>
              <w:rPr>
                <w:rFonts w:cs="Arial"/>
                <w:szCs w:val="18"/>
                <w:lang w:val="en-GB"/>
              </w:rPr>
            </w:pPr>
            <w:r w:rsidRPr="00F578E8">
              <w:rPr>
                <w:rFonts w:cs="Arial"/>
                <w:szCs w:val="18"/>
                <w:lang w:val="en-GB"/>
              </w:rPr>
              <w:t>Glucans,</w:t>
            </w:r>
          </w:p>
          <w:p w14:paraId="10547F6A" w14:textId="77777777" w:rsidR="004303A0" w:rsidRDefault="004303A0" w:rsidP="00647FCF">
            <w:pPr>
              <w:pStyle w:val="CETBodytext"/>
              <w:ind w:right="-1"/>
              <w:jc w:val="left"/>
              <w:rPr>
                <w:rFonts w:cs="Arial"/>
                <w:szCs w:val="18"/>
                <w:lang w:val="en-GB"/>
              </w:rPr>
            </w:pPr>
            <w:r w:rsidRPr="00F578E8">
              <w:rPr>
                <w:lang w:val="en-GB"/>
              </w:rPr>
              <w:t>% dry basis</w:t>
            </w:r>
          </w:p>
        </w:tc>
        <w:tc>
          <w:tcPr>
            <w:tcW w:w="1134" w:type="dxa"/>
            <w:tcBorders>
              <w:top w:val="single" w:sz="12" w:space="0" w:color="008000"/>
              <w:bottom w:val="single" w:sz="6" w:space="0" w:color="008000"/>
            </w:tcBorders>
            <w:shd w:val="clear" w:color="auto" w:fill="FFFFFF"/>
          </w:tcPr>
          <w:p w14:paraId="14A8C5A6" w14:textId="77777777" w:rsidR="004303A0" w:rsidRDefault="004303A0" w:rsidP="00647FCF">
            <w:pPr>
              <w:pStyle w:val="CETBodytext"/>
              <w:ind w:right="-1"/>
              <w:jc w:val="left"/>
              <w:rPr>
                <w:rFonts w:cs="Arial"/>
                <w:szCs w:val="18"/>
                <w:lang w:val="en-GB"/>
              </w:rPr>
            </w:pPr>
            <w:proofErr w:type="spellStart"/>
            <w:r w:rsidRPr="00F578E8">
              <w:rPr>
                <w:rFonts w:cs="Arial"/>
                <w:szCs w:val="18"/>
                <w:lang w:val="en-GB"/>
              </w:rPr>
              <w:t>Xylans</w:t>
            </w:r>
            <w:proofErr w:type="spellEnd"/>
            <w:r w:rsidRPr="00F578E8">
              <w:rPr>
                <w:rFonts w:cs="Arial"/>
                <w:szCs w:val="18"/>
                <w:lang w:val="en-GB"/>
              </w:rPr>
              <w:t>,</w:t>
            </w:r>
          </w:p>
          <w:p w14:paraId="29B3375D" w14:textId="77777777" w:rsidR="004303A0" w:rsidRDefault="004303A0" w:rsidP="00647FCF">
            <w:pPr>
              <w:pStyle w:val="CETBodytext"/>
              <w:ind w:right="-1"/>
              <w:jc w:val="left"/>
              <w:rPr>
                <w:rFonts w:cs="Arial"/>
                <w:szCs w:val="18"/>
                <w:lang w:val="en-GB"/>
              </w:rPr>
            </w:pPr>
            <w:r w:rsidRPr="00F578E8">
              <w:rPr>
                <w:lang w:val="en-GB"/>
              </w:rPr>
              <w:t>% dry basis</w:t>
            </w:r>
          </w:p>
        </w:tc>
        <w:tc>
          <w:tcPr>
            <w:tcW w:w="1134" w:type="dxa"/>
            <w:tcBorders>
              <w:top w:val="single" w:sz="12" w:space="0" w:color="008000"/>
              <w:bottom w:val="single" w:sz="6" w:space="0" w:color="008000"/>
            </w:tcBorders>
            <w:shd w:val="clear" w:color="auto" w:fill="FFFFFF"/>
          </w:tcPr>
          <w:p w14:paraId="5B5FBE41" w14:textId="77777777" w:rsidR="004303A0" w:rsidRDefault="004303A0" w:rsidP="00647FCF">
            <w:pPr>
              <w:pStyle w:val="CETBodytext"/>
              <w:ind w:right="-1"/>
              <w:jc w:val="left"/>
              <w:rPr>
                <w:rFonts w:cs="Arial"/>
                <w:szCs w:val="18"/>
                <w:lang w:val="en-GB"/>
              </w:rPr>
            </w:pPr>
            <w:r w:rsidRPr="00F578E8">
              <w:rPr>
                <w:rFonts w:cs="Arial"/>
                <w:szCs w:val="18"/>
                <w:lang w:val="en-GB"/>
              </w:rPr>
              <w:t>Arabinans,</w:t>
            </w:r>
          </w:p>
          <w:p w14:paraId="0312AACB" w14:textId="77777777" w:rsidR="004303A0" w:rsidRDefault="004303A0" w:rsidP="00647FCF">
            <w:pPr>
              <w:pStyle w:val="CETBodytext"/>
              <w:ind w:right="-1"/>
              <w:jc w:val="left"/>
              <w:rPr>
                <w:rFonts w:cs="Arial"/>
                <w:szCs w:val="18"/>
                <w:lang w:val="en-GB"/>
              </w:rPr>
            </w:pPr>
            <w:r w:rsidRPr="00F578E8">
              <w:rPr>
                <w:lang w:val="en-GB"/>
              </w:rPr>
              <w:t>% dry basis</w:t>
            </w:r>
          </w:p>
        </w:tc>
      </w:tr>
      <w:tr w:rsidR="004303A0" w:rsidRPr="00F578E8" w14:paraId="1E2D6E69" w14:textId="77777777" w:rsidTr="00647FCF">
        <w:tc>
          <w:tcPr>
            <w:tcW w:w="1134" w:type="dxa"/>
            <w:shd w:val="clear" w:color="auto" w:fill="FFFFFF"/>
          </w:tcPr>
          <w:p w14:paraId="6832717D" w14:textId="77777777" w:rsidR="004303A0" w:rsidRDefault="004303A0" w:rsidP="00647FCF">
            <w:pPr>
              <w:pStyle w:val="CETBodytext"/>
              <w:jc w:val="left"/>
              <w:rPr>
                <w:lang w:val="en-GB"/>
              </w:rPr>
            </w:pPr>
            <w:r w:rsidRPr="00F578E8">
              <w:rPr>
                <w:lang w:val="en-GB"/>
              </w:rPr>
              <w:t>CSS</w:t>
            </w:r>
          </w:p>
        </w:tc>
        <w:tc>
          <w:tcPr>
            <w:tcW w:w="1134" w:type="dxa"/>
            <w:shd w:val="clear" w:color="auto" w:fill="FFFFFF"/>
          </w:tcPr>
          <w:p w14:paraId="7238C9F5" w14:textId="77777777" w:rsidR="004303A0" w:rsidRDefault="004303A0" w:rsidP="00647FCF">
            <w:pPr>
              <w:pStyle w:val="CETBodytext"/>
              <w:jc w:val="left"/>
              <w:rPr>
                <w:lang w:val="en-GB"/>
              </w:rPr>
            </w:pPr>
            <w:r w:rsidRPr="00F578E8">
              <w:rPr>
                <w:lang w:val="en-GB"/>
              </w:rPr>
              <w:t xml:space="preserve">27.3 </w:t>
            </w:r>
            <w:r w:rsidRPr="00F578E8">
              <w:rPr>
                <w:rFonts w:cs="Arial"/>
                <w:lang w:val="en-GB"/>
              </w:rPr>
              <w:t>±</w:t>
            </w:r>
            <w:r w:rsidRPr="00F578E8">
              <w:rPr>
                <w:lang w:val="en-GB"/>
              </w:rPr>
              <w:t xml:space="preserve"> 0.6</w:t>
            </w:r>
          </w:p>
        </w:tc>
        <w:tc>
          <w:tcPr>
            <w:tcW w:w="1134" w:type="dxa"/>
            <w:shd w:val="clear" w:color="auto" w:fill="FFFFFF"/>
          </w:tcPr>
          <w:p w14:paraId="07A8BE62" w14:textId="77777777" w:rsidR="004303A0" w:rsidRDefault="004303A0" w:rsidP="00647FCF">
            <w:pPr>
              <w:pStyle w:val="CETBodytext"/>
              <w:jc w:val="left"/>
              <w:rPr>
                <w:lang w:val="en-GB"/>
              </w:rPr>
            </w:pPr>
            <w:r w:rsidRPr="00F578E8">
              <w:rPr>
                <w:lang w:val="en-GB"/>
              </w:rPr>
              <w:t xml:space="preserve">1.0 </w:t>
            </w:r>
            <w:r w:rsidRPr="00F578E8">
              <w:rPr>
                <w:rFonts w:cs="Arial"/>
                <w:lang w:val="en-GB"/>
              </w:rPr>
              <w:t>±</w:t>
            </w:r>
            <w:r w:rsidRPr="00F578E8">
              <w:rPr>
                <w:lang w:val="en-GB"/>
              </w:rPr>
              <w:t xml:space="preserve"> 0.02</w:t>
            </w:r>
          </w:p>
        </w:tc>
        <w:tc>
          <w:tcPr>
            <w:tcW w:w="1134" w:type="dxa"/>
            <w:shd w:val="clear" w:color="auto" w:fill="FFFFFF"/>
          </w:tcPr>
          <w:p w14:paraId="6F9C6B2C" w14:textId="77777777" w:rsidR="004303A0" w:rsidRDefault="004303A0" w:rsidP="00647FCF">
            <w:pPr>
              <w:pStyle w:val="CETBodytext"/>
              <w:ind w:right="-1"/>
              <w:jc w:val="left"/>
              <w:rPr>
                <w:rFonts w:cs="Arial"/>
                <w:szCs w:val="18"/>
                <w:lang w:val="en-GB"/>
              </w:rPr>
            </w:pPr>
            <w:r w:rsidRPr="00F578E8">
              <w:rPr>
                <w:rFonts w:cs="Arial"/>
                <w:szCs w:val="18"/>
                <w:lang w:val="en-GB"/>
              </w:rPr>
              <w:t xml:space="preserve">19.5 </w:t>
            </w:r>
            <w:r w:rsidRPr="00F578E8">
              <w:rPr>
                <w:rFonts w:cs="Arial"/>
                <w:lang w:val="en-GB"/>
              </w:rPr>
              <w:t>±</w:t>
            </w:r>
            <w:r w:rsidRPr="00F578E8">
              <w:rPr>
                <w:lang w:val="en-GB"/>
              </w:rPr>
              <w:t xml:space="preserve"> 0.008</w:t>
            </w:r>
          </w:p>
        </w:tc>
        <w:tc>
          <w:tcPr>
            <w:tcW w:w="1134" w:type="dxa"/>
            <w:shd w:val="clear" w:color="auto" w:fill="FFFFFF"/>
          </w:tcPr>
          <w:p w14:paraId="5EC87251" w14:textId="77777777" w:rsidR="004303A0" w:rsidRDefault="004303A0" w:rsidP="00647FCF">
            <w:pPr>
              <w:pStyle w:val="CETBodytext"/>
              <w:ind w:right="-1"/>
              <w:jc w:val="left"/>
              <w:rPr>
                <w:rFonts w:cs="Arial"/>
                <w:szCs w:val="18"/>
                <w:lang w:val="en-GB"/>
              </w:rPr>
            </w:pPr>
            <w:r w:rsidRPr="00F578E8">
              <w:rPr>
                <w:rFonts w:cs="Arial"/>
                <w:szCs w:val="18"/>
                <w:lang w:val="en-GB"/>
              </w:rPr>
              <w:t xml:space="preserve">7.7 </w:t>
            </w:r>
            <w:r w:rsidRPr="00F578E8">
              <w:rPr>
                <w:rFonts w:cs="Arial"/>
                <w:lang w:val="en-GB"/>
              </w:rPr>
              <w:t>±</w:t>
            </w:r>
            <w:r w:rsidRPr="00F578E8">
              <w:rPr>
                <w:lang w:val="en-GB"/>
              </w:rPr>
              <w:t xml:space="preserve"> 0.001</w:t>
            </w:r>
          </w:p>
        </w:tc>
        <w:tc>
          <w:tcPr>
            <w:tcW w:w="1134" w:type="dxa"/>
            <w:shd w:val="clear" w:color="auto" w:fill="FFFFFF"/>
          </w:tcPr>
          <w:p w14:paraId="4AD666AA" w14:textId="77777777" w:rsidR="004303A0" w:rsidRDefault="004303A0" w:rsidP="00647FCF">
            <w:pPr>
              <w:pStyle w:val="CETBodytext"/>
              <w:ind w:right="-1"/>
              <w:jc w:val="left"/>
              <w:rPr>
                <w:rFonts w:cs="Arial"/>
                <w:szCs w:val="18"/>
                <w:lang w:val="en-GB"/>
              </w:rPr>
            </w:pPr>
            <w:r w:rsidRPr="00F578E8">
              <w:rPr>
                <w:rFonts w:cs="Arial"/>
                <w:szCs w:val="18"/>
                <w:lang w:val="en-GB"/>
              </w:rPr>
              <w:t xml:space="preserve">1.9 </w:t>
            </w:r>
            <w:r w:rsidRPr="00F578E8">
              <w:rPr>
                <w:rFonts w:cs="Arial"/>
                <w:lang w:val="en-GB"/>
              </w:rPr>
              <w:t>±</w:t>
            </w:r>
            <w:r w:rsidRPr="00F578E8">
              <w:rPr>
                <w:lang w:val="en-GB"/>
              </w:rPr>
              <w:t xml:space="preserve"> 0.001</w:t>
            </w:r>
          </w:p>
        </w:tc>
      </w:tr>
      <w:tr w:rsidR="004303A0" w:rsidRPr="00F578E8" w14:paraId="490C3803" w14:textId="77777777" w:rsidTr="00647FCF">
        <w:tc>
          <w:tcPr>
            <w:tcW w:w="1134" w:type="dxa"/>
            <w:shd w:val="clear" w:color="auto" w:fill="FFFFFF"/>
          </w:tcPr>
          <w:p w14:paraId="4FF18623" w14:textId="77777777" w:rsidR="004303A0" w:rsidRDefault="004303A0" w:rsidP="00647FCF">
            <w:pPr>
              <w:pStyle w:val="CETBodytext"/>
              <w:ind w:right="-1"/>
              <w:jc w:val="left"/>
              <w:rPr>
                <w:rFonts w:cs="Arial"/>
                <w:i/>
                <w:iCs/>
                <w:szCs w:val="18"/>
                <w:lang w:val="en-GB"/>
              </w:rPr>
            </w:pPr>
            <w:r w:rsidRPr="00F578E8">
              <w:rPr>
                <w:rFonts w:cs="Arial"/>
                <w:szCs w:val="18"/>
                <w:lang w:val="en-GB"/>
              </w:rPr>
              <w:t>Cardoon</w:t>
            </w:r>
          </w:p>
        </w:tc>
        <w:tc>
          <w:tcPr>
            <w:tcW w:w="1134" w:type="dxa"/>
            <w:shd w:val="clear" w:color="auto" w:fill="FFFFFF"/>
          </w:tcPr>
          <w:p w14:paraId="7FB3DE4D" w14:textId="77777777" w:rsidR="004303A0" w:rsidRDefault="004303A0" w:rsidP="00647FCF">
            <w:pPr>
              <w:pStyle w:val="CETBodytext"/>
              <w:ind w:right="-1"/>
              <w:jc w:val="left"/>
              <w:rPr>
                <w:rFonts w:cs="Arial"/>
                <w:szCs w:val="18"/>
                <w:lang w:val="en-GB"/>
              </w:rPr>
            </w:pPr>
            <w:r w:rsidRPr="00F578E8">
              <w:rPr>
                <w:rFonts w:cs="Arial"/>
                <w:szCs w:val="18"/>
                <w:lang w:val="en-GB"/>
              </w:rPr>
              <w:t xml:space="preserve">30.7 </w:t>
            </w:r>
            <w:r w:rsidRPr="00F578E8">
              <w:rPr>
                <w:rFonts w:cs="Arial"/>
                <w:lang w:val="en-GB"/>
              </w:rPr>
              <w:t>±</w:t>
            </w:r>
            <w:r w:rsidRPr="00F578E8">
              <w:rPr>
                <w:lang w:val="en-GB"/>
              </w:rPr>
              <w:t xml:space="preserve"> 0.8</w:t>
            </w:r>
          </w:p>
        </w:tc>
        <w:tc>
          <w:tcPr>
            <w:tcW w:w="1134" w:type="dxa"/>
            <w:shd w:val="clear" w:color="auto" w:fill="FFFFFF"/>
          </w:tcPr>
          <w:p w14:paraId="32643E43" w14:textId="77777777" w:rsidR="004303A0" w:rsidRDefault="004303A0" w:rsidP="00647FCF">
            <w:pPr>
              <w:pStyle w:val="CETBodytext"/>
              <w:ind w:right="-1"/>
              <w:jc w:val="left"/>
              <w:rPr>
                <w:rFonts w:cs="Arial"/>
                <w:szCs w:val="18"/>
                <w:lang w:val="en-GB"/>
              </w:rPr>
            </w:pPr>
            <w:r w:rsidRPr="00F578E8">
              <w:rPr>
                <w:rFonts w:cs="Arial"/>
                <w:szCs w:val="18"/>
                <w:lang w:val="en-GB"/>
              </w:rPr>
              <w:t xml:space="preserve">0.9 </w:t>
            </w:r>
            <w:r w:rsidRPr="00F578E8">
              <w:rPr>
                <w:rFonts w:cs="Arial"/>
                <w:lang w:val="en-GB"/>
              </w:rPr>
              <w:t>±</w:t>
            </w:r>
            <w:r w:rsidRPr="00F578E8">
              <w:rPr>
                <w:lang w:val="en-GB"/>
              </w:rPr>
              <w:t xml:space="preserve"> 0.01</w:t>
            </w:r>
          </w:p>
        </w:tc>
        <w:tc>
          <w:tcPr>
            <w:tcW w:w="1134" w:type="dxa"/>
            <w:shd w:val="clear" w:color="auto" w:fill="FFFFFF"/>
          </w:tcPr>
          <w:p w14:paraId="4AB567C8" w14:textId="77777777" w:rsidR="004303A0" w:rsidRDefault="004303A0" w:rsidP="00647FCF">
            <w:pPr>
              <w:pStyle w:val="CETBodytext"/>
              <w:ind w:right="-1"/>
              <w:jc w:val="left"/>
              <w:rPr>
                <w:rFonts w:cs="Arial"/>
                <w:szCs w:val="18"/>
                <w:lang w:val="en-GB"/>
              </w:rPr>
            </w:pPr>
            <w:r w:rsidRPr="00F578E8">
              <w:rPr>
                <w:rFonts w:cs="Arial"/>
                <w:szCs w:val="18"/>
                <w:lang w:val="en-GB"/>
              </w:rPr>
              <w:t xml:space="preserve">29.8 </w:t>
            </w:r>
            <w:r w:rsidRPr="00F578E8">
              <w:rPr>
                <w:rFonts w:cs="Arial"/>
                <w:lang w:val="en-GB"/>
              </w:rPr>
              <w:t>±</w:t>
            </w:r>
            <w:r w:rsidRPr="00F578E8">
              <w:rPr>
                <w:lang w:val="en-GB"/>
              </w:rPr>
              <w:t xml:space="preserve"> 0.04</w:t>
            </w:r>
          </w:p>
        </w:tc>
        <w:tc>
          <w:tcPr>
            <w:tcW w:w="1134" w:type="dxa"/>
            <w:shd w:val="clear" w:color="auto" w:fill="FFFFFF"/>
          </w:tcPr>
          <w:p w14:paraId="2C5B3C86" w14:textId="77777777" w:rsidR="004303A0" w:rsidRDefault="004303A0" w:rsidP="00647FCF">
            <w:pPr>
              <w:pStyle w:val="CETBodytext"/>
              <w:ind w:right="-1"/>
              <w:jc w:val="left"/>
              <w:rPr>
                <w:rFonts w:cs="Arial"/>
                <w:szCs w:val="18"/>
                <w:lang w:val="en-GB"/>
              </w:rPr>
            </w:pPr>
            <w:r w:rsidRPr="00F578E8">
              <w:rPr>
                <w:rFonts w:cs="Arial"/>
                <w:szCs w:val="18"/>
                <w:lang w:val="en-GB"/>
              </w:rPr>
              <w:t xml:space="preserve">12.8 </w:t>
            </w:r>
            <w:r w:rsidRPr="00F578E8">
              <w:rPr>
                <w:rFonts w:cs="Arial"/>
                <w:lang w:val="en-GB"/>
              </w:rPr>
              <w:t>±</w:t>
            </w:r>
            <w:r w:rsidRPr="00F578E8">
              <w:rPr>
                <w:lang w:val="en-GB"/>
              </w:rPr>
              <w:t xml:space="preserve"> 0.001</w:t>
            </w:r>
          </w:p>
        </w:tc>
        <w:tc>
          <w:tcPr>
            <w:tcW w:w="1134" w:type="dxa"/>
            <w:shd w:val="clear" w:color="auto" w:fill="FFFFFF"/>
          </w:tcPr>
          <w:p w14:paraId="432DA47D" w14:textId="77777777" w:rsidR="004303A0" w:rsidRDefault="004303A0" w:rsidP="00647FCF">
            <w:pPr>
              <w:pStyle w:val="CETBodytext"/>
              <w:ind w:right="-1"/>
              <w:jc w:val="left"/>
              <w:rPr>
                <w:rFonts w:cs="Arial"/>
                <w:szCs w:val="18"/>
                <w:lang w:val="en-GB"/>
              </w:rPr>
            </w:pPr>
            <w:r w:rsidRPr="00F578E8">
              <w:rPr>
                <w:rFonts w:cs="Arial"/>
                <w:szCs w:val="18"/>
                <w:lang w:val="en-GB"/>
              </w:rPr>
              <w:t xml:space="preserve">0.4 </w:t>
            </w:r>
            <w:r w:rsidRPr="00F578E8">
              <w:rPr>
                <w:rFonts w:cs="Arial"/>
                <w:lang w:val="en-GB"/>
              </w:rPr>
              <w:t>±</w:t>
            </w:r>
            <w:r w:rsidRPr="00F578E8">
              <w:rPr>
                <w:lang w:val="en-GB"/>
              </w:rPr>
              <w:t xml:space="preserve"> 0.001</w:t>
            </w:r>
          </w:p>
        </w:tc>
      </w:tr>
    </w:tbl>
    <w:p w14:paraId="5C50AECC" w14:textId="77777777" w:rsidR="00B24228" w:rsidRPr="00F578E8" w:rsidRDefault="00B24228" w:rsidP="00E95461">
      <w:pPr>
        <w:pStyle w:val="CETBodytext"/>
      </w:pPr>
    </w:p>
    <w:p w14:paraId="5C50AECD" w14:textId="77777777" w:rsidR="00531604" w:rsidRPr="00F578E8" w:rsidRDefault="00531604" w:rsidP="00540D2B">
      <w:pPr>
        <w:pStyle w:val="CETheadingx"/>
      </w:pPr>
      <w:r w:rsidRPr="00F578E8">
        <w:t xml:space="preserve">Characterization of laccase adsorption on </w:t>
      </w:r>
      <w:r w:rsidR="00AA2F13" w:rsidRPr="00F578E8">
        <w:t xml:space="preserve">lignocellulosic </w:t>
      </w:r>
      <w:r w:rsidRPr="00F578E8">
        <w:t>biomasses</w:t>
      </w:r>
    </w:p>
    <w:p w14:paraId="2C8ECBF1" w14:textId="31B33B2D" w:rsidR="00A1384B" w:rsidRDefault="00540D2B" w:rsidP="007938F1">
      <w:pPr>
        <w:pStyle w:val="CETBodytext"/>
      </w:pPr>
      <w:r>
        <w:t xml:space="preserve">The </w:t>
      </w:r>
      <w:r w:rsidRPr="001D7BB8">
        <w:t>LBs</w:t>
      </w:r>
      <w:r>
        <w:t xml:space="preserve"> were</w:t>
      </w:r>
      <w:r w:rsidRPr="001D7BB8">
        <w:t xml:space="preserve"> </w:t>
      </w:r>
      <w:r w:rsidR="001F33A2" w:rsidRPr="001D7BB8">
        <w:t>wash</w:t>
      </w:r>
      <w:r>
        <w:t>ed</w:t>
      </w:r>
      <w:r w:rsidR="001F33A2" w:rsidRPr="001D7BB8">
        <w:t>/pre-condition</w:t>
      </w:r>
      <w:r>
        <w:t>ed</w:t>
      </w:r>
      <w:r w:rsidR="001F33A2" w:rsidRPr="001D7BB8">
        <w:t xml:space="preserve"> before the </w:t>
      </w:r>
      <w:r w:rsidR="002558ED">
        <w:t xml:space="preserve">laccase </w:t>
      </w:r>
      <w:r w:rsidR="001F33A2" w:rsidRPr="001D7BB8">
        <w:t xml:space="preserve">adsorption tests </w:t>
      </w:r>
      <w:r w:rsidR="002558ED">
        <w:t xml:space="preserve">in the </w:t>
      </w:r>
      <w:r w:rsidR="00437CC1">
        <w:t>citrate buffer</w:t>
      </w:r>
      <w:r>
        <w:t>. The biomass</w:t>
      </w:r>
      <w:r w:rsidR="001F33A2" w:rsidRPr="001D7BB8">
        <w:t xml:space="preserve"> </w:t>
      </w:r>
      <w:r>
        <w:t xml:space="preserve">was </w:t>
      </w:r>
      <w:r w:rsidR="00E77E32">
        <w:t xml:space="preserve">placed in a column and flowed </w:t>
      </w:r>
      <w:r w:rsidR="001F33A2" w:rsidRPr="001D7BB8">
        <w:t>continuous</w:t>
      </w:r>
      <w:r w:rsidR="00E77E32">
        <w:t>ly</w:t>
      </w:r>
      <w:r w:rsidR="001F33A2" w:rsidRPr="001D7BB8">
        <w:t xml:space="preserve"> with </w:t>
      </w:r>
      <w:r w:rsidR="00437CC1">
        <w:t xml:space="preserve">the </w:t>
      </w:r>
      <w:r w:rsidR="001F33A2" w:rsidRPr="001D7BB8">
        <w:t xml:space="preserve">buffer </w:t>
      </w:r>
      <w:r w:rsidR="00437CC1">
        <w:t xml:space="preserve">solution </w:t>
      </w:r>
      <w:r w:rsidR="001F33A2" w:rsidRPr="001D7BB8">
        <w:t>until the concentration of protein</w:t>
      </w:r>
      <w:r w:rsidR="00F335B8">
        <w:t>s</w:t>
      </w:r>
      <w:r w:rsidR="001F33A2" w:rsidRPr="001D7BB8">
        <w:t xml:space="preserve"> released by the biomass </w:t>
      </w:r>
      <w:r w:rsidR="008E23EA">
        <w:t xml:space="preserve">approached </w:t>
      </w:r>
      <w:r w:rsidR="001F33A2" w:rsidRPr="001D7BB8">
        <w:t xml:space="preserve">a </w:t>
      </w:r>
      <w:r w:rsidR="00F335B8">
        <w:t xml:space="preserve">value low enough to allow the </w:t>
      </w:r>
      <w:r w:rsidR="00191A5F">
        <w:t>assessment of PoxA1B</w:t>
      </w:r>
      <w:r w:rsidR="00276EDD">
        <w:t xml:space="preserve"> variations during pretreatment and adsorption tests</w:t>
      </w:r>
      <w:r w:rsidR="001F33A2" w:rsidRPr="001D7BB8">
        <w:t xml:space="preserve">. </w:t>
      </w:r>
      <w:r w:rsidR="007F4EC2">
        <w:t xml:space="preserve">Accordingly, the </w:t>
      </w:r>
      <w:r w:rsidR="00952CB9">
        <w:t xml:space="preserve">washing was stopped when </w:t>
      </w:r>
      <w:r w:rsidR="00230E9C">
        <w:t xml:space="preserve">the </w:t>
      </w:r>
      <w:r w:rsidR="00952CB9">
        <w:t xml:space="preserve">released protein concentration was between </w:t>
      </w:r>
      <w:r w:rsidR="00FF5816">
        <w:t xml:space="preserve">2.7 and 6.6 mg/L. </w:t>
      </w:r>
      <w:r w:rsidR="001F33A2" w:rsidRPr="001D7BB8">
        <w:t xml:space="preserve">The </w:t>
      </w:r>
      <w:r w:rsidR="00E77E32">
        <w:t xml:space="preserve">operating </w:t>
      </w:r>
      <w:r w:rsidR="001F33A2" w:rsidRPr="001D7BB8">
        <w:t xml:space="preserve">conditions of PoxA1b adsorption on LB substrates were selected </w:t>
      </w:r>
      <w:r w:rsidR="00820382" w:rsidRPr="001D7BB8">
        <w:t>considering</w:t>
      </w:r>
      <w:r w:rsidR="001F33A2" w:rsidRPr="001D7BB8">
        <w:t xml:space="preserve"> </w:t>
      </w:r>
      <w:r w:rsidR="008B5646">
        <w:t xml:space="preserve">the </w:t>
      </w:r>
      <w:r w:rsidR="00E77E32">
        <w:t xml:space="preserve">results of </w:t>
      </w:r>
      <w:r w:rsidR="001F33A2" w:rsidRPr="001D7BB8">
        <w:t xml:space="preserve">previous studies </w:t>
      </w:r>
      <w:r w:rsidR="00E77E32">
        <w:t xml:space="preserve">on </w:t>
      </w:r>
      <w:r w:rsidR="001F33A2" w:rsidRPr="001D7BB8">
        <w:t>CSS (Giacobbe et al., 2019; Niglio et al., 2018)</w:t>
      </w:r>
      <w:r w:rsidR="00FF5816">
        <w:t xml:space="preserve"> and </w:t>
      </w:r>
      <w:r w:rsidR="00FF5816" w:rsidRPr="001058C8">
        <w:t xml:space="preserve">the initial laccase concentration </w:t>
      </w:r>
      <w:r w:rsidR="00FF5816">
        <w:t xml:space="preserve">was set at values larger </w:t>
      </w:r>
      <w:r w:rsidR="00FF5816" w:rsidRPr="001058C8">
        <w:t>than the initial protein concentration released by the LB (Table 2)</w:t>
      </w:r>
      <w:r w:rsidR="001F33A2" w:rsidRPr="001D7BB8">
        <w:t>. The selected buffer and pH were consistent with a possible application of sequential laccase pre-treatment and enzymatic hydrolysis (section 2.4).</w:t>
      </w:r>
    </w:p>
    <w:p w14:paraId="1E3F3998" w14:textId="0A984DC9" w:rsidR="00A1384B" w:rsidRDefault="00A1384B" w:rsidP="007938F1">
      <w:pPr>
        <w:pStyle w:val="CETBodytext"/>
      </w:pPr>
      <w:r>
        <w:t xml:space="preserve">Tests with </w:t>
      </w:r>
      <w:r w:rsidR="008E23EA" w:rsidRPr="001D7BB8">
        <w:t xml:space="preserve">CSS </w:t>
      </w:r>
      <w:r>
        <w:t xml:space="preserve">were carried out at </w:t>
      </w:r>
      <w:r w:rsidR="008E23EA" w:rsidRPr="001D7BB8">
        <w:t xml:space="preserve">PoxA1b concentration set in the range </w:t>
      </w:r>
      <w:r w:rsidR="00A04760">
        <w:t>4.2</w:t>
      </w:r>
      <w:r w:rsidR="008E23EA" w:rsidRPr="001D7BB8">
        <w:t xml:space="preserve"> – 2</w:t>
      </w:r>
      <w:r w:rsidR="00A04760">
        <w:t>7</w:t>
      </w:r>
      <w:r w:rsidR="008E23EA" w:rsidRPr="001D7BB8">
        <w:t>.</w:t>
      </w:r>
      <w:r w:rsidR="00A04760">
        <w:t>2</w:t>
      </w:r>
      <w:r w:rsidR="008E23EA" w:rsidRPr="001D7BB8">
        <w:t xml:space="preserve"> mg/L (15</w:t>
      </w:r>
      <w:r w:rsidR="00A04760">
        <w:t>.9</w:t>
      </w:r>
      <w:r w:rsidR="008E23EA" w:rsidRPr="001D7BB8">
        <w:t xml:space="preserve"> </w:t>
      </w:r>
      <w:r w:rsidR="008E23EA">
        <w:t xml:space="preserve">to </w:t>
      </w:r>
      <w:r w:rsidR="008E23EA" w:rsidRPr="001D7BB8">
        <w:t>1</w:t>
      </w:r>
      <w:r w:rsidR="00A04760">
        <w:t>36</w:t>
      </w:r>
      <w:r w:rsidR="008E23EA" w:rsidRPr="001D7BB8">
        <w:t>.</w:t>
      </w:r>
      <w:r w:rsidR="00A04760">
        <w:t>1</w:t>
      </w:r>
      <w:r w:rsidR="008E23EA" w:rsidRPr="001D7BB8">
        <w:t xml:space="preserve"> U/g </w:t>
      </w:r>
      <w:r w:rsidR="008E23EA" w:rsidRPr="001D7BB8">
        <w:rPr>
          <w:vertAlign w:val="subscript"/>
        </w:rPr>
        <w:t>biomass</w:t>
      </w:r>
      <w:r w:rsidR="008E23EA" w:rsidRPr="001D7BB8">
        <w:t>) (Table 2).</w:t>
      </w:r>
      <w:r w:rsidR="008E23EA">
        <w:t xml:space="preserve"> </w:t>
      </w:r>
      <w:r w:rsidR="001F33A2" w:rsidRPr="001058C8">
        <w:t>Laccase concentration and activity decreased over 60 min due to enzyme adsorption on the CSS particles (Figure 1A-B). At low laccase loading (15</w:t>
      </w:r>
      <w:r w:rsidR="00A04760">
        <w:t>.9</w:t>
      </w:r>
      <w:r w:rsidR="001F33A2" w:rsidRPr="001058C8">
        <w:t xml:space="preserve"> </w:t>
      </w:r>
      <w:r w:rsidR="00F6535D" w:rsidRPr="001058C8">
        <w:t xml:space="preserve">- </w:t>
      </w:r>
      <w:r w:rsidR="001F33A2" w:rsidRPr="001058C8">
        <w:t xml:space="preserve">20 U/g) the </w:t>
      </w:r>
      <w:r>
        <w:t xml:space="preserve">laccase </w:t>
      </w:r>
      <w:r w:rsidR="001F33A2" w:rsidRPr="001058C8">
        <w:t>concentration in the liquid phase was almost stable up to 30 min and then decreased until 60 min. At high PoxA1b loading (</w:t>
      </w:r>
      <w:bookmarkStart w:id="0" w:name="_Hlk156299168"/>
      <w:r w:rsidR="00A04760">
        <w:t>136.1</w:t>
      </w:r>
      <w:r w:rsidR="001F33A2" w:rsidRPr="001058C8">
        <w:t xml:space="preserve"> U/g</w:t>
      </w:r>
      <w:bookmarkEnd w:id="0"/>
      <w:r w:rsidR="001F33A2" w:rsidRPr="001058C8">
        <w:t xml:space="preserve">), a </w:t>
      </w:r>
      <w:r>
        <w:t>steep</w:t>
      </w:r>
      <w:r w:rsidR="001F33A2" w:rsidRPr="001058C8">
        <w:t xml:space="preserve"> decrease </w:t>
      </w:r>
      <w:r>
        <w:t xml:space="preserve">of </w:t>
      </w:r>
      <w:r w:rsidR="001F33A2" w:rsidRPr="001058C8">
        <w:t xml:space="preserve">the enzyme concentration was </w:t>
      </w:r>
      <w:r>
        <w:t xml:space="preserve">measured </w:t>
      </w:r>
      <w:r w:rsidR="001F33A2" w:rsidRPr="001058C8">
        <w:t>since the beginning of the test.</w:t>
      </w:r>
      <w:r w:rsidR="00471F2A" w:rsidRPr="001058C8">
        <w:t xml:space="preserve"> </w:t>
      </w:r>
      <w:r>
        <w:t xml:space="preserve">The analysis of Table 2 points out the </w:t>
      </w:r>
      <w:r w:rsidR="00796965" w:rsidRPr="001D7BB8">
        <w:t>increas</w:t>
      </w:r>
      <w:r>
        <w:t>e</w:t>
      </w:r>
      <w:r w:rsidR="00796965" w:rsidRPr="001D7BB8">
        <w:t xml:space="preserve"> of </w:t>
      </w:r>
      <w:r>
        <w:t>t</w:t>
      </w:r>
      <w:r w:rsidRPr="001D7BB8">
        <w:t xml:space="preserve">he </w:t>
      </w:r>
      <w:r w:rsidR="00796965" w:rsidRPr="001D7BB8">
        <w:t xml:space="preserve">adsorbed enzyme amount </w:t>
      </w:r>
      <w:r>
        <w:t xml:space="preserve">with </w:t>
      </w:r>
      <w:r w:rsidR="00796965" w:rsidRPr="001D7BB8">
        <w:t xml:space="preserve">the initial enzyme </w:t>
      </w:r>
      <w:r w:rsidR="00796965" w:rsidRPr="001058C8">
        <w:t>concentration</w:t>
      </w:r>
      <w:r w:rsidR="001F33A2" w:rsidRPr="001D7BB8">
        <w:t>.</w:t>
      </w:r>
    </w:p>
    <w:p w14:paraId="09C0F8F0" w14:textId="689CBFE4" w:rsidR="00A1384B" w:rsidRDefault="001F33A2" w:rsidP="007938F1">
      <w:pPr>
        <w:pStyle w:val="CETBodytext"/>
      </w:pPr>
      <w:r w:rsidRPr="001D7BB8">
        <w:t xml:space="preserve">Tests </w:t>
      </w:r>
      <w:r w:rsidR="00A1384B">
        <w:t xml:space="preserve">with </w:t>
      </w:r>
      <w:r w:rsidR="00340A44">
        <w:t>C</w:t>
      </w:r>
      <w:r w:rsidRPr="001D7BB8">
        <w:t>ardoon were carried out at a high PoxA1b loading (123.3-6</w:t>
      </w:r>
      <w:r w:rsidR="00A04760">
        <w:t>23.5</w:t>
      </w:r>
      <w:r w:rsidRPr="001D7BB8">
        <w:t xml:space="preserve"> U/g) </w:t>
      </w:r>
      <w:r w:rsidR="00A1384B">
        <w:t>because</w:t>
      </w:r>
      <w:r w:rsidR="008B5646">
        <w:t xml:space="preserve"> of</w:t>
      </w:r>
      <w:r w:rsidR="00A1384B">
        <w:t xml:space="preserve"> </w:t>
      </w:r>
      <w:r w:rsidRPr="001D7BB8">
        <w:t>the high adsorption capacity against cellulase cocktails</w:t>
      </w:r>
      <w:r w:rsidR="00A1384B">
        <w:t>,</w:t>
      </w:r>
      <w:r w:rsidRPr="001D7BB8">
        <w:t xml:space="preserve"> </w:t>
      </w:r>
      <w:r w:rsidR="00A1384B" w:rsidRPr="001D7BB8">
        <w:t xml:space="preserve">assessed </w:t>
      </w:r>
      <w:r w:rsidRPr="001D7BB8">
        <w:t>in previous studies (</w:t>
      </w:r>
      <w:proofErr w:type="spellStart"/>
      <w:r w:rsidRPr="001D7BB8">
        <w:t>Posilipo</w:t>
      </w:r>
      <w:proofErr w:type="spellEnd"/>
      <w:r w:rsidRPr="001D7BB8">
        <w:t xml:space="preserve"> et al.</w:t>
      </w:r>
      <w:r w:rsidR="00A1384B">
        <w:t>,</w:t>
      </w:r>
      <w:r w:rsidRPr="001D7BB8">
        <w:t xml:space="preserve"> </w:t>
      </w:r>
      <w:r w:rsidR="00B636F4">
        <w:t>2024</w:t>
      </w:r>
      <w:r w:rsidRPr="001D7BB8">
        <w:t>). The increase in adsor</w:t>
      </w:r>
      <w:r w:rsidR="00796965" w:rsidRPr="001D7BB8">
        <w:t>bed enzyme amount</w:t>
      </w:r>
      <w:r w:rsidR="001D7BB8" w:rsidRPr="001D7BB8">
        <w:t xml:space="preserve"> </w:t>
      </w:r>
      <w:r w:rsidR="00A1384B">
        <w:t xml:space="preserve">with the </w:t>
      </w:r>
      <w:r w:rsidRPr="001D7BB8">
        <w:t xml:space="preserve">initial PoxA1b concentration was confirmed in the case of </w:t>
      </w:r>
      <w:r w:rsidR="00340A44">
        <w:t>C</w:t>
      </w:r>
      <w:r w:rsidRPr="001D7BB8">
        <w:t>ardoon (Figure 1 C - D).</w:t>
      </w:r>
    </w:p>
    <w:p w14:paraId="5C50AECE" w14:textId="29C66181" w:rsidR="007938F1" w:rsidRPr="00F578E8" w:rsidRDefault="00A1384B" w:rsidP="007938F1">
      <w:pPr>
        <w:pStyle w:val="CETBodytext"/>
      </w:pPr>
      <w:r>
        <w:t xml:space="preserve">Tests carried out with </w:t>
      </w:r>
      <w:r w:rsidR="001058C8" w:rsidRPr="001D7BB8">
        <w:t xml:space="preserve">both CSS and </w:t>
      </w:r>
      <w:r w:rsidR="00340A44">
        <w:t>C</w:t>
      </w:r>
      <w:r w:rsidR="001058C8" w:rsidRPr="001D7BB8">
        <w:t>ardoon samples</w:t>
      </w:r>
      <w:r>
        <w:t xml:space="preserve"> -</w:t>
      </w:r>
      <w:r w:rsidRPr="001D7BB8">
        <w:t xml:space="preserve"> </w:t>
      </w:r>
      <w:r w:rsidR="001058C8" w:rsidRPr="001D7BB8">
        <w:t>in a wide range of initial concentrations of PoxA1b</w:t>
      </w:r>
      <w:r>
        <w:t xml:space="preserve"> – were characterized by </w:t>
      </w:r>
      <w:r w:rsidR="001058C8" w:rsidRPr="001D7BB8">
        <w:rPr>
          <w:i/>
        </w:rPr>
        <w:t>E</w:t>
      </w:r>
      <w:r w:rsidR="001058C8" w:rsidRPr="001D7BB8">
        <w:rPr>
          <w:i/>
          <w:vertAlign w:val="subscript"/>
        </w:rPr>
        <w:t>ads</w:t>
      </w:r>
      <w:r w:rsidR="001058C8" w:rsidRPr="001D7BB8">
        <w:t xml:space="preserve"> quite low and almost lower than 1 mg/g</w:t>
      </w:r>
      <w:r w:rsidR="001058C8">
        <w:t xml:space="preserve">. </w:t>
      </w:r>
      <w:r w:rsidR="001F33A2" w:rsidRPr="001D7BB8">
        <w:t xml:space="preserve">A substantial decrease of laccase activity over 60 min adsorption tests was observed (Figure 1 B-D) for both </w:t>
      </w:r>
      <w:proofErr w:type="spellStart"/>
      <w:r w:rsidR="001F33A2" w:rsidRPr="001D7BB8">
        <w:t>LBs.</w:t>
      </w:r>
      <w:proofErr w:type="spellEnd"/>
      <w:r w:rsidR="001F33A2" w:rsidRPr="001D7BB8">
        <w:t xml:space="preserve"> </w:t>
      </w:r>
      <w:r>
        <w:t>The activity decrease</w:t>
      </w:r>
      <w:r w:rsidR="001F33A2" w:rsidRPr="001D7BB8">
        <w:t xml:space="preserve"> </w:t>
      </w:r>
      <w:r w:rsidR="00E578C8">
        <w:t xml:space="preserve">is </w:t>
      </w:r>
      <w:r w:rsidR="001F33A2" w:rsidRPr="001D7BB8">
        <w:t>due to both the adsorption of the protein on the biomass surface and the deactivation of the laccases. To assess the occurrence of PoxA1b deactivation</w:t>
      </w:r>
      <w:r>
        <w:t>,</w:t>
      </w:r>
      <w:r w:rsidR="001F33A2" w:rsidRPr="001D7BB8">
        <w:t xml:space="preserve"> tests were carried out with </w:t>
      </w:r>
      <w:r w:rsidR="00060CAF">
        <w:t xml:space="preserve">the </w:t>
      </w:r>
      <w:r w:rsidR="001F33A2" w:rsidRPr="001D7BB8">
        <w:t xml:space="preserve">liquid </w:t>
      </w:r>
      <w:r w:rsidR="00060CAF">
        <w:t xml:space="preserve">phase </w:t>
      </w:r>
      <w:r w:rsidR="001F33A2" w:rsidRPr="001D7BB8">
        <w:t xml:space="preserve">equilibrated with </w:t>
      </w:r>
      <w:r w:rsidR="00340A44">
        <w:t>C</w:t>
      </w:r>
      <w:r w:rsidR="001F33A2" w:rsidRPr="001D7BB8">
        <w:t xml:space="preserve">ardoon biomass </w:t>
      </w:r>
      <w:r w:rsidR="00060CAF">
        <w:t xml:space="preserve">without </w:t>
      </w:r>
      <w:r w:rsidR="001F33A2" w:rsidRPr="001D7BB8">
        <w:t>the solids (section 2.</w:t>
      </w:r>
      <w:r w:rsidR="00B81BC2">
        <w:t>3</w:t>
      </w:r>
      <w:r w:rsidR="001F33A2" w:rsidRPr="001D7BB8">
        <w:t xml:space="preserve">). </w:t>
      </w:r>
      <w:r w:rsidR="00060CAF" w:rsidRPr="00081A35">
        <w:t xml:space="preserve">The </w:t>
      </w:r>
      <w:r w:rsidR="001F33A2" w:rsidRPr="00081A35">
        <w:t xml:space="preserve">decrease of PoxA1b activity after 60 minutes of incubation with </w:t>
      </w:r>
      <w:r w:rsidR="00081A35" w:rsidRPr="00081A35">
        <w:t>proteins released by Cardoon</w:t>
      </w:r>
      <w:r w:rsidR="001F33A2" w:rsidRPr="00081A35">
        <w:t xml:space="preserve"> was between 1.4 and 10.3% </w:t>
      </w:r>
      <w:r w:rsidR="004C7020">
        <w:t xml:space="preserve">of </w:t>
      </w:r>
      <w:r w:rsidR="00060CAF" w:rsidRPr="00081A35">
        <w:t>the initial value. This</w:t>
      </w:r>
      <w:r w:rsidR="00060CAF">
        <w:t xml:space="preserve"> quite small decrease was </w:t>
      </w:r>
      <w:r w:rsidR="001F33A2" w:rsidRPr="001D7BB8">
        <w:t xml:space="preserve">low enough to be neglected in the assessment of laccases adsorption. Therefore, the decrease in activity reported in Figure 1 can be justified with the </w:t>
      </w:r>
      <w:r w:rsidR="00060CAF">
        <w:t xml:space="preserve">transport </w:t>
      </w:r>
      <w:r w:rsidR="001F33A2" w:rsidRPr="001D7BB8">
        <w:t>of the enzyme to the solid phase</w:t>
      </w:r>
      <w:r w:rsidR="00060CAF">
        <w:t>.</w:t>
      </w:r>
      <w:r w:rsidR="001F33A2" w:rsidRPr="001D7BB8">
        <w:t xml:space="preserve"> Further tests were made on the pretreated samples to assess any effect of PoxA1b on the adsorption of cellulases and their activity in the hydrolysis of polysaccharides.</w:t>
      </w:r>
    </w:p>
    <w:p w14:paraId="5C50AECF" w14:textId="77777777" w:rsidR="007938F1" w:rsidRPr="00F578E8" w:rsidRDefault="007938F1" w:rsidP="007938F1">
      <w:pPr>
        <w:pStyle w:val="CETBodytext"/>
      </w:pPr>
    </w:p>
    <w:p w14:paraId="5C50AED0" w14:textId="5713031B" w:rsidR="00E63707" w:rsidRPr="00567E04" w:rsidRDefault="004B1A75" w:rsidP="003354B1">
      <w:pPr>
        <w:pStyle w:val="CETCaption"/>
      </w:pPr>
      <w:r w:rsidRPr="00567E04">
        <w:lastRenderedPageBreak/>
        <w:t>Table 2: PoxA1b adsorption tests.</w:t>
      </w:r>
      <w:r w:rsidR="004303A0">
        <w:t xml:space="preserve"> </w:t>
      </w:r>
      <w:proofErr w:type="spellStart"/>
      <w:r w:rsidR="004303A0">
        <w:rPr>
          <w:rFonts w:cs="Arial"/>
          <w:szCs w:val="18"/>
        </w:rPr>
        <w:t>E</w:t>
      </w:r>
      <w:r w:rsidR="004303A0" w:rsidRPr="00471F2A">
        <w:rPr>
          <w:rFonts w:cs="Arial"/>
          <w:szCs w:val="18"/>
          <w:vertAlign w:val="subscript"/>
        </w:rPr>
        <w:t>eq</w:t>
      </w:r>
      <w:proofErr w:type="spellEnd"/>
      <w:r w:rsidR="004303A0" w:rsidRPr="003354B1">
        <w:rPr>
          <w:rFonts w:cs="Arial"/>
          <w:szCs w:val="18"/>
        </w:rPr>
        <w:t xml:space="preserve">= enzyme </w:t>
      </w:r>
      <w:r w:rsidR="00966E0F">
        <w:rPr>
          <w:rFonts w:cs="Arial"/>
          <w:szCs w:val="18"/>
        </w:rPr>
        <w:t xml:space="preserve">equilibrium </w:t>
      </w:r>
      <w:r w:rsidR="004303A0" w:rsidRPr="003354B1">
        <w:rPr>
          <w:rFonts w:cs="Arial"/>
          <w:szCs w:val="18"/>
        </w:rPr>
        <w:t xml:space="preserve">concentration </w:t>
      </w:r>
      <w:r w:rsidR="00966E0F">
        <w:rPr>
          <w:rFonts w:cs="Arial"/>
          <w:szCs w:val="18"/>
        </w:rPr>
        <w:t xml:space="preserve">in the </w:t>
      </w:r>
      <w:r w:rsidR="004303A0">
        <w:t xml:space="preserve">liquid phase, </w:t>
      </w:r>
      <w:r w:rsidR="004303A0" w:rsidRPr="00F578E8">
        <w:rPr>
          <w:rFonts w:cs="Arial"/>
          <w:szCs w:val="18"/>
        </w:rPr>
        <w:t>E</w:t>
      </w:r>
      <w:r w:rsidR="004303A0" w:rsidRPr="00F578E8">
        <w:rPr>
          <w:rFonts w:cs="Arial"/>
          <w:szCs w:val="18"/>
          <w:vertAlign w:val="subscript"/>
        </w:rPr>
        <w:t>ads</w:t>
      </w:r>
      <w:r w:rsidR="004303A0">
        <w:rPr>
          <w:rFonts w:cs="Arial"/>
          <w:szCs w:val="18"/>
        </w:rPr>
        <w:t xml:space="preserve">= amount of </w:t>
      </w:r>
      <w:r w:rsidR="003354B1">
        <w:rPr>
          <w:rFonts w:cs="Arial"/>
          <w:szCs w:val="18"/>
        </w:rPr>
        <w:t xml:space="preserve">equilibrium </w:t>
      </w:r>
      <w:r w:rsidR="004303A0">
        <w:rPr>
          <w:rFonts w:cs="Arial"/>
          <w:szCs w:val="18"/>
        </w:rPr>
        <w:t xml:space="preserve">adsorbed enzyme per </w:t>
      </w:r>
      <w:r w:rsidR="003354B1">
        <w:rPr>
          <w:rFonts w:cs="Arial"/>
          <w:szCs w:val="18"/>
        </w:rPr>
        <w:t xml:space="preserve">unit mass of </w:t>
      </w:r>
      <w:r w:rsidR="004303A0">
        <w:rPr>
          <w:rFonts w:cs="Arial"/>
          <w:szCs w:val="18"/>
        </w:rPr>
        <w:t>biomass.</w:t>
      </w:r>
      <w:r w:rsidR="004303A0">
        <w:t xml:space="preserve"> </w:t>
      </w:r>
    </w:p>
    <w:tbl>
      <w:tblPr>
        <w:tblW w:w="8931"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113"/>
        <w:gridCol w:w="1297"/>
        <w:gridCol w:w="992"/>
        <w:gridCol w:w="1063"/>
        <w:gridCol w:w="1109"/>
        <w:gridCol w:w="1089"/>
        <w:gridCol w:w="992"/>
        <w:gridCol w:w="1276"/>
      </w:tblGrid>
      <w:tr w:rsidR="002A2E8A" w:rsidRPr="00F578E8" w14:paraId="5C50AED4" w14:textId="77777777" w:rsidTr="006F0553">
        <w:tc>
          <w:tcPr>
            <w:tcW w:w="1113" w:type="dxa"/>
            <w:tcBorders>
              <w:top w:val="single" w:sz="12" w:space="0" w:color="008000"/>
              <w:bottom w:val="single" w:sz="6" w:space="0" w:color="008000"/>
            </w:tcBorders>
            <w:shd w:val="clear" w:color="auto" w:fill="FFFFFF"/>
            <w:vAlign w:val="center"/>
          </w:tcPr>
          <w:p w14:paraId="5C50AED1" w14:textId="77777777" w:rsidR="00E63707" w:rsidRDefault="002A2E8A" w:rsidP="00D22414">
            <w:pPr>
              <w:pStyle w:val="CETBodytext"/>
              <w:jc w:val="center"/>
              <w:rPr>
                <w:lang w:val="en-GB"/>
              </w:rPr>
            </w:pPr>
            <w:bookmarkStart w:id="1" w:name="_Hlk161478493"/>
            <w:r w:rsidRPr="00F578E8">
              <w:rPr>
                <w:lang w:val="en-GB"/>
              </w:rPr>
              <w:t>Substrate</w:t>
            </w:r>
          </w:p>
        </w:tc>
        <w:tc>
          <w:tcPr>
            <w:tcW w:w="5550" w:type="dxa"/>
            <w:gridSpan w:val="5"/>
            <w:tcBorders>
              <w:top w:val="single" w:sz="12" w:space="0" w:color="008000"/>
              <w:bottom w:val="single" w:sz="4" w:space="0" w:color="008000"/>
            </w:tcBorders>
            <w:shd w:val="clear" w:color="auto" w:fill="FFFFFF"/>
            <w:vAlign w:val="center"/>
          </w:tcPr>
          <w:p w14:paraId="5C50AED2" w14:textId="77777777" w:rsidR="00E63707" w:rsidRDefault="002A2E8A" w:rsidP="00D22414">
            <w:pPr>
              <w:pStyle w:val="CETBodytext"/>
              <w:ind w:right="-1"/>
              <w:jc w:val="center"/>
              <w:rPr>
                <w:rFonts w:cs="Arial"/>
                <w:szCs w:val="18"/>
                <w:lang w:val="en-GB"/>
              </w:rPr>
            </w:pPr>
            <w:r w:rsidRPr="00F578E8">
              <w:rPr>
                <w:lang w:val="en-GB"/>
              </w:rPr>
              <w:t>Initial conditions</w:t>
            </w:r>
          </w:p>
        </w:tc>
        <w:tc>
          <w:tcPr>
            <w:tcW w:w="2268" w:type="dxa"/>
            <w:gridSpan w:val="2"/>
            <w:tcBorders>
              <w:top w:val="single" w:sz="12" w:space="0" w:color="008000"/>
              <w:bottom w:val="single" w:sz="6" w:space="0" w:color="008000"/>
            </w:tcBorders>
            <w:shd w:val="clear" w:color="auto" w:fill="FFFFFF"/>
            <w:vAlign w:val="center"/>
          </w:tcPr>
          <w:p w14:paraId="5C50AED3" w14:textId="77777777" w:rsidR="00E63707" w:rsidRDefault="002A2E8A" w:rsidP="00D22414">
            <w:pPr>
              <w:pStyle w:val="CETBodytext"/>
              <w:ind w:right="-1"/>
              <w:jc w:val="center"/>
              <w:rPr>
                <w:rFonts w:cs="Arial"/>
                <w:szCs w:val="18"/>
                <w:lang w:val="en-GB"/>
              </w:rPr>
            </w:pPr>
            <w:r w:rsidRPr="00F578E8">
              <w:rPr>
                <w:rFonts w:cs="Arial"/>
                <w:szCs w:val="18"/>
                <w:lang w:val="en-GB"/>
              </w:rPr>
              <w:t>Results</w:t>
            </w:r>
          </w:p>
        </w:tc>
      </w:tr>
      <w:tr w:rsidR="00D22414" w:rsidRPr="00F578E8" w14:paraId="5C50AEDD" w14:textId="77777777" w:rsidTr="006F0553">
        <w:tc>
          <w:tcPr>
            <w:tcW w:w="1113" w:type="dxa"/>
            <w:tcBorders>
              <w:right w:val="single" w:sz="4" w:space="0" w:color="008000"/>
            </w:tcBorders>
            <w:shd w:val="clear" w:color="auto" w:fill="FFFFFF"/>
          </w:tcPr>
          <w:p w14:paraId="5C50AED5" w14:textId="77777777" w:rsidR="00E63707" w:rsidRDefault="00E63707" w:rsidP="00F6535D">
            <w:pPr>
              <w:pStyle w:val="CETBodytext"/>
              <w:jc w:val="left"/>
              <w:rPr>
                <w:lang w:val="en-GB"/>
              </w:rPr>
            </w:pPr>
          </w:p>
        </w:tc>
        <w:tc>
          <w:tcPr>
            <w:tcW w:w="1297" w:type="dxa"/>
            <w:tcBorders>
              <w:top w:val="single" w:sz="4" w:space="0" w:color="008000"/>
              <w:left w:val="single" w:sz="4" w:space="0" w:color="008000"/>
              <w:bottom w:val="nil"/>
            </w:tcBorders>
            <w:shd w:val="clear" w:color="auto" w:fill="FFFFFF"/>
            <w:vAlign w:val="center"/>
          </w:tcPr>
          <w:p w14:paraId="5C50AED6" w14:textId="77777777" w:rsidR="00E63707" w:rsidRDefault="00572F39" w:rsidP="00D22414">
            <w:pPr>
              <w:pStyle w:val="CETBodytext"/>
              <w:jc w:val="center"/>
              <w:rPr>
                <w:lang w:val="en-GB"/>
              </w:rPr>
            </w:pPr>
            <w:r w:rsidRPr="00F578E8">
              <w:rPr>
                <w:lang w:val="en-GB"/>
              </w:rPr>
              <w:t>Substrate concentration, % w/v</w:t>
            </w:r>
          </w:p>
        </w:tc>
        <w:tc>
          <w:tcPr>
            <w:tcW w:w="992" w:type="dxa"/>
            <w:tcBorders>
              <w:top w:val="single" w:sz="4" w:space="0" w:color="008000"/>
              <w:bottom w:val="nil"/>
            </w:tcBorders>
            <w:shd w:val="clear" w:color="auto" w:fill="FFFFFF"/>
            <w:vAlign w:val="center"/>
          </w:tcPr>
          <w:p w14:paraId="5C50AED7" w14:textId="77777777" w:rsidR="00E63707" w:rsidRDefault="00572F39" w:rsidP="00D22414">
            <w:pPr>
              <w:pStyle w:val="CETBodytext"/>
              <w:jc w:val="center"/>
              <w:rPr>
                <w:lang w:val="en-GB"/>
              </w:rPr>
            </w:pPr>
            <w:r w:rsidRPr="00F578E8">
              <w:rPr>
                <w:lang w:val="en-GB"/>
              </w:rPr>
              <w:t>Biomass released proteins, mg/L</w:t>
            </w:r>
          </w:p>
        </w:tc>
        <w:tc>
          <w:tcPr>
            <w:tcW w:w="1063" w:type="dxa"/>
            <w:tcBorders>
              <w:top w:val="single" w:sz="4" w:space="0" w:color="008000"/>
              <w:bottom w:val="nil"/>
            </w:tcBorders>
            <w:shd w:val="clear" w:color="auto" w:fill="FFFFFF"/>
            <w:vAlign w:val="center"/>
          </w:tcPr>
          <w:p w14:paraId="5C50AED8" w14:textId="77777777" w:rsidR="00E63707" w:rsidRDefault="00572F39" w:rsidP="00D22414">
            <w:pPr>
              <w:pStyle w:val="CETBodytext"/>
              <w:ind w:right="-1"/>
              <w:jc w:val="center"/>
              <w:rPr>
                <w:rFonts w:cs="Arial"/>
                <w:szCs w:val="18"/>
                <w:lang w:val="en-GB"/>
              </w:rPr>
            </w:pPr>
            <w:r w:rsidRPr="00F578E8">
              <w:rPr>
                <w:rFonts w:cs="Arial"/>
                <w:szCs w:val="18"/>
                <w:lang w:val="en-GB"/>
              </w:rPr>
              <w:t>PoxA1b, mg/L</w:t>
            </w:r>
          </w:p>
        </w:tc>
        <w:tc>
          <w:tcPr>
            <w:tcW w:w="1109" w:type="dxa"/>
            <w:tcBorders>
              <w:top w:val="single" w:sz="4" w:space="0" w:color="008000"/>
              <w:bottom w:val="nil"/>
            </w:tcBorders>
            <w:shd w:val="clear" w:color="auto" w:fill="FFFFFF"/>
            <w:vAlign w:val="center"/>
          </w:tcPr>
          <w:p w14:paraId="5C50AED9" w14:textId="77777777" w:rsidR="00E63707" w:rsidRDefault="00572F39" w:rsidP="00D22414">
            <w:pPr>
              <w:pStyle w:val="CETBodytext"/>
              <w:ind w:right="-1"/>
              <w:jc w:val="center"/>
              <w:rPr>
                <w:rFonts w:cs="Arial"/>
                <w:szCs w:val="18"/>
                <w:lang w:val="en-GB"/>
              </w:rPr>
            </w:pPr>
            <w:r w:rsidRPr="00F578E8">
              <w:rPr>
                <w:rFonts w:cs="Arial"/>
                <w:szCs w:val="18"/>
                <w:lang w:val="en-GB"/>
              </w:rPr>
              <w:t>PoxA1b, U/mL</w:t>
            </w:r>
          </w:p>
        </w:tc>
        <w:tc>
          <w:tcPr>
            <w:tcW w:w="1089" w:type="dxa"/>
            <w:tcBorders>
              <w:top w:val="single" w:sz="4" w:space="0" w:color="008000"/>
              <w:bottom w:val="nil"/>
              <w:right w:val="single" w:sz="4" w:space="0" w:color="008000"/>
            </w:tcBorders>
            <w:shd w:val="clear" w:color="auto" w:fill="FFFFFF"/>
            <w:vAlign w:val="center"/>
          </w:tcPr>
          <w:p w14:paraId="5C50AEDA" w14:textId="77777777" w:rsidR="00E63707" w:rsidRDefault="00572F39" w:rsidP="00D22414">
            <w:pPr>
              <w:pStyle w:val="CETBodytext"/>
              <w:ind w:right="-1"/>
              <w:jc w:val="center"/>
              <w:rPr>
                <w:rFonts w:cs="Arial"/>
                <w:szCs w:val="18"/>
                <w:lang w:val="en-GB"/>
              </w:rPr>
            </w:pPr>
            <w:r w:rsidRPr="00F578E8">
              <w:rPr>
                <w:rFonts w:cs="Arial"/>
                <w:szCs w:val="18"/>
                <w:lang w:val="en-GB"/>
              </w:rPr>
              <w:t>Po</w:t>
            </w:r>
            <w:r w:rsidR="006B753B" w:rsidRPr="00F578E8">
              <w:rPr>
                <w:rFonts w:cs="Arial"/>
                <w:szCs w:val="18"/>
                <w:lang w:val="en-GB"/>
              </w:rPr>
              <w:t xml:space="preserve">xA1b, U/g </w:t>
            </w:r>
            <w:r w:rsidR="006B753B" w:rsidRPr="00F578E8">
              <w:rPr>
                <w:rFonts w:cs="Arial"/>
                <w:szCs w:val="18"/>
                <w:vertAlign w:val="subscript"/>
                <w:lang w:val="en-GB"/>
              </w:rPr>
              <w:t>biomass</w:t>
            </w:r>
          </w:p>
        </w:tc>
        <w:tc>
          <w:tcPr>
            <w:tcW w:w="992" w:type="dxa"/>
            <w:tcBorders>
              <w:top w:val="nil"/>
              <w:left w:val="single" w:sz="4" w:space="0" w:color="008000"/>
              <w:bottom w:val="nil"/>
            </w:tcBorders>
            <w:shd w:val="clear" w:color="auto" w:fill="FFFFFF"/>
            <w:vAlign w:val="center"/>
          </w:tcPr>
          <w:p w14:paraId="5C50AEDB" w14:textId="2DA69408" w:rsidR="00E63707" w:rsidRDefault="00471F2A" w:rsidP="00D22414">
            <w:pPr>
              <w:pStyle w:val="CETBodytext"/>
              <w:ind w:right="-1"/>
              <w:jc w:val="center"/>
              <w:rPr>
                <w:rFonts w:cs="Arial"/>
                <w:szCs w:val="18"/>
                <w:lang w:val="en-GB"/>
              </w:rPr>
            </w:pPr>
            <w:proofErr w:type="spellStart"/>
            <w:r>
              <w:rPr>
                <w:rFonts w:cs="Arial"/>
                <w:szCs w:val="18"/>
                <w:lang w:val="en-GB"/>
              </w:rPr>
              <w:t>E</w:t>
            </w:r>
            <w:r w:rsidRPr="00471F2A">
              <w:rPr>
                <w:rFonts w:cs="Arial"/>
                <w:szCs w:val="18"/>
                <w:vertAlign w:val="subscript"/>
                <w:lang w:val="en-GB"/>
              </w:rPr>
              <w:t>eq</w:t>
            </w:r>
            <w:proofErr w:type="spellEnd"/>
            <w:r>
              <w:rPr>
                <w:rFonts w:cs="Arial"/>
                <w:szCs w:val="18"/>
                <w:lang w:val="en-GB"/>
              </w:rPr>
              <w:t>, mg/L</w:t>
            </w:r>
          </w:p>
        </w:tc>
        <w:tc>
          <w:tcPr>
            <w:tcW w:w="1276" w:type="dxa"/>
            <w:tcBorders>
              <w:bottom w:val="nil"/>
            </w:tcBorders>
            <w:shd w:val="clear" w:color="auto" w:fill="FFFFFF"/>
            <w:vAlign w:val="center"/>
          </w:tcPr>
          <w:p w14:paraId="5C50AEDC" w14:textId="3644B083" w:rsidR="00E63707" w:rsidRDefault="006B753B" w:rsidP="00D22414">
            <w:pPr>
              <w:pStyle w:val="CETBodytext"/>
              <w:ind w:right="-1"/>
              <w:jc w:val="center"/>
              <w:rPr>
                <w:rFonts w:cs="Arial"/>
                <w:szCs w:val="18"/>
                <w:lang w:val="en-GB"/>
              </w:rPr>
            </w:pPr>
            <w:r w:rsidRPr="00F578E8">
              <w:rPr>
                <w:rFonts w:cs="Arial"/>
                <w:szCs w:val="18"/>
                <w:lang w:val="en-GB"/>
              </w:rPr>
              <w:t>E</w:t>
            </w:r>
            <w:r w:rsidRPr="00F578E8">
              <w:rPr>
                <w:rFonts w:cs="Arial"/>
                <w:szCs w:val="18"/>
                <w:vertAlign w:val="subscript"/>
                <w:lang w:val="en-GB"/>
              </w:rPr>
              <w:t>ads</w:t>
            </w:r>
            <w:r w:rsidRPr="00F578E8">
              <w:rPr>
                <w:rFonts w:cs="Arial"/>
                <w:szCs w:val="18"/>
                <w:lang w:val="en-GB"/>
              </w:rPr>
              <w:t xml:space="preserve">, </w:t>
            </w:r>
            <w:r w:rsidR="00CB4E0F" w:rsidRPr="00F578E8">
              <w:rPr>
                <w:rFonts w:cs="Arial"/>
                <w:szCs w:val="18"/>
                <w:lang w:val="en-GB"/>
              </w:rPr>
              <w:t>mg/g</w:t>
            </w:r>
          </w:p>
        </w:tc>
      </w:tr>
      <w:tr w:rsidR="00A04760" w:rsidRPr="00F578E8" w14:paraId="5C50AEE6" w14:textId="77777777" w:rsidTr="00161A17">
        <w:tc>
          <w:tcPr>
            <w:tcW w:w="1113" w:type="dxa"/>
            <w:vMerge w:val="restart"/>
            <w:tcBorders>
              <w:right w:val="single" w:sz="4" w:space="0" w:color="008000"/>
            </w:tcBorders>
            <w:shd w:val="clear" w:color="auto" w:fill="FFFFFF"/>
            <w:vAlign w:val="center"/>
          </w:tcPr>
          <w:p w14:paraId="5C50AEDE" w14:textId="77777777" w:rsidR="00A04760" w:rsidRPr="00F578E8" w:rsidRDefault="00A04760" w:rsidP="006F0553">
            <w:pPr>
              <w:pStyle w:val="CETBodytext"/>
              <w:ind w:right="-1"/>
              <w:jc w:val="center"/>
              <w:rPr>
                <w:rFonts w:cs="Arial"/>
                <w:szCs w:val="18"/>
                <w:lang w:val="en-GB"/>
              </w:rPr>
            </w:pPr>
            <w:r w:rsidRPr="00F578E8">
              <w:rPr>
                <w:rFonts w:cs="Arial"/>
                <w:szCs w:val="18"/>
                <w:lang w:val="en-GB"/>
              </w:rPr>
              <w:t>CSS</w:t>
            </w:r>
          </w:p>
        </w:tc>
        <w:tc>
          <w:tcPr>
            <w:tcW w:w="1297" w:type="dxa"/>
            <w:vMerge w:val="restart"/>
            <w:tcBorders>
              <w:top w:val="nil"/>
              <w:left w:val="single" w:sz="4" w:space="0" w:color="008000"/>
            </w:tcBorders>
            <w:shd w:val="clear" w:color="auto" w:fill="FFFFFF"/>
            <w:vAlign w:val="center"/>
          </w:tcPr>
          <w:p w14:paraId="5C50AEDF" w14:textId="77777777" w:rsidR="00A04760" w:rsidRPr="00F578E8" w:rsidRDefault="00A04760" w:rsidP="006F0553">
            <w:pPr>
              <w:pStyle w:val="CETBodytext"/>
              <w:ind w:right="-1"/>
              <w:jc w:val="center"/>
              <w:rPr>
                <w:rFonts w:cs="Arial"/>
                <w:szCs w:val="18"/>
                <w:lang w:val="en-GB"/>
              </w:rPr>
            </w:pPr>
            <w:r w:rsidRPr="00F578E8">
              <w:rPr>
                <w:rFonts w:cs="Arial"/>
                <w:szCs w:val="18"/>
                <w:lang w:val="en-GB"/>
              </w:rPr>
              <w:t>5</w:t>
            </w:r>
          </w:p>
        </w:tc>
        <w:tc>
          <w:tcPr>
            <w:tcW w:w="992" w:type="dxa"/>
            <w:vMerge w:val="restart"/>
            <w:tcBorders>
              <w:top w:val="nil"/>
              <w:right w:val="nil"/>
            </w:tcBorders>
            <w:shd w:val="clear" w:color="auto" w:fill="FFFFFF"/>
            <w:vAlign w:val="center"/>
          </w:tcPr>
          <w:p w14:paraId="5C50AEE0" w14:textId="77777777" w:rsidR="00A04760" w:rsidRPr="00F578E8" w:rsidRDefault="00A04760" w:rsidP="006F0553">
            <w:pPr>
              <w:pStyle w:val="CETBodytext"/>
              <w:ind w:right="-1"/>
              <w:jc w:val="center"/>
              <w:rPr>
                <w:rFonts w:cs="Arial"/>
                <w:szCs w:val="18"/>
                <w:lang w:val="en-GB"/>
              </w:rPr>
            </w:pPr>
            <w:r w:rsidRPr="00F578E8">
              <w:rPr>
                <w:rFonts w:cs="Arial"/>
                <w:szCs w:val="18"/>
                <w:lang w:val="en-GB"/>
              </w:rPr>
              <w:t>3.5</w:t>
            </w:r>
          </w:p>
        </w:tc>
        <w:tc>
          <w:tcPr>
            <w:tcW w:w="1063" w:type="dxa"/>
            <w:tcBorders>
              <w:top w:val="nil"/>
              <w:left w:val="nil"/>
              <w:bottom w:val="nil"/>
              <w:right w:val="nil"/>
            </w:tcBorders>
            <w:shd w:val="clear" w:color="auto" w:fill="auto"/>
            <w:vAlign w:val="bottom"/>
          </w:tcPr>
          <w:p w14:paraId="5C50AEE1" w14:textId="2E37F521" w:rsidR="00A04760" w:rsidRPr="00A04760" w:rsidRDefault="00A04760" w:rsidP="006F0553">
            <w:pPr>
              <w:pStyle w:val="CETBodytext"/>
              <w:ind w:right="-1"/>
              <w:jc w:val="center"/>
              <w:rPr>
                <w:rFonts w:cs="Arial"/>
                <w:szCs w:val="18"/>
                <w:lang w:val="en-GB"/>
              </w:rPr>
            </w:pPr>
            <w:r w:rsidRPr="00DE0DC7">
              <w:rPr>
                <w:rFonts w:cs="Arial"/>
                <w:color w:val="000000"/>
                <w:szCs w:val="18"/>
              </w:rPr>
              <w:t>4.2 ± 0.3</w:t>
            </w:r>
          </w:p>
        </w:tc>
        <w:tc>
          <w:tcPr>
            <w:tcW w:w="1109" w:type="dxa"/>
            <w:tcBorders>
              <w:top w:val="nil"/>
              <w:left w:val="nil"/>
              <w:bottom w:val="nil"/>
              <w:right w:val="nil"/>
            </w:tcBorders>
            <w:shd w:val="clear" w:color="auto" w:fill="auto"/>
            <w:vAlign w:val="bottom"/>
          </w:tcPr>
          <w:p w14:paraId="5C50AEE2" w14:textId="3BD27B50" w:rsidR="00A04760" w:rsidRPr="00A04760" w:rsidRDefault="00A04760" w:rsidP="006F0553">
            <w:pPr>
              <w:pStyle w:val="CETBodytext"/>
              <w:ind w:right="-1"/>
              <w:jc w:val="center"/>
              <w:rPr>
                <w:rFonts w:cs="Arial"/>
                <w:szCs w:val="18"/>
                <w:lang w:val="en-GB"/>
              </w:rPr>
            </w:pPr>
            <w:r w:rsidRPr="00DE0DC7">
              <w:rPr>
                <w:rFonts w:cs="Arial"/>
                <w:color w:val="000000"/>
                <w:szCs w:val="18"/>
              </w:rPr>
              <w:t>1.0 ± 0.0</w:t>
            </w:r>
          </w:p>
        </w:tc>
        <w:tc>
          <w:tcPr>
            <w:tcW w:w="1089" w:type="dxa"/>
            <w:tcBorders>
              <w:top w:val="nil"/>
              <w:left w:val="nil"/>
              <w:bottom w:val="nil"/>
              <w:right w:val="nil"/>
            </w:tcBorders>
            <w:shd w:val="clear" w:color="auto" w:fill="auto"/>
            <w:vAlign w:val="bottom"/>
          </w:tcPr>
          <w:p w14:paraId="5C50AEE3" w14:textId="22C93102" w:rsidR="00A04760" w:rsidRPr="00DE0DC7" w:rsidRDefault="00A04760" w:rsidP="006F0553">
            <w:pPr>
              <w:pStyle w:val="CETBodytext"/>
              <w:ind w:right="-1"/>
              <w:jc w:val="center"/>
              <w:rPr>
                <w:rFonts w:cs="Arial"/>
                <w:szCs w:val="18"/>
                <w:lang w:val="en-GB"/>
              </w:rPr>
            </w:pPr>
            <w:r w:rsidRPr="00DE0DC7">
              <w:rPr>
                <w:rFonts w:cs="Arial"/>
                <w:color w:val="000000"/>
                <w:szCs w:val="18"/>
              </w:rPr>
              <w:t>20 ± 0.0</w:t>
            </w:r>
          </w:p>
        </w:tc>
        <w:tc>
          <w:tcPr>
            <w:tcW w:w="992" w:type="dxa"/>
            <w:tcBorders>
              <w:top w:val="nil"/>
              <w:left w:val="nil"/>
              <w:bottom w:val="nil"/>
              <w:right w:val="nil"/>
            </w:tcBorders>
            <w:shd w:val="clear" w:color="auto" w:fill="auto"/>
            <w:vAlign w:val="bottom"/>
          </w:tcPr>
          <w:p w14:paraId="5C50AEE4" w14:textId="53E795FD" w:rsidR="00A04760" w:rsidRPr="00A04760" w:rsidRDefault="00A04760" w:rsidP="006F0553">
            <w:pPr>
              <w:pStyle w:val="CETBodytext"/>
              <w:ind w:right="-1"/>
              <w:jc w:val="center"/>
              <w:rPr>
                <w:rFonts w:cs="Arial"/>
                <w:szCs w:val="18"/>
                <w:lang w:val="en-GB"/>
              </w:rPr>
            </w:pPr>
            <w:r w:rsidRPr="00DE0DC7">
              <w:rPr>
                <w:rFonts w:cs="Arial"/>
                <w:color w:val="000000"/>
                <w:szCs w:val="18"/>
              </w:rPr>
              <w:t>2.7 ± 0.9</w:t>
            </w:r>
          </w:p>
        </w:tc>
        <w:tc>
          <w:tcPr>
            <w:tcW w:w="1276" w:type="dxa"/>
            <w:tcBorders>
              <w:top w:val="nil"/>
              <w:left w:val="nil"/>
              <w:bottom w:val="nil"/>
              <w:right w:val="nil"/>
            </w:tcBorders>
            <w:shd w:val="clear" w:color="auto" w:fill="auto"/>
            <w:vAlign w:val="bottom"/>
          </w:tcPr>
          <w:p w14:paraId="5C50AEE5" w14:textId="61DB8C8C" w:rsidR="00A04760" w:rsidRPr="00DE0DC7" w:rsidRDefault="00A04760" w:rsidP="006F0553">
            <w:pPr>
              <w:pStyle w:val="CETBodytext"/>
              <w:ind w:right="-1"/>
              <w:jc w:val="center"/>
              <w:rPr>
                <w:rFonts w:cs="Arial"/>
                <w:color w:val="000000"/>
                <w:szCs w:val="18"/>
              </w:rPr>
            </w:pPr>
            <w:r w:rsidRPr="00DE0DC7">
              <w:rPr>
                <w:rFonts w:cs="Arial"/>
                <w:color w:val="000000"/>
                <w:szCs w:val="18"/>
              </w:rPr>
              <w:t>0.03 ± 0.01</w:t>
            </w:r>
          </w:p>
        </w:tc>
      </w:tr>
      <w:tr w:rsidR="00A04760" w:rsidRPr="00F578E8" w14:paraId="5C50AEEF" w14:textId="77777777" w:rsidTr="00161A17">
        <w:tc>
          <w:tcPr>
            <w:tcW w:w="1113" w:type="dxa"/>
            <w:vMerge/>
            <w:tcBorders>
              <w:right w:val="single" w:sz="4" w:space="0" w:color="008000"/>
            </w:tcBorders>
            <w:shd w:val="clear" w:color="auto" w:fill="FFFFFF"/>
            <w:vAlign w:val="center"/>
          </w:tcPr>
          <w:p w14:paraId="5C50AEE7" w14:textId="77777777" w:rsidR="00A04760" w:rsidRDefault="00A04760" w:rsidP="006F0553">
            <w:pPr>
              <w:pStyle w:val="CETBodytext"/>
              <w:ind w:right="-1"/>
              <w:jc w:val="center"/>
              <w:rPr>
                <w:rFonts w:cs="Arial"/>
                <w:szCs w:val="18"/>
                <w:lang w:val="en-GB"/>
              </w:rPr>
            </w:pPr>
          </w:p>
        </w:tc>
        <w:tc>
          <w:tcPr>
            <w:tcW w:w="1297" w:type="dxa"/>
            <w:vMerge/>
            <w:tcBorders>
              <w:left w:val="single" w:sz="4" w:space="0" w:color="008000"/>
            </w:tcBorders>
            <w:shd w:val="clear" w:color="auto" w:fill="FFFFFF"/>
            <w:vAlign w:val="center"/>
          </w:tcPr>
          <w:p w14:paraId="5C50AEE8" w14:textId="77777777" w:rsidR="00A04760" w:rsidRDefault="00A04760" w:rsidP="006F0553">
            <w:pPr>
              <w:pStyle w:val="CETBodytext"/>
              <w:ind w:right="-1"/>
              <w:jc w:val="center"/>
              <w:rPr>
                <w:rFonts w:cs="Arial"/>
                <w:szCs w:val="18"/>
                <w:lang w:val="en-GB"/>
              </w:rPr>
            </w:pPr>
          </w:p>
        </w:tc>
        <w:tc>
          <w:tcPr>
            <w:tcW w:w="992" w:type="dxa"/>
            <w:vMerge/>
            <w:tcBorders>
              <w:right w:val="nil"/>
            </w:tcBorders>
            <w:shd w:val="clear" w:color="auto" w:fill="FFFFFF"/>
            <w:vAlign w:val="center"/>
          </w:tcPr>
          <w:p w14:paraId="5C50AEE9" w14:textId="77777777" w:rsidR="00A04760" w:rsidRDefault="00A04760" w:rsidP="006F0553">
            <w:pPr>
              <w:pStyle w:val="CETBodytext"/>
              <w:ind w:right="-1"/>
              <w:jc w:val="center"/>
              <w:rPr>
                <w:rFonts w:cs="Arial"/>
                <w:szCs w:val="18"/>
                <w:lang w:val="en-GB"/>
              </w:rPr>
            </w:pPr>
          </w:p>
        </w:tc>
        <w:tc>
          <w:tcPr>
            <w:tcW w:w="1063" w:type="dxa"/>
            <w:tcBorders>
              <w:top w:val="nil"/>
              <w:left w:val="nil"/>
              <w:bottom w:val="nil"/>
              <w:right w:val="nil"/>
            </w:tcBorders>
            <w:shd w:val="clear" w:color="auto" w:fill="auto"/>
            <w:vAlign w:val="bottom"/>
          </w:tcPr>
          <w:p w14:paraId="5C50AEEA" w14:textId="1A286974" w:rsidR="00A04760" w:rsidRPr="00A04760" w:rsidRDefault="00A04760" w:rsidP="006F0553">
            <w:pPr>
              <w:pStyle w:val="CETBodytext"/>
              <w:ind w:right="-1"/>
              <w:jc w:val="center"/>
              <w:rPr>
                <w:rFonts w:cs="Arial"/>
                <w:szCs w:val="18"/>
                <w:lang w:val="en-GB"/>
              </w:rPr>
            </w:pPr>
            <w:r w:rsidRPr="00DE0DC7">
              <w:rPr>
                <w:rFonts w:cs="Arial"/>
                <w:color w:val="000000"/>
                <w:szCs w:val="18"/>
              </w:rPr>
              <w:t>7.8 ± 0.2</w:t>
            </w:r>
          </w:p>
        </w:tc>
        <w:tc>
          <w:tcPr>
            <w:tcW w:w="1109" w:type="dxa"/>
            <w:tcBorders>
              <w:top w:val="nil"/>
              <w:left w:val="nil"/>
              <w:bottom w:val="nil"/>
              <w:right w:val="nil"/>
            </w:tcBorders>
            <w:shd w:val="clear" w:color="auto" w:fill="auto"/>
            <w:vAlign w:val="bottom"/>
          </w:tcPr>
          <w:p w14:paraId="5C50AEEB" w14:textId="0A9BC82D" w:rsidR="00A04760" w:rsidRPr="00A04760" w:rsidRDefault="00A04760" w:rsidP="006F0553">
            <w:pPr>
              <w:pStyle w:val="CETBodytext"/>
              <w:ind w:right="-1"/>
              <w:jc w:val="center"/>
              <w:rPr>
                <w:rFonts w:cs="Arial"/>
                <w:szCs w:val="18"/>
                <w:lang w:val="en-GB"/>
              </w:rPr>
            </w:pPr>
            <w:r w:rsidRPr="00DE0DC7">
              <w:rPr>
                <w:rFonts w:cs="Arial"/>
                <w:color w:val="000000"/>
                <w:szCs w:val="18"/>
              </w:rPr>
              <w:t>0.8 ± 0.04</w:t>
            </w:r>
          </w:p>
        </w:tc>
        <w:tc>
          <w:tcPr>
            <w:tcW w:w="1089" w:type="dxa"/>
            <w:tcBorders>
              <w:top w:val="nil"/>
              <w:left w:val="nil"/>
              <w:bottom w:val="nil"/>
              <w:right w:val="nil"/>
            </w:tcBorders>
            <w:shd w:val="clear" w:color="auto" w:fill="auto"/>
            <w:vAlign w:val="bottom"/>
          </w:tcPr>
          <w:p w14:paraId="5C50AEEC" w14:textId="4BD27640" w:rsidR="00A04760" w:rsidRPr="00DE0DC7" w:rsidRDefault="00A04760" w:rsidP="006F0553">
            <w:pPr>
              <w:pStyle w:val="CETBodytext"/>
              <w:ind w:right="-1"/>
              <w:jc w:val="center"/>
              <w:rPr>
                <w:rFonts w:cs="Arial"/>
                <w:szCs w:val="18"/>
                <w:lang w:val="en-GB"/>
              </w:rPr>
            </w:pPr>
            <w:r w:rsidRPr="00DE0DC7">
              <w:rPr>
                <w:rFonts w:cs="Arial"/>
                <w:color w:val="000000"/>
                <w:szCs w:val="18"/>
              </w:rPr>
              <w:t>15.9 ± 0.9</w:t>
            </w:r>
          </w:p>
        </w:tc>
        <w:tc>
          <w:tcPr>
            <w:tcW w:w="992" w:type="dxa"/>
            <w:tcBorders>
              <w:top w:val="nil"/>
              <w:left w:val="nil"/>
              <w:bottom w:val="nil"/>
              <w:right w:val="nil"/>
            </w:tcBorders>
            <w:shd w:val="clear" w:color="auto" w:fill="auto"/>
            <w:vAlign w:val="bottom"/>
          </w:tcPr>
          <w:p w14:paraId="5C50AEED" w14:textId="28B09B0F" w:rsidR="00A04760" w:rsidRPr="00A04760" w:rsidRDefault="00A04760" w:rsidP="006F0553">
            <w:pPr>
              <w:pStyle w:val="CETBodytext"/>
              <w:ind w:right="-1"/>
              <w:jc w:val="center"/>
              <w:rPr>
                <w:rFonts w:cs="Arial"/>
                <w:szCs w:val="18"/>
                <w:lang w:val="en-GB"/>
              </w:rPr>
            </w:pPr>
            <w:r w:rsidRPr="00DE0DC7">
              <w:rPr>
                <w:rFonts w:cs="Arial"/>
                <w:color w:val="000000"/>
                <w:szCs w:val="18"/>
              </w:rPr>
              <w:t>0.9 ± 0.1</w:t>
            </w:r>
          </w:p>
        </w:tc>
        <w:tc>
          <w:tcPr>
            <w:tcW w:w="1276" w:type="dxa"/>
            <w:tcBorders>
              <w:top w:val="nil"/>
              <w:left w:val="nil"/>
              <w:bottom w:val="nil"/>
              <w:right w:val="nil"/>
            </w:tcBorders>
            <w:shd w:val="clear" w:color="auto" w:fill="auto"/>
            <w:vAlign w:val="bottom"/>
          </w:tcPr>
          <w:p w14:paraId="5C50AEEE" w14:textId="38C615C5" w:rsidR="00A04760" w:rsidRPr="00A04760" w:rsidRDefault="00A04760" w:rsidP="006F0553">
            <w:pPr>
              <w:pStyle w:val="CETBodytext"/>
              <w:ind w:right="-1"/>
              <w:jc w:val="center"/>
              <w:rPr>
                <w:rFonts w:cs="Arial"/>
                <w:szCs w:val="18"/>
                <w:lang w:val="en-GB"/>
              </w:rPr>
            </w:pPr>
            <w:r w:rsidRPr="00DE0DC7">
              <w:rPr>
                <w:rFonts w:cs="Arial"/>
                <w:color w:val="000000"/>
                <w:szCs w:val="18"/>
              </w:rPr>
              <w:t>0.14 ± 0.01</w:t>
            </w:r>
          </w:p>
        </w:tc>
      </w:tr>
      <w:tr w:rsidR="00A04760" w:rsidRPr="00F578E8" w14:paraId="5C50AEF8" w14:textId="77777777" w:rsidTr="00161A17">
        <w:tc>
          <w:tcPr>
            <w:tcW w:w="1113" w:type="dxa"/>
            <w:vMerge/>
            <w:tcBorders>
              <w:right w:val="single" w:sz="4" w:space="0" w:color="008000"/>
            </w:tcBorders>
            <w:shd w:val="clear" w:color="auto" w:fill="FFFFFF"/>
            <w:vAlign w:val="center"/>
          </w:tcPr>
          <w:p w14:paraId="5C50AEF0" w14:textId="77777777" w:rsidR="00A04760" w:rsidRDefault="00A04760" w:rsidP="006F0553">
            <w:pPr>
              <w:pStyle w:val="CETBodytext"/>
              <w:ind w:right="-1"/>
              <w:jc w:val="center"/>
              <w:rPr>
                <w:rFonts w:cs="Arial"/>
                <w:szCs w:val="18"/>
                <w:lang w:val="en-GB"/>
              </w:rPr>
            </w:pPr>
          </w:p>
        </w:tc>
        <w:tc>
          <w:tcPr>
            <w:tcW w:w="1297" w:type="dxa"/>
            <w:vMerge/>
            <w:tcBorders>
              <w:left w:val="single" w:sz="4" w:space="0" w:color="008000"/>
            </w:tcBorders>
            <w:shd w:val="clear" w:color="auto" w:fill="FFFFFF"/>
            <w:vAlign w:val="center"/>
          </w:tcPr>
          <w:p w14:paraId="5C50AEF1" w14:textId="77777777" w:rsidR="00A04760" w:rsidRDefault="00A04760" w:rsidP="006F0553">
            <w:pPr>
              <w:pStyle w:val="CETBodytext"/>
              <w:ind w:right="-1"/>
              <w:jc w:val="center"/>
              <w:rPr>
                <w:rFonts w:cs="Arial"/>
                <w:szCs w:val="18"/>
                <w:lang w:val="en-GB"/>
              </w:rPr>
            </w:pPr>
          </w:p>
        </w:tc>
        <w:tc>
          <w:tcPr>
            <w:tcW w:w="992" w:type="dxa"/>
            <w:vMerge/>
            <w:tcBorders>
              <w:right w:val="nil"/>
            </w:tcBorders>
            <w:shd w:val="clear" w:color="auto" w:fill="FFFFFF"/>
            <w:vAlign w:val="center"/>
          </w:tcPr>
          <w:p w14:paraId="5C50AEF2" w14:textId="77777777" w:rsidR="00A04760" w:rsidRDefault="00A04760" w:rsidP="006F0553">
            <w:pPr>
              <w:pStyle w:val="CETBodytext"/>
              <w:ind w:right="-1"/>
              <w:jc w:val="center"/>
              <w:rPr>
                <w:rFonts w:cs="Arial"/>
                <w:szCs w:val="18"/>
                <w:lang w:val="en-GB"/>
              </w:rPr>
            </w:pPr>
          </w:p>
        </w:tc>
        <w:tc>
          <w:tcPr>
            <w:tcW w:w="1063" w:type="dxa"/>
            <w:tcBorders>
              <w:top w:val="nil"/>
              <w:left w:val="nil"/>
              <w:bottom w:val="nil"/>
              <w:right w:val="nil"/>
            </w:tcBorders>
            <w:shd w:val="clear" w:color="auto" w:fill="auto"/>
            <w:vAlign w:val="bottom"/>
          </w:tcPr>
          <w:p w14:paraId="5C50AEF3" w14:textId="49A2B50B" w:rsidR="00A04760" w:rsidRPr="00A04760" w:rsidRDefault="00A04760" w:rsidP="006F0553">
            <w:pPr>
              <w:pStyle w:val="CETBodytext"/>
              <w:ind w:right="-1"/>
              <w:jc w:val="center"/>
              <w:rPr>
                <w:rFonts w:cs="Arial"/>
                <w:szCs w:val="18"/>
                <w:lang w:val="en-GB"/>
              </w:rPr>
            </w:pPr>
            <w:r w:rsidRPr="00DE0DC7">
              <w:rPr>
                <w:rFonts w:cs="Arial"/>
                <w:color w:val="000000"/>
                <w:szCs w:val="18"/>
              </w:rPr>
              <w:t>9.4 ± 1.5</w:t>
            </w:r>
          </w:p>
        </w:tc>
        <w:tc>
          <w:tcPr>
            <w:tcW w:w="1109" w:type="dxa"/>
            <w:tcBorders>
              <w:top w:val="nil"/>
              <w:left w:val="nil"/>
              <w:bottom w:val="nil"/>
              <w:right w:val="nil"/>
            </w:tcBorders>
            <w:shd w:val="clear" w:color="auto" w:fill="auto"/>
            <w:vAlign w:val="bottom"/>
          </w:tcPr>
          <w:p w14:paraId="5C50AEF4" w14:textId="196A5CD1" w:rsidR="00A04760" w:rsidRPr="00A04760" w:rsidRDefault="00A04760" w:rsidP="006F0553">
            <w:pPr>
              <w:pStyle w:val="CETBodytext"/>
              <w:ind w:right="-1"/>
              <w:jc w:val="center"/>
              <w:rPr>
                <w:rFonts w:cs="Arial"/>
                <w:szCs w:val="18"/>
                <w:lang w:val="en-GB"/>
              </w:rPr>
            </w:pPr>
            <w:r w:rsidRPr="00DE0DC7">
              <w:rPr>
                <w:rFonts w:cs="Arial"/>
                <w:color w:val="000000"/>
                <w:szCs w:val="18"/>
              </w:rPr>
              <w:t>2.1 ± 0.4</w:t>
            </w:r>
          </w:p>
        </w:tc>
        <w:tc>
          <w:tcPr>
            <w:tcW w:w="1089" w:type="dxa"/>
            <w:tcBorders>
              <w:top w:val="nil"/>
              <w:left w:val="nil"/>
              <w:bottom w:val="nil"/>
              <w:right w:val="nil"/>
            </w:tcBorders>
            <w:shd w:val="clear" w:color="auto" w:fill="auto"/>
            <w:vAlign w:val="bottom"/>
          </w:tcPr>
          <w:p w14:paraId="5C50AEF5" w14:textId="4C13A497" w:rsidR="00A04760" w:rsidRPr="00A04760" w:rsidRDefault="00A04760" w:rsidP="006F0553">
            <w:pPr>
              <w:pStyle w:val="CETBodytext"/>
              <w:ind w:right="-1"/>
              <w:jc w:val="center"/>
              <w:rPr>
                <w:rFonts w:cs="Arial"/>
                <w:szCs w:val="18"/>
                <w:lang w:val="en-GB"/>
              </w:rPr>
            </w:pPr>
            <w:r w:rsidRPr="00DE0DC7">
              <w:rPr>
                <w:rFonts w:cs="Arial"/>
                <w:color w:val="000000"/>
                <w:szCs w:val="18"/>
              </w:rPr>
              <w:t>41.7 ± 8.4</w:t>
            </w:r>
          </w:p>
        </w:tc>
        <w:tc>
          <w:tcPr>
            <w:tcW w:w="992" w:type="dxa"/>
            <w:tcBorders>
              <w:top w:val="nil"/>
              <w:left w:val="nil"/>
              <w:bottom w:val="nil"/>
              <w:right w:val="nil"/>
            </w:tcBorders>
            <w:shd w:val="clear" w:color="auto" w:fill="auto"/>
            <w:vAlign w:val="bottom"/>
          </w:tcPr>
          <w:p w14:paraId="5C50AEF6" w14:textId="38491F0C" w:rsidR="00A04760" w:rsidRPr="00A04760" w:rsidRDefault="00A04760" w:rsidP="006F0553">
            <w:pPr>
              <w:pStyle w:val="CETBodytext"/>
              <w:ind w:right="-1"/>
              <w:jc w:val="center"/>
              <w:rPr>
                <w:rFonts w:cs="Arial"/>
                <w:szCs w:val="18"/>
                <w:lang w:val="en-GB"/>
              </w:rPr>
            </w:pPr>
            <w:r w:rsidRPr="00DE0DC7">
              <w:rPr>
                <w:rFonts w:cs="Arial"/>
                <w:color w:val="000000"/>
                <w:szCs w:val="18"/>
              </w:rPr>
              <w:t>3.1 ± 0.5</w:t>
            </w:r>
          </w:p>
        </w:tc>
        <w:tc>
          <w:tcPr>
            <w:tcW w:w="1276" w:type="dxa"/>
            <w:tcBorders>
              <w:top w:val="nil"/>
              <w:left w:val="nil"/>
              <w:bottom w:val="nil"/>
              <w:right w:val="nil"/>
            </w:tcBorders>
            <w:shd w:val="clear" w:color="auto" w:fill="auto"/>
            <w:vAlign w:val="bottom"/>
          </w:tcPr>
          <w:p w14:paraId="5C50AEF7" w14:textId="0AF0CC8A" w:rsidR="00A04760" w:rsidRPr="00A04760" w:rsidRDefault="00A04760" w:rsidP="006F0553">
            <w:pPr>
              <w:pStyle w:val="CETBodytext"/>
              <w:ind w:right="-1"/>
              <w:jc w:val="center"/>
              <w:rPr>
                <w:rFonts w:cs="Arial"/>
                <w:szCs w:val="18"/>
                <w:lang w:val="en-GB"/>
              </w:rPr>
            </w:pPr>
            <w:r w:rsidRPr="00DE0DC7">
              <w:rPr>
                <w:rFonts w:cs="Arial"/>
                <w:color w:val="000000"/>
                <w:szCs w:val="18"/>
              </w:rPr>
              <w:t>0.13 ± 0.04</w:t>
            </w:r>
          </w:p>
        </w:tc>
      </w:tr>
      <w:tr w:rsidR="00A04760" w:rsidRPr="00F578E8" w14:paraId="5C50AF01" w14:textId="77777777" w:rsidTr="00161A17">
        <w:tc>
          <w:tcPr>
            <w:tcW w:w="1113" w:type="dxa"/>
            <w:vMerge/>
            <w:tcBorders>
              <w:right w:val="single" w:sz="4" w:space="0" w:color="008000"/>
            </w:tcBorders>
            <w:shd w:val="clear" w:color="auto" w:fill="FFFFFF"/>
            <w:vAlign w:val="center"/>
          </w:tcPr>
          <w:p w14:paraId="5C50AEF9" w14:textId="77777777" w:rsidR="00A04760" w:rsidRDefault="00A04760" w:rsidP="006F0553">
            <w:pPr>
              <w:pStyle w:val="CETBodytext"/>
              <w:ind w:right="-1"/>
              <w:jc w:val="center"/>
              <w:rPr>
                <w:rFonts w:cs="Arial"/>
                <w:szCs w:val="18"/>
                <w:lang w:val="en-GB"/>
              </w:rPr>
            </w:pPr>
          </w:p>
        </w:tc>
        <w:tc>
          <w:tcPr>
            <w:tcW w:w="1297" w:type="dxa"/>
            <w:vMerge/>
            <w:tcBorders>
              <w:left w:val="single" w:sz="4" w:space="0" w:color="008000"/>
            </w:tcBorders>
            <w:shd w:val="clear" w:color="auto" w:fill="FFFFFF"/>
            <w:vAlign w:val="center"/>
          </w:tcPr>
          <w:p w14:paraId="5C50AEFA" w14:textId="77777777" w:rsidR="00A04760" w:rsidRDefault="00A04760" w:rsidP="006F0553">
            <w:pPr>
              <w:pStyle w:val="CETBodytext"/>
              <w:ind w:right="-1"/>
              <w:jc w:val="center"/>
              <w:rPr>
                <w:rFonts w:cs="Arial"/>
                <w:szCs w:val="18"/>
                <w:lang w:val="en-GB"/>
              </w:rPr>
            </w:pPr>
          </w:p>
        </w:tc>
        <w:tc>
          <w:tcPr>
            <w:tcW w:w="992" w:type="dxa"/>
            <w:vMerge/>
            <w:tcBorders>
              <w:right w:val="nil"/>
            </w:tcBorders>
            <w:shd w:val="clear" w:color="auto" w:fill="FFFFFF"/>
            <w:vAlign w:val="center"/>
          </w:tcPr>
          <w:p w14:paraId="5C50AEFB" w14:textId="77777777" w:rsidR="00A04760" w:rsidRDefault="00A04760" w:rsidP="006F0553">
            <w:pPr>
              <w:pStyle w:val="CETBodytext"/>
              <w:ind w:right="-1"/>
              <w:jc w:val="center"/>
              <w:rPr>
                <w:rFonts w:cs="Arial"/>
                <w:szCs w:val="18"/>
                <w:lang w:val="en-GB"/>
              </w:rPr>
            </w:pPr>
          </w:p>
        </w:tc>
        <w:tc>
          <w:tcPr>
            <w:tcW w:w="1063" w:type="dxa"/>
            <w:tcBorders>
              <w:top w:val="nil"/>
              <w:left w:val="nil"/>
              <w:bottom w:val="nil"/>
              <w:right w:val="nil"/>
            </w:tcBorders>
            <w:shd w:val="clear" w:color="auto" w:fill="auto"/>
            <w:vAlign w:val="bottom"/>
          </w:tcPr>
          <w:p w14:paraId="5C50AEFC" w14:textId="333BEDBD" w:rsidR="00A04760" w:rsidRPr="00A04760" w:rsidRDefault="00A04760" w:rsidP="006F0553">
            <w:pPr>
              <w:pStyle w:val="CETBodytext"/>
              <w:ind w:right="-1"/>
              <w:jc w:val="center"/>
              <w:rPr>
                <w:rFonts w:cs="Arial"/>
                <w:szCs w:val="18"/>
                <w:lang w:val="en-GB"/>
              </w:rPr>
            </w:pPr>
            <w:r w:rsidRPr="00DE0DC7">
              <w:rPr>
                <w:rFonts w:cs="Arial"/>
                <w:color w:val="000000"/>
                <w:szCs w:val="18"/>
              </w:rPr>
              <w:t>27.2 ± 1.3</w:t>
            </w:r>
          </w:p>
        </w:tc>
        <w:tc>
          <w:tcPr>
            <w:tcW w:w="1109" w:type="dxa"/>
            <w:tcBorders>
              <w:top w:val="nil"/>
              <w:left w:val="nil"/>
              <w:bottom w:val="nil"/>
              <w:right w:val="nil"/>
            </w:tcBorders>
            <w:shd w:val="clear" w:color="auto" w:fill="auto"/>
            <w:vAlign w:val="bottom"/>
          </w:tcPr>
          <w:p w14:paraId="5C50AEFD" w14:textId="7FCA60EA" w:rsidR="00A04760" w:rsidRPr="00A04760" w:rsidRDefault="00A04760" w:rsidP="006F0553">
            <w:pPr>
              <w:pStyle w:val="CETBodytext"/>
              <w:ind w:right="-1"/>
              <w:jc w:val="center"/>
              <w:rPr>
                <w:rFonts w:cs="Arial"/>
                <w:szCs w:val="18"/>
                <w:lang w:val="en-GB"/>
              </w:rPr>
            </w:pPr>
            <w:r w:rsidRPr="00DE0DC7">
              <w:rPr>
                <w:rFonts w:cs="Arial"/>
                <w:color w:val="000000"/>
                <w:szCs w:val="18"/>
              </w:rPr>
              <w:t>6.8 ± 0.4</w:t>
            </w:r>
          </w:p>
        </w:tc>
        <w:tc>
          <w:tcPr>
            <w:tcW w:w="1089" w:type="dxa"/>
            <w:tcBorders>
              <w:top w:val="nil"/>
              <w:left w:val="nil"/>
              <w:bottom w:val="nil"/>
              <w:right w:val="nil"/>
            </w:tcBorders>
            <w:shd w:val="clear" w:color="auto" w:fill="auto"/>
            <w:vAlign w:val="bottom"/>
          </w:tcPr>
          <w:p w14:paraId="5C50AEFE" w14:textId="5337339E" w:rsidR="00A04760" w:rsidRPr="00A04760" w:rsidRDefault="00A04760" w:rsidP="006F0553">
            <w:pPr>
              <w:pStyle w:val="CETBodytext"/>
              <w:ind w:right="-1"/>
              <w:jc w:val="center"/>
              <w:rPr>
                <w:rFonts w:cs="Arial"/>
                <w:szCs w:val="18"/>
                <w:lang w:val="en-GB"/>
              </w:rPr>
            </w:pPr>
            <w:r w:rsidRPr="00DE0DC7">
              <w:rPr>
                <w:rFonts w:cs="Arial"/>
                <w:color w:val="000000"/>
                <w:szCs w:val="18"/>
              </w:rPr>
              <w:t>136.1 ± 8.1</w:t>
            </w:r>
          </w:p>
        </w:tc>
        <w:tc>
          <w:tcPr>
            <w:tcW w:w="992" w:type="dxa"/>
            <w:tcBorders>
              <w:top w:val="nil"/>
              <w:left w:val="nil"/>
              <w:bottom w:val="nil"/>
              <w:right w:val="nil"/>
            </w:tcBorders>
            <w:shd w:val="clear" w:color="auto" w:fill="auto"/>
            <w:vAlign w:val="bottom"/>
          </w:tcPr>
          <w:p w14:paraId="5C50AEFF" w14:textId="6A64B6E0" w:rsidR="00A04760" w:rsidRPr="00A04760" w:rsidRDefault="00A04760" w:rsidP="006F0553">
            <w:pPr>
              <w:pStyle w:val="CETBodytext"/>
              <w:ind w:right="-1"/>
              <w:jc w:val="center"/>
              <w:rPr>
                <w:rFonts w:cs="Arial"/>
                <w:szCs w:val="18"/>
                <w:lang w:val="en-GB"/>
              </w:rPr>
            </w:pPr>
            <w:r w:rsidRPr="00DE0DC7">
              <w:rPr>
                <w:rFonts w:cs="Arial"/>
                <w:color w:val="000000"/>
                <w:szCs w:val="18"/>
              </w:rPr>
              <w:t>19.4 ± 1.3</w:t>
            </w:r>
          </w:p>
        </w:tc>
        <w:tc>
          <w:tcPr>
            <w:tcW w:w="1276" w:type="dxa"/>
            <w:tcBorders>
              <w:top w:val="nil"/>
              <w:left w:val="nil"/>
              <w:bottom w:val="nil"/>
              <w:right w:val="nil"/>
            </w:tcBorders>
            <w:shd w:val="clear" w:color="auto" w:fill="auto"/>
            <w:vAlign w:val="bottom"/>
          </w:tcPr>
          <w:p w14:paraId="5C50AF00" w14:textId="5EFE0DF6" w:rsidR="00A04760" w:rsidRPr="00A04760" w:rsidRDefault="00A04760" w:rsidP="006F0553">
            <w:pPr>
              <w:pStyle w:val="CETBodytext"/>
              <w:ind w:right="-1"/>
              <w:jc w:val="center"/>
              <w:rPr>
                <w:rFonts w:cs="Arial"/>
                <w:szCs w:val="18"/>
                <w:lang w:val="en-GB"/>
              </w:rPr>
            </w:pPr>
            <w:r w:rsidRPr="00DE0DC7">
              <w:rPr>
                <w:rFonts w:cs="Arial"/>
                <w:color w:val="000000"/>
                <w:szCs w:val="18"/>
              </w:rPr>
              <w:t>0.18 ± 0.07</w:t>
            </w:r>
          </w:p>
        </w:tc>
      </w:tr>
      <w:tr w:rsidR="00A04760" w:rsidRPr="00F578E8" w14:paraId="5C50AF1C" w14:textId="77777777" w:rsidTr="00161A17">
        <w:tc>
          <w:tcPr>
            <w:tcW w:w="1113" w:type="dxa"/>
            <w:vMerge w:val="restart"/>
            <w:tcBorders>
              <w:right w:val="single" w:sz="4" w:space="0" w:color="008000"/>
            </w:tcBorders>
            <w:shd w:val="clear" w:color="auto" w:fill="FFFFFF"/>
            <w:vAlign w:val="center"/>
          </w:tcPr>
          <w:p w14:paraId="5C50AF14" w14:textId="77777777" w:rsidR="00A04760" w:rsidRPr="00F578E8" w:rsidRDefault="00A04760" w:rsidP="006F0553">
            <w:pPr>
              <w:pStyle w:val="CETBodytext"/>
              <w:ind w:right="-1"/>
              <w:jc w:val="center"/>
              <w:rPr>
                <w:rFonts w:cs="Arial"/>
                <w:szCs w:val="18"/>
                <w:lang w:val="en-GB"/>
              </w:rPr>
            </w:pPr>
            <w:r w:rsidRPr="00F578E8">
              <w:rPr>
                <w:rFonts w:cs="Arial"/>
                <w:szCs w:val="18"/>
                <w:lang w:val="en-GB"/>
              </w:rPr>
              <w:t>Cardoon</w:t>
            </w:r>
          </w:p>
        </w:tc>
        <w:tc>
          <w:tcPr>
            <w:tcW w:w="1297" w:type="dxa"/>
            <w:vMerge/>
            <w:tcBorders>
              <w:left w:val="single" w:sz="4" w:space="0" w:color="008000"/>
            </w:tcBorders>
            <w:shd w:val="clear" w:color="auto" w:fill="FFFFFF"/>
            <w:vAlign w:val="center"/>
          </w:tcPr>
          <w:p w14:paraId="5C50AF15" w14:textId="77777777" w:rsidR="00A04760" w:rsidRDefault="00A04760" w:rsidP="006F0553">
            <w:pPr>
              <w:pStyle w:val="CETBodytext"/>
              <w:ind w:right="-1"/>
              <w:jc w:val="center"/>
              <w:rPr>
                <w:rFonts w:cs="Arial"/>
                <w:szCs w:val="18"/>
                <w:lang w:val="en-GB"/>
              </w:rPr>
            </w:pPr>
          </w:p>
        </w:tc>
        <w:tc>
          <w:tcPr>
            <w:tcW w:w="992" w:type="dxa"/>
            <w:vMerge w:val="restart"/>
            <w:tcBorders>
              <w:top w:val="nil"/>
              <w:bottom w:val="nil"/>
            </w:tcBorders>
            <w:shd w:val="clear" w:color="auto" w:fill="FFFFFF"/>
            <w:vAlign w:val="center"/>
          </w:tcPr>
          <w:p w14:paraId="5C50AF16" w14:textId="77777777" w:rsidR="00A04760" w:rsidRPr="00F578E8" w:rsidRDefault="00A04760" w:rsidP="006F0553">
            <w:pPr>
              <w:pStyle w:val="CETBodytext"/>
              <w:ind w:right="-1"/>
              <w:jc w:val="center"/>
              <w:rPr>
                <w:rFonts w:cs="Arial"/>
                <w:szCs w:val="18"/>
                <w:lang w:val="en-GB"/>
              </w:rPr>
            </w:pPr>
            <w:r w:rsidRPr="00F578E8">
              <w:rPr>
                <w:rFonts w:cs="Arial"/>
                <w:szCs w:val="18"/>
                <w:lang w:val="en-GB"/>
              </w:rPr>
              <w:t>2.5</w:t>
            </w:r>
          </w:p>
        </w:tc>
        <w:tc>
          <w:tcPr>
            <w:tcW w:w="1063" w:type="dxa"/>
            <w:tcBorders>
              <w:top w:val="nil"/>
              <w:bottom w:val="nil"/>
            </w:tcBorders>
            <w:shd w:val="clear" w:color="auto" w:fill="FFFFFF"/>
            <w:vAlign w:val="center"/>
          </w:tcPr>
          <w:p w14:paraId="5C50AF17" w14:textId="77777777" w:rsidR="00A04760" w:rsidRPr="00A04760" w:rsidRDefault="00A04760" w:rsidP="006F0553">
            <w:pPr>
              <w:pStyle w:val="CETBodytext"/>
              <w:ind w:right="-1"/>
              <w:jc w:val="center"/>
              <w:rPr>
                <w:rFonts w:cs="Arial"/>
                <w:szCs w:val="18"/>
                <w:lang w:val="en-GB"/>
              </w:rPr>
            </w:pPr>
            <w:r w:rsidRPr="00A04760">
              <w:rPr>
                <w:rFonts w:cs="Arial"/>
                <w:szCs w:val="18"/>
                <w:lang w:val="en-GB"/>
              </w:rPr>
              <w:t>27.9</w:t>
            </w:r>
          </w:p>
        </w:tc>
        <w:tc>
          <w:tcPr>
            <w:tcW w:w="1109" w:type="dxa"/>
            <w:tcBorders>
              <w:top w:val="nil"/>
              <w:bottom w:val="nil"/>
            </w:tcBorders>
            <w:shd w:val="clear" w:color="auto" w:fill="FFFFFF"/>
            <w:vAlign w:val="center"/>
          </w:tcPr>
          <w:p w14:paraId="5C50AF18" w14:textId="77777777" w:rsidR="00A04760" w:rsidRPr="00A04760" w:rsidRDefault="00A04760" w:rsidP="006F0553">
            <w:pPr>
              <w:pStyle w:val="CETBodytext"/>
              <w:ind w:right="-1"/>
              <w:jc w:val="center"/>
              <w:rPr>
                <w:rFonts w:cs="Arial"/>
                <w:szCs w:val="18"/>
                <w:lang w:val="en-GB"/>
              </w:rPr>
            </w:pPr>
            <w:r w:rsidRPr="00A04760">
              <w:rPr>
                <w:rFonts w:cs="Arial"/>
                <w:szCs w:val="18"/>
                <w:lang w:val="en-GB"/>
              </w:rPr>
              <w:t>6.2</w:t>
            </w:r>
          </w:p>
        </w:tc>
        <w:tc>
          <w:tcPr>
            <w:tcW w:w="1089" w:type="dxa"/>
            <w:tcBorders>
              <w:top w:val="nil"/>
              <w:bottom w:val="nil"/>
              <w:right w:val="single" w:sz="4" w:space="0" w:color="008000"/>
            </w:tcBorders>
            <w:shd w:val="clear" w:color="auto" w:fill="FFFFFF"/>
            <w:vAlign w:val="center"/>
          </w:tcPr>
          <w:p w14:paraId="5C50AF19" w14:textId="77777777" w:rsidR="00A04760" w:rsidRPr="00A04760" w:rsidRDefault="00A04760" w:rsidP="006F0553">
            <w:pPr>
              <w:pStyle w:val="CETBodytext"/>
              <w:ind w:right="-1"/>
              <w:jc w:val="center"/>
              <w:rPr>
                <w:rFonts w:cs="Arial"/>
                <w:szCs w:val="18"/>
                <w:lang w:val="en-GB"/>
              </w:rPr>
            </w:pPr>
            <w:r w:rsidRPr="00A04760">
              <w:rPr>
                <w:rFonts w:cs="Arial"/>
                <w:szCs w:val="18"/>
                <w:lang w:val="en-GB"/>
              </w:rPr>
              <w:t>123.3</w:t>
            </w:r>
          </w:p>
        </w:tc>
        <w:tc>
          <w:tcPr>
            <w:tcW w:w="992" w:type="dxa"/>
            <w:tcBorders>
              <w:top w:val="nil"/>
              <w:left w:val="single" w:sz="4" w:space="0" w:color="008000"/>
              <w:bottom w:val="nil"/>
            </w:tcBorders>
            <w:shd w:val="clear" w:color="auto" w:fill="FFFFFF"/>
            <w:vAlign w:val="center"/>
          </w:tcPr>
          <w:p w14:paraId="5C50AF1A" w14:textId="4FD4B276" w:rsidR="00A04760" w:rsidRPr="00A04760" w:rsidRDefault="00A04760" w:rsidP="006F0553">
            <w:pPr>
              <w:pStyle w:val="CETBodytext"/>
              <w:ind w:right="-1"/>
              <w:jc w:val="center"/>
              <w:rPr>
                <w:rFonts w:cs="Arial"/>
                <w:szCs w:val="18"/>
                <w:lang w:val="en-GB"/>
              </w:rPr>
            </w:pPr>
            <w:r w:rsidRPr="00A04760">
              <w:rPr>
                <w:rFonts w:cs="Arial"/>
                <w:szCs w:val="18"/>
                <w:lang w:val="en-GB"/>
              </w:rPr>
              <w:t>16.1</w:t>
            </w:r>
          </w:p>
        </w:tc>
        <w:tc>
          <w:tcPr>
            <w:tcW w:w="1276" w:type="dxa"/>
            <w:shd w:val="clear" w:color="auto" w:fill="FFFFFF"/>
            <w:vAlign w:val="center"/>
          </w:tcPr>
          <w:p w14:paraId="5C50AF1B" w14:textId="77777777" w:rsidR="00A04760" w:rsidRPr="00A04760" w:rsidRDefault="00A04760" w:rsidP="006F0553">
            <w:pPr>
              <w:pStyle w:val="CETBodytext"/>
              <w:ind w:right="-1"/>
              <w:jc w:val="center"/>
              <w:rPr>
                <w:rFonts w:cs="Arial"/>
                <w:szCs w:val="18"/>
                <w:lang w:val="en-GB"/>
              </w:rPr>
            </w:pPr>
            <w:r w:rsidRPr="00A04760">
              <w:rPr>
                <w:rFonts w:cs="Arial"/>
                <w:szCs w:val="18"/>
                <w:lang w:val="en-GB"/>
              </w:rPr>
              <w:t>0.24</w:t>
            </w:r>
          </w:p>
        </w:tc>
      </w:tr>
      <w:tr w:rsidR="00A04760" w:rsidRPr="00F578E8" w14:paraId="5C50AF25" w14:textId="77777777" w:rsidTr="00161A17">
        <w:tc>
          <w:tcPr>
            <w:tcW w:w="1113" w:type="dxa"/>
            <w:vMerge/>
            <w:tcBorders>
              <w:right w:val="single" w:sz="4" w:space="0" w:color="008000"/>
            </w:tcBorders>
            <w:shd w:val="clear" w:color="auto" w:fill="FFFFFF"/>
          </w:tcPr>
          <w:p w14:paraId="5C50AF1D" w14:textId="77777777" w:rsidR="00A04760" w:rsidRDefault="00A04760" w:rsidP="00A04760">
            <w:pPr>
              <w:pStyle w:val="CETBodytext"/>
              <w:ind w:right="-1"/>
              <w:jc w:val="left"/>
              <w:rPr>
                <w:rFonts w:cs="Arial"/>
                <w:szCs w:val="18"/>
                <w:lang w:val="en-GB"/>
              </w:rPr>
            </w:pPr>
          </w:p>
        </w:tc>
        <w:tc>
          <w:tcPr>
            <w:tcW w:w="1297" w:type="dxa"/>
            <w:vMerge/>
            <w:tcBorders>
              <w:left w:val="single" w:sz="4" w:space="0" w:color="008000"/>
            </w:tcBorders>
            <w:shd w:val="clear" w:color="auto" w:fill="FFFFFF"/>
          </w:tcPr>
          <w:p w14:paraId="5C50AF1E" w14:textId="77777777" w:rsidR="00A04760" w:rsidRDefault="00A04760" w:rsidP="00A04760">
            <w:pPr>
              <w:pStyle w:val="CETBodytext"/>
              <w:ind w:right="-1"/>
              <w:jc w:val="left"/>
              <w:rPr>
                <w:rFonts w:cs="Arial"/>
                <w:szCs w:val="18"/>
                <w:lang w:val="en-GB"/>
              </w:rPr>
            </w:pPr>
          </w:p>
        </w:tc>
        <w:tc>
          <w:tcPr>
            <w:tcW w:w="992" w:type="dxa"/>
            <w:vMerge/>
            <w:tcBorders>
              <w:top w:val="nil"/>
              <w:bottom w:val="nil"/>
            </w:tcBorders>
            <w:shd w:val="clear" w:color="auto" w:fill="FFFFFF"/>
          </w:tcPr>
          <w:p w14:paraId="5C50AF1F" w14:textId="77777777" w:rsidR="00A04760" w:rsidRDefault="00A04760" w:rsidP="00A04760">
            <w:pPr>
              <w:pStyle w:val="CETBodytext"/>
              <w:ind w:right="-1"/>
              <w:jc w:val="left"/>
              <w:rPr>
                <w:rFonts w:cs="Arial"/>
                <w:szCs w:val="18"/>
                <w:lang w:val="en-GB"/>
              </w:rPr>
            </w:pPr>
          </w:p>
        </w:tc>
        <w:tc>
          <w:tcPr>
            <w:tcW w:w="1063" w:type="dxa"/>
            <w:tcBorders>
              <w:top w:val="nil"/>
              <w:bottom w:val="nil"/>
            </w:tcBorders>
            <w:shd w:val="clear" w:color="auto" w:fill="FFFFFF"/>
            <w:vAlign w:val="center"/>
          </w:tcPr>
          <w:p w14:paraId="5C50AF20" w14:textId="46331308" w:rsidR="00A04760" w:rsidRPr="00A04760" w:rsidRDefault="00A04760" w:rsidP="00A04760">
            <w:pPr>
              <w:pStyle w:val="CETBodytext"/>
              <w:ind w:right="-1"/>
              <w:jc w:val="center"/>
              <w:rPr>
                <w:rFonts w:cs="Arial"/>
                <w:szCs w:val="18"/>
                <w:lang w:val="en-GB"/>
              </w:rPr>
            </w:pPr>
            <w:r w:rsidRPr="00A04760">
              <w:rPr>
                <w:rFonts w:cs="Arial"/>
                <w:szCs w:val="18"/>
                <w:lang w:val="en-GB"/>
              </w:rPr>
              <w:t>3</w:t>
            </w:r>
            <w:r w:rsidRPr="00DE0DC7">
              <w:rPr>
                <w:rFonts w:cs="Arial"/>
                <w:szCs w:val="18"/>
                <w:lang w:val="en-GB"/>
              </w:rPr>
              <w:t>2.5</w:t>
            </w:r>
            <w:r>
              <w:rPr>
                <w:rFonts w:cs="Arial"/>
                <w:szCs w:val="18"/>
                <w:lang w:val="en-GB"/>
              </w:rPr>
              <w:t xml:space="preserve"> </w:t>
            </w:r>
            <w:r w:rsidRPr="00DE0DC7">
              <w:rPr>
                <w:rFonts w:cs="Arial"/>
                <w:color w:val="000000"/>
                <w:szCs w:val="18"/>
              </w:rPr>
              <w:t>± 0.7</w:t>
            </w:r>
          </w:p>
        </w:tc>
        <w:tc>
          <w:tcPr>
            <w:tcW w:w="1109" w:type="dxa"/>
            <w:tcBorders>
              <w:top w:val="nil"/>
              <w:bottom w:val="nil"/>
            </w:tcBorders>
            <w:shd w:val="clear" w:color="auto" w:fill="FFFFFF"/>
            <w:vAlign w:val="center"/>
          </w:tcPr>
          <w:p w14:paraId="5C50AF21" w14:textId="45FCCEF9" w:rsidR="00A04760" w:rsidRPr="00A04760" w:rsidRDefault="00A04760" w:rsidP="00A04760">
            <w:pPr>
              <w:pStyle w:val="CETBodytext"/>
              <w:ind w:right="-1"/>
              <w:jc w:val="center"/>
              <w:rPr>
                <w:rFonts w:cs="Arial"/>
                <w:szCs w:val="18"/>
                <w:lang w:val="en-GB"/>
              </w:rPr>
            </w:pPr>
            <w:r w:rsidRPr="00A04760">
              <w:rPr>
                <w:rFonts w:cs="Arial"/>
                <w:szCs w:val="18"/>
                <w:lang w:val="en-GB"/>
              </w:rPr>
              <w:t xml:space="preserve">8.6 </w:t>
            </w:r>
            <w:r w:rsidRPr="00DE0DC7">
              <w:rPr>
                <w:rFonts w:cs="Arial"/>
                <w:color w:val="000000"/>
                <w:szCs w:val="18"/>
              </w:rPr>
              <w:t>± 0.2</w:t>
            </w:r>
          </w:p>
        </w:tc>
        <w:tc>
          <w:tcPr>
            <w:tcW w:w="1089" w:type="dxa"/>
            <w:tcBorders>
              <w:top w:val="nil"/>
              <w:bottom w:val="nil"/>
              <w:right w:val="single" w:sz="4" w:space="0" w:color="008000"/>
            </w:tcBorders>
            <w:shd w:val="clear" w:color="auto" w:fill="FFFFFF"/>
            <w:vAlign w:val="center"/>
          </w:tcPr>
          <w:p w14:paraId="5C50AF22" w14:textId="7B6D4A13" w:rsidR="00A04760" w:rsidRPr="00A04760" w:rsidRDefault="00A04760" w:rsidP="00A04760">
            <w:pPr>
              <w:pStyle w:val="CETBodytext"/>
              <w:ind w:right="-1"/>
              <w:jc w:val="center"/>
              <w:rPr>
                <w:rFonts w:cs="Arial"/>
                <w:szCs w:val="18"/>
                <w:lang w:val="en-GB"/>
              </w:rPr>
            </w:pPr>
            <w:r w:rsidRPr="00A04760">
              <w:rPr>
                <w:rFonts w:cs="Arial"/>
                <w:szCs w:val="18"/>
                <w:lang w:val="en-GB"/>
              </w:rPr>
              <w:t xml:space="preserve">172.5 </w:t>
            </w:r>
            <w:r w:rsidRPr="00DE0DC7">
              <w:rPr>
                <w:rFonts w:cs="Arial"/>
                <w:color w:val="000000"/>
                <w:szCs w:val="18"/>
              </w:rPr>
              <w:t>± 4.2</w:t>
            </w:r>
          </w:p>
        </w:tc>
        <w:tc>
          <w:tcPr>
            <w:tcW w:w="992" w:type="dxa"/>
            <w:tcBorders>
              <w:top w:val="nil"/>
              <w:left w:val="single" w:sz="4" w:space="0" w:color="008000"/>
              <w:bottom w:val="nil"/>
            </w:tcBorders>
            <w:shd w:val="clear" w:color="auto" w:fill="FFFFFF"/>
            <w:vAlign w:val="center"/>
          </w:tcPr>
          <w:p w14:paraId="5C50AF23" w14:textId="0E8FCE43" w:rsidR="00A04760" w:rsidRPr="00A04760" w:rsidRDefault="00A04760" w:rsidP="00A04760">
            <w:pPr>
              <w:pStyle w:val="CETBodytext"/>
              <w:ind w:right="-1"/>
              <w:jc w:val="center"/>
              <w:rPr>
                <w:rFonts w:cs="Arial"/>
                <w:szCs w:val="18"/>
                <w:lang w:val="en-GB"/>
              </w:rPr>
            </w:pPr>
            <w:r w:rsidRPr="00A04760">
              <w:rPr>
                <w:rFonts w:cs="Arial"/>
                <w:szCs w:val="18"/>
                <w:lang w:val="en-GB"/>
              </w:rPr>
              <w:t xml:space="preserve">16.7 </w:t>
            </w:r>
            <w:r w:rsidRPr="00DE0DC7">
              <w:rPr>
                <w:rFonts w:cs="Arial"/>
                <w:color w:val="000000"/>
                <w:szCs w:val="18"/>
              </w:rPr>
              <w:t>± 1.6</w:t>
            </w:r>
          </w:p>
        </w:tc>
        <w:tc>
          <w:tcPr>
            <w:tcW w:w="1276" w:type="dxa"/>
            <w:shd w:val="clear" w:color="auto" w:fill="FFFFFF"/>
            <w:vAlign w:val="center"/>
          </w:tcPr>
          <w:p w14:paraId="5C50AF24" w14:textId="098950E3" w:rsidR="00A04760" w:rsidRPr="00A04760" w:rsidRDefault="00A04760" w:rsidP="00A04760">
            <w:pPr>
              <w:pStyle w:val="CETBodytext"/>
              <w:ind w:right="-1"/>
              <w:jc w:val="center"/>
              <w:rPr>
                <w:rFonts w:cs="Arial"/>
                <w:szCs w:val="18"/>
                <w:lang w:val="en-GB"/>
              </w:rPr>
            </w:pPr>
            <w:r w:rsidRPr="00A04760">
              <w:rPr>
                <w:rFonts w:cs="Arial"/>
                <w:szCs w:val="18"/>
                <w:lang w:val="en-GB"/>
              </w:rPr>
              <w:t xml:space="preserve">0.32 </w:t>
            </w:r>
            <w:r w:rsidRPr="00DE0DC7">
              <w:rPr>
                <w:rFonts w:cs="Arial"/>
                <w:color w:val="000000"/>
                <w:szCs w:val="18"/>
              </w:rPr>
              <w:t>± 0.02</w:t>
            </w:r>
          </w:p>
        </w:tc>
      </w:tr>
      <w:tr w:rsidR="00A04760" w:rsidRPr="00F578E8" w14:paraId="5C50AF40" w14:textId="77777777" w:rsidTr="00161A17">
        <w:tc>
          <w:tcPr>
            <w:tcW w:w="1113" w:type="dxa"/>
            <w:vMerge/>
            <w:tcBorders>
              <w:right w:val="single" w:sz="4" w:space="0" w:color="008000"/>
            </w:tcBorders>
            <w:shd w:val="clear" w:color="auto" w:fill="FFFFFF"/>
          </w:tcPr>
          <w:p w14:paraId="5C50AF38" w14:textId="77777777" w:rsidR="00A04760" w:rsidRDefault="00A04760" w:rsidP="00A04760">
            <w:pPr>
              <w:pStyle w:val="CETBodytext"/>
              <w:ind w:right="-1"/>
              <w:jc w:val="left"/>
              <w:rPr>
                <w:rFonts w:cs="Arial"/>
                <w:szCs w:val="18"/>
                <w:lang w:val="en-GB"/>
              </w:rPr>
            </w:pPr>
          </w:p>
        </w:tc>
        <w:tc>
          <w:tcPr>
            <w:tcW w:w="1297" w:type="dxa"/>
            <w:vMerge/>
            <w:tcBorders>
              <w:left w:val="single" w:sz="4" w:space="0" w:color="008000"/>
              <w:bottom w:val="single" w:sz="12" w:space="0" w:color="008000"/>
            </w:tcBorders>
            <w:shd w:val="clear" w:color="auto" w:fill="FFFFFF"/>
          </w:tcPr>
          <w:p w14:paraId="5C50AF39" w14:textId="77777777" w:rsidR="00A04760" w:rsidRDefault="00A04760" w:rsidP="00A04760">
            <w:pPr>
              <w:pStyle w:val="CETBodytext"/>
              <w:ind w:right="-1"/>
              <w:jc w:val="left"/>
              <w:rPr>
                <w:rFonts w:cs="Arial"/>
                <w:szCs w:val="18"/>
                <w:lang w:val="en-GB"/>
              </w:rPr>
            </w:pPr>
          </w:p>
        </w:tc>
        <w:tc>
          <w:tcPr>
            <w:tcW w:w="992" w:type="dxa"/>
            <w:vMerge/>
            <w:tcBorders>
              <w:top w:val="nil"/>
              <w:bottom w:val="single" w:sz="12" w:space="0" w:color="008000"/>
            </w:tcBorders>
            <w:shd w:val="clear" w:color="auto" w:fill="FFFFFF"/>
          </w:tcPr>
          <w:p w14:paraId="5C50AF3A" w14:textId="77777777" w:rsidR="00A04760" w:rsidRDefault="00A04760" w:rsidP="00A04760">
            <w:pPr>
              <w:pStyle w:val="CETBodytext"/>
              <w:ind w:right="-1"/>
              <w:jc w:val="left"/>
              <w:rPr>
                <w:rFonts w:cs="Arial"/>
                <w:szCs w:val="18"/>
                <w:lang w:val="en-GB"/>
              </w:rPr>
            </w:pPr>
          </w:p>
        </w:tc>
        <w:tc>
          <w:tcPr>
            <w:tcW w:w="1063" w:type="dxa"/>
            <w:tcBorders>
              <w:top w:val="nil"/>
              <w:bottom w:val="single" w:sz="12" w:space="0" w:color="008000"/>
            </w:tcBorders>
            <w:shd w:val="clear" w:color="auto" w:fill="FFFFFF"/>
            <w:vAlign w:val="center"/>
          </w:tcPr>
          <w:p w14:paraId="5C50AF3B" w14:textId="3F86BB50" w:rsidR="00A04760" w:rsidRPr="00A04760" w:rsidRDefault="00A04760" w:rsidP="00A04760">
            <w:pPr>
              <w:pStyle w:val="CETBodytext"/>
              <w:ind w:right="-1"/>
              <w:jc w:val="center"/>
              <w:rPr>
                <w:rFonts w:cs="Arial"/>
                <w:szCs w:val="18"/>
                <w:lang w:val="en-GB"/>
              </w:rPr>
            </w:pPr>
            <w:r w:rsidRPr="00DE0DC7">
              <w:rPr>
                <w:rFonts w:cs="Arial"/>
                <w:szCs w:val="18"/>
                <w:lang w:val="en-GB"/>
              </w:rPr>
              <w:t xml:space="preserve">158.6 </w:t>
            </w:r>
            <w:r w:rsidRPr="00DE0DC7">
              <w:rPr>
                <w:rFonts w:cs="Arial"/>
                <w:color w:val="000000"/>
                <w:szCs w:val="18"/>
              </w:rPr>
              <w:t>± 8.4</w:t>
            </w:r>
          </w:p>
        </w:tc>
        <w:tc>
          <w:tcPr>
            <w:tcW w:w="1109" w:type="dxa"/>
            <w:tcBorders>
              <w:top w:val="nil"/>
              <w:bottom w:val="single" w:sz="12" w:space="0" w:color="008000"/>
            </w:tcBorders>
            <w:shd w:val="clear" w:color="auto" w:fill="FFFFFF"/>
            <w:vAlign w:val="center"/>
          </w:tcPr>
          <w:p w14:paraId="5C50AF3C" w14:textId="6B021C17" w:rsidR="00A04760" w:rsidRPr="00A04760" w:rsidRDefault="00A04760" w:rsidP="00A04760">
            <w:pPr>
              <w:pStyle w:val="CETBodytext"/>
              <w:ind w:right="-1"/>
              <w:jc w:val="center"/>
              <w:rPr>
                <w:rFonts w:cs="Arial"/>
                <w:szCs w:val="18"/>
                <w:lang w:val="en-GB"/>
              </w:rPr>
            </w:pPr>
            <w:r w:rsidRPr="00A04760">
              <w:rPr>
                <w:rFonts w:cs="Arial"/>
                <w:szCs w:val="18"/>
                <w:lang w:val="en-GB"/>
              </w:rPr>
              <w:t xml:space="preserve">31.2 </w:t>
            </w:r>
            <w:r w:rsidRPr="00DE0DC7">
              <w:rPr>
                <w:rFonts w:cs="Arial"/>
                <w:color w:val="000000"/>
                <w:szCs w:val="18"/>
              </w:rPr>
              <w:t>± 0.8</w:t>
            </w:r>
          </w:p>
        </w:tc>
        <w:tc>
          <w:tcPr>
            <w:tcW w:w="1089" w:type="dxa"/>
            <w:tcBorders>
              <w:top w:val="nil"/>
              <w:bottom w:val="single" w:sz="12" w:space="0" w:color="008000"/>
              <w:right w:val="single" w:sz="4" w:space="0" w:color="008000"/>
            </w:tcBorders>
            <w:shd w:val="clear" w:color="auto" w:fill="FFFFFF"/>
            <w:vAlign w:val="center"/>
          </w:tcPr>
          <w:p w14:paraId="5C50AF3D" w14:textId="4C22EDC2" w:rsidR="00A04760" w:rsidRPr="00A04760" w:rsidRDefault="00A04760" w:rsidP="00A04760">
            <w:pPr>
              <w:pStyle w:val="CETBodytext"/>
              <w:ind w:right="-1"/>
              <w:jc w:val="center"/>
              <w:rPr>
                <w:rFonts w:cs="Arial"/>
                <w:szCs w:val="18"/>
                <w:lang w:val="en-GB"/>
              </w:rPr>
            </w:pPr>
            <w:r w:rsidRPr="00A04760">
              <w:rPr>
                <w:rFonts w:cs="Arial"/>
                <w:szCs w:val="18"/>
                <w:lang w:val="en-GB"/>
              </w:rPr>
              <w:t xml:space="preserve">623.5 </w:t>
            </w:r>
            <w:r w:rsidRPr="00DE0DC7">
              <w:rPr>
                <w:rFonts w:cs="Arial"/>
                <w:color w:val="000000"/>
                <w:szCs w:val="18"/>
              </w:rPr>
              <w:t>± 16.5</w:t>
            </w:r>
          </w:p>
        </w:tc>
        <w:tc>
          <w:tcPr>
            <w:tcW w:w="992" w:type="dxa"/>
            <w:tcBorders>
              <w:top w:val="nil"/>
              <w:left w:val="single" w:sz="4" w:space="0" w:color="008000"/>
              <w:bottom w:val="single" w:sz="12" w:space="0" w:color="008000"/>
            </w:tcBorders>
            <w:shd w:val="clear" w:color="auto" w:fill="FFFFFF"/>
            <w:vAlign w:val="center"/>
          </w:tcPr>
          <w:p w14:paraId="5C50AF3E" w14:textId="7308C2AD" w:rsidR="00A04760" w:rsidRPr="00A04760" w:rsidRDefault="00A04760" w:rsidP="00A04760">
            <w:pPr>
              <w:pStyle w:val="CETBodytext"/>
              <w:ind w:right="-1"/>
              <w:jc w:val="center"/>
              <w:rPr>
                <w:rFonts w:cs="Arial"/>
                <w:szCs w:val="18"/>
                <w:lang w:val="en-GB"/>
              </w:rPr>
            </w:pPr>
            <w:r w:rsidRPr="00A04760">
              <w:rPr>
                <w:rFonts w:cs="Arial"/>
                <w:szCs w:val="18"/>
                <w:lang w:val="en-GB"/>
              </w:rPr>
              <w:t xml:space="preserve">58.9 </w:t>
            </w:r>
            <w:r w:rsidRPr="00DE0DC7">
              <w:rPr>
                <w:rFonts w:cs="Arial"/>
                <w:color w:val="000000"/>
                <w:szCs w:val="18"/>
              </w:rPr>
              <w:t>± 3.4</w:t>
            </w:r>
          </w:p>
        </w:tc>
        <w:tc>
          <w:tcPr>
            <w:tcW w:w="1276" w:type="dxa"/>
            <w:shd w:val="clear" w:color="auto" w:fill="FFFFFF"/>
            <w:vAlign w:val="center"/>
          </w:tcPr>
          <w:p w14:paraId="5C50AF3F" w14:textId="7B4ED09E" w:rsidR="00A04760" w:rsidRPr="00A04760" w:rsidRDefault="00A04760" w:rsidP="00A04760">
            <w:pPr>
              <w:pStyle w:val="CETBodytext"/>
              <w:ind w:right="-1"/>
              <w:jc w:val="center"/>
              <w:rPr>
                <w:rFonts w:cs="Arial"/>
                <w:szCs w:val="18"/>
                <w:lang w:val="en-GB"/>
              </w:rPr>
            </w:pPr>
            <w:r w:rsidRPr="00A04760">
              <w:rPr>
                <w:rFonts w:cs="Arial"/>
                <w:szCs w:val="18"/>
                <w:lang w:val="en-GB"/>
              </w:rPr>
              <w:t xml:space="preserve">1.00 </w:t>
            </w:r>
            <w:r w:rsidRPr="00DE0DC7">
              <w:rPr>
                <w:rFonts w:cs="Arial"/>
                <w:color w:val="000000"/>
                <w:szCs w:val="18"/>
              </w:rPr>
              <w:t>± 0.47</w:t>
            </w:r>
          </w:p>
        </w:tc>
      </w:tr>
      <w:bookmarkEnd w:id="1"/>
    </w:tbl>
    <w:p w14:paraId="5C50AF41" w14:textId="77777777" w:rsidR="004B1A75" w:rsidRPr="00F578E8" w:rsidRDefault="004B1A75" w:rsidP="00B367CF">
      <w:pPr>
        <w:pStyle w:val="CETBodytext"/>
      </w:pPr>
    </w:p>
    <w:p w14:paraId="5C50AF42" w14:textId="723BFF2A" w:rsidR="00E63707" w:rsidRDefault="00A04760">
      <w:pPr>
        <w:pStyle w:val="CETBodytext"/>
        <w:rPr>
          <w:rStyle w:val="CETCaptionCarattere"/>
          <w:i w:val="0"/>
          <w:iCs/>
        </w:rPr>
      </w:pPr>
      <w:r>
        <w:rPr>
          <w:noProof/>
        </w:rPr>
        <w:lastRenderedPageBreak/>
        <w:drawing>
          <wp:inline distT="0" distB="0" distL="0" distR="0" wp14:anchorId="6186AAC7" wp14:editId="23038A02">
            <wp:extent cx="5579745" cy="3140075"/>
            <wp:effectExtent l="0" t="0" r="1905" b="3175"/>
            <wp:docPr id="16" name="Immagine 15">
              <a:extLst xmlns:a="http://schemas.openxmlformats.org/drawingml/2006/main">
                <a:ext uri="{FF2B5EF4-FFF2-40B4-BE49-F238E27FC236}">
                  <a16:creationId xmlns:a16="http://schemas.microsoft.com/office/drawing/2014/main" id="{58947526-025F-4100-8FEF-63AE610504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magine 15">
                      <a:extLst>
                        <a:ext uri="{FF2B5EF4-FFF2-40B4-BE49-F238E27FC236}">
                          <a16:creationId xmlns:a16="http://schemas.microsoft.com/office/drawing/2014/main" id="{58947526-025F-4100-8FEF-63AE610504AE}"/>
                        </a:ext>
                      </a:extLst>
                    </pic:cNvPr>
                    <pic:cNvPicPr>
                      <a:picLocks noChangeAspect="1"/>
                    </pic:cNvPicPr>
                  </pic:nvPicPr>
                  <pic:blipFill>
                    <a:blip r:embed="rId13"/>
                    <a:stretch>
                      <a:fillRect/>
                    </a:stretch>
                  </pic:blipFill>
                  <pic:spPr>
                    <a:xfrm>
                      <a:off x="0" y="0"/>
                      <a:ext cx="5579745" cy="3140075"/>
                    </a:xfrm>
                    <a:prstGeom prst="rect">
                      <a:avLst/>
                    </a:prstGeom>
                  </pic:spPr>
                </pic:pic>
              </a:graphicData>
            </a:graphic>
          </wp:inline>
        </w:drawing>
      </w:r>
    </w:p>
    <w:p w14:paraId="5C50AF43" w14:textId="52EB4C60" w:rsidR="00E63707" w:rsidRDefault="00D27733">
      <w:pPr>
        <w:pStyle w:val="CETBodytext"/>
        <w:rPr>
          <w:rStyle w:val="CETCaptionCarattere"/>
          <w:i w:val="0"/>
          <w:iCs/>
        </w:rPr>
      </w:pPr>
      <w:r w:rsidRPr="00F578E8">
        <w:rPr>
          <w:rStyle w:val="CETCaptionCarattere"/>
          <w:i w:val="0"/>
          <w:iCs/>
        </w:rPr>
        <w:t>F</w:t>
      </w:r>
      <w:r w:rsidR="002A3E7C" w:rsidRPr="00F578E8">
        <w:rPr>
          <w:rStyle w:val="CETCaptionCarattere"/>
        </w:rPr>
        <w:t xml:space="preserve">igure 1: </w:t>
      </w:r>
      <w:r w:rsidR="00060CAF">
        <w:rPr>
          <w:rStyle w:val="CETCaptionCarattere"/>
        </w:rPr>
        <w:t>R</w:t>
      </w:r>
      <w:r w:rsidR="00060CAF" w:rsidRPr="00F578E8">
        <w:rPr>
          <w:rStyle w:val="CETCaptionCarattere"/>
        </w:rPr>
        <w:t xml:space="preserve">esults </w:t>
      </w:r>
      <w:r w:rsidR="00F913E1" w:rsidRPr="00F578E8">
        <w:rPr>
          <w:rStyle w:val="CETCaptionCarattere"/>
        </w:rPr>
        <w:t xml:space="preserve">of </w:t>
      </w:r>
      <w:r w:rsidR="00F913E1" w:rsidRPr="00F578E8">
        <w:rPr>
          <w:rStyle w:val="CETCaptionCarattere"/>
          <w:rFonts w:eastAsia="SimSun"/>
        </w:rPr>
        <w:t>a</w:t>
      </w:r>
      <w:r w:rsidR="002A3E7C" w:rsidRPr="00F578E8">
        <w:rPr>
          <w:rStyle w:val="CETCaptionCarattere"/>
          <w:rFonts w:eastAsia="SimSun"/>
        </w:rPr>
        <w:t xml:space="preserve">dsorption tests of PoxA1b </w:t>
      </w:r>
      <w:r w:rsidR="00060CAF">
        <w:rPr>
          <w:rStyle w:val="CETCaptionCarattere"/>
          <w:rFonts w:eastAsia="SimSun"/>
        </w:rPr>
        <w:t xml:space="preserve">vs. time: </w:t>
      </w:r>
      <w:r w:rsidR="00283EBC" w:rsidRPr="00F578E8">
        <w:rPr>
          <w:rStyle w:val="CETCaptionCarattere"/>
          <w:rFonts w:eastAsia="SimSun"/>
        </w:rPr>
        <w:t>A</w:t>
      </w:r>
      <w:r w:rsidR="00060CAF">
        <w:rPr>
          <w:rStyle w:val="CETCaptionCarattere"/>
          <w:rFonts w:eastAsia="SimSun"/>
        </w:rPr>
        <w:t xml:space="preserve"> and </w:t>
      </w:r>
      <w:r w:rsidR="00283EBC" w:rsidRPr="00F578E8">
        <w:rPr>
          <w:rStyle w:val="CETCaptionCarattere"/>
          <w:rFonts w:eastAsia="SimSun"/>
        </w:rPr>
        <w:t xml:space="preserve">B) </w:t>
      </w:r>
      <w:r w:rsidR="002A3E7C" w:rsidRPr="00F578E8">
        <w:rPr>
          <w:rStyle w:val="CETCaptionCarattere"/>
          <w:rFonts w:eastAsia="SimSun"/>
        </w:rPr>
        <w:t>CSS (5% w/v)</w:t>
      </w:r>
      <w:r w:rsidR="002B5E8D" w:rsidRPr="00F578E8">
        <w:rPr>
          <w:rStyle w:val="CETCaptionCarattere"/>
          <w:rFonts w:eastAsia="SimSun"/>
        </w:rPr>
        <w:t>;</w:t>
      </w:r>
      <w:r w:rsidR="002A3E7C" w:rsidRPr="00F578E8">
        <w:rPr>
          <w:rStyle w:val="CETCaptionCarattere"/>
          <w:rFonts w:eastAsia="SimSun"/>
        </w:rPr>
        <w:t xml:space="preserve"> </w:t>
      </w:r>
      <w:r w:rsidR="00283EBC" w:rsidRPr="00F578E8">
        <w:rPr>
          <w:rStyle w:val="CETCaptionCarattere"/>
          <w:rFonts w:eastAsia="SimSun"/>
        </w:rPr>
        <w:t>C</w:t>
      </w:r>
      <w:r w:rsidR="00060CAF">
        <w:rPr>
          <w:rStyle w:val="CETCaptionCarattere"/>
          <w:rFonts w:eastAsia="SimSun"/>
        </w:rPr>
        <w:t xml:space="preserve"> and </w:t>
      </w:r>
      <w:r w:rsidR="00283EBC" w:rsidRPr="00F578E8">
        <w:rPr>
          <w:rStyle w:val="CETCaptionCarattere"/>
          <w:rFonts w:eastAsia="SimSun"/>
        </w:rPr>
        <w:t>D</w:t>
      </w:r>
      <w:r w:rsidR="002A3E7C" w:rsidRPr="00F578E8">
        <w:rPr>
          <w:rStyle w:val="CETCaptionCarattere"/>
          <w:rFonts w:eastAsia="SimSun"/>
        </w:rPr>
        <w:t xml:space="preserve">) </w:t>
      </w:r>
      <w:r w:rsidR="00283EBC" w:rsidRPr="00F578E8">
        <w:rPr>
          <w:rStyle w:val="CETCaptionCarattere"/>
          <w:rFonts w:eastAsia="SimSun"/>
        </w:rPr>
        <w:t>Cardoon (5% w/v</w:t>
      </w:r>
      <w:r w:rsidR="00060CAF">
        <w:rPr>
          <w:rStyle w:val="CETCaptionCarattere"/>
          <w:rFonts w:eastAsia="SimSun"/>
        </w:rPr>
        <w:t>).</w:t>
      </w:r>
      <w:r w:rsidR="00F913E1" w:rsidRPr="00F578E8">
        <w:rPr>
          <w:rStyle w:val="CETCaptionCarattere"/>
          <w:rFonts w:eastAsia="SimSun"/>
        </w:rPr>
        <w:t xml:space="preserve"> </w:t>
      </w:r>
      <w:r w:rsidR="00283EBC" w:rsidRPr="00F578E8">
        <w:rPr>
          <w:rStyle w:val="CETCaptionCarattere"/>
          <w:rFonts w:eastAsia="SimSun"/>
        </w:rPr>
        <w:t>A</w:t>
      </w:r>
      <w:r w:rsidR="00060CAF">
        <w:rPr>
          <w:rStyle w:val="CETCaptionCarattere"/>
          <w:rFonts w:eastAsia="SimSun"/>
        </w:rPr>
        <w:t xml:space="preserve"> and </w:t>
      </w:r>
      <w:r w:rsidR="00283EBC" w:rsidRPr="00F578E8">
        <w:rPr>
          <w:rStyle w:val="CETCaptionCarattere"/>
          <w:rFonts w:eastAsia="SimSun"/>
        </w:rPr>
        <w:t xml:space="preserve">C) </w:t>
      </w:r>
      <w:r w:rsidR="002A3E7C" w:rsidRPr="00F578E8">
        <w:rPr>
          <w:rStyle w:val="CETCaptionCarattere"/>
          <w:rFonts w:eastAsia="SimSun"/>
        </w:rPr>
        <w:t>total protein concentration</w:t>
      </w:r>
      <w:r w:rsidR="00060CAF">
        <w:rPr>
          <w:rStyle w:val="CETCaptionCarattere"/>
          <w:rFonts w:eastAsia="SimSun"/>
        </w:rPr>
        <w:t xml:space="preserve">; </w:t>
      </w:r>
      <w:r w:rsidR="002A3E7C" w:rsidRPr="00F578E8">
        <w:rPr>
          <w:rStyle w:val="CETCaptionCarattere"/>
          <w:rFonts w:eastAsia="SimSun"/>
        </w:rPr>
        <w:t>B</w:t>
      </w:r>
      <w:r w:rsidR="00060CAF">
        <w:rPr>
          <w:rStyle w:val="CETCaptionCarattere"/>
          <w:rFonts w:eastAsia="SimSun"/>
        </w:rPr>
        <w:t xml:space="preserve"> and </w:t>
      </w:r>
      <w:r w:rsidR="00283EBC" w:rsidRPr="00F578E8">
        <w:rPr>
          <w:rStyle w:val="CETCaptionCarattere"/>
          <w:rFonts w:eastAsia="SimSun"/>
        </w:rPr>
        <w:t>D</w:t>
      </w:r>
      <w:r w:rsidR="002A3E7C" w:rsidRPr="00F578E8">
        <w:rPr>
          <w:rStyle w:val="CETCaptionCarattere"/>
          <w:rFonts w:eastAsia="SimSun"/>
        </w:rPr>
        <w:t xml:space="preserve">) </w:t>
      </w:r>
      <w:r w:rsidR="00F913E1" w:rsidRPr="00F578E8">
        <w:rPr>
          <w:rStyle w:val="CETCaptionCarattere"/>
          <w:rFonts w:eastAsia="SimSun"/>
        </w:rPr>
        <w:t xml:space="preserve">laccase </w:t>
      </w:r>
      <w:r w:rsidR="002A3E7C" w:rsidRPr="00F578E8">
        <w:rPr>
          <w:rStyle w:val="CETCaptionCarattere"/>
          <w:rFonts w:eastAsia="SimSun"/>
        </w:rPr>
        <w:t>activity.</w:t>
      </w:r>
      <w:r w:rsidR="003354B1">
        <w:rPr>
          <w:rStyle w:val="CETCaptionCarattere"/>
          <w:rFonts w:eastAsia="SimSun"/>
        </w:rPr>
        <w:t xml:space="preserve"> Tests were made as duplicates according to the enzyme stock availability. Single initial PoxA1b concentrations are reported in Table</w:t>
      </w:r>
      <w:r w:rsidR="00AB27B1">
        <w:rPr>
          <w:rStyle w:val="CETCaptionCarattere"/>
          <w:rFonts w:eastAsia="SimSun"/>
        </w:rPr>
        <w:t xml:space="preserve"> </w:t>
      </w:r>
      <w:r w:rsidR="003354B1">
        <w:rPr>
          <w:rStyle w:val="CETCaptionCarattere"/>
          <w:rFonts w:eastAsia="SimSun"/>
        </w:rPr>
        <w:t>2</w:t>
      </w:r>
      <w:r w:rsidR="00AB27B1">
        <w:rPr>
          <w:rStyle w:val="CETCaptionCarattere"/>
          <w:rFonts w:eastAsia="SimSun"/>
        </w:rPr>
        <w:t>.</w:t>
      </w:r>
    </w:p>
    <w:p w14:paraId="5C50AF44" w14:textId="77777777" w:rsidR="00B8427A" w:rsidRPr="00F578E8" w:rsidRDefault="00B8427A" w:rsidP="004667F1">
      <w:pPr>
        <w:pStyle w:val="CETBodytext"/>
        <w:rPr>
          <w:rStyle w:val="CETCaptionCarattere"/>
          <w:rFonts w:eastAsia="SimSun"/>
        </w:rPr>
      </w:pPr>
    </w:p>
    <w:p w14:paraId="5C50AF45" w14:textId="71AC0C7D" w:rsidR="00CB0005" w:rsidRPr="00F578E8" w:rsidRDefault="00D64350" w:rsidP="00540D2B">
      <w:pPr>
        <w:pStyle w:val="CETheadingx"/>
      </w:pPr>
      <w:r w:rsidRPr="00F578E8">
        <w:t>Enzymatic hydrolysis of laccase</w:t>
      </w:r>
      <w:r w:rsidR="00060CAF">
        <w:t>-pretreated</w:t>
      </w:r>
      <w:r w:rsidRPr="00F578E8">
        <w:t xml:space="preserve"> biomasses</w:t>
      </w:r>
    </w:p>
    <w:p w14:paraId="421EEEB9" w14:textId="68AB3BFD" w:rsidR="006C66F6" w:rsidRDefault="00EB3FE5" w:rsidP="00A26801">
      <w:pPr>
        <w:pStyle w:val="Paragrafoelenco"/>
        <w:ind w:left="0"/>
        <w:rPr>
          <w:lang w:val="en-US"/>
        </w:rPr>
      </w:pPr>
      <w:r w:rsidRPr="00EB3FE5">
        <w:rPr>
          <w:lang w:val="en-US"/>
        </w:rPr>
        <w:t xml:space="preserve">Enzymatic hydrolysis tests were carried out </w:t>
      </w:r>
      <w:r w:rsidR="00060CAF">
        <w:rPr>
          <w:lang w:val="en-US"/>
        </w:rPr>
        <w:t xml:space="preserve">with </w:t>
      </w:r>
      <w:r w:rsidRPr="00EB3FE5">
        <w:rPr>
          <w:lang w:val="en-US"/>
        </w:rPr>
        <w:t>CSS and cardoon pre-treated with PoxA1b (</w:t>
      </w:r>
      <w:r w:rsidR="00E757A0">
        <w:rPr>
          <w:lang w:val="en-US"/>
        </w:rPr>
        <w:t xml:space="preserve">average loading </w:t>
      </w:r>
      <w:r w:rsidRPr="00EB3FE5">
        <w:rPr>
          <w:lang w:val="en-US"/>
        </w:rPr>
        <w:t xml:space="preserve">17.2 U/g and </w:t>
      </w:r>
      <w:r w:rsidR="00847E75">
        <w:rPr>
          <w:lang w:val="en-US"/>
        </w:rPr>
        <w:t>136.1</w:t>
      </w:r>
      <w:r w:rsidRPr="00EB3FE5">
        <w:rPr>
          <w:lang w:val="en-US"/>
        </w:rPr>
        <w:t xml:space="preserve"> U/g</w:t>
      </w:r>
      <w:r w:rsidR="0043560C">
        <w:rPr>
          <w:lang w:val="en-US"/>
        </w:rPr>
        <w:t>)</w:t>
      </w:r>
      <w:r w:rsidRPr="00EB3FE5">
        <w:rPr>
          <w:lang w:val="en-US"/>
        </w:rPr>
        <w:t>. Cellulase adsorption and maximum monomeric glucose yield (assessed at 24h and 48h for cardoon and CSS</w:t>
      </w:r>
      <w:r w:rsidR="00060CAF">
        <w:rPr>
          <w:lang w:val="en-US"/>
        </w:rPr>
        <w:t>,</w:t>
      </w:r>
      <w:r w:rsidRPr="00EB3FE5">
        <w:rPr>
          <w:lang w:val="en-US"/>
        </w:rPr>
        <w:t xml:space="preserve"> respectively) are reported in Table 3. Xylose yields followed the same trend </w:t>
      </w:r>
      <w:r w:rsidR="001654B9">
        <w:rPr>
          <w:lang w:val="en-US"/>
        </w:rPr>
        <w:t>as</w:t>
      </w:r>
      <w:r w:rsidRPr="00EB3FE5">
        <w:rPr>
          <w:lang w:val="en-US"/>
        </w:rPr>
        <w:t xml:space="preserve"> glucose yield (data not reported). </w:t>
      </w:r>
    </w:p>
    <w:p w14:paraId="5C50AF46" w14:textId="02EEAEBC" w:rsidR="00A26801" w:rsidRPr="00F578E8" w:rsidRDefault="00637568" w:rsidP="00A26801">
      <w:pPr>
        <w:pStyle w:val="Paragrafoelenco"/>
        <w:ind w:left="0"/>
        <w:rPr>
          <w:lang w:val="en-US"/>
        </w:rPr>
      </w:pPr>
      <w:r>
        <w:rPr>
          <w:lang w:val="en-US"/>
        </w:rPr>
        <w:t xml:space="preserve">For tests carried out with </w:t>
      </w:r>
      <w:r w:rsidR="00EB3FE5" w:rsidRPr="00EB3FE5">
        <w:rPr>
          <w:lang w:val="en-US"/>
        </w:rPr>
        <w:t xml:space="preserve">CSS, </w:t>
      </w:r>
      <w:r>
        <w:rPr>
          <w:lang w:val="en-US"/>
        </w:rPr>
        <w:t xml:space="preserve">as the concentration of the </w:t>
      </w:r>
      <w:r w:rsidRPr="00EB3FE5">
        <w:rPr>
          <w:lang w:val="en-US"/>
        </w:rPr>
        <w:t xml:space="preserve">PoxA1b </w:t>
      </w:r>
      <w:r>
        <w:rPr>
          <w:lang w:val="en-US"/>
        </w:rPr>
        <w:t>set</w:t>
      </w:r>
      <w:r w:rsidRPr="00EB3FE5">
        <w:rPr>
          <w:lang w:val="en-US"/>
        </w:rPr>
        <w:t xml:space="preserve"> in the pretreatment increased from 17.2 to </w:t>
      </w:r>
      <w:r>
        <w:rPr>
          <w:lang w:val="en-US"/>
        </w:rPr>
        <w:t>136.1</w:t>
      </w:r>
      <w:r w:rsidRPr="00EB3FE5">
        <w:rPr>
          <w:lang w:val="en-US"/>
        </w:rPr>
        <w:t xml:space="preserve"> mg/L </w:t>
      </w:r>
      <w:r>
        <w:rPr>
          <w:lang w:val="en-US"/>
        </w:rPr>
        <w:t xml:space="preserve">the </w:t>
      </w:r>
      <w:r w:rsidR="00EB3FE5" w:rsidRPr="00EB3FE5">
        <w:rPr>
          <w:lang w:val="en-US"/>
        </w:rPr>
        <w:t>adsorbed cellulases decreased</w:t>
      </w:r>
      <w:r w:rsidR="002C0DDE">
        <w:rPr>
          <w:lang w:val="en-US"/>
        </w:rPr>
        <w:t>.</w:t>
      </w:r>
      <w:r w:rsidR="00EB3FE5" w:rsidRPr="00EB3FE5">
        <w:rPr>
          <w:lang w:val="en-US"/>
        </w:rPr>
        <w:t xml:space="preserve"> </w:t>
      </w:r>
      <w:r w:rsidR="00AF779C">
        <w:rPr>
          <w:lang w:val="en-US"/>
        </w:rPr>
        <w:t xml:space="preserve">Accordingly, </w:t>
      </w:r>
      <w:r w:rsidR="002C0DDE">
        <w:rPr>
          <w:lang w:val="en-US"/>
        </w:rPr>
        <w:t>a</w:t>
      </w:r>
      <w:r w:rsidR="002C0DDE" w:rsidRPr="00EB3FE5">
        <w:rPr>
          <w:lang w:val="en-US"/>
        </w:rPr>
        <w:t xml:space="preserve"> substantial decrease in glucose yield </w:t>
      </w:r>
      <w:r w:rsidR="00AE0B82" w:rsidRPr="00EB3FE5">
        <w:rPr>
          <w:lang w:val="en-US"/>
        </w:rPr>
        <w:t xml:space="preserve">upon enzymatic hydrolysis </w:t>
      </w:r>
      <w:r w:rsidR="002C0DDE" w:rsidRPr="00EB3FE5">
        <w:rPr>
          <w:lang w:val="en-US"/>
        </w:rPr>
        <w:t>was assessed.</w:t>
      </w:r>
      <w:r w:rsidR="00234152">
        <w:rPr>
          <w:lang w:val="en-US"/>
        </w:rPr>
        <w:t xml:space="preserve"> The lowest concentration of PoxA1B (17.2 U/g) provided a</w:t>
      </w:r>
      <w:r w:rsidR="004A5B17">
        <w:rPr>
          <w:lang w:val="en-US"/>
        </w:rPr>
        <w:t xml:space="preserve">n increase </w:t>
      </w:r>
      <w:r w:rsidR="00433A94">
        <w:rPr>
          <w:lang w:val="en-US"/>
        </w:rPr>
        <w:t xml:space="preserve">(17-32%) </w:t>
      </w:r>
      <w:r w:rsidR="004A5B17">
        <w:rPr>
          <w:lang w:val="en-US"/>
        </w:rPr>
        <w:t xml:space="preserve">of the glucose yield compared </w:t>
      </w:r>
      <w:r w:rsidR="00763CDD">
        <w:rPr>
          <w:lang w:val="en-US"/>
        </w:rPr>
        <w:t xml:space="preserve">to </w:t>
      </w:r>
      <w:r w:rsidR="004A5B17">
        <w:rPr>
          <w:lang w:val="en-US"/>
        </w:rPr>
        <w:t xml:space="preserve">the value obtained from </w:t>
      </w:r>
      <w:r w:rsidR="00220F32">
        <w:rPr>
          <w:lang w:val="en-US"/>
        </w:rPr>
        <w:t xml:space="preserve">enzymatic hydrolysis of raw CSS. </w:t>
      </w:r>
      <w:r>
        <w:rPr>
          <w:lang w:val="en-US"/>
        </w:rPr>
        <w:t xml:space="preserve">For tests carried out with </w:t>
      </w:r>
      <w:r w:rsidR="00340A44">
        <w:rPr>
          <w:lang w:val="en-US"/>
        </w:rPr>
        <w:t>C</w:t>
      </w:r>
      <w:r w:rsidR="00EB3FE5" w:rsidRPr="00EB3FE5">
        <w:rPr>
          <w:lang w:val="en-US"/>
        </w:rPr>
        <w:t>ardoon</w:t>
      </w:r>
      <w:r>
        <w:rPr>
          <w:lang w:val="en-US"/>
        </w:rPr>
        <w:t>,</w:t>
      </w:r>
      <w:r w:rsidR="00EB3FE5" w:rsidRPr="00EB3FE5">
        <w:rPr>
          <w:lang w:val="en-US"/>
        </w:rPr>
        <w:t xml:space="preserve"> no significant variation in cellulase adsorption and maximum glucose yield upon PoxA1b </w:t>
      </w:r>
      <w:r w:rsidR="00EB3FE5" w:rsidRPr="00EB3FE5">
        <w:rPr>
          <w:lang w:val="en-US"/>
        </w:rPr>
        <w:lastRenderedPageBreak/>
        <w:t xml:space="preserve">pretreatment </w:t>
      </w:r>
      <w:r w:rsidR="006C66F6">
        <w:rPr>
          <w:lang w:val="en-US"/>
        </w:rPr>
        <w:t xml:space="preserve">was observed and they were about those assessed for </w:t>
      </w:r>
      <w:r w:rsidR="00EB3FE5" w:rsidRPr="00EB3FE5">
        <w:rPr>
          <w:lang w:val="en-US"/>
        </w:rPr>
        <w:t>raw sample</w:t>
      </w:r>
      <w:r w:rsidR="006C66F6">
        <w:rPr>
          <w:lang w:val="en-US"/>
        </w:rPr>
        <w:t>s</w:t>
      </w:r>
      <w:r w:rsidR="00EB3FE5" w:rsidRPr="00EB3FE5">
        <w:rPr>
          <w:lang w:val="en-US"/>
        </w:rPr>
        <w:t xml:space="preserve">. </w:t>
      </w:r>
      <w:r w:rsidR="006C66F6">
        <w:rPr>
          <w:lang w:val="en-US"/>
        </w:rPr>
        <w:t>The</w:t>
      </w:r>
      <w:r w:rsidR="00EB3FE5" w:rsidRPr="00EB3FE5">
        <w:rPr>
          <w:lang w:val="en-US"/>
        </w:rPr>
        <w:t xml:space="preserve"> increase of PoxA1b initial concentration (from </w:t>
      </w:r>
      <w:r w:rsidR="00EB3FE5" w:rsidRPr="00232071">
        <w:rPr>
          <w:lang w:val="en-US"/>
        </w:rPr>
        <w:t xml:space="preserve">168-176 to 607-640 mg/L) provided </w:t>
      </w:r>
      <w:r w:rsidR="006C66F6">
        <w:rPr>
          <w:lang w:val="en-US"/>
        </w:rPr>
        <w:t xml:space="preserve">the </w:t>
      </w:r>
      <w:r w:rsidR="00EB3FE5" w:rsidRPr="00232071">
        <w:rPr>
          <w:lang w:val="en-US"/>
        </w:rPr>
        <w:t xml:space="preserve">increase in the amount of adsorbed cellulases </w:t>
      </w:r>
      <w:r w:rsidR="006C66F6">
        <w:rPr>
          <w:lang w:val="en-US"/>
        </w:rPr>
        <w:t xml:space="preserve">for biomass weight unit </w:t>
      </w:r>
      <w:r w:rsidR="00EB3FE5" w:rsidRPr="00232071">
        <w:rPr>
          <w:lang w:val="en-US"/>
        </w:rPr>
        <w:t xml:space="preserve">(from about 5 to 8 mg/g). Despite being strongly influenced by the complex formulation of the commercial cellulase cocktail </w:t>
      </w:r>
      <w:proofErr w:type="spellStart"/>
      <w:r w:rsidR="00EB3FE5" w:rsidRPr="00232071">
        <w:rPr>
          <w:lang w:val="en-US"/>
        </w:rPr>
        <w:t>Cellic</w:t>
      </w:r>
      <w:proofErr w:type="spellEnd"/>
      <w:r w:rsidR="00EB3FE5" w:rsidRPr="00232071">
        <w:rPr>
          <w:lang w:val="en-US"/>
        </w:rPr>
        <w:t>® CTec2, this evidence suggests that any chemical modification of the lignin fraction by laccase (</w:t>
      </w:r>
      <w:proofErr w:type="spellStart"/>
      <w:r w:rsidR="00EB3FE5" w:rsidRPr="00232071">
        <w:rPr>
          <w:lang w:val="en-US"/>
        </w:rPr>
        <w:t>Fillat</w:t>
      </w:r>
      <w:proofErr w:type="spellEnd"/>
      <w:r w:rsidR="00EB3FE5" w:rsidRPr="00232071">
        <w:rPr>
          <w:lang w:val="en-US"/>
        </w:rPr>
        <w:t xml:space="preserve"> et al., 2017) may affect the adsorption of cellulases. Therefore, efforts </w:t>
      </w:r>
      <w:r w:rsidR="006C66F6">
        <w:rPr>
          <w:lang w:val="en-US"/>
        </w:rPr>
        <w:t xml:space="preserve">should </w:t>
      </w:r>
      <w:r w:rsidR="00EB3FE5" w:rsidRPr="00232071">
        <w:rPr>
          <w:lang w:val="en-US"/>
        </w:rPr>
        <w:t xml:space="preserve">be focused on </w:t>
      </w:r>
      <w:r w:rsidR="006C66F6">
        <w:rPr>
          <w:lang w:val="en-US"/>
        </w:rPr>
        <w:t xml:space="preserve">assessing </w:t>
      </w:r>
      <w:r w:rsidR="00EB3FE5" w:rsidRPr="00232071">
        <w:rPr>
          <w:lang w:val="en-US"/>
        </w:rPr>
        <w:t xml:space="preserve">if the action of laccases drives toward a lower affinity of lignin to cellulases (more generally proteins) adsorption. This type of pretreatment can be applied to both raw LBs or to LBs pretreated with </w:t>
      </w:r>
      <w:proofErr w:type="spellStart"/>
      <w:r w:rsidR="00EB3FE5" w:rsidRPr="00232071">
        <w:rPr>
          <w:lang w:val="en-US"/>
        </w:rPr>
        <w:t>physico</w:t>
      </w:r>
      <w:proofErr w:type="spellEnd"/>
      <w:r w:rsidR="00EB3FE5" w:rsidRPr="00232071">
        <w:rPr>
          <w:lang w:val="en-US"/>
        </w:rPr>
        <w:t>-chemical processes, hence on the residual lignin that still contributes to the unproductive binding of cellulases.</w:t>
      </w:r>
    </w:p>
    <w:p w14:paraId="5C50AF47" w14:textId="77777777" w:rsidR="00A26801" w:rsidRPr="00F578E8" w:rsidRDefault="00A26801" w:rsidP="00A26801">
      <w:pPr>
        <w:pStyle w:val="Paragrafoelenco"/>
        <w:ind w:left="0"/>
        <w:rPr>
          <w:lang w:val="en-US"/>
        </w:rPr>
      </w:pPr>
    </w:p>
    <w:p w14:paraId="5C50AF48" w14:textId="2C2139AD" w:rsidR="00E63707" w:rsidRDefault="00A26801" w:rsidP="00E757A0">
      <w:pPr>
        <w:pStyle w:val="Paragrafoelenco"/>
        <w:ind w:left="0"/>
        <w:jc w:val="left"/>
        <w:rPr>
          <w:lang w:val="en-US"/>
        </w:rPr>
      </w:pPr>
      <w:r w:rsidRPr="00F578E8">
        <w:rPr>
          <w:i/>
        </w:rPr>
        <w:t xml:space="preserve">Table 3: Hydrolysis of </w:t>
      </w:r>
      <w:r w:rsidR="00F7044D">
        <w:rPr>
          <w:i/>
        </w:rPr>
        <w:t xml:space="preserve">the investigated </w:t>
      </w:r>
      <w:r w:rsidR="00B51A14" w:rsidRPr="00F578E8">
        <w:rPr>
          <w:i/>
        </w:rPr>
        <w:t xml:space="preserve">LBs pretreated with PoxA1b. </w:t>
      </w:r>
    </w:p>
    <w:tbl>
      <w:tblPr>
        <w:tblW w:w="0" w:type="auto"/>
        <w:tblBorders>
          <w:top w:val="single" w:sz="12" w:space="0" w:color="008000"/>
          <w:bottom w:val="single" w:sz="12" w:space="0" w:color="008000"/>
        </w:tblBorders>
        <w:tblCellMar>
          <w:left w:w="0" w:type="dxa"/>
          <w:right w:w="0" w:type="dxa"/>
        </w:tblCellMar>
        <w:tblLook w:val="00A0" w:firstRow="1" w:lastRow="0" w:firstColumn="1" w:lastColumn="0" w:noHBand="0" w:noVBand="0"/>
      </w:tblPr>
      <w:tblGrid>
        <w:gridCol w:w="1134"/>
        <w:gridCol w:w="1134"/>
        <w:gridCol w:w="1276"/>
        <w:gridCol w:w="1276"/>
        <w:gridCol w:w="1134"/>
      </w:tblGrid>
      <w:tr w:rsidR="00A568B4" w:rsidRPr="00F578E8" w14:paraId="5C50AF4E" w14:textId="77777777" w:rsidTr="001D6899">
        <w:tc>
          <w:tcPr>
            <w:tcW w:w="1134" w:type="dxa"/>
            <w:tcBorders>
              <w:top w:val="single" w:sz="12" w:space="0" w:color="008000"/>
              <w:bottom w:val="single" w:sz="6" w:space="0" w:color="008000"/>
            </w:tcBorders>
            <w:shd w:val="clear" w:color="auto" w:fill="FFFFFF"/>
          </w:tcPr>
          <w:p w14:paraId="5C50AF49" w14:textId="77777777" w:rsidR="00E63707" w:rsidRDefault="00A568B4" w:rsidP="00E757A0">
            <w:pPr>
              <w:jc w:val="left"/>
            </w:pPr>
            <w:r w:rsidRPr="00F578E8">
              <w:t>Biomass</w:t>
            </w:r>
          </w:p>
        </w:tc>
        <w:tc>
          <w:tcPr>
            <w:tcW w:w="1134" w:type="dxa"/>
            <w:tcBorders>
              <w:top w:val="single" w:sz="12" w:space="0" w:color="008000"/>
              <w:bottom w:val="single" w:sz="6" w:space="0" w:color="008000"/>
            </w:tcBorders>
            <w:shd w:val="clear" w:color="auto" w:fill="FFFFFF"/>
            <w:vAlign w:val="center"/>
          </w:tcPr>
          <w:p w14:paraId="5D9F7D5E" w14:textId="11AE6822" w:rsidR="00F7044D" w:rsidRDefault="00A568B4" w:rsidP="00F7044D">
            <w:pPr>
              <w:jc w:val="center"/>
            </w:pPr>
            <w:r w:rsidRPr="00F578E8">
              <w:t>PoxA1b</w:t>
            </w:r>
          </w:p>
          <w:p w14:paraId="5C50AF4A" w14:textId="165F35CB" w:rsidR="00E63707" w:rsidRDefault="00A568B4" w:rsidP="001D6899">
            <w:pPr>
              <w:jc w:val="center"/>
            </w:pPr>
            <w:r w:rsidRPr="00F578E8">
              <w:t>U/g</w:t>
            </w:r>
          </w:p>
        </w:tc>
        <w:tc>
          <w:tcPr>
            <w:tcW w:w="1276" w:type="dxa"/>
            <w:tcBorders>
              <w:top w:val="single" w:sz="12" w:space="0" w:color="008000"/>
              <w:bottom w:val="single" w:sz="6" w:space="0" w:color="008000"/>
            </w:tcBorders>
            <w:shd w:val="clear" w:color="auto" w:fill="FFFFFF"/>
            <w:vAlign w:val="center"/>
          </w:tcPr>
          <w:p w14:paraId="742FCF4F" w14:textId="6ADDA25C" w:rsidR="00F7044D" w:rsidRDefault="00B51A14" w:rsidP="00F7044D">
            <w:pPr>
              <w:jc w:val="center"/>
            </w:pPr>
            <w:r w:rsidRPr="00F578E8">
              <w:t>Initial Cellulase</w:t>
            </w:r>
          </w:p>
          <w:p w14:paraId="5C50AF4B" w14:textId="54B82673" w:rsidR="00A568B4" w:rsidRPr="00F578E8" w:rsidRDefault="00A568B4" w:rsidP="001D6899">
            <w:pPr>
              <w:jc w:val="center"/>
            </w:pPr>
            <w:r w:rsidRPr="00F578E8">
              <w:t>g/L</w:t>
            </w:r>
          </w:p>
        </w:tc>
        <w:tc>
          <w:tcPr>
            <w:tcW w:w="1276" w:type="dxa"/>
            <w:tcBorders>
              <w:top w:val="single" w:sz="12" w:space="0" w:color="008000"/>
              <w:bottom w:val="single" w:sz="6" w:space="0" w:color="008000"/>
            </w:tcBorders>
            <w:shd w:val="clear" w:color="auto" w:fill="FFFFFF"/>
            <w:vAlign w:val="center"/>
          </w:tcPr>
          <w:p w14:paraId="28EC55B4" w14:textId="53AAA499" w:rsidR="00F7044D" w:rsidRDefault="00A568B4" w:rsidP="00F7044D">
            <w:pPr>
              <w:jc w:val="center"/>
            </w:pPr>
            <w:r w:rsidRPr="00F578E8">
              <w:t>Adsorbed cellulases</w:t>
            </w:r>
          </w:p>
          <w:p w14:paraId="5C50AF4C" w14:textId="35CAAA8A" w:rsidR="00E63707" w:rsidRDefault="00A568B4" w:rsidP="001D6899">
            <w:pPr>
              <w:jc w:val="center"/>
            </w:pPr>
            <w:r w:rsidRPr="00F578E8">
              <w:t>mg/g</w:t>
            </w:r>
          </w:p>
        </w:tc>
        <w:tc>
          <w:tcPr>
            <w:tcW w:w="1134" w:type="dxa"/>
            <w:tcBorders>
              <w:top w:val="single" w:sz="12" w:space="0" w:color="008000"/>
              <w:bottom w:val="single" w:sz="6" w:space="0" w:color="008000"/>
            </w:tcBorders>
            <w:shd w:val="clear" w:color="auto" w:fill="FFFFFF"/>
            <w:vAlign w:val="center"/>
          </w:tcPr>
          <w:p w14:paraId="4C7BA9BF" w14:textId="5017805C" w:rsidR="00F7044D" w:rsidRDefault="00EC28F6" w:rsidP="00F7044D">
            <w:pPr>
              <w:ind w:right="-1"/>
              <w:jc w:val="center"/>
              <w:rPr>
                <w:rFonts w:cs="Arial"/>
                <w:szCs w:val="18"/>
              </w:rPr>
            </w:pPr>
            <w:r w:rsidRPr="00F578E8">
              <w:rPr>
                <w:rFonts w:cs="Arial"/>
                <w:szCs w:val="18"/>
              </w:rPr>
              <w:t xml:space="preserve">Maximum </w:t>
            </w:r>
            <w:r w:rsidR="00F7044D">
              <w:rPr>
                <w:rFonts w:cs="Arial"/>
                <w:szCs w:val="18"/>
              </w:rPr>
              <w:t>g</w:t>
            </w:r>
            <w:r w:rsidR="00A568B4" w:rsidRPr="00F578E8">
              <w:rPr>
                <w:rFonts w:cs="Arial"/>
                <w:szCs w:val="18"/>
              </w:rPr>
              <w:t>lucose yield</w:t>
            </w:r>
          </w:p>
          <w:p w14:paraId="5C50AF4D" w14:textId="4DF85FAF" w:rsidR="00E63707" w:rsidRDefault="00A568B4" w:rsidP="001D6899">
            <w:pPr>
              <w:ind w:right="-1"/>
              <w:jc w:val="center"/>
              <w:rPr>
                <w:rFonts w:cs="Arial"/>
                <w:szCs w:val="18"/>
              </w:rPr>
            </w:pPr>
            <w:r w:rsidRPr="00F578E8">
              <w:rPr>
                <w:rFonts w:cs="Arial"/>
                <w:szCs w:val="18"/>
              </w:rPr>
              <w:t>%</w:t>
            </w:r>
          </w:p>
        </w:tc>
      </w:tr>
      <w:tr w:rsidR="00F7044D" w:rsidRPr="00F578E8" w14:paraId="6AEAF17F" w14:textId="77777777" w:rsidTr="00F7044D">
        <w:tc>
          <w:tcPr>
            <w:tcW w:w="1134" w:type="dxa"/>
            <w:vMerge w:val="restart"/>
            <w:shd w:val="clear" w:color="auto" w:fill="FFFFFF"/>
            <w:vAlign w:val="center"/>
          </w:tcPr>
          <w:p w14:paraId="7014BA13" w14:textId="5BC76556" w:rsidR="00F7044D" w:rsidRPr="00F578E8" w:rsidRDefault="00F7044D" w:rsidP="00F7044D">
            <w:pPr>
              <w:jc w:val="left"/>
            </w:pPr>
            <w:r w:rsidRPr="00F578E8">
              <w:t>CSS</w:t>
            </w:r>
          </w:p>
        </w:tc>
        <w:tc>
          <w:tcPr>
            <w:tcW w:w="1134" w:type="dxa"/>
            <w:shd w:val="clear" w:color="auto" w:fill="FFFFFF"/>
            <w:vAlign w:val="center"/>
          </w:tcPr>
          <w:p w14:paraId="66336017" w14:textId="65455F98" w:rsidR="00F7044D" w:rsidRPr="00F578E8" w:rsidRDefault="00F7044D" w:rsidP="00F7044D">
            <w:pPr>
              <w:jc w:val="center"/>
            </w:pPr>
            <w:r w:rsidRPr="00F578E8">
              <w:rPr>
                <w:rFonts w:cs="Arial"/>
                <w:szCs w:val="18"/>
              </w:rPr>
              <w:t>0*</w:t>
            </w:r>
          </w:p>
        </w:tc>
        <w:tc>
          <w:tcPr>
            <w:tcW w:w="1276" w:type="dxa"/>
            <w:shd w:val="clear" w:color="auto" w:fill="FFFFFF"/>
            <w:vAlign w:val="center"/>
          </w:tcPr>
          <w:p w14:paraId="5BFA2F7D" w14:textId="4816A19E" w:rsidR="00F7044D" w:rsidRPr="00F578E8" w:rsidRDefault="00B6673C" w:rsidP="00F7044D">
            <w:pPr>
              <w:jc w:val="center"/>
            </w:pPr>
            <w:r>
              <w:rPr>
                <w:rFonts w:cs="Arial"/>
                <w:szCs w:val="18"/>
              </w:rPr>
              <w:t>0.02</w:t>
            </w:r>
            <w:r w:rsidR="00F7044D" w:rsidRPr="00F578E8">
              <w:rPr>
                <w:rFonts w:cs="Arial"/>
                <w:szCs w:val="18"/>
              </w:rPr>
              <w:t>*</w:t>
            </w:r>
          </w:p>
        </w:tc>
        <w:tc>
          <w:tcPr>
            <w:tcW w:w="1276" w:type="dxa"/>
            <w:shd w:val="clear" w:color="auto" w:fill="FFFFFF"/>
            <w:vAlign w:val="center"/>
          </w:tcPr>
          <w:p w14:paraId="27FCC626" w14:textId="796B4305" w:rsidR="00F7044D" w:rsidRPr="00F578E8" w:rsidRDefault="00B6673C" w:rsidP="00F7044D">
            <w:pPr>
              <w:jc w:val="center"/>
            </w:pPr>
            <w:r>
              <w:rPr>
                <w:rFonts w:cs="Arial"/>
                <w:szCs w:val="18"/>
              </w:rPr>
              <w:t>n.a.</w:t>
            </w:r>
            <w:r w:rsidR="00F7044D" w:rsidRPr="00F578E8">
              <w:rPr>
                <w:rFonts w:cs="Arial"/>
                <w:szCs w:val="18"/>
              </w:rPr>
              <w:t>*</w:t>
            </w:r>
          </w:p>
        </w:tc>
        <w:tc>
          <w:tcPr>
            <w:tcW w:w="1134" w:type="dxa"/>
            <w:shd w:val="clear" w:color="auto" w:fill="FFFFFF"/>
            <w:vAlign w:val="center"/>
          </w:tcPr>
          <w:p w14:paraId="274A5D53" w14:textId="183BC398" w:rsidR="00F7044D" w:rsidRPr="00F578E8" w:rsidRDefault="00F8333B" w:rsidP="00F7044D">
            <w:pPr>
              <w:ind w:right="-1"/>
              <w:jc w:val="center"/>
              <w:rPr>
                <w:rFonts w:cs="Arial"/>
                <w:szCs w:val="18"/>
              </w:rPr>
            </w:pPr>
            <w:r>
              <w:rPr>
                <w:rFonts w:cs="Arial"/>
                <w:szCs w:val="18"/>
              </w:rPr>
              <w:t>34</w:t>
            </w:r>
            <w:r w:rsidR="007152FD">
              <w:rPr>
                <w:rFonts w:cs="Arial"/>
                <w:szCs w:val="18"/>
              </w:rPr>
              <w:t>*</w:t>
            </w:r>
          </w:p>
        </w:tc>
      </w:tr>
      <w:tr w:rsidR="004A3B28" w:rsidRPr="00F578E8" w14:paraId="5C50AF54" w14:textId="77777777" w:rsidTr="00F7044D">
        <w:tc>
          <w:tcPr>
            <w:tcW w:w="1134" w:type="dxa"/>
            <w:vMerge/>
            <w:shd w:val="clear" w:color="auto" w:fill="FFFFFF"/>
            <w:vAlign w:val="center"/>
          </w:tcPr>
          <w:p w14:paraId="5C50AF4F" w14:textId="5EE03E6B" w:rsidR="004A3B28" w:rsidRPr="00F578E8" w:rsidRDefault="004A3B28" w:rsidP="00F7044D">
            <w:pPr>
              <w:jc w:val="left"/>
            </w:pPr>
          </w:p>
        </w:tc>
        <w:tc>
          <w:tcPr>
            <w:tcW w:w="1134" w:type="dxa"/>
            <w:shd w:val="clear" w:color="auto" w:fill="FFFFFF"/>
            <w:vAlign w:val="center"/>
          </w:tcPr>
          <w:p w14:paraId="5C50AF50" w14:textId="0C39F7C5" w:rsidR="004A3B28" w:rsidRPr="00F578E8" w:rsidRDefault="004A3B28" w:rsidP="001D6899">
            <w:pPr>
              <w:jc w:val="center"/>
            </w:pPr>
            <w:r w:rsidRPr="00F578E8">
              <w:t>17.2</w:t>
            </w:r>
            <w:r>
              <w:t xml:space="preserve"> </w:t>
            </w:r>
            <w:r w:rsidRPr="000E49FC">
              <w:rPr>
                <w:rFonts w:cs="Arial"/>
                <w:color w:val="000000"/>
                <w:szCs w:val="18"/>
              </w:rPr>
              <w:t>±</w:t>
            </w:r>
            <w:r>
              <w:rPr>
                <w:rFonts w:cs="Arial"/>
                <w:color w:val="000000"/>
                <w:szCs w:val="18"/>
              </w:rPr>
              <w:t xml:space="preserve"> 1.8</w:t>
            </w:r>
          </w:p>
        </w:tc>
        <w:tc>
          <w:tcPr>
            <w:tcW w:w="1276" w:type="dxa"/>
            <w:shd w:val="clear" w:color="auto" w:fill="FFFFFF"/>
            <w:vAlign w:val="center"/>
          </w:tcPr>
          <w:p w14:paraId="5C50AF51" w14:textId="23248DB1" w:rsidR="004A3B28" w:rsidRPr="00F578E8" w:rsidRDefault="004A3B28" w:rsidP="001D6899">
            <w:pPr>
              <w:jc w:val="center"/>
            </w:pPr>
            <w:r w:rsidRPr="00F578E8">
              <w:t>0.8</w:t>
            </w:r>
            <w:r>
              <w:t xml:space="preserve">5 </w:t>
            </w:r>
            <w:r w:rsidRPr="000E49FC">
              <w:rPr>
                <w:rFonts w:cs="Arial"/>
                <w:color w:val="000000"/>
                <w:szCs w:val="18"/>
              </w:rPr>
              <w:t>±</w:t>
            </w:r>
            <w:r>
              <w:rPr>
                <w:rFonts w:cs="Arial"/>
                <w:color w:val="000000"/>
                <w:szCs w:val="18"/>
              </w:rPr>
              <w:t xml:space="preserve"> 0.01</w:t>
            </w:r>
          </w:p>
        </w:tc>
        <w:tc>
          <w:tcPr>
            <w:tcW w:w="1276" w:type="dxa"/>
            <w:shd w:val="clear" w:color="auto" w:fill="FFFFFF"/>
            <w:vAlign w:val="center"/>
          </w:tcPr>
          <w:p w14:paraId="5C50AF52" w14:textId="4C5C95B1" w:rsidR="004A3B28" w:rsidRDefault="004A3B28" w:rsidP="001D6899">
            <w:pPr>
              <w:jc w:val="center"/>
            </w:pPr>
            <w:r w:rsidRPr="00F578E8">
              <w:t>1.</w:t>
            </w:r>
            <w:r>
              <w:t>55</w:t>
            </w:r>
            <w:r w:rsidRPr="000E49FC">
              <w:rPr>
                <w:rFonts w:cs="Arial"/>
                <w:color w:val="000000"/>
                <w:szCs w:val="18"/>
              </w:rPr>
              <w:t>±</w:t>
            </w:r>
            <w:r>
              <w:rPr>
                <w:rFonts w:cs="Arial"/>
                <w:color w:val="000000"/>
                <w:szCs w:val="18"/>
              </w:rPr>
              <w:t xml:space="preserve"> 0.07</w:t>
            </w:r>
          </w:p>
        </w:tc>
        <w:tc>
          <w:tcPr>
            <w:tcW w:w="1134" w:type="dxa"/>
            <w:shd w:val="clear" w:color="auto" w:fill="FFFFFF"/>
            <w:vAlign w:val="center"/>
          </w:tcPr>
          <w:p w14:paraId="5C50AF53" w14:textId="16E791B4" w:rsidR="004A3B28" w:rsidRDefault="004A3B28" w:rsidP="001D6899">
            <w:pPr>
              <w:ind w:right="-1"/>
              <w:jc w:val="center"/>
              <w:rPr>
                <w:rFonts w:cs="Arial"/>
                <w:szCs w:val="18"/>
              </w:rPr>
            </w:pPr>
            <w:r w:rsidRPr="00F578E8">
              <w:rPr>
                <w:rFonts w:cs="Arial"/>
                <w:szCs w:val="18"/>
              </w:rPr>
              <w:t>4</w:t>
            </w:r>
            <w:r>
              <w:rPr>
                <w:rFonts w:cs="Arial"/>
                <w:szCs w:val="18"/>
              </w:rPr>
              <w:t xml:space="preserve">2.6 </w:t>
            </w:r>
            <w:r w:rsidRPr="000E49FC">
              <w:rPr>
                <w:rFonts w:cs="Arial"/>
                <w:color w:val="000000"/>
                <w:szCs w:val="18"/>
              </w:rPr>
              <w:t>±</w:t>
            </w:r>
            <w:r>
              <w:rPr>
                <w:rFonts w:cs="Arial"/>
                <w:color w:val="000000"/>
                <w:szCs w:val="18"/>
              </w:rPr>
              <w:t xml:space="preserve"> 2.6</w:t>
            </w:r>
          </w:p>
        </w:tc>
      </w:tr>
      <w:tr w:rsidR="004A3B28" w:rsidRPr="00F578E8" w14:paraId="5C50AF60" w14:textId="77777777" w:rsidTr="00F7044D">
        <w:tc>
          <w:tcPr>
            <w:tcW w:w="1134" w:type="dxa"/>
            <w:vMerge/>
            <w:shd w:val="clear" w:color="auto" w:fill="FFFFFF"/>
            <w:vAlign w:val="center"/>
          </w:tcPr>
          <w:p w14:paraId="5C50AF5B" w14:textId="77777777" w:rsidR="004A3B28" w:rsidRDefault="004A3B28" w:rsidP="00F7044D">
            <w:pPr>
              <w:ind w:right="-1"/>
              <w:jc w:val="left"/>
              <w:rPr>
                <w:rFonts w:cs="Arial"/>
                <w:szCs w:val="18"/>
              </w:rPr>
            </w:pPr>
          </w:p>
        </w:tc>
        <w:tc>
          <w:tcPr>
            <w:tcW w:w="1134" w:type="dxa"/>
            <w:shd w:val="clear" w:color="auto" w:fill="FFFFFF"/>
            <w:vAlign w:val="center"/>
          </w:tcPr>
          <w:p w14:paraId="5C50AF5C" w14:textId="4CCD572B" w:rsidR="004A3B28" w:rsidRPr="00F578E8" w:rsidRDefault="005448A0" w:rsidP="001D6899">
            <w:pPr>
              <w:ind w:right="-1"/>
              <w:jc w:val="center"/>
              <w:rPr>
                <w:rFonts w:cs="Arial"/>
                <w:szCs w:val="18"/>
              </w:rPr>
            </w:pPr>
            <w:r w:rsidRPr="000E49FC">
              <w:rPr>
                <w:rFonts w:cs="Arial"/>
                <w:color w:val="000000"/>
                <w:szCs w:val="18"/>
              </w:rPr>
              <w:t>136.1 ± 8.1</w:t>
            </w:r>
          </w:p>
        </w:tc>
        <w:tc>
          <w:tcPr>
            <w:tcW w:w="1276" w:type="dxa"/>
            <w:shd w:val="clear" w:color="auto" w:fill="FFFFFF"/>
            <w:vAlign w:val="center"/>
          </w:tcPr>
          <w:p w14:paraId="5C50AF5D" w14:textId="289A8AEB" w:rsidR="004A3B28" w:rsidRDefault="004A3B28" w:rsidP="001D6899">
            <w:pPr>
              <w:ind w:right="-1"/>
              <w:jc w:val="center"/>
              <w:rPr>
                <w:rFonts w:cs="Arial"/>
                <w:szCs w:val="18"/>
              </w:rPr>
            </w:pPr>
            <w:r>
              <w:rPr>
                <w:rFonts w:cs="Arial"/>
                <w:szCs w:val="18"/>
              </w:rPr>
              <w:t xml:space="preserve">0.73 </w:t>
            </w:r>
            <w:r w:rsidRPr="000E49FC">
              <w:rPr>
                <w:rFonts w:cs="Arial"/>
                <w:color w:val="000000"/>
                <w:szCs w:val="18"/>
              </w:rPr>
              <w:t>±</w:t>
            </w:r>
            <w:r>
              <w:rPr>
                <w:rFonts w:cs="Arial"/>
                <w:color w:val="000000"/>
                <w:szCs w:val="18"/>
              </w:rPr>
              <w:t xml:space="preserve"> 0.02</w:t>
            </w:r>
          </w:p>
        </w:tc>
        <w:tc>
          <w:tcPr>
            <w:tcW w:w="1276" w:type="dxa"/>
            <w:shd w:val="clear" w:color="auto" w:fill="FFFFFF"/>
            <w:vAlign w:val="center"/>
          </w:tcPr>
          <w:p w14:paraId="5C50AF5E" w14:textId="7C95EFF9" w:rsidR="004A3B28" w:rsidRDefault="004A3B28" w:rsidP="001D6899">
            <w:pPr>
              <w:ind w:right="-1"/>
              <w:jc w:val="center"/>
              <w:rPr>
                <w:rFonts w:cs="Arial"/>
                <w:szCs w:val="18"/>
              </w:rPr>
            </w:pPr>
            <w:r w:rsidRPr="00F578E8">
              <w:rPr>
                <w:rFonts w:cs="Arial"/>
                <w:szCs w:val="18"/>
              </w:rPr>
              <w:t>0.</w:t>
            </w:r>
            <w:r w:rsidR="005448A0">
              <w:rPr>
                <w:rFonts w:cs="Arial"/>
                <w:szCs w:val="18"/>
              </w:rPr>
              <w:t xml:space="preserve">61 </w:t>
            </w:r>
            <w:r w:rsidR="005448A0" w:rsidRPr="000E49FC">
              <w:rPr>
                <w:rFonts w:cs="Arial"/>
                <w:color w:val="000000"/>
                <w:szCs w:val="18"/>
              </w:rPr>
              <w:t>±</w:t>
            </w:r>
            <w:r w:rsidR="005448A0">
              <w:rPr>
                <w:rFonts w:cs="Arial"/>
                <w:color w:val="000000"/>
                <w:szCs w:val="18"/>
              </w:rPr>
              <w:t xml:space="preserve"> 0.1</w:t>
            </w:r>
          </w:p>
        </w:tc>
        <w:tc>
          <w:tcPr>
            <w:tcW w:w="1134" w:type="dxa"/>
            <w:shd w:val="clear" w:color="auto" w:fill="FFFFFF"/>
            <w:vAlign w:val="center"/>
          </w:tcPr>
          <w:p w14:paraId="5C50AF5F" w14:textId="1F241E1E" w:rsidR="004A3B28" w:rsidRDefault="005448A0" w:rsidP="001D6899">
            <w:pPr>
              <w:ind w:right="-1"/>
              <w:jc w:val="center"/>
              <w:rPr>
                <w:rFonts w:cs="Arial"/>
                <w:szCs w:val="18"/>
              </w:rPr>
            </w:pPr>
            <w:r>
              <w:rPr>
                <w:rFonts w:cs="Arial"/>
                <w:szCs w:val="18"/>
              </w:rPr>
              <w:t xml:space="preserve">9.3 </w:t>
            </w:r>
            <w:r w:rsidRPr="000E49FC">
              <w:rPr>
                <w:rFonts w:cs="Arial"/>
                <w:color w:val="000000"/>
                <w:szCs w:val="18"/>
              </w:rPr>
              <w:t>±</w:t>
            </w:r>
            <w:r>
              <w:rPr>
                <w:rFonts w:cs="Arial"/>
                <w:color w:val="000000"/>
                <w:szCs w:val="18"/>
              </w:rPr>
              <w:t xml:space="preserve"> 0.6</w:t>
            </w:r>
          </w:p>
        </w:tc>
      </w:tr>
      <w:tr w:rsidR="00F7044D" w:rsidRPr="00F578E8" w14:paraId="5C50AF72" w14:textId="77777777" w:rsidTr="001D6899">
        <w:tc>
          <w:tcPr>
            <w:tcW w:w="1134" w:type="dxa"/>
            <w:vMerge w:val="restart"/>
            <w:tcBorders>
              <w:top w:val="single" w:sz="4" w:space="0" w:color="008000"/>
              <w:bottom w:val="nil"/>
            </w:tcBorders>
            <w:shd w:val="clear" w:color="auto" w:fill="FFFFFF"/>
            <w:vAlign w:val="center"/>
          </w:tcPr>
          <w:p w14:paraId="5C50AF6D" w14:textId="77777777" w:rsidR="00F7044D" w:rsidRDefault="00F7044D" w:rsidP="00F7044D">
            <w:pPr>
              <w:ind w:right="-1"/>
              <w:jc w:val="left"/>
              <w:rPr>
                <w:rFonts w:cs="Arial"/>
                <w:szCs w:val="18"/>
              </w:rPr>
            </w:pPr>
            <w:r w:rsidRPr="00F578E8">
              <w:rPr>
                <w:rFonts w:cs="Arial"/>
                <w:szCs w:val="18"/>
              </w:rPr>
              <w:t>Cardoon</w:t>
            </w:r>
          </w:p>
        </w:tc>
        <w:tc>
          <w:tcPr>
            <w:tcW w:w="1134" w:type="dxa"/>
            <w:tcBorders>
              <w:top w:val="single" w:sz="4" w:space="0" w:color="008000"/>
              <w:left w:val="nil"/>
              <w:bottom w:val="nil"/>
              <w:right w:val="nil"/>
            </w:tcBorders>
            <w:shd w:val="clear" w:color="auto" w:fill="auto"/>
            <w:vAlign w:val="center"/>
          </w:tcPr>
          <w:p w14:paraId="5C50AF6E" w14:textId="77777777" w:rsidR="00F7044D" w:rsidRDefault="00F7044D" w:rsidP="001D6899">
            <w:pPr>
              <w:ind w:right="-1"/>
              <w:jc w:val="center"/>
              <w:rPr>
                <w:rFonts w:cs="Arial"/>
                <w:szCs w:val="18"/>
              </w:rPr>
            </w:pPr>
            <w:r w:rsidRPr="00F578E8">
              <w:rPr>
                <w:rFonts w:cs="Arial"/>
                <w:szCs w:val="18"/>
              </w:rPr>
              <w:t>0</w:t>
            </w:r>
          </w:p>
        </w:tc>
        <w:tc>
          <w:tcPr>
            <w:tcW w:w="1276" w:type="dxa"/>
            <w:tcBorders>
              <w:top w:val="single" w:sz="4" w:space="0" w:color="008000"/>
              <w:bottom w:val="nil"/>
            </w:tcBorders>
            <w:shd w:val="clear" w:color="auto" w:fill="FFFFFF"/>
            <w:vAlign w:val="center"/>
          </w:tcPr>
          <w:p w14:paraId="5C50AF6F" w14:textId="77777777" w:rsidR="00F7044D" w:rsidRDefault="00F7044D" w:rsidP="001D6899">
            <w:pPr>
              <w:ind w:right="-1"/>
              <w:jc w:val="center"/>
              <w:rPr>
                <w:rFonts w:cs="Arial"/>
                <w:szCs w:val="18"/>
              </w:rPr>
            </w:pPr>
            <w:r w:rsidRPr="00F578E8">
              <w:rPr>
                <w:rFonts w:cs="Arial"/>
                <w:szCs w:val="18"/>
              </w:rPr>
              <w:t>1.17</w:t>
            </w:r>
          </w:p>
        </w:tc>
        <w:tc>
          <w:tcPr>
            <w:tcW w:w="1276" w:type="dxa"/>
            <w:tcBorders>
              <w:top w:val="single" w:sz="4" w:space="0" w:color="008000"/>
              <w:bottom w:val="nil"/>
            </w:tcBorders>
            <w:shd w:val="clear" w:color="auto" w:fill="FFFFFF"/>
            <w:vAlign w:val="center"/>
          </w:tcPr>
          <w:p w14:paraId="5C50AF70" w14:textId="77777777" w:rsidR="00F7044D" w:rsidRDefault="00F7044D" w:rsidP="001D6899">
            <w:pPr>
              <w:ind w:right="-1"/>
              <w:jc w:val="center"/>
              <w:rPr>
                <w:rFonts w:cs="Arial"/>
                <w:szCs w:val="18"/>
              </w:rPr>
            </w:pPr>
            <w:r w:rsidRPr="00F578E8">
              <w:rPr>
                <w:rFonts w:cs="Arial"/>
                <w:szCs w:val="18"/>
              </w:rPr>
              <w:t>8.07</w:t>
            </w:r>
          </w:p>
        </w:tc>
        <w:tc>
          <w:tcPr>
            <w:tcW w:w="1134" w:type="dxa"/>
            <w:tcBorders>
              <w:top w:val="single" w:sz="4" w:space="0" w:color="008000"/>
              <w:bottom w:val="nil"/>
            </w:tcBorders>
            <w:shd w:val="clear" w:color="auto" w:fill="FFFFFF"/>
            <w:vAlign w:val="center"/>
          </w:tcPr>
          <w:p w14:paraId="5C50AF71" w14:textId="77777777" w:rsidR="00F7044D" w:rsidRDefault="00F7044D" w:rsidP="001D6899">
            <w:pPr>
              <w:ind w:right="-1"/>
              <w:jc w:val="center"/>
              <w:rPr>
                <w:rFonts w:cs="Arial"/>
                <w:szCs w:val="18"/>
              </w:rPr>
            </w:pPr>
            <w:r w:rsidRPr="00F578E8">
              <w:rPr>
                <w:rFonts w:cs="Arial"/>
                <w:szCs w:val="18"/>
              </w:rPr>
              <w:t>21.1</w:t>
            </w:r>
          </w:p>
        </w:tc>
      </w:tr>
      <w:tr w:rsidR="00F7044D" w:rsidRPr="00F578E8" w14:paraId="5C50AF78" w14:textId="77777777" w:rsidTr="001D6899">
        <w:tc>
          <w:tcPr>
            <w:tcW w:w="1134" w:type="dxa"/>
            <w:vMerge/>
            <w:tcBorders>
              <w:top w:val="nil"/>
              <w:bottom w:val="nil"/>
            </w:tcBorders>
            <w:shd w:val="clear" w:color="auto" w:fill="FFFFFF"/>
          </w:tcPr>
          <w:p w14:paraId="5C50AF73" w14:textId="77777777" w:rsidR="00F7044D" w:rsidRDefault="00F7044D" w:rsidP="00F7044D">
            <w:pPr>
              <w:ind w:right="-1"/>
              <w:jc w:val="left"/>
              <w:rPr>
                <w:rFonts w:cs="Arial"/>
                <w:szCs w:val="18"/>
              </w:rPr>
            </w:pPr>
          </w:p>
        </w:tc>
        <w:tc>
          <w:tcPr>
            <w:tcW w:w="1134" w:type="dxa"/>
            <w:tcBorders>
              <w:top w:val="nil"/>
              <w:left w:val="nil"/>
              <w:bottom w:val="nil"/>
              <w:right w:val="nil"/>
            </w:tcBorders>
            <w:shd w:val="clear" w:color="auto" w:fill="auto"/>
            <w:vAlign w:val="center"/>
          </w:tcPr>
          <w:p w14:paraId="5C50AF74" w14:textId="47A425B6" w:rsidR="00F7044D" w:rsidRDefault="004A3B28" w:rsidP="001D6899">
            <w:pPr>
              <w:ind w:right="-1"/>
              <w:jc w:val="center"/>
              <w:rPr>
                <w:rFonts w:cs="Arial"/>
                <w:szCs w:val="18"/>
              </w:rPr>
            </w:pPr>
            <w:r w:rsidRPr="00A04760">
              <w:rPr>
                <w:rFonts w:cs="Arial"/>
                <w:szCs w:val="18"/>
              </w:rPr>
              <w:t xml:space="preserve">172.5 </w:t>
            </w:r>
            <w:r w:rsidRPr="000E49FC">
              <w:rPr>
                <w:rFonts w:cs="Arial"/>
                <w:color w:val="000000"/>
                <w:szCs w:val="18"/>
              </w:rPr>
              <w:t>± 4.2</w:t>
            </w:r>
          </w:p>
        </w:tc>
        <w:tc>
          <w:tcPr>
            <w:tcW w:w="1276" w:type="dxa"/>
            <w:tcBorders>
              <w:top w:val="nil"/>
              <w:bottom w:val="nil"/>
            </w:tcBorders>
            <w:shd w:val="clear" w:color="auto" w:fill="FFFFFF"/>
            <w:vAlign w:val="center"/>
          </w:tcPr>
          <w:p w14:paraId="5C50AF75" w14:textId="7F479586" w:rsidR="00F7044D" w:rsidRDefault="00F7044D" w:rsidP="001D6899">
            <w:pPr>
              <w:ind w:right="-1"/>
              <w:jc w:val="center"/>
              <w:rPr>
                <w:rFonts w:cs="Arial"/>
                <w:szCs w:val="18"/>
              </w:rPr>
            </w:pPr>
            <w:r w:rsidRPr="00F578E8">
              <w:rPr>
                <w:rFonts w:cs="Arial"/>
                <w:szCs w:val="18"/>
              </w:rPr>
              <w:t>1.1</w:t>
            </w:r>
            <w:r w:rsidR="004A3B28">
              <w:rPr>
                <w:rFonts w:cs="Arial"/>
                <w:szCs w:val="18"/>
              </w:rPr>
              <w:t xml:space="preserve"> </w:t>
            </w:r>
            <w:r w:rsidR="004A3B28" w:rsidRPr="000E49FC">
              <w:rPr>
                <w:rFonts w:cs="Arial"/>
                <w:color w:val="000000"/>
                <w:szCs w:val="18"/>
              </w:rPr>
              <w:t xml:space="preserve">± </w:t>
            </w:r>
            <w:r w:rsidR="004A3B28">
              <w:rPr>
                <w:rFonts w:cs="Arial"/>
                <w:color w:val="000000"/>
                <w:szCs w:val="18"/>
              </w:rPr>
              <w:t>0.03</w:t>
            </w:r>
          </w:p>
        </w:tc>
        <w:tc>
          <w:tcPr>
            <w:tcW w:w="1276" w:type="dxa"/>
            <w:tcBorders>
              <w:top w:val="nil"/>
              <w:bottom w:val="nil"/>
            </w:tcBorders>
            <w:shd w:val="clear" w:color="auto" w:fill="FFFFFF"/>
            <w:vAlign w:val="center"/>
          </w:tcPr>
          <w:p w14:paraId="5C50AF76" w14:textId="784030C9" w:rsidR="00F7044D" w:rsidRDefault="00F7044D" w:rsidP="001D6899">
            <w:pPr>
              <w:ind w:right="-1"/>
              <w:jc w:val="center"/>
              <w:rPr>
                <w:rFonts w:cs="Arial"/>
                <w:szCs w:val="18"/>
              </w:rPr>
            </w:pPr>
            <w:r w:rsidRPr="00F578E8">
              <w:rPr>
                <w:rFonts w:cs="Arial"/>
                <w:szCs w:val="18"/>
              </w:rPr>
              <w:t>5.</w:t>
            </w:r>
            <w:r w:rsidR="004A3B28">
              <w:rPr>
                <w:rFonts w:cs="Arial"/>
                <w:szCs w:val="18"/>
              </w:rPr>
              <w:t xml:space="preserve">19 </w:t>
            </w:r>
            <w:r w:rsidR="004A3B28" w:rsidRPr="000E49FC">
              <w:rPr>
                <w:rFonts w:cs="Arial"/>
                <w:color w:val="000000"/>
                <w:szCs w:val="18"/>
              </w:rPr>
              <w:t xml:space="preserve">± </w:t>
            </w:r>
            <w:r w:rsidR="004A3B28">
              <w:rPr>
                <w:rFonts w:cs="Arial"/>
                <w:color w:val="000000"/>
                <w:szCs w:val="18"/>
              </w:rPr>
              <w:t>0.18</w:t>
            </w:r>
          </w:p>
        </w:tc>
        <w:tc>
          <w:tcPr>
            <w:tcW w:w="1134" w:type="dxa"/>
            <w:tcBorders>
              <w:top w:val="nil"/>
              <w:bottom w:val="nil"/>
            </w:tcBorders>
            <w:shd w:val="clear" w:color="auto" w:fill="FFFFFF"/>
            <w:vAlign w:val="center"/>
          </w:tcPr>
          <w:p w14:paraId="5C50AF77" w14:textId="519C79A4" w:rsidR="00F7044D" w:rsidRDefault="00F7044D" w:rsidP="001D6899">
            <w:pPr>
              <w:ind w:right="-1"/>
              <w:jc w:val="center"/>
              <w:rPr>
                <w:rFonts w:cs="Arial"/>
                <w:szCs w:val="18"/>
              </w:rPr>
            </w:pPr>
            <w:r w:rsidRPr="00F578E8">
              <w:rPr>
                <w:rFonts w:cs="Arial"/>
                <w:szCs w:val="18"/>
              </w:rPr>
              <w:t>17.</w:t>
            </w:r>
            <w:r w:rsidR="004A3B28">
              <w:rPr>
                <w:rFonts w:cs="Arial"/>
                <w:szCs w:val="18"/>
              </w:rPr>
              <w:t xml:space="preserve">4 </w:t>
            </w:r>
            <w:r w:rsidR="004A3B28" w:rsidRPr="000E49FC">
              <w:rPr>
                <w:rFonts w:cs="Arial"/>
                <w:color w:val="000000"/>
                <w:szCs w:val="18"/>
              </w:rPr>
              <w:t xml:space="preserve">± </w:t>
            </w:r>
            <w:r w:rsidR="004A3B28">
              <w:rPr>
                <w:rFonts w:cs="Arial"/>
                <w:color w:val="000000"/>
                <w:szCs w:val="18"/>
              </w:rPr>
              <w:t>0.3</w:t>
            </w:r>
          </w:p>
        </w:tc>
      </w:tr>
      <w:tr w:rsidR="004A3B28" w:rsidRPr="00F578E8" w14:paraId="5C50AF8A" w14:textId="77777777" w:rsidTr="001D6899">
        <w:tc>
          <w:tcPr>
            <w:tcW w:w="1134" w:type="dxa"/>
            <w:vMerge/>
            <w:tcBorders>
              <w:top w:val="nil"/>
              <w:bottom w:val="single" w:sz="12" w:space="0" w:color="008000"/>
            </w:tcBorders>
            <w:shd w:val="clear" w:color="auto" w:fill="FFFFFF"/>
          </w:tcPr>
          <w:p w14:paraId="5C50AF85" w14:textId="77777777" w:rsidR="004A3B28" w:rsidRDefault="004A3B28" w:rsidP="004A3B28">
            <w:pPr>
              <w:ind w:right="-1"/>
              <w:jc w:val="left"/>
              <w:rPr>
                <w:rFonts w:cs="Arial"/>
                <w:szCs w:val="18"/>
              </w:rPr>
            </w:pPr>
          </w:p>
        </w:tc>
        <w:tc>
          <w:tcPr>
            <w:tcW w:w="1134" w:type="dxa"/>
            <w:tcBorders>
              <w:top w:val="nil"/>
              <w:bottom w:val="single" w:sz="12" w:space="0" w:color="008000"/>
            </w:tcBorders>
            <w:shd w:val="clear" w:color="auto" w:fill="FFFFFF"/>
            <w:vAlign w:val="center"/>
          </w:tcPr>
          <w:p w14:paraId="5C50AF86" w14:textId="7AF374B2" w:rsidR="004A3B28" w:rsidRDefault="004A3B28" w:rsidP="004A3B28">
            <w:pPr>
              <w:ind w:right="-1"/>
              <w:jc w:val="center"/>
              <w:rPr>
                <w:rFonts w:cs="Arial"/>
                <w:szCs w:val="18"/>
              </w:rPr>
            </w:pPr>
            <w:r w:rsidRPr="00A04760">
              <w:rPr>
                <w:rFonts w:cs="Arial"/>
                <w:szCs w:val="18"/>
              </w:rPr>
              <w:t xml:space="preserve">623.5 </w:t>
            </w:r>
            <w:r w:rsidRPr="000E49FC">
              <w:rPr>
                <w:rFonts w:cs="Arial"/>
                <w:color w:val="000000"/>
                <w:szCs w:val="18"/>
              </w:rPr>
              <w:t>± 16.5</w:t>
            </w:r>
          </w:p>
        </w:tc>
        <w:tc>
          <w:tcPr>
            <w:tcW w:w="1276" w:type="dxa"/>
            <w:tcBorders>
              <w:top w:val="nil"/>
              <w:bottom w:val="single" w:sz="12" w:space="0" w:color="008000"/>
            </w:tcBorders>
            <w:shd w:val="clear" w:color="auto" w:fill="FFFFFF"/>
            <w:vAlign w:val="center"/>
          </w:tcPr>
          <w:p w14:paraId="5C50AF87" w14:textId="68D0D4FC" w:rsidR="004A3B28" w:rsidRDefault="004A3B28" w:rsidP="004A3B28">
            <w:pPr>
              <w:ind w:right="-1"/>
              <w:jc w:val="center"/>
              <w:rPr>
                <w:rFonts w:cs="Arial"/>
                <w:szCs w:val="18"/>
              </w:rPr>
            </w:pPr>
            <w:r w:rsidRPr="00F578E8">
              <w:rPr>
                <w:rFonts w:cs="Arial"/>
                <w:szCs w:val="18"/>
              </w:rPr>
              <w:t>1.3</w:t>
            </w:r>
            <w:r>
              <w:rPr>
                <w:rFonts w:cs="Arial"/>
                <w:szCs w:val="18"/>
              </w:rPr>
              <w:t xml:space="preserve"> </w:t>
            </w:r>
            <w:r w:rsidRPr="000E49FC">
              <w:rPr>
                <w:rFonts w:cs="Arial"/>
                <w:color w:val="000000"/>
                <w:szCs w:val="18"/>
              </w:rPr>
              <w:t>±</w:t>
            </w:r>
            <w:r>
              <w:rPr>
                <w:rFonts w:cs="Arial"/>
                <w:color w:val="000000"/>
                <w:szCs w:val="18"/>
              </w:rPr>
              <w:t xml:space="preserve"> 0.02</w:t>
            </w:r>
          </w:p>
        </w:tc>
        <w:tc>
          <w:tcPr>
            <w:tcW w:w="1276" w:type="dxa"/>
            <w:tcBorders>
              <w:top w:val="nil"/>
              <w:bottom w:val="single" w:sz="12" w:space="0" w:color="008000"/>
            </w:tcBorders>
            <w:shd w:val="clear" w:color="auto" w:fill="FFFFFF"/>
            <w:vAlign w:val="center"/>
          </w:tcPr>
          <w:p w14:paraId="5C50AF88" w14:textId="2E87BF5C" w:rsidR="004A3B28" w:rsidRDefault="004A3B28" w:rsidP="004A3B28">
            <w:pPr>
              <w:ind w:right="-1"/>
              <w:jc w:val="center"/>
              <w:rPr>
                <w:rFonts w:cs="Arial"/>
                <w:szCs w:val="18"/>
              </w:rPr>
            </w:pPr>
            <w:r w:rsidRPr="00F578E8">
              <w:rPr>
                <w:rFonts w:cs="Arial"/>
                <w:szCs w:val="18"/>
              </w:rPr>
              <w:t>8.</w:t>
            </w:r>
            <w:r>
              <w:rPr>
                <w:rFonts w:cs="Arial"/>
                <w:szCs w:val="18"/>
              </w:rPr>
              <w:t xml:space="preserve">70 </w:t>
            </w:r>
            <w:r w:rsidRPr="000E49FC">
              <w:rPr>
                <w:rFonts w:cs="Arial"/>
                <w:color w:val="000000"/>
                <w:szCs w:val="18"/>
              </w:rPr>
              <w:t>±</w:t>
            </w:r>
            <w:r>
              <w:rPr>
                <w:rFonts w:cs="Arial"/>
                <w:color w:val="000000"/>
                <w:szCs w:val="18"/>
              </w:rPr>
              <w:t xml:space="preserve"> 0.22</w:t>
            </w:r>
          </w:p>
        </w:tc>
        <w:tc>
          <w:tcPr>
            <w:tcW w:w="1134" w:type="dxa"/>
            <w:tcBorders>
              <w:top w:val="nil"/>
              <w:bottom w:val="single" w:sz="12" w:space="0" w:color="008000"/>
            </w:tcBorders>
            <w:shd w:val="clear" w:color="auto" w:fill="FFFFFF"/>
            <w:vAlign w:val="center"/>
          </w:tcPr>
          <w:p w14:paraId="5C50AF89" w14:textId="28C4F0E8" w:rsidR="004A3B28" w:rsidRDefault="004A3B28" w:rsidP="004A3B28">
            <w:pPr>
              <w:ind w:right="-1"/>
              <w:jc w:val="center"/>
              <w:rPr>
                <w:rFonts w:cs="Arial"/>
                <w:szCs w:val="18"/>
              </w:rPr>
            </w:pPr>
            <w:r w:rsidRPr="00F578E8">
              <w:rPr>
                <w:rFonts w:cs="Arial"/>
                <w:szCs w:val="18"/>
              </w:rPr>
              <w:t>18.</w:t>
            </w:r>
            <w:r>
              <w:rPr>
                <w:rFonts w:cs="Arial"/>
                <w:szCs w:val="18"/>
              </w:rPr>
              <w:t xml:space="preserve">5 </w:t>
            </w:r>
            <w:r w:rsidRPr="000E49FC">
              <w:rPr>
                <w:rFonts w:cs="Arial"/>
                <w:color w:val="000000"/>
                <w:szCs w:val="18"/>
              </w:rPr>
              <w:t>±</w:t>
            </w:r>
            <w:r>
              <w:rPr>
                <w:rFonts w:cs="Arial"/>
                <w:color w:val="000000"/>
                <w:szCs w:val="18"/>
              </w:rPr>
              <w:t xml:space="preserve"> 0.5</w:t>
            </w:r>
          </w:p>
        </w:tc>
      </w:tr>
    </w:tbl>
    <w:p w14:paraId="26A92243" w14:textId="16CFDB00" w:rsidR="00545B56" w:rsidRPr="00B2494B" w:rsidRDefault="00F7044D" w:rsidP="00E757A0">
      <w:pPr>
        <w:pStyle w:val="CETBodytext"/>
        <w:jc w:val="left"/>
        <w:rPr>
          <w:lang w:val="en-GB"/>
        </w:rPr>
      </w:pPr>
      <w:r w:rsidRPr="00B2494B">
        <w:rPr>
          <w:i/>
          <w:lang w:val="en-GB"/>
        </w:rPr>
        <w:t>*</w:t>
      </w:r>
      <w:proofErr w:type="gramStart"/>
      <w:r w:rsidR="00545B56" w:rsidRPr="00B2494B">
        <w:rPr>
          <w:i/>
          <w:lang w:val="en-GB"/>
        </w:rPr>
        <w:t>data</w:t>
      </w:r>
      <w:proofErr w:type="gramEnd"/>
      <w:r w:rsidR="00545B56" w:rsidRPr="00B2494B">
        <w:rPr>
          <w:i/>
          <w:lang w:val="en-GB"/>
        </w:rPr>
        <w:t xml:space="preserve"> from </w:t>
      </w:r>
      <w:r w:rsidR="00FE4F9E" w:rsidRPr="00B2494B">
        <w:rPr>
          <w:i/>
          <w:lang w:val="en-GB"/>
        </w:rPr>
        <w:t>Niglio et al., 2020</w:t>
      </w:r>
      <w:r w:rsidR="00B6673C" w:rsidRPr="00B2494B">
        <w:rPr>
          <w:i/>
          <w:lang w:val="en-GB"/>
        </w:rPr>
        <w:t xml:space="preserve">, initial cellulases </w:t>
      </w:r>
      <w:r w:rsidR="00540F32">
        <w:rPr>
          <w:i/>
          <w:lang w:val="en-GB"/>
        </w:rPr>
        <w:t>as 1FPU/</w:t>
      </w:r>
      <w:proofErr w:type="spellStart"/>
      <w:r w:rsidR="00540F32">
        <w:rPr>
          <w:i/>
          <w:lang w:val="en-GB"/>
        </w:rPr>
        <w:t>g_cellulose</w:t>
      </w:r>
      <w:proofErr w:type="spellEnd"/>
      <w:r w:rsidR="00540F32">
        <w:rPr>
          <w:i/>
          <w:lang w:val="en-GB"/>
        </w:rPr>
        <w:t>.</w:t>
      </w:r>
    </w:p>
    <w:p w14:paraId="5C50AF8C" w14:textId="77777777" w:rsidR="00B83E0D" w:rsidRPr="00F578E8" w:rsidRDefault="00B83E0D" w:rsidP="00BF4B86">
      <w:pPr>
        <w:pStyle w:val="CETHeading1"/>
      </w:pPr>
      <w:r w:rsidRPr="00F578E8">
        <w:t>Conclusions</w:t>
      </w:r>
    </w:p>
    <w:p w14:paraId="5C50AF8E" w14:textId="49742037" w:rsidR="00B83E0D" w:rsidRPr="00F578E8" w:rsidRDefault="006C66F6" w:rsidP="00AF6A69">
      <w:pPr>
        <w:pStyle w:val="CETBodytext"/>
      </w:pPr>
      <w:r>
        <w:t>A</w:t>
      </w:r>
      <w:r w:rsidR="0076286C">
        <w:t xml:space="preserve"> preliminary characterization of the adsorption of the laccase PoxA1b on two relevant LBs among agro-industrial waste and energy crops</w:t>
      </w:r>
      <w:r>
        <w:t xml:space="preserve"> </w:t>
      </w:r>
      <w:r w:rsidR="008C1DBE">
        <w:t xml:space="preserve">- CSS and Cardoon stalks – was </w:t>
      </w:r>
      <w:r>
        <w:t>carried out</w:t>
      </w:r>
      <w:r w:rsidR="0076286C">
        <w:t xml:space="preserve">. Adsorption tests showed </w:t>
      </w:r>
      <w:r w:rsidR="001058C8">
        <w:t xml:space="preserve">an increase of adsorbed enzyme loading </w:t>
      </w:r>
      <w:r w:rsidR="001058C8" w:rsidRPr="001D7BB8">
        <w:t xml:space="preserve">at increasing initial PoxA1b concentration </w:t>
      </w:r>
      <w:r w:rsidR="001058C8">
        <w:t>for both CSS and Cardoon</w:t>
      </w:r>
      <w:r w:rsidR="0076286C">
        <w:t xml:space="preserve">. The decrease of laccase activity and concentration </w:t>
      </w:r>
      <w:r w:rsidR="001058C8">
        <w:t xml:space="preserve">in </w:t>
      </w:r>
      <w:r w:rsidR="001528BD">
        <w:t xml:space="preserve">the </w:t>
      </w:r>
      <w:r w:rsidR="001058C8">
        <w:t xml:space="preserve">liquid phase </w:t>
      </w:r>
      <w:r w:rsidR="0076286C">
        <w:t>was proved to be related to the occurrence of the adsorption on the LB surface</w:t>
      </w:r>
      <w:r w:rsidR="003453EF">
        <w:t xml:space="preserve"> even though it is limited to less than 1 mg/g adsorbed enzyme due to</w:t>
      </w:r>
      <w:r w:rsidR="00EB75A0">
        <w:t xml:space="preserve"> the</w:t>
      </w:r>
      <w:r w:rsidR="003453EF">
        <w:t xml:space="preserve"> low dosage of PoxA1b applied according to the literature (large specific activity)</w:t>
      </w:r>
      <w:r w:rsidR="00A4780C">
        <w:t>.</w:t>
      </w:r>
      <w:r w:rsidR="0076286C">
        <w:t xml:space="preserve"> The effect of PoxA1b pretreatment on the adsorption of cellulase and their performances in the enzymatic hydrolysis of polysaccharides is strongly dependent on the type of biomass and the initial dosage of PoxA1b.</w:t>
      </w:r>
      <w:r w:rsidR="00AF6A69">
        <w:t xml:space="preserve"> The assessed values of adsorbed cellulases (below 8.</w:t>
      </w:r>
      <w:r w:rsidR="005448A0">
        <w:t>7</w:t>
      </w:r>
      <w:r w:rsidR="00AF6A69">
        <w:t xml:space="preserve"> mg/g) upon PoxA1b pretreatment and related glucose yields (below 4</w:t>
      </w:r>
      <w:r w:rsidR="005448A0">
        <w:t>2.6</w:t>
      </w:r>
      <w:r w:rsidR="00AF6A69">
        <w:t xml:space="preserve">%) upon enzymatic hydrolysis suggested </w:t>
      </w:r>
      <w:r w:rsidR="00EB75A0">
        <w:t>combining</w:t>
      </w:r>
      <w:r w:rsidR="00AF6A69">
        <w:t xml:space="preserve"> the laccase-mediate biological pretreatment with other processes promoting the exposure of cellulose </w:t>
      </w:r>
      <w:proofErr w:type="spellStart"/>
      <w:r w:rsidR="00AF6A69">
        <w:t>fib</w:t>
      </w:r>
      <w:r w:rsidR="005C0709">
        <w:t>re</w:t>
      </w:r>
      <w:r w:rsidR="00AF6A69">
        <w:t>s</w:t>
      </w:r>
      <w:proofErr w:type="spellEnd"/>
      <w:r w:rsidR="00AF6A69">
        <w:t xml:space="preserve">. In conclusion, </w:t>
      </w:r>
      <w:r w:rsidR="0076286C">
        <w:t>further investigation should be focused on the chemical modification</w:t>
      </w:r>
      <w:r w:rsidR="00D51FD9">
        <w:t>s</w:t>
      </w:r>
      <w:r w:rsidR="0076286C">
        <w:t xml:space="preserve"> occurring on the lignin fraction of selected raw and pretreated lignocellulosic </w:t>
      </w:r>
      <w:r w:rsidR="00F464DD">
        <w:t>biomasses</w:t>
      </w:r>
      <w:r w:rsidR="00AF6A69">
        <w:t xml:space="preserve"> </w:t>
      </w:r>
      <w:r w:rsidR="00EB75A0">
        <w:t>because of</w:t>
      </w:r>
      <w:r w:rsidR="00AF6A69">
        <w:t xml:space="preserve"> PoxA1b activity and on t</w:t>
      </w:r>
      <w:r w:rsidR="00A4780C">
        <w:t xml:space="preserve">he effects of the lignin </w:t>
      </w:r>
      <w:r w:rsidR="00D51FD9">
        <w:t xml:space="preserve">chemical modification </w:t>
      </w:r>
      <w:r w:rsidR="00A4780C">
        <w:t xml:space="preserve">on </w:t>
      </w:r>
      <w:r w:rsidR="0076286C">
        <w:t xml:space="preserve">the adsorption of single processive </w:t>
      </w:r>
      <w:proofErr w:type="spellStart"/>
      <w:r w:rsidR="0076286C">
        <w:t>exo</w:t>
      </w:r>
      <w:proofErr w:type="spellEnd"/>
      <w:r w:rsidR="0076286C">
        <w:t>- and endo-</w:t>
      </w:r>
      <w:proofErr w:type="spellStart"/>
      <w:r w:rsidR="0076286C">
        <w:t>glucanases</w:t>
      </w:r>
      <w:proofErr w:type="spellEnd"/>
      <w:r w:rsidR="0076286C">
        <w:t xml:space="preserve"> as the main components of hydrolytic cocktails</w:t>
      </w:r>
      <w:r w:rsidR="00A4780C">
        <w:t xml:space="preserve"> is also to be investigated</w:t>
      </w:r>
      <w:r w:rsidR="0076286C">
        <w:t>.</w:t>
      </w:r>
    </w:p>
    <w:p w14:paraId="5C50AF8F" w14:textId="77777777" w:rsidR="00663B9E" w:rsidRPr="00F578E8" w:rsidRDefault="00663B9E" w:rsidP="00B83E0D">
      <w:pPr>
        <w:pStyle w:val="CETBodytext"/>
        <w:rPr>
          <w:b/>
          <w:bCs/>
        </w:rPr>
      </w:pPr>
    </w:p>
    <w:p w14:paraId="5C50AF90" w14:textId="77777777" w:rsidR="00B83E0D" w:rsidRPr="004303A0" w:rsidRDefault="00B83E0D" w:rsidP="00B83E0D">
      <w:pPr>
        <w:pStyle w:val="CETBodytext"/>
        <w:rPr>
          <w:b/>
          <w:bCs/>
        </w:rPr>
      </w:pPr>
      <w:r w:rsidRPr="004303A0">
        <w:rPr>
          <w:b/>
          <w:bCs/>
        </w:rPr>
        <w:t>Acknowledgements</w:t>
      </w:r>
    </w:p>
    <w:p w14:paraId="5C50AF91" w14:textId="69764851" w:rsidR="00D27733" w:rsidRPr="00FC066F" w:rsidRDefault="00F059D2" w:rsidP="00B83E0D">
      <w:pPr>
        <w:pStyle w:val="CETBodytext"/>
        <w:rPr>
          <w:lang w:val="it-IT"/>
        </w:rPr>
      </w:pPr>
      <w:r w:rsidRPr="004303A0">
        <w:t>Prof. Alessandra Piscitelli is acknowledged for useful discussion</w:t>
      </w:r>
      <w:r w:rsidR="00CD4402" w:rsidRPr="004303A0">
        <w:t>.</w:t>
      </w:r>
      <w:r w:rsidR="00FC066F" w:rsidRPr="004303A0">
        <w:t xml:space="preserve"> </w:t>
      </w:r>
      <w:proofErr w:type="spellStart"/>
      <w:r w:rsidR="00FC066F" w:rsidRPr="003B645A">
        <w:rPr>
          <w:lang w:val="it-IT"/>
        </w:rPr>
        <w:t>This</w:t>
      </w:r>
      <w:proofErr w:type="spellEnd"/>
      <w:r w:rsidR="00FC066F" w:rsidRPr="003B645A">
        <w:rPr>
          <w:lang w:val="it-IT"/>
        </w:rPr>
        <w:t xml:space="preserve"> work </w:t>
      </w:r>
      <w:proofErr w:type="spellStart"/>
      <w:r w:rsidR="00FC066F" w:rsidRPr="003B645A">
        <w:rPr>
          <w:lang w:val="it-IT"/>
        </w:rPr>
        <w:t>was</w:t>
      </w:r>
      <w:proofErr w:type="spellEnd"/>
      <w:r w:rsidR="00FC066F" w:rsidRPr="003B645A">
        <w:rPr>
          <w:lang w:val="it-IT"/>
        </w:rPr>
        <w:t xml:space="preserve"> </w:t>
      </w:r>
      <w:proofErr w:type="spellStart"/>
      <w:r w:rsidR="00FC066F" w:rsidRPr="003B645A">
        <w:rPr>
          <w:lang w:val="it-IT"/>
        </w:rPr>
        <w:t>funded</w:t>
      </w:r>
      <w:proofErr w:type="spellEnd"/>
      <w:r w:rsidR="00FC066F" w:rsidRPr="003B645A">
        <w:rPr>
          <w:lang w:val="it-IT"/>
        </w:rPr>
        <w:t xml:space="preserve"> by </w:t>
      </w:r>
      <w:r w:rsidR="00704126" w:rsidRPr="003B645A">
        <w:rPr>
          <w:lang w:val="it-IT"/>
        </w:rPr>
        <w:t xml:space="preserve">the </w:t>
      </w:r>
      <w:r w:rsidR="00704126" w:rsidRPr="003B645A">
        <w:rPr>
          <w:i/>
          <w:iCs/>
          <w:lang w:val="it-IT"/>
        </w:rPr>
        <w:t>Ministero dell’Università e della Ricerca</w:t>
      </w:r>
      <w:r w:rsidR="00704126" w:rsidRPr="003B645A">
        <w:rPr>
          <w:lang w:val="it-IT"/>
        </w:rPr>
        <w:t xml:space="preserve"> </w:t>
      </w:r>
      <w:r w:rsidR="00564C77">
        <w:rPr>
          <w:lang w:val="it-IT"/>
        </w:rPr>
        <w:t>in the framework of</w:t>
      </w:r>
      <w:r w:rsidR="00704126" w:rsidRPr="003B645A">
        <w:rPr>
          <w:lang w:val="it-IT"/>
        </w:rPr>
        <w:t xml:space="preserve"> the project </w:t>
      </w:r>
      <w:r w:rsidR="00FC066F" w:rsidRPr="003B645A">
        <w:rPr>
          <w:lang w:val="it-IT"/>
        </w:rPr>
        <w:t>CN00000022</w:t>
      </w:r>
      <w:r w:rsidR="00704126" w:rsidRPr="003B645A">
        <w:rPr>
          <w:lang w:val="it-IT"/>
        </w:rPr>
        <w:t xml:space="preserve"> (</w:t>
      </w:r>
      <w:r w:rsidR="00FC066F" w:rsidRPr="003B645A">
        <w:rPr>
          <w:i/>
          <w:iCs/>
          <w:lang w:val="it-IT"/>
        </w:rPr>
        <w:t>decreto di concessione del finanziamento n.</w:t>
      </w:r>
      <w:r w:rsidR="00FC066F" w:rsidRPr="003B645A">
        <w:rPr>
          <w:lang w:val="it-IT"/>
        </w:rPr>
        <w:t xml:space="preserve"> 1033 del 17/06/22 CUP - E63C22000920005</w:t>
      </w:r>
      <w:r w:rsidR="00704126" w:rsidRPr="003B645A">
        <w:rPr>
          <w:lang w:val="it-IT"/>
        </w:rPr>
        <w:t>)</w:t>
      </w:r>
      <w:r w:rsidR="00FC066F" w:rsidRPr="003B645A">
        <w:rPr>
          <w:lang w:val="it-IT"/>
        </w:rPr>
        <w:t xml:space="preserve"> - “Centro Nazionale per Tecnologie</w:t>
      </w:r>
      <w:r w:rsidR="00FC066F" w:rsidRPr="00FC066F">
        <w:rPr>
          <w:lang w:val="it-IT"/>
        </w:rPr>
        <w:t xml:space="preserve"> dell’Agricoltura” – </w:t>
      </w:r>
      <w:proofErr w:type="spellStart"/>
      <w:r w:rsidR="00FC066F" w:rsidRPr="00FC066F">
        <w:rPr>
          <w:lang w:val="it-IT"/>
        </w:rPr>
        <w:t>Agritech</w:t>
      </w:r>
      <w:proofErr w:type="spellEnd"/>
      <w:r w:rsidR="00FC066F" w:rsidRPr="00FC066F">
        <w:rPr>
          <w:lang w:val="it-IT"/>
        </w:rPr>
        <w:t xml:space="preserve"> </w:t>
      </w:r>
      <w:r w:rsidR="00C943FC">
        <w:rPr>
          <w:lang w:val="it-IT"/>
        </w:rPr>
        <w:t xml:space="preserve">- </w:t>
      </w:r>
      <w:r w:rsidR="00FC066F" w:rsidRPr="00FC066F">
        <w:rPr>
          <w:lang w:val="it-IT"/>
        </w:rPr>
        <w:t>“Tecnologie dell’Agricoltura”</w:t>
      </w:r>
      <w:r w:rsidR="003B645A">
        <w:rPr>
          <w:lang w:val="it-IT"/>
        </w:rPr>
        <w:t>.</w:t>
      </w:r>
    </w:p>
    <w:p w14:paraId="5C50AF92" w14:textId="77777777" w:rsidR="00D27733" w:rsidRPr="00FC066F" w:rsidRDefault="00D27733" w:rsidP="00B83E0D">
      <w:pPr>
        <w:pStyle w:val="CETBodytext"/>
        <w:rPr>
          <w:lang w:val="it-IT"/>
        </w:rPr>
      </w:pPr>
    </w:p>
    <w:p w14:paraId="5C50AF93" w14:textId="77777777" w:rsidR="00CB0005" w:rsidRPr="00F578E8" w:rsidRDefault="00CB0005" w:rsidP="00B83E0D">
      <w:pPr>
        <w:pStyle w:val="CETBodytext"/>
        <w:rPr>
          <w:b/>
          <w:bCs/>
        </w:rPr>
      </w:pPr>
      <w:r w:rsidRPr="00F578E8">
        <w:rPr>
          <w:b/>
          <w:bCs/>
        </w:rPr>
        <w:t>References</w:t>
      </w:r>
    </w:p>
    <w:p w14:paraId="5C50AF94" w14:textId="77777777" w:rsidR="00DA05CB" w:rsidRPr="00F578E8" w:rsidRDefault="00DA05CB" w:rsidP="00B83E0D">
      <w:pPr>
        <w:pStyle w:val="CETBodytext"/>
        <w:rPr>
          <w:b/>
          <w:bCs/>
        </w:rPr>
      </w:pPr>
    </w:p>
    <w:p w14:paraId="5C50AF95" w14:textId="799527BB" w:rsidR="00DA05CB" w:rsidRPr="00F578E8" w:rsidRDefault="00DA05CB" w:rsidP="00DA05CB">
      <w:pPr>
        <w:pStyle w:val="CETReferencetext"/>
        <w:rPr>
          <w:rStyle w:val="Collegamentoipertestuale"/>
          <w:color w:val="auto"/>
          <w:u w:val="none"/>
        </w:rPr>
      </w:pPr>
      <w:r w:rsidRPr="00F578E8">
        <w:rPr>
          <w:rStyle w:val="Collegamentoipertestuale"/>
          <w:color w:val="auto"/>
          <w:u w:val="none"/>
        </w:rPr>
        <w:t xml:space="preserve">Alberts G., Ayuso M., </w:t>
      </w:r>
      <w:proofErr w:type="spellStart"/>
      <w:r w:rsidRPr="00F578E8">
        <w:rPr>
          <w:rStyle w:val="Collegamentoipertestuale"/>
          <w:color w:val="auto"/>
          <w:u w:val="none"/>
        </w:rPr>
        <w:t>Bauen</w:t>
      </w:r>
      <w:proofErr w:type="spellEnd"/>
      <w:r w:rsidRPr="00F578E8">
        <w:rPr>
          <w:rStyle w:val="Collegamentoipertestuale"/>
          <w:color w:val="auto"/>
          <w:u w:val="none"/>
        </w:rPr>
        <w:t xml:space="preserve"> A., Boshell F., </w:t>
      </w:r>
      <w:proofErr w:type="spellStart"/>
      <w:r w:rsidRPr="00F578E8">
        <w:rPr>
          <w:rStyle w:val="Collegamentoipertestuale"/>
          <w:color w:val="auto"/>
          <w:u w:val="none"/>
        </w:rPr>
        <w:t>Chudziak</w:t>
      </w:r>
      <w:proofErr w:type="spellEnd"/>
      <w:r w:rsidRPr="00F578E8">
        <w:rPr>
          <w:rStyle w:val="Collegamentoipertestuale"/>
          <w:color w:val="auto"/>
          <w:u w:val="none"/>
        </w:rPr>
        <w:t xml:space="preserve"> C., Gebauer JP., German L., </w:t>
      </w:r>
      <w:proofErr w:type="spellStart"/>
      <w:r w:rsidRPr="00F578E8">
        <w:rPr>
          <w:rStyle w:val="Collegamentoipertestuale"/>
          <w:color w:val="auto"/>
          <w:u w:val="none"/>
        </w:rPr>
        <w:t>Kaltschmitt</w:t>
      </w:r>
      <w:proofErr w:type="spellEnd"/>
      <w:r w:rsidRPr="00F578E8">
        <w:rPr>
          <w:rStyle w:val="Collegamentoipertestuale"/>
          <w:color w:val="auto"/>
          <w:u w:val="none"/>
        </w:rPr>
        <w:t xml:space="preserve"> M</w:t>
      </w:r>
      <w:r w:rsidR="0061643C">
        <w:rPr>
          <w:rStyle w:val="Collegamentoipertestuale"/>
          <w:color w:val="auto"/>
          <w:u w:val="none"/>
        </w:rPr>
        <w:t xml:space="preserve">, </w:t>
      </w:r>
      <w:proofErr w:type="spellStart"/>
      <w:r w:rsidRPr="00F578E8">
        <w:rPr>
          <w:rStyle w:val="Collegamentoipertestuale"/>
          <w:color w:val="auto"/>
          <w:u w:val="none"/>
        </w:rPr>
        <w:t>Nattras</w:t>
      </w:r>
      <w:proofErr w:type="spellEnd"/>
      <w:r w:rsidRPr="00F578E8">
        <w:rPr>
          <w:rStyle w:val="Collegamentoipertestuale"/>
          <w:color w:val="auto"/>
          <w:u w:val="none"/>
        </w:rPr>
        <w:t xml:space="preserve"> L.,</w:t>
      </w:r>
      <w:r w:rsidR="00CE3BDC">
        <w:rPr>
          <w:rStyle w:val="Collegamentoipertestuale"/>
          <w:color w:val="auto"/>
          <w:u w:val="none"/>
        </w:rPr>
        <w:t xml:space="preserve"> </w:t>
      </w:r>
      <w:r w:rsidRPr="00F578E8">
        <w:rPr>
          <w:rStyle w:val="Collegamentoipertestuale"/>
          <w:color w:val="auto"/>
          <w:u w:val="none"/>
        </w:rPr>
        <w:t xml:space="preserve">Ripken R., Robson P., Taylor R., </w:t>
      </w:r>
      <w:r w:rsidR="00CE3BDC">
        <w:rPr>
          <w:rStyle w:val="Collegamentoipertestuale"/>
          <w:color w:val="auto"/>
          <w:u w:val="none"/>
        </w:rPr>
        <w:t>W</w:t>
      </w:r>
      <w:r w:rsidRPr="00F578E8">
        <w:rPr>
          <w:rStyle w:val="Collegamentoipertestuale"/>
          <w:color w:val="auto"/>
          <w:u w:val="none"/>
        </w:rPr>
        <w:t>agner H., 2016, Innovative Outlook Advanced Liquid Biofuels, IRENA.</w:t>
      </w:r>
    </w:p>
    <w:p w14:paraId="5C50AF96" w14:textId="77777777" w:rsidR="00DA05CB" w:rsidRPr="00F578E8" w:rsidRDefault="00DA05CB" w:rsidP="00C354EE">
      <w:pPr>
        <w:pStyle w:val="CETReferencetext"/>
      </w:pPr>
      <w:r w:rsidRPr="00F578E8">
        <w:t>Bradford, M. 1976, A Rapid and Sensitive Method for the Quantitation of Microgram Quantities of Protein Utilizing the Principle of Protein-Dye Binding, Analytical Biochemistry, 72, 1–2.</w:t>
      </w:r>
    </w:p>
    <w:p w14:paraId="5C50AF97" w14:textId="77777777" w:rsidR="00DA05CB" w:rsidRPr="00F578E8" w:rsidRDefault="00BF118B" w:rsidP="00C354EE">
      <w:pPr>
        <w:pStyle w:val="CETReferencetext"/>
      </w:pPr>
      <w:r w:rsidRPr="00F578E8">
        <w:t>Cherubini F., 2010,</w:t>
      </w:r>
      <w:r w:rsidR="005C377A" w:rsidRPr="00F578E8">
        <w:t xml:space="preserve"> The biorefinery concept: Using biomass instead of oil for producing energy and chemicals,</w:t>
      </w:r>
      <w:r w:rsidRPr="00F578E8">
        <w:t xml:space="preserve"> Energy Conversion and Management</w:t>
      </w:r>
      <w:r w:rsidR="005C377A" w:rsidRPr="00F578E8">
        <w:t xml:space="preserve">, </w:t>
      </w:r>
      <w:r w:rsidRPr="00F578E8">
        <w:t>51</w:t>
      </w:r>
      <w:r w:rsidR="005C377A" w:rsidRPr="00F578E8">
        <w:t xml:space="preserve">, </w:t>
      </w:r>
      <w:r w:rsidRPr="00F578E8">
        <w:t>1412-1421</w:t>
      </w:r>
      <w:r w:rsidR="001D5556" w:rsidRPr="00F578E8">
        <w:t>.</w:t>
      </w:r>
    </w:p>
    <w:p w14:paraId="5C50AF98" w14:textId="144FA965" w:rsidR="00833129" w:rsidRPr="00F578E8" w:rsidRDefault="00833129" w:rsidP="00C354EE">
      <w:pPr>
        <w:pStyle w:val="CETReferencetext"/>
      </w:pPr>
      <w:proofErr w:type="spellStart"/>
      <w:r w:rsidRPr="00F578E8">
        <w:t>Fillat</w:t>
      </w:r>
      <w:proofErr w:type="spellEnd"/>
      <w:r w:rsidRPr="00F578E8">
        <w:t xml:space="preserve"> Ú., Ibarra D., Eugenio M.E., Moreno A.D., Tomás-</w:t>
      </w:r>
      <w:proofErr w:type="spellStart"/>
      <w:r w:rsidRPr="00F578E8">
        <w:t>Pejó</w:t>
      </w:r>
      <w:proofErr w:type="spellEnd"/>
      <w:r w:rsidRPr="00F578E8">
        <w:t xml:space="preserve"> E., Martín-Sampedro R., 2017, Laccases as a Potential Tool for the Efficient Conversion of Lignocellulosic Biomass: A Review.,</w:t>
      </w:r>
      <w:r w:rsidR="00002318">
        <w:t xml:space="preserve"> </w:t>
      </w:r>
      <w:r w:rsidRPr="00F578E8">
        <w:t>Fermentation; 3(2):17.</w:t>
      </w:r>
    </w:p>
    <w:p w14:paraId="5C50AF99" w14:textId="77777777" w:rsidR="00DA05CB" w:rsidRPr="00F578E8" w:rsidRDefault="00DA05CB" w:rsidP="00C354EE">
      <w:pPr>
        <w:pStyle w:val="CETReferencetext"/>
        <w:rPr>
          <w:rStyle w:val="eop"/>
        </w:rPr>
      </w:pPr>
      <w:r w:rsidRPr="00F578E8">
        <w:rPr>
          <w:rStyle w:val="eop"/>
        </w:rPr>
        <w:lastRenderedPageBreak/>
        <w:t xml:space="preserve">Giacobbe S., Pezzella C., Lettera V., Sannia G., Piscitelli A.,2018, Laccase pretreatment for </w:t>
      </w:r>
      <w:proofErr w:type="spellStart"/>
      <w:r w:rsidRPr="00F578E8">
        <w:rPr>
          <w:rStyle w:val="eop"/>
        </w:rPr>
        <w:t>agrofood</w:t>
      </w:r>
      <w:proofErr w:type="spellEnd"/>
      <w:r w:rsidRPr="00F578E8">
        <w:rPr>
          <w:rStyle w:val="eop"/>
        </w:rPr>
        <w:t xml:space="preserve"> wastes </w:t>
      </w:r>
      <w:proofErr w:type="spellStart"/>
      <w:r w:rsidRPr="00F578E8">
        <w:rPr>
          <w:rStyle w:val="eop"/>
        </w:rPr>
        <w:t>valorization</w:t>
      </w:r>
      <w:proofErr w:type="spellEnd"/>
      <w:r w:rsidRPr="00F578E8">
        <w:rPr>
          <w:rStyle w:val="eop"/>
        </w:rPr>
        <w:t>, Bioresource Technology, 265, 59-65.</w:t>
      </w:r>
    </w:p>
    <w:p w14:paraId="5C50AF9A" w14:textId="77777777" w:rsidR="00852CFC" w:rsidRPr="00F578E8" w:rsidRDefault="00DA05CB" w:rsidP="00C354EE">
      <w:pPr>
        <w:pStyle w:val="CETReferencetext"/>
        <w:rPr>
          <w:rStyle w:val="eop"/>
          <w:lang w:val="en-US"/>
        </w:rPr>
      </w:pPr>
      <w:r w:rsidRPr="00F578E8">
        <w:rPr>
          <w:rStyle w:val="eop"/>
        </w:rPr>
        <w:t xml:space="preserve">Giacobbe S., Piscitelli A., </w:t>
      </w:r>
      <w:proofErr w:type="spellStart"/>
      <w:r w:rsidRPr="00F578E8">
        <w:rPr>
          <w:rStyle w:val="eop"/>
        </w:rPr>
        <w:t>Raganati</w:t>
      </w:r>
      <w:proofErr w:type="spellEnd"/>
      <w:r w:rsidRPr="00F578E8">
        <w:rPr>
          <w:rStyle w:val="eop"/>
        </w:rPr>
        <w:t xml:space="preserve"> F., Lettera V., Sannia G., Marzocchella A., Pezzella C., 2019, Butanol production from laccase-pretreated brewer’s spent grain. </w:t>
      </w:r>
      <w:proofErr w:type="spellStart"/>
      <w:r w:rsidRPr="00F578E8">
        <w:rPr>
          <w:rStyle w:val="eop"/>
          <w:lang w:val="en-US"/>
        </w:rPr>
        <w:t>Biotechnol</w:t>
      </w:r>
      <w:proofErr w:type="spellEnd"/>
      <w:r w:rsidRPr="00F578E8">
        <w:rPr>
          <w:rStyle w:val="eop"/>
          <w:lang w:val="en-US"/>
        </w:rPr>
        <w:t xml:space="preserve"> Biofuels, 12, 47.</w:t>
      </w:r>
    </w:p>
    <w:p w14:paraId="5C50AF9B" w14:textId="77777777" w:rsidR="00DA05CB" w:rsidRPr="00F578E8" w:rsidRDefault="00C50B5A" w:rsidP="00C354EE">
      <w:pPr>
        <w:pStyle w:val="CETReferencetext"/>
      </w:pPr>
      <w:r w:rsidRPr="00F578E8">
        <w:rPr>
          <w:rStyle w:val="eop"/>
        </w:rPr>
        <w:t xml:space="preserve">Macellaro G., Baratto M.C., Piscitelli A., Pezzella C., Fabrizi de </w:t>
      </w:r>
      <w:proofErr w:type="spellStart"/>
      <w:r w:rsidRPr="00F578E8">
        <w:rPr>
          <w:rStyle w:val="eop"/>
        </w:rPr>
        <w:t>Biani</w:t>
      </w:r>
      <w:proofErr w:type="spellEnd"/>
      <w:r w:rsidRPr="00F578E8">
        <w:rPr>
          <w:rStyle w:val="eop"/>
        </w:rPr>
        <w:t xml:space="preserve"> F., Palmese A., </w:t>
      </w:r>
      <w:proofErr w:type="spellStart"/>
      <w:r w:rsidRPr="00F578E8">
        <w:rPr>
          <w:rStyle w:val="eop"/>
        </w:rPr>
        <w:t>Piumi</w:t>
      </w:r>
      <w:proofErr w:type="spellEnd"/>
      <w:r w:rsidRPr="00F578E8">
        <w:rPr>
          <w:rStyle w:val="eop"/>
        </w:rPr>
        <w:t xml:space="preserve"> F., Record</w:t>
      </w:r>
      <w:r w:rsidR="00960846" w:rsidRPr="00F578E8">
        <w:rPr>
          <w:rStyle w:val="eop"/>
        </w:rPr>
        <w:t xml:space="preserve"> E</w:t>
      </w:r>
      <w:r w:rsidRPr="00F578E8">
        <w:rPr>
          <w:rStyle w:val="eop"/>
        </w:rPr>
        <w:t xml:space="preserve">, </w:t>
      </w:r>
      <w:proofErr w:type="spellStart"/>
      <w:r w:rsidRPr="00F578E8">
        <w:rPr>
          <w:rStyle w:val="eop"/>
        </w:rPr>
        <w:t>Basosi</w:t>
      </w:r>
      <w:proofErr w:type="spellEnd"/>
      <w:r w:rsidRPr="00F578E8">
        <w:rPr>
          <w:rStyle w:val="eop"/>
        </w:rPr>
        <w:t xml:space="preserve"> </w:t>
      </w:r>
      <w:r w:rsidR="00960846" w:rsidRPr="00F578E8">
        <w:rPr>
          <w:rStyle w:val="eop"/>
        </w:rPr>
        <w:t>R.,</w:t>
      </w:r>
      <w:r w:rsidRPr="00F578E8">
        <w:rPr>
          <w:rStyle w:val="eop"/>
        </w:rPr>
        <w:t xml:space="preserve"> Sannia</w:t>
      </w:r>
      <w:r w:rsidR="00960846" w:rsidRPr="00F578E8">
        <w:rPr>
          <w:rStyle w:val="eop"/>
        </w:rPr>
        <w:t xml:space="preserve"> G.,</w:t>
      </w:r>
      <w:r w:rsidR="00EA2B8D" w:rsidRPr="00F578E8">
        <w:rPr>
          <w:rStyle w:val="eop"/>
        </w:rPr>
        <w:t xml:space="preserve">2014, Effective mutations in a high redox potential laccase from </w:t>
      </w:r>
      <w:proofErr w:type="spellStart"/>
      <w:r w:rsidR="00EA2B8D" w:rsidRPr="00002318">
        <w:rPr>
          <w:rStyle w:val="eop"/>
          <w:i/>
          <w:iCs/>
        </w:rPr>
        <w:t>Pleurotus</w:t>
      </w:r>
      <w:proofErr w:type="spellEnd"/>
      <w:r w:rsidR="00EA2B8D" w:rsidRPr="00002318">
        <w:rPr>
          <w:rStyle w:val="eop"/>
          <w:i/>
          <w:iCs/>
        </w:rPr>
        <w:t xml:space="preserve"> </w:t>
      </w:r>
      <w:proofErr w:type="spellStart"/>
      <w:r w:rsidR="00EA2B8D" w:rsidRPr="00002318">
        <w:rPr>
          <w:rStyle w:val="eop"/>
          <w:i/>
          <w:iCs/>
        </w:rPr>
        <w:t>ostreatus</w:t>
      </w:r>
      <w:proofErr w:type="spellEnd"/>
      <w:r w:rsidR="00EA2B8D" w:rsidRPr="00F578E8">
        <w:rPr>
          <w:rStyle w:val="eop"/>
        </w:rPr>
        <w:t xml:space="preserve">, Appl </w:t>
      </w:r>
      <w:proofErr w:type="spellStart"/>
      <w:r w:rsidR="00EA2B8D" w:rsidRPr="00F578E8">
        <w:rPr>
          <w:rStyle w:val="eop"/>
        </w:rPr>
        <w:t>Microbiol</w:t>
      </w:r>
      <w:proofErr w:type="spellEnd"/>
      <w:r w:rsidR="00EA2B8D" w:rsidRPr="00F578E8">
        <w:rPr>
          <w:rStyle w:val="eop"/>
        </w:rPr>
        <w:t xml:space="preserve"> </w:t>
      </w:r>
      <w:proofErr w:type="spellStart"/>
      <w:r w:rsidR="00EA2B8D" w:rsidRPr="00F578E8">
        <w:rPr>
          <w:rStyle w:val="eop"/>
        </w:rPr>
        <w:t>Biotechnol</w:t>
      </w:r>
      <w:proofErr w:type="spellEnd"/>
      <w:r w:rsidR="00EA2B8D" w:rsidRPr="00F578E8">
        <w:rPr>
          <w:rStyle w:val="eop"/>
        </w:rPr>
        <w:t xml:space="preserve"> 98, 4949–4961.</w:t>
      </w:r>
    </w:p>
    <w:p w14:paraId="5C50AF9C" w14:textId="77777777" w:rsidR="00DA05CB" w:rsidRDefault="00AA165E" w:rsidP="00C354EE">
      <w:pPr>
        <w:pStyle w:val="CETReferencetext"/>
      </w:pPr>
      <w:r w:rsidRPr="00F578E8">
        <w:t xml:space="preserve">Niglio S., </w:t>
      </w:r>
      <w:proofErr w:type="spellStart"/>
      <w:r w:rsidRPr="00F578E8">
        <w:t>Procentese</w:t>
      </w:r>
      <w:proofErr w:type="spellEnd"/>
      <w:r w:rsidRPr="00F578E8">
        <w:t xml:space="preserve"> A., Russo M. E., Piscitelli A., Marzocchella A., 2019, </w:t>
      </w:r>
      <w:r w:rsidR="00FB6B6A" w:rsidRPr="00F578E8">
        <w:t>Integrated enzymatic pretreatment and hydrolysis of apple pomace in a bubble column bioreactor,</w:t>
      </w:r>
      <w:r w:rsidRPr="00F578E8">
        <w:t xml:space="preserve"> Biochemical Engineering Journal, 150,107306</w:t>
      </w:r>
      <w:r w:rsidR="001D5556" w:rsidRPr="00F578E8">
        <w:t>.</w:t>
      </w:r>
    </w:p>
    <w:p w14:paraId="6D99B08B" w14:textId="5E535AB5" w:rsidR="00F93251" w:rsidRPr="00F578E8" w:rsidRDefault="006B4D24" w:rsidP="00A429EB">
      <w:pPr>
        <w:pStyle w:val="CETReferencetext"/>
      </w:pPr>
      <w:r w:rsidRPr="00F578E8">
        <w:t xml:space="preserve">Niglio S., </w:t>
      </w:r>
      <w:proofErr w:type="spellStart"/>
      <w:r w:rsidRPr="00F578E8">
        <w:t>Procentese</w:t>
      </w:r>
      <w:proofErr w:type="spellEnd"/>
      <w:r w:rsidRPr="00F578E8">
        <w:t xml:space="preserve"> A., Russo M. E., </w:t>
      </w:r>
      <w:r w:rsidR="00BA7CA4">
        <w:t>Sannia</w:t>
      </w:r>
      <w:r w:rsidRPr="00F578E8">
        <w:t xml:space="preserve"> </w:t>
      </w:r>
      <w:r w:rsidR="00BA7CA4">
        <w:t>G</w:t>
      </w:r>
      <w:r w:rsidRPr="00F578E8">
        <w:t xml:space="preserve">., Marzocchella A., </w:t>
      </w:r>
      <w:r w:rsidR="00BA7CA4">
        <w:t xml:space="preserve">2020, </w:t>
      </w:r>
      <w:r>
        <w:t xml:space="preserve">Combined pretreatments of coffee </w:t>
      </w:r>
      <w:proofErr w:type="spellStart"/>
      <w:r>
        <w:t>silverskin</w:t>
      </w:r>
      <w:proofErr w:type="spellEnd"/>
      <w:r>
        <w:t xml:space="preserve"> to enhance fermentable sugar yield</w:t>
      </w:r>
      <w:r w:rsidR="00BA7CA4">
        <w:t xml:space="preserve">, </w:t>
      </w:r>
      <w:r w:rsidR="00A429EB">
        <w:t>Biomass Conversion and Biorefinery. https://doi.org/10.1007/s13399-019-00498-y</w:t>
      </w:r>
    </w:p>
    <w:p w14:paraId="5C50AF9D" w14:textId="77777777" w:rsidR="004D5F6E" w:rsidRPr="00F578E8" w:rsidRDefault="00DA05CB" w:rsidP="00C354EE">
      <w:pPr>
        <w:pStyle w:val="CETReferencetext"/>
      </w:pPr>
      <w:r w:rsidRPr="00F578E8">
        <w:t xml:space="preserve">Plácido J., </w:t>
      </w:r>
      <w:proofErr w:type="spellStart"/>
      <w:r w:rsidRPr="00F578E8">
        <w:t>Capareda</w:t>
      </w:r>
      <w:proofErr w:type="spellEnd"/>
      <w:r w:rsidRPr="00F578E8">
        <w:t xml:space="preserve"> S., 2015, Ligninolytic enzymes: a biotechnological alternative for bioethanol production. </w:t>
      </w:r>
      <w:proofErr w:type="spellStart"/>
      <w:r w:rsidRPr="00F578E8">
        <w:t>Bioresour</w:t>
      </w:r>
      <w:proofErr w:type="spellEnd"/>
      <w:r w:rsidRPr="00F578E8">
        <w:t>. Bioprocess, 2, 23</w:t>
      </w:r>
      <w:r w:rsidR="00C354EE" w:rsidRPr="00F578E8">
        <w:t>.</w:t>
      </w:r>
    </w:p>
    <w:p w14:paraId="5C50AF9E" w14:textId="051E6C7D" w:rsidR="00B83FA7" w:rsidRDefault="001D556C" w:rsidP="00C354EE">
      <w:pPr>
        <w:pStyle w:val="CETReferencetext"/>
        <w:rPr>
          <w:lang w:val="en-US"/>
        </w:rPr>
      </w:pPr>
      <w:proofErr w:type="spellStart"/>
      <w:r w:rsidRPr="00F578E8">
        <w:rPr>
          <w:lang w:val="en-US"/>
        </w:rPr>
        <w:t>Posilipo</w:t>
      </w:r>
      <w:proofErr w:type="spellEnd"/>
      <w:r w:rsidRPr="00F578E8">
        <w:rPr>
          <w:lang w:val="en-US"/>
        </w:rPr>
        <w:t xml:space="preserve"> A., Russo M.E., 2022,</w:t>
      </w:r>
      <w:r w:rsidR="006F5E99" w:rsidRPr="00F578E8">
        <w:t xml:space="preserve"> </w:t>
      </w:r>
      <w:r w:rsidR="006F5E99" w:rsidRPr="00F578E8">
        <w:rPr>
          <w:lang w:val="en-US"/>
        </w:rPr>
        <w:t xml:space="preserve">Initial Rate of Hydrolysis of Coffee </w:t>
      </w:r>
      <w:proofErr w:type="spellStart"/>
      <w:r w:rsidR="006F5E99" w:rsidRPr="00F578E8">
        <w:rPr>
          <w:lang w:val="en-US"/>
        </w:rPr>
        <w:t>Silverskin</w:t>
      </w:r>
      <w:proofErr w:type="spellEnd"/>
      <w:r w:rsidR="006F5E99" w:rsidRPr="00F578E8">
        <w:rPr>
          <w:lang w:val="en-US"/>
        </w:rPr>
        <w:t xml:space="preserve"> by a Commercial Cellulase Cocktail, </w:t>
      </w:r>
      <w:r w:rsidR="00F14D5F" w:rsidRPr="00F578E8">
        <w:rPr>
          <w:lang w:val="en-US"/>
        </w:rPr>
        <w:t>Chemical Engineering Transactions,</w:t>
      </w:r>
      <w:r w:rsidR="009334C7" w:rsidRPr="00F578E8">
        <w:rPr>
          <w:lang w:val="en-US"/>
        </w:rPr>
        <w:t xml:space="preserve"> 93,</w:t>
      </w:r>
      <w:r w:rsidR="00250720" w:rsidRPr="00F578E8">
        <w:rPr>
          <w:lang w:val="en-US"/>
        </w:rPr>
        <w:t xml:space="preserve"> 25-30.</w:t>
      </w:r>
    </w:p>
    <w:p w14:paraId="7B34A69D" w14:textId="722A95C1" w:rsidR="00CD4402" w:rsidRPr="00796965" w:rsidRDefault="00CD4402" w:rsidP="00C354EE">
      <w:pPr>
        <w:pStyle w:val="CETReferencetext"/>
      </w:pPr>
      <w:proofErr w:type="spellStart"/>
      <w:r w:rsidRPr="00796965">
        <w:t>Posilipo</w:t>
      </w:r>
      <w:proofErr w:type="spellEnd"/>
      <w:r w:rsidRPr="00796965">
        <w:t xml:space="preserve"> A.,</w:t>
      </w:r>
      <w:r w:rsidR="002B12BD">
        <w:t xml:space="preserve"> </w:t>
      </w:r>
      <w:r w:rsidR="00540D2B">
        <w:t>2024</w:t>
      </w:r>
      <w:r w:rsidR="0048775D">
        <w:t>,</w:t>
      </w:r>
      <w:r w:rsidR="00540D2B">
        <w:t xml:space="preserve"> </w:t>
      </w:r>
      <w:r w:rsidR="00424575">
        <w:t>Optimization of Biochemical Saccharification of Lignocellulosic Biomass</w:t>
      </w:r>
      <w:r w:rsidR="002B12BD">
        <w:t xml:space="preserve">. </w:t>
      </w:r>
      <w:r w:rsidR="007B1554">
        <w:t>PhD Thesis</w:t>
      </w:r>
      <w:r w:rsidR="007B1554">
        <w:t xml:space="preserve"> </w:t>
      </w:r>
      <w:proofErr w:type="spellStart"/>
      <w:r w:rsidR="002B12BD" w:rsidRPr="00424575">
        <w:rPr>
          <w:i/>
          <w:iCs/>
        </w:rPr>
        <w:t>Università</w:t>
      </w:r>
      <w:proofErr w:type="spellEnd"/>
      <w:r w:rsidR="002B12BD" w:rsidRPr="00424575">
        <w:rPr>
          <w:i/>
          <w:iCs/>
        </w:rPr>
        <w:t xml:space="preserve"> </w:t>
      </w:r>
      <w:proofErr w:type="spellStart"/>
      <w:r w:rsidR="002B12BD" w:rsidRPr="00424575">
        <w:rPr>
          <w:i/>
          <w:iCs/>
        </w:rPr>
        <w:t>degli</w:t>
      </w:r>
      <w:proofErr w:type="spellEnd"/>
      <w:r w:rsidR="002B12BD" w:rsidRPr="00424575">
        <w:rPr>
          <w:i/>
          <w:iCs/>
        </w:rPr>
        <w:t xml:space="preserve"> Studi di Napoli Federico II</w:t>
      </w:r>
    </w:p>
    <w:p w14:paraId="5C50AF9F" w14:textId="77777777" w:rsidR="004D5F6E" w:rsidRPr="00F578E8" w:rsidRDefault="004D5F6E" w:rsidP="00C354EE">
      <w:pPr>
        <w:pStyle w:val="CETReferencetext"/>
      </w:pPr>
      <w:r w:rsidRPr="00F578E8">
        <w:t>Sharma H. K., Xu C., Qin W., 2019, Biological Pretreatment of Lignocellulosic Biomass for Biofuels and Bioproducts: An Overview. Waste Biomass 10, 235–251.</w:t>
      </w:r>
    </w:p>
    <w:p w14:paraId="5C50AFA0" w14:textId="77777777" w:rsidR="00CC68C4" w:rsidRPr="00F578E8" w:rsidRDefault="00DA05CB" w:rsidP="00C354EE">
      <w:pPr>
        <w:pStyle w:val="CETReferencetext"/>
        <w:rPr>
          <w:rStyle w:val="eop"/>
        </w:rPr>
      </w:pPr>
      <w:r w:rsidRPr="00F578E8">
        <w:t>Sluiter A., Hames B., Ruiz R., Scarlata C., Sluiter J., Templeton D., 2008, Determination of Structural Carbohydrates and Lignin in Biomass</w:t>
      </w:r>
      <w:r w:rsidRPr="00F578E8" w:rsidDel="00D72225">
        <w:t xml:space="preserve"> </w:t>
      </w:r>
      <w:r w:rsidRPr="00F578E8">
        <w:t>- Laboratory Analytical Procedure.</w:t>
      </w:r>
    </w:p>
    <w:p w14:paraId="5C50AFA1" w14:textId="77777777" w:rsidR="004628D2" w:rsidRDefault="00DA05CB" w:rsidP="00BD58DE">
      <w:pPr>
        <w:tabs>
          <w:tab w:val="clear" w:pos="7100"/>
        </w:tabs>
        <w:spacing w:after="200" w:line="276" w:lineRule="auto"/>
        <w:jc w:val="left"/>
      </w:pPr>
      <w:r w:rsidRPr="00F578E8">
        <w:t>Suhag M., Sharma H. R., 2015, Biorefinery Concept: An Overview of Producing Energy, Fuels and Materials from Biomass Feedstocks, International Advanced Research Journal in Science, Engineering and Technology 2,12.</w:t>
      </w:r>
    </w:p>
    <w:sectPr w:rsidR="004628D2" w:rsidSect="0003119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050CE" w14:textId="77777777" w:rsidR="00F6637C" w:rsidRDefault="00F6637C" w:rsidP="004F5E36">
      <w:r>
        <w:separator/>
      </w:r>
    </w:p>
  </w:endnote>
  <w:endnote w:type="continuationSeparator" w:id="0">
    <w:p w14:paraId="4532294F" w14:textId="77777777" w:rsidR="00F6637C" w:rsidRDefault="00F6637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D66D9" w14:textId="77777777" w:rsidR="00F6637C" w:rsidRDefault="00F6637C" w:rsidP="004F5E36">
      <w:r>
        <w:separator/>
      </w:r>
    </w:p>
  </w:footnote>
  <w:footnote w:type="continuationSeparator" w:id="0">
    <w:p w14:paraId="53B604D7" w14:textId="77777777" w:rsidR="00F6637C" w:rsidRDefault="00F6637C"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B737A2B"/>
    <w:multiLevelType w:val="hybridMultilevel"/>
    <w:tmpl w:val="A98848B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438217E"/>
    <w:multiLevelType w:val="multilevel"/>
    <w:tmpl w:val="5BD457BA"/>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2694"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5421C8D"/>
    <w:multiLevelType w:val="hybridMultilevel"/>
    <w:tmpl w:val="47F4AF8C"/>
    <w:lvl w:ilvl="0" w:tplc="12CA2582">
      <w:start w:val="1"/>
      <w:numFmt w:val="decimal"/>
      <w:lvlText w:val="(%1)"/>
      <w:lvlJc w:val="left"/>
      <w:pPr>
        <w:ind w:left="720" w:hanging="360"/>
      </w:pPr>
      <w:rPr>
        <w:rFonts w:asciiTheme="minorHAnsi" w:eastAsiaTheme="minorHAnsi" w:hAnsiTheme="minorHAnsi" w:cstheme="minorBidi"/>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6E05391"/>
    <w:multiLevelType w:val="hybridMultilevel"/>
    <w:tmpl w:val="42647128"/>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7236543">
    <w:abstractNumId w:val="11"/>
  </w:num>
  <w:num w:numId="2" w16cid:durableId="1986271807">
    <w:abstractNumId w:val="8"/>
  </w:num>
  <w:num w:numId="3" w16cid:durableId="642007157">
    <w:abstractNumId w:val="3"/>
  </w:num>
  <w:num w:numId="4" w16cid:durableId="1680037009">
    <w:abstractNumId w:val="2"/>
  </w:num>
  <w:num w:numId="5" w16cid:durableId="100878539">
    <w:abstractNumId w:val="1"/>
  </w:num>
  <w:num w:numId="6" w16cid:durableId="1254823531">
    <w:abstractNumId w:val="0"/>
  </w:num>
  <w:num w:numId="7" w16cid:durableId="15541996">
    <w:abstractNumId w:val="9"/>
  </w:num>
  <w:num w:numId="8" w16cid:durableId="355692363">
    <w:abstractNumId w:val="7"/>
  </w:num>
  <w:num w:numId="9" w16cid:durableId="1190024360">
    <w:abstractNumId w:val="6"/>
  </w:num>
  <w:num w:numId="10" w16cid:durableId="868033769">
    <w:abstractNumId w:val="5"/>
  </w:num>
  <w:num w:numId="11" w16cid:durableId="1679698228">
    <w:abstractNumId w:val="4"/>
  </w:num>
  <w:num w:numId="12" w16cid:durableId="344283329">
    <w:abstractNumId w:val="19"/>
  </w:num>
  <w:num w:numId="13" w16cid:durableId="1480733913">
    <w:abstractNumId w:val="13"/>
  </w:num>
  <w:num w:numId="14" w16cid:durableId="845093865">
    <w:abstractNumId w:val="20"/>
  </w:num>
  <w:num w:numId="15" w16cid:durableId="449015009">
    <w:abstractNumId w:val="22"/>
  </w:num>
  <w:num w:numId="16" w16cid:durableId="2113546567">
    <w:abstractNumId w:val="21"/>
  </w:num>
  <w:num w:numId="17" w16cid:durableId="1568220838">
    <w:abstractNumId w:val="12"/>
  </w:num>
  <w:num w:numId="18" w16cid:durableId="508371118">
    <w:abstractNumId w:val="13"/>
    <w:lvlOverride w:ilvl="0">
      <w:startOverride w:val="1"/>
    </w:lvlOverride>
  </w:num>
  <w:num w:numId="19" w16cid:durableId="1351881818">
    <w:abstractNumId w:val="17"/>
  </w:num>
  <w:num w:numId="20" w16cid:durableId="119035002">
    <w:abstractNumId w:val="16"/>
  </w:num>
  <w:num w:numId="21" w16cid:durableId="436172576">
    <w:abstractNumId w:val="15"/>
  </w:num>
  <w:num w:numId="22" w16cid:durableId="1438404814">
    <w:abstractNumId w:val="14"/>
  </w:num>
  <w:num w:numId="23" w16cid:durableId="488332104">
    <w:abstractNumId w:val="18"/>
  </w:num>
  <w:num w:numId="24" w16cid:durableId="1657681194">
    <w:abstractNumId w:val="10"/>
  </w:num>
  <w:num w:numId="25" w16cid:durableId="814171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318"/>
    <w:rsid w:val="000027C0"/>
    <w:rsid w:val="000032E0"/>
    <w:rsid w:val="000052FB"/>
    <w:rsid w:val="00006B05"/>
    <w:rsid w:val="00006B63"/>
    <w:rsid w:val="000106D2"/>
    <w:rsid w:val="000117CB"/>
    <w:rsid w:val="000128E0"/>
    <w:rsid w:val="00012D26"/>
    <w:rsid w:val="00015274"/>
    <w:rsid w:val="00023CB2"/>
    <w:rsid w:val="00024A0D"/>
    <w:rsid w:val="0002570F"/>
    <w:rsid w:val="00026640"/>
    <w:rsid w:val="00026F9D"/>
    <w:rsid w:val="00031199"/>
    <w:rsid w:val="0003148D"/>
    <w:rsid w:val="00031EEC"/>
    <w:rsid w:val="00042056"/>
    <w:rsid w:val="00042310"/>
    <w:rsid w:val="000503CF"/>
    <w:rsid w:val="00051566"/>
    <w:rsid w:val="0005158B"/>
    <w:rsid w:val="00051E56"/>
    <w:rsid w:val="00053876"/>
    <w:rsid w:val="000562A9"/>
    <w:rsid w:val="00060CAF"/>
    <w:rsid w:val="0006173B"/>
    <w:rsid w:val="00062A9A"/>
    <w:rsid w:val="00065058"/>
    <w:rsid w:val="0006747D"/>
    <w:rsid w:val="000805D8"/>
    <w:rsid w:val="00081A35"/>
    <w:rsid w:val="00086C39"/>
    <w:rsid w:val="0009231F"/>
    <w:rsid w:val="00094A05"/>
    <w:rsid w:val="000A03B2"/>
    <w:rsid w:val="000B1947"/>
    <w:rsid w:val="000B231F"/>
    <w:rsid w:val="000B28B1"/>
    <w:rsid w:val="000C5972"/>
    <w:rsid w:val="000C5B22"/>
    <w:rsid w:val="000C68A3"/>
    <w:rsid w:val="000D0268"/>
    <w:rsid w:val="000D1980"/>
    <w:rsid w:val="000D34BE"/>
    <w:rsid w:val="000D35C7"/>
    <w:rsid w:val="000D35F4"/>
    <w:rsid w:val="000D723D"/>
    <w:rsid w:val="000E0298"/>
    <w:rsid w:val="000E102F"/>
    <w:rsid w:val="000E2910"/>
    <w:rsid w:val="000E2CBE"/>
    <w:rsid w:val="000E2ED6"/>
    <w:rsid w:val="000E36F1"/>
    <w:rsid w:val="000E3A73"/>
    <w:rsid w:val="000E3AAC"/>
    <w:rsid w:val="000E3D29"/>
    <w:rsid w:val="000E414A"/>
    <w:rsid w:val="000E5786"/>
    <w:rsid w:val="000F093C"/>
    <w:rsid w:val="000F1E68"/>
    <w:rsid w:val="000F5529"/>
    <w:rsid w:val="000F787B"/>
    <w:rsid w:val="00104B22"/>
    <w:rsid w:val="001058C8"/>
    <w:rsid w:val="00107D95"/>
    <w:rsid w:val="00110D2D"/>
    <w:rsid w:val="00113156"/>
    <w:rsid w:val="0012091F"/>
    <w:rsid w:val="0012170B"/>
    <w:rsid w:val="00121788"/>
    <w:rsid w:val="00121E97"/>
    <w:rsid w:val="001237F3"/>
    <w:rsid w:val="00126BC2"/>
    <w:rsid w:val="001308B6"/>
    <w:rsid w:val="0013121F"/>
    <w:rsid w:val="00131FE6"/>
    <w:rsid w:val="0013263F"/>
    <w:rsid w:val="00132E92"/>
    <w:rsid w:val="001331DF"/>
    <w:rsid w:val="00134DE4"/>
    <w:rsid w:val="00136692"/>
    <w:rsid w:val="0014034D"/>
    <w:rsid w:val="00140C87"/>
    <w:rsid w:val="00144C42"/>
    <w:rsid w:val="00144D16"/>
    <w:rsid w:val="00145D41"/>
    <w:rsid w:val="00150E59"/>
    <w:rsid w:val="001528BD"/>
    <w:rsid w:val="00152DE3"/>
    <w:rsid w:val="00153661"/>
    <w:rsid w:val="00156F74"/>
    <w:rsid w:val="00160352"/>
    <w:rsid w:val="00164CF9"/>
    <w:rsid w:val="001654B9"/>
    <w:rsid w:val="001667A6"/>
    <w:rsid w:val="00167BAE"/>
    <w:rsid w:val="00177BF0"/>
    <w:rsid w:val="00182172"/>
    <w:rsid w:val="00184AD6"/>
    <w:rsid w:val="00186496"/>
    <w:rsid w:val="001876A9"/>
    <w:rsid w:val="00191A5F"/>
    <w:rsid w:val="00192031"/>
    <w:rsid w:val="001925C0"/>
    <w:rsid w:val="00195765"/>
    <w:rsid w:val="00196E50"/>
    <w:rsid w:val="00196E5A"/>
    <w:rsid w:val="001A4AF7"/>
    <w:rsid w:val="001A5C37"/>
    <w:rsid w:val="001B0349"/>
    <w:rsid w:val="001B0792"/>
    <w:rsid w:val="001B1023"/>
    <w:rsid w:val="001B1E93"/>
    <w:rsid w:val="001B44DF"/>
    <w:rsid w:val="001B46BB"/>
    <w:rsid w:val="001B65C1"/>
    <w:rsid w:val="001B7E86"/>
    <w:rsid w:val="001C3598"/>
    <w:rsid w:val="001C4E8B"/>
    <w:rsid w:val="001C513C"/>
    <w:rsid w:val="001C684B"/>
    <w:rsid w:val="001C7272"/>
    <w:rsid w:val="001D0764"/>
    <w:rsid w:val="001D0CFB"/>
    <w:rsid w:val="001D21AF"/>
    <w:rsid w:val="001D3598"/>
    <w:rsid w:val="001D4298"/>
    <w:rsid w:val="001D53FC"/>
    <w:rsid w:val="001D5556"/>
    <w:rsid w:val="001D556C"/>
    <w:rsid w:val="001D6899"/>
    <w:rsid w:val="001D769E"/>
    <w:rsid w:val="001D7BB8"/>
    <w:rsid w:val="001E042C"/>
    <w:rsid w:val="001E7157"/>
    <w:rsid w:val="001F1798"/>
    <w:rsid w:val="001F3394"/>
    <w:rsid w:val="001F33A2"/>
    <w:rsid w:val="001F42A5"/>
    <w:rsid w:val="001F6EBB"/>
    <w:rsid w:val="001F7B9D"/>
    <w:rsid w:val="002017C4"/>
    <w:rsid w:val="00201C93"/>
    <w:rsid w:val="002024DB"/>
    <w:rsid w:val="00203BC5"/>
    <w:rsid w:val="0020485E"/>
    <w:rsid w:val="002128B6"/>
    <w:rsid w:val="00213EDB"/>
    <w:rsid w:val="002142F3"/>
    <w:rsid w:val="00220F32"/>
    <w:rsid w:val="002217F2"/>
    <w:rsid w:val="002224B4"/>
    <w:rsid w:val="00222E63"/>
    <w:rsid w:val="0022675C"/>
    <w:rsid w:val="00226C30"/>
    <w:rsid w:val="0023022A"/>
    <w:rsid w:val="0023044A"/>
    <w:rsid w:val="00230E9C"/>
    <w:rsid w:val="00232071"/>
    <w:rsid w:val="00232B9B"/>
    <w:rsid w:val="00234152"/>
    <w:rsid w:val="00234CF8"/>
    <w:rsid w:val="00235219"/>
    <w:rsid w:val="00235B6A"/>
    <w:rsid w:val="0023612C"/>
    <w:rsid w:val="00242ECC"/>
    <w:rsid w:val="00243F73"/>
    <w:rsid w:val="002447EF"/>
    <w:rsid w:val="002477A2"/>
    <w:rsid w:val="00247F86"/>
    <w:rsid w:val="00250720"/>
    <w:rsid w:val="00251550"/>
    <w:rsid w:val="002558ED"/>
    <w:rsid w:val="00255FBF"/>
    <w:rsid w:val="002603CF"/>
    <w:rsid w:val="00261E3B"/>
    <w:rsid w:val="00261E8D"/>
    <w:rsid w:val="00263B05"/>
    <w:rsid w:val="00270C48"/>
    <w:rsid w:val="0027221A"/>
    <w:rsid w:val="00275B61"/>
    <w:rsid w:val="00276EDD"/>
    <w:rsid w:val="00280FAF"/>
    <w:rsid w:val="00282656"/>
    <w:rsid w:val="002834D9"/>
    <w:rsid w:val="00283EBC"/>
    <w:rsid w:val="00285C17"/>
    <w:rsid w:val="00290226"/>
    <w:rsid w:val="002916C2"/>
    <w:rsid w:val="00296B83"/>
    <w:rsid w:val="002A2E8A"/>
    <w:rsid w:val="002A3E7C"/>
    <w:rsid w:val="002A6CB2"/>
    <w:rsid w:val="002A79E6"/>
    <w:rsid w:val="002A7A49"/>
    <w:rsid w:val="002B027C"/>
    <w:rsid w:val="002B05FA"/>
    <w:rsid w:val="002B12BD"/>
    <w:rsid w:val="002B4015"/>
    <w:rsid w:val="002B5E8D"/>
    <w:rsid w:val="002B785D"/>
    <w:rsid w:val="002B78CE"/>
    <w:rsid w:val="002C0DDE"/>
    <w:rsid w:val="002C152B"/>
    <w:rsid w:val="002C2FB6"/>
    <w:rsid w:val="002C621F"/>
    <w:rsid w:val="002D1AD4"/>
    <w:rsid w:val="002E11C8"/>
    <w:rsid w:val="002E5FA7"/>
    <w:rsid w:val="002E6F11"/>
    <w:rsid w:val="002F06A1"/>
    <w:rsid w:val="002F3309"/>
    <w:rsid w:val="002F50FE"/>
    <w:rsid w:val="00300386"/>
    <w:rsid w:val="003008CE"/>
    <w:rsid w:val="003009B7"/>
    <w:rsid w:val="00300E56"/>
    <w:rsid w:val="0030152C"/>
    <w:rsid w:val="0030469C"/>
    <w:rsid w:val="00305F11"/>
    <w:rsid w:val="003119C9"/>
    <w:rsid w:val="0031510B"/>
    <w:rsid w:val="0031549F"/>
    <w:rsid w:val="00316047"/>
    <w:rsid w:val="00316430"/>
    <w:rsid w:val="00317AE0"/>
    <w:rsid w:val="00321CA6"/>
    <w:rsid w:val="00323763"/>
    <w:rsid w:val="00323C5F"/>
    <w:rsid w:val="00326D23"/>
    <w:rsid w:val="00331E1F"/>
    <w:rsid w:val="00333D51"/>
    <w:rsid w:val="00334C09"/>
    <w:rsid w:val="003354B1"/>
    <w:rsid w:val="003362B8"/>
    <w:rsid w:val="00337EDD"/>
    <w:rsid w:val="00340A44"/>
    <w:rsid w:val="003426C6"/>
    <w:rsid w:val="00343D7D"/>
    <w:rsid w:val="00344304"/>
    <w:rsid w:val="003453EF"/>
    <w:rsid w:val="00345857"/>
    <w:rsid w:val="003479DA"/>
    <w:rsid w:val="003545CA"/>
    <w:rsid w:val="00356B43"/>
    <w:rsid w:val="00356DE8"/>
    <w:rsid w:val="00357A4F"/>
    <w:rsid w:val="00357D63"/>
    <w:rsid w:val="00362681"/>
    <w:rsid w:val="00362684"/>
    <w:rsid w:val="00363BC2"/>
    <w:rsid w:val="003651B9"/>
    <w:rsid w:val="00365868"/>
    <w:rsid w:val="003718BF"/>
    <w:rsid w:val="003723D4"/>
    <w:rsid w:val="00377EE9"/>
    <w:rsid w:val="003809CD"/>
    <w:rsid w:val="00381905"/>
    <w:rsid w:val="00381B4C"/>
    <w:rsid w:val="00384CC8"/>
    <w:rsid w:val="003871FD"/>
    <w:rsid w:val="00390DD2"/>
    <w:rsid w:val="003958F4"/>
    <w:rsid w:val="003A1427"/>
    <w:rsid w:val="003A1E30"/>
    <w:rsid w:val="003A2829"/>
    <w:rsid w:val="003A6FC6"/>
    <w:rsid w:val="003A7D1C"/>
    <w:rsid w:val="003A7F21"/>
    <w:rsid w:val="003B18BE"/>
    <w:rsid w:val="003B304B"/>
    <w:rsid w:val="003B3146"/>
    <w:rsid w:val="003B645A"/>
    <w:rsid w:val="003C7588"/>
    <w:rsid w:val="003D6DE8"/>
    <w:rsid w:val="003F015E"/>
    <w:rsid w:val="003F018A"/>
    <w:rsid w:val="003F1149"/>
    <w:rsid w:val="003F7CD3"/>
    <w:rsid w:val="00400414"/>
    <w:rsid w:val="00401083"/>
    <w:rsid w:val="00401F02"/>
    <w:rsid w:val="00401F77"/>
    <w:rsid w:val="0040494C"/>
    <w:rsid w:val="00405A4B"/>
    <w:rsid w:val="00410FFA"/>
    <w:rsid w:val="0041446B"/>
    <w:rsid w:val="00416174"/>
    <w:rsid w:val="004166F9"/>
    <w:rsid w:val="00416898"/>
    <w:rsid w:val="00416C1B"/>
    <w:rsid w:val="00421D8B"/>
    <w:rsid w:val="00424575"/>
    <w:rsid w:val="00425599"/>
    <w:rsid w:val="004303A0"/>
    <w:rsid w:val="00431082"/>
    <w:rsid w:val="00433A94"/>
    <w:rsid w:val="0043404B"/>
    <w:rsid w:val="00434535"/>
    <w:rsid w:val="004347A1"/>
    <w:rsid w:val="00434F2F"/>
    <w:rsid w:val="0043560C"/>
    <w:rsid w:val="00437CC1"/>
    <w:rsid w:val="0044071E"/>
    <w:rsid w:val="00442235"/>
    <w:rsid w:val="0044329C"/>
    <w:rsid w:val="004449E5"/>
    <w:rsid w:val="004531A2"/>
    <w:rsid w:val="00453E24"/>
    <w:rsid w:val="00455460"/>
    <w:rsid w:val="00455A3E"/>
    <w:rsid w:val="00457456"/>
    <w:rsid w:val="004577FE"/>
    <w:rsid w:val="00457B9C"/>
    <w:rsid w:val="0046164A"/>
    <w:rsid w:val="004616E8"/>
    <w:rsid w:val="004628D2"/>
    <w:rsid w:val="00462DCD"/>
    <w:rsid w:val="004638EF"/>
    <w:rsid w:val="004648AD"/>
    <w:rsid w:val="004667F1"/>
    <w:rsid w:val="004678CC"/>
    <w:rsid w:val="004703A9"/>
    <w:rsid w:val="00471F2A"/>
    <w:rsid w:val="00474E7E"/>
    <w:rsid w:val="004760DE"/>
    <w:rsid w:val="004761E9"/>
    <w:rsid w:val="004763D7"/>
    <w:rsid w:val="0048775D"/>
    <w:rsid w:val="0048795C"/>
    <w:rsid w:val="00487C80"/>
    <w:rsid w:val="00493B70"/>
    <w:rsid w:val="0049729C"/>
    <w:rsid w:val="004A004E"/>
    <w:rsid w:val="004A0B84"/>
    <w:rsid w:val="004A24CF"/>
    <w:rsid w:val="004A3B28"/>
    <w:rsid w:val="004A4304"/>
    <w:rsid w:val="004A5B17"/>
    <w:rsid w:val="004A5E90"/>
    <w:rsid w:val="004B0DF9"/>
    <w:rsid w:val="004B1A75"/>
    <w:rsid w:val="004C11E6"/>
    <w:rsid w:val="004C16F6"/>
    <w:rsid w:val="004C2671"/>
    <w:rsid w:val="004C3D1D"/>
    <w:rsid w:val="004C3D84"/>
    <w:rsid w:val="004C501C"/>
    <w:rsid w:val="004C6FAB"/>
    <w:rsid w:val="004C7020"/>
    <w:rsid w:val="004C70FD"/>
    <w:rsid w:val="004C7913"/>
    <w:rsid w:val="004D1770"/>
    <w:rsid w:val="004D206B"/>
    <w:rsid w:val="004D2217"/>
    <w:rsid w:val="004D32B9"/>
    <w:rsid w:val="004D496B"/>
    <w:rsid w:val="004D4BFF"/>
    <w:rsid w:val="004D5F6E"/>
    <w:rsid w:val="004D7271"/>
    <w:rsid w:val="004E46E2"/>
    <w:rsid w:val="004E48D9"/>
    <w:rsid w:val="004E4DD6"/>
    <w:rsid w:val="004E7BF2"/>
    <w:rsid w:val="004E7FB8"/>
    <w:rsid w:val="004F228F"/>
    <w:rsid w:val="004F5E36"/>
    <w:rsid w:val="00507B47"/>
    <w:rsid w:val="00507BEF"/>
    <w:rsid w:val="00507CC9"/>
    <w:rsid w:val="005119A5"/>
    <w:rsid w:val="00511B93"/>
    <w:rsid w:val="00516AAC"/>
    <w:rsid w:val="005207FE"/>
    <w:rsid w:val="00525963"/>
    <w:rsid w:val="005278B7"/>
    <w:rsid w:val="00531604"/>
    <w:rsid w:val="005318B2"/>
    <w:rsid w:val="00532016"/>
    <w:rsid w:val="005328E4"/>
    <w:rsid w:val="005342D2"/>
    <w:rsid w:val="005346C8"/>
    <w:rsid w:val="005373EE"/>
    <w:rsid w:val="005408DB"/>
    <w:rsid w:val="00540D2B"/>
    <w:rsid w:val="00540F32"/>
    <w:rsid w:val="00541D71"/>
    <w:rsid w:val="0054246D"/>
    <w:rsid w:val="00543689"/>
    <w:rsid w:val="00543E7D"/>
    <w:rsid w:val="005448A0"/>
    <w:rsid w:val="00545B56"/>
    <w:rsid w:val="00547A68"/>
    <w:rsid w:val="005531C9"/>
    <w:rsid w:val="00555493"/>
    <w:rsid w:val="00557E14"/>
    <w:rsid w:val="005600DB"/>
    <w:rsid w:val="00564C77"/>
    <w:rsid w:val="00567AC9"/>
    <w:rsid w:val="00567E04"/>
    <w:rsid w:val="00570C43"/>
    <w:rsid w:val="00572F39"/>
    <w:rsid w:val="00574AF1"/>
    <w:rsid w:val="00577871"/>
    <w:rsid w:val="005808BF"/>
    <w:rsid w:val="0058145F"/>
    <w:rsid w:val="00583125"/>
    <w:rsid w:val="00584E95"/>
    <w:rsid w:val="005909A3"/>
    <w:rsid w:val="005A148E"/>
    <w:rsid w:val="005A70E4"/>
    <w:rsid w:val="005A7BCA"/>
    <w:rsid w:val="005B121A"/>
    <w:rsid w:val="005B2110"/>
    <w:rsid w:val="005B22BB"/>
    <w:rsid w:val="005B3D90"/>
    <w:rsid w:val="005B61E6"/>
    <w:rsid w:val="005B64FA"/>
    <w:rsid w:val="005C0709"/>
    <w:rsid w:val="005C377A"/>
    <w:rsid w:val="005C491C"/>
    <w:rsid w:val="005C5199"/>
    <w:rsid w:val="005C6A55"/>
    <w:rsid w:val="005C77E1"/>
    <w:rsid w:val="005D4104"/>
    <w:rsid w:val="005D54DB"/>
    <w:rsid w:val="005D668A"/>
    <w:rsid w:val="005D6A2F"/>
    <w:rsid w:val="005E010C"/>
    <w:rsid w:val="005E1A82"/>
    <w:rsid w:val="005E1E35"/>
    <w:rsid w:val="005E1F4F"/>
    <w:rsid w:val="005E29BD"/>
    <w:rsid w:val="005E4529"/>
    <w:rsid w:val="005E794C"/>
    <w:rsid w:val="005F0A28"/>
    <w:rsid w:val="005F0E5E"/>
    <w:rsid w:val="005F4293"/>
    <w:rsid w:val="005F497E"/>
    <w:rsid w:val="005F4D1A"/>
    <w:rsid w:val="00600535"/>
    <w:rsid w:val="00606A1D"/>
    <w:rsid w:val="0060734A"/>
    <w:rsid w:val="00607BF0"/>
    <w:rsid w:val="00610CD6"/>
    <w:rsid w:val="006132D4"/>
    <w:rsid w:val="00614181"/>
    <w:rsid w:val="0061643C"/>
    <w:rsid w:val="00620DEE"/>
    <w:rsid w:val="006215E6"/>
    <w:rsid w:val="00621A54"/>
    <w:rsid w:val="00621F92"/>
    <w:rsid w:val="00622795"/>
    <w:rsid w:val="0062280A"/>
    <w:rsid w:val="00622B44"/>
    <w:rsid w:val="00625639"/>
    <w:rsid w:val="00625ED9"/>
    <w:rsid w:val="00631B33"/>
    <w:rsid w:val="0063551B"/>
    <w:rsid w:val="00635E83"/>
    <w:rsid w:val="006367D7"/>
    <w:rsid w:val="00637568"/>
    <w:rsid w:val="00637886"/>
    <w:rsid w:val="0064184D"/>
    <w:rsid w:val="006422CC"/>
    <w:rsid w:val="0064358D"/>
    <w:rsid w:val="00650445"/>
    <w:rsid w:val="0065598D"/>
    <w:rsid w:val="006576A3"/>
    <w:rsid w:val="00657941"/>
    <w:rsid w:val="00660E3E"/>
    <w:rsid w:val="00661FCD"/>
    <w:rsid w:val="00662E74"/>
    <w:rsid w:val="00663B9E"/>
    <w:rsid w:val="00666A0E"/>
    <w:rsid w:val="00666E41"/>
    <w:rsid w:val="0066753E"/>
    <w:rsid w:val="006700F7"/>
    <w:rsid w:val="00670D53"/>
    <w:rsid w:val="00670E76"/>
    <w:rsid w:val="006740CB"/>
    <w:rsid w:val="00680C23"/>
    <w:rsid w:val="00682975"/>
    <w:rsid w:val="00684D2F"/>
    <w:rsid w:val="0069164A"/>
    <w:rsid w:val="00693766"/>
    <w:rsid w:val="006A2F0D"/>
    <w:rsid w:val="006A3281"/>
    <w:rsid w:val="006A3F39"/>
    <w:rsid w:val="006A6FEE"/>
    <w:rsid w:val="006B10EE"/>
    <w:rsid w:val="006B19C7"/>
    <w:rsid w:val="006B3147"/>
    <w:rsid w:val="006B4888"/>
    <w:rsid w:val="006B4D24"/>
    <w:rsid w:val="006B753B"/>
    <w:rsid w:val="006C123A"/>
    <w:rsid w:val="006C2E45"/>
    <w:rsid w:val="006C359C"/>
    <w:rsid w:val="006C5579"/>
    <w:rsid w:val="006C66F6"/>
    <w:rsid w:val="006D1251"/>
    <w:rsid w:val="006D1ACB"/>
    <w:rsid w:val="006D35B9"/>
    <w:rsid w:val="006D6E8B"/>
    <w:rsid w:val="006E31C4"/>
    <w:rsid w:val="006E737D"/>
    <w:rsid w:val="006F0553"/>
    <w:rsid w:val="006F1528"/>
    <w:rsid w:val="006F326E"/>
    <w:rsid w:val="006F3CCE"/>
    <w:rsid w:val="006F5E99"/>
    <w:rsid w:val="006F6515"/>
    <w:rsid w:val="00700B10"/>
    <w:rsid w:val="00704126"/>
    <w:rsid w:val="00706D95"/>
    <w:rsid w:val="00713973"/>
    <w:rsid w:val="00714040"/>
    <w:rsid w:val="007152FD"/>
    <w:rsid w:val="00715F57"/>
    <w:rsid w:val="00720A24"/>
    <w:rsid w:val="00723169"/>
    <w:rsid w:val="00726221"/>
    <w:rsid w:val="007272BB"/>
    <w:rsid w:val="00730E44"/>
    <w:rsid w:val="00732386"/>
    <w:rsid w:val="00733502"/>
    <w:rsid w:val="00734B1B"/>
    <w:rsid w:val="0073514D"/>
    <w:rsid w:val="007434FF"/>
    <w:rsid w:val="007441F7"/>
    <w:rsid w:val="007447F3"/>
    <w:rsid w:val="00747BB1"/>
    <w:rsid w:val="00747FB8"/>
    <w:rsid w:val="00751798"/>
    <w:rsid w:val="00753957"/>
    <w:rsid w:val="0075499F"/>
    <w:rsid w:val="0076286C"/>
    <w:rsid w:val="00763CDD"/>
    <w:rsid w:val="007661C8"/>
    <w:rsid w:val="007663DF"/>
    <w:rsid w:val="0077098D"/>
    <w:rsid w:val="00773EF5"/>
    <w:rsid w:val="00774683"/>
    <w:rsid w:val="007761AE"/>
    <w:rsid w:val="007825CA"/>
    <w:rsid w:val="007927ED"/>
    <w:rsid w:val="007931FA"/>
    <w:rsid w:val="007938F1"/>
    <w:rsid w:val="007943AF"/>
    <w:rsid w:val="00796965"/>
    <w:rsid w:val="007971DA"/>
    <w:rsid w:val="00797C5E"/>
    <w:rsid w:val="007A1488"/>
    <w:rsid w:val="007A3508"/>
    <w:rsid w:val="007A3A0B"/>
    <w:rsid w:val="007A4861"/>
    <w:rsid w:val="007A7BBA"/>
    <w:rsid w:val="007B0C50"/>
    <w:rsid w:val="007B1554"/>
    <w:rsid w:val="007B41C5"/>
    <w:rsid w:val="007B48F9"/>
    <w:rsid w:val="007C002A"/>
    <w:rsid w:val="007C1A43"/>
    <w:rsid w:val="007C77E3"/>
    <w:rsid w:val="007D0951"/>
    <w:rsid w:val="007D1964"/>
    <w:rsid w:val="007D2B95"/>
    <w:rsid w:val="007D3EFB"/>
    <w:rsid w:val="007D46D2"/>
    <w:rsid w:val="007E5716"/>
    <w:rsid w:val="007E605A"/>
    <w:rsid w:val="007F4EC2"/>
    <w:rsid w:val="0080013E"/>
    <w:rsid w:val="0080447E"/>
    <w:rsid w:val="008073CC"/>
    <w:rsid w:val="00807A78"/>
    <w:rsid w:val="00810F30"/>
    <w:rsid w:val="00813288"/>
    <w:rsid w:val="0081508D"/>
    <w:rsid w:val="00815D97"/>
    <w:rsid w:val="0081660D"/>
    <w:rsid w:val="008168FC"/>
    <w:rsid w:val="0081704D"/>
    <w:rsid w:val="00820382"/>
    <w:rsid w:val="008215BA"/>
    <w:rsid w:val="008243A0"/>
    <w:rsid w:val="00825452"/>
    <w:rsid w:val="008269C9"/>
    <w:rsid w:val="00830996"/>
    <w:rsid w:val="00831C40"/>
    <w:rsid w:val="00833129"/>
    <w:rsid w:val="008345F1"/>
    <w:rsid w:val="00835A6C"/>
    <w:rsid w:val="00837F77"/>
    <w:rsid w:val="008419E2"/>
    <w:rsid w:val="00842394"/>
    <w:rsid w:val="008429D7"/>
    <w:rsid w:val="00843EAC"/>
    <w:rsid w:val="00846B30"/>
    <w:rsid w:val="00847E75"/>
    <w:rsid w:val="00851051"/>
    <w:rsid w:val="00852CB0"/>
    <w:rsid w:val="00852CFC"/>
    <w:rsid w:val="00852E25"/>
    <w:rsid w:val="00857E1B"/>
    <w:rsid w:val="00862D0D"/>
    <w:rsid w:val="008646E3"/>
    <w:rsid w:val="00865B07"/>
    <w:rsid w:val="008667EA"/>
    <w:rsid w:val="0086778B"/>
    <w:rsid w:val="008705F4"/>
    <w:rsid w:val="0087071B"/>
    <w:rsid w:val="00872A54"/>
    <w:rsid w:val="0087315C"/>
    <w:rsid w:val="008748D6"/>
    <w:rsid w:val="0087637F"/>
    <w:rsid w:val="008825CC"/>
    <w:rsid w:val="00885D2B"/>
    <w:rsid w:val="00892AD5"/>
    <w:rsid w:val="008A1512"/>
    <w:rsid w:val="008A2A15"/>
    <w:rsid w:val="008A2A46"/>
    <w:rsid w:val="008A4CA9"/>
    <w:rsid w:val="008B2E78"/>
    <w:rsid w:val="008B4949"/>
    <w:rsid w:val="008B5646"/>
    <w:rsid w:val="008B7C03"/>
    <w:rsid w:val="008C1DBE"/>
    <w:rsid w:val="008C5390"/>
    <w:rsid w:val="008C7C62"/>
    <w:rsid w:val="008D0FB8"/>
    <w:rsid w:val="008D32B9"/>
    <w:rsid w:val="008D433B"/>
    <w:rsid w:val="008D4A16"/>
    <w:rsid w:val="008D70AD"/>
    <w:rsid w:val="008D73F8"/>
    <w:rsid w:val="008E23EA"/>
    <w:rsid w:val="008E2539"/>
    <w:rsid w:val="008E3E09"/>
    <w:rsid w:val="008E566E"/>
    <w:rsid w:val="008E6AF6"/>
    <w:rsid w:val="008F08A5"/>
    <w:rsid w:val="008F613F"/>
    <w:rsid w:val="008F6668"/>
    <w:rsid w:val="0090161A"/>
    <w:rsid w:val="00901C72"/>
    <w:rsid w:val="00901EB6"/>
    <w:rsid w:val="009029B9"/>
    <w:rsid w:val="00903834"/>
    <w:rsid w:val="009040CC"/>
    <w:rsid w:val="00904C62"/>
    <w:rsid w:val="00906388"/>
    <w:rsid w:val="00907F95"/>
    <w:rsid w:val="00912AB0"/>
    <w:rsid w:val="0091340B"/>
    <w:rsid w:val="00913EF6"/>
    <w:rsid w:val="00916326"/>
    <w:rsid w:val="00917624"/>
    <w:rsid w:val="00917C12"/>
    <w:rsid w:val="00921384"/>
    <w:rsid w:val="00921F13"/>
    <w:rsid w:val="00922BA8"/>
    <w:rsid w:val="009242BE"/>
    <w:rsid w:val="00924DAC"/>
    <w:rsid w:val="00927058"/>
    <w:rsid w:val="009334C7"/>
    <w:rsid w:val="00935ADB"/>
    <w:rsid w:val="00942394"/>
    <w:rsid w:val="0094256C"/>
    <w:rsid w:val="00942750"/>
    <w:rsid w:val="009450CE"/>
    <w:rsid w:val="009459BB"/>
    <w:rsid w:val="00947179"/>
    <w:rsid w:val="0095164B"/>
    <w:rsid w:val="00952CB9"/>
    <w:rsid w:val="00954090"/>
    <w:rsid w:val="009552F7"/>
    <w:rsid w:val="00956BD6"/>
    <w:rsid w:val="009573E7"/>
    <w:rsid w:val="00960846"/>
    <w:rsid w:val="00961FFC"/>
    <w:rsid w:val="0096235D"/>
    <w:rsid w:val="00963E05"/>
    <w:rsid w:val="009641CC"/>
    <w:rsid w:val="00964A45"/>
    <w:rsid w:val="00965768"/>
    <w:rsid w:val="00966E0F"/>
    <w:rsid w:val="00967843"/>
    <w:rsid w:val="00967D54"/>
    <w:rsid w:val="00971028"/>
    <w:rsid w:val="00975263"/>
    <w:rsid w:val="00977DF3"/>
    <w:rsid w:val="00980F71"/>
    <w:rsid w:val="0098127D"/>
    <w:rsid w:val="009812D2"/>
    <w:rsid w:val="009841C6"/>
    <w:rsid w:val="009851A5"/>
    <w:rsid w:val="00992B98"/>
    <w:rsid w:val="00993B84"/>
    <w:rsid w:val="00994CA9"/>
    <w:rsid w:val="00996483"/>
    <w:rsid w:val="00996F5A"/>
    <w:rsid w:val="00997F80"/>
    <w:rsid w:val="009A0DF1"/>
    <w:rsid w:val="009B041A"/>
    <w:rsid w:val="009B070D"/>
    <w:rsid w:val="009C0985"/>
    <w:rsid w:val="009C37C3"/>
    <w:rsid w:val="009C3E56"/>
    <w:rsid w:val="009C5E2C"/>
    <w:rsid w:val="009C6E71"/>
    <w:rsid w:val="009C7C86"/>
    <w:rsid w:val="009D2FF7"/>
    <w:rsid w:val="009D3F84"/>
    <w:rsid w:val="009D4455"/>
    <w:rsid w:val="009D4724"/>
    <w:rsid w:val="009D4EC4"/>
    <w:rsid w:val="009E3692"/>
    <w:rsid w:val="009E44C5"/>
    <w:rsid w:val="009E4C44"/>
    <w:rsid w:val="009E63F6"/>
    <w:rsid w:val="009E7884"/>
    <w:rsid w:val="009E788A"/>
    <w:rsid w:val="009E7DC6"/>
    <w:rsid w:val="009F0E08"/>
    <w:rsid w:val="009F5F6D"/>
    <w:rsid w:val="009F6F5D"/>
    <w:rsid w:val="009F7B03"/>
    <w:rsid w:val="00A030DD"/>
    <w:rsid w:val="00A03259"/>
    <w:rsid w:val="00A04760"/>
    <w:rsid w:val="00A076EF"/>
    <w:rsid w:val="00A11806"/>
    <w:rsid w:val="00A1384B"/>
    <w:rsid w:val="00A13D67"/>
    <w:rsid w:val="00A143C6"/>
    <w:rsid w:val="00A145EB"/>
    <w:rsid w:val="00A15AA7"/>
    <w:rsid w:val="00A1763D"/>
    <w:rsid w:val="00A17CEC"/>
    <w:rsid w:val="00A263E5"/>
    <w:rsid w:val="00A266A4"/>
    <w:rsid w:val="00A26801"/>
    <w:rsid w:val="00A27E51"/>
    <w:rsid w:val="00A27EF0"/>
    <w:rsid w:val="00A3595B"/>
    <w:rsid w:val="00A367F8"/>
    <w:rsid w:val="00A42361"/>
    <w:rsid w:val="00A429EB"/>
    <w:rsid w:val="00A434AA"/>
    <w:rsid w:val="00A436D9"/>
    <w:rsid w:val="00A4501E"/>
    <w:rsid w:val="00A45E5E"/>
    <w:rsid w:val="00A46936"/>
    <w:rsid w:val="00A4780C"/>
    <w:rsid w:val="00A50B20"/>
    <w:rsid w:val="00A51390"/>
    <w:rsid w:val="00A568B4"/>
    <w:rsid w:val="00A60D13"/>
    <w:rsid w:val="00A61D81"/>
    <w:rsid w:val="00A70EDF"/>
    <w:rsid w:val="00A7223D"/>
    <w:rsid w:val="00A72745"/>
    <w:rsid w:val="00A73B45"/>
    <w:rsid w:val="00A76EFC"/>
    <w:rsid w:val="00A87D50"/>
    <w:rsid w:val="00A91010"/>
    <w:rsid w:val="00A93872"/>
    <w:rsid w:val="00A93CD8"/>
    <w:rsid w:val="00A9504F"/>
    <w:rsid w:val="00A971BF"/>
    <w:rsid w:val="00A97B04"/>
    <w:rsid w:val="00A97F29"/>
    <w:rsid w:val="00AA165E"/>
    <w:rsid w:val="00AA2F13"/>
    <w:rsid w:val="00AA702E"/>
    <w:rsid w:val="00AA7D26"/>
    <w:rsid w:val="00AB048C"/>
    <w:rsid w:val="00AB0964"/>
    <w:rsid w:val="00AB27B1"/>
    <w:rsid w:val="00AB5011"/>
    <w:rsid w:val="00AB5A73"/>
    <w:rsid w:val="00AC072C"/>
    <w:rsid w:val="00AC081A"/>
    <w:rsid w:val="00AC54D7"/>
    <w:rsid w:val="00AC61ED"/>
    <w:rsid w:val="00AC7368"/>
    <w:rsid w:val="00AD16B9"/>
    <w:rsid w:val="00AD5D74"/>
    <w:rsid w:val="00AD7406"/>
    <w:rsid w:val="00AE0B82"/>
    <w:rsid w:val="00AE377D"/>
    <w:rsid w:val="00AE3A0D"/>
    <w:rsid w:val="00AF0EBA"/>
    <w:rsid w:val="00AF2BF6"/>
    <w:rsid w:val="00AF6A69"/>
    <w:rsid w:val="00AF779C"/>
    <w:rsid w:val="00B01EBB"/>
    <w:rsid w:val="00B02C8A"/>
    <w:rsid w:val="00B1113D"/>
    <w:rsid w:val="00B12A3B"/>
    <w:rsid w:val="00B1764B"/>
    <w:rsid w:val="00B17FBD"/>
    <w:rsid w:val="00B21904"/>
    <w:rsid w:val="00B24228"/>
    <w:rsid w:val="00B2494B"/>
    <w:rsid w:val="00B24D3E"/>
    <w:rsid w:val="00B315A6"/>
    <w:rsid w:val="00B31813"/>
    <w:rsid w:val="00B33365"/>
    <w:rsid w:val="00B3631E"/>
    <w:rsid w:val="00B367CF"/>
    <w:rsid w:val="00B367D2"/>
    <w:rsid w:val="00B371B4"/>
    <w:rsid w:val="00B406DE"/>
    <w:rsid w:val="00B45CF4"/>
    <w:rsid w:val="00B47D83"/>
    <w:rsid w:val="00B512B9"/>
    <w:rsid w:val="00B51A14"/>
    <w:rsid w:val="00B53960"/>
    <w:rsid w:val="00B552A9"/>
    <w:rsid w:val="00B5658A"/>
    <w:rsid w:val="00B57B36"/>
    <w:rsid w:val="00B57E6F"/>
    <w:rsid w:val="00B607AE"/>
    <w:rsid w:val="00B617CC"/>
    <w:rsid w:val="00B636F4"/>
    <w:rsid w:val="00B64FED"/>
    <w:rsid w:val="00B66513"/>
    <w:rsid w:val="00B6673C"/>
    <w:rsid w:val="00B748C1"/>
    <w:rsid w:val="00B77B9B"/>
    <w:rsid w:val="00B81BC2"/>
    <w:rsid w:val="00B82E2F"/>
    <w:rsid w:val="00B83528"/>
    <w:rsid w:val="00B83E0D"/>
    <w:rsid w:val="00B83FA7"/>
    <w:rsid w:val="00B84269"/>
    <w:rsid w:val="00B8427A"/>
    <w:rsid w:val="00B85EC6"/>
    <w:rsid w:val="00B8686D"/>
    <w:rsid w:val="00B878BB"/>
    <w:rsid w:val="00B87C3E"/>
    <w:rsid w:val="00B923D3"/>
    <w:rsid w:val="00B93F69"/>
    <w:rsid w:val="00B93FC9"/>
    <w:rsid w:val="00B95123"/>
    <w:rsid w:val="00B97561"/>
    <w:rsid w:val="00BA25BC"/>
    <w:rsid w:val="00BA56F1"/>
    <w:rsid w:val="00BA7CA4"/>
    <w:rsid w:val="00BB1DDC"/>
    <w:rsid w:val="00BC2A91"/>
    <w:rsid w:val="00BC3013"/>
    <w:rsid w:val="00BC30C9"/>
    <w:rsid w:val="00BC41A0"/>
    <w:rsid w:val="00BD065A"/>
    <w:rsid w:val="00BD077D"/>
    <w:rsid w:val="00BD0CA8"/>
    <w:rsid w:val="00BD30E9"/>
    <w:rsid w:val="00BD46FB"/>
    <w:rsid w:val="00BD58DE"/>
    <w:rsid w:val="00BE0F21"/>
    <w:rsid w:val="00BE221F"/>
    <w:rsid w:val="00BE3E58"/>
    <w:rsid w:val="00BF118B"/>
    <w:rsid w:val="00BF2188"/>
    <w:rsid w:val="00BF4B86"/>
    <w:rsid w:val="00BF5662"/>
    <w:rsid w:val="00C009BF"/>
    <w:rsid w:val="00C01616"/>
    <w:rsid w:val="00C0162B"/>
    <w:rsid w:val="00C02924"/>
    <w:rsid w:val="00C068ED"/>
    <w:rsid w:val="00C10336"/>
    <w:rsid w:val="00C163DA"/>
    <w:rsid w:val="00C22E0C"/>
    <w:rsid w:val="00C31C9C"/>
    <w:rsid w:val="00C3445E"/>
    <w:rsid w:val="00C345B1"/>
    <w:rsid w:val="00C354EE"/>
    <w:rsid w:val="00C35D82"/>
    <w:rsid w:val="00C37CBC"/>
    <w:rsid w:val="00C40142"/>
    <w:rsid w:val="00C41E50"/>
    <w:rsid w:val="00C47B35"/>
    <w:rsid w:val="00C50B5A"/>
    <w:rsid w:val="00C52BBC"/>
    <w:rsid w:val="00C52C3C"/>
    <w:rsid w:val="00C55D95"/>
    <w:rsid w:val="00C57182"/>
    <w:rsid w:val="00C57863"/>
    <w:rsid w:val="00C6086F"/>
    <w:rsid w:val="00C611E0"/>
    <w:rsid w:val="00C640AF"/>
    <w:rsid w:val="00C655FD"/>
    <w:rsid w:val="00C71FE4"/>
    <w:rsid w:val="00C75407"/>
    <w:rsid w:val="00C76949"/>
    <w:rsid w:val="00C77BBE"/>
    <w:rsid w:val="00C80F13"/>
    <w:rsid w:val="00C82FC8"/>
    <w:rsid w:val="00C8521C"/>
    <w:rsid w:val="00C870A8"/>
    <w:rsid w:val="00C92449"/>
    <w:rsid w:val="00C943FC"/>
    <w:rsid w:val="00C94434"/>
    <w:rsid w:val="00C963DA"/>
    <w:rsid w:val="00C96EF1"/>
    <w:rsid w:val="00CA0D4A"/>
    <w:rsid w:val="00CA0D75"/>
    <w:rsid w:val="00CA1C95"/>
    <w:rsid w:val="00CA21DD"/>
    <w:rsid w:val="00CA3AD9"/>
    <w:rsid w:val="00CA3FE7"/>
    <w:rsid w:val="00CA5A9C"/>
    <w:rsid w:val="00CA6F37"/>
    <w:rsid w:val="00CB0005"/>
    <w:rsid w:val="00CB117A"/>
    <w:rsid w:val="00CB3EB5"/>
    <w:rsid w:val="00CB431D"/>
    <w:rsid w:val="00CB4E0F"/>
    <w:rsid w:val="00CB5436"/>
    <w:rsid w:val="00CC1A84"/>
    <w:rsid w:val="00CC4C20"/>
    <w:rsid w:val="00CC66F9"/>
    <w:rsid w:val="00CC68C4"/>
    <w:rsid w:val="00CC6BB9"/>
    <w:rsid w:val="00CC7369"/>
    <w:rsid w:val="00CD0CBF"/>
    <w:rsid w:val="00CD3517"/>
    <w:rsid w:val="00CD390D"/>
    <w:rsid w:val="00CD39BE"/>
    <w:rsid w:val="00CD4402"/>
    <w:rsid w:val="00CD5FE2"/>
    <w:rsid w:val="00CE355E"/>
    <w:rsid w:val="00CE3BDC"/>
    <w:rsid w:val="00CE5E07"/>
    <w:rsid w:val="00CE61E2"/>
    <w:rsid w:val="00CE67B9"/>
    <w:rsid w:val="00CE7C68"/>
    <w:rsid w:val="00CF304B"/>
    <w:rsid w:val="00CF511C"/>
    <w:rsid w:val="00CF572D"/>
    <w:rsid w:val="00CF61D7"/>
    <w:rsid w:val="00CF7C76"/>
    <w:rsid w:val="00D028EB"/>
    <w:rsid w:val="00D02B4C"/>
    <w:rsid w:val="00D02ED8"/>
    <w:rsid w:val="00D040C4"/>
    <w:rsid w:val="00D05AE4"/>
    <w:rsid w:val="00D05FD8"/>
    <w:rsid w:val="00D07F82"/>
    <w:rsid w:val="00D1286C"/>
    <w:rsid w:val="00D1409E"/>
    <w:rsid w:val="00D20782"/>
    <w:rsid w:val="00D20AD1"/>
    <w:rsid w:val="00D22414"/>
    <w:rsid w:val="00D22694"/>
    <w:rsid w:val="00D24BBA"/>
    <w:rsid w:val="00D26AE8"/>
    <w:rsid w:val="00D27733"/>
    <w:rsid w:val="00D31093"/>
    <w:rsid w:val="00D3319D"/>
    <w:rsid w:val="00D33C09"/>
    <w:rsid w:val="00D34F23"/>
    <w:rsid w:val="00D42F2C"/>
    <w:rsid w:val="00D43EAC"/>
    <w:rsid w:val="00D46B7E"/>
    <w:rsid w:val="00D46F87"/>
    <w:rsid w:val="00D5110A"/>
    <w:rsid w:val="00D512C6"/>
    <w:rsid w:val="00D51FD9"/>
    <w:rsid w:val="00D56B19"/>
    <w:rsid w:val="00D57C84"/>
    <w:rsid w:val="00D6057D"/>
    <w:rsid w:val="00D619C6"/>
    <w:rsid w:val="00D63A02"/>
    <w:rsid w:val="00D64350"/>
    <w:rsid w:val="00D648EC"/>
    <w:rsid w:val="00D64CE4"/>
    <w:rsid w:val="00D651AB"/>
    <w:rsid w:val="00D665D2"/>
    <w:rsid w:val="00D67BF1"/>
    <w:rsid w:val="00D70935"/>
    <w:rsid w:val="00D71640"/>
    <w:rsid w:val="00D750EF"/>
    <w:rsid w:val="00D81B30"/>
    <w:rsid w:val="00D824CA"/>
    <w:rsid w:val="00D836C5"/>
    <w:rsid w:val="00D84576"/>
    <w:rsid w:val="00D855D4"/>
    <w:rsid w:val="00D85DC5"/>
    <w:rsid w:val="00D96FC6"/>
    <w:rsid w:val="00DA05CB"/>
    <w:rsid w:val="00DA1214"/>
    <w:rsid w:val="00DA1399"/>
    <w:rsid w:val="00DA1C74"/>
    <w:rsid w:val="00DA24C6"/>
    <w:rsid w:val="00DA4478"/>
    <w:rsid w:val="00DA4D7B"/>
    <w:rsid w:val="00DB3DFE"/>
    <w:rsid w:val="00DB4063"/>
    <w:rsid w:val="00DB75E4"/>
    <w:rsid w:val="00DC6886"/>
    <w:rsid w:val="00DC70ED"/>
    <w:rsid w:val="00DD0C12"/>
    <w:rsid w:val="00DD117C"/>
    <w:rsid w:val="00DD22CC"/>
    <w:rsid w:val="00DD271C"/>
    <w:rsid w:val="00DD7C35"/>
    <w:rsid w:val="00DE0DC7"/>
    <w:rsid w:val="00DE264A"/>
    <w:rsid w:val="00DE3CC5"/>
    <w:rsid w:val="00DE5157"/>
    <w:rsid w:val="00DE59F9"/>
    <w:rsid w:val="00DE7BB0"/>
    <w:rsid w:val="00DF4D00"/>
    <w:rsid w:val="00DF4D3F"/>
    <w:rsid w:val="00DF5072"/>
    <w:rsid w:val="00E02D18"/>
    <w:rsid w:val="00E041E7"/>
    <w:rsid w:val="00E075D4"/>
    <w:rsid w:val="00E126F4"/>
    <w:rsid w:val="00E14A79"/>
    <w:rsid w:val="00E14C90"/>
    <w:rsid w:val="00E15276"/>
    <w:rsid w:val="00E20268"/>
    <w:rsid w:val="00E23CA1"/>
    <w:rsid w:val="00E2722B"/>
    <w:rsid w:val="00E27924"/>
    <w:rsid w:val="00E33DD7"/>
    <w:rsid w:val="00E409A8"/>
    <w:rsid w:val="00E43E62"/>
    <w:rsid w:val="00E44FFF"/>
    <w:rsid w:val="00E469E1"/>
    <w:rsid w:val="00E46A88"/>
    <w:rsid w:val="00E50C12"/>
    <w:rsid w:val="00E578C8"/>
    <w:rsid w:val="00E63707"/>
    <w:rsid w:val="00E65B91"/>
    <w:rsid w:val="00E67263"/>
    <w:rsid w:val="00E7209D"/>
    <w:rsid w:val="00E72EAD"/>
    <w:rsid w:val="00E757A0"/>
    <w:rsid w:val="00E75833"/>
    <w:rsid w:val="00E75951"/>
    <w:rsid w:val="00E75C4B"/>
    <w:rsid w:val="00E767CD"/>
    <w:rsid w:val="00E77223"/>
    <w:rsid w:val="00E77248"/>
    <w:rsid w:val="00E77E32"/>
    <w:rsid w:val="00E8245D"/>
    <w:rsid w:val="00E82BA3"/>
    <w:rsid w:val="00E84D40"/>
    <w:rsid w:val="00E8528B"/>
    <w:rsid w:val="00E85B94"/>
    <w:rsid w:val="00E86C64"/>
    <w:rsid w:val="00E877DF"/>
    <w:rsid w:val="00E90451"/>
    <w:rsid w:val="00E93C71"/>
    <w:rsid w:val="00E95461"/>
    <w:rsid w:val="00E95892"/>
    <w:rsid w:val="00E969E0"/>
    <w:rsid w:val="00E978D0"/>
    <w:rsid w:val="00E979C4"/>
    <w:rsid w:val="00EA2B8D"/>
    <w:rsid w:val="00EA41BC"/>
    <w:rsid w:val="00EA4613"/>
    <w:rsid w:val="00EA5904"/>
    <w:rsid w:val="00EA7F7B"/>
    <w:rsid w:val="00EA7F91"/>
    <w:rsid w:val="00EB1523"/>
    <w:rsid w:val="00EB16DA"/>
    <w:rsid w:val="00EB2914"/>
    <w:rsid w:val="00EB3FE5"/>
    <w:rsid w:val="00EB75A0"/>
    <w:rsid w:val="00EC0E49"/>
    <w:rsid w:val="00EC101F"/>
    <w:rsid w:val="00EC1D9F"/>
    <w:rsid w:val="00EC28F6"/>
    <w:rsid w:val="00EC4DA5"/>
    <w:rsid w:val="00ED6B01"/>
    <w:rsid w:val="00EE0131"/>
    <w:rsid w:val="00EE17B0"/>
    <w:rsid w:val="00EF06D9"/>
    <w:rsid w:val="00F00A7D"/>
    <w:rsid w:val="00F0227D"/>
    <w:rsid w:val="00F059D2"/>
    <w:rsid w:val="00F06687"/>
    <w:rsid w:val="00F06A6A"/>
    <w:rsid w:val="00F06FFE"/>
    <w:rsid w:val="00F14D5F"/>
    <w:rsid w:val="00F24505"/>
    <w:rsid w:val="00F26BAB"/>
    <w:rsid w:val="00F3049E"/>
    <w:rsid w:val="00F30C64"/>
    <w:rsid w:val="00F32BA2"/>
    <w:rsid w:val="00F32CDB"/>
    <w:rsid w:val="00F335B8"/>
    <w:rsid w:val="00F3406F"/>
    <w:rsid w:val="00F41796"/>
    <w:rsid w:val="00F41DB0"/>
    <w:rsid w:val="00F464DD"/>
    <w:rsid w:val="00F46669"/>
    <w:rsid w:val="00F474BE"/>
    <w:rsid w:val="00F54C57"/>
    <w:rsid w:val="00F565FE"/>
    <w:rsid w:val="00F578E8"/>
    <w:rsid w:val="00F6081B"/>
    <w:rsid w:val="00F6111B"/>
    <w:rsid w:val="00F6284B"/>
    <w:rsid w:val="00F62B05"/>
    <w:rsid w:val="00F63A70"/>
    <w:rsid w:val="00F63D8C"/>
    <w:rsid w:val="00F6535D"/>
    <w:rsid w:val="00F6637C"/>
    <w:rsid w:val="00F7044D"/>
    <w:rsid w:val="00F7225D"/>
    <w:rsid w:val="00F7534E"/>
    <w:rsid w:val="00F814B3"/>
    <w:rsid w:val="00F82E03"/>
    <w:rsid w:val="00F8333B"/>
    <w:rsid w:val="00F83B85"/>
    <w:rsid w:val="00F84550"/>
    <w:rsid w:val="00F84EFF"/>
    <w:rsid w:val="00F85C19"/>
    <w:rsid w:val="00F913E1"/>
    <w:rsid w:val="00F93251"/>
    <w:rsid w:val="00F93EDF"/>
    <w:rsid w:val="00F94668"/>
    <w:rsid w:val="00F952E0"/>
    <w:rsid w:val="00F954C5"/>
    <w:rsid w:val="00F96F10"/>
    <w:rsid w:val="00F97B57"/>
    <w:rsid w:val="00FA1802"/>
    <w:rsid w:val="00FA21D0"/>
    <w:rsid w:val="00FA5F5F"/>
    <w:rsid w:val="00FA6320"/>
    <w:rsid w:val="00FB647B"/>
    <w:rsid w:val="00FB6B6A"/>
    <w:rsid w:val="00FB730C"/>
    <w:rsid w:val="00FC066F"/>
    <w:rsid w:val="00FC0F39"/>
    <w:rsid w:val="00FC2695"/>
    <w:rsid w:val="00FC2F7B"/>
    <w:rsid w:val="00FC3E03"/>
    <w:rsid w:val="00FC3FC1"/>
    <w:rsid w:val="00FC530D"/>
    <w:rsid w:val="00FC7070"/>
    <w:rsid w:val="00FC730A"/>
    <w:rsid w:val="00FD3274"/>
    <w:rsid w:val="00FE47BE"/>
    <w:rsid w:val="00FE48EA"/>
    <w:rsid w:val="00FE4F9E"/>
    <w:rsid w:val="00FE67D5"/>
    <w:rsid w:val="00FF038C"/>
    <w:rsid w:val="00FF07AC"/>
    <w:rsid w:val="00FF0B70"/>
    <w:rsid w:val="00FF33D4"/>
    <w:rsid w:val="00FF38AB"/>
    <w:rsid w:val="00FF3FFE"/>
    <w:rsid w:val="00FF5816"/>
    <w:rsid w:val="00FF6669"/>
    <w:rsid w:val="00FF66D9"/>
    <w:rsid w:val="00FF69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50AE82"/>
  <w15:docId w15:val="{6D572EA0-7E72-41A4-83FB-17F69B1E0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540D2B"/>
    <w:pPr>
      <w:keepNext/>
      <w:numPr>
        <w:ilvl w:val="2"/>
        <w:numId w:val="1"/>
      </w:numPr>
      <w:suppressAutoHyphens/>
      <w:spacing w:before="120" w:after="120" w:line="240" w:lineRule="auto"/>
      <w:ind w:left="0"/>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540D2B"/>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qFormat/>
    <w:rsid w:val="00280FAF"/>
    <w:pPr>
      <w:ind w:left="720"/>
      <w:contextualSpacing/>
    </w:pPr>
  </w:style>
  <w:style w:type="character" w:styleId="Titolodellibro">
    <w:name w:val="Book Title"/>
    <w:basedOn w:val="Carpredefinitoparagrafo"/>
    <w:uiPriority w:val="33"/>
    <w:qFormat/>
    <w:rsid w:val="00F814B3"/>
    <w:rPr>
      <w:b/>
      <w:bCs/>
      <w:smallCaps/>
      <w:spacing w:val="5"/>
    </w:rPr>
  </w:style>
  <w:style w:type="character" w:customStyle="1" w:styleId="normaltextrun">
    <w:name w:val="normaltextrun"/>
    <w:basedOn w:val="Carpredefinitoparagrafo"/>
    <w:rsid w:val="00F814B3"/>
  </w:style>
  <w:style w:type="character" w:customStyle="1" w:styleId="eop">
    <w:name w:val="eop"/>
    <w:basedOn w:val="Carpredefinitoparagrafo"/>
    <w:rsid w:val="001C4E8B"/>
  </w:style>
  <w:style w:type="paragraph" w:styleId="Revisione">
    <w:name w:val="Revision"/>
    <w:hidden/>
    <w:uiPriority w:val="99"/>
    <w:semiHidden/>
    <w:rsid w:val="00956BD6"/>
    <w:pPr>
      <w:spacing w:after="0" w:line="240" w:lineRule="auto"/>
    </w:pPr>
    <w:rPr>
      <w:rFonts w:ascii="Arial" w:eastAsia="Times New Roman" w:hAnsi="Arial" w:cs="Times New Roman"/>
      <w:sz w:val="18"/>
      <w:szCs w:val="20"/>
      <w:lang w:val="en-GB"/>
    </w:rPr>
  </w:style>
  <w:style w:type="character" w:styleId="Enfasicorsivo">
    <w:name w:val="Emphasis"/>
    <w:basedOn w:val="Carpredefinitoparagrafo"/>
    <w:uiPriority w:val="20"/>
    <w:qFormat/>
    <w:rsid w:val="00B242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49155">
      <w:bodyDiv w:val="1"/>
      <w:marLeft w:val="0"/>
      <w:marRight w:val="0"/>
      <w:marTop w:val="0"/>
      <w:marBottom w:val="0"/>
      <w:divBdr>
        <w:top w:val="none" w:sz="0" w:space="0" w:color="auto"/>
        <w:left w:val="none" w:sz="0" w:space="0" w:color="auto"/>
        <w:bottom w:val="none" w:sz="0" w:space="0" w:color="auto"/>
        <w:right w:val="none" w:sz="0" w:space="0" w:color="auto"/>
      </w:divBdr>
    </w:div>
    <w:div w:id="223837527">
      <w:bodyDiv w:val="1"/>
      <w:marLeft w:val="0"/>
      <w:marRight w:val="0"/>
      <w:marTop w:val="0"/>
      <w:marBottom w:val="0"/>
      <w:divBdr>
        <w:top w:val="none" w:sz="0" w:space="0" w:color="auto"/>
        <w:left w:val="none" w:sz="0" w:space="0" w:color="auto"/>
        <w:bottom w:val="none" w:sz="0" w:space="0" w:color="auto"/>
        <w:right w:val="none" w:sz="0" w:space="0" w:color="auto"/>
      </w:divBdr>
    </w:div>
    <w:div w:id="399716189">
      <w:bodyDiv w:val="1"/>
      <w:marLeft w:val="0"/>
      <w:marRight w:val="0"/>
      <w:marTop w:val="0"/>
      <w:marBottom w:val="0"/>
      <w:divBdr>
        <w:top w:val="none" w:sz="0" w:space="0" w:color="auto"/>
        <w:left w:val="none" w:sz="0" w:space="0" w:color="auto"/>
        <w:bottom w:val="none" w:sz="0" w:space="0" w:color="auto"/>
        <w:right w:val="none" w:sz="0" w:space="0" w:color="auto"/>
      </w:divBdr>
    </w:div>
    <w:div w:id="519323571">
      <w:bodyDiv w:val="1"/>
      <w:marLeft w:val="0"/>
      <w:marRight w:val="0"/>
      <w:marTop w:val="0"/>
      <w:marBottom w:val="0"/>
      <w:divBdr>
        <w:top w:val="none" w:sz="0" w:space="0" w:color="auto"/>
        <w:left w:val="none" w:sz="0" w:space="0" w:color="auto"/>
        <w:bottom w:val="none" w:sz="0" w:space="0" w:color="auto"/>
        <w:right w:val="none" w:sz="0" w:space="0" w:color="auto"/>
      </w:divBdr>
      <w:divsChild>
        <w:div w:id="314921249">
          <w:marLeft w:val="0"/>
          <w:marRight w:val="0"/>
          <w:marTop w:val="0"/>
          <w:marBottom w:val="0"/>
          <w:divBdr>
            <w:top w:val="none" w:sz="0" w:space="0" w:color="auto"/>
            <w:left w:val="none" w:sz="0" w:space="0" w:color="auto"/>
            <w:bottom w:val="none" w:sz="0" w:space="0" w:color="auto"/>
            <w:right w:val="none" w:sz="0" w:space="0" w:color="auto"/>
          </w:divBdr>
        </w:div>
        <w:div w:id="357138">
          <w:marLeft w:val="0"/>
          <w:marRight w:val="0"/>
          <w:marTop w:val="0"/>
          <w:marBottom w:val="0"/>
          <w:divBdr>
            <w:top w:val="none" w:sz="0" w:space="0" w:color="auto"/>
            <w:left w:val="none" w:sz="0" w:space="0" w:color="auto"/>
            <w:bottom w:val="none" w:sz="0" w:space="0" w:color="auto"/>
            <w:right w:val="none" w:sz="0" w:space="0" w:color="auto"/>
          </w:divBdr>
        </w:div>
        <w:div w:id="2087874189">
          <w:marLeft w:val="0"/>
          <w:marRight w:val="0"/>
          <w:marTop w:val="0"/>
          <w:marBottom w:val="0"/>
          <w:divBdr>
            <w:top w:val="none" w:sz="0" w:space="0" w:color="auto"/>
            <w:left w:val="none" w:sz="0" w:space="0" w:color="auto"/>
            <w:bottom w:val="none" w:sz="0" w:space="0" w:color="auto"/>
            <w:right w:val="none" w:sz="0" w:space="0" w:color="auto"/>
          </w:divBdr>
          <w:divsChild>
            <w:div w:id="1170944547">
              <w:marLeft w:val="-42"/>
              <w:marRight w:val="0"/>
              <w:marTop w:val="17"/>
              <w:marBottom w:val="17"/>
              <w:divBdr>
                <w:top w:val="none" w:sz="0" w:space="0" w:color="auto"/>
                <w:left w:val="none" w:sz="0" w:space="0" w:color="auto"/>
                <w:bottom w:val="none" w:sz="0" w:space="0" w:color="auto"/>
                <w:right w:val="none" w:sz="0" w:space="0" w:color="auto"/>
              </w:divBdr>
              <w:divsChild>
                <w:div w:id="1964534292">
                  <w:marLeft w:val="0"/>
                  <w:marRight w:val="0"/>
                  <w:marTop w:val="0"/>
                  <w:marBottom w:val="0"/>
                  <w:divBdr>
                    <w:top w:val="none" w:sz="0" w:space="0" w:color="auto"/>
                    <w:left w:val="none" w:sz="0" w:space="0" w:color="auto"/>
                    <w:bottom w:val="none" w:sz="0" w:space="0" w:color="auto"/>
                    <w:right w:val="none" w:sz="0" w:space="0" w:color="auto"/>
                  </w:divBdr>
                  <w:divsChild>
                    <w:div w:id="361562332">
                      <w:marLeft w:val="0"/>
                      <w:marRight w:val="0"/>
                      <w:marTop w:val="0"/>
                      <w:marBottom w:val="0"/>
                      <w:divBdr>
                        <w:top w:val="none" w:sz="0" w:space="0" w:color="auto"/>
                        <w:left w:val="none" w:sz="0" w:space="0" w:color="auto"/>
                        <w:bottom w:val="none" w:sz="0" w:space="0" w:color="auto"/>
                        <w:right w:val="none" w:sz="0" w:space="0" w:color="auto"/>
                      </w:divBdr>
                    </w:div>
                  </w:divsChild>
                </w:div>
                <w:div w:id="2045133560">
                  <w:marLeft w:val="0"/>
                  <w:marRight w:val="0"/>
                  <w:marTop w:val="0"/>
                  <w:marBottom w:val="0"/>
                  <w:divBdr>
                    <w:top w:val="none" w:sz="0" w:space="0" w:color="auto"/>
                    <w:left w:val="none" w:sz="0" w:space="0" w:color="auto"/>
                    <w:bottom w:val="none" w:sz="0" w:space="0" w:color="auto"/>
                    <w:right w:val="none" w:sz="0" w:space="0" w:color="auto"/>
                  </w:divBdr>
                  <w:divsChild>
                    <w:div w:id="621572021">
                      <w:marLeft w:val="0"/>
                      <w:marRight w:val="0"/>
                      <w:marTop w:val="0"/>
                      <w:marBottom w:val="0"/>
                      <w:divBdr>
                        <w:top w:val="none" w:sz="0" w:space="0" w:color="auto"/>
                        <w:left w:val="none" w:sz="0" w:space="0" w:color="auto"/>
                        <w:bottom w:val="none" w:sz="0" w:space="0" w:color="auto"/>
                        <w:right w:val="none" w:sz="0" w:space="0" w:color="auto"/>
                      </w:divBdr>
                    </w:div>
                    <w:div w:id="370107202">
                      <w:marLeft w:val="0"/>
                      <w:marRight w:val="0"/>
                      <w:marTop w:val="0"/>
                      <w:marBottom w:val="0"/>
                      <w:divBdr>
                        <w:top w:val="none" w:sz="0" w:space="0" w:color="auto"/>
                        <w:left w:val="none" w:sz="0" w:space="0" w:color="auto"/>
                        <w:bottom w:val="none" w:sz="0" w:space="0" w:color="auto"/>
                        <w:right w:val="none" w:sz="0" w:space="0" w:color="auto"/>
                      </w:divBdr>
                    </w:div>
                  </w:divsChild>
                </w:div>
                <w:div w:id="347216930">
                  <w:marLeft w:val="0"/>
                  <w:marRight w:val="0"/>
                  <w:marTop w:val="0"/>
                  <w:marBottom w:val="0"/>
                  <w:divBdr>
                    <w:top w:val="none" w:sz="0" w:space="0" w:color="auto"/>
                    <w:left w:val="none" w:sz="0" w:space="0" w:color="auto"/>
                    <w:bottom w:val="none" w:sz="0" w:space="0" w:color="auto"/>
                    <w:right w:val="none" w:sz="0" w:space="0" w:color="auto"/>
                  </w:divBdr>
                  <w:divsChild>
                    <w:div w:id="805659035">
                      <w:marLeft w:val="0"/>
                      <w:marRight w:val="0"/>
                      <w:marTop w:val="0"/>
                      <w:marBottom w:val="0"/>
                      <w:divBdr>
                        <w:top w:val="none" w:sz="0" w:space="0" w:color="auto"/>
                        <w:left w:val="none" w:sz="0" w:space="0" w:color="auto"/>
                        <w:bottom w:val="none" w:sz="0" w:space="0" w:color="auto"/>
                        <w:right w:val="none" w:sz="0" w:space="0" w:color="auto"/>
                      </w:divBdr>
                    </w:div>
                    <w:div w:id="561402376">
                      <w:marLeft w:val="0"/>
                      <w:marRight w:val="0"/>
                      <w:marTop w:val="0"/>
                      <w:marBottom w:val="0"/>
                      <w:divBdr>
                        <w:top w:val="none" w:sz="0" w:space="0" w:color="auto"/>
                        <w:left w:val="none" w:sz="0" w:space="0" w:color="auto"/>
                        <w:bottom w:val="none" w:sz="0" w:space="0" w:color="auto"/>
                        <w:right w:val="none" w:sz="0" w:space="0" w:color="auto"/>
                      </w:divBdr>
                    </w:div>
                  </w:divsChild>
                </w:div>
                <w:div w:id="968173072">
                  <w:marLeft w:val="0"/>
                  <w:marRight w:val="0"/>
                  <w:marTop w:val="0"/>
                  <w:marBottom w:val="0"/>
                  <w:divBdr>
                    <w:top w:val="none" w:sz="0" w:space="0" w:color="auto"/>
                    <w:left w:val="none" w:sz="0" w:space="0" w:color="auto"/>
                    <w:bottom w:val="none" w:sz="0" w:space="0" w:color="auto"/>
                    <w:right w:val="none" w:sz="0" w:space="0" w:color="auto"/>
                  </w:divBdr>
                  <w:divsChild>
                    <w:div w:id="1169564537">
                      <w:marLeft w:val="0"/>
                      <w:marRight w:val="0"/>
                      <w:marTop w:val="0"/>
                      <w:marBottom w:val="0"/>
                      <w:divBdr>
                        <w:top w:val="none" w:sz="0" w:space="0" w:color="auto"/>
                        <w:left w:val="none" w:sz="0" w:space="0" w:color="auto"/>
                        <w:bottom w:val="none" w:sz="0" w:space="0" w:color="auto"/>
                        <w:right w:val="none" w:sz="0" w:space="0" w:color="auto"/>
                      </w:divBdr>
                    </w:div>
                    <w:div w:id="2117285416">
                      <w:marLeft w:val="0"/>
                      <w:marRight w:val="0"/>
                      <w:marTop w:val="0"/>
                      <w:marBottom w:val="0"/>
                      <w:divBdr>
                        <w:top w:val="none" w:sz="0" w:space="0" w:color="auto"/>
                        <w:left w:val="none" w:sz="0" w:space="0" w:color="auto"/>
                        <w:bottom w:val="none" w:sz="0" w:space="0" w:color="auto"/>
                        <w:right w:val="none" w:sz="0" w:space="0" w:color="auto"/>
                      </w:divBdr>
                    </w:div>
                  </w:divsChild>
                </w:div>
                <w:div w:id="119346753">
                  <w:marLeft w:val="0"/>
                  <w:marRight w:val="0"/>
                  <w:marTop w:val="0"/>
                  <w:marBottom w:val="0"/>
                  <w:divBdr>
                    <w:top w:val="none" w:sz="0" w:space="0" w:color="auto"/>
                    <w:left w:val="none" w:sz="0" w:space="0" w:color="auto"/>
                    <w:bottom w:val="none" w:sz="0" w:space="0" w:color="auto"/>
                    <w:right w:val="none" w:sz="0" w:space="0" w:color="auto"/>
                  </w:divBdr>
                  <w:divsChild>
                    <w:div w:id="1149518410">
                      <w:marLeft w:val="0"/>
                      <w:marRight w:val="0"/>
                      <w:marTop w:val="0"/>
                      <w:marBottom w:val="0"/>
                      <w:divBdr>
                        <w:top w:val="none" w:sz="0" w:space="0" w:color="auto"/>
                        <w:left w:val="none" w:sz="0" w:space="0" w:color="auto"/>
                        <w:bottom w:val="none" w:sz="0" w:space="0" w:color="auto"/>
                        <w:right w:val="none" w:sz="0" w:space="0" w:color="auto"/>
                      </w:divBdr>
                    </w:div>
                    <w:div w:id="786656400">
                      <w:marLeft w:val="0"/>
                      <w:marRight w:val="0"/>
                      <w:marTop w:val="0"/>
                      <w:marBottom w:val="0"/>
                      <w:divBdr>
                        <w:top w:val="none" w:sz="0" w:space="0" w:color="auto"/>
                        <w:left w:val="none" w:sz="0" w:space="0" w:color="auto"/>
                        <w:bottom w:val="none" w:sz="0" w:space="0" w:color="auto"/>
                        <w:right w:val="none" w:sz="0" w:space="0" w:color="auto"/>
                      </w:divBdr>
                    </w:div>
                  </w:divsChild>
                </w:div>
                <w:div w:id="1585608267">
                  <w:marLeft w:val="0"/>
                  <w:marRight w:val="0"/>
                  <w:marTop w:val="0"/>
                  <w:marBottom w:val="0"/>
                  <w:divBdr>
                    <w:top w:val="none" w:sz="0" w:space="0" w:color="auto"/>
                    <w:left w:val="none" w:sz="0" w:space="0" w:color="auto"/>
                    <w:bottom w:val="none" w:sz="0" w:space="0" w:color="auto"/>
                    <w:right w:val="none" w:sz="0" w:space="0" w:color="auto"/>
                  </w:divBdr>
                  <w:divsChild>
                    <w:div w:id="1342974818">
                      <w:marLeft w:val="0"/>
                      <w:marRight w:val="0"/>
                      <w:marTop w:val="0"/>
                      <w:marBottom w:val="0"/>
                      <w:divBdr>
                        <w:top w:val="none" w:sz="0" w:space="0" w:color="auto"/>
                        <w:left w:val="none" w:sz="0" w:space="0" w:color="auto"/>
                        <w:bottom w:val="none" w:sz="0" w:space="0" w:color="auto"/>
                        <w:right w:val="none" w:sz="0" w:space="0" w:color="auto"/>
                      </w:divBdr>
                    </w:div>
                    <w:div w:id="1763258330">
                      <w:marLeft w:val="0"/>
                      <w:marRight w:val="0"/>
                      <w:marTop w:val="0"/>
                      <w:marBottom w:val="0"/>
                      <w:divBdr>
                        <w:top w:val="none" w:sz="0" w:space="0" w:color="auto"/>
                        <w:left w:val="none" w:sz="0" w:space="0" w:color="auto"/>
                        <w:bottom w:val="none" w:sz="0" w:space="0" w:color="auto"/>
                        <w:right w:val="none" w:sz="0" w:space="0" w:color="auto"/>
                      </w:divBdr>
                    </w:div>
                  </w:divsChild>
                </w:div>
                <w:div w:id="57167732">
                  <w:marLeft w:val="0"/>
                  <w:marRight w:val="0"/>
                  <w:marTop w:val="0"/>
                  <w:marBottom w:val="0"/>
                  <w:divBdr>
                    <w:top w:val="none" w:sz="0" w:space="0" w:color="auto"/>
                    <w:left w:val="none" w:sz="0" w:space="0" w:color="auto"/>
                    <w:bottom w:val="none" w:sz="0" w:space="0" w:color="auto"/>
                    <w:right w:val="none" w:sz="0" w:space="0" w:color="auto"/>
                  </w:divBdr>
                  <w:divsChild>
                    <w:div w:id="1208253559">
                      <w:marLeft w:val="0"/>
                      <w:marRight w:val="0"/>
                      <w:marTop w:val="0"/>
                      <w:marBottom w:val="0"/>
                      <w:divBdr>
                        <w:top w:val="none" w:sz="0" w:space="0" w:color="auto"/>
                        <w:left w:val="none" w:sz="0" w:space="0" w:color="auto"/>
                        <w:bottom w:val="none" w:sz="0" w:space="0" w:color="auto"/>
                        <w:right w:val="none" w:sz="0" w:space="0" w:color="auto"/>
                      </w:divBdr>
                    </w:div>
                  </w:divsChild>
                </w:div>
                <w:div w:id="1292203848">
                  <w:marLeft w:val="0"/>
                  <w:marRight w:val="0"/>
                  <w:marTop w:val="0"/>
                  <w:marBottom w:val="0"/>
                  <w:divBdr>
                    <w:top w:val="none" w:sz="0" w:space="0" w:color="auto"/>
                    <w:left w:val="none" w:sz="0" w:space="0" w:color="auto"/>
                    <w:bottom w:val="none" w:sz="0" w:space="0" w:color="auto"/>
                    <w:right w:val="none" w:sz="0" w:space="0" w:color="auto"/>
                  </w:divBdr>
                  <w:divsChild>
                    <w:div w:id="602618189">
                      <w:marLeft w:val="0"/>
                      <w:marRight w:val="0"/>
                      <w:marTop w:val="0"/>
                      <w:marBottom w:val="0"/>
                      <w:divBdr>
                        <w:top w:val="none" w:sz="0" w:space="0" w:color="auto"/>
                        <w:left w:val="none" w:sz="0" w:space="0" w:color="auto"/>
                        <w:bottom w:val="none" w:sz="0" w:space="0" w:color="auto"/>
                        <w:right w:val="none" w:sz="0" w:space="0" w:color="auto"/>
                      </w:divBdr>
                    </w:div>
                  </w:divsChild>
                </w:div>
                <w:div w:id="37366479">
                  <w:marLeft w:val="0"/>
                  <w:marRight w:val="0"/>
                  <w:marTop w:val="0"/>
                  <w:marBottom w:val="0"/>
                  <w:divBdr>
                    <w:top w:val="none" w:sz="0" w:space="0" w:color="auto"/>
                    <w:left w:val="none" w:sz="0" w:space="0" w:color="auto"/>
                    <w:bottom w:val="none" w:sz="0" w:space="0" w:color="auto"/>
                    <w:right w:val="none" w:sz="0" w:space="0" w:color="auto"/>
                  </w:divBdr>
                  <w:divsChild>
                    <w:div w:id="1012024074">
                      <w:marLeft w:val="0"/>
                      <w:marRight w:val="0"/>
                      <w:marTop w:val="0"/>
                      <w:marBottom w:val="0"/>
                      <w:divBdr>
                        <w:top w:val="none" w:sz="0" w:space="0" w:color="auto"/>
                        <w:left w:val="none" w:sz="0" w:space="0" w:color="auto"/>
                        <w:bottom w:val="none" w:sz="0" w:space="0" w:color="auto"/>
                        <w:right w:val="none" w:sz="0" w:space="0" w:color="auto"/>
                      </w:divBdr>
                    </w:div>
                  </w:divsChild>
                </w:div>
                <w:div w:id="1516073709">
                  <w:marLeft w:val="0"/>
                  <w:marRight w:val="0"/>
                  <w:marTop w:val="0"/>
                  <w:marBottom w:val="0"/>
                  <w:divBdr>
                    <w:top w:val="none" w:sz="0" w:space="0" w:color="auto"/>
                    <w:left w:val="none" w:sz="0" w:space="0" w:color="auto"/>
                    <w:bottom w:val="none" w:sz="0" w:space="0" w:color="auto"/>
                    <w:right w:val="none" w:sz="0" w:space="0" w:color="auto"/>
                  </w:divBdr>
                  <w:divsChild>
                    <w:div w:id="1324701037">
                      <w:marLeft w:val="0"/>
                      <w:marRight w:val="0"/>
                      <w:marTop w:val="0"/>
                      <w:marBottom w:val="0"/>
                      <w:divBdr>
                        <w:top w:val="none" w:sz="0" w:space="0" w:color="auto"/>
                        <w:left w:val="none" w:sz="0" w:space="0" w:color="auto"/>
                        <w:bottom w:val="none" w:sz="0" w:space="0" w:color="auto"/>
                        <w:right w:val="none" w:sz="0" w:space="0" w:color="auto"/>
                      </w:divBdr>
                    </w:div>
                  </w:divsChild>
                </w:div>
                <w:div w:id="1608852218">
                  <w:marLeft w:val="0"/>
                  <w:marRight w:val="0"/>
                  <w:marTop w:val="0"/>
                  <w:marBottom w:val="0"/>
                  <w:divBdr>
                    <w:top w:val="none" w:sz="0" w:space="0" w:color="auto"/>
                    <w:left w:val="none" w:sz="0" w:space="0" w:color="auto"/>
                    <w:bottom w:val="none" w:sz="0" w:space="0" w:color="auto"/>
                    <w:right w:val="none" w:sz="0" w:space="0" w:color="auto"/>
                  </w:divBdr>
                  <w:divsChild>
                    <w:div w:id="303896957">
                      <w:marLeft w:val="0"/>
                      <w:marRight w:val="0"/>
                      <w:marTop w:val="0"/>
                      <w:marBottom w:val="0"/>
                      <w:divBdr>
                        <w:top w:val="none" w:sz="0" w:space="0" w:color="auto"/>
                        <w:left w:val="none" w:sz="0" w:space="0" w:color="auto"/>
                        <w:bottom w:val="none" w:sz="0" w:space="0" w:color="auto"/>
                        <w:right w:val="none" w:sz="0" w:space="0" w:color="auto"/>
                      </w:divBdr>
                    </w:div>
                  </w:divsChild>
                </w:div>
                <w:div w:id="1501964803">
                  <w:marLeft w:val="0"/>
                  <w:marRight w:val="0"/>
                  <w:marTop w:val="0"/>
                  <w:marBottom w:val="0"/>
                  <w:divBdr>
                    <w:top w:val="none" w:sz="0" w:space="0" w:color="auto"/>
                    <w:left w:val="none" w:sz="0" w:space="0" w:color="auto"/>
                    <w:bottom w:val="none" w:sz="0" w:space="0" w:color="auto"/>
                    <w:right w:val="none" w:sz="0" w:space="0" w:color="auto"/>
                  </w:divBdr>
                  <w:divsChild>
                    <w:div w:id="1541045162">
                      <w:marLeft w:val="0"/>
                      <w:marRight w:val="0"/>
                      <w:marTop w:val="0"/>
                      <w:marBottom w:val="0"/>
                      <w:divBdr>
                        <w:top w:val="none" w:sz="0" w:space="0" w:color="auto"/>
                        <w:left w:val="none" w:sz="0" w:space="0" w:color="auto"/>
                        <w:bottom w:val="none" w:sz="0" w:space="0" w:color="auto"/>
                        <w:right w:val="none" w:sz="0" w:space="0" w:color="auto"/>
                      </w:divBdr>
                    </w:div>
                  </w:divsChild>
                </w:div>
                <w:div w:id="25453624">
                  <w:marLeft w:val="0"/>
                  <w:marRight w:val="0"/>
                  <w:marTop w:val="0"/>
                  <w:marBottom w:val="0"/>
                  <w:divBdr>
                    <w:top w:val="none" w:sz="0" w:space="0" w:color="auto"/>
                    <w:left w:val="none" w:sz="0" w:space="0" w:color="auto"/>
                    <w:bottom w:val="none" w:sz="0" w:space="0" w:color="auto"/>
                    <w:right w:val="none" w:sz="0" w:space="0" w:color="auto"/>
                  </w:divBdr>
                  <w:divsChild>
                    <w:div w:id="1507403228">
                      <w:marLeft w:val="0"/>
                      <w:marRight w:val="0"/>
                      <w:marTop w:val="0"/>
                      <w:marBottom w:val="0"/>
                      <w:divBdr>
                        <w:top w:val="none" w:sz="0" w:space="0" w:color="auto"/>
                        <w:left w:val="none" w:sz="0" w:space="0" w:color="auto"/>
                        <w:bottom w:val="none" w:sz="0" w:space="0" w:color="auto"/>
                        <w:right w:val="none" w:sz="0" w:space="0" w:color="auto"/>
                      </w:divBdr>
                    </w:div>
                  </w:divsChild>
                </w:div>
                <w:div w:id="290210050">
                  <w:marLeft w:val="0"/>
                  <w:marRight w:val="0"/>
                  <w:marTop w:val="0"/>
                  <w:marBottom w:val="0"/>
                  <w:divBdr>
                    <w:top w:val="none" w:sz="0" w:space="0" w:color="auto"/>
                    <w:left w:val="none" w:sz="0" w:space="0" w:color="auto"/>
                    <w:bottom w:val="none" w:sz="0" w:space="0" w:color="auto"/>
                    <w:right w:val="none" w:sz="0" w:space="0" w:color="auto"/>
                  </w:divBdr>
                  <w:divsChild>
                    <w:div w:id="1405225471">
                      <w:marLeft w:val="0"/>
                      <w:marRight w:val="0"/>
                      <w:marTop w:val="0"/>
                      <w:marBottom w:val="0"/>
                      <w:divBdr>
                        <w:top w:val="none" w:sz="0" w:space="0" w:color="auto"/>
                        <w:left w:val="none" w:sz="0" w:space="0" w:color="auto"/>
                        <w:bottom w:val="none" w:sz="0" w:space="0" w:color="auto"/>
                        <w:right w:val="none" w:sz="0" w:space="0" w:color="auto"/>
                      </w:divBdr>
                    </w:div>
                  </w:divsChild>
                </w:div>
                <w:div w:id="1797212755">
                  <w:marLeft w:val="0"/>
                  <w:marRight w:val="0"/>
                  <w:marTop w:val="0"/>
                  <w:marBottom w:val="0"/>
                  <w:divBdr>
                    <w:top w:val="none" w:sz="0" w:space="0" w:color="auto"/>
                    <w:left w:val="none" w:sz="0" w:space="0" w:color="auto"/>
                    <w:bottom w:val="none" w:sz="0" w:space="0" w:color="auto"/>
                    <w:right w:val="none" w:sz="0" w:space="0" w:color="auto"/>
                  </w:divBdr>
                  <w:divsChild>
                    <w:div w:id="2083405317">
                      <w:marLeft w:val="0"/>
                      <w:marRight w:val="0"/>
                      <w:marTop w:val="0"/>
                      <w:marBottom w:val="0"/>
                      <w:divBdr>
                        <w:top w:val="none" w:sz="0" w:space="0" w:color="auto"/>
                        <w:left w:val="none" w:sz="0" w:space="0" w:color="auto"/>
                        <w:bottom w:val="none" w:sz="0" w:space="0" w:color="auto"/>
                        <w:right w:val="none" w:sz="0" w:space="0" w:color="auto"/>
                      </w:divBdr>
                    </w:div>
                  </w:divsChild>
                </w:div>
                <w:div w:id="317880126">
                  <w:marLeft w:val="0"/>
                  <w:marRight w:val="0"/>
                  <w:marTop w:val="0"/>
                  <w:marBottom w:val="0"/>
                  <w:divBdr>
                    <w:top w:val="none" w:sz="0" w:space="0" w:color="auto"/>
                    <w:left w:val="none" w:sz="0" w:space="0" w:color="auto"/>
                    <w:bottom w:val="none" w:sz="0" w:space="0" w:color="auto"/>
                    <w:right w:val="none" w:sz="0" w:space="0" w:color="auto"/>
                  </w:divBdr>
                  <w:divsChild>
                    <w:div w:id="2115242085">
                      <w:marLeft w:val="0"/>
                      <w:marRight w:val="0"/>
                      <w:marTop w:val="0"/>
                      <w:marBottom w:val="0"/>
                      <w:divBdr>
                        <w:top w:val="none" w:sz="0" w:space="0" w:color="auto"/>
                        <w:left w:val="none" w:sz="0" w:space="0" w:color="auto"/>
                        <w:bottom w:val="none" w:sz="0" w:space="0" w:color="auto"/>
                        <w:right w:val="none" w:sz="0" w:space="0" w:color="auto"/>
                      </w:divBdr>
                    </w:div>
                  </w:divsChild>
                </w:div>
                <w:div w:id="1513107105">
                  <w:marLeft w:val="0"/>
                  <w:marRight w:val="0"/>
                  <w:marTop w:val="0"/>
                  <w:marBottom w:val="0"/>
                  <w:divBdr>
                    <w:top w:val="none" w:sz="0" w:space="0" w:color="auto"/>
                    <w:left w:val="none" w:sz="0" w:space="0" w:color="auto"/>
                    <w:bottom w:val="none" w:sz="0" w:space="0" w:color="auto"/>
                    <w:right w:val="none" w:sz="0" w:space="0" w:color="auto"/>
                  </w:divBdr>
                  <w:divsChild>
                    <w:div w:id="520775926">
                      <w:marLeft w:val="0"/>
                      <w:marRight w:val="0"/>
                      <w:marTop w:val="0"/>
                      <w:marBottom w:val="0"/>
                      <w:divBdr>
                        <w:top w:val="none" w:sz="0" w:space="0" w:color="auto"/>
                        <w:left w:val="none" w:sz="0" w:space="0" w:color="auto"/>
                        <w:bottom w:val="none" w:sz="0" w:space="0" w:color="auto"/>
                        <w:right w:val="none" w:sz="0" w:space="0" w:color="auto"/>
                      </w:divBdr>
                    </w:div>
                  </w:divsChild>
                </w:div>
                <w:div w:id="1270628698">
                  <w:marLeft w:val="0"/>
                  <w:marRight w:val="0"/>
                  <w:marTop w:val="0"/>
                  <w:marBottom w:val="0"/>
                  <w:divBdr>
                    <w:top w:val="none" w:sz="0" w:space="0" w:color="auto"/>
                    <w:left w:val="none" w:sz="0" w:space="0" w:color="auto"/>
                    <w:bottom w:val="none" w:sz="0" w:space="0" w:color="auto"/>
                    <w:right w:val="none" w:sz="0" w:space="0" w:color="auto"/>
                  </w:divBdr>
                  <w:divsChild>
                    <w:div w:id="153861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090396">
          <w:marLeft w:val="0"/>
          <w:marRight w:val="0"/>
          <w:marTop w:val="0"/>
          <w:marBottom w:val="0"/>
          <w:divBdr>
            <w:top w:val="none" w:sz="0" w:space="0" w:color="auto"/>
            <w:left w:val="none" w:sz="0" w:space="0" w:color="auto"/>
            <w:bottom w:val="none" w:sz="0" w:space="0" w:color="auto"/>
            <w:right w:val="none" w:sz="0" w:space="0" w:color="auto"/>
          </w:divBdr>
        </w:div>
      </w:divsChild>
    </w:div>
    <w:div w:id="651174531">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16847">
      <w:bodyDiv w:val="1"/>
      <w:marLeft w:val="0"/>
      <w:marRight w:val="0"/>
      <w:marTop w:val="0"/>
      <w:marBottom w:val="0"/>
      <w:divBdr>
        <w:top w:val="none" w:sz="0" w:space="0" w:color="auto"/>
        <w:left w:val="none" w:sz="0" w:space="0" w:color="auto"/>
        <w:bottom w:val="none" w:sz="0" w:space="0" w:color="auto"/>
        <w:right w:val="none" w:sz="0" w:space="0" w:color="auto"/>
      </w:divBdr>
    </w:div>
    <w:div w:id="1155223881">
      <w:bodyDiv w:val="1"/>
      <w:marLeft w:val="0"/>
      <w:marRight w:val="0"/>
      <w:marTop w:val="0"/>
      <w:marBottom w:val="0"/>
      <w:divBdr>
        <w:top w:val="none" w:sz="0" w:space="0" w:color="auto"/>
        <w:left w:val="none" w:sz="0" w:space="0" w:color="auto"/>
        <w:bottom w:val="none" w:sz="0" w:space="0" w:color="auto"/>
        <w:right w:val="none" w:sz="0" w:space="0" w:color="auto"/>
      </w:divBdr>
    </w:div>
    <w:div w:id="1314678910">
      <w:bodyDiv w:val="1"/>
      <w:marLeft w:val="0"/>
      <w:marRight w:val="0"/>
      <w:marTop w:val="0"/>
      <w:marBottom w:val="0"/>
      <w:divBdr>
        <w:top w:val="none" w:sz="0" w:space="0" w:color="auto"/>
        <w:left w:val="none" w:sz="0" w:space="0" w:color="auto"/>
        <w:bottom w:val="none" w:sz="0" w:space="0" w:color="auto"/>
        <w:right w:val="none" w:sz="0" w:space="0" w:color="auto"/>
      </w:divBdr>
    </w:div>
    <w:div w:id="1411392744">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08516482">
      <w:bodyDiv w:val="1"/>
      <w:marLeft w:val="0"/>
      <w:marRight w:val="0"/>
      <w:marTop w:val="0"/>
      <w:marBottom w:val="0"/>
      <w:divBdr>
        <w:top w:val="none" w:sz="0" w:space="0" w:color="auto"/>
        <w:left w:val="none" w:sz="0" w:space="0" w:color="auto"/>
        <w:bottom w:val="none" w:sz="0" w:space="0" w:color="auto"/>
        <w:right w:val="none" w:sz="0" w:space="0" w:color="auto"/>
      </w:divBdr>
    </w:div>
    <w:div w:id="1608539669">
      <w:bodyDiv w:val="1"/>
      <w:marLeft w:val="0"/>
      <w:marRight w:val="0"/>
      <w:marTop w:val="0"/>
      <w:marBottom w:val="0"/>
      <w:divBdr>
        <w:top w:val="none" w:sz="0" w:space="0" w:color="auto"/>
        <w:left w:val="none" w:sz="0" w:space="0" w:color="auto"/>
        <w:bottom w:val="none" w:sz="0" w:space="0" w:color="auto"/>
        <w:right w:val="none" w:sz="0" w:space="0" w:color="auto"/>
      </w:divBdr>
    </w:div>
    <w:div w:id="1659379916">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78172">
      <w:bodyDiv w:val="1"/>
      <w:marLeft w:val="0"/>
      <w:marRight w:val="0"/>
      <w:marTop w:val="0"/>
      <w:marBottom w:val="0"/>
      <w:divBdr>
        <w:top w:val="none" w:sz="0" w:space="0" w:color="auto"/>
        <w:left w:val="none" w:sz="0" w:space="0" w:color="auto"/>
        <w:bottom w:val="none" w:sz="0" w:space="0" w:color="auto"/>
        <w:right w:val="none" w:sz="0" w:space="0" w:color="auto"/>
      </w:divBdr>
    </w:div>
    <w:div w:id="1950776553">
      <w:bodyDiv w:val="1"/>
      <w:marLeft w:val="0"/>
      <w:marRight w:val="0"/>
      <w:marTop w:val="0"/>
      <w:marBottom w:val="0"/>
      <w:divBdr>
        <w:top w:val="none" w:sz="0" w:space="0" w:color="auto"/>
        <w:left w:val="none" w:sz="0" w:space="0" w:color="auto"/>
        <w:bottom w:val="none" w:sz="0" w:space="0" w:color="auto"/>
        <w:right w:val="none" w:sz="0" w:space="0" w:color="auto"/>
      </w:divBdr>
    </w:div>
    <w:div w:id="2043090408">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72151f4-b13a-4806-8827-013deced4a3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94E4BADD81CE4841A05492A9EE320A38" ma:contentTypeVersion="18" ma:contentTypeDescription="Creare un nuovo documento." ma:contentTypeScope="" ma:versionID="d6b62ef4bded8dda7bddd6ad498d2ecc">
  <xsd:schema xmlns:xsd="http://www.w3.org/2001/XMLSchema" xmlns:xs="http://www.w3.org/2001/XMLSchema" xmlns:p="http://schemas.microsoft.com/office/2006/metadata/properties" xmlns:ns3="872151f4-b13a-4806-8827-013deced4a32" xmlns:ns4="70fde86d-f1aa-4b46-b4ed-af96870b39a9" targetNamespace="http://schemas.microsoft.com/office/2006/metadata/properties" ma:root="true" ma:fieldsID="b7213b0ad170c2273d99f93867264951" ns3:_="" ns4:_="">
    <xsd:import namespace="872151f4-b13a-4806-8827-013deced4a32"/>
    <xsd:import namespace="70fde86d-f1aa-4b46-b4ed-af96870b39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2151f4-b13a-4806-8827-013deced4a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fde86d-f1aa-4b46-b4ed-af96870b39a9"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SharingHintHash" ma:index="20"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603060-094E-41BF-BEC1-6FA7BE843F67}">
  <ds:schemaRefs>
    <ds:schemaRef ds:uri="http://schemas.openxmlformats.org/officeDocument/2006/bibliography"/>
  </ds:schemaRefs>
</ds:datastoreItem>
</file>

<file path=customXml/itemProps2.xml><?xml version="1.0" encoding="utf-8"?>
<ds:datastoreItem xmlns:ds="http://schemas.openxmlformats.org/officeDocument/2006/customXml" ds:itemID="{5915B935-AFE2-4499-B754-FE17EC2CD67B}">
  <ds:schemaRefs>
    <ds:schemaRef ds:uri="http://schemas.microsoft.com/sharepoint/v3/contenttype/forms"/>
  </ds:schemaRefs>
</ds:datastoreItem>
</file>

<file path=customXml/itemProps3.xml><?xml version="1.0" encoding="utf-8"?>
<ds:datastoreItem xmlns:ds="http://schemas.openxmlformats.org/officeDocument/2006/customXml" ds:itemID="{271328CB-DE4C-49E3-9241-D3FD560B2017}">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70fde86d-f1aa-4b46-b4ed-af96870b39a9"/>
    <ds:schemaRef ds:uri="http://schemas.microsoft.com/office/2006/documentManagement/types"/>
    <ds:schemaRef ds:uri="872151f4-b13a-4806-8827-013deced4a32"/>
    <ds:schemaRef ds:uri="http://www.w3.org/XML/1998/namespace"/>
    <ds:schemaRef ds:uri="http://purl.org/dc/dcmitype/"/>
  </ds:schemaRefs>
</ds:datastoreItem>
</file>

<file path=customXml/itemProps4.xml><?xml version="1.0" encoding="utf-8"?>
<ds:datastoreItem xmlns:ds="http://schemas.openxmlformats.org/officeDocument/2006/customXml" ds:itemID="{1A9C9495-FA0B-42A8-B9A3-8AD9243BC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2151f4-b13a-4806-8827-013deced4a32"/>
    <ds:schemaRef ds:uri="70fde86d-f1aa-4b46-b4ed-af96870b3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6</Pages>
  <Words>3235</Words>
  <Characters>18443</Characters>
  <Application>Microsoft Office Word</Application>
  <DocSecurity>0</DocSecurity>
  <Lines>153</Lines>
  <Paragraphs>43</Paragraphs>
  <ScaleCrop>false</ScaleCrop>
  <HeadingPairs>
    <vt:vector size="6" baseType="variant">
      <vt:variant>
        <vt:lpstr>Titolo</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MARIA ELENA RUSSO</cp:lastModifiedBy>
  <cp:revision>41</cp:revision>
  <cp:lastPrinted>2015-05-12T18:31:00Z</cp:lastPrinted>
  <dcterms:created xsi:type="dcterms:W3CDTF">2024-03-13T14:26:00Z</dcterms:created>
  <dcterms:modified xsi:type="dcterms:W3CDTF">2024-03-18T08:57:00Z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0x01010094E4BADD81CE4841A05492A9EE320A38</vt:lpwstr>
  </property>
</Properties>
</file>