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70BF9">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E70BF9">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E70BF9">
        <w:trPr>
          <w:trHeight w:val="68"/>
          <w:jc w:val="center"/>
        </w:trPr>
        <w:tc>
          <w:tcPr>
            <w:tcW w:w="8782"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Marco Bravi, Antonio Marzocchella,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3166726F" w:rsidR="00E978D0" w:rsidRPr="00B57B36" w:rsidRDefault="00E70BF9" w:rsidP="00E70BF9">
      <w:pPr>
        <w:pStyle w:val="CETTitle"/>
      </w:pPr>
      <w:r>
        <w:t>Pectin-based films for applications in the horticultural sector: a preliminary characterization</w:t>
      </w:r>
    </w:p>
    <w:p w14:paraId="0488FED2" w14:textId="3D4062A6" w:rsidR="00B57E6F" w:rsidRPr="00E20EF9" w:rsidRDefault="00783107" w:rsidP="00783107">
      <w:pPr>
        <w:pStyle w:val="CETAuthors"/>
        <w:rPr>
          <w:lang w:val="it-IT"/>
        </w:rPr>
      </w:pPr>
      <w:r w:rsidRPr="00E20EF9">
        <w:rPr>
          <w:lang w:val="it-IT"/>
        </w:rPr>
        <w:t>Daniele Carullo</w:t>
      </w:r>
      <w:r w:rsidR="00E20EF9" w:rsidRPr="00E20EF9">
        <w:rPr>
          <w:vertAlign w:val="superscript"/>
          <w:lang w:val="it-IT"/>
        </w:rPr>
        <w:t>a</w:t>
      </w:r>
      <w:r w:rsidRPr="00E20EF9">
        <w:rPr>
          <w:vertAlign w:val="superscript"/>
          <w:lang w:val="it-IT"/>
        </w:rPr>
        <w:t>,</w:t>
      </w:r>
      <w:r w:rsidR="00E20EF9" w:rsidRPr="00E20EF9">
        <w:rPr>
          <w:vertAlign w:val="superscript"/>
          <w:lang w:val="it-IT"/>
        </w:rPr>
        <w:t>*</w:t>
      </w:r>
      <w:r w:rsidRPr="00E20EF9">
        <w:rPr>
          <w:lang w:val="it-IT"/>
        </w:rPr>
        <w:t xml:space="preserve"> Lorenzo Vergani</w:t>
      </w:r>
      <w:r w:rsidR="00E20EF9" w:rsidRPr="00AA56A2">
        <w:rPr>
          <w:vertAlign w:val="superscript"/>
          <w:lang w:val="it-IT"/>
        </w:rPr>
        <w:t>a</w:t>
      </w:r>
      <w:r w:rsidRPr="00E20EF9">
        <w:rPr>
          <w:lang w:val="it-IT"/>
        </w:rPr>
        <w:t>, Giulia Franzoni</w:t>
      </w:r>
      <w:r w:rsidR="00E20EF9" w:rsidRPr="00AA56A2">
        <w:rPr>
          <w:vertAlign w:val="superscript"/>
          <w:lang w:val="it-IT"/>
        </w:rPr>
        <w:t>b</w:t>
      </w:r>
      <w:r w:rsidRPr="00E20EF9">
        <w:rPr>
          <w:lang w:val="it-IT"/>
        </w:rPr>
        <w:t>, Francesca Mapelli</w:t>
      </w:r>
      <w:r w:rsidR="00E20EF9" w:rsidRPr="00AA56A2">
        <w:rPr>
          <w:vertAlign w:val="superscript"/>
          <w:lang w:val="it-IT"/>
        </w:rPr>
        <w:t>a</w:t>
      </w:r>
      <w:r w:rsidRPr="00E20EF9">
        <w:rPr>
          <w:lang w:val="it-IT"/>
        </w:rPr>
        <w:t>, Antonio Ferrante</w:t>
      </w:r>
      <w:r w:rsidR="00E20EF9" w:rsidRPr="00AA56A2">
        <w:rPr>
          <w:vertAlign w:val="superscript"/>
          <w:lang w:val="it-IT"/>
        </w:rPr>
        <w:t>b</w:t>
      </w:r>
      <w:r w:rsidRPr="00E20EF9">
        <w:rPr>
          <w:lang w:val="it-IT"/>
        </w:rPr>
        <w:t>, Sara Borin</w:t>
      </w:r>
      <w:r w:rsidR="00E20EF9" w:rsidRPr="00AA56A2">
        <w:rPr>
          <w:vertAlign w:val="superscript"/>
          <w:lang w:val="it-IT"/>
        </w:rPr>
        <w:t>a</w:t>
      </w:r>
      <w:r w:rsidRPr="00E20EF9">
        <w:rPr>
          <w:lang w:val="it-IT"/>
        </w:rPr>
        <w:t>, Stefano Farris</w:t>
      </w:r>
      <w:r w:rsidR="00E20EF9" w:rsidRPr="00AA56A2">
        <w:rPr>
          <w:vertAlign w:val="superscript"/>
          <w:lang w:val="it-IT"/>
        </w:rPr>
        <w:t>a</w:t>
      </w:r>
    </w:p>
    <w:p w14:paraId="6B2D21B3" w14:textId="5FDC8DA7" w:rsidR="00B57E6F" w:rsidRPr="0021320C" w:rsidRDefault="00B57E6F" w:rsidP="0021320C">
      <w:pPr>
        <w:pStyle w:val="CETAddress"/>
        <w:jc w:val="both"/>
        <w:rPr>
          <w:lang w:val="it-IT"/>
        </w:rPr>
      </w:pPr>
      <w:r w:rsidRPr="0021320C">
        <w:rPr>
          <w:vertAlign w:val="superscript"/>
          <w:lang w:val="it-IT"/>
        </w:rPr>
        <w:t>a</w:t>
      </w:r>
      <w:r w:rsidR="00353D20" w:rsidRPr="0021320C">
        <w:rPr>
          <w:lang w:val="it-IT"/>
        </w:rPr>
        <w:t>DeFENS, Department of Food, Environmental and Nutritional Sciences, Universit</w:t>
      </w:r>
      <w:r w:rsidR="0021320C" w:rsidRPr="0021320C">
        <w:rPr>
          <w:lang w:val="it-IT"/>
        </w:rPr>
        <w:t>à</w:t>
      </w:r>
      <w:r w:rsidR="00353D20" w:rsidRPr="0021320C">
        <w:rPr>
          <w:lang w:val="it-IT"/>
        </w:rPr>
        <w:t xml:space="preserve"> degli Studi di Milano, via Celoria 2, I-20133 Milan, Italy</w:t>
      </w:r>
      <w:r w:rsidRPr="0021320C">
        <w:rPr>
          <w:lang w:val="it-IT"/>
        </w:rPr>
        <w:t xml:space="preserve"> </w:t>
      </w:r>
    </w:p>
    <w:p w14:paraId="3D72B0B0" w14:textId="2E2452C7" w:rsidR="00B57E6F" w:rsidRPr="009071E3" w:rsidRDefault="00B57E6F" w:rsidP="0021320C">
      <w:pPr>
        <w:pStyle w:val="CETAddress"/>
        <w:jc w:val="both"/>
        <w:rPr>
          <w:lang w:val="it-IT"/>
        </w:rPr>
      </w:pPr>
      <w:r w:rsidRPr="009071E3">
        <w:rPr>
          <w:vertAlign w:val="superscript"/>
          <w:lang w:val="it-IT"/>
        </w:rPr>
        <w:t>b</w:t>
      </w:r>
      <w:r w:rsidR="0021320C" w:rsidRPr="009071E3">
        <w:rPr>
          <w:lang w:val="it-IT"/>
        </w:rPr>
        <w:t>DISAA, Department of Agricultural and Environmental Sciences, Università degli Studi di Milano, via Celoria 2, I-20133 Milan, Italy</w:t>
      </w:r>
      <w:r w:rsidRPr="009071E3">
        <w:rPr>
          <w:lang w:val="it-IT"/>
        </w:rPr>
        <w:t xml:space="preserve"> </w:t>
      </w:r>
    </w:p>
    <w:p w14:paraId="73F1267A" w14:textId="224D2AD2" w:rsidR="00B57E6F" w:rsidRPr="006C2770" w:rsidRDefault="00AA56A2" w:rsidP="00B57E6F">
      <w:pPr>
        <w:pStyle w:val="CETemail"/>
      </w:pPr>
      <w:r w:rsidRPr="006C2770">
        <w:t>daniele.carullo@unimi.it</w:t>
      </w:r>
    </w:p>
    <w:p w14:paraId="37A61FCE" w14:textId="53C67B10" w:rsidR="00DA24C6" w:rsidRDefault="00F70BF4" w:rsidP="00F70BF4">
      <w:pPr>
        <w:pStyle w:val="CETBodytext"/>
      </w:pPr>
      <w:r w:rsidRPr="00F70BF4">
        <w:rPr>
          <w:lang w:val="en-GB"/>
        </w:rPr>
        <w:t>Plastic containers in the horticulture sector largely rely on plastics of fossil origin. Although these</w:t>
      </w:r>
      <w:r w:rsidR="000D51D2">
        <w:rPr>
          <w:lang w:val="en-GB"/>
        </w:rPr>
        <w:t xml:space="preserve"> </w:t>
      </w:r>
      <w:r w:rsidRPr="00F70BF4">
        <w:rPr>
          <w:lang w:val="en-GB"/>
        </w:rPr>
        <w:t>plastics have excellent mechanical properties, resilience towards chemical/microbiological</w:t>
      </w:r>
      <w:r w:rsidR="000D51D2">
        <w:rPr>
          <w:lang w:val="en-GB"/>
        </w:rPr>
        <w:t xml:space="preserve"> </w:t>
      </w:r>
      <w:r w:rsidRPr="00F70BF4">
        <w:rPr>
          <w:lang w:val="en-GB"/>
        </w:rPr>
        <w:t xml:space="preserve">degradation, durability, and affordable price, they have a </w:t>
      </w:r>
      <w:r w:rsidR="00DA1CDE">
        <w:rPr>
          <w:lang w:val="en-GB"/>
        </w:rPr>
        <w:t xml:space="preserve">high </w:t>
      </w:r>
      <w:r w:rsidRPr="00F70BF4">
        <w:rPr>
          <w:lang w:val="en-GB"/>
        </w:rPr>
        <w:t>environmental impact due to their inherent</w:t>
      </w:r>
      <w:r w:rsidR="000D51D2">
        <w:rPr>
          <w:lang w:val="en-GB"/>
        </w:rPr>
        <w:t xml:space="preserve"> </w:t>
      </w:r>
      <w:r w:rsidRPr="00F70BF4">
        <w:rPr>
          <w:lang w:val="en-GB"/>
        </w:rPr>
        <w:t>non-biodegradability. In line with the most recent EU strategies on a trans-sectorial transition to</w:t>
      </w:r>
      <w:r w:rsidR="000D51D2">
        <w:rPr>
          <w:lang w:val="en-GB"/>
        </w:rPr>
        <w:t xml:space="preserve"> </w:t>
      </w:r>
      <w:r w:rsidRPr="00F70BF4">
        <w:rPr>
          <w:lang w:val="en-GB"/>
        </w:rPr>
        <w:t xml:space="preserve">sustainable systems, the horticultural sector is seeking for new materials </w:t>
      </w:r>
      <w:r w:rsidR="00E30CA2">
        <w:rPr>
          <w:lang w:val="en-GB"/>
        </w:rPr>
        <w:t>to</w:t>
      </w:r>
      <w:r w:rsidRPr="00F70BF4">
        <w:rPr>
          <w:lang w:val="en-GB"/>
        </w:rPr>
        <w:t xml:space="preserve"> produc</w:t>
      </w:r>
      <w:r w:rsidR="00E30CA2">
        <w:rPr>
          <w:lang w:val="en-GB"/>
        </w:rPr>
        <w:t>e</w:t>
      </w:r>
      <w:r w:rsidRPr="00F70BF4">
        <w:rPr>
          <w:lang w:val="en-GB"/>
        </w:rPr>
        <w:t xml:space="preserve"> plant</w:t>
      </w:r>
      <w:r w:rsidR="000D51D2">
        <w:rPr>
          <w:lang w:val="en-GB"/>
        </w:rPr>
        <w:t xml:space="preserve"> </w:t>
      </w:r>
      <w:r w:rsidRPr="00F70BF4">
        <w:rPr>
          <w:lang w:val="en-GB"/>
        </w:rPr>
        <w:t xml:space="preserve">nursery plugs as an alternative to conventional plastics. The present work is </w:t>
      </w:r>
      <w:r w:rsidR="00EE2A86">
        <w:rPr>
          <w:lang w:val="en-GB"/>
        </w:rPr>
        <w:t xml:space="preserve">a </w:t>
      </w:r>
      <w:r w:rsidRPr="00F70BF4">
        <w:rPr>
          <w:lang w:val="en-GB"/>
        </w:rPr>
        <w:t>part of the project</w:t>
      </w:r>
      <w:r w:rsidR="000D51D2">
        <w:rPr>
          <w:lang w:val="en-GB"/>
        </w:rPr>
        <w:t xml:space="preserve"> </w:t>
      </w:r>
      <w:r w:rsidRPr="00F70BF4">
        <w:rPr>
          <w:lang w:val="en-GB"/>
        </w:rPr>
        <w:t>"BBPlug”, which aims to add value to agri-food industr</w:t>
      </w:r>
      <w:r w:rsidR="007D14A0">
        <w:rPr>
          <w:lang w:val="en-GB"/>
        </w:rPr>
        <w:t>y</w:t>
      </w:r>
      <w:r w:rsidRPr="00F70BF4">
        <w:rPr>
          <w:lang w:val="en-GB"/>
        </w:rPr>
        <w:t xml:space="preserve"> waste</w:t>
      </w:r>
      <w:r w:rsidR="007D14A0">
        <w:rPr>
          <w:lang w:val="en-GB"/>
        </w:rPr>
        <w:t>s</w:t>
      </w:r>
      <w:r w:rsidRPr="00F70BF4">
        <w:rPr>
          <w:lang w:val="en-GB"/>
        </w:rPr>
        <w:t>, reducing</w:t>
      </w:r>
      <w:r w:rsidR="005842C7">
        <w:rPr>
          <w:lang w:val="en-GB"/>
        </w:rPr>
        <w:t xml:space="preserve"> </w:t>
      </w:r>
      <w:r w:rsidRPr="00F70BF4">
        <w:rPr>
          <w:lang w:val="en-GB"/>
        </w:rPr>
        <w:t>plastics and fertilizers in</w:t>
      </w:r>
      <w:r w:rsidR="000D51D2">
        <w:rPr>
          <w:lang w:val="en-GB"/>
        </w:rPr>
        <w:t xml:space="preserve"> </w:t>
      </w:r>
      <w:r w:rsidRPr="00F70BF4">
        <w:rPr>
          <w:lang w:val="en-GB"/>
        </w:rPr>
        <w:t>horticulture. Here</w:t>
      </w:r>
      <w:r w:rsidR="005842C7">
        <w:rPr>
          <w:lang w:val="en-GB"/>
        </w:rPr>
        <w:t>,</w:t>
      </w:r>
      <w:r w:rsidRPr="00F70BF4">
        <w:rPr>
          <w:lang w:val="en-GB"/>
        </w:rPr>
        <w:t xml:space="preserve"> we propose a new material made of pectin extracted from citrus peel as a green and</w:t>
      </w:r>
      <w:r w:rsidR="000D51D2">
        <w:rPr>
          <w:lang w:val="en-GB"/>
        </w:rPr>
        <w:t xml:space="preserve"> </w:t>
      </w:r>
      <w:r w:rsidRPr="00F70BF4">
        <w:rPr>
          <w:lang w:val="en-GB"/>
        </w:rPr>
        <w:t xml:space="preserve">biodegradable </w:t>
      </w:r>
      <w:r w:rsidR="00451C1F">
        <w:rPr>
          <w:lang w:val="en-GB"/>
        </w:rPr>
        <w:t>substrate</w:t>
      </w:r>
      <w:r w:rsidRPr="00F70BF4">
        <w:rPr>
          <w:lang w:val="en-GB"/>
        </w:rPr>
        <w:t xml:space="preserve"> </w:t>
      </w:r>
      <w:r w:rsidR="00914E17" w:rsidRPr="00F70BF4">
        <w:rPr>
          <w:lang w:val="en-GB"/>
        </w:rPr>
        <w:t>to produce</w:t>
      </w:r>
      <w:r w:rsidRPr="00F70BF4">
        <w:rPr>
          <w:lang w:val="en-GB"/>
        </w:rPr>
        <w:t xml:space="preserve"> plant nursery plugs. To this purpose, pectin-based films</w:t>
      </w:r>
      <w:r w:rsidR="000D51D2">
        <w:rPr>
          <w:lang w:val="en-GB"/>
        </w:rPr>
        <w:t xml:space="preserve"> </w:t>
      </w:r>
      <w:r w:rsidRPr="00F70BF4">
        <w:rPr>
          <w:lang w:val="en-GB"/>
        </w:rPr>
        <w:t xml:space="preserve">were </w:t>
      </w:r>
      <w:r w:rsidR="008B375A">
        <w:rPr>
          <w:lang w:val="en-GB"/>
        </w:rPr>
        <w:t>fabricated</w:t>
      </w:r>
      <w:r w:rsidRPr="00F70BF4">
        <w:rPr>
          <w:lang w:val="en-GB"/>
        </w:rPr>
        <w:t xml:space="preserve"> by solvent-casting from film-forming solutions with increasing amounts of glycerol</w:t>
      </w:r>
      <w:r w:rsidR="000D51D2">
        <w:rPr>
          <w:lang w:val="en-GB"/>
        </w:rPr>
        <w:t xml:space="preserve"> </w:t>
      </w:r>
      <w:r w:rsidRPr="00F70BF4">
        <w:rPr>
          <w:lang w:val="en-GB"/>
        </w:rPr>
        <w:t>as plasticizer (6.7 – 33.3 g</w:t>
      </w:r>
      <w:r w:rsidRPr="00F275D2">
        <w:rPr>
          <w:vertAlign w:val="subscript"/>
          <w:lang w:val="en-GB"/>
        </w:rPr>
        <w:t>Glycerol</w:t>
      </w:r>
      <w:r w:rsidRPr="00F70BF4">
        <w:rPr>
          <w:lang w:val="en-GB"/>
        </w:rPr>
        <w:t>/g</w:t>
      </w:r>
      <w:r w:rsidRPr="00F275D2">
        <w:rPr>
          <w:vertAlign w:val="subscript"/>
          <w:lang w:val="en-GB"/>
        </w:rPr>
        <w:t>Pectin</w:t>
      </w:r>
      <w:r w:rsidRPr="00F70BF4">
        <w:rPr>
          <w:lang w:val="en-GB"/>
        </w:rPr>
        <w:t>), microfibrillated cellulose (MFC) as reinforcing agent (2.7 –</w:t>
      </w:r>
      <w:r w:rsidR="000D51D2">
        <w:rPr>
          <w:lang w:val="en-GB"/>
        </w:rPr>
        <w:t xml:space="preserve"> </w:t>
      </w:r>
      <w:r w:rsidRPr="00F70BF4">
        <w:rPr>
          <w:lang w:val="en-GB"/>
        </w:rPr>
        <w:t>8.1 mg</w:t>
      </w:r>
      <w:r w:rsidRPr="00F275D2">
        <w:rPr>
          <w:vertAlign w:val="subscript"/>
          <w:lang w:val="en-GB"/>
        </w:rPr>
        <w:t>MFC</w:t>
      </w:r>
      <w:r w:rsidRPr="00F70BF4">
        <w:rPr>
          <w:lang w:val="en-GB"/>
        </w:rPr>
        <w:t>/g</w:t>
      </w:r>
      <w:r w:rsidRPr="00F275D2">
        <w:rPr>
          <w:vertAlign w:val="subscript"/>
          <w:lang w:val="en-GB"/>
        </w:rPr>
        <w:t>Pectin</w:t>
      </w:r>
      <w:r w:rsidRPr="00F70BF4">
        <w:rPr>
          <w:lang w:val="en-GB"/>
        </w:rPr>
        <w:t xml:space="preserve">), and at two different pH </w:t>
      </w:r>
      <w:r w:rsidR="00EE2A86">
        <w:rPr>
          <w:lang w:val="en-GB"/>
        </w:rPr>
        <w:t xml:space="preserve">values </w:t>
      </w:r>
      <w:r w:rsidRPr="00F70BF4">
        <w:rPr>
          <w:lang w:val="en-GB"/>
        </w:rPr>
        <w:t>(3.5 and 7.0). Puncture resistance, water solubility, and</w:t>
      </w:r>
      <w:r w:rsidR="000D51D2">
        <w:rPr>
          <w:lang w:val="en-GB"/>
        </w:rPr>
        <w:t xml:space="preserve"> </w:t>
      </w:r>
      <w:r w:rsidRPr="00F70BF4">
        <w:rPr>
          <w:lang w:val="en-GB"/>
        </w:rPr>
        <w:t>oxygen-barrier properties of the films were then investigated.</w:t>
      </w:r>
      <w:r w:rsidR="00AF33E1">
        <w:rPr>
          <w:lang w:val="en-GB"/>
        </w:rPr>
        <w:t xml:space="preserve"> </w:t>
      </w:r>
      <w:r w:rsidRPr="00F70BF4">
        <w:rPr>
          <w:lang w:val="en-GB"/>
        </w:rPr>
        <w:t>Films from formulations at pH = 3.5</w:t>
      </w:r>
      <w:r w:rsidR="000D51D2">
        <w:rPr>
          <w:lang w:val="en-GB"/>
        </w:rPr>
        <w:t xml:space="preserve"> </w:t>
      </w:r>
      <w:r w:rsidRPr="00F70BF4">
        <w:rPr>
          <w:lang w:val="en-GB"/>
        </w:rPr>
        <w:t>exhibited an overall better mechanical behavior over their counterpart at pH = 7. The best puncture</w:t>
      </w:r>
      <w:r w:rsidR="000D51D2">
        <w:rPr>
          <w:lang w:val="en-GB"/>
        </w:rPr>
        <w:t xml:space="preserve"> </w:t>
      </w:r>
      <w:r w:rsidRPr="00F70BF4">
        <w:rPr>
          <w:lang w:val="en-GB"/>
        </w:rPr>
        <w:t>resistance and water solubility were displayed by films from the least glycerol-loaded formulations.</w:t>
      </w:r>
      <w:r w:rsidR="000D51D2">
        <w:rPr>
          <w:lang w:val="en-GB"/>
        </w:rPr>
        <w:t xml:space="preserve"> </w:t>
      </w:r>
      <w:r w:rsidR="00C97468">
        <w:rPr>
          <w:lang w:val="en-GB"/>
        </w:rPr>
        <w:t>T</w:t>
      </w:r>
      <w:r w:rsidRPr="00F70BF4">
        <w:rPr>
          <w:lang w:val="en-GB"/>
        </w:rPr>
        <w:t xml:space="preserve">he addition of MFC to the film-forming solution </w:t>
      </w:r>
      <w:r w:rsidR="00EE2A86">
        <w:rPr>
          <w:lang w:val="en-GB"/>
        </w:rPr>
        <w:t>improved</w:t>
      </w:r>
      <w:r w:rsidRPr="00F70BF4">
        <w:rPr>
          <w:lang w:val="en-GB"/>
        </w:rPr>
        <w:t xml:space="preserve"> the oxygen-barrier properties of the </w:t>
      </w:r>
      <w:r w:rsidR="003B5206" w:rsidRPr="00F70BF4">
        <w:rPr>
          <w:lang w:val="en-GB"/>
        </w:rPr>
        <w:t>films but</w:t>
      </w:r>
      <w:r w:rsidR="00EE2A86" w:rsidRPr="00F70BF4">
        <w:rPr>
          <w:lang w:val="en-GB"/>
        </w:rPr>
        <w:t xml:space="preserve"> </w:t>
      </w:r>
      <w:r w:rsidR="007274D9">
        <w:rPr>
          <w:lang w:val="en-GB"/>
        </w:rPr>
        <w:t>le</w:t>
      </w:r>
      <w:r w:rsidR="00EE2A86">
        <w:rPr>
          <w:lang w:val="en-GB"/>
        </w:rPr>
        <w:t>d</w:t>
      </w:r>
      <w:r w:rsidR="007274D9">
        <w:rPr>
          <w:lang w:val="en-GB"/>
        </w:rPr>
        <w:t xml:space="preserve"> to </w:t>
      </w:r>
      <w:r w:rsidRPr="00F70BF4">
        <w:rPr>
          <w:lang w:val="en-GB"/>
        </w:rPr>
        <w:t xml:space="preserve">a </w:t>
      </w:r>
      <w:r w:rsidR="003F723C">
        <w:rPr>
          <w:lang w:val="en-GB"/>
        </w:rPr>
        <w:t xml:space="preserve">reduction in </w:t>
      </w:r>
      <w:r w:rsidR="00EE2A86">
        <w:rPr>
          <w:lang w:val="en-GB"/>
        </w:rPr>
        <w:t xml:space="preserve">their </w:t>
      </w:r>
      <w:r w:rsidRPr="00F70BF4">
        <w:rPr>
          <w:lang w:val="en-GB"/>
        </w:rPr>
        <w:t>water solubility.</w:t>
      </w:r>
      <w:r w:rsidR="004A0061">
        <w:rPr>
          <w:lang w:val="en-GB"/>
        </w:rPr>
        <w:t xml:space="preserve"> </w:t>
      </w:r>
      <w:r w:rsidR="004A0061" w:rsidRPr="00F70BF4">
        <w:rPr>
          <w:lang w:val="en-GB"/>
        </w:rPr>
        <w:t>In</w:t>
      </w:r>
      <w:r w:rsidR="002F0FB6">
        <w:rPr>
          <w:lang w:val="en-GB"/>
        </w:rPr>
        <w:t xml:space="preserve"> other</w:t>
      </w:r>
      <w:r w:rsidR="004A0061" w:rsidRPr="00F70BF4">
        <w:rPr>
          <w:lang w:val="en-GB"/>
        </w:rPr>
        <w:t xml:space="preserve"> tests, </w:t>
      </w:r>
      <w:r w:rsidR="00DA1CDE">
        <w:rPr>
          <w:lang w:val="en-GB"/>
        </w:rPr>
        <w:t>a selection</w:t>
      </w:r>
      <w:r w:rsidR="00A606E6">
        <w:rPr>
          <w:lang w:val="en-GB"/>
        </w:rPr>
        <w:t xml:space="preserve"> of </w:t>
      </w:r>
      <w:r w:rsidR="00DA1CDE">
        <w:rPr>
          <w:lang w:val="en-GB"/>
        </w:rPr>
        <w:t xml:space="preserve">different </w:t>
      </w:r>
      <w:r w:rsidR="0066733C" w:rsidRPr="0066733C">
        <w:rPr>
          <w:lang w:val="en-GB"/>
        </w:rPr>
        <w:t xml:space="preserve">plant growth-promoting (PGP) bacteria </w:t>
      </w:r>
      <w:r w:rsidR="00A606E6">
        <w:rPr>
          <w:lang w:val="en-GB"/>
        </w:rPr>
        <w:t xml:space="preserve">was demonstrated to have a boosting effect </w:t>
      </w:r>
      <w:r w:rsidR="00FD5B44">
        <w:rPr>
          <w:lang w:val="en-GB"/>
        </w:rPr>
        <w:t>on</w:t>
      </w:r>
      <w:r w:rsidR="00697959">
        <w:rPr>
          <w:lang w:val="en-GB"/>
        </w:rPr>
        <w:t xml:space="preserve"> the development of</w:t>
      </w:r>
      <w:r w:rsidR="0066733C">
        <w:rPr>
          <w:lang w:val="en-GB"/>
        </w:rPr>
        <w:t xml:space="preserve"> </w:t>
      </w:r>
      <w:r w:rsidR="00BD4B30">
        <w:rPr>
          <w:lang w:val="en-GB"/>
        </w:rPr>
        <w:t xml:space="preserve">a </w:t>
      </w:r>
      <w:r w:rsidR="0003758F">
        <w:rPr>
          <w:lang w:val="en-GB"/>
        </w:rPr>
        <w:t xml:space="preserve">model </w:t>
      </w:r>
      <w:r w:rsidR="00025E27">
        <w:rPr>
          <w:lang w:val="en-GB"/>
        </w:rPr>
        <w:t>vegetable</w:t>
      </w:r>
      <w:r w:rsidR="0003758F">
        <w:rPr>
          <w:lang w:val="en-GB"/>
        </w:rPr>
        <w:t xml:space="preserve"> (i.e., lettuce)</w:t>
      </w:r>
      <w:r w:rsidR="005971CD">
        <w:rPr>
          <w:lang w:val="en-GB"/>
        </w:rPr>
        <w:t>, thus offering</w:t>
      </w:r>
      <w:r w:rsidR="0027591D">
        <w:rPr>
          <w:lang w:val="en-GB"/>
        </w:rPr>
        <w:t xml:space="preserve"> creati</w:t>
      </w:r>
      <w:r w:rsidR="00A25539">
        <w:rPr>
          <w:lang w:val="en-GB"/>
        </w:rPr>
        <w:t>ve</w:t>
      </w:r>
      <w:r w:rsidR="0027591D">
        <w:rPr>
          <w:lang w:val="en-GB"/>
        </w:rPr>
        <w:t xml:space="preserve"> </w:t>
      </w:r>
      <w:r w:rsidR="00A606E6">
        <w:rPr>
          <w:lang w:val="en-GB"/>
        </w:rPr>
        <w:t>opportunities</w:t>
      </w:r>
      <w:r w:rsidR="0027591D">
        <w:rPr>
          <w:lang w:val="en-GB"/>
        </w:rPr>
        <w:t xml:space="preserve"> for the</w:t>
      </w:r>
      <w:r w:rsidR="009A37C7">
        <w:rPr>
          <w:lang w:val="en-GB"/>
        </w:rPr>
        <w:t xml:space="preserve"> advancement</w:t>
      </w:r>
      <w:r w:rsidR="0084055F">
        <w:rPr>
          <w:lang w:val="en-GB"/>
        </w:rPr>
        <w:t xml:space="preserve"> of the “BBPlug” project.</w:t>
      </w:r>
      <w:r w:rsidR="00940EAF">
        <w:rPr>
          <w:lang w:val="en-GB"/>
        </w:rPr>
        <w:t xml:space="preserve"> </w:t>
      </w:r>
    </w:p>
    <w:p w14:paraId="476B2F2E" w14:textId="77777777" w:rsidR="00600535" w:rsidRPr="00B57B36" w:rsidRDefault="00600535" w:rsidP="00600535">
      <w:pPr>
        <w:pStyle w:val="CETHeading1"/>
        <w:rPr>
          <w:lang w:val="en-GB"/>
        </w:rPr>
      </w:pPr>
      <w:r w:rsidRPr="00B57B36">
        <w:rPr>
          <w:lang w:val="en-GB"/>
        </w:rPr>
        <w:t>Introduction</w:t>
      </w:r>
    </w:p>
    <w:p w14:paraId="18A913CA" w14:textId="65F276D3" w:rsidR="00394EF8" w:rsidRDefault="000F6CA2" w:rsidP="00620AA2">
      <w:pPr>
        <w:pStyle w:val="CETBodytext"/>
        <w:rPr>
          <w:lang w:val="en-GB"/>
        </w:rPr>
      </w:pPr>
      <w:r>
        <w:rPr>
          <w:lang w:val="en-GB"/>
        </w:rPr>
        <w:t xml:space="preserve">Agri-food losses are </w:t>
      </w:r>
      <w:r w:rsidRPr="00C95C3B">
        <w:rPr>
          <w:lang w:val="en-GB"/>
        </w:rPr>
        <w:t xml:space="preserve">considered one </w:t>
      </w:r>
      <w:r w:rsidR="004D49C6">
        <w:rPr>
          <w:lang w:val="en-GB"/>
        </w:rPr>
        <w:t>of</w:t>
      </w:r>
      <w:r w:rsidRPr="00C95C3B">
        <w:rPr>
          <w:lang w:val="en-GB"/>
        </w:rPr>
        <w:t xml:space="preserve"> the most generated bio-wastes around the globe, which may potentially be accompanied by dramatic economic losses</w:t>
      </w:r>
      <w:r w:rsidR="00356ADC">
        <w:rPr>
          <w:lang w:val="en-GB"/>
        </w:rPr>
        <w:t>,</w:t>
      </w:r>
      <w:r w:rsidRPr="00C95C3B">
        <w:rPr>
          <w:lang w:val="en-GB"/>
        </w:rPr>
        <w:t xml:space="preserve"> as well as strong environmental impact if</w:t>
      </w:r>
      <w:r>
        <w:rPr>
          <w:lang w:val="en-GB"/>
        </w:rPr>
        <w:t xml:space="preserve"> </w:t>
      </w:r>
      <w:r w:rsidR="00116DC2">
        <w:rPr>
          <w:lang w:val="en-GB"/>
        </w:rPr>
        <w:t xml:space="preserve">remain </w:t>
      </w:r>
      <w:r w:rsidR="00EA1418">
        <w:rPr>
          <w:lang w:val="en-GB"/>
        </w:rPr>
        <w:t>unutilized</w:t>
      </w:r>
      <w:r>
        <w:rPr>
          <w:lang w:val="en-GB"/>
        </w:rPr>
        <w:t xml:space="preserve">. </w:t>
      </w:r>
      <w:r w:rsidR="00940133">
        <w:rPr>
          <w:lang w:val="en-GB"/>
        </w:rPr>
        <w:t>Therefore</w:t>
      </w:r>
      <w:r w:rsidR="009B0B73">
        <w:rPr>
          <w:lang w:val="en-GB"/>
        </w:rPr>
        <w:t xml:space="preserve">, </w:t>
      </w:r>
      <w:r w:rsidR="009705C1">
        <w:rPr>
          <w:lang w:val="en-GB"/>
        </w:rPr>
        <w:t>the</w:t>
      </w:r>
      <w:r w:rsidR="00486D11">
        <w:rPr>
          <w:lang w:val="en-GB"/>
        </w:rPr>
        <w:t>ir</w:t>
      </w:r>
      <w:r w:rsidR="009705C1">
        <w:rPr>
          <w:lang w:val="en-GB"/>
        </w:rPr>
        <w:t xml:space="preserve"> exploitation </w:t>
      </w:r>
      <w:r w:rsidR="00D51465">
        <w:rPr>
          <w:lang w:val="en-GB"/>
        </w:rPr>
        <w:t>through the recovery of</w:t>
      </w:r>
      <w:r w:rsidR="009705C1">
        <w:rPr>
          <w:lang w:val="en-GB"/>
        </w:rPr>
        <w:t xml:space="preserve"> </w:t>
      </w:r>
      <w:r w:rsidR="00D51465">
        <w:rPr>
          <w:lang w:val="en-GB"/>
        </w:rPr>
        <w:t>natural reusable materials</w:t>
      </w:r>
      <w:r w:rsidR="005F0C4D">
        <w:rPr>
          <w:lang w:val="en-GB"/>
        </w:rPr>
        <w:t xml:space="preserve"> (e.g., </w:t>
      </w:r>
      <w:r w:rsidR="005F0C4D">
        <w:rPr>
          <w:lang w:val="en-GB"/>
        </w:rPr>
        <w:tab/>
      </w:r>
      <w:r w:rsidR="00F00CD1">
        <w:rPr>
          <w:lang w:val="en-GB"/>
        </w:rPr>
        <w:t>biopolymers</w:t>
      </w:r>
      <w:r w:rsidR="004B3B87">
        <w:rPr>
          <w:lang w:val="en-GB"/>
        </w:rPr>
        <w:t xml:space="preserve">, </w:t>
      </w:r>
      <w:r w:rsidR="00E97F19">
        <w:rPr>
          <w:lang w:val="en-GB"/>
        </w:rPr>
        <w:t xml:space="preserve">as well as </w:t>
      </w:r>
      <w:r w:rsidR="00AB0590">
        <w:rPr>
          <w:lang w:val="en-GB"/>
        </w:rPr>
        <w:t xml:space="preserve">small </w:t>
      </w:r>
      <w:r w:rsidR="00B43349">
        <w:rPr>
          <w:lang w:val="en-GB"/>
        </w:rPr>
        <w:t xml:space="preserve">molecular </w:t>
      </w:r>
      <w:r w:rsidR="00EA1418">
        <w:rPr>
          <w:lang w:val="en-GB"/>
        </w:rPr>
        <w:t>weight</w:t>
      </w:r>
      <w:r w:rsidR="00AB0590">
        <w:rPr>
          <w:lang w:val="en-GB"/>
        </w:rPr>
        <w:t xml:space="preserve"> bioactive compounds</w:t>
      </w:r>
      <w:r w:rsidR="00F00CD1">
        <w:rPr>
          <w:lang w:val="en-GB"/>
        </w:rPr>
        <w:t>)</w:t>
      </w:r>
      <w:r w:rsidR="009705C1">
        <w:rPr>
          <w:lang w:val="en-GB"/>
        </w:rPr>
        <w:t xml:space="preserve"> outstands as a viable strategy to</w:t>
      </w:r>
      <w:r w:rsidR="00486D11">
        <w:rPr>
          <w:lang w:val="en-GB"/>
        </w:rPr>
        <w:t xml:space="preserve"> possibly</w:t>
      </w:r>
      <w:r w:rsidR="009705C1">
        <w:rPr>
          <w:lang w:val="en-GB"/>
        </w:rPr>
        <w:t xml:space="preserve"> </w:t>
      </w:r>
      <w:r w:rsidR="00DE095B">
        <w:rPr>
          <w:lang w:val="en-GB"/>
        </w:rPr>
        <w:t>fulfi</w:t>
      </w:r>
      <w:r w:rsidR="004F0E36">
        <w:rPr>
          <w:lang w:val="en-GB"/>
        </w:rPr>
        <w:t>l</w:t>
      </w:r>
      <w:r w:rsidR="004D49C6">
        <w:rPr>
          <w:lang w:val="en-GB"/>
        </w:rPr>
        <w:t>l</w:t>
      </w:r>
      <w:r w:rsidR="00DE095B">
        <w:rPr>
          <w:lang w:val="en-GB"/>
        </w:rPr>
        <w:t xml:space="preserve"> a circular economy model, </w:t>
      </w:r>
      <w:r w:rsidR="00295070">
        <w:rPr>
          <w:lang w:val="en-GB"/>
        </w:rPr>
        <w:t>thus</w:t>
      </w:r>
      <w:r w:rsidR="00846876">
        <w:rPr>
          <w:lang w:val="en-GB"/>
        </w:rPr>
        <w:t xml:space="preserve"> improv</w:t>
      </w:r>
      <w:r w:rsidR="00FE6E3F">
        <w:rPr>
          <w:lang w:val="en-GB"/>
        </w:rPr>
        <w:t>ing</w:t>
      </w:r>
      <w:r w:rsidR="00846876">
        <w:rPr>
          <w:lang w:val="en-GB"/>
        </w:rPr>
        <w:t xml:space="preserve"> the sustainability of the whole agri-food production chain</w:t>
      </w:r>
      <w:r w:rsidR="00BB1909">
        <w:rPr>
          <w:lang w:val="en-GB"/>
        </w:rPr>
        <w:t xml:space="preserve"> </w:t>
      </w:r>
      <w:r w:rsidR="003672FF" w:rsidRPr="00C95C3B">
        <w:rPr>
          <w:lang w:val="en-GB"/>
        </w:rPr>
        <w:t>(Dahiya et al., 2018</w:t>
      </w:r>
      <w:r w:rsidR="003672FF">
        <w:rPr>
          <w:lang w:val="en-GB"/>
        </w:rPr>
        <w:t>)</w:t>
      </w:r>
      <w:r w:rsidR="002810D0">
        <w:rPr>
          <w:lang w:val="en-GB"/>
        </w:rPr>
        <w:t>.</w:t>
      </w:r>
      <w:r w:rsidR="006B1761">
        <w:rPr>
          <w:lang w:val="en-GB"/>
        </w:rPr>
        <w:t xml:space="preserve"> </w:t>
      </w:r>
      <w:r w:rsidR="00067B02">
        <w:rPr>
          <w:lang w:val="en-GB"/>
        </w:rPr>
        <w:t>In this realm, a</w:t>
      </w:r>
      <w:r w:rsidR="006B1761">
        <w:rPr>
          <w:lang w:val="en-GB"/>
        </w:rPr>
        <w:t>n intriguing</w:t>
      </w:r>
      <w:r w:rsidR="008359EE">
        <w:rPr>
          <w:lang w:val="en-GB"/>
        </w:rPr>
        <w:t xml:space="preserve"> and emerging</w:t>
      </w:r>
      <w:r w:rsidR="006B1761">
        <w:rPr>
          <w:lang w:val="en-GB"/>
        </w:rPr>
        <w:t xml:space="preserve"> </w:t>
      </w:r>
      <w:r w:rsidR="00067B02">
        <w:rPr>
          <w:lang w:val="en-GB"/>
        </w:rPr>
        <w:t>application</w:t>
      </w:r>
      <w:r w:rsidR="00801690">
        <w:rPr>
          <w:lang w:val="en-GB"/>
        </w:rPr>
        <w:t xml:space="preserve"> is given by the</w:t>
      </w:r>
      <w:r w:rsidR="00550E20">
        <w:rPr>
          <w:lang w:val="en-GB"/>
        </w:rPr>
        <w:t xml:space="preserve"> </w:t>
      </w:r>
      <w:r w:rsidR="00A95EAE">
        <w:rPr>
          <w:lang w:val="en-GB"/>
        </w:rPr>
        <w:t>fabrication</w:t>
      </w:r>
      <w:r w:rsidR="00550E20">
        <w:rPr>
          <w:lang w:val="en-GB"/>
        </w:rPr>
        <w:t xml:space="preserve"> of </w:t>
      </w:r>
      <w:r w:rsidR="005E3EE6">
        <w:rPr>
          <w:lang w:val="en-GB"/>
        </w:rPr>
        <w:t xml:space="preserve">bio-based </w:t>
      </w:r>
      <w:r w:rsidR="0014086A">
        <w:rPr>
          <w:lang w:val="en-GB"/>
        </w:rPr>
        <w:t>plant plugs</w:t>
      </w:r>
      <w:r w:rsidR="00937AD3">
        <w:rPr>
          <w:lang w:val="en-GB"/>
        </w:rPr>
        <w:t xml:space="preserve"> for the horticultural sector</w:t>
      </w:r>
      <w:r w:rsidR="005E3EE6">
        <w:rPr>
          <w:lang w:val="en-GB"/>
        </w:rPr>
        <w:t xml:space="preserve"> </w:t>
      </w:r>
      <w:r w:rsidR="002D7207">
        <w:rPr>
          <w:lang w:val="en-GB"/>
        </w:rPr>
        <w:t>to replace</w:t>
      </w:r>
      <w:r w:rsidR="00017636">
        <w:rPr>
          <w:lang w:val="en-GB"/>
        </w:rPr>
        <w:t xml:space="preserve"> </w:t>
      </w:r>
      <w:r w:rsidR="008359EE">
        <w:rPr>
          <w:lang w:val="en-GB"/>
        </w:rPr>
        <w:t>conventionally</w:t>
      </w:r>
      <w:r w:rsidR="00017636">
        <w:rPr>
          <w:lang w:val="en-GB"/>
        </w:rPr>
        <w:t xml:space="preserve"> employed plastic-based containers</w:t>
      </w:r>
      <w:r w:rsidR="000B1211">
        <w:rPr>
          <w:lang w:val="en-GB"/>
        </w:rPr>
        <w:t xml:space="preserve"> (</w:t>
      </w:r>
      <w:r w:rsidR="00114CF6">
        <w:rPr>
          <w:lang w:val="en-GB"/>
        </w:rPr>
        <w:t>Fuentes et al., 2021).</w:t>
      </w:r>
      <w:r w:rsidR="009E3DFB">
        <w:rPr>
          <w:lang w:val="en-GB"/>
        </w:rPr>
        <w:t xml:space="preserve"> The latter</w:t>
      </w:r>
      <w:r w:rsidR="00E62E0C">
        <w:rPr>
          <w:lang w:val="en-GB"/>
        </w:rPr>
        <w:t xml:space="preserve"> typically suffer from hampered recyclability</w:t>
      </w:r>
      <w:r w:rsidR="00F874CB">
        <w:rPr>
          <w:lang w:val="en-GB"/>
        </w:rPr>
        <w:t xml:space="preserve"> owing to</w:t>
      </w:r>
      <w:r w:rsidR="00A920E8">
        <w:rPr>
          <w:lang w:val="en-GB"/>
        </w:rPr>
        <w:t xml:space="preserve"> contamination by organic matter and chemicals after</w:t>
      </w:r>
      <w:r w:rsidR="0093407E">
        <w:rPr>
          <w:lang w:val="en-GB"/>
        </w:rPr>
        <w:t xml:space="preserve"> usage in</w:t>
      </w:r>
      <w:r w:rsidR="00A920E8">
        <w:rPr>
          <w:lang w:val="en-GB"/>
        </w:rPr>
        <w:t xml:space="preserve"> </w:t>
      </w:r>
      <w:r w:rsidR="00936132">
        <w:rPr>
          <w:lang w:val="en-GB"/>
        </w:rPr>
        <w:t>plant nurser</w:t>
      </w:r>
      <w:r w:rsidR="004D49C6">
        <w:rPr>
          <w:lang w:val="en-GB"/>
        </w:rPr>
        <w:t>ies</w:t>
      </w:r>
      <w:r w:rsidR="00936132">
        <w:rPr>
          <w:lang w:val="en-GB"/>
        </w:rPr>
        <w:t xml:space="preserve"> </w:t>
      </w:r>
      <w:r w:rsidR="00F874CB">
        <w:rPr>
          <w:lang w:val="en-GB"/>
        </w:rPr>
        <w:t>(</w:t>
      </w:r>
      <w:r w:rsidR="00355D15">
        <w:rPr>
          <w:lang w:val="en-GB"/>
        </w:rPr>
        <w:t>Schettini et al., 2013</w:t>
      </w:r>
      <w:r w:rsidR="00F874CB">
        <w:rPr>
          <w:lang w:val="en-GB"/>
        </w:rPr>
        <w:t>)</w:t>
      </w:r>
      <w:r w:rsidR="000B1211">
        <w:rPr>
          <w:lang w:val="en-GB"/>
        </w:rPr>
        <w:t>.</w:t>
      </w:r>
      <w:r w:rsidR="00355D15">
        <w:rPr>
          <w:lang w:val="en-GB"/>
        </w:rPr>
        <w:t xml:space="preserve"> </w:t>
      </w:r>
      <w:r w:rsidR="00A96559">
        <w:rPr>
          <w:lang w:val="en-GB"/>
        </w:rPr>
        <w:t>T</w:t>
      </w:r>
      <w:r w:rsidR="00355D15">
        <w:rPr>
          <w:lang w:val="en-GB"/>
        </w:rPr>
        <w:t xml:space="preserve">o tackle this drawback, </w:t>
      </w:r>
      <w:r w:rsidR="00A60481">
        <w:rPr>
          <w:lang w:val="en-GB"/>
        </w:rPr>
        <w:t xml:space="preserve">many scientists </w:t>
      </w:r>
      <w:r w:rsidR="00355D15">
        <w:rPr>
          <w:lang w:val="en-GB"/>
        </w:rPr>
        <w:t xml:space="preserve">have </w:t>
      </w:r>
      <w:r w:rsidR="00274F0F">
        <w:rPr>
          <w:lang w:val="en-GB"/>
        </w:rPr>
        <w:t>successful</w:t>
      </w:r>
      <w:r w:rsidR="00A96559">
        <w:rPr>
          <w:lang w:val="en-GB"/>
        </w:rPr>
        <w:t xml:space="preserve">ly </w:t>
      </w:r>
      <w:r w:rsidR="00355D15">
        <w:rPr>
          <w:lang w:val="en-GB"/>
        </w:rPr>
        <w:t>developed biodegradable p</w:t>
      </w:r>
      <w:r w:rsidR="00356ADC">
        <w:rPr>
          <w:lang w:val="en-GB"/>
        </w:rPr>
        <w:t>lugs</w:t>
      </w:r>
      <w:r w:rsidR="00355D15">
        <w:rPr>
          <w:lang w:val="en-GB"/>
        </w:rPr>
        <w:t xml:space="preserve"> from food </w:t>
      </w:r>
      <w:r w:rsidR="0004044D">
        <w:rPr>
          <w:lang w:val="en-GB"/>
        </w:rPr>
        <w:t>losses</w:t>
      </w:r>
      <w:r w:rsidR="00274F0F">
        <w:rPr>
          <w:lang w:val="en-GB"/>
        </w:rPr>
        <w:t>,</w:t>
      </w:r>
      <w:r w:rsidR="00355D15">
        <w:rPr>
          <w:lang w:val="en-GB"/>
        </w:rPr>
        <w:t xml:space="preserve"> alone or in combination with other naturally</w:t>
      </w:r>
      <w:r w:rsidR="0004044D">
        <w:rPr>
          <w:lang w:val="en-GB"/>
        </w:rPr>
        <w:t xml:space="preserve"> </w:t>
      </w:r>
      <w:r w:rsidR="00355D15">
        <w:rPr>
          <w:lang w:val="en-GB"/>
        </w:rPr>
        <w:t>derived polymers</w:t>
      </w:r>
      <w:r w:rsidR="00A96559">
        <w:rPr>
          <w:lang w:val="en-GB"/>
        </w:rPr>
        <w:t xml:space="preserve">. </w:t>
      </w:r>
      <w:r w:rsidR="00D20D32">
        <w:rPr>
          <w:lang w:val="en-GB"/>
        </w:rPr>
        <w:t>T</w:t>
      </w:r>
      <w:r w:rsidR="0004044D">
        <w:rPr>
          <w:lang w:val="en-GB"/>
        </w:rPr>
        <w:t xml:space="preserve">he effectiveness </w:t>
      </w:r>
      <w:r w:rsidR="00A96559">
        <w:rPr>
          <w:lang w:val="en-GB"/>
        </w:rPr>
        <w:t xml:space="preserve">of these biodegradable plugs </w:t>
      </w:r>
      <w:r w:rsidR="0004044D">
        <w:rPr>
          <w:lang w:val="en-GB"/>
        </w:rPr>
        <w:t>in intensifying both growth and yield of tested crops as compared to the fossil-based counterparts</w:t>
      </w:r>
      <w:r w:rsidR="00D20D32">
        <w:rPr>
          <w:lang w:val="en-GB"/>
        </w:rPr>
        <w:t xml:space="preserve"> was </w:t>
      </w:r>
      <w:r w:rsidR="00A60481">
        <w:rPr>
          <w:lang w:val="en-GB"/>
        </w:rPr>
        <w:t xml:space="preserve">recently </w:t>
      </w:r>
      <w:r w:rsidR="000C2F3D">
        <w:rPr>
          <w:lang w:val="en-GB"/>
        </w:rPr>
        <w:t xml:space="preserve">summarized in </w:t>
      </w:r>
      <w:r w:rsidR="008940A8">
        <w:rPr>
          <w:lang w:val="en-GB"/>
        </w:rPr>
        <w:t>our</w:t>
      </w:r>
      <w:r w:rsidR="000C2F3D">
        <w:rPr>
          <w:lang w:val="en-GB"/>
        </w:rPr>
        <w:t xml:space="preserve"> perspective</w:t>
      </w:r>
      <w:r w:rsidR="009A7DB1">
        <w:rPr>
          <w:lang w:val="en-GB"/>
        </w:rPr>
        <w:t xml:space="preserve"> paper</w:t>
      </w:r>
      <w:r w:rsidR="0004044D">
        <w:rPr>
          <w:lang w:val="en-GB"/>
        </w:rPr>
        <w:t xml:space="preserve"> (Mapelli et al., 2022).</w:t>
      </w:r>
    </w:p>
    <w:p w14:paraId="3B4DF6BF" w14:textId="012F61B6" w:rsidR="009E0935" w:rsidRDefault="00C53644" w:rsidP="00620AA2">
      <w:pPr>
        <w:pStyle w:val="CETBodytext"/>
        <w:rPr>
          <w:lang w:val="en-GB"/>
        </w:rPr>
      </w:pPr>
      <w:r>
        <w:rPr>
          <w:lang w:val="en-GB"/>
        </w:rPr>
        <w:t>Pectin</w:t>
      </w:r>
      <w:r w:rsidR="00076C77">
        <w:rPr>
          <w:lang w:val="en-GB"/>
        </w:rPr>
        <w:t xml:space="preserve"> is a polysaccharide</w:t>
      </w:r>
      <w:r>
        <w:rPr>
          <w:lang w:val="en-GB"/>
        </w:rPr>
        <w:t xml:space="preserve"> extracted from</w:t>
      </w:r>
      <w:r w:rsidR="00A96559">
        <w:rPr>
          <w:lang w:val="en-GB"/>
        </w:rPr>
        <w:t xml:space="preserve"> both</w:t>
      </w:r>
      <w:r>
        <w:rPr>
          <w:lang w:val="en-GB"/>
        </w:rPr>
        <w:t xml:space="preserve"> food losses</w:t>
      </w:r>
      <w:r w:rsidR="00A96559">
        <w:rPr>
          <w:lang w:val="en-GB"/>
        </w:rPr>
        <w:t xml:space="preserve"> and residues of the food industry</w:t>
      </w:r>
      <w:r>
        <w:rPr>
          <w:lang w:val="en-GB"/>
        </w:rPr>
        <w:t xml:space="preserve">, such as fruit peel, </w:t>
      </w:r>
      <w:r w:rsidR="00076C77">
        <w:rPr>
          <w:lang w:val="en-GB"/>
        </w:rPr>
        <w:t xml:space="preserve">which </w:t>
      </w:r>
      <w:r>
        <w:rPr>
          <w:lang w:val="en-GB"/>
        </w:rPr>
        <w:t xml:space="preserve">has recently emerged as a valuable alternative to </w:t>
      </w:r>
      <w:r w:rsidRPr="00C53644">
        <w:rPr>
          <w:lang w:val="en-GB"/>
        </w:rPr>
        <w:t>non-degradable materials</w:t>
      </w:r>
      <w:r w:rsidR="006013FD">
        <w:rPr>
          <w:lang w:val="en-GB"/>
        </w:rPr>
        <w:t>,</w:t>
      </w:r>
      <w:r>
        <w:rPr>
          <w:lang w:val="en-GB"/>
        </w:rPr>
        <w:t xml:space="preserve"> especially in the packaging sector</w:t>
      </w:r>
      <w:r w:rsidR="009C14B3">
        <w:rPr>
          <w:lang w:val="en-GB"/>
        </w:rPr>
        <w:t xml:space="preserve"> (Qiang</w:t>
      </w:r>
      <w:r w:rsidR="00770F8C">
        <w:rPr>
          <w:lang w:val="en-GB"/>
        </w:rPr>
        <w:t xml:space="preserve"> et al., 2024)</w:t>
      </w:r>
      <w:r w:rsidR="008A66B8">
        <w:rPr>
          <w:lang w:val="en-GB"/>
        </w:rPr>
        <w:t>.</w:t>
      </w:r>
      <w:r w:rsidR="005236F4">
        <w:rPr>
          <w:lang w:val="en-GB"/>
        </w:rPr>
        <w:t xml:space="preserve"> </w:t>
      </w:r>
      <w:r w:rsidR="00CD2E75">
        <w:rPr>
          <w:lang w:val="en-GB"/>
        </w:rPr>
        <w:t>Its chemical structure consists of</w:t>
      </w:r>
      <w:r w:rsidR="008A66B8">
        <w:rPr>
          <w:lang w:val="en-GB"/>
        </w:rPr>
        <w:t xml:space="preserve"> </w:t>
      </w:r>
      <w:r w:rsidR="00AA3512">
        <w:rPr>
          <w:lang w:val="en-GB"/>
        </w:rPr>
        <w:t xml:space="preserve">chains formed by </w:t>
      </w:r>
      <w:r w:rsidR="00AA3512" w:rsidRPr="00AA3512">
        <w:rPr>
          <w:lang w:val="en-GB"/>
        </w:rPr>
        <w:t>α (1-4)</w:t>
      </w:r>
      <w:r w:rsidR="00494387">
        <w:rPr>
          <w:lang w:val="en-GB"/>
        </w:rPr>
        <w:t xml:space="preserve"> linked</w:t>
      </w:r>
      <w:r w:rsidR="00AA3512" w:rsidRPr="00AA3512">
        <w:rPr>
          <w:lang w:val="en-GB"/>
        </w:rPr>
        <w:t xml:space="preserve"> galacturonic acid </w:t>
      </w:r>
      <w:r w:rsidR="00AA3512" w:rsidRPr="00AA3512">
        <w:rPr>
          <w:lang w:val="en-GB"/>
        </w:rPr>
        <w:lastRenderedPageBreak/>
        <w:t xml:space="preserve">monomers with different degrees of esterification </w:t>
      </w:r>
      <w:r w:rsidR="008A66B8">
        <w:rPr>
          <w:lang w:val="en-GB"/>
        </w:rPr>
        <w:t xml:space="preserve">(Viscusi et al., 2021). </w:t>
      </w:r>
      <w:r w:rsidR="008754CB">
        <w:rPr>
          <w:lang w:val="en-GB"/>
        </w:rPr>
        <w:t xml:space="preserve">Apart from </w:t>
      </w:r>
      <w:r w:rsidR="00D81E37">
        <w:rPr>
          <w:lang w:val="en-GB"/>
        </w:rPr>
        <w:t>being</w:t>
      </w:r>
      <w:r w:rsidR="008754CB">
        <w:rPr>
          <w:lang w:val="en-GB"/>
        </w:rPr>
        <w:t xml:space="preserve"> </w:t>
      </w:r>
      <w:r w:rsidR="00D81E37">
        <w:rPr>
          <w:lang w:val="en-GB"/>
        </w:rPr>
        <w:t>a GRAS (generally recognized as safe) product</w:t>
      </w:r>
      <w:r w:rsidR="008754CB">
        <w:rPr>
          <w:lang w:val="en-GB"/>
        </w:rPr>
        <w:t>, pectin</w:t>
      </w:r>
      <w:r w:rsidR="00754645">
        <w:rPr>
          <w:lang w:val="en-GB"/>
        </w:rPr>
        <w:t xml:space="preserve"> holds several</w:t>
      </w:r>
      <w:r w:rsidR="00246151">
        <w:rPr>
          <w:lang w:val="en-GB"/>
        </w:rPr>
        <w:t xml:space="preserve"> interesting features, </w:t>
      </w:r>
      <w:r w:rsidR="00B44B8B">
        <w:rPr>
          <w:lang w:val="en-GB"/>
        </w:rPr>
        <w:t xml:space="preserve">such as </w:t>
      </w:r>
      <w:r w:rsidR="00F247F5">
        <w:rPr>
          <w:lang w:val="en-GB"/>
        </w:rPr>
        <w:t xml:space="preserve">compostability, </w:t>
      </w:r>
      <w:r w:rsidR="00AC1C54">
        <w:rPr>
          <w:lang w:val="en-GB"/>
        </w:rPr>
        <w:t xml:space="preserve">biodegradability of </w:t>
      </w:r>
      <w:r w:rsidR="001157DA">
        <w:rPr>
          <w:lang w:val="en-GB"/>
        </w:rPr>
        <w:t>originating</w:t>
      </w:r>
      <w:r w:rsidR="00AC1C54">
        <w:rPr>
          <w:lang w:val="en-GB"/>
        </w:rPr>
        <w:t xml:space="preserve"> sources,</w:t>
      </w:r>
      <w:r w:rsidR="001A44E6">
        <w:rPr>
          <w:lang w:val="en-GB"/>
        </w:rPr>
        <w:t xml:space="preserve"> film-forming </w:t>
      </w:r>
      <w:r w:rsidR="00BB1D9B">
        <w:rPr>
          <w:lang w:val="en-GB"/>
        </w:rPr>
        <w:t>properties</w:t>
      </w:r>
      <w:r w:rsidR="001A44E6">
        <w:rPr>
          <w:lang w:val="en-GB"/>
        </w:rPr>
        <w:t>,</w:t>
      </w:r>
      <w:r w:rsidR="00F247F5">
        <w:rPr>
          <w:lang w:val="en-GB"/>
        </w:rPr>
        <w:t xml:space="preserve"> </w:t>
      </w:r>
      <w:r w:rsidR="00D81E37">
        <w:rPr>
          <w:lang w:val="en-GB"/>
        </w:rPr>
        <w:t>and</w:t>
      </w:r>
      <w:r>
        <w:rPr>
          <w:lang w:val="en-GB"/>
        </w:rPr>
        <w:t xml:space="preserve"> large availability on the market</w:t>
      </w:r>
      <w:r w:rsidR="00352FD8">
        <w:rPr>
          <w:lang w:val="en-GB"/>
        </w:rPr>
        <w:t xml:space="preserve"> (Butler</w:t>
      </w:r>
      <w:r w:rsidR="007F19D6">
        <w:rPr>
          <w:lang w:val="en-GB"/>
        </w:rPr>
        <w:t xml:space="preserve"> et al., 2023)</w:t>
      </w:r>
      <w:r w:rsidR="00D81E37">
        <w:rPr>
          <w:lang w:val="en-GB"/>
        </w:rPr>
        <w:t>.</w:t>
      </w:r>
      <w:r w:rsidR="00394EF8">
        <w:rPr>
          <w:lang w:val="en-GB"/>
        </w:rPr>
        <w:t xml:space="preserve"> </w:t>
      </w:r>
      <w:r w:rsidR="007542AF">
        <w:rPr>
          <w:lang w:val="en-GB"/>
        </w:rPr>
        <w:t>Notwithstanding this</w:t>
      </w:r>
      <w:r w:rsidR="00394EF8">
        <w:rPr>
          <w:lang w:val="en-GB"/>
        </w:rPr>
        <w:t>,</w:t>
      </w:r>
      <w:r w:rsidR="00B41B93">
        <w:rPr>
          <w:lang w:val="en-GB"/>
        </w:rPr>
        <w:t xml:space="preserve"> the design and further fabrication</w:t>
      </w:r>
      <w:r w:rsidR="00394EF8">
        <w:rPr>
          <w:lang w:val="en-GB"/>
        </w:rPr>
        <w:t xml:space="preserve"> </w:t>
      </w:r>
      <w:r w:rsidR="00D6369A">
        <w:rPr>
          <w:lang w:val="en-GB"/>
        </w:rPr>
        <w:t xml:space="preserve">of </w:t>
      </w:r>
      <w:r w:rsidR="00A63560">
        <w:rPr>
          <w:lang w:val="en-GB"/>
        </w:rPr>
        <w:t>pectin</w:t>
      </w:r>
      <w:r w:rsidR="00D6369A">
        <w:rPr>
          <w:lang w:val="en-GB"/>
        </w:rPr>
        <w:t>-based p</w:t>
      </w:r>
      <w:r w:rsidR="00915B1D">
        <w:rPr>
          <w:lang w:val="en-GB"/>
        </w:rPr>
        <w:t>lugs</w:t>
      </w:r>
      <w:r w:rsidR="00D6369A">
        <w:rPr>
          <w:lang w:val="en-GB"/>
        </w:rPr>
        <w:t xml:space="preserve"> intended for</w:t>
      </w:r>
      <w:r w:rsidR="00C03ECF">
        <w:rPr>
          <w:lang w:val="en-GB"/>
        </w:rPr>
        <w:t xml:space="preserve"> horticultural </w:t>
      </w:r>
      <w:r w:rsidR="00D6369A">
        <w:rPr>
          <w:lang w:val="en-GB"/>
        </w:rPr>
        <w:t xml:space="preserve">purposes </w:t>
      </w:r>
      <w:r w:rsidR="00213AD5">
        <w:rPr>
          <w:lang w:val="en-GB"/>
        </w:rPr>
        <w:t>is still</w:t>
      </w:r>
      <w:r w:rsidR="003C20B7">
        <w:rPr>
          <w:lang w:val="en-GB"/>
        </w:rPr>
        <w:t xml:space="preserve"> an unexplored</w:t>
      </w:r>
      <w:r w:rsidR="00805242">
        <w:rPr>
          <w:lang w:val="en-GB"/>
        </w:rPr>
        <w:t xml:space="preserve"> </w:t>
      </w:r>
      <w:r w:rsidR="009E5987">
        <w:rPr>
          <w:lang w:val="en-GB"/>
        </w:rPr>
        <w:t xml:space="preserve">research </w:t>
      </w:r>
      <w:r w:rsidR="00D82C49">
        <w:rPr>
          <w:lang w:val="en-GB"/>
        </w:rPr>
        <w:t>topic</w:t>
      </w:r>
      <w:r w:rsidR="00805242">
        <w:rPr>
          <w:lang w:val="en-GB"/>
        </w:rPr>
        <w:t>.</w:t>
      </w:r>
      <w:r w:rsidR="003C20B7">
        <w:rPr>
          <w:lang w:val="en-GB"/>
        </w:rPr>
        <w:t xml:space="preserve"> </w:t>
      </w:r>
      <w:r w:rsidR="008210EB" w:rsidRPr="008210EB">
        <w:rPr>
          <w:lang w:val="en-GB"/>
        </w:rPr>
        <w:t>To the best of our knowledge, Viscusi and colleagues have been the only ones to present an initial framework for describing the primary steps in the bio-plug manufacturing process</w:t>
      </w:r>
      <w:r w:rsidR="00B44B8B">
        <w:rPr>
          <w:lang w:val="en-GB"/>
        </w:rPr>
        <w:t xml:space="preserve"> </w:t>
      </w:r>
      <w:r w:rsidR="00B44B8B" w:rsidRPr="008210EB">
        <w:rPr>
          <w:lang w:val="en-GB"/>
        </w:rPr>
        <w:t>(Viscusi et al., 2021)</w:t>
      </w:r>
      <w:r w:rsidR="008210EB" w:rsidRPr="008210EB">
        <w:rPr>
          <w:lang w:val="en-GB"/>
        </w:rPr>
        <w:t>. These steps include the preparation of the pectin solution, molding, and the final drying stage. Unfortunately, the</w:t>
      </w:r>
      <w:r w:rsidR="006D4CA6">
        <w:rPr>
          <w:lang w:val="en-GB"/>
        </w:rPr>
        <w:t>y</w:t>
      </w:r>
      <w:r w:rsidR="008210EB" w:rsidRPr="008210EB">
        <w:rPr>
          <w:lang w:val="en-GB"/>
        </w:rPr>
        <w:t xml:space="preserve"> limited their testing to a single pectin-based formulation. Consequently, the relationship between the composition of the pectin solution and the key functional properties exhibited by the resulting solid product remains </w:t>
      </w:r>
      <w:r w:rsidR="0008388C">
        <w:rPr>
          <w:lang w:val="en-GB"/>
        </w:rPr>
        <w:t>unexplored</w:t>
      </w:r>
      <w:r w:rsidR="008210EB">
        <w:rPr>
          <w:lang w:val="en-GB"/>
        </w:rPr>
        <w:t xml:space="preserve">. </w:t>
      </w:r>
    </w:p>
    <w:p w14:paraId="21B9A280" w14:textId="50A8068B" w:rsidR="007D0951" w:rsidRPr="00B57B36" w:rsidRDefault="009E0935" w:rsidP="00620AA2">
      <w:pPr>
        <w:pStyle w:val="CETBodytext"/>
      </w:pPr>
      <w:r>
        <w:rPr>
          <w:lang w:val="en-GB"/>
        </w:rPr>
        <w:t>Therefore</w:t>
      </w:r>
      <w:r w:rsidR="00D720FE">
        <w:rPr>
          <w:lang w:val="en-GB"/>
        </w:rPr>
        <w:t>, t</w:t>
      </w:r>
      <w:r w:rsidR="000A4688">
        <w:rPr>
          <w:lang w:val="en-GB"/>
        </w:rPr>
        <w:t>h</w:t>
      </w:r>
      <w:r>
        <w:rPr>
          <w:lang w:val="en-GB"/>
        </w:rPr>
        <w:t>is</w:t>
      </w:r>
      <w:r w:rsidR="00BB74C2">
        <w:rPr>
          <w:lang w:val="en-GB"/>
        </w:rPr>
        <w:t xml:space="preserve"> </w:t>
      </w:r>
      <w:r>
        <w:rPr>
          <w:lang w:val="en-GB"/>
        </w:rPr>
        <w:t>explorative</w:t>
      </w:r>
      <w:r w:rsidR="00C83322">
        <w:rPr>
          <w:lang w:val="en-GB"/>
        </w:rPr>
        <w:t xml:space="preserve"> study</w:t>
      </w:r>
      <w:r w:rsidR="00D720FE">
        <w:rPr>
          <w:lang w:val="en-GB"/>
        </w:rPr>
        <w:t xml:space="preserve"> </w:t>
      </w:r>
      <w:r w:rsidR="00C83322">
        <w:rPr>
          <w:lang w:val="en-GB"/>
        </w:rPr>
        <w:t>aim</w:t>
      </w:r>
      <w:r w:rsidR="00653957">
        <w:rPr>
          <w:lang w:val="en-GB"/>
        </w:rPr>
        <w:t>ed</w:t>
      </w:r>
      <w:r w:rsidR="00C83322">
        <w:rPr>
          <w:lang w:val="en-GB"/>
        </w:rPr>
        <w:t xml:space="preserve"> to produce and characterize pectin-based films as a function of their composition (e.g., concentration of plasticizer, presence/absence of fillers) in terms of mechanical</w:t>
      </w:r>
      <w:r w:rsidR="003567B3">
        <w:rPr>
          <w:lang w:val="en-GB"/>
        </w:rPr>
        <w:t xml:space="preserve"> (e.g, puncture resistance)</w:t>
      </w:r>
      <w:r w:rsidR="007E5D22">
        <w:rPr>
          <w:lang w:val="en-GB"/>
        </w:rPr>
        <w:t xml:space="preserve">, </w:t>
      </w:r>
      <w:r w:rsidR="00C83322">
        <w:rPr>
          <w:lang w:val="en-GB"/>
        </w:rPr>
        <w:t>water solubility</w:t>
      </w:r>
      <w:r w:rsidR="00B01BDD">
        <w:rPr>
          <w:lang w:val="en-GB"/>
        </w:rPr>
        <w:t>, and oxygen-barrier</w:t>
      </w:r>
      <w:r w:rsidR="00C83322">
        <w:rPr>
          <w:lang w:val="en-GB"/>
        </w:rPr>
        <w:t xml:space="preserve"> properties,</w:t>
      </w:r>
      <w:r w:rsidR="0014700A">
        <w:rPr>
          <w:lang w:val="en-GB"/>
        </w:rPr>
        <w:t xml:space="preserve"> </w:t>
      </w:r>
      <w:r w:rsidR="00FE3988">
        <w:rPr>
          <w:lang w:val="en-GB"/>
        </w:rPr>
        <w:t>to</w:t>
      </w:r>
      <w:r w:rsidR="004717DC">
        <w:rPr>
          <w:lang w:val="en-GB"/>
        </w:rPr>
        <w:t xml:space="preserve"> possibly</w:t>
      </w:r>
      <w:r w:rsidR="00EC793B">
        <w:rPr>
          <w:lang w:val="en-GB"/>
        </w:rPr>
        <w:t xml:space="preserve"> move a step forward</w:t>
      </w:r>
      <w:r w:rsidR="0049423F">
        <w:rPr>
          <w:lang w:val="en-GB"/>
        </w:rPr>
        <w:t xml:space="preserve"> in </w:t>
      </w:r>
      <w:r w:rsidR="00614EAE">
        <w:rPr>
          <w:lang w:val="en-GB"/>
        </w:rPr>
        <w:t xml:space="preserve">generating </w:t>
      </w:r>
      <w:r w:rsidR="00993570">
        <w:rPr>
          <w:lang w:val="en-GB"/>
        </w:rPr>
        <w:t xml:space="preserve">biodegradable </w:t>
      </w:r>
      <w:r w:rsidR="00993570" w:rsidRPr="006D11B5">
        <w:rPr>
          <w:lang w:val="en-GB"/>
        </w:rPr>
        <w:t>p</w:t>
      </w:r>
      <w:r w:rsidR="00D720FE">
        <w:rPr>
          <w:lang w:val="en-GB"/>
        </w:rPr>
        <w:t>lugs</w:t>
      </w:r>
      <w:r w:rsidR="00993570" w:rsidRPr="006D11B5">
        <w:rPr>
          <w:lang w:val="en-GB"/>
        </w:rPr>
        <w:t>.</w:t>
      </w:r>
      <w:r w:rsidR="0049423F" w:rsidRPr="006D11B5">
        <w:rPr>
          <w:lang w:val="en-GB"/>
        </w:rPr>
        <w:t xml:space="preserve"> </w:t>
      </w:r>
      <w:r w:rsidR="00B8752D" w:rsidRPr="006D11B5">
        <w:rPr>
          <w:lang w:val="en-GB"/>
        </w:rPr>
        <w:t>Additional tests were also executed to assess</w:t>
      </w:r>
      <w:r w:rsidR="00911241">
        <w:rPr>
          <w:lang w:val="en-GB"/>
        </w:rPr>
        <w:t xml:space="preserve"> the</w:t>
      </w:r>
      <w:r w:rsidR="0092445A" w:rsidRPr="006D11B5">
        <w:rPr>
          <w:lang w:val="en-GB"/>
        </w:rPr>
        <w:t xml:space="preserve"> </w:t>
      </w:r>
      <w:r w:rsidR="00DB53F2" w:rsidRPr="00DB53F2">
        <w:rPr>
          <w:lang w:val="en-GB"/>
        </w:rPr>
        <w:t xml:space="preserve">responses (height and nitrate concentration </w:t>
      </w:r>
      <w:r w:rsidR="006D1D74">
        <w:rPr>
          <w:lang w:val="en-GB"/>
        </w:rPr>
        <w:t>in</w:t>
      </w:r>
      <w:r w:rsidR="00DB53F2" w:rsidRPr="00DB53F2">
        <w:rPr>
          <w:lang w:val="en-GB"/>
        </w:rPr>
        <w:t xml:space="preserve"> leaves) of lettuce, selected as </w:t>
      </w:r>
      <w:r w:rsidR="00F6576C">
        <w:rPr>
          <w:lang w:val="en-GB"/>
        </w:rPr>
        <w:t xml:space="preserve">a </w:t>
      </w:r>
      <w:r w:rsidR="00DB53F2" w:rsidRPr="00DB53F2">
        <w:rPr>
          <w:lang w:val="en-GB"/>
        </w:rPr>
        <w:t>model plant</w:t>
      </w:r>
      <w:r w:rsidR="00E9488B">
        <w:rPr>
          <w:lang w:val="en-GB"/>
        </w:rPr>
        <w:t>, to the administration</w:t>
      </w:r>
      <w:r w:rsidR="00790A9F" w:rsidRPr="006D11B5">
        <w:rPr>
          <w:lang w:val="en-GB"/>
        </w:rPr>
        <w:t xml:space="preserve"> of </w:t>
      </w:r>
      <w:r w:rsidR="00E3326C">
        <w:rPr>
          <w:lang w:val="en-GB"/>
        </w:rPr>
        <w:t xml:space="preserve">potential </w:t>
      </w:r>
      <w:r w:rsidR="00790A9F" w:rsidRPr="006D11B5">
        <w:rPr>
          <w:lang w:val="en-GB"/>
        </w:rPr>
        <w:t>plant-</w:t>
      </w:r>
      <w:r w:rsidR="006D5BAC" w:rsidRPr="006D11B5">
        <w:rPr>
          <w:lang w:val="en-GB"/>
        </w:rPr>
        <w:t>growth-promoting (PGP) bacteria</w:t>
      </w:r>
      <w:r w:rsidR="00D720FE">
        <w:rPr>
          <w:lang w:val="en-GB"/>
        </w:rPr>
        <w:t>l</w:t>
      </w:r>
      <w:r w:rsidR="00C86C1C" w:rsidRPr="006D11B5">
        <w:rPr>
          <w:lang w:val="en-GB"/>
        </w:rPr>
        <w:t xml:space="preserve"> strains</w:t>
      </w:r>
      <w:r w:rsidR="00FC2D65" w:rsidRPr="006D11B5">
        <w:rPr>
          <w:lang w:val="en-GB"/>
        </w:rPr>
        <w:t>.</w:t>
      </w:r>
      <w:r w:rsidR="00352FA3">
        <w:rPr>
          <w:lang w:val="en-GB"/>
        </w:rPr>
        <w:t xml:space="preserve"> Th</w:t>
      </w:r>
      <w:r w:rsidR="00EF7C60">
        <w:rPr>
          <w:lang w:val="en-GB"/>
        </w:rPr>
        <w:t>e outcomes</w:t>
      </w:r>
      <w:r w:rsidR="00352FA3">
        <w:rPr>
          <w:lang w:val="en-GB"/>
        </w:rPr>
        <w:t xml:space="preserve"> </w:t>
      </w:r>
      <w:r w:rsidR="00EF7C60">
        <w:rPr>
          <w:lang w:val="en-GB"/>
        </w:rPr>
        <w:t xml:space="preserve">of this work </w:t>
      </w:r>
      <w:r w:rsidR="00352FA3">
        <w:rPr>
          <w:lang w:val="en-GB"/>
        </w:rPr>
        <w:t>pave the way for future activities in the</w:t>
      </w:r>
      <w:r w:rsidR="0057721C">
        <w:rPr>
          <w:lang w:val="en-GB"/>
        </w:rPr>
        <w:t xml:space="preserve"> frame of the</w:t>
      </w:r>
      <w:r w:rsidR="00352FA3">
        <w:rPr>
          <w:lang w:val="en-GB"/>
        </w:rPr>
        <w:t xml:space="preserve"> “BBPlug” project, where PGP bacteria will be incorporated in pectin-based compostable </w:t>
      </w:r>
      <w:r w:rsidR="00352FA3" w:rsidRPr="00F70BF4">
        <w:rPr>
          <w:lang w:val="en-GB"/>
        </w:rPr>
        <w:t>p</w:t>
      </w:r>
      <w:r w:rsidR="00435377">
        <w:rPr>
          <w:lang w:val="en-GB"/>
        </w:rPr>
        <w:t>lugs</w:t>
      </w:r>
      <w:r w:rsidR="00D86169">
        <w:rPr>
          <w:lang w:val="en-GB"/>
        </w:rPr>
        <w:t>, together with bioactive compounds</w:t>
      </w:r>
      <w:r w:rsidR="0057721C">
        <w:rPr>
          <w:lang w:val="en-GB"/>
        </w:rPr>
        <w:t xml:space="preserve"> extracted from </w:t>
      </w:r>
      <w:r w:rsidR="0055651B">
        <w:rPr>
          <w:lang w:val="en-GB"/>
        </w:rPr>
        <w:t>fresh-cut vegetable waste</w:t>
      </w:r>
      <w:r w:rsidR="00D86169">
        <w:rPr>
          <w:lang w:val="en-GB"/>
        </w:rPr>
        <w:t>,</w:t>
      </w:r>
      <w:r w:rsidR="00352FA3">
        <w:rPr>
          <w:lang w:val="en-GB"/>
        </w:rPr>
        <w:t xml:space="preserve"> for “in-field” monitoring</w:t>
      </w:r>
      <w:r w:rsidR="00D86169">
        <w:rPr>
          <w:lang w:val="en-GB"/>
        </w:rPr>
        <w:t xml:space="preserve"> of</w:t>
      </w:r>
      <w:r w:rsidR="00352FA3">
        <w:rPr>
          <w:lang w:val="en-GB"/>
        </w:rPr>
        <w:t xml:space="preserve"> the plant performance.</w:t>
      </w:r>
    </w:p>
    <w:p w14:paraId="5741900F" w14:textId="37E5EAC0" w:rsidR="00453E24" w:rsidRDefault="009071E3" w:rsidP="00453E24">
      <w:pPr>
        <w:pStyle w:val="CETHeading1"/>
      </w:pPr>
      <w:r>
        <w:t xml:space="preserve">Materials and </w:t>
      </w:r>
      <w:r w:rsidR="00EB34F1">
        <w:t>M</w:t>
      </w:r>
      <w:r>
        <w:t>ethods</w:t>
      </w:r>
    </w:p>
    <w:p w14:paraId="0636B784" w14:textId="2463F7E3" w:rsidR="00453E24" w:rsidRDefault="00EB34F1" w:rsidP="00CC28C1">
      <w:pPr>
        <w:pStyle w:val="CETheadingx"/>
        <w:numPr>
          <w:ilvl w:val="1"/>
          <w:numId w:val="24"/>
        </w:numPr>
      </w:pPr>
      <w:r>
        <w:t>Raw materials and chemicals</w:t>
      </w:r>
    </w:p>
    <w:p w14:paraId="7C2B0064" w14:textId="120FD6C8" w:rsidR="00453E24" w:rsidRPr="00740E04" w:rsidRDefault="00D516C2" w:rsidP="00D516C2">
      <w:pPr>
        <w:pStyle w:val="CETBodytext"/>
      </w:pPr>
      <w:r>
        <w:t>GENU® pectin free-flowing powder (degree of esterification = typically 35%</w:t>
      </w:r>
      <w:r w:rsidR="008D1700">
        <w:t>)</w:t>
      </w:r>
      <w:r>
        <w:t xml:space="preserve"> extracted from citrus peel was </w:t>
      </w:r>
      <w:r w:rsidR="00976EAE">
        <w:t>supplied</w:t>
      </w:r>
      <w:r>
        <w:t xml:space="preserve"> from CP Kelco (Atlanta, Georgia, USA) and used as the main polymeric phase to yield biofilms</w:t>
      </w:r>
      <w:r w:rsidR="00DE3131">
        <w:t>.</w:t>
      </w:r>
      <w:r>
        <w:t xml:space="preserve"> Glycerol was purchased from Merck KGaA (Darmstadt, Germany) and used as a plasticizing agent, whereas</w:t>
      </w:r>
      <w:r w:rsidR="00712BF6">
        <w:t xml:space="preserve"> </w:t>
      </w:r>
      <w:r>
        <w:t>NaOH in the form of beads</w:t>
      </w:r>
      <w:r w:rsidR="00712BF6">
        <w:t xml:space="preserve"> was obtained</w:t>
      </w:r>
      <w:r>
        <w:t xml:space="preserve"> from VWR Chemicals (Milan, Italy).</w:t>
      </w:r>
      <w:r w:rsidR="0010198D">
        <w:t xml:space="preserve"> </w:t>
      </w:r>
      <w:r>
        <w:t xml:space="preserve">Microfibrillated cellulose (MFC), acting as </w:t>
      </w:r>
      <w:r w:rsidR="001D2810">
        <w:t xml:space="preserve">a </w:t>
      </w:r>
      <w:r w:rsidR="0010198D">
        <w:t xml:space="preserve">reinforcing </w:t>
      </w:r>
      <w:r>
        <w:t xml:space="preserve">agent </w:t>
      </w:r>
      <w:r w:rsidR="000C16F9">
        <w:t xml:space="preserve">throughout </w:t>
      </w:r>
      <w:r>
        <w:t>biofilms preparation, was produced at the Paper and Fibre Research Institute (PFI, Trondheim, Norway) using two different types of cellulose</w:t>
      </w:r>
      <w:r w:rsidR="000C16F9">
        <w:t>, namely</w:t>
      </w:r>
      <w:r>
        <w:t xml:space="preserve"> </w:t>
      </w:r>
      <w:r w:rsidR="001952D7">
        <w:t xml:space="preserve">i) </w:t>
      </w:r>
      <w:r w:rsidR="000C16F9">
        <w:t>e</w:t>
      </w:r>
      <w:r>
        <w:t>lemental chlorine-free (ECF) fully-bleached sul</w:t>
      </w:r>
      <w:r w:rsidR="00C359E6">
        <w:t>f</w:t>
      </w:r>
      <w:r>
        <w:t xml:space="preserve">ate pulp mainly based on juvenile </w:t>
      </w:r>
      <w:r w:rsidRPr="000C16F9">
        <w:rPr>
          <w:i/>
          <w:iCs/>
        </w:rPr>
        <w:t>Picea abies</w:t>
      </w:r>
      <w:r>
        <w:t xml:space="preserve">, and </w:t>
      </w:r>
      <w:r w:rsidR="001952D7">
        <w:t xml:space="preserve">ii) </w:t>
      </w:r>
      <w:r>
        <w:t>ECF fully-bleached sul</w:t>
      </w:r>
      <w:r w:rsidR="00C359E6">
        <w:t>f</w:t>
      </w:r>
      <w:r>
        <w:t xml:space="preserve">ate cellulose mainly based on mature </w:t>
      </w:r>
      <w:r w:rsidRPr="00257C41">
        <w:rPr>
          <w:i/>
          <w:iCs/>
        </w:rPr>
        <w:t>Picea abies</w:t>
      </w:r>
      <w:r>
        <w:t xml:space="preserve"> with up to 5</w:t>
      </w:r>
      <w:r w:rsidR="00A47A23">
        <w:t>% by weig</w:t>
      </w:r>
      <w:r w:rsidR="00C359E6">
        <w:t>ht</w:t>
      </w:r>
      <w:r>
        <w:t xml:space="preserve"> </w:t>
      </w:r>
      <w:r w:rsidR="00A47A23">
        <w:t>(w/w)</w:t>
      </w:r>
      <w:r>
        <w:t xml:space="preserve"> </w:t>
      </w:r>
      <w:r w:rsidRPr="00B00F63">
        <w:rPr>
          <w:i/>
          <w:iCs/>
        </w:rPr>
        <w:t>Pinus sylvestris</w:t>
      </w:r>
      <w:r w:rsidR="00257C41">
        <w:t xml:space="preserve"> (Cozzolino et al., 2014).</w:t>
      </w:r>
      <w:r w:rsidR="00EE6263">
        <w:t xml:space="preserve"> </w:t>
      </w:r>
      <w:r w:rsidR="007072A1" w:rsidRPr="00F14777">
        <w:t>Salicylic acid</w:t>
      </w:r>
      <w:r w:rsidR="00F57FA8" w:rsidRPr="00F14777">
        <w:t xml:space="preserve"> (99%)</w:t>
      </w:r>
      <w:r w:rsidR="001A3D76" w:rsidRPr="00F14777">
        <w:t xml:space="preserve">, </w:t>
      </w:r>
      <w:r w:rsidR="00273513" w:rsidRPr="00F14777">
        <w:t>KNO</w:t>
      </w:r>
      <w:r w:rsidR="00273513" w:rsidRPr="00F14777">
        <w:rPr>
          <w:vertAlign w:val="subscript"/>
        </w:rPr>
        <w:t>3</w:t>
      </w:r>
      <w:r w:rsidR="00273513" w:rsidRPr="00F14777">
        <w:t>, and H</w:t>
      </w:r>
      <w:r w:rsidR="00273513" w:rsidRPr="00F14777">
        <w:rPr>
          <w:vertAlign w:val="subscript"/>
        </w:rPr>
        <w:t>2</w:t>
      </w:r>
      <w:r w:rsidR="00273513" w:rsidRPr="00F14777">
        <w:t>SO</w:t>
      </w:r>
      <w:r w:rsidR="00273513" w:rsidRPr="00F14777">
        <w:rPr>
          <w:vertAlign w:val="subscript"/>
        </w:rPr>
        <w:t>4</w:t>
      </w:r>
      <w:r w:rsidR="00273513" w:rsidRPr="00F14777">
        <w:t xml:space="preserve"> </w:t>
      </w:r>
      <w:r w:rsidR="000807E2" w:rsidRPr="00F14777">
        <w:t>(95 – 97%</w:t>
      </w:r>
      <w:r w:rsidR="006D4CFB">
        <w:t xml:space="preserve"> v/v</w:t>
      </w:r>
      <w:r w:rsidR="000807E2" w:rsidRPr="00F14777">
        <w:t xml:space="preserve">) </w:t>
      </w:r>
      <w:r w:rsidR="00740E04">
        <w:t xml:space="preserve">were </w:t>
      </w:r>
      <w:r w:rsidR="00B765E0">
        <w:t xml:space="preserve">purchased </w:t>
      </w:r>
      <w:r w:rsidR="005D2C16">
        <w:t>from</w:t>
      </w:r>
      <w:r w:rsidR="00B765E0">
        <w:t xml:space="preserve"> </w:t>
      </w:r>
      <w:r w:rsidR="00170F6C">
        <w:t>F</w:t>
      </w:r>
      <w:r w:rsidR="00B765E0">
        <w:t xml:space="preserve">isher </w:t>
      </w:r>
      <w:r w:rsidR="00170F6C">
        <w:t>Scientific (</w:t>
      </w:r>
      <w:r w:rsidR="00CB156C">
        <w:t xml:space="preserve">Rodano, </w:t>
      </w:r>
      <w:r w:rsidR="0032351B">
        <w:t>Italy</w:t>
      </w:r>
      <w:r w:rsidR="00170F6C">
        <w:t>)</w:t>
      </w:r>
      <w:r w:rsidR="0030452C">
        <w:t xml:space="preserve"> and</w:t>
      </w:r>
      <w:r w:rsidR="005250FC">
        <w:t xml:space="preserve"> Carlo Erba </w:t>
      </w:r>
      <w:r w:rsidR="008F45F0">
        <w:t xml:space="preserve">Reagents </w:t>
      </w:r>
      <w:r w:rsidR="005250FC">
        <w:t>(</w:t>
      </w:r>
      <w:r w:rsidR="008F45F0">
        <w:t>Cornaredo, Italy)</w:t>
      </w:r>
      <w:r w:rsidR="0030452C">
        <w:t>, and</w:t>
      </w:r>
      <w:r w:rsidR="00170F6C">
        <w:t xml:space="preserve"> </w:t>
      </w:r>
      <w:r w:rsidR="000807E2" w:rsidRPr="00F14777">
        <w:t xml:space="preserve">were </w:t>
      </w:r>
      <w:r w:rsidR="00740E04" w:rsidRPr="00F14777">
        <w:t>used f</w:t>
      </w:r>
      <w:r w:rsidR="00740E04">
        <w:t>or determin</w:t>
      </w:r>
      <w:r w:rsidR="000236E2">
        <w:t>ing the</w:t>
      </w:r>
      <w:r w:rsidR="00740E04">
        <w:t xml:space="preserve"> nitrate</w:t>
      </w:r>
      <w:r w:rsidR="00283097">
        <w:t xml:space="preserve"> concentration</w:t>
      </w:r>
      <w:r w:rsidR="000236E2">
        <w:t xml:space="preserve"> in </w:t>
      </w:r>
      <w:r w:rsidR="006D4CFB">
        <w:t xml:space="preserve">tested </w:t>
      </w:r>
      <w:r w:rsidR="000236E2">
        <w:t>plants</w:t>
      </w:r>
      <w:r w:rsidR="00DC5024">
        <w:t>.</w:t>
      </w:r>
    </w:p>
    <w:p w14:paraId="18BAFA6F" w14:textId="038B479E" w:rsidR="00453E24" w:rsidRPr="00B57B36" w:rsidRDefault="00864652" w:rsidP="00CC28C1">
      <w:pPr>
        <w:pStyle w:val="CETheadingx"/>
        <w:numPr>
          <w:ilvl w:val="1"/>
          <w:numId w:val="24"/>
        </w:numPr>
      </w:pPr>
      <w:r>
        <w:t>Preparation of film-forming solutions and film formation</w:t>
      </w:r>
    </w:p>
    <w:p w14:paraId="0C311ECC" w14:textId="2C44070A" w:rsidR="00E10EDB" w:rsidRDefault="00CE03B9" w:rsidP="00453E24">
      <w:pPr>
        <w:pStyle w:val="CETBodytext"/>
        <w:rPr>
          <w:lang w:val="en-GB"/>
        </w:rPr>
      </w:pPr>
      <w:r w:rsidRPr="00CE03B9">
        <w:rPr>
          <w:lang w:val="en-GB"/>
        </w:rPr>
        <w:t>1.5% (w/w) of pectin powder was slowly dispersed in distilled water at 90 °C under strong magnetic stirring (780 rpm) until complete dissolution. The so-obtained solutions, whose pH was about 3.5 (BASIC 20 +, Crison, Barcelona, Spain) were cooled down to 25 °C</w:t>
      </w:r>
      <w:r w:rsidR="001E582B">
        <w:rPr>
          <w:lang w:val="en-GB"/>
        </w:rPr>
        <w:t xml:space="preserve"> in a water bath</w:t>
      </w:r>
      <w:r w:rsidRPr="00CE03B9">
        <w:rPr>
          <w:lang w:val="en-GB"/>
        </w:rPr>
        <w:t xml:space="preserve"> and subsequently added with different amounts of glycerol (</w:t>
      </w:r>
      <w:r w:rsidR="00BD4BD1">
        <w:rPr>
          <w:lang w:val="en-GB"/>
        </w:rPr>
        <w:t>6.7</w:t>
      </w:r>
      <w:r w:rsidR="00A50CE8">
        <w:rPr>
          <w:lang w:val="en-GB"/>
        </w:rPr>
        <w:t xml:space="preserve"> - </w:t>
      </w:r>
      <w:r w:rsidR="00C14F3A">
        <w:rPr>
          <w:lang w:val="en-GB"/>
        </w:rPr>
        <w:t xml:space="preserve">33.3 </w:t>
      </w:r>
      <w:r w:rsidR="00C14F3A" w:rsidRPr="00F70BF4">
        <w:rPr>
          <w:lang w:val="en-GB"/>
        </w:rPr>
        <w:t>g</w:t>
      </w:r>
      <w:r w:rsidR="00C14F3A" w:rsidRPr="00F275D2">
        <w:rPr>
          <w:vertAlign w:val="subscript"/>
          <w:lang w:val="en-GB"/>
        </w:rPr>
        <w:t>Glycerol</w:t>
      </w:r>
      <w:r w:rsidR="00C14F3A" w:rsidRPr="00F70BF4">
        <w:rPr>
          <w:lang w:val="en-GB"/>
        </w:rPr>
        <w:t>/g</w:t>
      </w:r>
      <w:r w:rsidR="00C14F3A" w:rsidRPr="00F275D2">
        <w:rPr>
          <w:vertAlign w:val="subscript"/>
          <w:lang w:val="en-GB"/>
        </w:rPr>
        <w:t>Pectin</w:t>
      </w:r>
      <w:r w:rsidRPr="00CE03B9">
        <w:rPr>
          <w:lang w:val="en-GB"/>
        </w:rPr>
        <w:t>) under agitation for 10 min</w:t>
      </w:r>
      <w:r w:rsidR="001E582B">
        <w:rPr>
          <w:lang w:val="en-GB"/>
        </w:rPr>
        <w:t>.</w:t>
      </w:r>
      <w:r w:rsidR="00894619">
        <w:rPr>
          <w:lang w:val="en-GB"/>
        </w:rPr>
        <w:t xml:space="preserve"> For the sake of comparison, </w:t>
      </w:r>
      <w:r w:rsidR="00BC3DF3">
        <w:rPr>
          <w:lang w:val="en-GB"/>
        </w:rPr>
        <w:t>glycerol-free solutions</w:t>
      </w:r>
      <w:r w:rsidR="0082579E">
        <w:rPr>
          <w:lang w:val="en-GB"/>
        </w:rPr>
        <w:t xml:space="preserve"> (0 </w:t>
      </w:r>
      <w:r w:rsidR="0082579E" w:rsidRPr="00F70BF4">
        <w:rPr>
          <w:lang w:val="en-GB"/>
        </w:rPr>
        <w:t>g</w:t>
      </w:r>
      <w:r w:rsidR="0082579E" w:rsidRPr="00F275D2">
        <w:rPr>
          <w:vertAlign w:val="subscript"/>
          <w:lang w:val="en-GB"/>
        </w:rPr>
        <w:t>Glycerol</w:t>
      </w:r>
      <w:r w:rsidR="0082579E" w:rsidRPr="00F70BF4">
        <w:rPr>
          <w:lang w:val="en-GB"/>
        </w:rPr>
        <w:t>/g</w:t>
      </w:r>
      <w:r w:rsidR="0082579E" w:rsidRPr="00F275D2">
        <w:rPr>
          <w:vertAlign w:val="subscript"/>
          <w:lang w:val="en-GB"/>
        </w:rPr>
        <w:t>Pectin</w:t>
      </w:r>
      <w:r w:rsidR="0082579E">
        <w:rPr>
          <w:lang w:val="en-GB"/>
        </w:rPr>
        <w:t xml:space="preserve">) </w:t>
      </w:r>
      <w:r w:rsidR="00BC3DF3">
        <w:rPr>
          <w:lang w:val="en-GB"/>
        </w:rPr>
        <w:t xml:space="preserve">were also </w:t>
      </w:r>
      <w:r w:rsidR="0008388C">
        <w:rPr>
          <w:lang w:val="en-GB"/>
        </w:rPr>
        <w:t>prepared</w:t>
      </w:r>
      <w:r w:rsidR="00977B13">
        <w:rPr>
          <w:lang w:val="en-GB"/>
        </w:rPr>
        <w:t xml:space="preserve"> and </w:t>
      </w:r>
      <w:r w:rsidR="00F60D3F">
        <w:rPr>
          <w:lang w:val="en-GB"/>
        </w:rPr>
        <w:t xml:space="preserve">used </w:t>
      </w:r>
      <w:r w:rsidR="0082579E">
        <w:rPr>
          <w:lang w:val="en-GB"/>
        </w:rPr>
        <w:t>for film formation.</w:t>
      </w:r>
      <w:r w:rsidR="00D4211F">
        <w:rPr>
          <w:lang w:val="en-GB"/>
        </w:rPr>
        <w:t xml:space="preserve"> In </w:t>
      </w:r>
      <w:r w:rsidR="00C91FEB">
        <w:rPr>
          <w:lang w:val="en-GB"/>
        </w:rPr>
        <w:t>the</w:t>
      </w:r>
      <w:r w:rsidR="00D4211F">
        <w:rPr>
          <w:lang w:val="en-GB"/>
        </w:rPr>
        <w:t xml:space="preserve"> first set of experiments</w:t>
      </w:r>
      <w:r w:rsidR="004261D3">
        <w:rPr>
          <w:lang w:val="en-GB"/>
        </w:rPr>
        <w:t xml:space="preserve"> investigating </w:t>
      </w:r>
      <w:r w:rsidR="00023A39">
        <w:rPr>
          <w:lang w:val="en-GB"/>
        </w:rPr>
        <w:t>the effect of</w:t>
      </w:r>
      <w:r w:rsidR="006D745F">
        <w:rPr>
          <w:lang w:val="en-GB"/>
        </w:rPr>
        <w:t xml:space="preserve"> a different pH on the tested properties of the </w:t>
      </w:r>
      <w:r w:rsidR="008E0222">
        <w:rPr>
          <w:lang w:val="en-GB"/>
        </w:rPr>
        <w:t>achieved films</w:t>
      </w:r>
      <w:r w:rsidR="00D4211F">
        <w:rPr>
          <w:lang w:val="en-GB"/>
        </w:rPr>
        <w:t xml:space="preserve">, </w:t>
      </w:r>
      <w:r w:rsidR="00C94800">
        <w:rPr>
          <w:lang w:val="en-GB"/>
        </w:rPr>
        <w:t xml:space="preserve">the pectin-based solutions </w:t>
      </w:r>
      <w:r w:rsidR="001D457D">
        <w:rPr>
          <w:lang w:val="en-GB"/>
        </w:rPr>
        <w:t xml:space="preserve">were </w:t>
      </w:r>
      <w:r w:rsidR="000A5976">
        <w:rPr>
          <w:lang w:val="en-GB"/>
        </w:rPr>
        <w:t xml:space="preserve">added with a few drops of </w:t>
      </w:r>
      <w:r w:rsidR="00BA76BD">
        <w:rPr>
          <w:lang w:val="en-GB"/>
        </w:rPr>
        <w:t xml:space="preserve">a 1M </w:t>
      </w:r>
      <w:r w:rsidR="000A5976">
        <w:rPr>
          <w:lang w:val="en-GB"/>
        </w:rPr>
        <w:t>NaOH</w:t>
      </w:r>
      <w:r w:rsidR="00BA76BD">
        <w:rPr>
          <w:lang w:val="en-GB"/>
        </w:rPr>
        <w:t xml:space="preserve"> solution</w:t>
      </w:r>
      <w:r w:rsidR="00C8067A">
        <w:rPr>
          <w:lang w:val="en-GB"/>
        </w:rPr>
        <w:t xml:space="preserve"> up to</w:t>
      </w:r>
      <w:r w:rsidR="005027E2">
        <w:rPr>
          <w:lang w:val="en-GB"/>
        </w:rPr>
        <w:t xml:space="preserve"> reaching</w:t>
      </w:r>
      <w:r w:rsidR="00C8067A">
        <w:rPr>
          <w:lang w:val="en-GB"/>
        </w:rPr>
        <w:t xml:space="preserve"> pH = 7</w:t>
      </w:r>
      <w:r w:rsidR="008E0222">
        <w:rPr>
          <w:lang w:val="en-GB"/>
        </w:rPr>
        <w:t>.</w:t>
      </w:r>
      <w:r w:rsidR="00A5511D">
        <w:rPr>
          <w:lang w:val="en-GB"/>
        </w:rPr>
        <w:t xml:space="preserve"> The second set of experiments involved </w:t>
      </w:r>
      <w:r w:rsidR="00B76C62">
        <w:rPr>
          <w:lang w:val="en-GB"/>
        </w:rPr>
        <w:t>the addition of MFC</w:t>
      </w:r>
      <w:r w:rsidR="000A50C5">
        <w:rPr>
          <w:lang w:val="en-GB"/>
        </w:rPr>
        <w:t xml:space="preserve"> at variable concentrations (</w:t>
      </w:r>
      <w:r w:rsidR="000A50C5" w:rsidRPr="00F70BF4">
        <w:rPr>
          <w:lang w:val="en-GB"/>
        </w:rPr>
        <w:t>2.</w:t>
      </w:r>
      <w:r w:rsidR="00E72BDE">
        <w:rPr>
          <w:lang w:val="en-GB"/>
        </w:rPr>
        <w:t>7</w:t>
      </w:r>
      <w:r w:rsidR="00A50CE8">
        <w:rPr>
          <w:lang w:val="en-GB"/>
        </w:rPr>
        <w:t xml:space="preserve"> -</w:t>
      </w:r>
      <w:r w:rsidR="00E72BDE">
        <w:rPr>
          <w:lang w:val="en-GB"/>
        </w:rPr>
        <w:t xml:space="preserve"> </w:t>
      </w:r>
      <w:r w:rsidR="000A50C5" w:rsidRPr="00F70BF4">
        <w:rPr>
          <w:lang w:val="en-GB"/>
        </w:rPr>
        <w:t>8.1 mg</w:t>
      </w:r>
      <w:r w:rsidR="000A50C5" w:rsidRPr="00F275D2">
        <w:rPr>
          <w:vertAlign w:val="subscript"/>
          <w:lang w:val="en-GB"/>
        </w:rPr>
        <w:t>MFC</w:t>
      </w:r>
      <w:r w:rsidR="000A50C5" w:rsidRPr="00F70BF4">
        <w:rPr>
          <w:lang w:val="en-GB"/>
        </w:rPr>
        <w:t>/g</w:t>
      </w:r>
      <w:r w:rsidR="000A50C5" w:rsidRPr="00F275D2">
        <w:rPr>
          <w:vertAlign w:val="subscript"/>
          <w:lang w:val="en-GB"/>
        </w:rPr>
        <w:t>Pectin</w:t>
      </w:r>
      <w:r w:rsidR="000A50C5">
        <w:rPr>
          <w:lang w:val="en-GB"/>
        </w:rPr>
        <w:t xml:space="preserve">) </w:t>
      </w:r>
      <w:r w:rsidR="004A15B5">
        <w:rPr>
          <w:lang w:val="en-GB"/>
        </w:rPr>
        <w:t xml:space="preserve">only </w:t>
      </w:r>
      <w:r w:rsidR="000A50C5">
        <w:rPr>
          <w:lang w:val="en-GB"/>
        </w:rPr>
        <w:t>to the</w:t>
      </w:r>
      <w:r w:rsidR="00EE59D3">
        <w:rPr>
          <w:lang w:val="en-GB"/>
        </w:rPr>
        <w:t xml:space="preserve"> native</w:t>
      </w:r>
      <w:r w:rsidR="00F13F1C">
        <w:rPr>
          <w:lang w:val="en-GB"/>
        </w:rPr>
        <w:t xml:space="preserve"> (pH = 3.5)</w:t>
      </w:r>
      <w:r w:rsidR="00822B8D">
        <w:rPr>
          <w:lang w:val="en-GB"/>
        </w:rPr>
        <w:t xml:space="preserve"> solution containing 6.7 </w:t>
      </w:r>
      <w:r w:rsidR="00822B8D" w:rsidRPr="00F70BF4">
        <w:rPr>
          <w:lang w:val="en-GB"/>
        </w:rPr>
        <w:t>g</w:t>
      </w:r>
      <w:r w:rsidR="00822B8D" w:rsidRPr="00F275D2">
        <w:rPr>
          <w:vertAlign w:val="subscript"/>
          <w:lang w:val="en-GB"/>
        </w:rPr>
        <w:t>Glycerol</w:t>
      </w:r>
      <w:r w:rsidR="00822B8D" w:rsidRPr="00F70BF4">
        <w:rPr>
          <w:lang w:val="en-GB"/>
        </w:rPr>
        <w:t>/g</w:t>
      </w:r>
      <w:r w:rsidR="00822B8D" w:rsidRPr="00F275D2">
        <w:rPr>
          <w:vertAlign w:val="subscript"/>
          <w:lang w:val="en-GB"/>
        </w:rPr>
        <w:t>Pectin</w:t>
      </w:r>
      <w:r w:rsidR="00B0421E">
        <w:rPr>
          <w:lang w:val="en-GB"/>
        </w:rPr>
        <w:t xml:space="preserve">. This formulation was </w:t>
      </w:r>
      <w:r w:rsidR="00C53A54">
        <w:rPr>
          <w:lang w:val="en-GB"/>
        </w:rPr>
        <w:t xml:space="preserve">chosen </w:t>
      </w:r>
      <w:r w:rsidR="00EC680A">
        <w:rPr>
          <w:lang w:val="en-GB"/>
        </w:rPr>
        <w:t>as</w:t>
      </w:r>
      <w:r w:rsidR="00C53A54">
        <w:rPr>
          <w:lang w:val="en-GB"/>
        </w:rPr>
        <w:t xml:space="preserve"> it possessed the </w:t>
      </w:r>
      <w:r w:rsidR="00EC680A">
        <w:rPr>
          <w:lang w:val="en-GB"/>
        </w:rPr>
        <w:t>best</w:t>
      </w:r>
      <w:r w:rsidR="00E972A3">
        <w:rPr>
          <w:lang w:val="en-GB"/>
        </w:rPr>
        <w:t xml:space="preserve"> mechanical properties</w:t>
      </w:r>
      <w:r w:rsidR="009E49DB">
        <w:rPr>
          <w:lang w:val="en-GB"/>
        </w:rPr>
        <w:t xml:space="preserve"> among glycerol-containing</w:t>
      </w:r>
      <w:r w:rsidR="00204E5B">
        <w:rPr>
          <w:lang w:val="en-GB"/>
        </w:rPr>
        <w:t xml:space="preserve"> samples</w:t>
      </w:r>
      <w:r w:rsidR="00E972A3">
        <w:rPr>
          <w:lang w:val="en-GB"/>
        </w:rPr>
        <w:t xml:space="preserve"> (see </w:t>
      </w:r>
      <w:r w:rsidR="005F18EE">
        <w:rPr>
          <w:lang w:val="en-GB"/>
        </w:rPr>
        <w:t>Results and Discussion section).</w:t>
      </w:r>
      <w:r w:rsidR="00204E5B">
        <w:rPr>
          <w:lang w:val="en-GB"/>
        </w:rPr>
        <w:t xml:space="preserve"> </w:t>
      </w:r>
    </w:p>
    <w:p w14:paraId="5436D977" w14:textId="6A74EFC8" w:rsidR="00453E24" w:rsidRDefault="00640E34" w:rsidP="00453E24">
      <w:pPr>
        <w:pStyle w:val="CETBodytext"/>
        <w:rPr>
          <w:lang w:val="en-GB"/>
        </w:rPr>
      </w:pPr>
      <w:r>
        <w:rPr>
          <w:lang w:val="en-GB"/>
        </w:rPr>
        <w:t xml:space="preserve">To obtain pectin-based films, </w:t>
      </w:r>
      <w:r w:rsidR="00352283">
        <w:rPr>
          <w:lang w:val="en-GB"/>
        </w:rPr>
        <w:t xml:space="preserve">150 g of </w:t>
      </w:r>
      <w:r w:rsidR="006410E4">
        <w:rPr>
          <w:lang w:val="en-GB"/>
        </w:rPr>
        <w:t>each</w:t>
      </w:r>
      <w:r w:rsidR="006C23FE">
        <w:rPr>
          <w:lang w:val="en-GB"/>
        </w:rPr>
        <w:t xml:space="preserve"> film-forming solution </w:t>
      </w:r>
      <w:r w:rsidR="00815C67">
        <w:rPr>
          <w:lang w:val="en-GB"/>
        </w:rPr>
        <w:t>was</w:t>
      </w:r>
      <w:r w:rsidR="00223382">
        <w:rPr>
          <w:lang w:val="en-GB"/>
        </w:rPr>
        <w:t xml:space="preserve"> poured</w:t>
      </w:r>
      <w:r w:rsidR="00E96FC3">
        <w:rPr>
          <w:lang w:val="en-GB"/>
        </w:rPr>
        <w:t xml:space="preserve"> into </w:t>
      </w:r>
      <w:r w:rsidR="00AB2E32" w:rsidRPr="00FB6F0A">
        <w:rPr>
          <w:lang w:val="en-GB"/>
        </w:rPr>
        <w:t>rectangular plastic</w:t>
      </w:r>
      <w:r w:rsidR="00FB6F0A" w:rsidRPr="00FB6F0A">
        <w:rPr>
          <w:lang w:val="en-GB"/>
        </w:rPr>
        <w:t xml:space="preserve"> templates (</w:t>
      </w:r>
      <w:r w:rsidR="00D84EED">
        <w:rPr>
          <w:lang w:val="en-GB"/>
        </w:rPr>
        <w:t>10</w:t>
      </w:r>
      <w:r w:rsidR="00FB6F0A" w:rsidRPr="00FB6F0A">
        <w:rPr>
          <w:lang w:val="en-GB"/>
        </w:rPr>
        <w:t xml:space="preserve"> x 23 cm</w:t>
      </w:r>
      <w:r w:rsidR="00FB6F0A" w:rsidRPr="00815C67">
        <w:rPr>
          <w:vertAlign w:val="superscript"/>
          <w:lang w:val="en-GB"/>
        </w:rPr>
        <w:t>2</w:t>
      </w:r>
      <w:r w:rsidR="00FB6F0A" w:rsidRPr="00FB6F0A">
        <w:rPr>
          <w:lang w:val="en-GB"/>
        </w:rPr>
        <w:t>)</w:t>
      </w:r>
      <w:r w:rsidR="00B17A18">
        <w:rPr>
          <w:lang w:val="en-GB"/>
        </w:rPr>
        <w:t xml:space="preserve"> </w:t>
      </w:r>
      <w:r w:rsidR="00B17A18" w:rsidRPr="00B17A18">
        <w:rPr>
          <w:lang w:val="en-GB"/>
        </w:rPr>
        <w:t>and</w:t>
      </w:r>
      <w:r w:rsidR="00B17A18">
        <w:rPr>
          <w:lang w:val="en-GB"/>
        </w:rPr>
        <w:t xml:space="preserve"> subsequently</w:t>
      </w:r>
      <w:r w:rsidR="00B17A18" w:rsidRPr="00B17A18">
        <w:rPr>
          <w:lang w:val="en-GB"/>
        </w:rPr>
        <w:t xml:space="preserve"> left to dry under controlled conditions</w:t>
      </w:r>
      <w:r w:rsidR="009F0859">
        <w:rPr>
          <w:lang w:val="en-GB"/>
        </w:rPr>
        <w:t xml:space="preserve"> at</w:t>
      </w:r>
      <w:r w:rsidR="00B17A18" w:rsidRPr="00B17A18">
        <w:rPr>
          <w:lang w:val="en-GB"/>
        </w:rPr>
        <w:t xml:space="preserve"> 25°C</w:t>
      </w:r>
      <w:r w:rsidR="00DC1151">
        <w:rPr>
          <w:lang w:val="en-GB"/>
        </w:rPr>
        <w:t xml:space="preserve"> </w:t>
      </w:r>
      <w:r w:rsidR="008965D4">
        <w:rPr>
          <w:lang w:val="en-GB"/>
        </w:rPr>
        <w:t xml:space="preserve">and </w:t>
      </w:r>
      <w:r w:rsidR="00B17A18" w:rsidRPr="00B17A18">
        <w:rPr>
          <w:lang w:val="en-GB"/>
        </w:rPr>
        <w:t>50% relative humidity (RH)</w:t>
      </w:r>
      <w:r w:rsidR="007E5F3D">
        <w:rPr>
          <w:lang w:val="en-GB"/>
        </w:rPr>
        <w:t xml:space="preserve">. </w:t>
      </w:r>
      <w:r w:rsidR="009865E6" w:rsidRPr="009865E6">
        <w:rPr>
          <w:lang w:val="en-GB"/>
        </w:rPr>
        <w:t xml:space="preserve">All films were stored for 7 days in a polycarbonate vacuum (- 0.06 MPa) desiccator (Lab Companion line, Jeio Tech Co., Ltd., Daejeon, South Korea) under dry conditions before being analyzed. </w:t>
      </w:r>
    </w:p>
    <w:p w14:paraId="11E22B34" w14:textId="2360168B" w:rsidR="00CD5B04" w:rsidRPr="00B57B36" w:rsidRDefault="00BC17A2" w:rsidP="00CC28C1">
      <w:pPr>
        <w:pStyle w:val="CETheadingx"/>
        <w:numPr>
          <w:ilvl w:val="1"/>
          <w:numId w:val="24"/>
        </w:numPr>
      </w:pPr>
      <w:r>
        <w:t>Films characterization: puncture</w:t>
      </w:r>
      <w:r w:rsidR="00EC1DD2">
        <w:t xml:space="preserve">, water solubility, and </w:t>
      </w:r>
      <w:r w:rsidR="004C295E">
        <w:t>oxygen permeability tests</w:t>
      </w:r>
    </w:p>
    <w:p w14:paraId="3E5EF92B" w14:textId="50D919EF" w:rsidR="00D23AD1" w:rsidRDefault="00111D91" w:rsidP="00625AD4">
      <w:pPr>
        <w:pStyle w:val="CETBodytext"/>
      </w:pPr>
      <w:r w:rsidRPr="00111D91">
        <w:t xml:space="preserve">Puncture tests were conducted according to ASTM F1306A using a </w:t>
      </w:r>
      <w:r>
        <w:t xml:space="preserve">Z005 </w:t>
      </w:r>
      <w:r w:rsidRPr="00111D91">
        <w:t xml:space="preserve">dynamometer (Zwick Roell, Ulm, Germany) </w:t>
      </w:r>
      <w:r w:rsidR="00A54E97">
        <w:t>coupled to</w:t>
      </w:r>
      <w:r w:rsidRPr="00111D91">
        <w:t xml:space="preserve"> the software TestXpert V10.11 for data analysis. For each tested formulation, circular specimens (6 cm in diameter) were subjected to </w:t>
      </w:r>
      <w:r w:rsidR="008210EB">
        <w:t>punctur</w:t>
      </w:r>
      <w:r w:rsidR="008210EB" w:rsidRPr="00111D91">
        <w:t xml:space="preserve">ing </w:t>
      </w:r>
      <w:r w:rsidRPr="00111D91">
        <w:t>by means of a hemispherical probe with a 3.2 mm diameter.</w:t>
      </w:r>
      <w:r w:rsidR="00DA2346">
        <w:t xml:space="preserve"> </w:t>
      </w:r>
      <w:r w:rsidR="00DA2346" w:rsidRPr="00DA2346">
        <w:t>All trials were executed at a cross-head speed of 25 mm min</w:t>
      </w:r>
      <w:r w:rsidR="00DA2346" w:rsidRPr="00106E70">
        <w:rPr>
          <w:vertAlign w:val="superscript"/>
        </w:rPr>
        <w:t>−1</w:t>
      </w:r>
      <w:r w:rsidR="00DA2346" w:rsidRPr="00DA2346">
        <w:t xml:space="preserve"> using a 100 N cell load. “</w:t>
      </w:r>
      <w:r w:rsidR="007F634B">
        <w:t>Puncture f</w:t>
      </w:r>
      <w:r w:rsidR="00DA2346" w:rsidRPr="00DA2346">
        <w:t>orce vs. distance” plots were recorded and the resistance</w:t>
      </w:r>
      <w:r w:rsidR="00E21E08">
        <w:t xml:space="preserve"> of samples</w:t>
      </w:r>
      <w:r w:rsidR="00DA2346" w:rsidRPr="00DA2346">
        <w:t xml:space="preserve"> to punctur</w:t>
      </w:r>
      <w:r w:rsidR="00E21E08">
        <w:t>al stresses</w:t>
      </w:r>
      <w:r w:rsidR="00DA2346" w:rsidRPr="00DA2346">
        <w:t xml:space="preserve"> was </w:t>
      </w:r>
      <w:r w:rsidR="00A6321E">
        <w:t xml:space="preserve">assessed </w:t>
      </w:r>
      <w:r w:rsidR="00DA2346" w:rsidRPr="00DA2346">
        <w:t>in terms of elastic modulus (E, in MPa), maximum force (F</w:t>
      </w:r>
      <w:r w:rsidR="00DA2346" w:rsidRPr="00A6321E">
        <w:rPr>
          <w:vertAlign w:val="subscript"/>
        </w:rPr>
        <w:t>MAX</w:t>
      </w:r>
      <w:r w:rsidR="00DA2346" w:rsidRPr="00DA2346">
        <w:t xml:space="preserve">, in N), and work of rupture (W, in </w:t>
      </w:r>
      <w:r w:rsidR="00A6321E">
        <w:t>m</w:t>
      </w:r>
      <w:r w:rsidR="00DA2346" w:rsidRPr="00DA2346">
        <w:t>J).</w:t>
      </w:r>
    </w:p>
    <w:p w14:paraId="499311BD" w14:textId="3ACF0BA4" w:rsidR="00C74A23" w:rsidRDefault="004B7C41" w:rsidP="004B7C41">
      <w:pPr>
        <w:pStyle w:val="CETBodytext"/>
      </w:pPr>
      <w:r>
        <w:t xml:space="preserve">Biopolymer films were also tested for their solubility in water by visual inspection. </w:t>
      </w:r>
      <w:r w:rsidR="008F4ACE">
        <w:t>Circular</w:t>
      </w:r>
      <w:r>
        <w:t xml:space="preserve"> specimens</w:t>
      </w:r>
      <w:r w:rsidR="008F4ACE">
        <w:t xml:space="preserve"> of each film</w:t>
      </w:r>
      <w:r>
        <w:t xml:space="preserve"> </w:t>
      </w:r>
      <w:r w:rsidR="00641B53">
        <w:t>(</w:t>
      </w:r>
      <w:r>
        <w:t>1 cm</w:t>
      </w:r>
      <w:r w:rsidR="00641B53">
        <w:t xml:space="preserve"> in diameter)</w:t>
      </w:r>
      <w:r>
        <w:t xml:space="preserve"> were dipped into distilled water at 25 °C with a solid-to-liquid ratio of 1:100 (g/mL) while </w:t>
      </w:r>
      <w:r>
        <w:lastRenderedPageBreak/>
        <w:t>magnetically stirred at 780 rpm.</w:t>
      </w:r>
      <w:r w:rsidR="008F4ACE">
        <w:t xml:space="preserve"> </w:t>
      </w:r>
      <w:r>
        <w:t xml:space="preserve">Film solubility in water was measured as the time required for </w:t>
      </w:r>
      <w:r w:rsidR="00C91FEB">
        <w:t xml:space="preserve">the </w:t>
      </w:r>
      <w:r>
        <w:t>complete</w:t>
      </w:r>
      <w:r w:rsidR="00222FF1">
        <w:t xml:space="preserve"> </w:t>
      </w:r>
      <w:r>
        <w:t>dissolution</w:t>
      </w:r>
      <w:r w:rsidR="00222FF1">
        <w:t xml:space="preserve"> of the sample</w:t>
      </w:r>
      <w:r>
        <w:t>. E</w:t>
      </w:r>
      <w:r w:rsidR="008210EB">
        <w:t>ach</w:t>
      </w:r>
      <w:r>
        <w:t xml:space="preserve"> formulation was tested using three independent replicates.</w:t>
      </w:r>
    </w:p>
    <w:p w14:paraId="0728F550" w14:textId="184A97E7" w:rsidR="00C74A23" w:rsidRDefault="00BC24F6" w:rsidP="00625AD4">
      <w:pPr>
        <w:pStyle w:val="CETBodytext"/>
      </w:pPr>
      <w:r w:rsidRPr="00BC24F6">
        <w:t xml:space="preserve">Pectin films </w:t>
      </w:r>
      <w:r w:rsidR="009F0294">
        <w:t>generated from formulations at</w:t>
      </w:r>
      <w:r w:rsidRPr="00BC24F6">
        <w:t xml:space="preserve"> pH 3.5 and</w:t>
      </w:r>
      <w:r w:rsidR="009F0294">
        <w:t xml:space="preserve"> at</w:t>
      </w:r>
      <w:r w:rsidR="00657CE1">
        <w:t xml:space="preserve"> </w:t>
      </w:r>
      <w:r w:rsidR="00B607A9">
        <w:rPr>
          <w:lang w:val="en-GB"/>
        </w:rPr>
        <w:t xml:space="preserve">6.7 </w:t>
      </w:r>
      <w:r w:rsidR="00B607A9" w:rsidRPr="00F70BF4">
        <w:rPr>
          <w:lang w:val="en-GB"/>
        </w:rPr>
        <w:t>g</w:t>
      </w:r>
      <w:r w:rsidR="00B607A9" w:rsidRPr="00F275D2">
        <w:rPr>
          <w:vertAlign w:val="subscript"/>
          <w:lang w:val="en-GB"/>
        </w:rPr>
        <w:t>Glycerol</w:t>
      </w:r>
      <w:r w:rsidR="00B607A9" w:rsidRPr="00F70BF4">
        <w:rPr>
          <w:lang w:val="en-GB"/>
        </w:rPr>
        <w:t>/g</w:t>
      </w:r>
      <w:r w:rsidR="00B607A9" w:rsidRPr="00F275D2">
        <w:rPr>
          <w:vertAlign w:val="subscript"/>
          <w:lang w:val="en-GB"/>
        </w:rPr>
        <w:t>Pectin</w:t>
      </w:r>
      <w:r w:rsidR="00B607A9" w:rsidRPr="00BC24F6">
        <w:t xml:space="preserve"> </w:t>
      </w:r>
      <w:r w:rsidR="00657CE1">
        <w:t xml:space="preserve">of </w:t>
      </w:r>
      <w:r w:rsidRPr="00BC24F6">
        <w:t>glycerol load, with or without MFC addition (</w:t>
      </w:r>
      <w:r w:rsidR="00B607A9">
        <w:t xml:space="preserve">2.7 </w:t>
      </w:r>
      <w:r w:rsidR="00B607A9" w:rsidRPr="00F70BF4">
        <w:rPr>
          <w:lang w:val="en-GB"/>
        </w:rPr>
        <w:t>mg</w:t>
      </w:r>
      <w:r w:rsidR="00B607A9" w:rsidRPr="00F275D2">
        <w:rPr>
          <w:vertAlign w:val="subscript"/>
          <w:lang w:val="en-GB"/>
        </w:rPr>
        <w:t>MFC</w:t>
      </w:r>
      <w:r w:rsidR="00B607A9" w:rsidRPr="00F70BF4">
        <w:rPr>
          <w:lang w:val="en-GB"/>
        </w:rPr>
        <w:t>/g</w:t>
      </w:r>
      <w:r w:rsidR="00B607A9" w:rsidRPr="00F275D2">
        <w:rPr>
          <w:vertAlign w:val="subscript"/>
          <w:lang w:val="en-GB"/>
        </w:rPr>
        <w:t>Pectin</w:t>
      </w:r>
      <w:r w:rsidRPr="00BC24F6">
        <w:t>), were analyzed in terms of oxygen barrier properties on a 50</w:t>
      </w:r>
      <w:r w:rsidR="00A866DD">
        <w:t xml:space="preserve"> </w:t>
      </w:r>
      <w:r w:rsidRPr="00BC24F6">
        <w:t>cm</w:t>
      </w:r>
      <w:r w:rsidRPr="00A866DD">
        <w:rPr>
          <w:vertAlign w:val="superscript"/>
        </w:rPr>
        <w:t>2</w:t>
      </w:r>
      <w:r w:rsidRPr="00BC24F6">
        <w:t xml:space="preserve"> surface sample using a TotalPerm permeability analyzer (ExtraSolution®Srl, Capannori, Italy) based on the isostatic method and equipped with an electrochemical sensor for oxygen detection. The oxygen transmission rate (OTR, in cm</w:t>
      </w:r>
      <w:r w:rsidRPr="00A866DD">
        <w:rPr>
          <w:vertAlign w:val="superscript"/>
        </w:rPr>
        <w:t>3</w:t>
      </w:r>
      <w:r w:rsidRPr="00BC24F6">
        <w:t xml:space="preserve"> m</w:t>
      </w:r>
      <w:r w:rsidRPr="00A866DD">
        <w:rPr>
          <w:vertAlign w:val="superscript"/>
        </w:rPr>
        <w:t>−2</w:t>
      </w:r>
      <w:r w:rsidRPr="00BC24F6">
        <w:t xml:space="preserve"> day</w:t>
      </w:r>
      <w:r w:rsidRPr="00A866DD">
        <w:rPr>
          <w:vertAlign w:val="superscript"/>
        </w:rPr>
        <w:t>−1</w:t>
      </w:r>
      <w:r w:rsidRPr="00BC24F6">
        <w:t>) was determined at 23°C and at two levels of relative humidity, that are, 0%</w:t>
      </w:r>
      <w:r w:rsidR="00A866DD">
        <w:t xml:space="preserve"> RH</w:t>
      </w:r>
      <w:r w:rsidRPr="00BC24F6">
        <w:t xml:space="preserve"> and 50%</w:t>
      </w:r>
      <w:r w:rsidR="00A866DD">
        <w:t xml:space="preserve"> RH</w:t>
      </w:r>
      <w:r w:rsidRPr="00BC24F6">
        <w:t>, according to the standard method</w:t>
      </w:r>
      <w:r w:rsidR="00BE22EC">
        <w:t>s</w:t>
      </w:r>
      <w:r w:rsidRPr="00BC24F6">
        <w:t xml:space="preserve"> ASTM </w:t>
      </w:r>
      <w:r w:rsidR="00E71FFB" w:rsidRPr="00E71FFB">
        <w:rPr>
          <w:lang w:val="en-GB"/>
        </w:rPr>
        <w:t>D3985</w:t>
      </w:r>
      <w:r w:rsidR="00BC0130">
        <w:rPr>
          <w:lang w:val="en-GB"/>
        </w:rPr>
        <w:t xml:space="preserve"> and F1927, respectively</w:t>
      </w:r>
      <w:r w:rsidR="008F5916">
        <w:t xml:space="preserve">. </w:t>
      </w:r>
      <w:r w:rsidR="005B368F">
        <w:t>A</w:t>
      </w:r>
      <w:r w:rsidRPr="00BC24F6">
        <w:t xml:space="preserve"> carrier flow (N</w:t>
      </w:r>
      <w:r w:rsidRPr="00DA0372">
        <w:rPr>
          <w:vertAlign w:val="subscript"/>
        </w:rPr>
        <w:t>2</w:t>
      </w:r>
      <w:r w:rsidRPr="00BC24F6">
        <w:t>) of 10 mL min</w:t>
      </w:r>
      <w:r w:rsidRPr="00A866DD">
        <w:rPr>
          <w:vertAlign w:val="superscript"/>
        </w:rPr>
        <w:t>−1</w:t>
      </w:r>
      <w:r w:rsidRPr="00BC24F6">
        <w:t xml:space="preserve"> and a one-atmosphere oxygen partial pressure difference between </w:t>
      </w:r>
      <w:r w:rsidR="00B23BDB">
        <w:t>both sides of the</w:t>
      </w:r>
      <w:r w:rsidRPr="00BC24F6">
        <w:t xml:space="preserve"> specimen </w:t>
      </w:r>
      <w:r w:rsidR="005B368F">
        <w:t>w</w:t>
      </w:r>
      <w:r w:rsidR="00893F5A">
        <w:t>ere applied</w:t>
      </w:r>
      <w:r w:rsidR="00A866DD">
        <w:t xml:space="preserve"> (Carullo et al., 2023)</w:t>
      </w:r>
      <w:r w:rsidRPr="00BC24F6">
        <w:t>.</w:t>
      </w:r>
    </w:p>
    <w:p w14:paraId="004CB242" w14:textId="1B11CDAF" w:rsidR="00A95979" w:rsidRDefault="00E75D80" w:rsidP="00CC28C1">
      <w:pPr>
        <w:pStyle w:val="CETheadingx"/>
        <w:numPr>
          <w:ilvl w:val="1"/>
          <w:numId w:val="24"/>
        </w:numPr>
      </w:pPr>
      <w:r>
        <w:t>P</w:t>
      </w:r>
      <w:r w:rsidR="008417D4">
        <w:t>lant material</w:t>
      </w:r>
      <w:r>
        <w:t>,</w:t>
      </w:r>
      <w:r w:rsidR="008417D4">
        <w:t xml:space="preserve"> </w:t>
      </w:r>
      <w:r>
        <w:t xml:space="preserve">application of PGP bacteria, </w:t>
      </w:r>
      <w:r w:rsidR="008417D4">
        <w:t xml:space="preserve">and physiological </w:t>
      </w:r>
      <w:r w:rsidR="002F50C6">
        <w:t>analyses</w:t>
      </w:r>
    </w:p>
    <w:p w14:paraId="5EDE250D" w14:textId="654DB90D" w:rsidR="00B651D5" w:rsidRPr="00B651D5" w:rsidRDefault="001C1BDF" w:rsidP="0075501C">
      <w:pPr>
        <w:pStyle w:val="CETBodytext"/>
      </w:pPr>
      <w:r w:rsidRPr="001C1BDF">
        <w:t>The exp</w:t>
      </w:r>
      <w:r w:rsidR="005944DE">
        <w:t>eriment</w:t>
      </w:r>
      <w:r w:rsidR="00892116">
        <w:t>s</w:t>
      </w:r>
      <w:r w:rsidR="005944DE">
        <w:t xml:space="preserve"> on lettuce plant</w:t>
      </w:r>
      <w:r w:rsidR="00892116">
        <w:t>s</w:t>
      </w:r>
      <w:r w:rsidRPr="001C1BDF">
        <w:t xml:space="preserve"> w</w:t>
      </w:r>
      <w:r w:rsidR="00892116">
        <w:t>ere</w:t>
      </w:r>
      <w:r w:rsidRPr="001C1BDF">
        <w:t xml:space="preserve"> carried out in the experimental greenhouse of the University of Milan</w:t>
      </w:r>
      <w:r>
        <w:t xml:space="preserve">. </w:t>
      </w:r>
      <w:r w:rsidR="00830240">
        <w:t>Lettuce seeds (</w:t>
      </w:r>
      <w:r w:rsidR="00730B17" w:rsidRPr="0075501C">
        <w:rPr>
          <w:i/>
          <w:iCs/>
        </w:rPr>
        <w:t>Lactuca sativa</w:t>
      </w:r>
      <w:r w:rsidR="00730B17" w:rsidRPr="00730B17">
        <w:t xml:space="preserve"> var. longifolia</w:t>
      </w:r>
      <w:r w:rsidR="00730B17">
        <w:t>)</w:t>
      </w:r>
      <w:r w:rsidR="005944DE">
        <w:t xml:space="preserve"> were </w:t>
      </w:r>
      <w:r w:rsidR="000409CB">
        <w:t xml:space="preserve">sown </w:t>
      </w:r>
      <w:r w:rsidR="00184C47">
        <w:t>in pots</w:t>
      </w:r>
      <w:r w:rsidR="003C267D">
        <w:t xml:space="preserve"> filled wit</w:t>
      </w:r>
      <w:r w:rsidR="00F922E9">
        <w:t>h</w:t>
      </w:r>
      <w:r w:rsidR="003C267D">
        <w:t xml:space="preserve"> a </w:t>
      </w:r>
      <w:r w:rsidR="00F922E9">
        <w:t>peat</w:t>
      </w:r>
      <w:r w:rsidR="00B632B6">
        <w:t>-based commercial</w:t>
      </w:r>
      <w:r w:rsidR="003C267D">
        <w:t xml:space="preserve"> substrate (</w:t>
      </w:r>
      <w:r w:rsidR="00F922E9">
        <w:t>VigorPlant</w:t>
      </w:r>
      <w:r w:rsidR="003C267D">
        <w:t>)</w:t>
      </w:r>
      <w:r w:rsidR="00184C47">
        <w:t xml:space="preserve"> and the</w:t>
      </w:r>
      <w:r w:rsidR="00026B4A">
        <w:t xml:space="preserve"> </w:t>
      </w:r>
      <w:r w:rsidR="00026B4A" w:rsidRPr="00026B4A">
        <w:t>ability of bacteria to promote plant growth was assessed by inoculating th</w:t>
      </w:r>
      <w:r w:rsidR="00542156">
        <w:t>ree different</w:t>
      </w:r>
      <w:r w:rsidR="00026B4A" w:rsidRPr="00026B4A">
        <w:t xml:space="preserve"> strains</w:t>
      </w:r>
      <w:r w:rsidR="00542156">
        <w:t>,</w:t>
      </w:r>
      <w:r w:rsidR="00044C40">
        <w:t xml:space="preserve"> namely</w:t>
      </w:r>
      <w:r w:rsidR="00343D14">
        <w:t xml:space="preserve"> </w:t>
      </w:r>
      <w:r w:rsidR="00343D14" w:rsidRPr="00671767">
        <w:rPr>
          <w:i/>
          <w:iCs/>
        </w:rPr>
        <w:t>Rhizobium sp.</w:t>
      </w:r>
      <w:r w:rsidR="00343D14">
        <w:t xml:space="preserve">, </w:t>
      </w:r>
      <w:r w:rsidR="00343D14" w:rsidRPr="00671767">
        <w:rPr>
          <w:i/>
          <w:iCs/>
        </w:rPr>
        <w:t>Bacillus sp.</w:t>
      </w:r>
      <w:r w:rsidR="00343D14">
        <w:t xml:space="preserve">, and </w:t>
      </w:r>
      <w:r w:rsidR="00671767" w:rsidRPr="00671767">
        <w:rPr>
          <w:i/>
          <w:iCs/>
        </w:rPr>
        <w:t>Kosakonia sp.</w:t>
      </w:r>
      <w:r w:rsidR="00542156">
        <w:t xml:space="preserve"> </w:t>
      </w:r>
      <w:r w:rsidR="00671767">
        <w:t xml:space="preserve">- </w:t>
      </w:r>
      <w:r w:rsidR="00542156">
        <w:t>coded as</w:t>
      </w:r>
      <w:r w:rsidR="00144409">
        <w:t xml:space="preserve"> GR12, LR01, </w:t>
      </w:r>
      <w:r w:rsidR="00542156">
        <w:t xml:space="preserve">and </w:t>
      </w:r>
      <w:r w:rsidR="00144409">
        <w:t>VR04</w:t>
      </w:r>
      <w:r w:rsidR="00343D14">
        <w:t>, respectively</w:t>
      </w:r>
      <w:r w:rsidR="00671767">
        <w:t xml:space="preserve"> -</w:t>
      </w:r>
      <w:r w:rsidR="00026B4A" w:rsidRPr="00026B4A">
        <w:t xml:space="preserve"> in </w:t>
      </w:r>
      <w:r w:rsidR="00D0096F">
        <w:t xml:space="preserve">the </w:t>
      </w:r>
      <w:r w:rsidR="00D45937">
        <w:t>substrate</w:t>
      </w:r>
      <w:r w:rsidR="00026B4A" w:rsidRPr="00026B4A">
        <w:t xml:space="preserve"> before seedlings germination.</w:t>
      </w:r>
      <w:r w:rsidR="00FF4B8F">
        <w:t xml:space="preserve"> </w:t>
      </w:r>
      <w:r w:rsidR="009612E2">
        <w:t>Strains were administered at the concentration of 10</w:t>
      </w:r>
      <w:r w:rsidR="009612E2" w:rsidRPr="009612E2">
        <w:rPr>
          <w:vertAlign w:val="superscript"/>
        </w:rPr>
        <w:t>8</w:t>
      </w:r>
      <w:r w:rsidR="009612E2">
        <w:t xml:space="preserve"> cell/</w:t>
      </w:r>
      <w:r w:rsidR="00535206">
        <w:t>g of soil</w:t>
      </w:r>
      <w:r w:rsidR="009612E2">
        <w:t xml:space="preserve">. </w:t>
      </w:r>
      <w:r w:rsidR="000D4D14">
        <w:t xml:space="preserve">When plants reached the proper size for transplant, </w:t>
      </w:r>
      <w:r w:rsidR="005F5FBD">
        <w:t>disruptive and non-disruptive analyses were per</w:t>
      </w:r>
      <w:r w:rsidR="0047094E">
        <w:t xml:space="preserve">formed. </w:t>
      </w:r>
      <w:r w:rsidR="00FE4671" w:rsidRPr="00FE4671">
        <w:t>Chlorophyll</w:t>
      </w:r>
      <w:r w:rsidR="00C0037F">
        <w:t xml:space="preserve"> content</w:t>
      </w:r>
      <w:r w:rsidR="00FE4671" w:rsidRPr="00FE4671">
        <w:t>, flavonol</w:t>
      </w:r>
      <w:r w:rsidR="00C0037F">
        <w:t xml:space="preserve"> content</w:t>
      </w:r>
      <w:r w:rsidR="00FE4671" w:rsidRPr="00FE4671">
        <w:t xml:space="preserve">, and nitrogen flavonol index (NFI) were determined </w:t>
      </w:r>
      <w:r w:rsidR="00FE4671" w:rsidRPr="00F54FF2">
        <w:rPr>
          <w:i/>
          <w:iCs/>
        </w:rPr>
        <w:t>in vivo</w:t>
      </w:r>
      <w:r w:rsidR="00FE4671" w:rsidRPr="00FE4671">
        <w:t xml:space="preserve"> on expanded lettuce leaves by using a portable multi</w:t>
      </w:r>
      <w:r w:rsidR="00EE6263">
        <w:t>-</w:t>
      </w:r>
      <w:r w:rsidR="00FE4671" w:rsidRPr="00FE4671">
        <w:t>pigment meter MPM-100 (ADC BioSCientific Ltd.). Lettuce plants were harvested by cutting at ground level and plant height was measured from the cut to the uppermost point of the plant. Afterward, approximately 1 g of leaf tissue was sampled and homogenized in a mortar with 3 mL of water. The mixture was centrifuged at 4000 rpm for 15 min at</w:t>
      </w:r>
      <w:r w:rsidR="001D2B13">
        <w:t xml:space="preserve"> 25°C</w:t>
      </w:r>
      <w:r w:rsidR="00FE4671" w:rsidRPr="00FE4671">
        <w:t xml:space="preserve"> (ALC centrifuge-model PK130R) and the </w:t>
      </w:r>
      <w:r w:rsidR="00F326A4">
        <w:t xml:space="preserve">achieved </w:t>
      </w:r>
      <w:r w:rsidR="00FE4671" w:rsidRPr="00FE4671">
        <w:t>supernatant was used for the analyses. Nitrate concentration was determined in the leaf extracts by a colorimetric method (Cataldo et al., 1975). In a 15 mL tube, 80 µL of 5% (w/v) salicylic acid</w:t>
      </w:r>
      <w:r w:rsidR="00FD4C0A">
        <w:t xml:space="preserve"> solution</w:t>
      </w:r>
      <w:r w:rsidR="00FE4671" w:rsidRPr="00FE4671">
        <w:t xml:space="preserve"> in concentrated H</w:t>
      </w:r>
      <w:r w:rsidR="00FE4671" w:rsidRPr="00F326A4">
        <w:rPr>
          <w:vertAlign w:val="subscript"/>
        </w:rPr>
        <w:t>2</w:t>
      </w:r>
      <w:r w:rsidR="00FE4671" w:rsidRPr="00FE4671">
        <w:t>SO</w:t>
      </w:r>
      <w:r w:rsidR="00FE4671" w:rsidRPr="00F326A4">
        <w:rPr>
          <w:vertAlign w:val="subscript"/>
        </w:rPr>
        <w:t>4</w:t>
      </w:r>
      <w:r w:rsidR="00FE4671" w:rsidRPr="00FE4671">
        <w:t xml:space="preserve"> w</w:t>
      </w:r>
      <w:r w:rsidR="00EE6263">
        <w:t>as</w:t>
      </w:r>
      <w:r w:rsidR="00FE4671" w:rsidRPr="00FE4671">
        <w:t xml:space="preserve"> added to 20 µL of plant extract. </w:t>
      </w:r>
      <w:r w:rsidR="00FD4C0A">
        <w:t xml:space="preserve">After rapid mixing, </w:t>
      </w:r>
      <w:r w:rsidR="00FE4671" w:rsidRPr="00FE4671">
        <w:t>3 mL of 1.5 N NaOH w</w:t>
      </w:r>
      <w:r w:rsidR="00EE6263">
        <w:t>as</w:t>
      </w:r>
      <w:r w:rsidR="00FE4671" w:rsidRPr="00FE4671">
        <w:t xml:space="preserve"> added. The absorbance</w:t>
      </w:r>
      <w:r w:rsidR="00F326A4">
        <w:t xml:space="preserve"> of the </w:t>
      </w:r>
      <w:r w:rsidR="00EE6263">
        <w:t xml:space="preserve">final </w:t>
      </w:r>
      <w:r w:rsidR="00F326A4">
        <w:t>mixture was read</w:t>
      </w:r>
      <w:r w:rsidR="00FE4671" w:rsidRPr="00FE4671">
        <w:t xml:space="preserve"> at 410 nm </w:t>
      </w:r>
      <w:r w:rsidR="00F326A4">
        <w:t xml:space="preserve">via </w:t>
      </w:r>
      <w:r w:rsidR="00FE4671" w:rsidRPr="00FE4671">
        <w:t>a spectrophotometer (Evolution 300, Thermo Electron Corporation). Nitrate content was calculated and expressed as mg</w:t>
      </w:r>
      <w:r w:rsidR="00FD4C0A">
        <w:t xml:space="preserve"> </w:t>
      </w:r>
      <w:r w:rsidR="00FE4671" w:rsidRPr="00FE4671">
        <w:t>kg</w:t>
      </w:r>
      <w:r w:rsidR="00FD4C0A" w:rsidRPr="00FD4C0A">
        <w:rPr>
          <w:vertAlign w:val="superscript"/>
        </w:rPr>
        <w:t>-1</w:t>
      </w:r>
      <w:r w:rsidR="00FE4671" w:rsidRPr="00FE4671">
        <w:t xml:space="preserve"> referring to a KNO</w:t>
      </w:r>
      <w:r w:rsidR="00FE4671" w:rsidRPr="00F326A4">
        <w:rPr>
          <w:vertAlign w:val="subscript"/>
        </w:rPr>
        <w:t>3</w:t>
      </w:r>
      <w:r w:rsidR="00FE4671" w:rsidRPr="00FE4671">
        <w:t xml:space="preserve"> standard calibration curve.</w:t>
      </w:r>
    </w:p>
    <w:p w14:paraId="143419A9" w14:textId="6214AF39" w:rsidR="0041160B" w:rsidRPr="00B57B36" w:rsidRDefault="0041160B" w:rsidP="00CC28C1">
      <w:pPr>
        <w:pStyle w:val="CETheadingx"/>
        <w:numPr>
          <w:ilvl w:val="1"/>
          <w:numId w:val="24"/>
        </w:numPr>
      </w:pPr>
      <w:r>
        <w:t>Statistical analysis</w:t>
      </w:r>
    </w:p>
    <w:p w14:paraId="7A75CA80" w14:textId="78A6C5F5" w:rsidR="005B7F1C" w:rsidRDefault="005B7F1C" w:rsidP="005B7F1C">
      <w:pPr>
        <w:pStyle w:val="CETBodytext"/>
      </w:pPr>
      <w:r>
        <w:t xml:space="preserve">All </w:t>
      </w:r>
      <w:r w:rsidR="00D0398D">
        <w:t xml:space="preserve">analyses </w:t>
      </w:r>
      <w:r>
        <w:t xml:space="preserve">were repeated </w:t>
      </w:r>
      <w:r w:rsidR="00050502">
        <w:t>five</w:t>
      </w:r>
      <w:r>
        <w:t xml:space="preserve"> times unless otherwise specified. The mean value and standard deviation (SD) were calculated from the experimental data. Statistically significant differences among the averages were evaluated using a one-way analysis of variance (ANOVA) and Tukey’s test (p ≤ 0.05). Statistical analysis was carried out using IBM</w:t>
      </w:r>
      <w:r w:rsidR="0041160B">
        <w:t xml:space="preserve"> </w:t>
      </w:r>
      <w:r>
        <w:t>SPSS Statistics 20 software (IBM Corp., Armonk, New York, USA).</w:t>
      </w:r>
    </w:p>
    <w:p w14:paraId="677EBFF0" w14:textId="6B69A020" w:rsidR="00600535" w:rsidRPr="00B57B36" w:rsidRDefault="00A662AF" w:rsidP="00600535">
      <w:pPr>
        <w:pStyle w:val="CETHeading1"/>
        <w:tabs>
          <w:tab w:val="clear" w:pos="360"/>
          <w:tab w:val="right" w:pos="7100"/>
        </w:tabs>
        <w:jc w:val="both"/>
        <w:rPr>
          <w:lang w:val="en-GB"/>
        </w:rPr>
      </w:pPr>
      <w:r>
        <w:rPr>
          <w:lang w:val="en-GB"/>
        </w:rPr>
        <w:t>Results and Discussion</w:t>
      </w:r>
    </w:p>
    <w:p w14:paraId="04963A06" w14:textId="672F4E25" w:rsidR="00600535" w:rsidRDefault="00C319F6" w:rsidP="00CC28C1">
      <w:pPr>
        <w:pStyle w:val="CETheadingx"/>
      </w:pPr>
      <w:r>
        <w:t>Effect of the composition of film-forming solutions</w:t>
      </w:r>
      <w:r w:rsidR="000D116A">
        <w:t xml:space="preserve"> on the functionality of </w:t>
      </w:r>
      <w:r w:rsidR="00AF633F">
        <w:t>pectin-based films</w:t>
      </w:r>
    </w:p>
    <w:p w14:paraId="49A8F419" w14:textId="77777777" w:rsidR="00EB0B87" w:rsidRDefault="004C5DAD" w:rsidP="00B13DBC">
      <w:pPr>
        <w:pStyle w:val="CETBodytext"/>
      </w:pPr>
      <w:r w:rsidRPr="004C5DAD">
        <w:t>Figure 1 show</w:t>
      </w:r>
      <w:r>
        <w:t>s</w:t>
      </w:r>
      <w:r w:rsidRPr="004C5DAD">
        <w:t xml:space="preserve"> the averaged </w:t>
      </w:r>
      <w:r w:rsidR="00B37632">
        <w:t>‘</w:t>
      </w:r>
      <w:r w:rsidRPr="004C5DAD">
        <w:t>force vs deformation</w:t>
      </w:r>
      <w:r w:rsidR="00B37632">
        <w:t>’</w:t>
      </w:r>
      <w:r w:rsidRPr="004C5DAD">
        <w:t xml:space="preserve"> curves obtained from </w:t>
      </w:r>
      <w:r w:rsidR="00B37632">
        <w:t xml:space="preserve">the </w:t>
      </w:r>
      <w:r w:rsidRPr="004C5DAD">
        <w:t>puncture tests of pectin-based films, as a function of</w:t>
      </w:r>
      <w:r w:rsidR="004F23B9">
        <w:t xml:space="preserve"> both</w:t>
      </w:r>
      <w:r w:rsidRPr="004C5DAD">
        <w:t xml:space="preserve"> the </w:t>
      </w:r>
      <w:r>
        <w:t xml:space="preserve">glycerol load </w:t>
      </w:r>
      <w:r w:rsidRPr="004C5DAD">
        <w:t>and the pH of the film-forming solutions</w:t>
      </w:r>
      <w:r w:rsidR="001D4ADE">
        <w:t>.</w:t>
      </w:r>
      <w:r w:rsidR="00447AF6">
        <w:t xml:space="preserve"> </w:t>
      </w:r>
    </w:p>
    <w:p w14:paraId="1F4612A4" w14:textId="77777777" w:rsidR="00EB0B87" w:rsidRPr="006565E7" w:rsidRDefault="00EB0B87" w:rsidP="00EB0B87">
      <w:pPr>
        <w:pStyle w:val="CETCaption"/>
        <w:spacing w:after="0"/>
        <w:rPr>
          <w:i w:val="0"/>
          <w:iCs/>
        </w:rPr>
      </w:pPr>
      <w:r>
        <w:rPr>
          <w:i w:val="0"/>
          <w:iCs/>
          <w:noProof/>
          <w:lang w:val="it-IT" w:eastAsia="it-IT"/>
        </w:rPr>
        <w:drawing>
          <wp:inline distT="0" distB="0" distL="0" distR="0" wp14:anchorId="3C264192" wp14:editId="5155BE6E">
            <wp:extent cx="5580000" cy="2019647"/>
            <wp:effectExtent l="0" t="0" r="1905" b="0"/>
            <wp:docPr id="902381939" name="Immagine 1" descr="Immagine che contiene testo, diagramma, schermat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81939" name="Immagine 1" descr="Immagine che contiene testo, diagramma, schermata, linea&#10;&#10;Descrizione generata automa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t="443" b="889"/>
                    <a:stretch/>
                  </pic:blipFill>
                  <pic:spPr bwMode="auto">
                    <a:xfrm>
                      <a:off x="0" y="0"/>
                      <a:ext cx="5580000" cy="2019647"/>
                    </a:xfrm>
                    <a:prstGeom prst="rect">
                      <a:avLst/>
                    </a:prstGeom>
                    <a:noFill/>
                    <a:ln>
                      <a:noFill/>
                    </a:ln>
                    <a:extLst>
                      <a:ext uri="{53640926-AAD7-44D8-BBD7-CCE9431645EC}">
                        <a14:shadowObscured xmlns:a14="http://schemas.microsoft.com/office/drawing/2010/main"/>
                      </a:ext>
                    </a:extLst>
                  </pic:spPr>
                </pic:pic>
              </a:graphicData>
            </a:graphic>
          </wp:inline>
        </w:drawing>
      </w:r>
    </w:p>
    <w:p w14:paraId="5E45F073" w14:textId="77777777" w:rsidR="00EB0B87" w:rsidRDefault="00EB0B87" w:rsidP="00EB0B87">
      <w:pPr>
        <w:pStyle w:val="CETCaption"/>
        <w:spacing w:before="0"/>
        <w:rPr>
          <w:rStyle w:val="CETCaptionCarattere"/>
          <w:i/>
        </w:rPr>
      </w:pPr>
      <w:r w:rsidRPr="00BD077D">
        <w:rPr>
          <w:rStyle w:val="CETCaptionCarattere"/>
          <w:i/>
        </w:rPr>
        <w:t xml:space="preserve">Figure 1: </w:t>
      </w:r>
      <w:r>
        <w:rPr>
          <w:rStyle w:val="CETCaptionCarattere"/>
          <w:i/>
        </w:rPr>
        <w:t>“</w:t>
      </w:r>
      <w:r w:rsidRPr="006D6B74">
        <w:rPr>
          <w:rStyle w:val="CETCaptionCarattere"/>
          <w:i/>
        </w:rPr>
        <w:t>Puncture force vs deformation</w:t>
      </w:r>
      <w:r>
        <w:rPr>
          <w:rStyle w:val="CETCaptionCarattere"/>
          <w:i/>
        </w:rPr>
        <w:t>”</w:t>
      </w:r>
      <w:r w:rsidRPr="006D6B74">
        <w:rPr>
          <w:rStyle w:val="CETCaptionCarattere"/>
          <w:i/>
        </w:rPr>
        <w:t xml:space="preserve"> curves for</w:t>
      </w:r>
      <w:r>
        <w:rPr>
          <w:rStyle w:val="CETCaptionCarattere"/>
          <w:i/>
        </w:rPr>
        <w:t xml:space="preserve"> pectin-based films, obtained from film-forming solutions with increasing load of glycerol at pH = 3.5 (A) or pH = 7 (B).</w:t>
      </w:r>
    </w:p>
    <w:p w14:paraId="4FA6C25F" w14:textId="0DBD319C" w:rsidR="00B13DBC" w:rsidRDefault="00CB65A6" w:rsidP="00B13DBC">
      <w:pPr>
        <w:pStyle w:val="CETBodytext"/>
      </w:pPr>
      <w:r>
        <w:lastRenderedPageBreak/>
        <w:t>A</w:t>
      </w:r>
      <w:r w:rsidR="00B502D4" w:rsidRPr="00B502D4">
        <w:t xml:space="preserve"> </w:t>
      </w:r>
      <w:r w:rsidR="00E306F2">
        <w:t>plasticizer</w:t>
      </w:r>
      <w:r w:rsidR="00B502D4" w:rsidRPr="00B502D4">
        <w:t xml:space="preserve"> load-dependent effect was disclosed, inasmuch as the maximum force needed to pierce the </w:t>
      </w:r>
      <w:r w:rsidR="00B502D4">
        <w:t>films</w:t>
      </w:r>
      <w:r w:rsidR="00B502D4" w:rsidRPr="00B502D4">
        <w:t xml:space="preserve"> gradually increased until reaching a </w:t>
      </w:r>
      <w:r w:rsidR="003B445E">
        <w:t>peak value</w:t>
      </w:r>
      <w:r w:rsidR="00B502D4" w:rsidRPr="00B502D4">
        <w:t xml:space="preserve"> in samples devoid of glycerol</w:t>
      </w:r>
      <w:r w:rsidR="003B445E">
        <w:t xml:space="preserve">. </w:t>
      </w:r>
      <w:r w:rsidR="00713E9F" w:rsidRPr="00713E9F">
        <w:t>However, films produced at pH</w:t>
      </w:r>
      <w:r w:rsidR="00713E9F">
        <w:t xml:space="preserve"> =</w:t>
      </w:r>
      <w:r w:rsidR="00713E9F" w:rsidRPr="00713E9F">
        <w:t xml:space="preserve"> 7 showed a lower </w:t>
      </w:r>
      <w:r w:rsidR="000A2F60">
        <w:t>toughness</w:t>
      </w:r>
      <w:r w:rsidR="00713E9F" w:rsidRPr="00713E9F">
        <w:t xml:space="preserve"> as compared to those produced at more acidic conditions.</w:t>
      </w:r>
      <w:r w:rsidR="007F0CDC">
        <w:t xml:space="preserve"> </w:t>
      </w:r>
      <w:r w:rsidR="007F0CDC" w:rsidRPr="007F0CDC">
        <w:t>In the former case, films obtained from formulation</w:t>
      </w:r>
      <w:r w:rsidR="00B331D9">
        <w:t>s</w:t>
      </w:r>
      <w:r w:rsidR="007F0CDC" w:rsidRPr="007F0CDC">
        <w:t xml:space="preserve"> </w:t>
      </w:r>
      <w:r w:rsidR="007F0CDC">
        <w:t>with a glycerol load</w:t>
      </w:r>
      <w:r w:rsidR="004660BD">
        <w:t xml:space="preserve"> within 26.7 – 33.3 </w:t>
      </w:r>
      <w:r w:rsidR="004660BD" w:rsidRPr="004660BD">
        <w:t>g</w:t>
      </w:r>
      <w:r w:rsidR="004660BD" w:rsidRPr="004660BD">
        <w:rPr>
          <w:vertAlign w:val="subscript"/>
        </w:rPr>
        <w:t>Glycerol</w:t>
      </w:r>
      <w:r w:rsidR="004660BD" w:rsidRPr="004660BD">
        <w:t>/g</w:t>
      </w:r>
      <w:r w:rsidR="004660BD" w:rsidRPr="004660BD">
        <w:rPr>
          <w:vertAlign w:val="subscript"/>
        </w:rPr>
        <w:t>Pectin</w:t>
      </w:r>
      <w:r w:rsidR="007F0CDC" w:rsidRPr="007F0CDC">
        <w:t xml:space="preserve"> were not tested as they collapsed upon detaching from the </w:t>
      </w:r>
      <w:r w:rsidR="00E317C4">
        <w:t>plastic</w:t>
      </w:r>
      <w:r w:rsidR="007F0CDC" w:rsidRPr="007F0CDC">
        <w:t xml:space="preserve"> templates (data not shown).</w:t>
      </w:r>
      <w:r w:rsidR="00154588">
        <w:t xml:space="preserve"> </w:t>
      </w:r>
      <w:r w:rsidR="00A54A29">
        <w:t>Th</w:t>
      </w:r>
      <w:r w:rsidR="00E9208A">
        <w:t>ese results</w:t>
      </w:r>
      <w:r w:rsidR="00A54A29">
        <w:t xml:space="preserve"> can be ascribed to the </w:t>
      </w:r>
      <w:r w:rsidR="009D1807">
        <w:t>change</w:t>
      </w:r>
      <w:r w:rsidR="00357319">
        <w:t xml:space="preserve"> in the</w:t>
      </w:r>
      <w:r w:rsidR="009D1807">
        <w:t xml:space="preserve"> dissociation </w:t>
      </w:r>
      <w:r w:rsidR="00357319">
        <w:t>degree of</w:t>
      </w:r>
      <w:r w:rsidR="003C24F6">
        <w:t xml:space="preserve"> carboxyl groups </w:t>
      </w:r>
      <w:r w:rsidR="006B7AA5">
        <w:t xml:space="preserve">along the pectin chains as a function of the pH (Chen et al., 2021). In particular, </w:t>
      </w:r>
      <w:r w:rsidR="002526BE">
        <w:t xml:space="preserve">a reduction in the electrostatic repulsion </w:t>
      </w:r>
      <w:r w:rsidR="00D46CC2">
        <w:t>among adjacent pectin chains occurs</w:t>
      </w:r>
      <w:r w:rsidR="00A048C2">
        <w:t xml:space="preserve"> </w:t>
      </w:r>
      <w:r w:rsidR="006579D7">
        <w:t>at low</w:t>
      </w:r>
      <w:r w:rsidR="009A61FC">
        <w:t>er</w:t>
      </w:r>
      <w:r w:rsidR="006579D7">
        <w:t xml:space="preserve"> values of</w:t>
      </w:r>
      <w:r w:rsidR="009A4C40">
        <w:t xml:space="preserve"> pH </w:t>
      </w:r>
      <w:r w:rsidR="006579D7">
        <w:t xml:space="preserve">(i.e., </w:t>
      </w:r>
      <w:r w:rsidR="009A4C40">
        <w:t>3.5)</w:t>
      </w:r>
      <w:r w:rsidR="00D46CC2">
        <w:t xml:space="preserve">, thus facilitating </w:t>
      </w:r>
      <w:r w:rsidR="005213C4">
        <w:t xml:space="preserve">chain association </w:t>
      </w:r>
      <w:r w:rsidR="00FE3F07">
        <w:t>via</w:t>
      </w:r>
      <w:r w:rsidR="005213C4">
        <w:t xml:space="preserve"> hydrogen bonding</w:t>
      </w:r>
      <w:r w:rsidR="005915C2">
        <w:t xml:space="preserve"> and, hence, increasing </w:t>
      </w:r>
      <w:r w:rsidR="00F63345">
        <w:t>film</w:t>
      </w:r>
      <w:r w:rsidR="009A4C40">
        <w:t xml:space="preserve"> strength</w:t>
      </w:r>
      <w:r w:rsidR="00F63345">
        <w:t>.</w:t>
      </w:r>
    </w:p>
    <w:p w14:paraId="7AFC8ABC" w14:textId="27B7653E" w:rsidR="00F326A4" w:rsidRPr="00C66840" w:rsidRDefault="00F326A4" w:rsidP="00F326A4">
      <w:pPr>
        <w:pStyle w:val="CETCaption"/>
        <w:spacing w:before="0"/>
        <w:rPr>
          <w:i w:val="0"/>
          <w:iCs/>
        </w:rPr>
      </w:pPr>
      <w:r>
        <w:rPr>
          <w:i w:val="0"/>
          <w:iCs/>
        </w:rPr>
        <w:t>The analysis of the curves of Figure 1 enabled the values of E, F</w:t>
      </w:r>
      <w:r w:rsidRPr="00426FB6">
        <w:rPr>
          <w:i w:val="0"/>
          <w:iCs/>
          <w:vertAlign w:val="subscript"/>
        </w:rPr>
        <w:t>MAX</w:t>
      </w:r>
      <w:r>
        <w:rPr>
          <w:i w:val="0"/>
          <w:iCs/>
        </w:rPr>
        <w:t xml:space="preserve">, and W to be extrapolated for the tested pectin-based films (Table 1). All the puncture parameters significantly (p &lt; 0.05) decreased when the glycerol load in the film-forming solution was raised within the tested range. Nevertheless, statistical similarities between samples at different pH were recorded only for the elastic modulus and the maximum force in the absence of glycerol. Such a detected loss in biofilms’ mechanical properties upon glycerol addition can be explained by invoking the free volume theory (Farris et al., 2010). Being a small molecule, glycerol is capable to accumulate inside the intermolecular polymeric voids and reduce the number of available sites for polymeric chain interaction (e.g., hydrogen bonds). This ultimately leads to an improvement in pectin chain mobility, that is, greater flexibility. Similar results were highlighted in a recent work investigating the influence of glycerol load on the functional properties of arrowroot starch-based films (Tarique et al., 2021). Remarkably, the authors observed an incipient reduction in the tensile parameters - elastic modulus, elongation at break, and tensile strength - of control films when increasing the glycerol load in the film-forming solution up to 45% (w/w on starch basis).         </w:t>
      </w:r>
    </w:p>
    <w:p w14:paraId="40D2A77F" w14:textId="32E36072" w:rsidR="0098220D" w:rsidRPr="00B57B36" w:rsidRDefault="0098220D" w:rsidP="00EA4150">
      <w:pPr>
        <w:pStyle w:val="CETTabletitle"/>
        <w:jc w:val="both"/>
      </w:pPr>
      <w:r w:rsidRPr="00B57B36">
        <w:t xml:space="preserve">Table 1: </w:t>
      </w:r>
      <w:r w:rsidR="00091D12">
        <w:t>Values of the main parameters</w:t>
      </w:r>
      <w:r w:rsidR="00201F87">
        <w:t xml:space="preserve"> </w:t>
      </w:r>
      <w:r w:rsidR="001A7DF8">
        <w:t>retrieved</w:t>
      </w:r>
      <w:r w:rsidR="00201F87">
        <w:t xml:space="preserve"> from puncture tests of the pectin-based films investigated in this work.</w:t>
      </w:r>
      <w:r w:rsidR="004448A6">
        <w:t xml:space="preserve"> </w:t>
      </w:r>
      <w:r w:rsidR="004448A6" w:rsidRPr="004448A6">
        <w:t>The results are expressed as mean ± SD</w:t>
      </w:r>
      <w:r w:rsidR="004448A6">
        <w:t xml:space="preserve">. </w:t>
      </w:r>
      <w:r w:rsidR="00EA4150">
        <w:t>For each investigated parameter, different lowercase letters within the same column express significant differences (p &lt; 0.05) among mean values</w:t>
      </w:r>
      <w:r w:rsidR="001D0E36">
        <w:t>,</w:t>
      </w:r>
      <w:r w:rsidR="003245AE">
        <w:t xml:space="preserve"> </w:t>
      </w:r>
      <w:r w:rsidR="001D0E36">
        <w:t xml:space="preserve">whereas </w:t>
      </w:r>
      <w:r w:rsidR="003245AE">
        <w:t>the symbol * indicates a significant difference (p &lt; 0.05)</w:t>
      </w:r>
      <w:r w:rsidR="002005B4">
        <w:t xml:space="preserve"> between pH = 3.5 and pH = 7 within the same film.</w:t>
      </w:r>
      <w:r w:rsidR="004C3123">
        <w:t xml:space="preserve"> </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418"/>
        <w:gridCol w:w="1191"/>
        <w:gridCol w:w="1191"/>
        <w:gridCol w:w="1191"/>
        <w:gridCol w:w="1191"/>
        <w:gridCol w:w="1331"/>
        <w:gridCol w:w="1276"/>
      </w:tblGrid>
      <w:tr w:rsidR="00F1432B" w:rsidRPr="00B57B36" w14:paraId="2A287FD0" w14:textId="77777777" w:rsidTr="00F44E42">
        <w:tc>
          <w:tcPr>
            <w:tcW w:w="1418" w:type="dxa"/>
            <w:vMerge w:val="restart"/>
            <w:tcBorders>
              <w:top w:val="single" w:sz="12" w:space="0" w:color="008000"/>
            </w:tcBorders>
            <w:shd w:val="clear" w:color="auto" w:fill="FFFFFF"/>
            <w:vAlign w:val="center"/>
          </w:tcPr>
          <w:p w14:paraId="443F0616" w14:textId="2141F8FC" w:rsidR="00F1432B" w:rsidRDefault="00F1432B" w:rsidP="005D72C4">
            <w:pPr>
              <w:pStyle w:val="CETBodytext"/>
              <w:jc w:val="center"/>
              <w:rPr>
                <w:lang w:val="en-GB"/>
              </w:rPr>
            </w:pPr>
            <w:r>
              <w:rPr>
                <w:lang w:val="en-GB"/>
              </w:rPr>
              <w:t>Glycerol load</w:t>
            </w:r>
          </w:p>
          <w:p w14:paraId="6C709690" w14:textId="460CB0D3" w:rsidR="00F1432B" w:rsidRPr="00BF5C2E" w:rsidRDefault="00F1432B" w:rsidP="00284AD0">
            <w:pPr>
              <w:pStyle w:val="CETBodytext"/>
              <w:jc w:val="center"/>
              <w:rPr>
                <w:lang w:val="en-GB"/>
              </w:rPr>
            </w:pPr>
            <w:r>
              <w:rPr>
                <w:lang w:val="en-GB"/>
              </w:rPr>
              <w:t>[g</w:t>
            </w:r>
            <w:r w:rsidRPr="00560B3A">
              <w:rPr>
                <w:vertAlign w:val="subscript"/>
                <w:lang w:val="en-GB"/>
              </w:rPr>
              <w:t>G</w:t>
            </w:r>
            <w:r>
              <w:rPr>
                <w:vertAlign w:val="subscript"/>
                <w:lang w:val="en-GB"/>
              </w:rPr>
              <w:t>lycerol</w:t>
            </w:r>
            <w:r>
              <w:rPr>
                <w:lang w:val="en-GB"/>
              </w:rPr>
              <w:t>/g</w:t>
            </w:r>
            <w:r w:rsidRPr="00560B3A">
              <w:rPr>
                <w:vertAlign w:val="subscript"/>
                <w:lang w:val="en-GB"/>
              </w:rPr>
              <w:t>P</w:t>
            </w:r>
            <w:r>
              <w:rPr>
                <w:vertAlign w:val="subscript"/>
                <w:lang w:val="en-GB"/>
              </w:rPr>
              <w:t>ectin</w:t>
            </w:r>
            <w:r>
              <w:rPr>
                <w:lang w:val="en-GB"/>
              </w:rPr>
              <w:t>]</w:t>
            </w:r>
          </w:p>
        </w:tc>
        <w:tc>
          <w:tcPr>
            <w:tcW w:w="2382" w:type="dxa"/>
            <w:gridSpan w:val="2"/>
            <w:tcBorders>
              <w:top w:val="single" w:sz="12" w:space="0" w:color="008000"/>
              <w:bottom w:val="nil"/>
            </w:tcBorders>
            <w:shd w:val="clear" w:color="auto" w:fill="FFFFFF"/>
            <w:vAlign w:val="center"/>
          </w:tcPr>
          <w:p w14:paraId="364D13F0" w14:textId="77777777" w:rsidR="00F1432B" w:rsidRPr="00B57B36" w:rsidRDefault="00F1432B" w:rsidP="00F1432B">
            <w:pPr>
              <w:pStyle w:val="CETBodytext"/>
              <w:spacing w:line="240" w:lineRule="auto"/>
              <w:jc w:val="center"/>
              <w:rPr>
                <w:lang w:val="en-GB"/>
              </w:rPr>
            </w:pPr>
            <w:r>
              <w:rPr>
                <w:lang w:val="en-GB"/>
              </w:rPr>
              <w:t>E [MPa]</w:t>
            </w:r>
          </w:p>
        </w:tc>
        <w:tc>
          <w:tcPr>
            <w:tcW w:w="2382" w:type="dxa"/>
            <w:gridSpan w:val="2"/>
            <w:tcBorders>
              <w:top w:val="single" w:sz="12" w:space="0" w:color="008000"/>
              <w:bottom w:val="nil"/>
            </w:tcBorders>
            <w:shd w:val="clear" w:color="auto" w:fill="FFFFFF"/>
            <w:vAlign w:val="center"/>
          </w:tcPr>
          <w:p w14:paraId="4602C151" w14:textId="77777777" w:rsidR="00F1432B" w:rsidRPr="00B57B36" w:rsidRDefault="00F1432B" w:rsidP="00F1432B">
            <w:pPr>
              <w:pStyle w:val="CETBodytext"/>
              <w:spacing w:line="240" w:lineRule="auto"/>
              <w:ind w:right="-1"/>
              <w:jc w:val="center"/>
              <w:rPr>
                <w:rFonts w:cs="Arial"/>
                <w:szCs w:val="18"/>
                <w:lang w:val="en-GB"/>
              </w:rPr>
            </w:pPr>
            <w:r>
              <w:rPr>
                <w:rFonts w:cs="Arial"/>
                <w:szCs w:val="18"/>
                <w:lang w:val="en-GB"/>
              </w:rPr>
              <w:t>F</w:t>
            </w:r>
            <w:r w:rsidRPr="00C16C9D">
              <w:rPr>
                <w:rFonts w:cs="Arial"/>
                <w:szCs w:val="18"/>
                <w:vertAlign w:val="subscript"/>
                <w:lang w:val="en-GB"/>
              </w:rPr>
              <w:t>MAX</w:t>
            </w:r>
            <w:r>
              <w:rPr>
                <w:rFonts w:cs="Arial"/>
                <w:szCs w:val="18"/>
                <w:lang w:val="en-GB"/>
              </w:rPr>
              <w:t xml:space="preserve"> [N]</w:t>
            </w:r>
          </w:p>
        </w:tc>
        <w:tc>
          <w:tcPr>
            <w:tcW w:w="2607" w:type="dxa"/>
            <w:gridSpan w:val="2"/>
            <w:tcBorders>
              <w:top w:val="single" w:sz="12" w:space="0" w:color="008000"/>
              <w:bottom w:val="nil"/>
            </w:tcBorders>
            <w:shd w:val="clear" w:color="auto" w:fill="FFFFFF"/>
            <w:vAlign w:val="center"/>
          </w:tcPr>
          <w:p w14:paraId="72BF262D" w14:textId="77777777" w:rsidR="00F1432B" w:rsidRDefault="00F1432B" w:rsidP="00F1432B">
            <w:pPr>
              <w:pStyle w:val="CETBodytext"/>
              <w:spacing w:line="240" w:lineRule="auto"/>
              <w:ind w:right="-1"/>
              <w:jc w:val="center"/>
              <w:rPr>
                <w:rFonts w:cs="Arial"/>
                <w:szCs w:val="18"/>
                <w:lang w:val="en-GB"/>
              </w:rPr>
            </w:pPr>
            <w:r>
              <w:rPr>
                <w:rFonts w:cs="Arial"/>
                <w:szCs w:val="18"/>
                <w:lang w:val="en-GB"/>
              </w:rPr>
              <w:t>W [mJ]</w:t>
            </w:r>
          </w:p>
        </w:tc>
      </w:tr>
      <w:tr w:rsidR="00F1432B" w:rsidRPr="00B57B36" w14:paraId="35863465" w14:textId="77777777" w:rsidTr="00F44E42">
        <w:tc>
          <w:tcPr>
            <w:tcW w:w="1418" w:type="dxa"/>
            <w:vMerge/>
            <w:tcBorders>
              <w:bottom w:val="single" w:sz="6" w:space="0" w:color="008000"/>
            </w:tcBorders>
            <w:shd w:val="clear" w:color="auto" w:fill="FFFFFF"/>
          </w:tcPr>
          <w:p w14:paraId="6EBC24F4" w14:textId="77777777" w:rsidR="00F1432B" w:rsidRPr="00B57B36" w:rsidRDefault="00F1432B" w:rsidP="00F1432B">
            <w:pPr>
              <w:pStyle w:val="CETBodytext"/>
              <w:rPr>
                <w:lang w:val="en-GB"/>
              </w:rPr>
            </w:pPr>
          </w:p>
        </w:tc>
        <w:tc>
          <w:tcPr>
            <w:tcW w:w="1191" w:type="dxa"/>
            <w:tcBorders>
              <w:top w:val="nil"/>
              <w:bottom w:val="single" w:sz="6" w:space="0" w:color="008000"/>
            </w:tcBorders>
            <w:shd w:val="clear" w:color="auto" w:fill="FFFFFF"/>
            <w:vAlign w:val="center"/>
          </w:tcPr>
          <w:p w14:paraId="42E28F0A" w14:textId="77777777" w:rsidR="00F1432B" w:rsidRPr="00B57B36" w:rsidRDefault="00F1432B" w:rsidP="00F1432B">
            <w:pPr>
              <w:pStyle w:val="CETBodytext"/>
              <w:spacing w:line="240" w:lineRule="auto"/>
              <w:jc w:val="center"/>
              <w:rPr>
                <w:lang w:val="en-GB"/>
              </w:rPr>
            </w:pPr>
            <w:r>
              <w:rPr>
                <w:lang w:val="en-GB"/>
              </w:rPr>
              <w:t>pH = 3.5</w:t>
            </w:r>
          </w:p>
        </w:tc>
        <w:tc>
          <w:tcPr>
            <w:tcW w:w="1191" w:type="dxa"/>
            <w:tcBorders>
              <w:top w:val="nil"/>
              <w:bottom w:val="single" w:sz="6" w:space="0" w:color="008000"/>
            </w:tcBorders>
            <w:shd w:val="clear" w:color="auto" w:fill="FFFFFF"/>
            <w:vAlign w:val="center"/>
          </w:tcPr>
          <w:p w14:paraId="089649C7" w14:textId="77777777" w:rsidR="00F1432B" w:rsidRPr="00B57B36" w:rsidRDefault="00F1432B" w:rsidP="00F1432B">
            <w:pPr>
              <w:pStyle w:val="CETBodytext"/>
              <w:spacing w:line="240" w:lineRule="auto"/>
              <w:jc w:val="center"/>
              <w:rPr>
                <w:lang w:val="en-GB"/>
              </w:rPr>
            </w:pPr>
            <w:r>
              <w:rPr>
                <w:lang w:val="en-GB"/>
              </w:rPr>
              <w:t>pH = 7</w:t>
            </w:r>
          </w:p>
        </w:tc>
        <w:tc>
          <w:tcPr>
            <w:tcW w:w="1191" w:type="dxa"/>
            <w:tcBorders>
              <w:top w:val="nil"/>
              <w:bottom w:val="single" w:sz="6" w:space="0" w:color="008000"/>
            </w:tcBorders>
            <w:shd w:val="clear" w:color="auto" w:fill="FFFFFF"/>
            <w:vAlign w:val="center"/>
          </w:tcPr>
          <w:p w14:paraId="0899144A" w14:textId="77777777" w:rsidR="00F1432B" w:rsidRPr="00B57B36" w:rsidRDefault="00F1432B" w:rsidP="00F1432B">
            <w:pPr>
              <w:pStyle w:val="CETBodytext"/>
              <w:spacing w:line="240" w:lineRule="auto"/>
              <w:ind w:right="-1"/>
              <w:jc w:val="center"/>
              <w:rPr>
                <w:rFonts w:cs="Arial"/>
                <w:szCs w:val="18"/>
                <w:lang w:val="en-GB"/>
              </w:rPr>
            </w:pPr>
            <w:r>
              <w:rPr>
                <w:lang w:val="en-GB"/>
              </w:rPr>
              <w:t>pH = 3.5</w:t>
            </w:r>
          </w:p>
        </w:tc>
        <w:tc>
          <w:tcPr>
            <w:tcW w:w="1191" w:type="dxa"/>
            <w:tcBorders>
              <w:top w:val="nil"/>
              <w:bottom w:val="single" w:sz="6" w:space="0" w:color="008000"/>
            </w:tcBorders>
            <w:shd w:val="clear" w:color="auto" w:fill="FFFFFF"/>
            <w:vAlign w:val="center"/>
          </w:tcPr>
          <w:p w14:paraId="73AC08D0" w14:textId="77777777" w:rsidR="00F1432B" w:rsidRPr="00B57B36" w:rsidRDefault="00F1432B" w:rsidP="00F1432B">
            <w:pPr>
              <w:pStyle w:val="CETBodytext"/>
              <w:spacing w:line="240" w:lineRule="auto"/>
              <w:ind w:right="-1"/>
              <w:jc w:val="center"/>
              <w:rPr>
                <w:rFonts w:cs="Arial"/>
                <w:szCs w:val="18"/>
                <w:lang w:val="en-GB"/>
              </w:rPr>
            </w:pPr>
            <w:r>
              <w:rPr>
                <w:lang w:val="en-GB"/>
              </w:rPr>
              <w:t>pH = 7</w:t>
            </w:r>
          </w:p>
        </w:tc>
        <w:tc>
          <w:tcPr>
            <w:tcW w:w="1331" w:type="dxa"/>
            <w:tcBorders>
              <w:top w:val="nil"/>
              <w:bottom w:val="single" w:sz="6" w:space="0" w:color="008000"/>
            </w:tcBorders>
            <w:shd w:val="clear" w:color="auto" w:fill="FFFFFF"/>
            <w:vAlign w:val="center"/>
          </w:tcPr>
          <w:p w14:paraId="29DAFAAA" w14:textId="77777777" w:rsidR="00F1432B" w:rsidRDefault="00F1432B" w:rsidP="00F1432B">
            <w:pPr>
              <w:pStyle w:val="CETBodytext"/>
              <w:spacing w:line="240" w:lineRule="auto"/>
              <w:ind w:right="-1"/>
              <w:jc w:val="center"/>
              <w:rPr>
                <w:lang w:val="en-GB"/>
              </w:rPr>
            </w:pPr>
            <w:r>
              <w:rPr>
                <w:lang w:val="en-GB"/>
              </w:rPr>
              <w:t>pH = 3.5</w:t>
            </w:r>
          </w:p>
        </w:tc>
        <w:tc>
          <w:tcPr>
            <w:tcW w:w="1276" w:type="dxa"/>
            <w:tcBorders>
              <w:top w:val="nil"/>
              <w:bottom w:val="single" w:sz="6" w:space="0" w:color="008000"/>
            </w:tcBorders>
            <w:shd w:val="clear" w:color="auto" w:fill="FFFFFF"/>
            <w:vAlign w:val="center"/>
          </w:tcPr>
          <w:p w14:paraId="50CF2333" w14:textId="77777777" w:rsidR="00F1432B" w:rsidRDefault="00F1432B" w:rsidP="00F1432B">
            <w:pPr>
              <w:pStyle w:val="CETBodytext"/>
              <w:spacing w:line="240" w:lineRule="auto"/>
              <w:ind w:right="-1"/>
              <w:jc w:val="center"/>
              <w:rPr>
                <w:lang w:val="en-GB"/>
              </w:rPr>
            </w:pPr>
            <w:r>
              <w:rPr>
                <w:lang w:val="en-GB"/>
              </w:rPr>
              <w:t>pH = 7</w:t>
            </w:r>
          </w:p>
        </w:tc>
      </w:tr>
      <w:tr w:rsidR="0098220D" w:rsidRPr="00B57B36" w14:paraId="1162E07C" w14:textId="77777777" w:rsidTr="00F44E42">
        <w:tc>
          <w:tcPr>
            <w:tcW w:w="1418" w:type="dxa"/>
            <w:shd w:val="clear" w:color="auto" w:fill="FFFFFF"/>
          </w:tcPr>
          <w:p w14:paraId="7894CA80" w14:textId="77777777" w:rsidR="0098220D" w:rsidRPr="00B57B36" w:rsidRDefault="0098220D" w:rsidP="005D72C4">
            <w:pPr>
              <w:pStyle w:val="CETBodytext"/>
              <w:spacing w:line="276" w:lineRule="auto"/>
              <w:jc w:val="center"/>
              <w:rPr>
                <w:lang w:val="en-GB"/>
              </w:rPr>
            </w:pPr>
            <w:r>
              <w:rPr>
                <w:lang w:val="en-GB"/>
              </w:rPr>
              <w:t>0</w:t>
            </w:r>
          </w:p>
        </w:tc>
        <w:tc>
          <w:tcPr>
            <w:tcW w:w="1191" w:type="dxa"/>
            <w:shd w:val="clear" w:color="auto" w:fill="FFFFFF"/>
          </w:tcPr>
          <w:p w14:paraId="7F297919" w14:textId="227B2BDF" w:rsidR="0098220D" w:rsidRPr="00B57B36" w:rsidRDefault="00722DE1" w:rsidP="005D72C4">
            <w:pPr>
              <w:pStyle w:val="CETBodytext"/>
              <w:spacing w:line="276" w:lineRule="auto"/>
              <w:jc w:val="center"/>
              <w:rPr>
                <w:lang w:val="en-GB"/>
              </w:rPr>
            </w:pPr>
            <w:r>
              <w:rPr>
                <w:lang w:val="en-GB"/>
              </w:rPr>
              <w:t>5</w:t>
            </w:r>
            <w:r w:rsidR="0098220D">
              <w:rPr>
                <w:lang w:val="en-GB"/>
              </w:rPr>
              <w:t>.</w:t>
            </w:r>
            <w:r>
              <w:rPr>
                <w:lang w:val="en-GB"/>
              </w:rPr>
              <w:t>6</w:t>
            </w:r>
            <w:r w:rsidR="0098220D">
              <w:rPr>
                <w:lang w:val="en-GB"/>
              </w:rPr>
              <w:t xml:space="preserve"> </w:t>
            </w:r>
            <w:r w:rsidR="0098220D">
              <w:rPr>
                <w:rFonts w:cs="Arial"/>
                <w:lang w:val="en-GB"/>
              </w:rPr>
              <w:t>±</w:t>
            </w:r>
            <w:r w:rsidR="0098220D">
              <w:rPr>
                <w:lang w:val="en-GB"/>
              </w:rPr>
              <w:t xml:space="preserve"> </w:t>
            </w:r>
            <w:r w:rsidR="0057415A">
              <w:rPr>
                <w:lang w:val="en-GB"/>
              </w:rPr>
              <w:t>2</w:t>
            </w:r>
            <w:r w:rsidR="0098220D">
              <w:rPr>
                <w:lang w:val="en-GB"/>
              </w:rPr>
              <w:t>.</w:t>
            </w:r>
            <w:r>
              <w:rPr>
                <w:lang w:val="en-GB"/>
              </w:rPr>
              <w:t>6</w:t>
            </w:r>
            <w:r w:rsidR="0098220D" w:rsidRPr="005A34EC">
              <w:rPr>
                <w:vertAlign w:val="superscript"/>
                <w:lang w:val="en-GB"/>
              </w:rPr>
              <w:t>b</w:t>
            </w:r>
          </w:p>
        </w:tc>
        <w:tc>
          <w:tcPr>
            <w:tcW w:w="1191" w:type="dxa"/>
            <w:shd w:val="clear" w:color="auto" w:fill="FFFFFF"/>
          </w:tcPr>
          <w:p w14:paraId="7517A3CC" w14:textId="20104411" w:rsidR="0098220D" w:rsidRPr="00B57B36" w:rsidRDefault="0098220D" w:rsidP="005D72C4">
            <w:pPr>
              <w:pStyle w:val="CETBodytext"/>
              <w:spacing w:line="276" w:lineRule="auto"/>
              <w:jc w:val="center"/>
              <w:rPr>
                <w:lang w:val="en-GB"/>
              </w:rPr>
            </w:pPr>
            <w:r>
              <w:rPr>
                <w:lang w:val="en-GB"/>
              </w:rPr>
              <w:t xml:space="preserve">3.0 </w:t>
            </w:r>
            <w:r>
              <w:rPr>
                <w:rFonts w:cs="Arial"/>
                <w:lang w:val="en-GB"/>
              </w:rPr>
              <w:t>± 0.2</w:t>
            </w:r>
            <w:r w:rsidRPr="00A3169B">
              <w:rPr>
                <w:rFonts w:cs="Arial"/>
                <w:vertAlign w:val="superscript"/>
                <w:lang w:val="en-GB"/>
              </w:rPr>
              <w:t>c</w:t>
            </w:r>
          </w:p>
        </w:tc>
        <w:tc>
          <w:tcPr>
            <w:tcW w:w="1191" w:type="dxa"/>
            <w:shd w:val="clear" w:color="auto" w:fill="FFFFFF"/>
          </w:tcPr>
          <w:p w14:paraId="26F3C2B8" w14:textId="173425CC" w:rsidR="0098220D" w:rsidRPr="00B57B36" w:rsidRDefault="00BE7C2C" w:rsidP="005D72C4">
            <w:pPr>
              <w:pStyle w:val="CETBodytext"/>
              <w:spacing w:line="276" w:lineRule="auto"/>
              <w:ind w:right="-1"/>
              <w:jc w:val="center"/>
              <w:rPr>
                <w:rFonts w:cs="Arial"/>
                <w:szCs w:val="18"/>
                <w:lang w:val="en-GB"/>
              </w:rPr>
            </w:pPr>
            <w:r>
              <w:rPr>
                <w:rFonts w:cs="Arial"/>
                <w:szCs w:val="18"/>
                <w:lang w:val="en-GB"/>
              </w:rPr>
              <w:t>7</w:t>
            </w:r>
            <w:r w:rsidR="0098220D">
              <w:rPr>
                <w:rFonts w:cs="Arial"/>
                <w:szCs w:val="18"/>
                <w:lang w:val="en-GB"/>
              </w:rPr>
              <w:t>.</w:t>
            </w:r>
            <w:r w:rsidR="00373212">
              <w:rPr>
                <w:rFonts w:cs="Arial"/>
                <w:szCs w:val="18"/>
                <w:lang w:val="en-GB"/>
              </w:rPr>
              <w:t>3</w:t>
            </w:r>
            <w:r w:rsidR="0098220D">
              <w:rPr>
                <w:rFonts w:cs="Arial"/>
                <w:szCs w:val="18"/>
                <w:lang w:val="en-GB"/>
              </w:rPr>
              <w:t xml:space="preserve"> </w:t>
            </w:r>
            <w:r w:rsidR="0098220D">
              <w:rPr>
                <w:rFonts w:cs="Arial"/>
                <w:lang w:val="en-GB"/>
              </w:rPr>
              <w:t xml:space="preserve">± </w:t>
            </w:r>
            <w:r w:rsidR="00E97CBF">
              <w:rPr>
                <w:rFonts w:cs="Arial"/>
                <w:lang w:val="en-GB"/>
              </w:rPr>
              <w:t>2</w:t>
            </w:r>
            <w:r w:rsidR="0098220D">
              <w:rPr>
                <w:rFonts w:cs="Arial"/>
                <w:lang w:val="en-GB"/>
              </w:rPr>
              <w:t>.</w:t>
            </w:r>
            <w:r w:rsidR="00E97CBF">
              <w:rPr>
                <w:rFonts w:cs="Arial"/>
                <w:lang w:val="en-GB"/>
              </w:rPr>
              <w:t>9</w:t>
            </w:r>
            <w:r w:rsidR="0098220D" w:rsidRPr="005A34EC">
              <w:rPr>
                <w:rFonts w:cs="Arial"/>
                <w:vertAlign w:val="superscript"/>
                <w:lang w:val="en-GB"/>
              </w:rPr>
              <w:t>c</w:t>
            </w:r>
          </w:p>
        </w:tc>
        <w:tc>
          <w:tcPr>
            <w:tcW w:w="1191" w:type="dxa"/>
            <w:shd w:val="clear" w:color="auto" w:fill="FFFFFF"/>
          </w:tcPr>
          <w:p w14:paraId="7081DF30"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5.0 </w:t>
            </w:r>
            <w:r>
              <w:rPr>
                <w:rFonts w:cs="Arial"/>
                <w:lang w:val="en-GB"/>
              </w:rPr>
              <w:t>± 0.5</w:t>
            </w:r>
            <w:r w:rsidRPr="00215384">
              <w:rPr>
                <w:rFonts w:cs="Arial"/>
                <w:vertAlign w:val="superscript"/>
                <w:lang w:val="en-GB"/>
              </w:rPr>
              <w:t>c</w:t>
            </w:r>
          </w:p>
        </w:tc>
        <w:tc>
          <w:tcPr>
            <w:tcW w:w="1331" w:type="dxa"/>
            <w:shd w:val="clear" w:color="auto" w:fill="FFFFFF"/>
          </w:tcPr>
          <w:p w14:paraId="415C262E" w14:textId="26AF1550" w:rsidR="0098220D" w:rsidRPr="00B57B36" w:rsidRDefault="006F65C3" w:rsidP="005D72C4">
            <w:pPr>
              <w:pStyle w:val="CETBodytext"/>
              <w:spacing w:line="276" w:lineRule="auto"/>
              <w:ind w:right="-1"/>
              <w:jc w:val="center"/>
              <w:rPr>
                <w:rFonts w:cs="Arial"/>
                <w:szCs w:val="18"/>
                <w:lang w:val="en-GB"/>
              </w:rPr>
            </w:pPr>
            <w:r>
              <w:rPr>
                <w:rFonts w:cs="Arial"/>
                <w:szCs w:val="18"/>
                <w:lang w:val="en-GB"/>
              </w:rPr>
              <w:t>5</w:t>
            </w:r>
            <w:r w:rsidR="0098220D">
              <w:rPr>
                <w:rFonts w:cs="Arial"/>
                <w:szCs w:val="18"/>
                <w:lang w:val="en-GB"/>
              </w:rPr>
              <w:t>.</w:t>
            </w:r>
            <w:r>
              <w:rPr>
                <w:rFonts w:cs="Arial"/>
                <w:szCs w:val="18"/>
                <w:lang w:val="en-GB"/>
              </w:rPr>
              <w:t>9</w:t>
            </w:r>
            <w:r w:rsidR="0098220D">
              <w:rPr>
                <w:rFonts w:cs="Arial"/>
                <w:szCs w:val="18"/>
                <w:lang w:val="en-GB"/>
              </w:rPr>
              <w:t xml:space="preserve"> </w:t>
            </w:r>
            <w:r w:rsidR="0098220D">
              <w:rPr>
                <w:rFonts w:cs="Arial"/>
                <w:lang w:val="en-GB"/>
              </w:rPr>
              <w:t xml:space="preserve">± </w:t>
            </w:r>
            <w:r>
              <w:rPr>
                <w:rFonts w:cs="Arial"/>
                <w:lang w:val="en-GB"/>
              </w:rPr>
              <w:t>2</w:t>
            </w:r>
            <w:r w:rsidR="0098220D">
              <w:rPr>
                <w:rFonts w:cs="Arial"/>
                <w:lang w:val="en-GB"/>
              </w:rPr>
              <w:t>.</w:t>
            </w:r>
            <w:r>
              <w:rPr>
                <w:rFonts w:cs="Arial"/>
                <w:lang w:val="en-GB"/>
              </w:rPr>
              <w:t>8</w:t>
            </w:r>
            <w:r w:rsidR="0098220D" w:rsidRPr="002922D7">
              <w:rPr>
                <w:rFonts w:cs="Arial"/>
                <w:vertAlign w:val="superscript"/>
                <w:lang w:val="en-GB"/>
              </w:rPr>
              <w:t>b</w:t>
            </w:r>
            <w:r w:rsidR="0098220D">
              <w:rPr>
                <w:rFonts w:cs="Arial"/>
                <w:vertAlign w:val="superscript"/>
                <w:lang w:val="en-GB"/>
              </w:rPr>
              <w:t>,*</w:t>
            </w:r>
          </w:p>
        </w:tc>
        <w:tc>
          <w:tcPr>
            <w:tcW w:w="1276" w:type="dxa"/>
            <w:shd w:val="clear" w:color="auto" w:fill="FFFFFF"/>
          </w:tcPr>
          <w:p w14:paraId="0731825D"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5.2 </w:t>
            </w:r>
            <w:r>
              <w:rPr>
                <w:rFonts w:cs="Arial"/>
                <w:lang w:val="en-GB"/>
              </w:rPr>
              <w:t>± 0.4</w:t>
            </w:r>
            <w:r w:rsidRPr="00205CFD">
              <w:rPr>
                <w:rFonts w:cs="Arial"/>
                <w:vertAlign w:val="superscript"/>
                <w:lang w:val="en-GB"/>
              </w:rPr>
              <w:t>c</w:t>
            </w:r>
            <w:r>
              <w:rPr>
                <w:rFonts w:cs="Arial"/>
                <w:vertAlign w:val="superscript"/>
                <w:lang w:val="en-GB"/>
              </w:rPr>
              <w:t>,*</w:t>
            </w:r>
          </w:p>
        </w:tc>
      </w:tr>
      <w:tr w:rsidR="0098220D" w:rsidRPr="00B57B36" w14:paraId="6F66AD45" w14:textId="77777777" w:rsidTr="00F44E42">
        <w:tc>
          <w:tcPr>
            <w:tcW w:w="1418" w:type="dxa"/>
            <w:shd w:val="clear" w:color="auto" w:fill="FFFFFF"/>
          </w:tcPr>
          <w:p w14:paraId="194ABF74"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6.6</w:t>
            </w:r>
          </w:p>
        </w:tc>
        <w:tc>
          <w:tcPr>
            <w:tcW w:w="1191" w:type="dxa"/>
            <w:shd w:val="clear" w:color="auto" w:fill="FFFFFF"/>
          </w:tcPr>
          <w:p w14:paraId="639F86C7"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0.5 </w:t>
            </w:r>
            <w:r>
              <w:rPr>
                <w:rFonts w:cs="Arial"/>
                <w:lang w:val="en-GB"/>
              </w:rPr>
              <w:t>± 0.1</w:t>
            </w:r>
            <w:r w:rsidRPr="005A34EC">
              <w:rPr>
                <w:rFonts w:cs="Arial"/>
                <w:vertAlign w:val="superscript"/>
                <w:lang w:val="en-GB"/>
              </w:rPr>
              <w:t>a</w:t>
            </w:r>
          </w:p>
        </w:tc>
        <w:tc>
          <w:tcPr>
            <w:tcW w:w="1191" w:type="dxa"/>
            <w:shd w:val="clear" w:color="auto" w:fill="FFFFFF"/>
          </w:tcPr>
          <w:p w14:paraId="7A025EA0"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0.6 </w:t>
            </w:r>
            <w:r>
              <w:rPr>
                <w:rFonts w:cs="Arial"/>
                <w:lang w:val="en-GB"/>
              </w:rPr>
              <w:t>± 0.1</w:t>
            </w:r>
            <w:r w:rsidRPr="00A3169B">
              <w:rPr>
                <w:rFonts w:cs="Arial"/>
                <w:vertAlign w:val="superscript"/>
                <w:lang w:val="en-GB"/>
              </w:rPr>
              <w:t>b</w:t>
            </w:r>
          </w:p>
        </w:tc>
        <w:tc>
          <w:tcPr>
            <w:tcW w:w="1191" w:type="dxa"/>
            <w:shd w:val="clear" w:color="auto" w:fill="FFFFFF"/>
          </w:tcPr>
          <w:p w14:paraId="47F51444"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2.6 </w:t>
            </w:r>
            <w:r>
              <w:rPr>
                <w:rFonts w:cs="Arial"/>
                <w:lang w:val="en-GB"/>
              </w:rPr>
              <w:t>± 0.1</w:t>
            </w:r>
            <w:r w:rsidRPr="005A34EC">
              <w:rPr>
                <w:rFonts w:cs="Arial"/>
                <w:vertAlign w:val="superscript"/>
                <w:lang w:val="en-GB"/>
              </w:rPr>
              <w:t>b</w:t>
            </w:r>
            <w:r>
              <w:rPr>
                <w:rFonts w:cs="Arial"/>
                <w:vertAlign w:val="superscript"/>
                <w:lang w:val="en-GB"/>
              </w:rPr>
              <w:t>,*</w:t>
            </w:r>
          </w:p>
        </w:tc>
        <w:tc>
          <w:tcPr>
            <w:tcW w:w="1191" w:type="dxa"/>
            <w:shd w:val="clear" w:color="auto" w:fill="FFFFFF"/>
          </w:tcPr>
          <w:p w14:paraId="20173D29"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0.9 </w:t>
            </w:r>
            <w:r>
              <w:rPr>
                <w:rFonts w:cs="Arial"/>
                <w:lang w:val="en-GB"/>
              </w:rPr>
              <w:t>± 0.2</w:t>
            </w:r>
            <w:r w:rsidRPr="00215384">
              <w:rPr>
                <w:rFonts w:cs="Arial"/>
                <w:vertAlign w:val="superscript"/>
                <w:lang w:val="en-GB"/>
              </w:rPr>
              <w:t>b</w:t>
            </w:r>
            <w:r>
              <w:rPr>
                <w:rFonts w:cs="Arial"/>
                <w:vertAlign w:val="superscript"/>
                <w:lang w:val="en-GB"/>
              </w:rPr>
              <w:t>,*</w:t>
            </w:r>
          </w:p>
        </w:tc>
        <w:tc>
          <w:tcPr>
            <w:tcW w:w="1331" w:type="dxa"/>
            <w:shd w:val="clear" w:color="auto" w:fill="FFFFFF"/>
          </w:tcPr>
          <w:p w14:paraId="36921A2C" w14:textId="110923CC"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6.3 </w:t>
            </w:r>
            <w:r>
              <w:rPr>
                <w:rFonts w:cs="Arial"/>
                <w:lang w:val="en-GB"/>
              </w:rPr>
              <w:t>± 0.3</w:t>
            </w:r>
            <w:r w:rsidR="00F111D1">
              <w:rPr>
                <w:rFonts w:cs="Arial"/>
                <w:vertAlign w:val="superscript"/>
                <w:lang w:val="en-GB"/>
              </w:rPr>
              <w:t>b</w:t>
            </w:r>
            <w:r>
              <w:rPr>
                <w:rFonts w:cs="Arial"/>
                <w:vertAlign w:val="superscript"/>
                <w:lang w:val="en-GB"/>
              </w:rPr>
              <w:t>,*</w:t>
            </w:r>
          </w:p>
        </w:tc>
        <w:tc>
          <w:tcPr>
            <w:tcW w:w="1276" w:type="dxa"/>
            <w:shd w:val="clear" w:color="auto" w:fill="FFFFFF"/>
          </w:tcPr>
          <w:p w14:paraId="1E02E061"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2.2 </w:t>
            </w:r>
            <w:r>
              <w:rPr>
                <w:rFonts w:cs="Arial"/>
                <w:lang w:val="en-GB"/>
              </w:rPr>
              <w:t>± 0.5</w:t>
            </w:r>
            <w:r w:rsidRPr="00205CFD">
              <w:rPr>
                <w:rFonts w:cs="Arial"/>
                <w:vertAlign w:val="superscript"/>
                <w:lang w:val="en-GB"/>
              </w:rPr>
              <w:t>b</w:t>
            </w:r>
            <w:r>
              <w:rPr>
                <w:rFonts w:cs="Arial"/>
                <w:vertAlign w:val="superscript"/>
                <w:lang w:val="en-GB"/>
              </w:rPr>
              <w:t>,*</w:t>
            </w:r>
          </w:p>
        </w:tc>
      </w:tr>
      <w:tr w:rsidR="0098220D" w:rsidRPr="00B57B36" w14:paraId="39B3DD24" w14:textId="77777777" w:rsidTr="00F44E42">
        <w:tc>
          <w:tcPr>
            <w:tcW w:w="1418" w:type="dxa"/>
            <w:shd w:val="clear" w:color="auto" w:fill="FFFFFF"/>
          </w:tcPr>
          <w:p w14:paraId="51122D92" w14:textId="77777777" w:rsidR="0098220D" w:rsidRDefault="0098220D" w:rsidP="005D72C4">
            <w:pPr>
              <w:pStyle w:val="CETBodytext"/>
              <w:spacing w:line="276" w:lineRule="auto"/>
              <w:ind w:right="-1"/>
              <w:jc w:val="center"/>
              <w:rPr>
                <w:rFonts w:cs="Arial"/>
                <w:szCs w:val="18"/>
                <w:lang w:val="en-GB"/>
              </w:rPr>
            </w:pPr>
            <w:r>
              <w:rPr>
                <w:rFonts w:cs="Arial"/>
                <w:szCs w:val="18"/>
                <w:lang w:val="en-GB"/>
              </w:rPr>
              <w:t>13.3</w:t>
            </w:r>
          </w:p>
        </w:tc>
        <w:tc>
          <w:tcPr>
            <w:tcW w:w="1191" w:type="dxa"/>
            <w:shd w:val="clear" w:color="auto" w:fill="FFFFFF"/>
          </w:tcPr>
          <w:p w14:paraId="416B1D78"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0.3 </w:t>
            </w:r>
            <w:r>
              <w:rPr>
                <w:rFonts w:cs="Arial"/>
                <w:lang w:val="en-GB"/>
              </w:rPr>
              <w:t>± 0.1</w:t>
            </w:r>
            <w:r w:rsidRPr="005A34EC">
              <w:rPr>
                <w:rFonts w:cs="Arial"/>
                <w:vertAlign w:val="superscript"/>
                <w:lang w:val="en-GB"/>
              </w:rPr>
              <w:t>a</w:t>
            </w:r>
          </w:p>
        </w:tc>
        <w:tc>
          <w:tcPr>
            <w:tcW w:w="1191" w:type="dxa"/>
            <w:shd w:val="clear" w:color="auto" w:fill="FFFFFF"/>
          </w:tcPr>
          <w:p w14:paraId="45565FDB" w14:textId="166D9FCC"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0.2 </w:t>
            </w:r>
            <w:r>
              <w:rPr>
                <w:rFonts w:cs="Arial"/>
                <w:lang w:val="en-GB"/>
              </w:rPr>
              <w:t>± 0.1</w:t>
            </w:r>
            <w:r w:rsidRPr="00A3169B">
              <w:rPr>
                <w:rFonts w:cs="Arial"/>
                <w:vertAlign w:val="superscript"/>
                <w:lang w:val="en-GB"/>
              </w:rPr>
              <w:t>a</w:t>
            </w:r>
          </w:p>
        </w:tc>
        <w:tc>
          <w:tcPr>
            <w:tcW w:w="1191" w:type="dxa"/>
            <w:shd w:val="clear" w:color="auto" w:fill="FFFFFF"/>
          </w:tcPr>
          <w:p w14:paraId="1DA8378B"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1.4 </w:t>
            </w:r>
            <w:r>
              <w:rPr>
                <w:rFonts w:cs="Arial"/>
                <w:lang w:val="en-GB"/>
              </w:rPr>
              <w:t>± 0.2</w:t>
            </w:r>
            <w:r w:rsidRPr="005A34EC">
              <w:rPr>
                <w:rFonts w:cs="Arial"/>
                <w:vertAlign w:val="superscript"/>
                <w:lang w:val="en-GB"/>
              </w:rPr>
              <w:t>a</w:t>
            </w:r>
            <w:r>
              <w:rPr>
                <w:rFonts w:cs="Arial"/>
                <w:vertAlign w:val="superscript"/>
                <w:lang w:val="en-GB"/>
              </w:rPr>
              <w:t>,*</w:t>
            </w:r>
          </w:p>
        </w:tc>
        <w:tc>
          <w:tcPr>
            <w:tcW w:w="1191" w:type="dxa"/>
            <w:shd w:val="clear" w:color="auto" w:fill="FFFFFF"/>
          </w:tcPr>
          <w:p w14:paraId="596780F3"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0.2 </w:t>
            </w:r>
            <w:r>
              <w:rPr>
                <w:rFonts w:cs="Arial"/>
                <w:lang w:val="en-GB"/>
              </w:rPr>
              <w:t>± 0.1</w:t>
            </w:r>
            <w:r w:rsidRPr="00215384">
              <w:rPr>
                <w:rFonts w:cs="Arial"/>
                <w:vertAlign w:val="superscript"/>
                <w:lang w:val="en-GB"/>
              </w:rPr>
              <w:t>a</w:t>
            </w:r>
            <w:r>
              <w:rPr>
                <w:rFonts w:cs="Arial"/>
                <w:vertAlign w:val="superscript"/>
                <w:lang w:val="en-GB"/>
              </w:rPr>
              <w:t>,*</w:t>
            </w:r>
          </w:p>
        </w:tc>
        <w:tc>
          <w:tcPr>
            <w:tcW w:w="1331" w:type="dxa"/>
            <w:shd w:val="clear" w:color="auto" w:fill="FFFFFF"/>
          </w:tcPr>
          <w:p w14:paraId="72CABF9E" w14:textId="14116C9E"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3.8 </w:t>
            </w:r>
            <w:r>
              <w:rPr>
                <w:rFonts w:cs="Arial"/>
                <w:lang w:val="en-GB"/>
              </w:rPr>
              <w:t>± 0.5</w:t>
            </w:r>
            <w:r w:rsidR="00F111D1">
              <w:rPr>
                <w:rFonts w:cs="Arial"/>
                <w:vertAlign w:val="superscript"/>
                <w:lang w:val="en-GB"/>
              </w:rPr>
              <w:t>ab</w:t>
            </w:r>
            <w:r>
              <w:rPr>
                <w:rFonts w:cs="Arial"/>
                <w:vertAlign w:val="superscript"/>
                <w:lang w:val="en-GB"/>
              </w:rPr>
              <w:t>,*</w:t>
            </w:r>
          </w:p>
        </w:tc>
        <w:tc>
          <w:tcPr>
            <w:tcW w:w="1276" w:type="dxa"/>
            <w:shd w:val="clear" w:color="auto" w:fill="FFFFFF"/>
          </w:tcPr>
          <w:p w14:paraId="67260C54"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0.7 </w:t>
            </w:r>
            <w:r>
              <w:rPr>
                <w:rFonts w:cs="Arial"/>
                <w:lang w:val="en-GB"/>
              </w:rPr>
              <w:t>± 0.2</w:t>
            </w:r>
            <w:r w:rsidRPr="00205CFD">
              <w:rPr>
                <w:rFonts w:cs="Arial"/>
                <w:vertAlign w:val="superscript"/>
                <w:lang w:val="en-GB"/>
              </w:rPr>
              <w:t>a</w:t>
            </w:r>
            <w:r>
              <w:rPr>
                <w:rFonts w:cs="Arial"/>
                <w:vertAlign w:val="superscript"/>
                <w:lang w:val="en-GB"/>
              </w:rPr>
              <w:t>,*</w:t>
            </w:r>
          </w:p>
        </w:tc>
      </w:tr>
      <w:tr w:rsidR="0098220D" w:rsidRPr="00B57B36" w14:paraId="4E77245E" w14:textId="77777777" w:rsidTr="00F44E42">
        <w:tc>
          <w:tcPr>
            <w:tcW w:w="1418" w:type="dxa"/>
            <w:shd w:val="clear" w:color="auto" w:fill="FFFFFF"/>
          </w:tcPr>
          <w:p w14:paraId="443773C3" w14:textId="77777777" w:rsidR="0098220D" w:rsidRDefault="0098220D" w:rsidP="005D72C4">
            <w:pPr>
              <w:pStyle w:val="CETBodytext"/>
              <w:spacing w:line="276" w:lineRule="auto"/>
              <w:ind w:right="-1"/>
              <w:jc w:val="center"/>
              <w:rPr>
                <w:rFonts w:cs="Arial"/>
                <w:szCs w:val="18"/>
                <w:lang w:val="en-GB"/>
              </w:rPr>
            </w:pPr>
            <w:r>
              <w:rPr>
                <w:rFonts w:cs="Arial"/>
                <w:szCs w:val="18"/>
                <w:lang w:val="en-GB"/>
              </w:rPr>
              <w:t>20</w:t>
            </w:r>
          </w:p>
        </w:tc>
        <w:tc>
          <w:tcPr>
            <w:tcW w:w="1191" w:type="dxa"/>
            <w:shd w:val="clear" w:color="auto" w:fill="FFFFFF"/>
          </w:tcPr>
          <w:p w14:paraId="1E60D6D5"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0.2 </w:t>
            </w:r>
            <w:r>
              <w:rPr>
                <w:rFonts w:cs="Arial"/>
                <w:lang w:val="en-GB"/>
              </w:rPr>
              <w:t>± 0.1</w:t>
            </w:r>
            <w:r w:rsidRPr="005A34EC">
              <w:rPr>
                <w:rFonts w:cs="Arial"/>
                <w:vertAlign w:val="superscript"/>
                <w:lang w:val="en-GB"/>
              </w:rPr>
              <w:t>a</w:t>
            </w:r>
          </w:p>
        </w:tc>
        <w:tc>
          <w:tcPr>
            <w:tcW w:w="1191" w:type="dxa"/>
            <w:shd w:val="clear" w:color="auto" w:fill="FFFFFF"/>
          </w:tcPr>
          <w:p w14:paraId="041E7ECD"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0.2 </w:t>
            </w:r>
            <w:r>
              <w:rPr>
                <w:rFonts w:cs="Arial"/>
                <w:lang w:val="en-GB"/>
              </w:rPr>
              <w:t>± 0.1</w:t>
            </w:r>
            <w:r w:rsidRPr="00A3169B">
              <w:rPr>
                <w:rFonts w:cs="Arial"/>
                <w:vertAlign w:val="superscript"/>
                <w:lang w:val="en-GB"/>
              </w:rPr>
              <w:t>a</w:t>
            </w:r>
          </w:p>
        </w:tc>
        <w:tc>
          <w:tcPr>
            <w:tcW w:w="1191" w:type="dxa"/>
            <w:shd w:val="clear" w:color="auto" w:fill="FFFFFF"/>
          </w:tcPr>
          <w:p w14:paraId="20F334A6"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1.0 </w:t>
            </w:r>
            <w:r>
              <w:rPr>
                <w:rFonts w:cs="Arial"/>
                <w:lang w:val="en-GB"/>
              </w:rPr>
              <w:t>± 0.1</w:t>
            </w:r>
            <w:r w:rsidRPr="005A34EC">
              <w:rPr>
                <w:rFonts w:cs="Arial"/>
                <w:vertAlign w:val="superscript"/>
                <w:lang w:val="en-GB"/>
              </w:rPr>
              <w:t>a</w:t>
            </w:r>
            <w:r>
              <w:rPr>
                <w:rFonts w:cs="Arial"/>
                <w:vertAlign w:val="superscript"/>
                <w:lang w:val="en-GB"/>
              </w:rPr>
              <w:t>,*</w:t>
            </w:r>
          </w:p>
        </w:tc>
        <w:tc>
          <w:tcPr>
            <w:tcW w:w="1191" w:type="dxa"/>
            <w:shd w:val="clear" w:color="auto" w:fill="FFFFFF"/>
          </w:tcPr>
          <w:p w14:paraId="2D37844C"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0.2 </w:t>
            </w:r>
            <w:r>
              <w:rPr>
                <w:rFonts w:cs="Arial"/>
                <w:lang w:val="en-GB"/>
              </w:rPr>
              <w:t>± 0.1</w:t>
            </w:r>
            <w:r w:rsidRPr="00215384">
              <w:rPr>
                <w:rFonts w:cs="Arial"/>
                <w:vertAlign w:val="superscript"/>
                <w:lang w:val="en-GB"/>
              </w:rPr>
              <w:t>a</w:t>
            </w:r>
            <w:r>
              <w:rPr>
                <w:rFonts w:cs="Arial"/>
                <w:vertAlign w:val="superscript"/>
                <w:lang w:val="en-GB"/>
              </w:rPr>
              <w:t>,*</w:t>
            </w:r>
          </w:p>
        </w:tc>
        <w:tc>
          <w:tcPr>
            <w:tcW w:w="1331" w:type="dxa"/>
            <w:shd w:val="clear" w:color="auto" w:fill="FFFFFF"/>
          </w:tcPr>
          <w:p w14:paraId="45DB0FBB" w14:textId="26637195"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2.3 </w:t>
            </w:r>
            <w:r>
              <w:rPr>
                <w:rFonts w:cs="Arial"/>
                <w:lang w:val="en-GB"/>
              </w:rPr>
              <w:t>± 0.1</w:t>
            </w:r>
            <w:r w:rsidRPr="002922D7">
              <w:rPr>
                <w:rFonts w:cs="Arial"/>
                <w:vertAlign w:val="superscript"/>
                <w:lang w:val="en-GB"/>
              </w:rPr>
              <w:t>a</w:t>
            </w:r>
            <w:r>
              <w:rPr>
                <w:rFonts w:cs="Arial"/>
                <w:vertAlign w:val="superscript"/>
                <w:lang w:val="en-GB"/>
              </w:rPr>
              <w:t>,*</w:t>
            </w:r>
          </w:p>
        </w:tc>
        <w:tc>
          <w:tcPr>
            <w:tcW w:w="1276" w:type="dxa"/>
            <w:shd w:val="clear" w:color="auto" w:fill="FFFFFF"/>
          </w:tcPr>
          <w:p w14:paraId="7FF754A4"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0.3 </w:t>
            </w:r>
            <w:r>
              <w:rPr>
                <w:rFonts w:cs="Arial"/>
                <w:lang w:val="en-GB"/>
              </w:rPr>
              <w:t>± 0.1</w:t>
            </w:r>
            <w:r w:rsidRPr="00205CFD">
              <w:rPr>
                <w:rFonts w:cs="Arial"/>
                <w:vertAlign w:val="superscript"/>
                <w:lang w:val="en-GB"/>
              </w:rPr>
              <w:t>a</w:t>
            </w:r>
            <w:r>
              <w:rPr>
                <w:rFonts w:cs="Arial"/>
                <w:vertAlign w:val="superscript"/>
                <w:lang w:val="en-GB"/>
              </w:rPr>
              <w:t>,*</w:t>
            </w:r>
          </w:p>
        </w:tc>
      </w:tr>
      <w:tr w:rsidR="0098220D" w:rsidRPr="00B57B36" w14:paraId="0795B3E9" w14:textId="77777777" w:rsidTr="00F44E42">
        <w:tc>
          <w:tcPr>
            <w:tcW w:w="1418" w:type="dxa"/>
            <w:shd w:val="clear" w:color="auto" w:fill="FFFFFF"/>
          </w:tcPr>
          <w:p w14:paraId="4BBB0FAD" w14:textId="77777777" w:rsidR="0098220D" w:rsidRDefault="0098220D" w:rsidP="005D72C4">
            <w:pPr>
              <w:pStyle w:val="CETBodytext"/>
              <w:spacing w:line="276" w:lineRule="auto"/>
              <w:ind w:right="-1"/>
              <w:jc w:val="center"/>
              <w:rPr>
                <w:rFonts w:cs="Arial"/>
                <w:szCs w:val="18"/>
                <w:lang w:val="en-GB"/>
              </w:rPr>
            </w:pPr>
            <w:r>
              <w:rPr>
                <w:rFonts w:cs="Arial"/>
                <w:szCs w:val="18"/>
                <w:lang w:val="en-GB"/>
              </w:rPr>
              <w:t>26.7</w:t>
            </w:r>
          </w:p>
        </w:tc>
        <w:tc>
          <w:tcPr>
            <w:tcW w:w="1191" w:type="dxa"/>
            <w:shd w:val="clear" w:color="auto" w:fill="FFFFFF"/>
          </w:tcPr>
          <w:p w14:paraId="62553E68"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0.2 </w:t>
            </w:r>
            <w:r>
              <w:rPr>
                <w:rFonts w:cs="Arial"/>
                <w:lang w:val="en-GB"/>
              </w:rPr>
              <w:t>± 0.1</w:t>
            </w:r>
            <w:r w:rsidRPr="005A34EC">
              <w:rPr>
                <w:rFonts w:cs="Arial"/>
                <w:vertAlign w:val="superscript"/>
                <w:lang w:val="en-GB"/>
              </w:rPr>
              <w:t>a</w:t>
            </w:r>
          </w:p>
        </w:tc>
        <w:tc>
          <w:tcPr>
            <w:tcW w:w="1191" w:type="dxa"/>
            <w:shd w:val="clear" w:color="auto" w:fill="FFFFFF"/>
          </w:tcPr>
          <w:p w14:paraId="7B47FE75"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w:t>
            </w:r>
          </w:p>
        </w:tc>
        <w:tc>
          <w:tcPr>
            <w:tcW w:w="1191" w:type="dxa"/>
            <w:shd w:val="clear" w:color="auto" w:fill="FFFFFF"/>
          </w:tcPr>
          <w:p w14:paraId="13F9D72D"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0.6 </w:t>
            </w:r>
            <w:r>
              <w:rPr>
                <w:rFonts w:cs="Arial"/>
                <w:lang w:val="en-GB"/>
              </w:rPr>
              <w:t>± 0.1</w:t>
            </w:r>
            <w:r w:rsidRPr="005A34EC">
              <w:rPr>
                <w:rFonts w:cs="Arial"/>
                <w:vertAlign w:val="superscript"/>
                <w:lang w:val="en-GB"/>
              </w:rPr>
              <w:t>a</w:t>
            </w:r>
          </w:p>
        </w:tc>
        <w:tc>
          <w:tcPr>
            <w:tcW w:w="1191" w:type="dxa"/>
            <w:shd w:val="clear" w:color="auto" w:fill="FFFFFF"/>
          </w:tcPr>
          <w:p w14:paraId="72C098CF"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w:t>
            </w:r>
          </w:p>
        </w:tc>
        <w:tc>
          <w:tcPr>
            <w:tcW w:w="1331" w:type="dxa"/>
            <w:shd w:val="clear" w:color="auto" w:fill="FFFFFF"/>
          </w:tcPr>
          <w:p w14:paraId="61B337A1"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1.6 </w:t>
            </w:r>
            <w:r>
              <w:rPr>
                <w:rFonts w:cs="Arial"/>
                <w:lang w:val="en-GB"/>
              </w:rPr>
              <w:t>± 0.1</w:t>
            </w:r>
            <w:r w:rsidRPr="002922D7">
              <w:rPr>
                <w:rFonts w:cs="Arial"/>
                <w:vertAlign w:val="superscript"/>
                <w:lang w:val="en-GB"/>
              </w:rPr>
              <w:t>a</w:t>
            </w:r>
          </w:p>
        </w:tc>
        <w:tc>
          <w:tcPr>
            <w:tcW w:w="1276" w:type="dxa"/>
            <w:shd w:val="clear" w:color="auto" w:fill="FFFFFF"/>
          </w:tcPr>
          <w:p w14:paraId="336A1433"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w:t>
            </w:r>
          </w:p>
        </w:tc>
      </w:tr>
      <w:tr w:rsidR="0098220D" w:rsidRPr="00B57B36" w14:paraId="25DE1290" w14:textId="77777777" w:rsidTr="00F44E42">
        <w:tc>
          <w:tcPr>
            <w:tcW w:w="1418" w:type="dxa"/>
            <w:shd w:val="clear" w:color="auto" w:fill="FFFFFF"/>
          </w:tcPr>
          <w:p w14:paraId="15239AC8" w14:textId="77777777" w:rsidR="0098220D" w:rsidRDefault="0098220D" w:rsidP="005D72C4">
            <w:pPr>
              <w:pStyle w:val="CETBodytext"/>
              <w:spacing w:line="276" w:lineRule="auto"/>
              <w:ind w:right="-1"/>
              <w:jc w:val="center"/>
              <w:rPr>
                <w:rFonts w:cs="Arial"/>
                <w:szCs w:val="18"/>
                <w:lang w:val="en-GB"/>
              </w:rPr>
            </w:pPr>
            <w:r>
              <w:rPr>
                <w:rFonts w:cs="Arial"/>
                <w:szCs w:val="18"/>
                <w:lang w:val="en-GB"/>
              </w:rPr>
              <w:t>33.3</w:t>
            </w:r>
          </w:p>
        </w:tc>
        <w:tc>
          <w:tcPr>
            <w:tcW w:w="1191" w:type="dxa"/>
            <w:shd w:val="clear" w:color="auto" w:fill="FFFFFF"/>
          </w:tcPr>
          <w:p w14:paraId="11F5B9C9"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0.2 </w:t>
            </w:r>
            <w:r>
              <w:rPr>
                <w:rFonts w:cs="Arial"/>
                <w:lang w:val="en-GB"/>
              </w:rPr>
              <w:t>± 0.1</w:t>
            </w:r>
            <w:r w:rsidRPr="005A34EC">
              <w:rPr>
                <w:rFonts w:cs="Arial"/>
                <w:vertAlign w:val="superscript"/>
                <w:lang w:val="en-GB"/>
              </w:rPr>
              <w:t>a</w:t>
            </w:r>
          </w:p>
        </w:tc>
        <w:tc>
          <w:tcPr>
            <w:tcW w:w="1191" w:type="dxa"/>
            <w:shd w:val="clear" w:color="auto" w:fill="FFFFFF"/>
          </w:tcPr>
          <w:p w14:paraId="1AE5004E"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w:t>
            </w:r>
          </w:p>
        </w:tc>
        <w:tc>
          <w:tcPr>
            <w:tcW w:w="1191" w:type="dxa"/>
            <w:shd w:val="clear" w:color="auto" w:fill="FFFFFF"/>
          </w:tcPr>
          <w:p w14:paraId="5E497139"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0.5 </w:t>
            </w:r>
            <w:r>
              <w:rPr>
                <w:rFonts w:cs="Arial"/>
                <w:lang w:val="en-GB"/>
              </w:rPr>
              <w:t>± 0.1</w:t>
            </w:r>
            <w:r w:rsidRPr="005A34EC">
              <w:rPr>
                <w:rFonts w:cs="Arial"/>
                <w:vertAlign w:val="superscript"/>
                <w:lang w:val="en-GB"/>
              </w:rPr>
              <w:t>a</w:t>
            </w:r>
          </w:p>
        </w:tc>
        <w:tc>
          <w:tcPr>
            <w:tcW w:w="1191" w:type="dxa"/>
            <w:shd w:val="clear" w:color="auto" w:fill="FFFFFF"/>
          </w:tcPr>
          <w:p w14:paraId="42897D16"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w:t>
            </w:r>
          </w:p>
        </w:tc>
        <w:tc>
          <w:tcPr>
            <w:tcW w:w="1331" w:type="dxa"/>
            <w:shd w:val="clear" w:color="auto" w:fill="FFFFFF"/>
          </w:tcPr>
          <w:p w14:paraId="2F90859E"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 xml:space="preserve">1.3 </w:t>
            </w:r>
            <w:r>
              <w:rPr>
                <w:rFonts w:cs="Arial"/>
                <w:lang w:val="en-GB"/>
              </w:rPr>
              <w:t>± 0.1</w:t>
            </w:r>
            <w:r w:rsidRPr="002922D7">
              <w:rPr>
                <w:rFonts w:cs="Arial"/>
                <w:vertAlign w:val="superscript"/>
                <w:lang w:val="en-GB"/>
              </w:rPr>
              <w:t>a</w:t>
            </w:r>
          </w:p>
        </w:tc>
        <w:tc>
          <w:tcPr>
            <w:tcW w:w="1276" w:type="dxa"/>
            <w:shd w:val="clear" w:color="auto" w:fill="FFFFFF"/>
          </w:tcPr>
          <w:p w14:paraId="5662C2F5" w14:textId="77777777" w:rsidR="0098220D" w:rsidRPr="00B57B36" w:rsidRDefault="0098220D" w:rsidP="005D72C4">
            <w:pPr>
              <w:pStyle w:val="CETBodytext"/>
              <w:spacing w:line="276" w:lineRule="auto"/>
              <w:ind w:right="-1"/>
              <w:jc w:val="center"/>
              <w:rPr>
                <w:rFonts w:cs="Arial"/>
                <w:szCs w:val="18"/>
                <w:lang w:val="en-GB"/>
              </w:rPr>
            </w:pPr>
            <w:r>
              <w:rPr>
                <w:rFonts w:cs="Arial"/>
                <w:szCs w:val="18"/>
                <w:lang w:val="en-GB"/>
              </w:rPr>
              <w:t>-</w:t>
            </w:r>
          </w:p>
        </w:tc>
      </w:tr>
    </w:tbl>
    <w:p w14:paraId="0E80C8F6" w14:textId="7119410B" w:rsidR="009F6CEC" w:rsidRDefault="00A313C5" w:rsidP="005B6240">
      <w:pPr>
        <w:pStyle w:val="CETCaption"/>
        <w:spacing w:after="0"/>
      </w:pPr>
      <w:r>
        <w:rPr>
          <w:noProof/>
          <w:lang w:val="it-IT" w:eastAsia="it-IT"/>
        </w:rPr>
        <w:drawing>
          <wp:inline distT="0" distB="0" distL="0" distR="0" wp14:anchorId="5E132116" wp14:editId="5EC1EDAB">
            <wp:extent cx="5580000" cy="2041937"/>
            <wp:effectExtent l="0" t="0" r="1905" b="0"/>
            <wp:docPr id="24562835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328" r="536"/>
                    <a:stretch/>
                  </pic:blipFill>
                  <pic:spPr bwMode="auto">
                    <a:xfrm>
                      <a:off x="0" y="0"/>
                      <a:ext cx="5580000" cy="2041937"/>
                    </a:xfrm>
                    <a:prstGeom prst="rect">
                      <a:avLst/>
                    </a:prstGeom>
                    <a:noFill/>
                    <a:ln>
                      <a:noFill/>
                    </a:ln>
                    <a:extLst>
                      <a:ext uri="{53640926-AAD7-44D8-BBD7-CCE9431645EC}">
                        <a14:shadowObscured xmlns:a14="http://schemas.microsoft.com/office/drawing/2010/main"/>
                      </a:ext>
                    </a:extLst>
                  </pic:spPr>
                </pic:pic>
              </a:graphicData>
            </a:graphic>
          </wp:inline>
        </w:drawing>
      </w:r>
    </w:p>
    <w:p w14:paraId="63F6D5E0" w14:textId="77777777" w:rsidR="00BD2DA4" w:rsidRDefault="007226DD" w:rsidP="005B4D8F">
      <w:pPr>
        <w:pStyle w:val="CETCaption"/>
        <w:spacing w:before="0"/>
        <w:rPr>
          <w:rStyle w:val="CETCaptionCarattere"/>
          <w:i/>
        </w:rPr>
      </w:pPr>
      <w:bookmarkStart w:id="0" w:name="_Hlk153553593"/>
      <w:r w:rsidRPr="00BD077D">
        <w:rPr>
          <w:rStyle w:val="CETCaptionCarattere"/>
          <w:i/>
        </w:rPr>
        <w:t xml:space="preserve">Figure </w:t>
      </w:r>
      <w:r>
        <w:rPr>
          <w:rStyle w:val="CETCaptionCarattere"/>
          <w:i/>
        </w:rPr>
        <w:t>2</w:t>
      </w:r>
      <w:r w:rsidRPr="00BD077D">
        <w:rPr>
          <w:rStyle w:val="CETCaptionCarattere"/>
          <w:i/>
        </w:rPr>
        <w:t xml:space="preserve">: </w:t>
      </w:r>
      <w:r w:rsidR="00D767A7">
        <w:rPr>
          <w:rStyle w:val="CETCaptionCarattere"/>
          <w:i/>
        </w:rPr>
        <w:t xml:space="preserve">Water solubility of </w:t>
      </w:r>
      <w:r w:rsidR="00D767A7" w:rsidRPr="00D767A7">
        <w:rPr>
          <w:rStyle w:val="CETCaptionCarattere"/>
          <w:i/>
        </w:rPr>
        <w:t>pectin-based films, obtained from film-forming solutions with</w:t>
      </w:r>
      <w:r w:rsidR="002529D9">
        <w:rPr>
          <w:rStyle w:val="CETCaptionCarattere"/>
          <w:i/>
        </w:rPr>
        <w:t xml:space="preserve"> (A)</w:t>
      </w:r>
      <w:r w:rsidR="00D767A7" w:rsidRPr="00D767A7">
        <w:rPr>
          <w:rStyle w:val="CETCaptionCarattere"/>
          <w:i/>
        </w:rPr>
        <w:t xml:space="preserve"> increasing load of glycerol a</w:t>
      </w:r>
      <w:r w:rsidR="009F4789">
        <w:rPr>
          <w:rStyle w:val="CETCaptionCarattere"/>
          <w:i/>
        </w:rPr>
        <w:t>nd at different pH</w:t>
      </w:r>
      <w:r w:rsidR="002529D9">
        <w:rPr>
          <w:rStyle w:val="CETCaptionCarattere"/>
          <w:i/>
        </w:rPr>
        <w:t xml:space="preserve">, or (B) </w:t>
      </w:r>
      <w:r w:rsidR="003937F5">
        <w:rPr>
          <w:rStyle w:val="CETCaptionCarattere"/>
          <w:i/>
        </w:rPr>
        <w:t xml:space="preserve">increasing load of MFC and at pH = 3.5 (B). In the latter case, </w:t>
      </w:r>
      <w:r w:rsidR="0055686A">
        <w:rPr>
          <w:rStyle w:val="CETCaptionCarattere"/>
          <w:i/>
        </w:rPr>
        <w:t xml:space="preserve">the glycerol load was kept constant </w:t>
      </w:r>
      <w:r w:rsidR="00E81065">
        <w:rPr>
          <w:rStyle w:val="CETCaptionCarattere"/>
          <w:i/>
        </w:rPr>
        <w:t>at</w:t>
      </w:r>
      <w:r w:rsidR="0055686A">
        <w:rPr>
          <w:rStyle w:val="CETCaptionCarattere"/>
          <w:i/>
        </w:rPr>
        <w:t xml:space="preserve"> 6.7 g</w:t>
      </w:r>
      <w:r w:rsidR="0055686A" w:rsidRPr="0055686A">
        <w:rPr>
          <w:rStyle w:val="CETCaptionCarattere"/>
          <w:i/>
          <w:vertAlign w:val="subscript"/>
        </w:rPr>
        <w:t>Glycerol</w:t>
      </w:r>
      <w:r w:rsidR="0055686A">
        <w:rPr>
          <w:rStyle w:val="CETCaptionCarattere"/>
          <w:i/>
        </w:rPr>
        <w:t>/g</w:t>
      </w:r>
      <w:r w:rsidR="0055686A" w:rsidRPr="0055686A">
        <w:rPr>
          <w:rStyle w:val="CETCaptionCarattere"/>
          <w:i/>
          <w:vertAlign w:val="subscript"/>
        </w:rPr>
        <w:t>Pectin</w:t>
      </w:r>
      <w:r w:rsidR="0055686A">
        <w:rPr>
          <w:rStyle w:val="CETCaptionCarattere"/>
          <w:i/>
        </w:rPr>
        <w:t>.</w:t>
      </w:r>
      <w:r w:rsidRPr="00BD077D">
        <w:t xml:space="preserve"> </w:t>
      </w:r>
      <w:r w:rsidR="00FD0654" w:rsidRPr="00F538BD">
        <w:rPr>
          <w:rStyle w:val="CETCaptionCarattere"/>
          <w:i/>
        </w:rPr>
        <w:t>The results are expressed as mean ± SD</w:t>
      </w:r>
      <w:r w:rsidR="00FD0654">
        <w:rPr>
          <w:rStyle w:val="CETCaptionCarattere"/>
          <w:i/>
        </w:rPr>
        <w:t>.</w:t>
      </w:r>
      <w:r w:rsidR="005B4D8F">
        <w:rPr>
          <w:rStyle w:val="CETCaptionCarattere"/>
          <w:i/>
        </w:rPr>
        <w:t xml:space="preserve"> </w:t>
      </w:r>
      <w:r w:rsidR="00623686">
        <w:rPr>
          <w:rStyle w:val="CETCaptionCarattere"/>
          <w:i/>
        </w:rPr>
        <w:t xml:space="preserve">In </w:t>
      </w:r>
      <w:r w:rsidR="00336454">
        <w:rPr>
          <w:rStyle w:val="CETCaptionCarattere"/>
          <w:i/>
        </w:rPr>
        <w:t>the left-sided graph, d</w:t>
      </w:r>
      <w:r w:rsidR="005B4D8F" w:rsidRPr="005B4D8F">
        <w:rPr>
          <w:rStyle w:val="CETCaptionCarattere"/>
          <w:i/>
        </w:rPr>
        <w:t xml:space="preserve">ifferent </w:t>
      </w:r>
      <w:r w:rsidR="003261E6">
        <w:rPr>
          <w:rStyle w:val="CETCaptionCarattere"/>
          <w:i/>
        </w:rPr>
        <w:t xml:space="preserve">lowercase and uppercase </w:t>
      </w:r>
      <w:r w:rsidR="005B4D8F" w:rsidRPr="005B4D8F">
        <w:rPr>
          <w:rStyle w:val="CETCaptionCarattere"/>
          <w:i/>
        </w:rPr>
        <w:t>letters above the bars indicate significant differences</w:t>
      </w:r>
      <w:r w:rsidR="005B4D8F">
        <w:rPr>
          <w:rStyle w:val="CETCaptionCarattere"/>
          <w:i/>
        </w:rPr>
        <w:t xml:space="preserve"> </w:t>
      </w:r>
      <w:r w:rsidR="005B4D8F" w:rsidRPr="005B4D8F">
        <w:rPr>
          <w:rStyle w:val="CETCaptionCarattere"/>
          <w:i/>
        </w:rPr>
        <w:t>among the mean values (p ≤ 0.05)</w:t>
      </w:r>
      <w:r w:rsidR="003261E6">
        <w:rPr>
          <w:rStyle w:val="CETCaptionCarattere"/>
          <w:i/>
        </w:rPr>
        <w:t xml:space="preserve"> at pH = 3.5 and pH = 7, respectively</w:t>
      </w:r>
      <w:r w:rsidR="005B4D8F" w:rsidRPr="005B4D8F">
        <w:rPr>
          <w:rStyle w:val="CETCaptionCarattere"/>
          <w:i/>
        </w:rPr>
        <w:t>.</w:t>
      </w:r>
    </w:p>
    <w:p w14:paraId="02DDD39E" w14:textId="77777777" w:rsidR="00AF68A2" w:rsidRDefault="00AF68A2" w:rsidP="00AF68A2">
      <w:pPr>
        <w:pStyle w:val="CETCaption"/>
        <w:rPr>
          <w:i w:val="0"/>
          <w:iCs/>
        </w:rPr>
      </w:pPr>
      <w:r>
        <w:rPr>
          <w:i w:val="0"/>
          <w:iCs/>
        </w:rPr>
        <w:t xml:space="preserve">The plasticizer load dramatically affected the water solubility properties of the investigated films (Figure 2). The time needed to completely dissolve glycerol-free films was about 310 s and 290 s for formulations obtained at pH = 3.5 and pH = 7, respectively (Figure 2A). A significantly (p &lt; 0.05) faster dissolution of films was yielded </w:t>
      </w:r>
      <w:r>
        <w:rPr>
          <w:i w:val="0"/>
          <w:iCs/>
        </w:rPr>
        <w:lastRenderedPageBreak/>
        <w:t xml:space="preserve">when employing the </w:t>
      </w:r>
      <w:r w:rsidRPr="00936581">
        <w:rPr>
          <w:i w:val="0"/>
          <w:iCs/>
        </w:rPr>
        <w:t>l</w:t>
      </w:r>
      <w:r>
        <w:rPr>
          <w:i w:val="0"/>
          <w:iCs/>
        </w:rPr>
        <w:t>owest</w:t>
      </w:r>
      <w:r w:rsidRPr="00936581">
        <w:rPr>
          <w:i w:val="0"/>
          <w:iCs/>
        </w:rPr>
        <w:t xml:space="preserve"> glycerol</w:t>
      </w:r>
      <w:r>
        <w:rPr>
          <w:i w:val="0"/>
          <w:iCs/>
        </w:rPr>
        <w:t xml:space="preserve"> concentration within film-forming solutions, above which no statistical differences could be detected among samples, regardless of the tested pH. A reversed trend was unveiled when dealing with film-forming solutions enriched with MFC (Figure 2B). In this case, a worsening effect towards water solubilization times was induced (+28% on average as compared to control samples), owing to the intrinsic inability of cellulose and its derived forms such as MFC to dissolve in water (Seiler et al., 2020).</w:t>
      </w:r>
    </w:p>
    <w:bookmarkEnd w:id="0"/>
    <w:p w14:paraId="547ED320" w14:textId="554E402C" w:rsidR="0098220D" w:rsidRPr="00C804DB" w:rsidRDefault="0098220D" w:rsidP="004750DE">
      <w:pPr>
        <w:pStyle w:val="CETTabletitle"/>
        <w:jc w:val="both"/>
      </w:pPr>
      <w:r w:rsidRPr="00B57B36">
        <w:t xml:space="preserve">Table </w:t>
      </w:r>
      <w:r w:rsidR="006B4B23">
        <w:t>2</w:t>
      </w:r>
      <w:r w:rsidRPr="00B57B36">
        <w:t xml:space="preserve">: </w:t>
      </w:r>
      <w:r w:rsidR="00D77875">
        <w:t xml:space="preserve">Values of </w:t>
      </w:r>
      <w:r w:rsidR="00032C02">
        <w:t>oxygen transmission rate (</w:t>
      </w:r>
      <w:r w:rsidR="006A4EC9">
        <w:t>OTR)</w:t>
      </w:r>
      <w:r w:rsidR="0089336F">
        <w:t xml:space="preserve"> of the pectin-based films</w:t>
      </w:r>
      <w:r w:rsidR="00C804DB">
        <w:t xml:space="preserve"> (</w:t>
      </w:r>
      <w:r w:rsidR="00C804DB">
        <w:rPr>
          <w:rStyle w:val="CETCaptionCarattere"/>
          <w:i/>
        </w:rPr>
        <w:t>6.7 g</w:t>
      </w:r>
      <w:r w:rsidR="00C804DB" w:rsidRPr="0055686A">
        <w:rPr>
          <w:rStyle w:val="CETCaptionCarattere"/>
          <w:i/>
          <w:vertAlign w:val="subscript"/>
        </w:rPr>
        <w:t>Glycerol</w:t>
      </w:r>
      <w:r w:rsidR="00C804DB">
        <w:rPr>
          <w:rStyle w:val="CETCaptionCarattere"/>
          <w:i/>
        </w:rPr>
        <w:t>/g</w:t>
      </w:r>
      <w:r w:rsidR="00C804DB" w:rsidRPr="0055686A">
        <w:rPr>
          <w:rStyle w:val="CETCaptionCarattere"/>
          <w:i/>
          <w:vertAlign w:val="subscript"/>
        </w:rPr>
        <w:t>Pectin</w:t>
      </w:r>
      <w:r w:rsidR="00C804DB">
        <w:rPr>
          <w:rStyle w:val="CETCaptionCarattere"/>
          <w:i/>
        </w:rPr>
        <w:t>, pH = 3.5)</w:t>
      </w:r>
      <w:r w:rsidR="00EF0BAD">
        <w:rPr>
          <w:rStyle w:val="CETCaptionCarattere"/>
          <w:i/>
        </w:rPr>
        <w:t xml:space="preserve">, with or without MFC addition, </w:t>
      </w:r>
      <w:r w:rsidR="00A7252E">
        <w:rPr>
          <w:rStyle w:val="CETCaptionCarattere"/>
          <w:i/>
        </w:rPr>
        <w:t>as a function of the relative humidity</w:t>
      </w:r>
      <w:r w:rsidR="00F12E32">
        <w:rPr>
          <w:rStyle w:val="CETCaptionCarattere"/>
          <w:i/>
        </w:rPr>
        <w:t xml:space="preserve">. </w:t>
      </w:r>
      <w:r w:rsidR="00F538BD" w:rsidRPr="00F538BD">
        <w:rPr>
          <w:rStyle w:val="CETCaptionCarattere"/>
          <w:i/>
        </w:rPr>
        <w:t>The results are expressed as mean ± SD.</w:t>
      </w:r>
      <w:r w:rsidR="004750DE">
        <w:rPr>
          <w:rStyle w:val="CETCaptionCarattere"/>
          <w:i/>
        </w:rPr>
        <w:t xml:space="preserve"> D</w:t>
      </w:r>
      <w:r w:rsidR="004750DE" w:rsidRPr="004750DE">
        <w:rPr>
          <w:rStyle w:val="CETCaptionCarattere"/>
          <w:i/>
        </w:rPr>
        <w:t>ifferent lowercase letters within the same column express significant (p &lt; 0.0</w:t>
      </w:r>
      <w:r w:rsidR="00612BC7">
        <w:rPr>
          <w:rStyle w:val="CETCaptionCarattere"/>
          <w:i/>
        </w:rPr>
        <w:t>5</w:t>
      </w:r>
      <w:r w:rsidR="004750DE" w:rsidRPr="004750DE">
        <w:rPr>
          <w:rStyle w:val="CETCaptionCarattere"/>
          <w:i/>
        </w:rPr>
        <w:t xml:space="preserve">) differences </w:t>
      </w:r>
      <w:r w:rsidR="004750DE">
        <w:rPr>
          <w:rStyle w:val="CETCaptionCarattere"/>
          <w:i/>
        </w:rPr>
        <w:t xml:space="preserve">between </w:t>
      </w:r>
      <w:r w:rsidR="004750DE" w:rsidRPr="004750DE">
        <w:rPr>
          <w:rStyle w:val="CETCaptionCarattere"/>
          <w:i/>
        </w:rPr>
        <w:t>mean values</w:t>
      </w:r>
      <w:r w:rsidR="004750DE">
        <w:rPr>
          <w:rStyle w:val="CETCaptionCarattere"/>
          <w:i/>
        </w:rPr>
        <w:t>.</w:t>
      </w:r>
      <w:r w:rsidR="00EB032A">
        <w:rPr>
          <w:rStyle w:val="CETCaptionCarattere"/>
          <w:i/>
        </w:rPr>
        <w:t xml:space="preserve"> When reported, </w:t>
      </w:r>
      <w:r w:rsidR="00EB032A">
        <w:t xml:space="preserve">the symbol * indicates a significant difference (p &lt; 0.05) within the same </w:t>
      </w:r>
      <w:r w:rsidR="00757D62">
        <w:t>row (effect of RH)</w:t>
      </w:r>
      <w:r w:rsidR="00EB032A">
        <w:t>.</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701"/>
        <w:gridCol w:w="1701"/>
      </w:tblGrid>
      <w:tr w:rsidR="00505599" w:rsidRPr="00B57B36" w14:paraId="634A30AE" w14:textId="77777777" w:rsidTr="007B3A8D">
        <w:tc>
          <w:tcPr>
            <w:tcW w:w="1134" w:type="dxa"/>
            <w:vMerge w:val="restart"/>
            <w:tcBorders>
              <w:top w:val="single" w:sz="12" w:space="0" w:color="008000"/>
            </w:tcBorders>
            <w:shd w:val="clear" w:color="auto" w:fill="FFFFFF"/>
            <w:vAlign w:val="center"/>
          </w:tcPr>
          <w:p w14:paraId="207662CB" w14:textId="09839DAC" w:rsidR="00505599" w:rsidRPr="00B57B36" w:rsidRDefault="00505599" w:rsidP="005D72C4">
            <w:pPr>
              <w:pStyle w:val="CETBodytext"/>
              <w:jc w:val="center"/>
              <w:rPr>
                <w:lang w:val="en-GB"/>
              </w:rPr>
            </w:pPr>
            <w:r>
              <w:rPr>
                <w:lang w:val="en-GB"/>
              </w:rPr>
              <w:t>MFC load [mg</w:t>
            </w:r>
            <w:r w:rsidRPr="00F23D08">
              <w:rPr>
                <w:vertAlign w:val="subscript"/>
                <w:lang w:val="en-GB"/>
              </w:rPr>
              <w:t>MFC</w:t>
            </w:r>
            <w:r>
              <w:rPr>
                <w:lang w:val="en-GB"/>
              </w:rPr>
              <w:t>/g</w:t>
            </w:r>
            <w:r w:rsidRPr="00F23D08">
              <w:rPr>
                <w:vertAlign w:val="subscript"/>
                <w:lang w:val="en-GB"/>
              </w:rPr>
              <w:t>Pectin</w:t>
            </w:r>
            <w:r>
              <w:rPr>
                <w:lang w:val="en-GB"/>
              </w:rPr>
              <w:t>]</w:t>
            </w:r>
          </w:p>
        </w:tc>
        <w:tc>
          <w:tcPr>
            <w:tcW w:w="3402" w:type="dxa"/>
            <w:gridSpan w:val="2"/>
            <w:tcBorders>
              <w:top w:val="single" w:sz="12" w:space="0" w:color="008000"/>
              <w:bottom w:val="nil"/>
            </w:tcBorders>
            <w:shd w:val="clear" w:color="auto" w:fill="FFFFFF"/>
            <w:vAlign w:val="center"/>
          </w:tcPr>
          <w:p w14:paraId="78B8DC5C" w14:textId="4872B639" w:rsidR="00505599" w:rsidRPr="00B57B36" w:rsidRDefault="00505599" w:rsidP="005D72C4">
            <w:pPr>
              <w:pStyle w:val="CETBodytext"/>
              <w:jc w:val="center"/>
              <w:rPr>
                <w:lang w:val="en-GB"/>
              </w:rPr>
            </w:pPr>
            <w:r>
              <w:rPr>
                <w:lang w:val="en-GB"/>
              </w:rPr>
              <w:t>OTR [cm</w:t>
            </w:r>
            <w:r w:rsidRPr="00F23D08">
              <w:rPr>
                <w:vertAlign w:val="superscript"/>
                <w:lang w:val="en-GB"/>
              </w:rPr>
              <w:t>3</w:t>
            </w:r>
            <w:r>
              <w:rPr>
                <w:lang w:val="en-GB"/>
              </w:rPr>
              <w:t xml:space="preserve"> m</w:t>
            </w:r>
            <w:r w:rsidRPr="00F23D08">
              <w:rPr>
                <w:vertAlign w:val="superscript"/>
                <w:lang w:val="en-GB"/>
              </w:rPr>
              <w:t>-2</w:t>
            </w:r>
            <w:r>
              <w:rPr>
                <w:lang w:val="en-GB"/>
              </w:rPr>
              <w:t xml:space="preserve"> day</w:t>
            </w:r>
            <w:r w:rsidRPr="00F23D08">
              <w:rPr>
                <w:vertAlign w:val="superscript"/>
                <w:lang w:val="en-GB"/>
              </w:rPr>
              <w:t>-1</w:t>
            </w:r>
            <w:r>
              <w:rPr>
                <w:lang w:val="en-GB"/>
              </w:rPr>
              <w:t>]</w:t>
            </w:r>
          </w:p>
        </w:tc>
      </w:tr>
      <w:tr w:rsidR="00505599" w:rsidRPr="00B57B36" w14:paraId="61C249DD" w14:textId="77777777" w:rsidTr="006344DD">
        <w:tc>
          <w:tcPr>
            <w:tcW w:w="1134" w:type="dxa"/>
            <w:vMerge/>
            <w:tcBorders>
              <w:bottom w:val="single" w:sz="6" w:space="0" w:color="008000"/>
            </w:tcBorders>
            <w:shd w:val="clear" w:color="auto" w:fill="FFFFFF"/>
            <w:vAlign w:val="center"/>
          </w:tcPr>
          <w:p w14:paraId="303A6F2F" w14:textId="77777777" w:rsidR="00505599" w:rsidRPr="00B57B36" w:rsidRDefault="00505599" w:rsidP="005D72C4">
            <w:pPr>
              <w:pStyle w:val="CETBodytext"/>
              <w:jc w:val="center"/>
              <w:rPr>
                <w:lang w:val="en-GB"/>
              </w:rPr>
            </w:pPr>
          </w:p>
        </w:tc>
        <w:tc>
          <w:tcPr>
            <w:tcW w:w="1701" w:type="dxa"/>
            <w:tcBorders>
              <w:top w:val="nil"/>
              <w:bottom w:val="single" w:sz="6" w:space="0" w:color="008000"/>
            </w:tcBorders>
            <w:shd w:val="clear" w:color="auto" w:fill="FFFFFF"/>
            <w:vAlign w:val="center"/>
          </w:tcPr>
          <w:p w14:paraId="4CC82E19" w14:textId="1ABDA6A8" w:rsidR="00505599" w:rsidRPr="00B57B36" w:rsidRDefault="006344DD" w:rsidP="005D72C4">
            <w:pPr>
              <w:pStyle w:val="CETBodytext"/>
              <w:jc w:val="center"/>
              <w:rPr>
                <w:lang w:val="en-GB"/>
              </w:rPr>
            </w:pPr>
            <w:r>
              <w:rPr>
                <w:lang w:val="en-GB"/>
              </w:rPr>
              <w:t>23°C – 0% RH</w:t>
            </w:r>
          </w:p>
        </w:tc>
        <w:tc>
          <w:tcPr>
            <w:tcW w:w="1701" w:type="dxa"/>
            <w:tcBorders>
              <w:top w:val="nil"/>
              <w:bottom w:val="single" w:sz="6" w:space="0" w:color="008000"/>
            </w:tcBorders>
            <w:shd w:val="clear" w:color="auto" w:fill="FFFFFF"/>
            <w:vAlign w:val="center"/>
          </w:tcPr>
          <w:p w14:paraId="369D4E9F" w14:textId="6DA4F44A" w:rsidR="00505599" w:rsidRPr="00B57B36" w:rsidRDefault="007B3A8D" w:rsidP="005D72C4">
            <w:pPr>
              <w:pStyle w:val="CETBodytext"/>
              <w:jc w:val="center"/>
              <w:rPr>
                <w:lang w:val="en-GB"/>
              </w:rPr>
            </w:pPr>
            <w:r>
              <w:rPr>
                <w:lang w:val="en-GB"/>
              </w:rPr>
              <w:t>23°C – 50% RH</w:t>
            </w:r>
          </w:p>
        </w:tc>
      </w:tr>
      <w:tr w:rsidR="006B4B23" w:rsidRPr="00B57B36" w14:paraId="02521ADE" w14:textId="77777777" w:rsidTr="006344DD">
        <w:tc>
          <w:tcPr>
            <w:tcW w:w="1134" w:type="dxa"/>
            <w:shd w:val="clear" w:color="auto" w:fill="FFFFFF"/>
          </w:tcPr>
          <w:p w14:paraId="75987CAC" w14:textId="77777777" w:rsidR="006B4B23" w:rsidRPr="00B57B36" w:rsidRDefault="006B4B23" w:rsidP="005D72C4">
            <w:pPr>
              <w:pStyle w:val="CETBodytext"/>
              <w:spacing w:line="276" w:lineRule="auto"/>
              <w:jc w:val="center"/>
              <w:rPr>
                <w:lang w:val="en-GB"/>
              </w:rPr>
            </w:pPr>
            <w:r>
              <w:rPr>
                <w:lang w:val="en-GB"/>
              </w:rPr>
              <w:t>0</w:t>
            </w:r>
          </w:p>
        </w:tc>
        <w:tc>
          <w:tcPr>
            <w:tcW w:w="1701" w:type="dxa"/>
            <w:shd w:val="clear" w:color="auto" w:fill="FFFFFF"/>
          </w:tcPr>
          <w:p w14:paraId="75F3C712" w14:textId="10CEB079" w:rsidR="006B4B23" w:rsidRPr="00B57B36" w:rsidRDefault="00142A01" w:rsidP="005D72C4">
            <w:pPr>
              <w:pStyle w:val="CETBodytext"/>
              <w:spacing w:line="276" w:lineRule="auto"/>
              <w:jc w:val="center"/>
              <w:rPr>
                <w:lang w:val="en-GB"/>
              </w:rPr>
            </w:pPr>
            <w:r>
              <w:rPr>
                <w:lang w:val="en-GB"/>
              </w:rPr>
              <w:t xml:space="preserve">27.9 </w:t>
            </w:r>
            <w:r>
              <w:rPr>
                <w:rFonts w:cs="Arial"/>
                <w:lang w:val="en-GB"/>
              </w:rPr>
              <w:t>± 5.4</w:t>
            </w:r>
            <w:r w:rsidR="00D364E8" w:rsidRPr="000307E1">
              <w:rPr>
                <w:rFonts w:cs="Arial"/>
                <w:vertAlign w:val="superscript"/>
                <w:lang w:val="en-GB"/>
              </w:rPr>
              <w:t>b</w:t>
            </w:r>
            <w:r w:rsidR="00CD17C0">
              <w:rPr>
                <w:rFonts w:cs="Arial"/>
                <w:vertAlign w:val="superscript"/>
                <w:lang w:val="en-GB"/>
              </w:rPr>
              <w:t>,*</w:t>
            </w:r>
          </w:p>
        </w:tc>
        <w:tc>
          <w:tcPr>
            <w:tcW w:w="1701" w:type="dxa"/>
            <w:shd w:val="clear" w:color="auto" w:fill="FFFFFF"/>
          </w:tcPr>
          <w:p w14:paraId="2428EFA8" w14:textId="5C83F41D" w:rsidR="006B4B23" w:rsidRPr="00B57B36" w:rsidRDefault="00D00DD4" w:rsidP="005D72C4">
            <w:pPr>
              <w:pStyle w:val="CETBodytext"/>
              <w:spacing w:line="276" w:lineRule="auto"/>
              <w:jc w:val="center"/>
              <w:rPr>
                <w:lang w:val="en-GB"/>
              </w:rPr>
            </w:pPr>
            <w:r>
              <w:rPr>
                <w:lang w:val="en-GB"/>
              </w:rPr>
              <w:t xml:space="preserve">271.5 </w:t>
            </w:r>
            <w:r>
              <w:rPr>
                <w:rFonts w:cs="Arial"/>
                <w:lang w:val="en-GB"/>
              </w:rPr>
              <w:t>±</w:t>
            </w:r>
            <w:r>
              <w:rPr>
                <w:lang w:val="en-GB"/>
              </w:rPr>
              <w:t xml:space="preserve"> 15.4</w:t>
            </w:r>
            <w:r w:rsidRPr="004E3B1A">
              <w:rPr>
                <w:vertAlign w:val="superscript"/>
                <w:lang w:val="en-GB"/>
              </w:rPr>
              <w:t>b</w:t>
            </w:r>
            <w:r w:rsidR="00CD17C0">
              <w:rPr>
                <w:vertAlign w:val="superscript"/>
                <w:lang w:val="en-GB"/>
              </w:rPr>
              <w:t>,*</w:t>
            </w:r>
          </w:p>
        </w:tc>
      </w:tr>
      <w:tr w:rsidR="006B4B23" w:rsidRPr="00B57B36" w14:paraId="6F0B0030" w14:textId="77777777" w:rsidTr="006344DD">
        <w:tc>
          <w:tcPr>
            <w:tcW w:w="1134" w:type="dxa"/>
            <w:shd w:val="clear" w:color="auto" w:fill="FFFFFF"/>
          </w:tcPr>
          <w:p w14:paraId="22DD55AC" w14:textId="587B573C" w:rsidR="006B4B23" w:rsidRPr="00B57B36" w:rsidRDefault="006434F9" w:rsidP="005D72C4">
            <w:pPr>
              <w:pStyle w:val="CETBodytext"/>
              <w:spacing w:line="276" w:lineRule="auto"/>
              <w:ind w:right="-1"/>
              <w:jc w:val="center"/>
              <w:rPr>
                <w:rFonts w:cs="Arial"/>
                <w:szCs w:val="18"/>
                <w:lang w:val="en-GB"/>
              </w:rPr>
            </w:pPr>
            <w:r>
              <w:rPr>
                <w:rFonts w:cs="Arial"/>
                <w:szCs w:val="18"/>
                <w:lang w:val="en-GB"/>
              </w:rPr>
              <w:t>2.7</w:t>
            </w:r>
          </w:p>
        </w:tc>
        <w:tc>
          <w:tcPr>
            <w:tcW w:w="1701" w:type="dxa"/>
            <w:shd w:val="clear" w:color="auto" w:fill="FFFFFF"/>
          </w:tcPr>
          <w:p w14:paraId="202C629B" w14:textId="26FE18C5" w:rsidR="006B4B23" w:rsidRPr="00B57B36" w:rsidRDefault="00D364E8" w:rsidP="005D72C4">
            <w:pPr>
              <w:pStyle w:val="CETBodytext"/>
              <w:spacing w:line="276" w:lineRule="auto"/>
              <w:ind w:right="-1"/>
              <w:jc w:val="center"/>
              <w:rPr>
                <w:rFonts w:cs="Arial"/>
                <w:szCs w:val="18"/>
                <w:lang w:val="en-GB"/>
              </w:rPr>
            </w:pPr>
            <w:r>
              <w:rPr>
                <w:rFonts w:cs="Arial"/>
                <w:szCs w:val="18"/>
                <w:lang w:val="en-GB"/>
              </w:rPr>
              <w:t xml:space="preserve">8.9 </w:t>
            </w:r>
            <w:r>
              <w:rPr>
                <w:rFonts w:cs="Arial"/>
                <w:lang w:val="en-GB"/>
              </w:rPr>
              <w:t>± 2.1</w:t>
            </w:r>
            <w:r w:rsidRPr="000307E1">
              <w:rPr>
                <w:rFonts w:cs="Arial"/>
                <w:vertAlign w:val="superscript"/>
                <w:lang w:val="en-GB"/>
              </w:rPr>
              <w:t>a</w:t>
            </w:r>
            <w:r w:rsidR="00CD17C0">
              <w:rPr>
                <w:rFonts w:cs="Arial"/>
                <w:vertAlign w:val="superscript"/>
                <w:lang w:val="en-GB"/>
              </w:rPr>
              <w:t>,*</w:t>
            </w:r>
          </w:p>
        </w:tc>
        <w:tc>
          <w:tcPr>
            <w:tcW w:w="1701" w:type="dxa"/>
            <w:shd w:val="clear" w:color="auto" w:fill="FFFFFF"/>
          </w:tcPr>
          <w:p w14:paraId="61CFAAD9" w14:textId="19E96283" w:rsidR="006B4B23" w:rsidRPr="00B57B36" w:rsidRDefault="00D00DD4" w:rsidP="005D72C4">
            <w:pPr>
              <w:pStyle w:val="CETBodytext"/>
              <w:spacing w:line="276" w:lineRule="auto"/>
              <w:ind w:right="-1"/>
              <w:jc w:val="center"/>
              <w:rPr>
                <w:rFonts w:cs="Arial"/>
                <w:szCs w:val="18"/>
                <w:lang w:val="en-GB"/>
              </w:rPr>
            </w:pPr>
            <w:r>
              <w:rPr>
                <w:rFonts w:cs="Arial"/>
                <w:szCs w:val="18"/>
                <w:lang w:val="en-GB"/>
              </w:rPr>
              <w:t>234.</w:t>
            </w:r>
            <w:r w:rsidR="000B6403">
              <w:rPr>
                <w:rFonts w:cs="Arial"/>
                <w:szCs w:val="18"/>
                <w:lang w:val="en-GB"/>
              </w:rPr>
              <w:t>1</w:t>
            </w:r>
            <w:r>
              <w:rPr>
                <w:rFonts w:cs="Arial"/>
                <w:szCs w:val="18"/>
                <w:lang w:val="en-GB"/>
              </w:rPr>
              <w:t xml:space="preserve"> </w:t>
            </w:r>
            <w:r>
              <w:rPr>
                <w:rFonts w:cs="Arial"/>
                <w:lang w:val="en-GB"/>
              </w:rPr>
              <w:t>± 12.9</w:t>
            </w:r>
            <w:r w:rsidRPr="004E3B1A">
              <w:rPr>
                <w:rFonts w:cs="Arial"/>
                <w:vertAlign w:val="superscript"/>
                <w:lang w:val="en-GB"/>
              </w:rPr>
              <w:t>a</w:t>
            </w:r>
            <w:r w:rsidR="00CD17C0">
              <w:rPr>
                <w:rFonts w:cs="Arial"/>
                <w:vertAlign w:val="superscript"/>
                <w:lang w:val="en-GB"/>
              </w:rPr>
              <w:t>,*</w:t>
            </w:r>
          </w:p>
        </w:tc>
      </w:tr>
    </w:tbl>
    <w:p w14:paraId="0A1EA3CE" w14:textId="6A0DABAD" w:rsidR="0098220D" w:rsidRPr="00106816" w:rsidRDefault="008B4DA1" w:rsidP="00BD077D">
      <w:pPr>
        <w:pStyle w:val="CETCaption"/>
        <w:rPr>
          <w:i w:val="0"/>
          <w:iCs/>
        </w:rPr>
      </w:pPr>
      <w:r>
        <w:rPr>
          <w:i w:val="0"/>
          <w:iCs/>
        </w:rPr>
        <w:t>T</w:t>
      </w:r>
      <w:r w:rsidR="00853A05">
        <w:rPr>
          <w:i w:val="0"/>
          <w:iCs/>
        </w:rPr>
        <w:t xml:space="preserve">he incorporation of </w:t>
      </w:r>
      <w:r w:rsidR="00C77B93">
        <w:rPr>
          <w:i w:val="0"/>
          <w:iCs/>
        </w:rPr>
        <w:t xml:space="preserve">MFC within </w:t>
      </w:r>
      <w:r w:rsidR="00E81065">
        <w:rPr>
          <w:i w:val="0"/>
          <w:iCs/>
        </w:rPr>
        <w:t xml:space="preserve">the </w:t>
      </w:r>
      <w:r w:rsidR="00C77B93">
        <w:rPr>
          <w:i w:val="0"/>
          <w:iCs/>
        </w:rPr>
        <w:t xml:space="preserve">film-forming solution enhanced the </w:t>
      </w:r>
      <w:r w:rsidR="00C10370">
        <w:rPr>
          <w:i w:val="0"/>
          <w:iCs/>
        </w:rPr>
        <w:t>O</w:t>
      </w:r>
      <w:r w:rsidR="00C10370" w:rsidRPr="00C10370">
        <w:rPr>
          <w:i w:val="0"/>
          <w:iCs/>
          <w:vertAlign w:val="subscript"/>
        </w:rPr>
        <w:t>2</w:t>
      </w:r>
      <w:r w:rsidR="00C77B93">
        <w:rPr>
          <w:i w:val="0"/>
          <w:iCs/>
        </w:rPr>
        <w:t xml:space="preserve"> barrier </w:t>
      </w:r>
      <w:r>
        <w:rPr>
          <w:i w:val="0"/>
          <w:iCs/>
        </w:rPr>
        <w:t xml:space="preserve">performance of the </w:t>
      </w:r>
      <w:r w:rsidR="0091410D">
        <w:rPr>
          <w:i w:val="0"/>
          <w:iCs/>
        </w:rPr>
        <w:t xml:space="preserve">bare </w:t>
      </w:r>
      <w:r>
        <w:rPr>
          <w:i w:val="0"/>
          <w:iCs/>
        </w:rPr>
        <w:t>pectin-based film</w:t>
      </w:r>
      <w:r w:rsidR="005B439B">
        <w:rPr>
          <w:i w:val="0"/>
          <w:iCs/>
        </w:rPr>
        <w:t>, with a more marked reduction</w:t>
      </w:r>
      <w:r w:rsidR="00AD7BDC">
        <w:rPr>
          <w:i w:val="0"/>
          <w:iCs/>
        </w:rPr>
        <w:t xml:space="preserve"> (p &lt; 0.05)</w:t>
      </w:r>
      <w:r w:rsidR="005B439B">
        <w:rPr>
          <w:i w:val="0"/>
          <w:iCs/>
        </w:rPr>
        <w:t xml:space="preserve"> in OTR values under dry conditions</w:t>
      </w:r>
      <w:r w:rsidR="007F2691">
        <w:rPr>
          <w:i w:val="0"/>
          <w:iCs/>
        </w:rPr>
        <w:t xml:space="preserve"> (</w:t>
      </w:r>
      <w:r w:rsidR="001A0AE8">
        <w:rPr>
          <w:i w:val="0"/>
          <w:iCs/>
        </w:rPr>
        <w:t>-68%</w:t>
      </w:r>
      <w:r w:rsidR="00EB6365">
        <w:rPr>
          <w:i w:val="0"/>
          <w:iCs/>
        </w:rPr>
        <w:t xml:space="preserve"> at 0% RH</w:t>
      </w:r>
      <w:r w:rsidR="001A0AE8">
        <w:rPr>
          <w:i w:val="0"/>
          <w:iCs/>
        </w:rPr>
        <w:t>) rather than in humid environments (</w:t>
      </w:r>
      <w:r w:rsidR="004A7D4B">
        <w:rPr>
          <w:i w:val="0"/>
          <w:iCs/>
        </w:rPr>
        <w:t>-14% at 50% RH)</w:t>
      </w:r>
      <w:r w:rsidR="00715AF3">
        <w:rPr>
          <w:i w:val="0"/>
          <w:iCs/>
        </w:rPr>
        <w:t>,</w:t>
      </w:r>
      <w:r w:rsidR="005F7140">
        <w:rPr>
          <w:i w:val="0"/>
          <w:iCs/>
        </w:rPr>
        <w:t xml:space="preserve"> </w:t>
      </w:r>
      <w:r w:rsidR="00A73285">
        <w:rPr>
          <w:i w:val="0"/>
          <w:iCs/>
        </w:rPr>
        <w:t>due</w:t>
      </w:r>
      <w:r w:rsidR="00715AF3">
        <w:rPr>
          <w:i w:val="0"/>
          <w:iCs/>
        </w:rPr>
        <w:t xml:space="preserve"> to the </w:t>
      </w:r>
      <w:r w:rsidR="004A07F9">
        <w:rPr>
          <w:i w:val="0"/>
          <w:iCs/>
        </w:rPr>
        <w:t>water-sensitive nature of pectin</w:t>
      </w:r>
      <w:r w:rsidR="00715AF3">
        <w:rPr>
          <w:i w:val="0"/>
          <w:iCs/>
        </w:rPr>
        <w:t>.</w:t>
      </w:r>
      <w:r w:rsidR="00583F24">
        <w:rPr>
          <w:i w:val="0"/>
          <w:iCs/>
        </w:rPr>
        <w:t xml:space="preserve"> </w:t>
      </w:r>
      <w:r w:rsidR="0091410D">
        <w:rPr>
          <w:i w:val="0"/>
          <w:iCs/>
        </w:rPr>
        <w:t>Overall, o</w:t>
      </w:r>
      <w:r w:rsidR="00583F24">
        <w:rPr>
          <w:i w:val="0"/>
          <w:iCs/>
        </w:rPr>
        <w:t xml:space="preserve">ur results </w:t>
      </w:r>
      <w:r w:rsidR="007F73E6">
        <w:rPr>
          <w:i w:val="0"/>
          <w:iCs/>
        </w:rPr>
        <w:t>are consistent</w:t>
      </w:r>
      <w:r w:rsidR="00583F24">
        <w:rPr>
          <w:i w:val="0"/>
          <w:iCs/>
        </w:rPr>
        <w:t xml:space="preserve"> with previous literature findings </w:t>
      </w:r>
      <w:r w:rsidR="007F73E6">
        <w:rPr>
          <w:i w:val="0"/>
          <w:iCs/>
        </w:rPr>
        <w:t xml:space="preserve">which </w:t>
      </w:r>
      <w:r w:rsidR="00583F24">
        <w:rPr>
          <w:i w:val="0"/>
          <w:iCs/>
        </w:rPr>
        <w:t>demonstra</w:t>
      </w:r>
      <w:r w:rsidR="007F73E6">
        <w:rPr>
          <w:i w:val="0"/>
          <w:iCs/>
        </w:rPr>
        <w:t>ted</w:t>
      </w:r>
      <w:r w:rsidR="00583F24">
        <w:rPr>
          <w:i w:val="0"/>
          <w:iCs/>
        </w:rPr>
        <w:t xml:space="preserve"> the capability of micro</w:t>
      </w:r>
      <w:r w:rsidR="007F73E6">
        <w:rPr>
          <w:i w:val="0"/>
          <w:iCs/>
        </w:rPr>
        <w:t xml:space="preserve">- and </w:t>
      </w:r>
      <w:r w:rsidR="00583F24">
        <w:rPr>
          <w:i w:val="0"/>
          <w:iCs/>
        </w:rPr>
        <w:t>nano</w:t>
      </w:r>
      <w:r w:rsidR="00B37632">
        <w:rPr>
          <w:i w:val="0"/>
          <w:iCs/>
        </w:rPr>
        <w:t>-</w:t>
      </w:r>
      <w:r w:rsidR="00583F24">
        <w:rPr>
          <w:i w:val="0"/>
          <w:iCs/>
        </w:rPr>
        <w:t>filler</w:t>
      </w:r>
      <w:r w:rsidR="00893A62">
        <w:rPr>
          <w:i w:val="0"/>
          <w:iCs/>
        </w:rPr>
        <w:t xml:space="preserve">s to </w:t>
      </w:r>
      <w:r w:rsidR="00B37632">
        <w:rPr>
          <w:i w:val="0"/>
          <w:iCs/>
        </w:rPr>
        <w:t xml:space="preserve">reduce </w:t>
      </w:r>
      <w:r w:rsidR="00893A62">
        <w:rPr>
          <w:i w:val="0"/>
          <w:iCs/>
        </w:rPr>
        <w:t xml:space="preserve">the </w:t>
      </w:r>
      <w:r w:rsidR="0091410D">
        <w:rPr>
          <w:i w:val="0"/>
          <w:iCs/>
        </w:rPr>
        <w:t>O</w:t>
      </w:r>
      <w:r w:rsidR="0091410D" w:rsidRPr="0091410D">
        <w:rPr>
          <w:i w:val="0"/>
          <w:iCs/>
          <w:vertAlign w:val="subscript"/>
        </w:rPr>
        <w:t>2</w:t>
      </w:r>
      <w:r w:rsidR="00893A62">
        <w:rPr>
          <w:i w:val="0"/>
          <w:iCs/>
        </w:rPr>
        <w:t xml:space="preserve"> </w:t>
      </w:r>
      <w:r w:rsidR="00B37632">
        <w:rPr>
          <w:i w:val="0"/>
          <w:iCs/>
        </w:rPr>
        <w:t xml:space="preserve">permeability </w:t>
      </w:r>
      <w:r w:rsidR="00893A62">
        <w:rPr>
          <w:i w:val="0"/>
          <w:iCs/>
        </w:rPr>
        <w:t xml:space="preserve">of </w:t>
      </w:r>
      <w:r w:rsidR="007F73E6">
        <w:rPr>
          <w:i w:val="0"/>
          <w:iCs/>
        </w:rPr>
        <w:t xml:space="preserve">different </w:t>
      </w:r>
      <w:r w:rsidR="003F00DA">
        <w:rPr>
          <w:i w:val="0"/>
          <w:iCs/>
        </w:rPr>
        <w:t>biopolymers</w:t>
      </w:r>
      <w:r w:rsidR="007F73E6">
        <w:rPr>
          <w:i w:val="0"/>
          <w:iCs/>
        </w:rPr>
        <w:t>, such as</w:t>
      </w:r>
      <w:r w:rsidR="00C10370">
        <w:rPr>
          <w:i w:val="0"/>
          <w:iCs/>
        </w:rPr>
        <w:t xml:space="preserve"> </w:t>
      </w:r>
      <w:r w:rsidR="00A5421D">
        <w:rPr>
          <w:i w:val="0"/>
          <w:iCs/>
        </w:rPr>
        <w:t>starch, gelatin, pectin, and chitosan (</w:t>
      </w:r>
      <w:r w:rsidR="008A4176">
        <w:rPr>
          <w:i w:val="0"/>
          <w:iCs/>
        </w:rPr>
        <w:t xml:space="preserve">Hoffmann et al., 2019; </w:t>
      </w:r>
      <w:r w:rsidR="00A665FD">
        <w:rPr>
          <w:i w:val="0"/>
          <w:iCs/>
        </w:rPr>
        <w:t xml:space="preserve">Hoyos-Merlano et al., 2022; </w:t>
      </w:r>
      <w:r w:rsidR="0066449E">
        <w:rPr>
          <w:i w:val="0"/>
          <w:iCs/>
        </w:rPr>
        <w:t xml:space="preserve">Mellinas et al., </w:t>
      </w:r>
      <w:r w:rsidR="003E1897">
        <w:rPr>
          <w:i w:val="0"/>
          <w:iCs/>
        </w:rPr>
        <w:t>2020).</w:t>
      </w:r>
      <w:r w:rsidR="00ED2FB9">
        <w:rPr>
          <w:i w:val="0"/>
          <w:iCs/>
        </w:rPr>
        <w:t xml:space="preserve"> </w:t>
      </w:r>
    </w:p>
    <w:p w14:paraId="63576CCC" w14:textId="5BBD4129" w:rsidR="00AF633F" w:rsidRDefault="00195891" w:rsidP="00CC28C1">
      <w:pPr>
        <w:pStyle w:val="CETheadingx"/>
      </w:pPr>
      <w:r>
        <w:t>Effect of PGP bacteria</w:t>
      </w:r>
      <w:r w:rsidR="00DF304F">
        <w:t xml:space="preserve"> inoculation</w:t>
      </w:r>
      <w:r w:rsidR="003E0941">
        <w:t xml:space="preserve"> </w:t>
      </w:r>
      <w:r w:rsidR="00FB2C0A">
        <w:t>on growth</w:t>
      </w:r>
      <w:r w:rsidR="009B3623">
        <w:t xml:space="preserve"> parameters of lettuce plant</w:t>
      </w:r>
    </w:p>
    <w:p w14:paraId="3741D854" w14:textId="662DCC84" w:rsidR="000908FB" w:rsidRPr="000908FB" w:rsidRDefault="0094018C" w:rsidP="000908FB">
      <w:pPr>
        <w:pStyle w:val="CETBodytext"/>
      </w:pPr>
      <w:r>
        <w:rPr>
          <w:noProof/>
          <w:lang w:val="it-IT" w:eastAsia="it-IT"/>
        </w:rPr>
        <w:drawing>
          <wp:inline distT="0" distB="0" distL="0" distR="0" wp14:anchorId="27CC4F66" wp14:editId="2E721302">
            <wp:extent cx="5580000" cy="1793153"/>
            <wp:effectExtent l="0" t="0" r="1905" b="0"/>
            <wp:docPr id="89697078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005" t="2432" r="1966" b="3327"/>
                    <a:stretch/>
                  </pic:blipFill>
                  <pic:spPr bwMode="auto">
                    <a:xfrm>
                      <a:off x="0" y="0"/>
                      <a:ext cx="5580000" cy="1793153"/>
                    </a:xfrm>
                    <a:prstGeom prst="rect">
                      <a:avLst/>
                    </a:prstGeom>
                    <a:noFill/>
                    <a:ln>
                      <a:noFill/>
                    </a:ln>
                    <a:extLst>
                      <a:ext uri="{53640926-AAD7-44D8-BBD7-CCE9431645EC}">
                        <a14:shadowObscured xmlns:a14="http://schemas.microsoft.com/office/drawing/2010/main"/>
                      </a:ext>
                    </a:extLst>
                  </pic:spPr>
                </pic:pic>
              </a:graphicData>
            </a:graphic>
          </wp:inline>
        </w:drawing>
      </w:r>
    </w:p>
    <w:p w14:paraId="0EB3721B" w14:textId="4E9EF395" w:rsidR="00C74C49" w:rsidRPr="00541950" w:rsidRDefault="00C74C49" w:rsidP="0094018C">
      <w:pPr>
        <w:pStyle w:val="CETCaption"/>
        <w:spacing w:before="0"/>
      </w:pPr>
      <w:r w:rsidRPr="00541950">
        <w:rPr>
          <w:rStyle w:val="CETCaptionCarattere"/>
          <w:i/>
        </w:rPr>
        <w:t xml:space="preserve">Figure 3: </w:t>
      </w:r>
      <w:r w:rsidR="002A4709">
        <w:rPr>
          <w:rStyle w:val="CETCaptionCarattere"/>
          <w:i/>
        </w:rPr>
        <w:t xml:space="preserve">Values of </w:t>
      </w:r>
      <w:r w:rsidR="00566DEC" w:rsidRPr="00541950">
        <w:rPr>
          <w:rStyle w:val="CETCaptionCarattere"/>
          <w:i/>
        </w:rPr>
        <w:t>(A) plant height</w:t>
      </w:r>
      <w:r w:rsidR="004241C6" w:rsidRPr="00541950">
        <w:rPr>
          <w:rStyle w:val="CETCaptionCarattere"/>
          <w:i/>
        </w:rPr>
        <w:t>, (B) nitrate concentration, and (C) nitrogen flavonol index in lettuce leaves</w:t>
      </w:r>
      <w:r w:rsidR="00E06E73">
        <w:rPr>
          <w:rStyle w:val="CETCaptionCarattere"/>
          <w:i/>
        </w:rPr>
        <w:t xml:space="preserve"> from </w:t>
      </w:r>
      <w:r w:rsidR="00BF0FAC">
        <w:rPr>
          <w:rStyle w:val="CETCaptionCarattere"/>
          <w:i/>
        </w:rPr>
        <w:t xml:space="preserve">both </w:t>
      </w:r>
      <w:r w:rsidR="00E06E73">
        <w:rPr>
          <w:rStyle w:val="CETCaptionCarattere"/>
          <w:i/>
        </w:rPr>
        <w:t>control</w:t>
      </w:r>
      <w:r w:rsidR="002A4709">
        <w:rPr>
          <w:rStyle w:val="CETCaptionCarattere"/>
          <w:i/>
        </w:rPr>
        <w:t xml:space="preserve"> and inoculated </w:t>
      </w:r>
      <w:r w:rsidR="009D5D9B">
        <w:rPr>
          <w:rStyle w:val="CETCaptionCarattere"/>
          <w:i/>
        </w:rPr>
        <w:t>plants</w:t>
      </w:r>
      <w:r w:rsidR="0032113F" w:rsidRPr="00541950">
        <w:rPr>
          <w:rStyle w:val="CETCaptionCarattere"/>
        </w:rPr>
        <w:t xml:space="preserve">. </w:t>
      </w:r>
      <w:r w:rsidR="009C1D2B" w:rsidRPr="00541950">
        <w:rPr>
          <w:rStyle w:val="CETCaptionCarattere"/>
          <w:i/>
        </w:rPr>
        <w:t xml:space="preserve">The results are expressed as mean ± SD. </w:t>
      </w:r>
      <w:r w:rsidR="00655611" w:rsidRPr="00541950">
        <w:rPr>
          <w:rStyle w:val="CETCaptionCarattere"/>
          <w:i/>
        </w:rPr>
        <w:t xml:space="preserve">For each tested parameter, different letters above the bars indicate significant differences among the mean values (p ≤ 0.05). </w:t>
      </w:r>
    </w:p>
    <w:p w14:paraId="553813AB" w14:textId="2A70D69E" w:rsidR="00AF633F" w:rsidRPr="00FB2C0A" w:rsidRDefault="00831D6A" w:rsidP="00373FD6">
      <w:pPr>
        <w:pStyle w:val="CETCaption"/>
        <w:spacing w:before="0" w:after="0"/>
        <w:rPr>
          <w:i w:val="0"/>
          <w:iCs/>
        </w:rPr>
      </w:pPr>
      <w:r w:rsidRPr="00970566">
        <w:rPr>
          <w:i w:val="0"/>
          <w:iCs/>
        </w:rPr>
        <w:t xml:space="preserve">Preliminary trials of </w:t>
      </w:r>
      <w:r w:rsidRPr="00F54FF2">
        <w:t>in vivo</w:t>
      </w:r>
      <w:r w:rsidRPr="00970566">
        <w:rPr>
          <w:i w:val="0"/>
          <w:iCs/>
        </w:rPr>
        <w:t xml:space="preserve"> colonization of </w:t>
      </w:r>
      <w:r w:rsidR="00BE2BAA" w:rsidRPr="00970566">
        <w:rPr>
          <w:i w:val="0"/>
          <w:iCs/>
        </w:rPr>
        <w:t xml:space="preserve">tested </w:t>
      </w:r>
      <w:r w:rsidRPr="00970566">
        <w:rPr>
          <w:i w:val="0"/>
          <w:iCs/>
        </w:rPr>
        <w:t>plants demonstrated</w:t>
      </w:r>
      <w:r w:rsidR="00BE2BAA" w:rsidRPr="00970566">
        <w:rPr>
          <w:i w:val="0"/>
          <w:iCs/>
        </w:rPr>
        <w:t xml:space="preserve"> a strong ability of </w:t>
      </w:r>
      <w:r w:rsidR="00274F0F">
        <w:rPr>
          <w:i w:val="0"/>
          <w:iCs/>
        </w:rPr>
        <w:t xml:space="preserve">the </w:t>
      </w:r>
      <w:r w:rsidR="00EA416F" w:rsidRPr="00970566">
        <w:rPr>
          <w:i w:val="0"/>
          <w:iCs/>
        </w:rPr>
        <w:t>GR12 strain</w:t>
      </w:r>
      <w:r w:rsidR="00BE2BAA" w:rsidRPr="00970566">
        <w:rPr>
          <w:i w:val="0"/>
          <w:iCs/>
        </w:rPr>
        <w:t xml:space="preserve"> to colonize lettuce seedling roots</w:t>
      </w:r>
      <w:r w:rsidR="009612E2">
        <w:rPr>
          <w:i w:val="0"/>
          <w:iCs/>
        </w:rPr>
        <w:t xml:space="preserve"> </w:t>
      </w:r>
      <w:r w:rsidR="00970566" w:rsidRPr="00970566">
        <w:rPr>
          <w:i w:val="0"/>
          <w:iCs/>
        </w:rPr>
        <w:t>(data not shown).</w:t>
      </w:r>
      <w:r w:rsidR="00BE2BAA">
        <w:rPr>
          <w:i w:val="0"/>
          <w:iCs/>
        </w:rPr>
        <w:t xml:space="preserve"> </w:t>
      </w:r>
      <w:r w:rsidR="00737457">
        <w:rPr>
          <w:i w:val="0"/>
          <w:iCs/>
        </w:rPr>
        <w:t>Looking at the histograms of Figure 3A, t</w:t>
      </w:r>
      <w:r w:rsidR="00DD749B" w:rsidRPr="00293994">
        <w:rPr>
          <w:i w:val="0"/>
          <w:iCs/>
        </w:rPr>
        <w:t>he GR12 strain induced a significant increase (+17.7%</w:t>
      </w:r>
      <w:r w:rsidR="00293994" w:rsidRPr="00293994">
        <w:rPr>
          <w:i w:val="0"/>
          <w:iCs/>
        </w:rPr>
        <w:t>, p &lt; 0.05</w:t>
      </w:r>
      <w:r w:rsidR="00DD749B" w:rsidRPr="00293994">
        <w:rPr>
          <w:i w:val="0"/>
          <w:iCs/>
        </w:rPr>
        <w:t xml:space="preserve">) in </w:t>
      </w:r>
      <w:r w:rsidR="000F0475" w:rsidRPr="00293994">
        <w:rPr>
          <w:i w:val="0"/>
          <w:iCs/>
        </w:rPr>
        <w:t xml:space="preserve">plant </w:t>
      </w:r>
      <w:r w:rsidR="00DD749B" w:rsidRPr="00293994">
        <w:rPr>
          <w:i w:val="0"/>
          <w:iCs/>
        </w:rPr>
        <w:t>height</w:t>
      </w:r>
      <w:r w:rsidR="008A58AC" w:rsidRPr="00293994">
        <w:rPr>
          <w:i w:val="0"/>
          <w:iCs/>
        </w:rPr>
        <w:t>, whereas a</w:t>
      </w:r>
      <w:r w:rsidR="00455C92" w:rsidRPr="00293994">
        <w:rPr>
          <w:i w:val="0"/>
          <w:iCs/>
        </w:rPr>
        <w:t xml:space="preserve">n opposite behavior </w:t>
      </w:r>
      <w:r w:rsidR="00687950" w:rsidRPr="00293994">
        <w:rPr>
          <w:i w:val="0"/>
          <w:iCs/>
        </w:rPr>
        <w:t>resulted in response to the application of VR04</w:t>
      </w:r>
      <w:r w:rsidR="008A58AC" w:rsidRPr="00293994">
        <w:rPr>
          <w:i w:val="0"/>
          <w:iCs/>
        </w:rPr>
        <w:t xml:space="preserve">, </w:t>
      </w:r>
      <w:r w:rsidR="004A1268" w:rsidRPr="00293994">
        <w:rPr>
          <w:i w:val="0"/>
          <w:iCs/>
        </w:rPr>
        <w:t xml:space="preserve">owing to </w:t>
      </w:r>
      <w:r w:rsidR="00990D5B" w:rsidRPr="00293994">
        <w:rPr>
          <w:i w:val="0"/>
          <w:iCs/>
        </w:rPr>
        <w:t xml:space="preserve">a </w:t>
      </w:r>
      <w:r w:rsidR="004A1268" w:rsidRPr="00293994">
        <w:rPr>
          <w:i w:val="0"/>
          <w:iCs/>
        </w:rPr>
        <w:t xml:space="preserve">slight but </w:t>
      </w:r>
      <w:r w:rsidR="00990D5B" w:rsidRPr="00293994">
        <w:rPr>
          <w:i w:val="0"/>
          <w:iCs/>
        </w:rPr>
        <w:t>significant reduction (-18.4%</w:t>
      </w:r>
      <w:r w:rsidR="00293994" w:rsidRPr="00293994">
        <w:rPr>
          <w:i w:val="0"/>
          <w:iCs/>
        </w:rPr>
        <w:t>, p &lt; 0.05</w:t>
      </w:r>
      <w:r w:rsidR="00990D5B" w:rsidRPr="00293994">
        <w:rPr>
          <w:i w:val="0"/>
          <w:iCs/>
        </w:rPr>
        <w:t>)</w:t>
      </w:r>
      <w:r w:rsidR="00293994" w:rsidRPr="00293994">
        <w:rPr>
          <w:i w:val="0"/>
          <w:iCs/>
        </w:rPr>
        <w:t xml:space="preserve"> in </w:t>
      </w:r>
      <w:r w:rsidR="00C57A7B">
        <w:rPr>
          <w:i w:val="0"/>
          <w:iCs/>
        </w:rPr>
        <w:t>this</w:t>
      </w:r>
      <w:r w:rsidR="00293994" w:rsidRPr="00293994">
        <w:rPr>
          <w:i w:val="0"/>
          <w:iCs/>
        </w:rPr>
        <w:t xml:space="preserve"> parameter</w:t>
      </w:r>
      <w:r w:rsidR="00990D5B" w:rsidRPr="00293994">
        <w:rPr>
          <w:i w:val="0"/>
          <w:iCs/>
        </w:rPr>
        <w:t xml:space="preserve"> </w:t>
      </w:r>
      <w:r w:rsidR="00293994" w:rsidRPr="00293994">
        <w:rPr>
          <w:i w:val="0"/>
          <w:iCs/>
        </w:rPr>
        <w:t xml:space="preserve">as </w:t>
      </w:r>
      <w:r w:rsidR="00990D5B" w:rsidRPr="00293994">
        <w:rPr>
          <w:i w:val="0"/>
          <w:iCs/>
        </w:rPr>
        <w:t xml:space="preserve">compared </w:t>
      </w:r>
      <w:r w:rsidR="00293994" w:rsidRPr="00293994">
        <w:rPr>
          <w:i w:val="0"/>
          <w:iCs/>
        </w:rPr>
        <w:t>to</w:t>
      </w:r>
      <w:r w:rsidR="00990D5B" w:rsidRPr="00293994">
        <w:rPr>
          <w:i w:val="0"/>
          <w:iCs/>
        </w:rPr>
        <w:t xml:space="preserve"> the control</w:t>
      </w:r>
      <w:r w:rsidR="009A5D44" w:rsidRPr="00293994">
        <w:rPr>
          <w:i w:val="0"/>
          <w:iCs/>
        </w:rPr>
        <w:t xml:space="preserve"> </w:t>
      </w:r>
      <w:r w:rsidR="0082358C" w:rsidRPr="00293994">
        <w:rPr>
          <w:i w:val="0"/>
          <w:iCs/>
        </w:rPr>
        <w:t>plants</w:t>
      </w:r>
      <w:r w:rsidR="00737457">
        <w:rPr>
          <w:i w:val="0"/>
          <w:iCs/>
        </w:rPr>
        <w:t>.</w:t>
      </w:r>
      <w:r w:rsidR="0082358C" w:rsidRPr="00293994">
        <w:rPr>
          <w:i w:val="0"/>
          <w:iCs/>
        </w:rPr>
        <w:t xml:space="preserve"> </w:t>
      </w:r>
      <w:r w:rsidR="00B82767" w:rsidRPr="004561BD">
        <w:rPr>
          <w:i w:val="0"/>
          <w:iCs/>
        </w:rPr>
        <w:t>Interestingly</w:t>
      </w:r>
      <w:r w:rsidR="000E4EDA" w:rsidRPr="004561BD">
        <w:rPr>
          <w:i w:val="0"/>
          <w:iCs/>
        </w:rPr>
        <w:t>,</w:t>
      </w:r>
      <w:r w:rsidR="0082358C" w:rsidRPr="004561BD">
        <w:rPr>
          <w:i w:val="0"/>
          <w:iCs/>
        </w:rPr>
        <w:t xml:space="preserve"> a</w:t>
      </w:r>
      <w:r w:rsidR="009059E9" w:rsidRPr="004561BD">
        <w:rPr>
          <w:i w:val="0"/>
          <w:iCs/>
        </w:rPr>
        <w:t xml:space="preserve"> significant</w:t>
      </w:r>
      <w:r w:rsidR="00B82767" w:rsidRPr="004561BD">
        <w:rPr>
          <w:i w:val="0"/>
          <w:iCs/>
        </w:rPr>
        <w:t xml:space="preserve"> (p &lt; 0.05)</w:t>
      </w:r>
      <w:r w:rsidR="009059E9" w:rsidRPr="004561BD">
        <w:rPr>
          <w:i w:val="0"/>
          <w:iCs/>
        </w:rPr>
        <w:t xml:space="preserve"> increase</w:t>
      </w:r>
      <w:r w:rsidR="00737457">
        <w:rPr>
          <w:i w:val="0"/>
          <w:iCs/>
        </w:rPr>
        <w:t xml:space="preserve"> (</w:t>
      </w:r>
      <w:r w:rsidR="00A62915">
        <w:rPr>
          <w:i w:val="0"/>
          <w:iCs/>
        </w:rPr>
        <w:t>+150% on average)</w:t>
      </w:r>
      <w:r w:rsidR="009059E9" w:rsidRPr="004561BD">
        <w:rPr>
          <w:i w:val="0"/>
          <w:iCs/>
        </w:rPr>
        <w:t xml:space="preserve"> in nitrate concentration</w:t>
      </w:r>
      <w:r w:rsidR="00F9044A" w:rsidRPr="004561BD">
        <w:rPr>
          <w:i w:val="0"/>
          <w:iCs/>
        </w:rPr>
        <w:t xml:space="preserve"> </w:t>
      </w:r>
      <w:r w:rsidR="00B82767" w:rsidRPr="004561BD">
        <w:rPr>
          <w:i w:val="0"/>
          <w:iCs/>
        </w:rPr>
        <w:t xml:space="preserve">within leaves </w:t>
      </w:r>
      <w:r w:rsidR="00077270" w:rsidRPr="004561BD">
        <w:rPr>
          <w:i w:val="0"/>
          <w:iCs/>
        </w:rPr>
        <w:t xml:space="preserve">was observed upon </w:t>
      </w:r>
      <w:r w:rsidR="005266B0" w:rsidRPr="004561BD">
        <w:rPr>
          <w:i w:val="0"/>
          <w:iCs/>
        </w:rPr>
        <w:t xml:space="preserve">microbial inoculation, irrespective of the employed strain </w:t>
      </w:r>
      <w:r w:rsidR="00F9044A" w:rsidRPr="004561BD">
        <w:rPr>
          <w:i w:val="0"/>
          <w:iCs/>
        </w:rPr>
        <w:t>(Figure 3B)</w:t>
      </w:r>
      <w:r w:rsidR="005266B0" w:rsidRPr="004561BD">
        <w:rPr>
          <w:i w:val="0"/>
          <w:iCs/>
        </w:rPr>
        <w:t>. This</w:t>
      </w:r>
      <w:r w:rsidR="00F9044A" w:rsidRPr="004561BD">
        <w:rPr>
          <w:i w:val="0"/>
          <w:iCs/>
        </w:rPr>
        <w:t xml:space="preserve"> </w:t>
      </w:r>
      <w:r w:rsidR="005266B0" w:rsidRPr="004561BD">
        <w:rPr>
          <w:i w:val="0"/>
          <w:iCs/>
        </w:rPr>
        <w:t xml:space="preserve">result </w:t>
      </w:r>
      <w:r w:rsidR="004561BD" w:rsidRPr="004561BD">
        <w:rPr>
          <w:i w:val="0"/>
          <w:iCs/>
        </w:rPr>
        <w:t xml:space="preserve">seems </w:t>
      </w:r>
      <w:r w:rsidR="00274F0F">
        <w:rPr>
          <w:i w:val="0"/>
          <w:iCs/>
        </w:rPr>
        <w:t>to suggest</w:t>
      </w:r>
      <w:r w:rsidR="004561BD" w:rsidRPr="004561BD">
        <w:rPr>
          <w:i w:val="0"/>
          <w:iCs/>
        </w:rPr>
        <w:t xml:space="preserve"> either</w:t>
      </w:r>
      <w:r w:rsidR="00F9044A" w:rsidRPr="004561BD">
        <w:rPr>
          <w:i w:val="0"/>
          <w:iCs/>
        </w:rPr>
        <w:t xml:space="preserve"> </w:t>
      </w:r>
      <w:r w:rsidR="00910BDD" w:rsidRPr="004561BD">
        <w:rPr>
          <w:i w:val="0"/>
          <w:iCs/>
        </w:rPr>
        <w:t>a</w:t>
      </w:r>
      <w:r w:rsidR="00131E73" w:rsidRPr="004561BD">
        <w:rPr>
          <w:i w:val="0"/>
          <w:iCs/>
        </w:rPr>
        <w:t xml:space="preserve"> greater availability of nitrogen </w:t>
      </w:r>
      <w:r w:rsidR="000444ED" w:rsidRPr="004561BD">
        <w:rPr>
          <w:i w:val="0"/>
          <w:iCs/>
        </w:rPr>
        <w:t>in the substrate or an improved uptake</w:t>
      </w:r>
      <w:r w:rsidR="00382DF3" w:rsidRPr="004561BD">
        <w:rPr>
          <w:i w:val="0"/>
          <w:iCs/>
        </w:rPr>
        <w:t xml:space="preserve"> of the element</w:t>
      </w:r>
      <w:r w:rsidR="000444ED" w:rsidRPr="004561BD">
        <w:rPr>
          <w:i w:val="0"/>
          <w:iCs/>
        </w:rPr>
        <w:t xml:space="preserve"> </w:t>
      </w:r>
      <w:r w:rsidR="00131E73" w:rsidRPr="004561BD">
        <w:rPr>
          <w:i w:val="0"/>
          <w:iCs/>
        </w:rPr>
        <w:t xml:space="preserve">by </w:t>
      </w:r>
      <w:r w:rsidR="00A62915">
        <w:rPr>
          <w:i w:val="0"/>
          <w:iCs/>
        </w:rPr>
        <w:t xml:space="preserve">tested </w:t>
      </w:r>
      <w:r w:rsidR="00131E73" w:rsidRPr="006D6FE4">
        <w:rPr>
          <w:i w:val="0"/>
          <w:iCs/>
        </w:rPr>
        <w:t>plants</w:t>
      </w:r>
      <w:r w:rsidR="000444ED" w:rsidRPr="006D6FE4">
        <w:rPr>
          <w:i w:val="0"/>
          <w:iCs/>
        </w:rPr>
        <w:t>.</w:t>
      </w:r>
      <w:r w:rsidR="00373FD6" w:rsidRPr="006D6FE4">
        <w:rPr>
          <w:i w:val="0"/>
          <w:iCs/>
        </w:rPr>
        <w:t xml:space="preserve"> </w:t>
      </w:r>
      <w:r w:rsidR="00F83B8C">
        <w:rPr>
          <w:i w:val="0"/>
          <w:iCs/>
        </w:rPr>
        <w:t>Lastly</w:t>
      </w:r>
      <w:r w:rsidR="00993053" w:rsidRPr="006D6FE4">
        <w:rPr>
          <w:i w:val="0"/>
          <w:iCs/>
        </w:rPr>
        <w:t>, t</w:t>
      </w:r>
      <w:r w:rsidR="00A4559D" w:rsidRPr="006D6FE4">
        <w:rPr>
          <w:i w:val="0"/>
          <w:iCs/>
        </w:rPr>
        <w:t xml:space="preserve">he </w:t>
      </w:r>
      <w:r w:rsidR="00A4559D" w:rsidRPr="006D6FE4">
        <w:t>in vivo</w:t>
      </w:r>
      <w:r w:rsidR="00A4559D" w:rsidRPr="006D6FE4">
        <w:rPr>
          <w:i w:val="0"/>
          <w:iCs/>
        </w:rPr>
        <w:t xml:space="preserve"> analys</w:t>
      </w:r>
      <w:r w:rsidR="00FD4943" w:rsidRPr="006D6FE4">
        <w:rPr>
          <w:i w:val="0"/>
          <w:iCs/>
        </w:rPr>
        <w:t>i</w:t>
      </w:r>
      <w:r w:rsidR="00A4559D" w:rsidRPr="006D6FE4">
        <w:rPr>
          <w:i w:val="0"/>
          <w:iCs/>
        </w:rPr>
        <w:t>s of the</w:t>
      </w:r>
      <w:r w:rsidR="00FD4943" w:rsidRPr="006D6FE4">
        <w:rPr>
          <w:i w:val="0"/>
          <w:iCs/>
        </w:rPr>
        <w:t xml:space="preserve"> leaf</w:t>
      </w:r>
      <w:r w:rsidR="00A4559D" w:rsidRPr="006D6FE4">
        <w:rPr>
          <w:i w:val="0"/>
          <w:iCs/>
        </w:rPr>
        <w:t xml:space="preserve"> nitrogen status</w:t>
      </w:r>
      <w:r w:rsidR="00CE7633" w:rsidRPr="006D6FE4">
        <w:rPr>
          <w:i w:val="0"/>
          <w:iCs/>
        </w:rPr>
        <w:t>,</w:t>
      </w:r>
      <w:r w:rsidR="00A4559D" w:rsidRPr="006D6FE4">
        <w:rPr>
          <w:i w:val="0"/>
          <w:iCs/>
        </w:rPr>
        <w:t xml:space="preserve"> </w:t>
      </w:r>
      <w:r w:rsidR="003977AB" w:rsidRPr="006D6FE4">
        <w:rPr>
          <w:i w:val="0"/>
          <w:iCs/>
        </w:rPr>
        <w:t xml:space="preserve">expressed as NFI and calculated as the ratio of chlorophyll to flavonols, showed </w:t>
      </w:r>
      <w:r w:rsidR="00B84DF2" w:rsidRPr="006D6FE4">
        <w:rPr>
          <w:i w:val="0"/>
          <w:iCs/>
        </w:rPr>
        <w:t xml:space="preserve">a </w:t>
      </w:r>
      <w:r w:rsidR="004023B9" w:rsidRPr="006D6FE4">
        <w:rPr>
          <w:i w:val="0"/>
          <w:iCs/>
        </w:rPr>
        <w:t>significantly</w:t>
      </w:r>
      <w:r w:rsidR="00B84DF2" w:rsidRPr="006D6FE4">
        <w:rPr>
          <w:i w:val="0"/>
          <w:iCs/>
        </w:rPr>
        <w:t xml:space="preserve"> higher</w:t>
      </w:r>
      <w:r w:rsidR="00CE7633" w:rsidRPr="006D6FE4">
        <w:rPr>
          <w:i w:val="0"/>
          <w:iCs/>
        </w:rPr>
        <w:t xml:space="preserve"> (p &lt; 0.05)</w:t>
      </w:r>
      <w:r w:rsidR="00B84DF2" w:rsidRPr="006D6FE4">
        <w:rPr>
          <w:i w:val="0"/>
          <w:iCs/>
        </w:rPr>
        <w:t xml:space="preserve"> value </w:t>
      </w:r>
      <w:r w:rsidR="00CE7633" w:rsidRPr="006D6FE4">
        <w:rPr>
          <w:i w:val="0"/>
          <w:iCs/>
        </w:rPr>
        <w:t xml:space="preserve">only </w:t>
      </w:r>
      <w:r w:rsidR="00B84DF2" w:rsidRPr="006D6FE4">
        <w:rPr>
          <w:i w:val="0"/>
          <w:iCs/>
        </w:rPr>
        <w:t xml:space="preserve">in </w:t>
      </w:r>
      <w:r w:rsidR="004023B9" w:rsidRPr="006D6FE4">
        <w:rPr>
          <w:i w:val="0"/>
          <w:iCs/>
        </w:rPr>
        <w:t>response to GR</w:t>
      </w:r>
      <w:r w:rsidR="00FE34BE" w:rsidRPr="006D6FE4">
        <w:rPr>
          <w:i w:val="0"/>
          <w:iCs/>
        </w:rPr>
        <w:t>12 strain</w:t>
      </w:r>
      <w:r w:rsidR="004023B9" w:rsidRPr="006D6FE4">
        <w:rPr>
          <w:i w:val="0"/>
          <w:iCs/>
        </w:rPr>
        <w:t xml:space="preserve"> application (</w:t>
      </w:r>
      <w:r w:rsidR="00373FD6" w:rsidRPr="006D6FE4">
        <w:rPr>
          <w:i w:val="0"/>
          <w:iCs/>
        </w:rPr>
        <w:t>+80%</w:t>
      </w:r>
      <w:r w:rsidR="006D6FE4" w:rsidRPr="006D6FE4">
        <w:rPr>
          <w:i w:val="0"/>
          <w:iCs/>
        </w:rPr>
        <w:t xml:space="preserve"> over control samples, </w:t>
      </w:r>
      <w:r w:rsidR="004023B9" w:rsidRPr="006D6FE4">
        <w:rPr>
          <w:i w:val="0"/>
          <w:iCs/>
        </w:rPr>
        <w:t>Figure 3C).</w:t>
      </w:r>
    </w:p>
    <w:p w14:paraId="68D26B83" w14:textId="451FAC64" w:rsidR="00600535" w:rsidRPr="00B57B36" w:rsidRDefault="00600535" w:rsidP="00600535">
      <w:pPr>
        <w:pStyle w:val="CETHeading1"/>
        <w:rPr>
          <w:lang w:val="en-GB"/>
        </w:rPr>
      </w:pPr>
      <w:r w:rsidRPr="00B57B36">
        <w:rPr>
          <w:lang w:val="en-GB"/>
        </w:rPr>
        <w:t>Conclusions</w:t>
      </w:r>
    </w:p>
    <w:p w14:paraId="52DAFDE0" w14:textId="209D5BDC" w:rsidR="001D0CFB" w:rsidRDefault="00A07C56" w:rsidP="00600535">
      <w:pPr>
        <w:pStyle w:val="CETBodytext"/>
        <w:rPr>
          <w:lang w:val="en-GB"/>
        </w:rPr>
      </w:pPr>
      <w:r w:rsidRPr="00404FFF">
        <w:rPr>
          <w:lang w:val="en-GB"/>
        </w:rPr>
        <w:t>This</w:t>
      </w:r>
      <w:r w:rsidR="00A1481F" w:rsidRPr="00404FFF">
        <w:rPr>
          <w:lang w:val="en-GB"/>
        </w:rPr>
        <w:t xml:space="preserve"> </w:t>
      </w:r>
      <w:r w:rsidR="00831D6A" w:rsidRPr="00404FFF">
        <w:rPr>
          <w:lang w:val="en-GB"/>
        </w:rPr>
        <w:t>research</w:t>
      </w:r>
      <w:r w:rsidR="00A1481F" w:rsidRPr="00404FFF">
        <w:rPr>
          <w:lang w:val="en-GB"/>
        </w:rPr>
        <w:t xml:space="preserve"> study </w:t>
      </w:r>
      <w:r w:rsidR="003E505D" w:rsidRPr="00404FFF">
        <w:rPr>
          <w:lang w:val="en-GB"/>
        </w:rPr>
        <w:t>shed light on</w:t>
      </w:r>
      <w:r w:rsidR="00A1481F" w:rsidRPr="00404FFF">
        <w:rPr>
          <w:lang w:val="en-GB"/>
        </w:rPr>
        <w:t xml:space="preserve"> the possibility </w:t>
      </w:r>
      <w:r w:rsidR="00D30093" w:rsidRPr="00404FFF">
        <w:rPr>
          <w:lang w:val="en-GB"/>
        </w:rPr>
        <w:t>of using</w:t>
      </w:r>
      <w:r w:rsidR="008132CD" w:rsidRPr="00404FFF">
        <w:rPr>
          <w:lang w:val="en-GB"/>
        </w:rPr>
        <w:t xml:space="preserve"> naturally</w:t>
      </w:r>
      <w:r w:rsidR="00274F0F">
        <w:rPr>
          <w:lang w:val="en-GB"/>
        </w:rPr>
        <w:t xml:space="preserve"> </w:t>
      </w:r>
      <w:r w:rsidR="008132CD" w:rsidRPr="00404FFF">
        <w:rPr>
          <w:lang w:val="en-GB"/>
        </w:rPr>
        <w:t>derived</w:t>
      </w:r>
      <w:r w:rsidR="00B46E2C" w:rsidRPr="00404FFF">
        <w:rPr>
          <w:lang w:val="en-GB"/>
        </w:rPr>
        <w:t xml:space="preserve"> materials (e.g., pectin)</w:t>
      </w:r>
      <w:r w:rsidR="00022F6C" w:rsidRPr="00404FFF">
        <w:rPr>
          <w:lang w:val="en-GB"/>
        </w:rPr>
        <w:t xml:space="preserve"> as alternative substrates to conventional plastics in the </w:t>
      </w:r>
      <w:r w:rsidR="00F54FF2" w:rsidRPr="00404FFF">
        <w:rPr>
          <w:lang w:val="en-GB"/>
        </w:rPr>
        <w:t xml:space="preserve">fabrication </w:t>
      </w:r>
      <w:r w:rsidR="00022F6C" w:rsidRPr="00404FFF">
        <w:rPr>
          <w:lang w:val="en-GB"/>
        </w:rPr>
        <w:t>of plant nursery plugs.</w:t>
      </w:r>
      <w:r w:rsidR="009E08FA" w:rsidRPr="00404FFF">
        <w:rPr>
          <w:lang w:val="en-GB"/>
        </w:rPr>
        <w:t xml:space="preserve"> The basic characterization </w:t>
      </w:r>
      <w:r w:rsidR="00E5668E" w:rsidRPr="00404FFF">
        <w:rPr>
          <w:lang w:val="en-GB"/>
        </w:rPr>
        <w:t xml:space="preserve">of the </w:t>
      </w:r>
      <w:r w:rsidR="00543093" w:rsidRPr="00404FFF">
        <w:rPr>
          <w:lang w:val="en-GB"/>
        </w:rPr>
        <w:t xml:space="preserve">pectin-based film prototypes </w:t>
      </w:r>
      <w:r w:rsidR="009E08FA" w:rsidRPr="00404FFF">
        <w:rPr>
          <w:lang w:val="en-GB"/>
        </w:rPr>
        <w:t xml:space="preserve">allowed </w:t>
      </w:r>
      <w:r w:rsidR="003E505D" w:rsidRPr="00404FFF">
        <w:rPr>
          <w:lang w:val="en-GB"/>
        </w:rPr>
        <w:t>unrave</w:t>
      </w:r>
      <w:r w:rsidR="00546C92" w:rsidRPr="00404FFF">
        <w:rPr>
          <w:lang w:val="en-GB"/>
        </w:rPr>
        <w:t>l</w:t>
      </w:r>
      <w:r w:rsidR="003E505D" w:rsidRPr="00404FFF">
        <w:rPr>
          <w:lang w:val="en-GB"/>
        </w:rPr>
        <w:t>ing the effect of</w:t>
      </w:r>
      <w:r w:rsidR="009D1C80" w:rsidRPr="00404FFF">
        <w:rPr>
          <w:lang w:val="en-GB"/>
        </w:rPr>
        <w:t xml:space="preserve"> pH,</w:t>
      </w:r>
      <w:r w:rsidR="003E505D" w:rsidRPr="00404FFF">
        <w:rPr>
          <w:lang w:val="en-GB"/>
        </w:rPr>
        <w:t xml:space="preserve"> </w:t>
      </w:r>
      <w:r w:rsidR="009A4DB7" w:rsidRPr="00404FFF">
        <w:rPr>
          <w:lang w:val="en-GB"/>
        </w:rPr>
        <w:t>glycerol</w:t>
      </w:r>
      <w:r w:rsidR="00D30093" w:rsidRPr="00404FFF">
        <w:rPr>
          <w:lang w:val="en-GB"/>
        </w:rPr>
        <w:t>,</w:t>
      </w:r>
      <w:r w:rsidR="003E505D" w:rsidRPr="00404FFF">
        <w:rPr>
          <w:lang w:val="en-GB"/>
        </w:rPr>
        <w:t xml:space="preserve"> and </w:t>
      </w:r>
      <w:r w:rsidR="009A4DB7" w:rsidRPr="00404FFF">
        <w:rPr>
          <w:lang w:val="en-GB"/>
        </w:rPr>
        <w:t xml:space="preserve">microfibrillar cellulose load </w:t>
      </w:r>
      <w:r w:rsidR="00834E61" w:rsidRPr="00404FFF">
        <w:rPr>
          <w:lang w:val="en-GB"/>
        </w:rPr>
        <w:t>on the</w:t>
      </w:r>
      <w:r w:rsidR="00434D7C" w:rsidRPr="00404FFF">
        <w:rPr>
          <w:lang w:val="en-GB"/>
        </w:rPr>
        <w:t xml:space="preserve"> puncture, water solubility, and oxygen barrier properties</w:t>
      </w:r>
      <w:r w:rsidR="009A4DB7" w:rsidRPr="00404FFF">
        <w:rPr>
          <w:lang w:val="en-GB"/>
        </w:rPr>
        <w:t xml:space="preserve"> </w:t>
      </w:r>
      <w:r w:rsidR="001B49C5" w:rsidRPr="00404FFF">
        <w:rPr>
          <w:lang w:val="en-GB"/>
        </w:rPr>
        <w:t>thereof</w:t>
      </w:r>
      <w:r w:rsidR="003004FA" w:rsidRPr="00404FFF">
        <w:rPr>
          <w:lang w:val="en-GB"/>
        </w:rPr>
        <w:t>.</w:t>
      </w:r>
      <w:r w:rsidR="00DF273D" w:rsidRPr="00404FFF">
        <w:rPr>
          <w:lang w:val="en-GB"/>
        </w:rPr>
        <w:t xml:space="preserve"> </w:t>
      </w:r>
      <w:r w:rsidR="001B4A7F" w:rsidRPr="00404FFF">
        <w:rPr>
          <w:lang w:val="en-GB"/>
        </w:rPr>
        <w:t xml:space="preserve">As far as the </w:t>
      </w:r>
      <w:r w:rsidR="00D67856" w:rsidRPr="00404FFF">
        <w:rPr>
          <w:lang w:val="en-GB"/>
        </w:rPr>
        <w:t>PGP</w:t>
      </w:r>
      <w:r w:rsidR="00946C53" w:rsidRPr="00404FFF">
        <w:rPr>
          <w:lang w:val="en-GB"/>
        </w:rPr>
        <w:t xml:space="preserve"> inoculation tests are </w:t>
      </w:r>
      <w:r w:rsidR="00946C53" w:rsidRPr="00217B35">
        <w:rPr>
          <w:lang w:val="en-GB"/>
        </w:rPr>
        <w:t xml:space="preserve">concerned, </w:t>
      </w:r>
      <w:r w:rsidR="00DF273D" w:rsidRPr="00217B35">
        <w:rPr>
          <w:lang w:val="en-GB"/>
        </w:rPr>
        <w:t xml:space="preserve">an </w:t>
      </w:r>
      <w:r w:rsidR="00946C53" w:rsidRPr="00217B35">
        <w:rPr>
          <w:lang w:val="en-GB"/>
        </w:rPr>
        <w:t>overall beneficial effect</w:t>
      </w:r>
      <w:r w:rsidR="00463979">
        <w:rPr>
          <w:lang w:val="en-GB"/>
        </w:rPr>
        <w:t xml:space="preserve"> of GR12 strain</w:t>
      </w:r>
      <w:r w:rsidR="00946C53" w:rsidRPr="00217B35">
        <w:rPr>
          <w:lang w:val="en-GB"/>
        </w:rPr>
        <w:t xml:space="preserve"> </w:t>
      </w:r>
      <w:r w:rsidR="00B1743D">
        <w:rPr>
          <w:lang w:val="en-GB"/>
        </w:rPr>
        <w:t>on</w:t>
      </w:r>
      <w:r w:rsidR="00DF273D" w:rsidRPr="00217B35">
        <w:rPr>
          <w:lang w:val="en-GB"/>
        </w:rPr>
        <w:t xml:space="preserve"> </w:t>
      </w:r>
      <w:r w:rsidR="00404FFF" w:rsidRPr="00217B35">
        <w:rPr>
          <w:lang w:val="en-GB"/>
        </w:rPr>
        <w:t xml:space="preserve">plant development parameters </w:t>
      </w:r>
      <w:r w:rsidR="00BD5C8C" w:rsidRPr="00217B35">
        <w:rPr>
          <w:lang w:val="en-GB"/>
        </w:rPr>
        <w:t xml:space="preserve">during the early stages </w:t>
      </w:r>
      <w:r w:rsidR="00BD5C8C" w:rsidRPr="00217B35">
        <w:rPr>
          <w:lang w:val="en-GB"/>
        </w:rPr>
        <w:lastRenderedPageBreak/>
        <w:t>of growth</w:t>
      </w:r>
      <w:r w:rsidR="00946C53" w:rsidRPr="00217B35">
        <w:rPr>
          <w:lang w:val="en-GB"/>
        </w:rPr>
        <w:t xml:space="preserve"> was disclosed</w:t>
      </w:r>
      <w:r w:rsidR="00DF273D" w:rsidRPr="00217B35">
        <w:rPr>
          <w:lang w:val="en-GB"/>
        </w:rPr>
        <w:t xml:space="preserve">. </w:t>
      </w:r>
      <w:r w:rsidR="00EF6A5F" w:rsidRPr="00217B35">
        <w:rPr>
          <w:lang w:val="en-GB"/>
        </w:rPr>
        <w:t>Nevertheless</w:t>
      </w:r>
      <w:r w:rsidR="001874E3" w:rsidRPr="00217B35">
        <w:rPr>
          <w:lang w:val="en-GB"/>
        </w:rPr>
        <w:t xml:space="preserve">, additional </w:t>
      </w:r>
      <w:r w:rsidR="00F92D84" w:rsidRPr="00217B35">
        <w:rPr>
          <w:lang w:val="en-GB"/>
        </w:rPr>
        <w:t>studies</w:t>
      </w:r>
      <w:r w:rsidR="001874E3" w:rsidRPr="00217B35">
        <w:rPr>
          <w:lang w:val="en-GB"/>
        </w:rPr>
        <w:t xml:space="preserve"> must be put in place</w:t>
      </w:r>
      <w:r w:rsidR="00812EB9" w:rsidRPr="00217B35">
        <w:rPr>
          <w:lang w:val="en-GB"/>
        </w:rPr>
        <w:t xml:space="preserve"> to </w:t>
      </w:r>
      <w:r w:rsidR="00900B60" w:rsidRPr="00217B35">
        <w:rPr>
          <w:lang w:val="en-GB"/>
        </w:rPr>
        <w:t xml:space="preserve">i) </w:t>
      </w:r>
      <w:r w:rsidR="00812EB9" w:rsidRPr="00217B35">
        <w:rPr>
          <w:lang w:val="en-GB"/>
        </w:rPr>
        <w:t>fully characterize</w:t>
      </w:r>
      <w:r w:rsidR="000254CF" w:rsidRPr="00217B35">
        <w:rPr>
          <w:lang w:val="en-GB"/>
        </w:rPr>
        <w:t xml:space="preserve"> the </w:t>
      </w:r>
      <w:r w:rsidR="00822CFC" w:rsidRPr="00217B35">
        <w:rPr>
          <w:lang w:val="en-GB"/>
        </w:rPr>
        <w:t>self-standing films</w:t>
      </w:r>
      <w:r w:rsidR="00EF6A5F" w:rsidRPr="00217B35">
        <w:rPr>
          <w:lang w:val="en-GB"/>
        </w:rPr>
        <w:t xml:space="preserve"> (e.g., </w:t>
      </w:r>
      <w:r w:rsidR="001142F6" w:rsidRPr="00217B35">
        <w:rPr>
          <w:lang w:val="en-GB"/>
        </w:rPr>
        <w:t>tensile behavior</w:t>
      </w:r>
      <w:r w:rsidR="00567683" w:rsidRPr="00217B35">
        <w:rPr>
          <w:lang w:val="en-GB"/>
        </w:rPr>
        <w:t>,</w:t>
      </w:r>
      <w:r w:rsidR="0045370B" w:rsidRPr="00217B35">
        <w:rPr>
          <w:lang w:val="en-GB"/>
        </w:rPr>
        <w:t xml:space="preserve"> water permeability,</w:t>
      </w:r>
      <w:r w:rsidR="001142F6" w:rsidRPr="00217B35">
        <w:rPr>
          <w:lang w:val="en-GB"/>
        </w:rPr>
        <w:t xml:space="preserve"> </w:t>
      </w:r>
      <w:r w:rsidR="0045370B" w:rsidRPr="00217B35">
        <w:rPr>
          <w:lang w:val="en-GB"/>
        </w:rPr>
        <w:t>and moldability)</w:t>
      </w:r>
      <w:r w:rsidR="00463979">
        <w:rPr>
          <w:lang w:val="en-GB"/>
        </w:rPr>
        <w:t>, ii)</w:t>
      </w:r>
      <w:r w:rsidR="00567683" w:rsidRPr="00217B35">
        <w:rPr>
          <w:lang w:val="en-GB"/>
        </w:rPr>
        <w:t xml:space="preserve"> </w:t>
      </w:r>
      <w:r w:rsidR="00A77972" w:rsidRPr="00217B35">
        <w:rPr>
          <w:lang w:val="en-GB"/>
        </w:rPr>
        <w:t>assess their biodegradability in</w:t>
      </w:r>
      <w:r w:rsidR="00567683" w:rsidRPr="00217B35">
        <w:rPr>
          <w:lang w:val="en-GB"/>
        </w:rPr>
        <w:t xml:space="preserve"> soil</w:t>
      </w:r>
      <w:r w:rsidR="00324F81" w:rsidRPr="00217B35">
        <w:rPr>
          <w:lang w:val="en-GB"/>
        </w:rPr>
        <w:t>s</w:t>
      </w:r>
      <w:r w:rsidR="00BD4AF6">
        <w:rPr>
          <w:lang w:val="en-GB"/>
        </w:rPr>
        <w:t xml:space="preserve"> of different compositions,</w:t>
      </w:r>
      <w:r w:rsidR="00B11739" w:rsidRPr="00217B35">
        <w:rPr>
          <w:lang w:val="en-GB"/>
        </w:rPr>
        <w:t xml:space="preserve"> and </w:t>
      </w:r>
      <w:r w:rsidR="00900B60" w:rsidRPr="00217B35">
        <w:rPr>
          <w:lang w:val="en-GB"/>
        </w:rPr>
        <w:t>ii</w:t>
      </w:r>
      <w:r w:rsidR="00162465">
        <w:rPr>
          <w:lang w:val="en-GB"/>
        </w:rPr>
        <w:t>i</w:t>
      </w:r>
      <w:r w:rsidR="00900B60" w:rsidRPr="00217B35">
        <w:rPr>
          <w:lang w:val="en-GB"/>
        </w:rPr>
        <w:t xml:space="preserve">) understand </w:t>
      </w:r>
      <w:r w:rsidR="00B11739" w:rsidRPr="00217B35">
        <w:rPr>
          <w:lang w:val="en-GB"/>
        </w:rPr>
        <w:t>the</w:t>
      </w:r>
      <w:r w:rsidR="00521FAC">
        <w:rPr>
          <w:lang w:val="en-GB"/>
        </w:rPr>
        <w:t>ir</w:t>
      </w:r>
      <w:r w:rsidR="00B11739" w:rsidRPr="00217B35">
        <w:rPr>
          <w:lang w:val="en-GB"/>
        </w:rPr>
        <w:t xml:space="preserve"> </w:t>
      </w:r>
      <w:r w:rsidR="00D14141" w:rsidRPr="00217B35">
        <w:rPr>
          <w:lang w:val="en-GB"/>
        </w:rPr>
        <w:t xml:space="preserve">effect on the </w:t>
      </w:r>
      <w:r w:rsidR="002A2F2D" w:rsidRPr="00217B35">
        <w:rPr>
          <w:lang w:val="en-GB"/>
        </w:rPr>
        <w:t xml:space="preserve">growth performance </w:t>
      </w:r>
      <w:r w:rsidR="00C00D9A">
        <w:rPr>
          <w:lang w:val="en-GB"/>
        </w:rPr>
        <w:t xml:space="preserve">of </w:t>
      </w:r>
      <w:r w:rsidR="002A2F2D" w:rsidRPr="00217B35">
        <w:rPr>
          <w:lang w:val="en-GB"/>
        </w:rPr>
        <w:t>multiple crops</w:t>
      </w:r>
      <w:r w:rsidR="00736A4B">
        <w:rPr>
          <w:lang w:val="en-GB"/>
        </w:rPr>
        <w:t xml:space="preserve"> when loaded with PGP bacteria</w:t>
      </w:r>
      <w:r w:rsidR="00567683" w:rsidRPr="00217B35">
        <w:rPr>
          <w:lang w:val="en-GB"/>
        </w:rPr>
        <w:t xml:space="preserve">, </w:t>
      </w:r>
      <w:r w:rsidR="0032556F" w:rsidRPr="00217B35">
        <w:rPr>
          <w:lang w:val="en-GB"/>
        </w:rPr>
        <w:t>in order to</w:t>
      </w:r>
      <w:r w:rsidR="00567683" w:rsidRPr="00217B35">
        <w:rPr>
          <w:lang w:val="en-GB"/>
        </w:rPr>
        <w:t xml:space="preserve"> possibly </w:t>
      </w:r>
      <w:r w:rsidR="0011356E" w:rsidRPr="00217B35">
        <w:rPr>
          <w:lang w:val="en-GB"/>
        </w:rPr>
        <w:t>shift</w:t>
      </w:r>
      <w:r w:rsidR="00567683" w:rsidRPr="00217B35">
        <w:rPr>
          <w:lang w:val="en-GB"/>
        </w:rPr>
        <w:t xml:space="preserve"> towards</w:t>
      </w:r>
      <w:r w:rsidR="002A2F2D" w:rsidRPr="00217B35">
        <w:rPr>
          <w:lang w:val="en-GB"/>
        </w:rPr>
        <w:t xml:space="preserve"> </w:t>
      </w:r>
      <w:r w:rsidR="009D0330" w:rsidRPr="00217B35">
        <w:rPr>
          <w:lang w:val="en-GB"/>
        </w:rPr>
        <w:t>commercial applications.</w:t>
      </w:r>
      <w:r w:rsidR="00567683">
        <w:rPr>
          <w:lang w:val="en-GB"/>
        </w:rPr>
        <w:t xml:space="preserve"> </w:t>
      </w:r>
      <w:r w:rsidR="00A77972">
        <w:rPr>
          <w:lang w:val="en-GB"/>
        </w:rPr>
        <w:t xml:space="preserve"> </w:t>
      </w:r>
      <w:r w:rsidR="001874E3">
        <w:rPr>
          <w:lang w:val="en-GB"/>
        </w:rPr>
        <w:t xml:space="preserve"> </w:t>
      </w:r>
      <w:r w:rsidR="00101016">
        <w:rPr>
          <w:lang w:val="en-GB"/>
        </w:rPr>
        <w:t xml:space="preserve"> </w:t>
      </w:r>
      <w:r w:rsidR="007A6950">
        <w:rPr>
          <w:lang w:val="en-GB"/>
        </w:rPr>
        <w:t xml:space="preserve"> </w:t>
      </w:r>
      <w:r w:rsidR="009E08FA">
        <w:rPr>
          <w:lang w:val="en-GB"/>
        </w:rPr>
        <w:t xml:space="preserve"> </w:t>
      </w:r>
      <w:r w:rsidR="00A1481F">
        <w:rPr>
          <w:lang w:val="en-GB"/>
        </w:rPr>
        <w:t xml:space="preserve"> </w:t>
      </w:r>
    </w:p>
    <w:p w14:paraId="459D05E6" w14:textId="14854BC8" w:rsidR="00600535" w:rsidRPr="00B57B36" w:rsidRDefault="00600535" w:rsidP="00600535">
      <w:pPr>
        <w:pStyle w:val="CETAcknowledgementstitle"/>
      </w:pPr>
      <w:r w:rsidRPr="00B57B36">
        <w:t>Acknowledgments</w:t>
      </w:r>
    </w:p>
    <w:p w14:paraId="33F8138F" w14:textId="2181AFD1" w:rsidR="00600535" w:rsidRPr="00B57B36" w:rsidRDefault="0042475A" w:rsidP="00DD4B18">
      <w:pPr>
        <w:pStyle w:val="CETBodytext"/>
        <w:rPr>
          <w:lang w:val="en-GB"/>
        </w:rPr>
      </w:pPr>
      <w:r>
        <w:t xml:space="preserve">This work was carried out in the frame of the </w:t>
      </w:r>
      <w:r w:rsidR="005E3ED2">
        <w:t>p</w:t>
      </w:r>
      <w:r w:rsidR="00DD4B18" w:rsidRPr="00DD4B18">
        <w:t xml:space="preserve">roject </w:t>
      </w:r>
      <w:r w:rsidR="00DD4B18" w:rsidRPr="00DD4B18">
        <w:rPr>
          <w:lang w:val="en-GB"/>
        </w:rPr>
        <w:t xml:space="preserve">“Circular Agri-Food </w:t>
      </w:r>
      <w:r w:rsidR="00E81065">
        <w:rPr>
          <w:lang w:val="en-GB"/>
        </w:rPr>
        <w:t>S</w:t>
      </w:r>
      <w:r w:rsidR="00DD4B18" w:rsidRPr="00DD4B18">
        <w:rPr>
          <w:lang w:val="en-GB"/>
        </w:rPr>
        <w:t>ystems: development of biodegradable plant</w:t>
      </w:r>
      <w:r w:rsidR="00DD4B18">
        <w:rPr>
          <w:lang w:val="en-GB"/>
        </w:rPr>
        <w:t xml:space="preserve"> </w:t>
      </w:r>
      <w:r w:rsidR="00DD4B18" w:rsidRPr="00DD4B18">
        <w:rPr>
          <w:lang w:val="en-GB"/>
        </w:rPr>
        <w:t>multiplication plugs from fruit and vegetable wastes (BBPlug)”</w:t>
      </w:r>
      <w:r w:rsidR="005E3ED2">
        <w:rPr>
          <w:lang w:val="en-GB"/>
        </w:rPr>
        <w:t xml:space="preserve"> f</w:t>
      </w:r>
      <w:r w:rsidR="00836FFE">
        <w:rPr>
          <w:lang w:val="en-GB"/>
        </w:rPr>
        <w:t xml:space="preserve">unded by </w:t>
      </w:r>
      <w:r w:rsidR="00836FFE" w:rsidRPr="00DD4B18">
        <w:t>Fondazione Cariplo</w:t>
      </w:r>
      <w:r w:rsidR="001E5C90">
        <w:t xml:space="preserve"> -</w:t>
      </w:r>
      <w:r w:rsidR="00836FFE" w:rsidRPr="00DD4B18">
        <w:t xml:space="preserve"> Call “Economia Circolare per un futuro </w:t>
      </w:r>
      <w:r w:rsidR="00836FFE" w:rsidRPr="00DD4B18">
        <w:rPr>
          <w:lang w:val="en-GB"/>
        </w:rPr>
        <w:t>sostenibile 2021”</w:t>
      </w:r>
      <w:r w:rsidR="00DD4B18" w:rsidRPr="00DD4B18">
        <w:rPr>
          <w:lang w:val="en-GB"/>
        </w:rPr>
        <w:t>.</w:t>
      </w:r>
    </w:p>
    <w:p w14:paraId="4F1327F8" w14:textId="24EAC752" w:rsidR="00600535" w:rsidRPr="004A0061" w:rsidRDefault="00600535" w:rsidP="00600535">
      <w:pPr>
        <w:pStyle w:val="CETReference"/>
        <w:rPr>
          <w:lang w:val="en-US"/>
        </w:rPr>
      </w:pPr>
      <w:r w:rsidRPr="004A0061">
        <w:rPr>
          <w:lang w:val="en-US"/>
        </w:rPr>
        <w:t>References</w:t>
      </w:r>
    </w:p>
    <w:p w14:paraId="1B9EC2AE" w14:textId="1ED5E893" w:rsidR="007F19D6" w:rsidRDefault="007F19D6" w:rsidP="005D1C70">
      <w:pPr>
        <w:pStyle w:val="CETReferencetext"/>
        <w:rPr>
          <w:lang w:val="en-US"/>
        </w:rPr>
      </w:pPr>
      <w:r>
        <w:rPr>
          <w:lang w:val="en-US"/>
        </w:rPr>
        <w:t xml:space="preserve">Butler, I.P., Banta, R.A., </w:t>
      </w:r>
      <w:r w:rsidR="004C6A9A">
        <w:rPr>
          <w:lang w:val="en-US"/>
        </w:rPr>
        <w:t xml:space="preserve">Tyuftin, A.A., Holmes, J., Pathania, S., &amp; Kerry, J., 2023, </w:t>
      </w:r>
      <w:r w:rsidR="005D1C70" w:rsidRPr="005D1C70">
        <w:rPr>
          <w:lang w:val="en-US"/>
        </w:rPr>
        <w:t>Pectin as a biopolymer source for packaging films using a circular economy approach: Origins, extraction, structure and films properties</w:t>
      </w:r>
      <w:r w:rsidR="005D1C70">
        <w:rPr>
          <w:lang w:val="en-US"/>
        </w:rPr>
        <w:t xml:space="preserve">, </w:t>
      </w:r>
      <w:r w:rsidR="005D1C70" w:rsidRPr="005D1C70">
        <w:rPr>
          <w:lang w:val="en-US"/>
        </w:rPr>
        <w:t>Food Packaging and Shelf Life</w:t>
      </w:r>
      <w:r w:rsidR="005D1C70">
        <w:rPr>
          <w:lang w:val="en-US"/>
        </w:rPr>
        <w:t xml:space="preserve">, </w:t>
      </w:r>
      <w:r w:rsidR="005D1C70" w:rsidRPr="005D1C70">
        <w:rPr>
          <w:lang w:val="en-US"/>
        </w:rPr>
        <w:t>40, 101224</w:t>
      </w:r>
      <w:r w:rsidR="005D1C70">
        <w:rPr>
          <w:lang w:val="en-US"/>
        </w:rPr>
        <w:t>.</w:t>
      </w:r>
    </w:p>
    <w:p w14:paraId="2164E1E1" w14:textId="3E81FB9E" w:rsidR="002B3740" w:rsidRPr="00721E3E" w:rsidRDefault="002B3740" w:rsidP="00721E3E">
      <w:pPr>
        <w:pStyle w:val="CETReferencetext"/>
        <w:rPr>
          <w:lang w:val="en-US"/>
        </w:rPr>
      </w:pPr>
      <w:r w:rsidRPr="00721E3E">
        <w:rPr>
          <w:lang w:val="en-US"/>
        </w:rPr>
        <w:t xml:space="preserve">Carullo, D., Casson, A., Rovera, C., Ghaani, M., Bellesia, T., Guidetti, R., &amp; Farris, S., 2023, </w:t>
      </w:r>
      <w:r w:rsidR="00721E3E" w:rsidRPr="00721E3E">
        <w:rPr>
          <w:lang w:val="en-US"/>
        </w:rPr>
        <w:t>Testing a coated PE-based mono-material for food packaging applications: an in-depth performance comparison with conventional</w:t>
      </w:r>
      <w:r w:rsidR="00721E3E">
        <w:rPr>
          <w:lang w:val="en-US"/>
        </w:rPr>
        <w:t xml:space="preserve"> </w:t>
      </w:r>
      <w:r w:rsidR="00721E3E" w:rsidRPr="00721E3E">
        <w:rPr>
          <w:lang w:val="en-US"/>
        </w:rPr>
        <w:t>multi-layer configurations</w:t>
      </w:r>
      <w:r w:rsidR="00721E3E">
        <w:rPr>
          <w:lang w:val="en-US"/>
        </w:rPr>
        <w:t xml:space="preserve">, </w:t>
      </w:r>
      <w:r w:rsidR="00721E3E" w:rsidRPr="00721E3E">
        <w:rPr>
          <w:lang w:val="en-US"/>
        </w:rPr>
        <w:t>Food Packaging and Shelf Life</w:t>
      </w:r>
      <w:r w:rsidR="00721E3E">
        <w:rPr>
          <w:lang w:val="en-US"/>
        </w:rPr>
        <w:t>,</w:t>
      </w:r>
      <w:r w:rsidR="00721E3E" w:rsidRPr="00721E3E">
        <w:rPr>
          <w:lang w:val="en-US"/>
        </w:rPr>
        <w:t xml:space="preserve"> 39</w:t>
      </w:r>
      <w:r w:rsidR="00721E3E">
        <w:rPr>
          <w:lang w:val="en-US"/>
        </w:rPr>
        <w:t>,</w:t>
      </w:r>
      <w:r w:rsidR="00721E3E" w:rsidRPr="00721E3E">
        <w:rPr>
          <w:lang w:val="en-US"/>
        </w:rPr>
        <w:t xml:space="preserve"> 101143</w:t>
      </w:r>
      <w:r w:rsidR="00721E3E">
        <w:rPr>
          <w:lang w:val="en-US"/>
        </w:rPr>
        <w:t>.</w:t>
      </w:r>
    </w:p>
    <w:p w14:paraId="4F40F973" w14:textId="5EE13120" w:rsidR="00F5487A" w:rsidRPr="004A217B" w:rsidRDefault="00F5487A" w:rsidP="007C4706">
      <w:pPr>
        <w:pStyle w:val="CETReferencetext"/>
      </w:pPr>
      <w:r w:rsidRPr="004A217B">
        <w:rPr>
          <w:lang w:val="en-US"/>
        </w:rPr>
        <w:t xml:space="preserve">Cataldo, D.A., Maroon, M., Schrader, L.E., Youngs, V.L., 1975. Rapid colorimetric determination of nitrate in plant tissue by nitration of salicylic acid. </w:t>
      </w:r>
      <w:r w:rsidRPr="004A217B">
        <w:t xml:space="preserve">Commun Soil Sci Plant Anal 6, 71–80. </w:t>
      </w:r>
    </w:p>
    <w:p w14:paraId="39019EBD" w14:textId="77777777" w:rsidR="00416629" w:rsidRDefault="00416629" w:rsidP="00416629">
      <w:pPr>
        <w:pStyle w:val="CETReferencetext"/>
        <w:rPr>
          <w:lang w:val="en-US"/>
        </w:rPr>
      </w:pPr>
      <w:r w:rsidRPr="002510AF">
        <w:rPr>
          <w:lang w:val="en-US"/>
        </w:rPr>
        <w:t>Chen,</w:t>
      </w:r>
      <w:r>
        <w:rPr>
          <w:lang w:val="en-US"/>
        </w:rPr>
        <w:t xml:space="preserve"> R.,</w:t>
      </w:r>
      <w:r w:rsidRPr="002510AF">
        <w:rPr>
          <w:lang w:val="en-US"/>
        </w:rPr>
        <w:t xml:space="preserve"> Ratcliffe,</w:t>
      </w:r>
      <w:r>
        <w:rPr>
          <w:lang w:val="en-US"/>
        </w:rPr>
        <w:t xml:space="preserve"> I.,</w:t>
      </w:r>
      <w:r w:rsidRPr="002510AF">
        <w:rPr>
          <w:lang w:val="en-US"/>
        </w:rPr>
        <w:t xml:space="preserve"> Williams,</w:t>
      </w:r>
      <w:r>
        <w:rPr>
          <w:lang w:val="en-US"/>
        </w:rPr>
        <w:t xml:space="preserve"> P.A.,</w:t>
      </w:r>
      <w:r w:rsidRPr="002510AF">
        <w:rPr>
          <w:lang w:val="en-US"/>
        </w:rPr>
        <w:t xml:space="preserve"> Luo,</w:t>
      </w:r>
      <w:r>
        <w:rPr>
          <w:lang w:val="en-US"/>
        </w:rPr>
        <w:t xml:space="preserve"> S.,</w:t>
      </w:r>
      <w:r w:rsidRPr="002510AF">
        <w:rPr>
          <w:lang w:val="en-US"/>
        </w:rPr>
        <w:t xml:space="preserve"> Chen,</w:t>
      </w:r>
      <w:r>
        <w:rPr>
          <w:lang w:val="en-US"/>
        </w:rPr>
        <w:t xml:space="preserve"> J., &amp;</w:t>
      </w:r>
      <w:r w:rsidRPr="002510AF">
        <w:rPr>
          <w:lang w:val="en-US"/>
        </w:rPr>
        <w:t xml:space="preserve"> </w:t>
      </w:r>
      <w:r>
        <w:rPr>
          <w:lang w:val="en-US"/>
        </w:rPr>
        <w:t xml:space="preserve">Liu, C., 2021, </w:t>
      </w:r>
      <w:r w:rsidRPr="00600509">
        <w:rPr>
          <w:lang w:val="en-US"/>
        </w:rPr>
        <w:t>The influence of pH and monovalent ions on the gelation of pectin from the fruit seeds of the creeping fig plant</w:t>
      </w:r>
      <w:r>
        <w:rPr>
          <w:lang w:val="en-US"/>
        </w:rPr>
        <w:t xml:space="preserve">, Food Hydrocolloids, </w:t>
      </w:r>
      <w:r w:rsidRPr="00B452AD">
        <w:rPr>
          <w:lang w:val="en-US"/>
        </w:rPr>
        <w:t>111, 106219</w:t>
      </w:r>
      <w:r>
        <w:rPr>
          <w:lang w:val="en-US"/>
        </w:rPr>
        <w:t>.</w:t>
      </w:r>
    </w:p>
    <w:p w14:paraId="5149A88A" w14:textId="6D1EBCE1" w:rsidR="006B4888" w:rsidRDefault="008B40D9" w:rsidP="007C4706">
      <w:pPr>
        <w:pStyle w:val="CETReferencetext"/>
        <w:rPr>
          <w:lang w:val="it-IT"/>
        </w:rPr>
      </w:pPr>
      <w:r w:rsidRPr="008B40D9">
        <w:rPr>
          <w:lang w:val="it-IT"/>
        </w:rPr>
        <w:t>Cozzolino, C. A., Cerri, G., Brundu, A., &amp; Farris, S.</w:t>
      </w:r>
      <w:r w:rsidR="003E53F6">
        <w:rPr>
          <w:lang w:val="it-IT"/>
        </w:rPr>
        <w:t>,</w:t>
      </w:r>
      <w:r w:rsidRPr="008B40D9">
        <w:rPr>
          <w:lang w:val="it-IT"/>
        </w:rPr>
        <w:t xml:space="preserve"> 2014</w:t>
      </w:r>
      <w:r w:rsidR="003E53F6">
        <w:rPr>
          <w:lang w:val="it-IT"/>
        </w:rPr>
        <w:t>,</w:t>
      </w:r>
      <w:r w:rsidRPr="008B40D9">
        <w:rPr>
          <w:lang w:val="it-IT"/>
        </w:rPr>
        <w:t xml:space="preserve"> Microfibrillated cellulose</w:t>
      </w:r>
      <w:r w:rsidR="003E53F6">
        <w:rPr>
          <w:lang w:val="it-IT"/>
        </w:rPr>
        <w:t xml:space="preserve"> </w:t>
      </w:r>
      <w:r w:rsidRPr="008B40D9">
        <w:rPr>
          <w:lang w:val="it-IT"/>
        </w:rPr>
        <w:t>(MFC)</w:t>
      </w:r>
      <w:r w:rsidR="003E53F6">
        <w:rPr>
          <w:lang w:val="it-IT"/>
        </w:rPr>
        <w:t xml:space="preserve"> - </w:t>
      </w:r>
      <w:r w:rsidRPr="008B40D9">
        <w:rPr>
          <w:lang w:val="it-IT"/>
        </w:rPr>
        <w:t>pullulan bionanocomposite films</w:t>
      </w:r>
      <w:r w:rsidR="007C4706">
        <w:rPr>
          <w:lang w:val="it-IT"/>
        </w:rPr>
        <w:t>,</w:t>
      </w:r>
      <w:r w:rsidRPr="008B40D9">
        <w:rPr>
          <w:lang w:val="it-IT"/>
        </w:rPr>
        <w:t xml:space="preserve"> </w:t>
      </w:r>
      <w:r w:rsidRPr="007C4706">
        <w:rPr>
          <w:lang w:val="it-IT"/>
        </w:rPr>
        <w:t>Cellulose, 21, 4323–4335.</w:t>
      </w:r>
    </w:p>
    <w:p w14:paraId="5BFD37B4" w14:textId="77AEC92E" w:rsidR="009B0FE5" w:rsidRDefault="009B0FE5" w:rsidP="002C75EC">
      <w:pPr>
        <w:pStyle w:val="CETReferencetext"/>
        <w:rPr>
          <w:lang w:val="en-US"/>
        </w:rPr>
      </w:pPr>
      <w:r w:rsidRPr="002C75EC">
        <w:rPr>
          <w:lang w:val="en-US"/>
        </w:rPr>
        <w:t xml:space="preserve">Dahiya, S., Kumar, A.N., Sravan, J.S., Chatterjee, S., Sarkar, O., &amp; Venkata Mohan, S., 2018, </w:t>
      </w:r>
      <w:r w:rsidR="002C75EC" w:rsidRPr="002C75EC">
        <w:rPr>
          <w:lang w:val="en-US"/>
        </w:rPr>
        <w:t>Food waste biorefinery: Sustainable strategy for circular bioeconomy</w:t>
      </w:r>
      <w:r w:rsidR="002C75EC">
        <w:rPr>
          <w:lang w:val="en-US"/>
        </w:rPr>
        <w:t xml:space="preserve">, </w:t>
      </w:r>
      <w:r w:rsidR="002C75EC" w:rsidRPr="002C75EC">
        <w:rPr>
          <w:lang w:val="en-US"/>
        </w:rPr>
        <w:t>Bioresource Technology</w:t>
      </w:r>
      <w:r w:rsidR="002C75EC">
        <w:rPr>
          <w:lang w:val="en-US"/>
        </w:rPr>
        <w:t xml:space="preserve">, </w:t>
      </w:r>
      <w:r w:rsidR="002C75EC" w:rsidRPr="002C75EC">
        <w:rPr>
          <w:lang w:val="en-US"/>
        </w:rPr>
        <w:t>248, 2-12</w:t>
      </w:r>
      <w:r w:rsidR="002C75EC">
        <w:rPr>
          <w:lang w:val="en-US"/>
        </w:rPr>
        <w:t>.</w:t>
      </w:r>
    </w:p>
    <w:p w14:paraId="041D4938" w14:textId="56D5EE3D" w:rsidR="007D34F1" w:rsidRDefault="007D34F1" w:rsidP="007D34F1">
      <w:pPr>
        <w:pStyle w:val="CETReferencetext"/>
        <w:rPr>
          <w:lang w:val="en-US"/>
        </w:rPr>
      </w:pPr>
      <w:r w:rsidRPr="007D34F1">
        <w:rPr>
          <w:lang w:val="en-US"/>
        </w:rPr>
        <w:t xml:space="preserve">Fuentes, R. A., Berthe, J. A., Barbosa, S. E., </w:t>
      </w:r>
      <w:r>
        <w:rPr>
          <w:lang w:val="en-US"/>
        </w:rPr>
        <w:t>&amp;</w:t>
      </w:r>
      <w:r w:rsidRPr="007D34F1">
        <w:rPr>
          <w:lang w:val="en-US"/>
        </w:rPr>
        <w:t xml:space="preserve"> Castillo, L. A.</w:t>
      </w:r>
      <w:r>
        <w:rPr>
          <w:lang w:val="en-US"/>
        </w:rPr>
        <w:t>,</w:t>
      </w:r>
      <w:r w:rsidRPr="007D34F1">
        <w:rPr>
          <w:lang w:val="en-US"/>
        </w:rPr>
        <w:t xml:space="preserve"> 2021</w:t>
      </w:r>
      <w:r>
        <w:rPr>
          <w:lang w:val="en-US"/>
        </w:rPr>
        <w:t>,</w:t>
      </w:r>
      <w:r w:rsidRPr="007D34F1">
        <w:rPr>
          <w:lang w:val="en-US"/>
        </w:rPr>
        <w:t xml:space="preserve"> Development</w:t>
      </w:r>
      <w:r>
        <w:rPr>
          <w:lang w:val="en-US"/>
        </w:rPr>
        <w:t xml:space="preserve"> </w:t>
      </w:r>
      <w:r w:rsidRPr="007D34F1">
        <w:rPr>
          <w:lang w:val="en-US"/>
        </w:rPr>
        <w:t>of biodegradable pots from different agroindustrial wastes and byproducts</w:t>
      </w:r>
      <w:r>
        <w:rPr>
          <w:lang w:val="en-US"/>
        </w:rPr>
        <w:t xml:space="preserve">, </w:t>
      </w:r>
      <w:r w:rsidRPr="007D34F1">
        <w:rPr>
          <w:lang w:val="en-US"/>
        </w:rPr>
        <w:t>Sustain</w:t>
      </w:r>
      <w:r w:rsidR="009349D9">
        <w:rPr>
          <w:lang w:val="en-US"/>
        </w:rPr>
        <w:t xml:space="preserve">able </w:t>
      </w:r>
      <w:r w:rsidRPr="007D34F1">
        <w:rPr>
          <w:lang w:val="en-US"/>
        </w:rPr>
        <w:t>Mater</w:t>
      </w:r>
      <w:r w:rsidR="009349D9">
        <w:rPr>
          <w:lang w:val="en-US"/>
        </w:rPr>
        <w:t>ials &amp;</w:t>
      </w:r>
      <w:r w:rsidRPr="007D34F1">
        <w:rPr>
          <w:lang w:val="en-US"/>
        </w:rPr>
        <w:t xml:space="preserve"> Technol</w:t>
      </w:r>
      <w:r w:rsidR="009349D9">
        <w:rPr>
          <w:lang w:val="en-US"/>
        </w:rPr>
        <w:t>ogies,</w:t>
      </w:r>
      <w:r w:rsidRPr="007D34F1">
        <w:rPr>
          <w:lang w:val="en-US"/>
        </w:rPr>
        <w:t xml:space="preserve"> 30, e00338.</w:t>
      </w:r>
    </w:p>
    <w:p w14:paraId="3D15C96F" w14:textId="1586002B" w:rsidR="008A4176" w:rsidRPr="002C75EC" w:rsidRDefault="008A4176" w:rsidP="008A4176">
      <w:pPr>
        <w:pStyle w:val="CETReferencetext"/>
        <w:rPr>
          <w:lang w:val="en-US"/>
        </w:rPr>
      </w:pPr>
      <w:r w:rsidRPr="00491F5A">
        <w:rPr>
          <w:lang w:val="en-US"/>
        </w:rPr>
        <w:t>Hoffmann, T.G., Peters, D.A., Angioletti</w:t>
      </w:r>
      <w:r w:rsidR="00491F5A" w:rsidRPr="00491F5A">
        <w:rPr>
          <w:lang w:val="en-US"/>
        </w:rPr>
        <w:t xml:space="preserve">, B.L., </w:t>
      </w:r>
      <w:r w:rsidRPr="00491F5A">
        <w:rPr>
          <w:lang w:val="en-US"/>
        </w:rPr>
        <w:t>Bertoli</w:t>
      </w:r>
      <w:r w:rsidR="00491F5A" w:rsidRPr="00491F5A">
        <w:rPr>
          <w:lang w:val="en-US"/>
        </w:rPr>
        <w:t xml:space="preserve">, S.L., </w:t>
      </w:r>
      <w:r w:rsidRPr="00491F5A">
        <w:rPr>
          <w:lang w:val="en-US"/>
        </w:rPr>
        <w:t>Péres</w:t>
      </w:r>
      <w:r w:rsidR="00491F5A" w:rsidRPr="00491F5A">
        <w:rPr>
          <w:lang w:val="en-US"/>
        </w:rPr>
        <w:t>, L.V</w:t>
      </w:r>
      <w:r w:rsidR="00491F5A">
        <w:rPr>
          <w:lang w:val="en-US"/>
        </w:rPr>
        <w:t xml:space="preserve">., </w:t>
      </w:r>
      <w:r w:rsidRPr="00491F5A">
        <w:rPr>
          <w:lang w:val="en-US"/>
        </w:rPr>
        <w:t>Reiter</w:t>
      </w:r>
      <w:r w:rsidR="00491F5A">
        <w:rPr>
          <w:lang w:val="en-US"/>
        </w:rPr>
        <w:t xml:space="preserve">, M.G.R., &amp; </w:t>
      </w:r>
      <w:r w:rsidRPr="008A4176">
        <w:rPr>
          <w:lang w:val="en-US"/>
        </w:rPr>
        <w:t>de Souza</w:t>
      </w:r>
      <w:r w:rsidR="00491F5A">
        <w:rPr>
          <w:lang w:val="en-US"/>
        </w:rPr>
        <w:t xml:space="preserve">, C.K., 2019, </w:t>
      </w:r>
      <w:r w:rsidR="00620224" w:rsidRPr="00620224">
        <w:rPr>
          <w:lang w:val="en-US"/>
        </w:rPr>
        <w:t>Potentials Nanocomposites in Food Packaging</w:t>
      </w:r>
      <w:r w:rsidR="00620224">
        <w:rPr>
          <w:lang w:val="en-US"/>
        </w:rPr>
        <w:t>, Chemical Engineering Transactions, 75, 253 – 258.</w:t>
      </w:r>
      <w:r w:rsidR="00491F5A">
        <w:rPr>
          <w:lang w:val="en-US"/>
        </w:rPr>
        <w:t xml:space="preserve"> </w:t>
      </w:r>
    </w:p>
    <w:p w14:paraId="13B28D93" w14:textId="22AEAD7E" w:rsidR="00506341" w:rsidRDefault="00506341" w:rsidP="006B7416">
      <w:pPr>
        <w:pStyle w:val="CETReferencetext"/>
        <w:rPr>
          <w:lang w:val="en-US"/>
        </w:rPr>
      </w:pPr>
      <w:r w:rsidRPr="006B7416">
        <w:rPr>
          <w:lang w:val="en-US"/>
        </w:rPr>
        <w:t xml:space="preserve">Hoyos-Merlano, N.T., Borroni, V., Rodriguez-Batiller, M.J., Candal, R.J., &amp; Herrera, M.L., </w:t>
      </w:r>
      <w:r w:rsidR="006B7416" w:rsidRPr="006B7416">
        <w:rPr>
          <w:lang w:val="en-US"/>
        </w:rPr>
        <w:t>2022, Nanoreinforcement as a strategy to improve physical properties of biodegradable composite films based on biopolymers</w:t>
      </w:r>
      <w:r w:rsidR="006B7416">
        <w:rPr>
          <w:lang w:val="en-US"/>
        </w:rPr>
        <w:t xml:space="preserve">, </w:t>
      </w:r>
      <w:r w:rsidR="006B7416" w:rsidRPr="006B7416">
        <w:rPr>
          <w:lang w:val="en-US"/>
        </w:rPr>
        <w:t>Food Research International</w:t>
      </w:r>
      <w:r w:rsidR="006B7416">
        <w:rPr>
          <w:lang w:val="en-US"/>
        </w:rPr>
        <w:t xml:space="preserve">, </w:t>
      </w:r>
      <w:r w:rsidR="006B7416" w:rsidRPr="006B7416">
        <w:rPr>
          <w:lang w:val="en-US"/>
        </w:rPr>
        <w:t>162, 112178</w:t>
      </w:r>
      <w:r w:rsidR="006B7416">
        <w:rPr>
          <w:lang w:val="en-US"/>
        </w:rPr>
        <w:t>.</w:t>
      </w:r>
    </w:p>
    <w:p w14:paraId="5298D175" w14:textId="3F3C2A91" w:rsidR="00454549" w:rsidRPr="001B5E14" w:rsidRDefault="002D0536" w:rsidP="001B5E14">
      <w:pPr>
        <w:pStyle w:val="CETReferencetext"/>
        <w:rPr>
          <w:lang w:val="en-US"/>
        </w:rPr>
      </w:pPr>
      <w:r w:rsidRPr="001B5E14">
        <w:rPr>
          <w:lang w:val="en-US"/>
        </w:rPr>
        <w:t>Mapelli, F., Carullo, D., Farris, S., Ferrante,</w:t>
      </w:r>
      <w:r w:rsidR="001B5E14" w:rsidRPr="001B5E14">
        <w:rPr>
          <w:lang w:val="en-US"/>
        </w:rPr>
        <w:t xml:space="preserve"> A., </w:t>
      </w:r>
      <w:r w:rsidRPr="001B5E14">
        <w:rPr>
          <w:lang w:val="en-US"/>
        </w:rPr>
        <w:t>Bacenetti,</w:t>
      </w:r>
      <w:r w:rsidR="001B5E14" w:rsidRPr="001B5E14">
        <w:rPr>
          <w:lang w:val="en-US"/>
        </w:rPr>
        <w:t xml:space="preserve"> J.,</w:t>
      </w:r>
      <w:r w:rsidRPr="001B5E14">
        <w:rPr>
          <w:lang w:val="en-US"/>
        </w:rPr>
        <w:t xml:space="preserve"> Ventura,</w:t>
      </w:r>
      <w:r w:rsidR="001B5E14" w:rsidRPr="001B5E14">
        <w:rPr>
          <w:lang w:val="en-US"/>
        </w:rPr>
        <w:t xml:space="preserve"> V.,</w:t>
      </w:r>
      <w:r w:rsidRPr="001B5E14">
        <w:rPr>
          <w:lang w:val="en-US"/>
        </w:rPr>
        <w:t xml:space="preserve"> Frisio</w:t>
      </w:r>
      <w:r w:rsidR="001B5E14" w:rsidRPr="001B5E14">
        <w:rPr>
          <w:lang w:val="en-US"/>
        </w:rPr>
        <w:t>, D.,</w:t>
      </w:r>
      <w:r w:rsidRPr="001B5E14">
        <w:rPr>
          <w:lang w:val="en-US"/>
        </w:rPr>
        <w:t xml:space="preserve"> </w:t>
      </w:r>
      <w:r w:rsidR="001B5E14" w:rsidRPr="001B5E14">
        <w:rPr>
          <w:lang w:val="en-US"/>
        </w:rPr>
        <w:t xml:space="preserve">&amp; </w:t>
      </w:r>
      <w:r w:rsidRPr="001B5E14">
        <w:rPr>
          <w:lang w:val="en-US"/>
        </w:rPr>
        <w:t>Borin</w:t>
      </w:r>
      <w:r w:rsidR="001B5E14" w:rsidRPr="001B5E14">
        <w:rPr>
          <w:lang w:val="en-US"/>
        </w:rPr>
        <w:t>, S., 2022, Food Waste-Derived Biomaterials Enriched by Biostimulant Agents for</w:t>
      </w:r>
      <w:r w:rsidR="001B5E14">
        <w:rPr>
          <w:lang w:val="en-US"/>
        </w:rPr>
        <w:t xml:space="preserve"> </w:t>
      </w:r>
      <w:r w:rsidR="001B5E14" w:rsidRPr="001B5E14">
        <w:rPr>
          <w:lang w:val="en-US"/>
        </w:rPr>
        <w:t>Sustainable Horticultural Practices: A</w:t>
      </w:r>
      <w:r w:rsidR="001B5E14">
        <w:rPr>
          <w:lang w:val="en-US"/>
        </w:rPr>
        <w:t xml:space="preserve"> </w:t>
      </w:r>
      <w:r w:rsidR="001B5E14" w:rsidRPr="001B5E14">
        <w:rPr>
          <w:lang w:val="en-US"/>
        </w:rPr>
        <w:t>Possible Circular Solution</w:t>
      </w:r>
      <w:r w:rsidR="001B5E14">
        <w:rPr>
          <w:lang w:val="en-US"/>
        </w:rPr>
        <w:t xml:space="preserve">, </w:t>
      </w:r>
      <w:r w:rsidR="00627FDF" w:rsidRPr="00627FDF">
        <w:rPr>
          <w:lang w:val="en-US"/>
        </w:rPr>
        <w:t>Frontiers in Sustainability</w:t>
      </w:r>
      <w:r w:rsidR="00627FDF">
        <w:rPr>
          <w:lang w:val="en-US"/>
        </w:rPr>
        <w:t>, 3, 928970.</w:t>
      </w:r>
    </w:p>
    <w:p w14:paraId="6E71A689" w14:textId="1FFBA1E8" w:rsidR="006B7416" w:rsidRDefault="00787202" w:rsidP="00443CE4">
      <w:pPr>
        <w:pStyle w:val="CETReferencetext"/>
        <w:rPr>
          <w:lang w:val="en-US"/>
        </w:rPr>
      </w:pPr>
      <w:r w:rsidRPr="00787202">
        <w:rPr>
          <w:lang w:val="en-US"/>
        </w:rPr>
        <w:t>Mellinas,</w:t>
      </w:r>
      <w:r>
        <w:rPr>
          <w:lang w:val="en-US"/>
        </w:rPr>
        <w:t xml:space="preserve"> A.C.,</w:t>
      </w:r>
      <w:r w:rsidRPr="00787202">
        <w:rPr>
          <w:lang w:val="en-US"/>
        </w:rPr>
        <w:t xml:space="preserve"> Jiménez</w:t>
      </w:r>
      <w:r>
        <w:rPr>
          <w:lang w:val="en-US"/>
        </w:rPr>
        <w:t>, A., &amp;</w:t>
      </w:r>
      <w:r w:rsidRPr="00787202">
        <w:rPr>
          <w:lang w:val="en-US"/>
        </w:rPr>
        <w:t xml:space="preserve"> Garrigós</w:t>
      </w:r>
      <w:r>
        <w:rPr>
          <w:lang w:val="en-US"/>
        </w:rPr>
        <w:t xml:space="preserve">, M.C., 2020, </w:t>
      </w:r>
      <w:r w:rsidR="00443CE4" w:rsidRPr="00443CE4">
        <w:rPr>
          <w:lang w:val="en-US"/>
        </w:rPr>
        <w:t>Pectin-Based Films with Cocoa Bean Shell Waste</w:t>
      </w:r>
      <w:r w:rsidR="00443CE4">
        <w:rPr>
          <w:lang w:val="en-US"/>
        </w:rPr>
        <w:t xml:space="preserve"> </w:t>
      </w:r>
      <w:r w:rsidR="00443CE4" w:rsidRPr="00443CE4">
        <w:rPr>
          <w:lang w:val="en-US"/>
        </w:rPr>
        <w:t>Extract and ZnO/Zn-NPs with Enhanced Oxygen</w:t>
      </w:r>
      <w:r w:rsidR="00443CE4">
        <w:rPr>
          <w:lang w:val="en-US"/>
        </w:rPr>
        <w:t xml:space="preserve"> </w:t>
      </w:r>
      <w:r w:rsidR="00443CE4" w:rsidRPr="00443CE4">
        <w:rPr>
          <w:lang w:val="en-US"/>
        </w:rPr>
        <w:t>Barrier, Ultraviolet Screen and</w:t>
      </w:r>
      <w:r w:rsidR="00443CE4">
        <w:rPr>
          <w:lang w:val="en-US"/>
        </w:rPr>
        <w:t xml:space="preserve"> </w:t>
      </w:r>
      <w:r w:rsidR="00443CE4" w:rsidRPr="00443CE4">
        <w:rPr>
          <w:lang w:val="en-US"/>
        </w:rPr>
        <w:t>Photocatalytic Properties</w:t>
      </w:r>
      <w:r w:rsidR="00443CE4">
        <w:rPr>
          <w:lang w:val="en-US"/>
        </w:rPr>
        <w:t xml:space="preserve">, </w:t>
      </w:r>
      <w:r w:rsidR="00302FE7" w:rsidRPr="00302FE7">
        <w:rPr>
          <w:lang w:val="en-US"/>
        </w:rPr>
        <w:t>Foods</w:t>
      </w:r>
      <w:r w:rsidR="00302FE7">
        <w:rPr>
          <w:lang w:val="en-US"/>
        </w:rPr>
        <w:t>,</w:t>
      </w:r>
      <w:r w:rsidR="00302FE7" w:rsidRPr="00302FE7">
        <w:rPr>
          <w:lang w:val="en-US"/>
        </w:rPr>
        <w:t xml:space="preserve"> 9, 1572</w:t>
      </w:r>
      <w:r w:rsidR="00302FE7">
        <w:rPr>
          <w:lang w:val="en-US"/>
        </w:rPr>
        <w:t>.</w:t>
      </w:r>
    </w:p>
    <w:p w14:paraId="38D9D4F3" w14:textId="35BB5392" w:rsidR="00770F8C" w:rsidRDefault="00770F8C" w:rsidP="00B30023">
      <w:pPr>
        <w:pStyle w:val="CETReferencetext"/>
        <w:rPr>
          <w:lang w:val="en-US"/>
        </w:rPr>
      </w:pPr>
      <w:r>
        <w:rPr>
          <w:lang w:val="en-US"/>
        </w:rPr>
        <w:t>Qiang, T., Ren, W., &amp; Chen</w:t>
      </w:r>
      <w:r w:rsidR="00B30023">
        <w:rPr>
          <w:lang w:val="en-US"/>
        </w:rPr>
        <w:t xml:space="preserve">, L., 2024, </w:t>
      </w:r>
      <w:r w:rsidR="00B30023" w:rsidRPr="00B30023">
        <w:rPr>
          <w:lang w:val="en-US"/>
        </w:rPr>
        <w:t>Biodegradable, high mechanical strength, and eco-friendly pectin-based plastic film</w:t>
      </w:r>
      <w:r w:rsidR="00B30023">
        <w:rPr>
          <w:lang w:val="en-US"/>
        </w:rPr>
        <w:t xml:space="preserve">, </w:t>
      </w:r>
      <w:r w:rsidR="00B30023" w:rsidRPr="00B30023">
        <w:rPr>
          <w:lang w:val="en-US"/>
        </w:rPr>
        <w:t>Food Hydrocolloids</w:t>
      </w:r>
      <w:r w:rsidR="00B30023">
        <w:rPr>
          <w:lang w:val="en-US"/>
        </w:rPr>
        <w:t xml:space="preserve">, </w:t>
      </w:r>
      <w:r w:rsidR="00B30023" w:rsidRPr="00B30023">
        <w:rPr>
          <w:lang w:val="en-US"/>
        </w:rPr>
        <w:t>149, 109539</w:t>
      </w:r>
      <w:r w:rsidR="00B30023">
        <w:rPr>
          <w:lang w:val="en-US"/>
        </w:rPr>
        <w:t>.</w:t>
      </w:r>
    </w:p>
    <w:p w14:paraId="53B28727" w14:textId="2F64AA81" w:rsidR="00355D15" w:rsidRPr="00355D15" w:rsidRDefault="00355D15" w:rsidP="00355D15">
      <w:pPr>
        <w:pStyle w:val="CETReferencetext"/>
        <w:rPr>
          <w:lang w:val="en-US"/>
        </w:rPr>
      </w:pPr>
      <w:r w:rsidRPr="00355D15">
        <w:rPr>
          <w:lang w:val="en-US"/>
        </w:rPr>
        <w:t>Schettini, E., Santagata, G., Malinconico, M., Immirzi, B., Scarascia Mugnozza, G., &amp; Vox, G., 2013, Recycled wastes of tomato and hemp fibres for biodegradable pots:</w:t>
      </w:r>
      <w:r>
        <w:rPr>
          <w:lang w:val="en-US"/>
        </w:rPr>
        <w:t xml:space="preserve"> </w:t>
      </w:r>
      <w:r w:rsidRPr="00355D15">
        <w:rPr>
          <w:lang w:val="en-US"/>
        </w:rPr>
        <w:t>Physico-chemical characterization and field performance</w:t>
      </w:r>
      <w:r>
        <w:rPr>
          <w:lang w:val="en-US"/>
        </w:rPr>
        <w:t xml:space="preserve">, </w:t>
      </w:r>
      <w:r w:rsidRPr="00355D15">
        <w:rPr>
          <w:lang w:val="en-US"/>
        </w:rPr>
        <w:t>Resources, Conservation and Recycling</w:t>
      </w:r>
      <w:r>
        <w:rPr>
          <w:lang w:val="en-US"/>
        </w:rPr>
        <w:t>,</w:t>
      </w:r>
      <w:r w:rsidRPr="00355D15">
        <w:rPr>
          <w:lang w:val="en-US"/>
        </w:rPr>
        <w:t xml:space="preserve"> 70</w:t>
      </w:r>
      <w:r>
        <w:rPr>
          <w:lang w:val="en-US"/>
        </w:rPr>
        <w:t>,</w:t>
      </w:r>
      <w:r w:rsidRPr="00355D15">
        <w:rPr>
          <w:lang w:val="en-US"/>
        </w:rPr>
        <w:t xml:space="preserve"> 9</w:t>
      </w:r>
      <w:r>
        <w:rPr>
          <w:lang w:val="en-US"/>
        </w:rPr>
        <w:t xml:space="preserve"> </w:t>
      </w:r>
      <w:r w:rsidRPr="00355D15">
        <w:rPr>
          <w:lang w:val="en-US"/>
        </w:rPr>
        <w:t>– 19</w:t>
      </w:r>
      <w:r>
        <w:rPr>
          <w:lang w:val="en-US"/>
        </w:rPr>
        <w:t>.</w:t>
      </w:r>
    </w:p>
    <w:p w14:paraId="2F6D04D1" w14:textId="640B4DD4" w:rsidR="007374D5" w:rsidRPr="006820C3" w:rsidRDefault="007374D5" w:rsidP="006820C3">
      <w:pPr>
        <w:pStyle w:val="CETReferencetext"/>
        <w:rPr>
          <w:lang w:val="en-US"/>
        </w:rPr>
      </w:pPr>
      <w:r w:rsidRPr="006820C3">
        <w:rPr>
          <w:lang w:val="en-US"/>
        </w:rPr>
        <w:t xml:space="preserve">Seiler, E.R.D., Takeoka, Y., Rikukawa, M., &amp; Yoshizawa-Fujita, M., 2020, </w:t>
      </w:r>
      <w:r w:rsidR="006820C3" w:rsidRPr="006820C3">
        <w:rPr>
          <w:lang w:val="en-US"/>
        </w:rPr>
        <w:t>Development of a novel cellulose solvent based on</w:t>
      </w:r>
      <w:r w:rsidR="006820C3">
        <w:rPr>
          <w:lang w:val="en-US"/>
        </w:rPr>
        <w:t xml:space="preserve"> </w:t>
      </w:r>
      <w:r w:rsidR="006820C3" w:rsidRPr="006820C3">
        <w:rPr>
          <w:lang w:val="en-US"/>
        </w:rPr>
        <w:t>pyrrolidinium hydroxide and reliable solubility</w:t>
      </w:r>
      <w:r w:rsidR="006820C3">
        <w:rPr>
          <w:lang w:val="en-US"/>
        </w:rPr>
        <w:t xml:space="preserve"> </w:t>
      </w:r>
      <w:r w:rsidR="006820C3" w:rsidRPr="006820C3">
        <w:rPr>
          <w:lang w:val="en-US"/>
        </w:rPr>
        <w:t>analysis</w:t>
      </w:r>
      <w:r w:rsidR="006820C3">
        <w:rPr>
          <w:lang w:val="en-US"/>
        </w:rPr>
        <w:t>, RSC Advances, 10, 11475.</w:t>
      </w:r>
    </w:p>
    <w:p w14:paraId="19C4FC68" w14:textId="5426F7C1" w:rsidR="004628D2" w:rsidRDefault="005C7A26" w:rsidP="001560AC">
      <w:pPr>
        <w:pStyle w:val="CETReferencetext"/>
        <w:rPr>
          <w:lang w:val="en-US"/>
        </w:rPr>
      </w:pPr>
      <w:r w:rsidRPr="007D2D01">
        <w:rPr>
          <w:lang w:val="en-US"/>
        </w:rPr>
        <w:t xml:space="preserve">Tarique, J., Sapuan, S. M., &amp; Khalina, A., 2021, </w:t>
      </w:r>
      <w:r w:rsidR="007D2D01" w:rsidRPr="007D2D01">
        <w:rPr>
          <w:lang w:val="en-US"/>
        </w:rPr>
        <w:t>E</w:t>
      </w:r>
      <w:r w:rsidR="00E81065">
        <w:rPr>
          <w:lang w:val="en-US"/>
        </w:rPr>
        <w:t>f</w:t>
      </w:r>
      <w:r w:rsidR="007D2D01" w:rsidRPr="007D2D01">
        <w:rPr>
          <w:lang w:val="en-US"/>
        </w:rPr>
        <w:t>fect of glycerol plasticizer</w:t>
      </w:r>
      <w:r w:rsidR="007D2D01">
        <w:rPr>
          <w:lang w:val="en-US"/>
        </w:rPr>
        <w:t xml:space="preserve"> </w:t>
      </w:r>
      <w:r w:rsidR="007D2D01" w:rsidRPr="007D2D01">
        <w:rPr>
          <w:lang w:val="en-US"/>
        </w:rPr>
        <w:t>loading on the physical,</w:t>
      </w:r>
      <w:r w:rsidR="007D2D01">
        <w:rPr>
          <w:lang w:val="en-US"/>
        </w:rPr>
        <w:t xml:space="preserve"> </w:t>
      </w:r>
      <w:r w:rsidR="007D2D01" w:rsidRPr="007D2D01">
        <w:rPr>
          <w:lang w:val="en-US"/>
        </w:rPr>
        <w:t>mechanical, thermal, and barrier</w:t>
      </w:r>
      <w:r w:rsidR="007D2D01">
        <w:rPr>
          <w:lang w:val="en-US"/>
        </w:rPr>
        <w:t xml:space="preserve"> </w:t>
      </w:r>
      <w:r w:rsidR="007D2D01" w:rsidRPr="007D2D01">
        <w:rPr>
          <w:lang w:val="en-US"/>
        </w:rPr>
        <w:t>properties of arrowroot (Maranta</w:t>
      </w:r>
      <w:r w:rsidR="007D2D01">
        <w:rPr>
          <w:lang w:val="en-US"/>
        </w:rPr>
        <w:t xml:space="preserve"> </w:t>
      </w:r>
      <w:r w:rsidR="007D2D01" w:rsidRPr="007D2D01">
        <w:rPr>
          <w:lang w:val="en-US"/>
        </w:rPr>
        <w:t>arundinacea) starch biopolymers</w:t>
      </w:r>
      <w:r w:rsidR="007D2D01">
        <w:rPr>
          <w:lang w:val="en-US"/>
        </w:rPr>
        <w:t xml:space="preserve">, Scientific Reports, 11, </w:t>
      </w:r>
      <w:r w:rsidR="009D4D83">
        <w:rPr>
          <w:lang w:val="en-US"/>
        </w:rPr>
        <w:t>13900.</w:t>
      </w:r>
    </w:p>
    <w:p w14:paraId="05069B17" w14:textId="69787A86" w:rsidR="004D49C6" w:rsidRPr="00422D04" w:rsidRDefault="00422D04" w:rsidP="004D49C6">
      <w:pPr>
        <w:pStyle w:val="CETReferencetext"/>
        <w:rPr>
          <w:lang w:val="en-US"/>
        </w:rPr>
      </w:pPr>
      <w:r w:rsidRPr="00422D04">
        <w:rPr>
          <w:lang w:val="en-US"/>
        </w:rPr>
        <w:t>Viscusi, G., Liparoti, S., Pantani, R., &amp; Gorrasi, G., 2021, Natural resources derived biocomposites as potential carriers of green pesticides in agricultural field: Designing and fabrication of a pot-like device</w:t>
      </w:r>
      <w:r>
        <w:rPr>
          <w:lang w:val="en-US"/>
        </w:rPr>
        <w:t>, Journal of Applied Polymer Science, 138, e51240.</w:t>
      </w:r>
    </w:p>
    <w:sectPr w:rsidR="004D49C6" w:rsidRPr="00422D04" w:rsidSect="00F529EB">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BDE6" w14:textId="77777777" w:rsidR="00F529EB" w:rsidRDefault="00F529EB" w:rsidP="004F5E36">
      <w:r>
        <w:separator/>
      </w:r>
    </w:p>
  </w:endnote>
  <w:endnote w:type="continuationSeparator" w:id="0">
    <w:p w14:paraId="521764E2" w14:textId="77777777" w:rsidR="00F529EB" w:rsidRDefault="00F529E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972C" w14:textId="77777777" w:rsidR="00F529EB" w:rsidRDefault="00F529EB" w:rsidP="004F5E36">
      <w:r>
        <w:separator/>
      </w:r>
    </w:p>
  </w:footnote>
  <w:footnote w:type="continuationSeparator" w:id="0">
    <w:p w14:paraId="5A1EF16C" w14:textId="77777777" w:rsidR="00F529EB" w:rsidRDefault="00F529E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29BC616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2257447"/>
    <w:multiLevelType w:val="multilevel"/>
    <w:tmpl w:val="27BA814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D52599"/>
    <w:multiLevelType w:val="multilevel"/>
    <w:tmpl w:val="14229A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2E519E1"/>
    <w:multiLevelType w:val="multilevel"/>
    <w:tmpl w:val="73DA02D0"/>
    <w:lvl w:ilvl="0">
      <w:start w:val="3"/>
      <w:numFmt w:val="decimal"/>
      <w:lvlText w:val="%1."/>
      <w:lvlJc w:val="left"/>
      <w:pPr>
        <w:ind w:left="360" w:hanging="360"/>
      </w:pPr>
      <w:rPr>
        <w:rFonts w:hint="default"/>
      </w:rPr>
    </w:lvl>
    <w:lvl w:ilvl="1">
      <w:start w:val="1"/>
      <w:numFmt w:val="decimal"/>
      <w:pStyle w:val="CETheadingx"/>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36973560">
    <w:abstractNumId w:val="10"/>
  </w:num>
  <w:num w:numId="2" w16cid:durableId="1584290998">
    <w:abstractNumId w:val="8"/>
  </w:num>
  <w:num w:numId="3" w16cid:durableId="855195088">
    <w:abstractNumId w:val="3"/>
  </w:num>
  <w:num w:numId="4" w16cid:durableId="1655258609">
    <w:abstractNumId w:val="2"/>
  </w:num>
  <w:num w:numId="5" w16cid:durableId="2028871332">
    <w:abstractNumId w:val="1"/>
  </w:num>
  <w:num w:numId="6" w16cid:durableId="1590037586">
    <w:abstractNumId w:val="0"/>
  </w:num>
  <w:num w:numId="7" w16cid:durableId="1792940466">
    <w:abstractNumId w:val="9"/>
  </w:num>
  <w:num w:numId="8" w16cid:durableId="957567833">
    <w:abstractNumId w:val="7"/>
  </w:num>
  <w:num w:numId="9" w16cid:durableId="595595599">
    <w:abstractNumId w:val="6"/>
  </w:num>
  <w:num w:numId="10" w16cid:durableId="335620795">
    <w:abstractNumId w:val="5"/>
  </w:num>
  <w:num w:numId="11" w16cid:durableId="313486842">
    <w:abstractNumId w:val="4"/>
  </w:num>
  <w:num w:numId="12" w16cid:durableId="1079205986">
    <w:abstractNumId w:val="18"/>
  </w:num>
  <w:num w:numId="13" w16cid:durableId="833498864">
    <w:abstractNumId w:val="13"/>
  </w:num>
  <w:num w:numId="14" w16cid:durableId="225143428">
    <w:abstractNumId w:val="19"/>
  </w:num>
  <w:num w:numId="15" w16cid:durableId="398283538">
    <w:abstractNumId w:val="21"/>
  </w:num>
  <w:num w:numId="16" w16cid:durableId="1318920093">
    <w:abstractNumId w:val="20"/>
  </w:num>
  <w:num w:numId="17" w16cid:durableId="809371375">
    <w:abstractNumId w:val="12"/>
  </w:num>
  <w:num w:numId="18" w16cid:durableId="646016337">
    <w:abstractNumId w:val="13"/>
    <w:lvlOverride w:ilvl="0">
      <w:startOverride w:val="1"/>
    </w:lvlOverride>
  </w:num>
  <w:num w:numId="19" w16cid:durableId="1791318493">
    <w:abstractNumId w:val="17"/>
  </w:num>
  <w:num w:numId="20" w16cid:durableId="1720090226">
    <w:abstractNumId w:val="16"/>
  </w:num>
  <w:num w:numId="21" w16cid:durableId="1331064644">
    <w:abstractNumId w:val="15"/>
  </w:num>
  <w:num w:numId="22" w16cid:durableId="1358233603">
    <w:abstractNumId w:val="14"/>
  </w:num>
  <w:num w:numId="23" w16cid:durableId="796334029">
    <w:abstractNumId w:val="11"/>
  </w:num>
  <w:num w:numId="24" w16cid:durableId="94715247">
    <w:abstractNumId w:val="22"/>
  </w:num>
  <w:num w:numId="25" w16cid:durableId="12617911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sqgFADtbelYtAAAA"/>
  </w:docVars>
  <w:rsids>
    <w:rsidRoot w:val="000E414A"/>
    <w:rsid w:val="00000318"/>
    <w:rsid w:val="000016D4"/>
    <w:rsid w:val="000027C0"/>
    <w:rsid w:val="000052FB"/>
    <w:rsid w:val="000078C1"/>
    <w:rsid w:val="000117CB"/>
    <w:rsid w:val="00013968"/>
    <w:rsid w:val="000145E2"/>
    <w:rsid w:val="00017636"/>
    <w:rsid w:val="00022F6C"/>
    <w:rsid w:val="000236E2"/>
    <w:rsid w:val="00023A39"/>
    <w:rsid w:val="00024BFB"/>
    <w:rsid w:val="000254CF"/>
    <w:rsid w:val="00025E27"/>
    <w:rsid w:val="00026B4A"/>
    <w:rsid w:val="000307E1"/>
    <w:rsid w:val="0003148D"/>
    <w:rsid w:val="00031EEC"/>
    <w:rsid w:val="00032C02"/>
    <w:rsid w:val="00033562"/>
    <w:rsid w:val="00036755"/>
    <w:rsid w:val="00037161"/>
    <w:rsid w:val="0003758F"/>
    <w:rsid w:val="0004044D"/>
    <w:rsid w:val="000409CB"/>
    <w:rsid w:val="0004123A"/>
    <w:rsid w:val="000414E8"/>
    <w:rsid w:val="00042BC0"/>
    <w:rsid w:val="000444ED"/>
    <w:rsid w:val="00044C40"/>
    <w:rsid w:val="00046945"/>
    <w:rsid w:val="00050502"/>
    <w:rsid w:val="00051566"/>
    <w:rsid w:val="0005182D"/>
    <w:rsid w:val="000518D9"/>
    <w:rsid w:val="00051F10"/>
    <w:rsid w:val="000562A9"/>
    <w:rsid w:val="00062A9A"/>
    <w:rsid w:val="00065058"/>
    <w:rsid w:val="00067B02"/>
    <w:rsid w:val="00072E49"/>
    <w:rsid w:val="000736B1"/>
    <w:rsid w:val="00075281"/>
    <w:rsid w:val="00076C77"/>
    <w:rsid w:val="00077270"/>
    <w:rsid w:val="000807E2"/>
    <w:rsid w:val="0008388C"/>
    <w:rsid w:val="00086C39"/>
    <w:rsid w:val="000908FB"/>
    <w:rsid w:val="00091D12"/>
    <w:rsid w:val="000A03B2"/>
    <w:rsid w:val="000A162F"/>
    <w:rsid w:val="000A2F60"/>
    <w:rsid w:val="000A4688"/>
    <w:rsid w:val="000A50C5"/>
    <w:rsid w:val="000A565D"/>
    <w:rsid w:val="000A5976"/>
    <w:rsid w:val="000A5D63"/>
    <w:rsid w:val="000A7B41"/>
    <w:rsid w:val="000B1211"/>
    <w:rsid w:val="000B6403"/>
    <w:rsid w:val="000C13C7"/>
    <w:rsid w:val="000C16F9"/>
    <w:rsid w:val="000C1804"/>
    <w:rsid w:val="000C2F3D"/>
    <w:rsid w:val="000C67C5"/>
    <w:rsid w:val="000D0268"/>
    <w:rsid w:val="000D116A"/>
    <w:rsid w:val="000D34BE"/>
    <w:rsid w:val="000D4A32"/>
    <w:rsid w:val="000D4D14"/>
    <w:rsid w:val="000D51D2"/>
    <w:rsid w:val="000D6D53"/>
    <w:rsid w:val="000E102F"/>
    <w:rsid w:val="000E36F1"/>
    <w:rsid w:val="000E3A73"/>
    <w:rsid w:val="000E414A"/>
    <w:rsid w:val="000E4EDA"/>
    <w:rsid w:val="000F0475"/>
    <w:rsid w:val="000F093C"/>
    <w:rsid w:val="000F0979"/>
    <w:rsid w:val="000F3E34"/>
    <w:rsid w:val="000F5835"/>
    <w:rsid w:val="000F6BFF"/>
    <w:rsid w:val="000F6CA2"/>
    <w:rsid w:val="000F787B"/>
    <w:rsid w:val="00101016"/>
    <w:rsid w:val="0010198D"/>
    <w:rsid w:val="00106816"/>
    <w:rsid w:val="00106E70"/>
    <w:rsid w:val="00107BB5"/>
    <w:rsid w:val="00107D2B"/>
    <w:rsid w:val="00111D91"/>
    <w:rsid w:val="0011356E"/>
    <w:rsid w:val="001142F6"/>
    <w:rsid w:val="00114CF6"/>
    <w:rsid w:val="001157DA"/>
    <w:rsid w:val="00116DC2"/>
    <w:rsid w:val="0012091F"/>
    <w:rsid w:val="00124270"/>
    <w:rsid w:val="00124D69"/>
    <w:rsid w:val="00126BC2"/>
    <w:rsid w:val="001308B6"/>
    <w:rsid w:val="0013121F"/>
    <w:rsid w:val="00131CAB"/>
    <w:rsid w:val="00131E73"/>
    <w:rsid w:val="00131FE6"/>
    <w:rsid w:val="0013263F"/>
    <w:rsid w:val="001331DF"/>
    <w:rsid w:val="00134DE4"/>
    <w:rsid w:val="0014034D"/>
    <w:rsid w:val="0014086A"/>
    <w:rsid w:val="00142A01"/>
    <w:rsid w:val="00144409"/>
    <w:rsid w:val="00144D16"/>
    <w:rsid w:val="0014700A"/>
    <w:rsid w:val="00150E59"/>
    <w:rsid w:val="00152DE3"/>
    <w:rsid w:val="00154588"/>
    <w:rsid w:val="00155559"/>
    <w:rsid w:val="00155FA5"/>
    <w:rsid w:val="001560AC"/>
    <w:rsid w:val="00156F74"/>
    <w:rsid w:val="00156FA0"/>
    <w:rsid w:val="00162465"/>
    <w:rsid w:val="00162D92"/>
    <w:rsid w:val="00164CF9"/>
    <w:rsid w:val="001667A6"/>
    <w:rsid w:val="00170F6C"/>
    <w:rsid w:val="001730AB"/>
    <w:rsid w:val="00173722"/>
    <w:rsid w:val="001844FB"/>
    <w:rsid w:val="001846ED"/>
    <w:rsid w:val="00184AD6"/>
    <w:rsid w:val="00184C47"/>
    <w:rsid w:val="001874E3"/>
    <w:rsid w:val="001952D7"/>
    <w:rsid w:val="00195891"/>
    <w:rsid w:val="00196233"/>
    <w:rsid w:val="00196814"/>
    <w:rsid w:val="00196C19"/>
    <w:rsid w:val="001A0AE8"/>
    <w:rsid w:val="001A2023"/>
    <w:rsid w:val="001A3D76"/>
    <w:rsid w:val="001A44E6"/>
    <w:rsid w:val="001A4AF7"/>
    <w:rsid w:val="001A5457"/>
    <w:rsid w:val="001A60B1"/>
    <w:rsid w:val="001A7DF8"/>
    <w:rsid w:val="001B0349"/>
    <w:rsid w:val="001B05F0"/>
    <w:rsid w:val="001B1A19"/>
    <w:rsid w:val="001B1E93"/>
    <w:rsid w:val="001B49C5"/>
    <w:rsid w:val="001B4A7F"/>
    <w:rsid w:val="001B5E14"/>
    <w:rsid w:val="001B65C1"/>
    <w:rsid w:val="001C1BDF"/>
    <w:rsid w:val="001C1D15"/>
    <w:rsid w:val="001C5B10"/>
    <w:rsid w:val="001C684B"/>
    <w:rsid w:val="001D0CFB"/>
    <w:rsid w:val="001D0E36"/>
    <w:rsid w:val="001D212C"/>
    <w:rsid w:val="001D21AF"/>
    <w:rsid w:val="001D2810"/>
    <w:rsid w:val="001D2B13"/>
    <w:rsid w:val="001D2DB6"/>
    <w:rsid w:val="001D41D9"/>
    <w:rsid w:val="001D4425"/>
    <w:rsid w:val="001D457D"/>
    <w:rsid w:val="001D4ADE"/>
    <w:rsid w:val="001D53FC"/>
    <w:rsid w:val="001D7A45"/>
    <w:rsid w:val="001D7AB0"/>
    <w:rsid w:val="001E582B"/>
    <w:rsid w:val="001E5C90"/>
    <w:rsid w:val="001E7546"/>
    <w:rsid w:val="001F42A5"/>
    <w:rsid w:val="001F7B9D"/>
    <w:rsid w:val="002005B4"/>
    <w:rsid w:val="00201C93"/>
    <w:rsid w:val="00201F87"/>
    <w:rsid w:val="00204E5B"/>
    <w:rsid w:val="0020566E"/>
    <w:rsid w:val="00205CFD"/>
    <w:rsid w:val="00210F87"/>
    <w:rsid w:val="0021320C"/>
    <w:rsid w:val="00213AD5"/>
    <w:rsid w:val="00215384"/>
    <w:rsid w:val="00217B35"/>
    <w:rsid w:val="00217BFB"/>
    <w:rsid w:val="002207EB"/>
    <w:rsid w:val="002224B4"/>
    <w:rsid w:val="00222FF1"/>
    <w:rsid w:val="00223382"/>
    <w:rsid w:val="002340D8"/>
    <w:rsid w:val="00234832"/>
    <w:rsid w:val="00235F8C"/>
    <w:rsid w:val="0024292C"/>
    <w:rsid w:val="002447EF"/>
    <w:rsid w:val="00245446"/>
    <w:rsid w:val="00246151"/>
    <w:rsid w:val="00246859"/>
    <w:rsid w:val="00247E82"/>
    <w:rsid w:val="002510AF"/>
    <w:rsid w:val="00251550"/>
    <w:rsid w:val="002526BE"/>
    <w:rsid w:val="002529D9"/>
    <w:rsid w:val="0025759E"/>
    <w:rsid w:val="00257C41"/>
    <w:rsid w:val="00261DAC"/>
    <w:rsid w:val="00263777"/>
    <w:rsid w:val="00263B05"/>
    <w:rsid w:val="002645B7"/>
    <w:rsid w:val="00267F55"/>
    <w:rsid w:val="00271873"/>
    <w:rsid w:val="0027221A"/>
    <w:rsid w:val="00273513"/>
    <w:rsid w:val="00274F0F"/>
    <w:rsid w:val="00274FD1"/>
    <w:rsid w:val="002756D4"/>
    <w:rsid w:val="0027591D"/>
    <w:rsid w:val="00275B61"/>
    <w:rsid w:val="00280134"/>
    <w:rsid w:val="00280E6F"/>
    <w:rsid w:val="00280FAF"/>
    <w:rsid w:val="002810D0"/>
    <w:rsid w:val="00282175"/>
    <w:rsid w:val="00282656"/>
    <w:rsid w:val="00283097"/>
    <w:rsid w:val="00284AD0"/>
    <w:rsid w:val="0028647E"/>
    <w:rsid w:val="00291AE3"/>
    <w:rsid w:val="002922D7"/>
    <w:rsid w:val="00293994"/>
    <w:rsid w:val="00295070"/>
    <w:rsid w:val="00296B83"/>
    <w:rsid w:val="00297C7B"/>
    <w:rsid w:val="002A2F2D"/>
    <w:rsid w:val="002A4709"/>
    <w:rsid w:val="002A633B"/>
    <w:rsid w:val="002B26DC"/>
    <w:rsid w:val="002B3740"/>
    <w:rsid w:val="002B4015"/>
    <w:rsid w:val="002B4A57"/>
    <w:rsid w:val="002B4F9F"/>
    <w:rsid w:val="002B78CE"/>
    <w:rsid w:val="002C1DA3"/>
    <w:rsid w:val="002C2258"/>
    <w:rsid w:val="002C2FB6"/>
    <w:rsid w:val="002C4F7C"/>
    <w:rsid w:val="002C75EC"/>
    <w:rsid w:val="002D0536"/>
    <w:rsid w:val="002D23D5"/>
    <w:rsid w:val="002D7207"/>
    <w:rsid w:val="002D78FD"/>
    <w:rsid w:val="002E0B20"/>
    <w:rsid w:val="002E5FA7"/>
    <w:rsid w:val="002F0FB6"/>
    <w:rsid w:val="002F3309"/>
    <w:rsid w:val="002F50C6"/>
    <w:rsid w:val="003004FA"/>
    <w:rsid w:val="003008CE"/>
    <w:rsid w:val="003009B7"/>
    <w:rsid w:val="00300E56"/>
    <w:rsid w:val="0030152C"/>
    <w:rsid w:val="00302FE7"/>
    <w:rsid w:val="0030414B"/>
    <w:rsid w:val="0030452C"/>
    <w:rsid w:val="0030469C"/>
    <w:rsid w:val="00305D33"/>
    <w:rsid w:val="0030627A"/>
    <w:rsid w:val="003067DA"/>
    <w:rsid w:val="003157B3"/>
    <w:rsid w:val="00317500"/>
    <w:rsid w:val="0031787A"/>
    <w:rsid w:val="0032113F"/>
    <w:rsid w:val="00321CA6"/>
    <w:rsid w:val="0032351B"/>
    <w:rsid w:val="00323763"/>
    <w:rsid w:val="00323C5F"/>
    <w:rsid w:val="003245AE"/>
    <w:rsid w:val="00324F81"/>
    <w:rsid w:val="0032556F"/>
    <w:rsid w:val="00325C98"/>
    <w:rsid w:val="003261E6"/>
    <w:rsid w:val="003278E1"/>
    <w:rsid w:val="00327993"/>
    <w:rsid w:val="00333B64"/>
    <w:rsid w:val="00334C09"/>
    <w:rsid w:val="003359BC"/>
    <w:rsid w:val="00336454"/>
    <w:rsid w:val="00343D14"/>
    <w:rsid w:val="00351BAD"/>
    <w:rsid w:val="00352283"/>
    <w:rsid w:val="00352FA3"/>
    <w:rsid w:val="00352FD8"/>
    <w:rsid w:val="00353D20"/>
    <w:rsid w:val="0035580C"/>
    <w:rsid w:val="00355D15"/>
    <w:rsid w:val="003567B3"/>
    <w:rsid w:val="00356ADC"/>
    <w:rsid w:val="00357319"/>
    <w:rsid w:val="0035733E"/>
    <w:rsid w:val="003672FF"/>
    <w:rsid w:val="00371C89"/>
    <w:rsid w:val="00371E58"/>
    <w:rsid w:val="003723D4"/>
    <w:rsid w:val="00373212"/>
    <w:rsid w:val="00373FD6"/>
    <w:rsid w:val="00374585"/>
    <w:rsid w:val="00380A72"/>
    <w:rsid w:val="00380FC0"/>
    <w:rsid w:val="00381075"/>
    <w:rsid w:val="00381905"/>
    <w:rsid w:val="00381A89"/>
    <w:rsid w:val="00382DF3"/>
    <w:rsid w:val="00384CC8"/>
    <w:rsid w:val="003871FD"/>
    <w:rsid w:val="0039244D"/>
    <w:rsid w:val="003937F5"/>
    <w:rsid w:val="0039497A"/>
    <w:rsid w:val="00394EF8"/>
    <w:rsid w:val="003977AB"/>
    <w:rsid w:val="003A1E30"/>
    <w:rsid w:val="003A2829"/>
    <w:rsid w:val="003A539A"/>
    <w:rsid w:val="003A6FC6"/>
    <w:rsid w:val="003A7D1C"/>
    <w:rsid w:val="003B304B"/>
    <w:rsid w:val="003B3146"/>
    <w:rsid w:val="003B445E"/>
    <w:rsid w:val="003B5206"/>
    <w:rsid w:val="003B5ECA"/>
    <w:rsid w:val="003C20B7"/>
    <w:rsid w:val="003C24F6"/>
    <w:rsid w:val="003C267D"/>
    <w:rsid w:val="003C2E12"/>
    <w:rsid w:val="003C4FED"/>
    <w:rsid w:val="003C5350"/>
    <w:rsid w:val="003C58C5"/>
    <w:rsid w:val="003D7596"/>
    <w:rsid w:val="003E0941"/>
    <w:rsid w:val="003E0F52"/>
    <w:rsid w:val="003E1897"/>
    <w:rsid w:val="003E4B40"/>
    <w:rsid w:val="003E505D"/>
    <w:rsid w:val="003E53F6"/>
    <w:rsid w:val="003E687B"/>
    <w:rsid w:val="003F00DA"/>
    <w:rsid w:val="003F015E"/>
    <w:rsid w:val="003F0472"/>
    <w:rsid w:val="003F723C"/>
    <w:rsid w:val="00400414"/>
    <w:rsid w:val="0040153E"/>
    <w:rsid w:val="004023B9"/>
    <w:rsid w:val="00402946"/>
    <w:rsid w:val="00404FFF"/>
    <w:rsid w:val="0041160B"/>
    <w:rsid w:val="0041446B"/>
    <w:rsid w:val="0041520B"/>
    <w:rsid w:val="00416629"/>
    <w:rsid w:val="00420EB5"/>
    <w:rsid w:val="00422D04"/>
    <w:rsid w:val="004241C6"/>
    <w:rsid w:val="0042475A"/>
    <w:rsid w:val="00424EDC"/>
    <w:rsid w:val="004261D3"/>
    <w:rsid w:val="00426AB7"/>
    <w:rsid w:val="00426FB6"/>
    <w:rsid w:val="00434D7C"/>
    <w:rsid w:val="00435218"/>
    <w:rsid w:val="00435377"/>
    <w:rsid w:val="0043637A"/>
    <w:rsid w:val="00436E72"/>
    <w:rsid w:val="0044071E"/>
    <w:rsid w:val="0044329C"/>
    <w:rsid w:val="00443CE4"/>
    <w:rsid w:val="004448A6"/>
    <w:rsid w:val="0044723C"/>
    <w:rsid w:val="00447517"/>
    <w:rsid w:val="00447AF6"/>
    <w:rsid w:val="004518ED"/>
    <w:rsid w:val="00451C1F"/>
    <w:rsid w:val="00453062"/>
    <w:rsid w:val="0045370B"/>
    <w:rsid w:val="00453E24"/>
    <w:rsid w:val="00454549"/>
    <w:rsid w:val="00455C92"/>
    <w:rsid w:val="004561BD"/>
    <w:rsid w:val="00457456"/>
    <w:rsid w:val="004577FE"/>
    <w:rsid w:val="00457B9C"/>
    <w:rsid w:val="00460216"/>
    <w:rsid w:val="0046130A"/>
    <w:rsid w:val="0046164A"/>
    <w:rsid w:val="004625D7"/>
    <w:rsid w:val="004628D2"/>
    <w:rsid w:val="00462DCD"/>
    <w:rsid w:val="00463979"/>
    <w:rsid w:val="004648AD"/>
    <w:rsid w:val="00464F5F"/>
    <w:rsid w:val="004660BD"/>
    <w:rsid w:val="00467C8F"/>
    <w:rsid w:val="004703A9"/>
    <w:rsid w:val="0047094E"/>
    <w:rsid w:val="004717DC"/>
    <w:rsid w:val="004750DE"/>
    <w:rsid w:val="00475F9D"/>
    <w:rsid w:val="004760DE"/>
    <w:rsid w:val="004761E9"/>
    <w:rsid w:val="004763D7"/>
    <w:rsid w:val="00476C8F"/>
    <w:rsid w:val="00477406"/>
    <w:rsid w:val="00486B03"/>
    <w:rsid w:val="00486C93"/>
    <w:rsid w:val="00486D11"/>
    <w:rsid w:val="00491492"/>
    <w:rsid w:val="00491D51"/>
    <w:rsid w:val="00491F5A"/>
    <w:rsid w:val="00493E2A"/>
    <w:rsid w:val="0049423F"/>
    <w:rsid w:val="00494387"/>
    <w:rsid w:val="00497517"/>
    <w:rsid w:val="004A004E"/>
    <w:rsid w:val="004A0061"/>
    <w:rsid w:val="004A07F9"/>
    <w:rsid w:val="004A1268"/>
    <w:rsid w:val="004A15B5"/>
    <w:rsid w:val="004A217B"/>
    <w:rsid w:val="004A24CF"/>
    <w:rsid w:val="004A5B34"/>
    <w:rsid w:val="004A7D4B"/>
    <w:rsid w:val="004B3B87"/>
    <w:rsid w:val="004B68E9"/>
    <w:rsid w:val="004B6BF8"/>
    <w:rsid w:val="004B7C41"/>
    <w:rsid w:val="004B7F0A"/>
    <w:rsid w:val="004C295E"/>
    <w:rsid w:val="004C3095"/>
    <w:rsid w:val="004C3123"/>
    <w:rsid w:val="004C372F"/>
    <w:rsid w:val="004C3D1D"/>
    <w:rsid w:val="004C3D84"/>
    <w:rsid w:val="004C4494"/>
    <w:rsid w:val="004C4CD3"/>
    <w:rsid w:val="004C5DAD"/>
    <w:rsid w:val="004C6A9A"/>
    <w:rsid w:val="004C7913"/>
    <w:rsid w:val="004D2736"/>
    <w:rsid w:val="004D49C6"/>
    <w:rsid w:val="004E10B1"/>
    <w:rsid w:val="004E3B1A"/>
    <w:rsid w:val="004E4DD6"/>
    <w:rsid w:val="004E5EE5"/>
    <w:rsid w:val="004E61BE"/>
    <w:rsid w:val="004F0E36"/>
    <w:rsid w:val="004F1383"/>
    <w:rsid w:val="004F23B9"/>
    <w:rsid w:val="004F4FFD"/>
    <w:rsid w:val="004F5E36"/>
    <w:rsid w:val="004F644D"/>
    <w:rsid w:val="005004DA"/>
    <w:rsid w:val="005027E2"/>
    <w:rsid w:val="00505599"/>
    <w:rsid w:val="00505936"/>
    <w:rsid w:val="00506341"/>
    <w:rsid w:val="00507B47"/>
    <w:rsid w:val="00507BEF"/>
    <w:rsid w:val="00507CC9"/>
    <w:rsid w:val="005119A5"/>
    <w:rsid w:val="00516AAC"/>
    <w:rsid w:val="00520018"/>
    <w:rsid w:val="005213C4"/>
    <w:rsid w:val="00521FAC"/>
    <w:rsid w:val="005236F4"/>
    <w:rsid w:val="005250FC"/>
    <w:rsid w:val="0052642A"/>
    <w:rsid w:val="005266B0"/>
    <w:rsid w:val="00527467"/>
    <w:rsid w:val="005278B7"/>
    <w:rsid w:val="00532016"/>
    <w:rsid w:val="005346C8"/>
    <w:rsid w:val="00534DD2"/>
    <w:rsid w:val="00535206"/>
    <w:rsid w:val="0053533D"/>
    <w:rsid w:val="00541950"/>
    <w:rsid w:val="00542156"/>
    <w:rsid w:val="00543093"/>
    <w:rsid w:val="00543E7D"/>
    <w:rsid w:val="00546C92"/>
    <w:rsid w:val="00547895"/>
    <w:rsid w:val="00547A68"/>
    <w:rsid w:val="00547F56"/>
    <w:rsid w:val="00550E20"/>
    <w:rsid w:val="00552107"/>
    <w:rsid w:val="0055245C"/>
    <w:rsid w:val="005531C9"/>
    <w:rsid w:val="00555696"/>
    <w:rsid w:val="0055651B"/>
    <w:rsid w:val="0055686A"/>
    <w:rsid w:val="00560B3A"/>
    <w:rsid w:val="00563912"/>
    <w:rsid w:val="005639B5"/>
    <w:rsid w:val="00564B43"/>
    <w:rsid w:val="0056515C"/>
    <w:rsid w:val="00566DEC"/>
    <w:rsid w:val="00567683"/>
    <w:rsid w:val="00567E23"/>
    <w:rsid w:val="005704CA"/>
    <w:rsid w:val="00570C43"/>
    <w:rsid w:val="0057415A"/>
    <w:rsid w:val="0057721C"/>
    <w:rsid w:val="0058169F"/>
    <w:rsid w:val="00583F24"/>
    <w:rsid w:val="005842C7"/>
    <w:rsid w:val="00590F90"/>
    <w:rsid w:val="005915C2"/>
    <w:rsid w:val="00594201"/>
    <w:rsid w:val="005944DE"/>
    <w:rsid w:val="00596ED4"/>
    <w:rsid w:val="005971CD"/>
    <w:rsid w:val="005A34EC"/>
    <w:rsid w:val="005A4685"/>
    <w:rsid w:val="005A6810"/>
    <w:rsid w:val="005B2110"/>
    <w:rsid w:val="005B3609"/>
    <w:rsid w:val="005B368F"/>
    <w:rsid w:val="005B3F95"/>
    <w:rsid w:val="005B439B"/>
    <w:rsid w:val="005B4D8F"/>
    <w:rsid w:val="005B61E6"/>
    <w:rsid w:val="005B6240"/>
    <w:rsid w:val="005B72D9"/>
    <w:rsid w:val="005B7F1C"/>
    <w:rsid w:val="005C4F36"/>
    <w:rsid w:val="005C77E1"/>
    <w:rsid w:val="005C7A26"/>
    <w:rsid w:val="005D1C70"/>
    <w:rsid w:val="005D2C16"/>
    <w:rsid w:val="005D668A"/>
    <w:rsid w:val="005D6A2F"/>
    <w:rsid w:val="005E064D"/>
    <w:rsid w:val="005E1A82"/>
    <w:rsid w:val="005E3ED2"/>
    <w:rsid w:val="005E3EE6"/>
    <w:rsid w:val="005E3F9D"/>
    <w:rsid w:val="005E47F9"/>
    <w:rsid w:val="005E6688"/>
    <w:rsid w:val="005E794C"/>
    <w:rsid w:val="005F0A28"/>
    <w:rsid w:val="005F0C4D"/>
    <w:rsid w:val="005F0E5E"/>
    <w:rsid w:val="005F18EE"/>
    <w:rsid w:val="005F5247"/>
    <w:rsid w:val="005F5FBD"/>
    <w:rsid w:val="005F7140"/>
    <w:rsid w:val="00600509"/>
    <w:rsid w:val="00600535"/>
    <w:rsid w:val="0060072F"/>
    <w:rsid w:val="006007E2"/>
    <w:rsid w:val="006013FD"/>
    <w:rsid w:val="00610A95"/>
    <w:rsid w:val="00610CD6"/>
    <w:rsid w:val="00611174"/>
    <w:rsid w:val="00612BC7"/>
    <w:rsid w:val="00614EAE"/>
    <w:rsid w:val="00620224"/>
    <w:rsid w:val="00620AA2"/>
    <w:rsid w:val="00620DEE"/>
    <w:rsid w:val="0062170D"/>
    <w:rsid w:val="00621D84"/>
    <w:rsid w:val="00621F92"/>
    <w:rsid w:val="0062280A"/>
    <w:rsid w:val="00623686"/>
    <w:rsid w:val="00624BA9"/>
    <w:rsid w:val="00625639"/>
    <w:rsid w:val="0062570D"/>
    <w:rsid w:val="00625AD4"/>
    <w:rsid w:val="00627FDF"/>
    <w:rsid w:val="006311EC"/>
    <w:rsid w:val="00631B33"/>
    <w:rsid w:val="00631CB3"/>
    <w:rsid w:val="00633333"/>
    <w:rsid w:val="00633CDC"/>
    <w:rsid w:val="006344DD"/>
    <w:rsid w:val="006408FA"/>
    <w:rsid w:val="00640E34"/>
    <w:rsid w:val="006410E4"/>
    <w:rsid w:val="0064184D"/>
    <w:rsid w:val="00641B53"/>
    <w:rsid w:val="006422CC"/>
    <w:rsid w:val="006434F9"/>
    <w:rsid w:val="00645E63"/>
    <w:rsid w:val="00653957"/>
    <w:rsid w:val="00655611"/>
    <w:rsid w:val="006565E7"/>
    <w:rsid w:val="006579D7"/>
    <w:rsid w:val="00657CE1"/>
    <w:rsid w:val="00660E3E"/>
    <w:rsid w:val="00662804"/>
    <w:rsid w:val="00662E74"/>
    <w:rsid w:val="00663405"/>
    <w:rsid w:val="00663C0C"/>
    <w:rsid w:val="0066449E"/>
    <w:rsid w:val="0066733C"/>
    <w:rsid w:val="00671767"/>
    <w:rsid w:val="0067518D"/>
    <w:rsid w:val="00680C23"/>
    <w:rsid w:val="006820C3"/>
    <w:rsid w:val="006829C4"/>
    <w:rsid w:val="00684A5F"/>
    <w:rsid w:val="00687950"/>
    <w:rsid w:val="00690D39"/>
    <w:rsid w:val="00693766"/>
    <w:rsid w:val="00695CB0"/>
    <w:rsid w:val="00696010"/>
    <w:rsid w:val="00697959"/>
    <w:rsid w:val="006A1046"/>
    <w:rsid w:val="006A3281"/>
    <w:rsid w:val="006A3697"/>
    <w:rsid w:val="006A3C2B"/>
    <w:rsid w:val="006A441B"/>
    <w:rsid w:val="006A4EC9"/>
    <w:rsid w:val="006A7027"/>
    <w:rsid w:val="006B1761"/>
    <w:rsid w:val="006B1C38"/>
    <w:rsid w:val="006B4888"/>
    <w:rsid w:val="006B4A0A"/>
    <w:rsid w:val="006B4B23"/>
    <w:rsid w:val="006B7416"/>
    <w:rsid w:val="006B7AA5"/>
    <w:rsid w:val="006B7CDA"/>
    <w:rsid w:val="006C0521"/>
    <w:rsid w:val="006C23FE"/>
    <w:rsid w:val="006C2770"/>
    <w:rsid w:val="006C2E45"/>
    <w:rsid w:val="006C359C"/>
    <w:rsid w:val="006C5579"/>
    <w:rsid w:val="006D0D8F"/>
    <w:rsid w:val="006D1093"/>
    <w:rsid w:val="006D11B5"/>
    <w:rsid w:val="006D1D74"/>
    <w:rsid w:val="006D4CA6"/>
    <w:rsid w:val="006D4CFB"/>
    <w:rsid w:val="006D5BAC"/>
    <w:rsid w:val="006D6B74"/>
    <w:rsid w:val="006D6E8B"/>
    <w:rsid w:val="006D6FE4"/>
    <w:rsid w:val="006D745F"/>
    <w:rsid w:val="006D74B7"/>
    <w:rsid w:val="006E5023"/>
    <w:rsid w:val="006E6902"/>
    <w:rsid w:val="006E737D"/>
    <w:rsid w:val="006E7F20"/>
    <w:rsid w:val="006F1501"/>
    <w:rsid w:val="006F43D0"/>
    <w:rsid w:val="006F4CCA"/>
    <w:rsid w:val="006F5B41"/>
    <w:rsid w:val="006F65C3"/>
    <w:rsid w:val="006F7F7C"/>
    <w:rsid w:val="00700DFE"/>
    <w:rsid w:val="00702019"/>
    <w:rsid w:val="00703615"/>
    <w:rsid w:val="007072A1"/>
    <w:rsid w:val="00712BF6"/>
    <w:rsid w:val="00713973"/>
    <w:rsid w:val="00713A95"/>
    <w:rsid w:val="00713E9F"/>
    <w:rsid w:val="00715AF3"/>
    <w:rsid w:val="007170AC"/>
    <w:rsid w:val="0072092C"/>
    <w:rsid w:val="00720A24"/>
    <w:rsid w:val="00721E3E"/>
    <w:rsid w:val="007226DD"/>
    <w:rsid w:val="00722BDE"/>
    <w:rsid w:val="00722DE1"/>
    <w:rsid w:val="00723169"/>
    <w:rsid w:val="007267B0"/>
    <w:rsid w:val="007274D9"/>
    <w:rsid w:val="00730B17"/>
    <w:rsid w:val="00732386"/>
    <w:rsid w:val="0073514D"/>
    <w:rsid w:val="00736A4B"/>
    <w:rsid w:val="00737457"/>
    <w:rsid w:val="007374D5"/>
    <w:rsid w:val="00740E04"/>
    <w:rsid w:val="007447F3"/>
    <w:rsid w:val="00746B4F"/>
    <w:rsid w:val="00753314"/>
    <w:rsid w:val="00753864"/>
    <w:rsid w:val="007542AF"/>
    <w:rsid w:val="00754645"/>
    <w:rsid w:val="0075499F"/>
    <w:rsid w:val="0075501C"/>
    <w:rsid w:val="007563FE"/>
    <w:rsid w:val="00757D62"/>
    <w:rsid w:val="007661C8"/>
    <w:rsid w:val="0077098D"/>
    <w:rsid w:val="00770F8C"/>
    <w:rsid w:val="00771226"/>
    <w:rsid w:val="00771CEF"/>
    <w:rsid w:val="007811BA"/>
    <w:rsid w:val="00783107"/>
    <w:rsid w:val="00783898"/>
    <w:rsid w:val="00786F7E"/>
    <w:rsid w:val="00787202"/>
    <w:rsid w:val="00790A9F"/>
    <w:rsid w:val="007910EA"/>
    <w:rsid w:val="007931FA"/>
    <w:rsid w:val="0079681C"/>
    <w:rsid w:val="00796E75"/>
    <w:rsid w:val="00797C5E"/>
    <w:rsid w:val="007A4861"/>
    <w:rsid w:val="007A6950"/>
    <w:rsid w:val="007A7BBA"/>
    <w:rsid w:val="007B0C50"/>
    <w:rsid w:val="007B2C6E"/>
    <w:rsid w:val="007B3A8D"/>
    <w:rsid w:val="007B48F9"/>
    <w:rsid w:val="007B70C1"/>
    <w:rsid w:val="007C05EF"/>
    <w:rsid w:val="007C1A43"/>
    <w:rsid w:val="007C1DC5"/>
    <w:rsid w:val="007C342C"/>
    <w:rsid w:val="007C4706"/>
    <w:rsid w:val="007C5F88"/>
    <w:rsid w:val="007D0951"/>
    <w:rsid w:val="007D14A0"/>
    <w:rsid w:val="007D1BC2"/>
    <w:rsid w:val="007D2D01"/>
    <w:rsid w:val="007D34F1"/>
    <w:rsid w:val="007D4DC0"/>
    <w:rsid w:val="007D61DB"/>
    <w:rsid w:val="007E12ED"/>
    <w:rsid w:val="007E1994"/>
    <w:rsid w:val="007E3943"/>
    <w:rsid w:val="007E482C"/>
    <w:rsid w:val="007E5D22"/>
    <w:rsid w:val="007E5F3D"/>
    <w:rsid w:val="007E6C3D"/>
    <w:rsid w:val="007F00D0"/>
    <w:rsid w:val="007F0CDC"/>
    <w:rsid w:val="007F19D6"/>
    <w:rsid w:val="007F2691"/>
    <w:rsid w:val="007F634B"/>
    <w:rsid w:val="007F73E6"/>
    <w:rsid w:val="007F7BEF"/>
    <w:rsid w:val="0080013E"/>
    <w:rsid w:val="0080049E"/>
    <w:rsid w:val="00801690"/>
    <w:rsid w:val="00803276"/>
    <w:rsid w:val="00805107"/>
    <w:rsid w:val="00805242"/>
    <w:rsid w:val="00812EB9"/>
    <w:rsid w:val="00813288"/>
    <w:rsid w:val="008132CD"/>
    <w:rsid w:val="00815C67"/>
    <w:rsid w:val="008168FC"/>
    <w:rsid w:val="008210EB"/>
    <w:rsid w:val="00822B8D"/>
    <w:rsid w:val="00822CFC"/>
    <w:rsid w:val="0082358C"/>
    <w:rsid w:val="0082579E"/>
    <w:rsid w:val="00830240"/>
    <w:rsid w:val="00830996"/>
    <w:rsid w:val="00831D6A"/>
    <w:rsid w:val="0083244D"/>
    <w:rsid w:val="008345F1"/>
    <w:rsid w:val="00834990"/>
    <w:rsid w:val="00834E61"/>
    <w:rsid w:val="008359EE"/>
    <w:rsid w:val="00836AAF"/>
    <w:rsid w:val="00836FFE"/>
    <w:rsid w:val="0084055F"/>
    <w:rsid w:val="008417D4"/>
    <w:rsid w:val="00843EAC"/>
    <w:rsid w:val="00845349"/>
    <w:rsid w:val="00846876"/>
    <w:rsid w:val="00853250"/>
    <w:rsid w:val="00853A05"/>
    <w:rsid w:val="00864652"/>
    <w:rsid w:val="00864BFC"/>
    <w:rsid w:val="00865B07"/>
    <w:rsid w:val="008667EA"/>
    <w:rsid w:val="0087460A"/>
    <w:rsid w:val="00874F02"/>
    <w:rsid w:val="008754CB"/>
    <w:rsid w:val="0087637F"/>
    <w:rsid w:val="008800F7"/>
    <w:rsid w:val="00880157"/>
    <w:rsid w:val="0088067D"/>
    <w:rsid w:val="008839A3"/>
    <w:rsid w:val="00883A39"/>
    <w:rsid w:val="008855D8"/>
    <w:rsid w:val="008870FF"/>
    <w:rsid w:val="008901DE"/>
    <w:rsid w:val="00892116"/>
    <w:rsid w:val="00892491"/>
    <w:rsid w:val="00892AD5"/>
    <w:rsid w:val="0089336F"/>
    <w:rsid w:val="00893A62"/>
    <w:rsid w:val="00893F5A"/>
    <w:rsid w:val="008940A8"/>
    <w:rsid w:val="00894619"/>
    <w:rsid w:val="00895505"/>
    <w:rsid w:val="008965D4"/>
    <w:rsid w:val="008A1512"/>
    <w:rsid w:val="008A1F32"/>
    <w:rsid w:val="008A4176"/>
    <w:rsid w:val="008A4B4E"/>
    <w:rsid w:val="008A58AC"/>
    <w:rsid w:val="008A66B8"/>
    <w:rsid w:val="008B0CE3"/>
    <w:rsid w:val="008B375A"/>
    <w:rsid w:val="008B40D9"/>
    <w:rsid w:val="008B4125"/>
    <w:rsid w:val="008B4402"/>
    <w:rsid w:val="008B4A8F"/>
    <w:rsid w:val="008B4DA1"/>
    <w:rsid w:val="008B7C03"/>
    <w:rsid w:val="008C0C04"/>
    <w:rsid w:val="008C3B37"/>
    <w:rsid w:val="008C3FA5"/>
    <w:rsid w:val="008C7742"/>
    <w:rsid w:val="008D00AC"/>
    <w:rsid w:val="008D1700"/>
    <w:rsid w:val="008D2CFE"/>
    <w:rsid w:val="008D3068"/>
    <w:rsid w:val="008D32B9"/>
    <w:rsid w:val="008D433B"/>
    <w:rsid w:val="008D4A16"/>
    <w:rsid w:val="008D5A61"/>
    <w:rsid w:val="008E0222"/>
    <w:rsid w:val="008E566E"/>
    <w:rsid w:val="008E709A"/>
    <w:rsid w:val="008E71D8"/>
    <w:rsid w:val="008F1F2C"/>
    <w:rsid w:val="008F45F0"/>
    <w:rsid w:val="008F4ACE"/>
    <w:rsid w:val="008F5916"/>
    <w:rsid w:val="008F7212"/>
    <w:rsid w:val="00900B60"/>
    <w:rsid w:val="00901160"/>
    <w:rsid w:val="0090161A"/>
    <w:rsid w:val="00901EB6"/>
    <w:rsid w:val="00904C62"/>
    <w:rsid w:val="009059E9"/>
    <w:rsid w:val="009071E3"/>
    <w:rsid w:val="00910999"/>
    <w:rsid w:val="00910BDD"/>
    <w:rsid w:val="00911241"/>
    <w:rsid w:val="00912D40"/>
    <w:rsid w:val="0091410D"/>
    <w:rsid w:val="00914E17"/>
    <w:rsid w:val="00915B1D"/>
    <w:rsid w:val="00916255"/>
    <w:rsid w:val="00917C12"/>
    <w:rsid w:val="0092023B"/>
    <w:rsid w:val="00922BA8"/>
    <w:rsid w:val="00923604"/>
    <w:rsid w:val="0092393E"/>
    <w:rsid w:val="0092445A"/>
    <w:rsid w:val="00924DAC"/>
    <w:rsid w:val="00925311"/>
    <w:rsid w:val="00927058"/>
    <w:rsid w:val="00927B86"/>
    <w:rsid w:val="00930479"/>
    <w:rsid w:val="009306A0"/>
    <w:rsid w:val="00931D92"/>
    <w:rsid w:val="00931E8E"/>
    <w:rsid w:val="00932333"/>
    <w:rsid w:val="00933C1A"/>
    <w:rsid w:val="0093407E"/>
    <w:rsid w:val="009349D9"/>
    <w:rsid w:val="00935A11"/>
    <w:rsid w:val="00936132"/>
    <w:rsid w:val="00936581"/>
    <w:rsid w:val="00937AD3"/>
    <w:rsid w:val="00940133"/>
    <w:rsid w:val="0094018C"/>
    <w:rsid w:val="00940EAF"/>
    <w:rsid w:val="00941BE8"/>
    <w:rsid w:val="00942750"/>
    <w:rsid w:val="009450CE"/>
    <w:rsid w:val="009459BB"/>
    <w:rsid w:val="00946C53"/>
    <w:rsid w:val="00947179"/>
    <w:rsid w:val="00950C82"/>
    <w:rsid w:val="0095164B"/>
    <w:rsid w:val="00954090"/>
    <w:rsid w:val="009542A1"/>
    <w:rsid w:val="00954858"/>
    <w:rsid w:val="00955A84"/>
    <w:rsid w:val="009560CD"/>
    <w:rsid w:val="00956FD2"/>
    <w:rsid w:val="009573E7"/>
    <w:rsid w:val="0096066A"/>
    <w:rsid w:val="009612E2"/>
    <w:rsid w:val="009627A4"/>
    <w:rsid w:val="00963E05"/>
    <w:rsid w:val="00964A45"/>
    <w:rsid w:val="00967843"/>
    <w:rsid w:val="00967D54"/>
    <w:rsid w:val="00970566"/>
    <w:rsid w:val="009705C1"/>
    <w:rsid w:val="00971028"/>
    <w:rsid w:val="00972A3C"/>
    <w:rsid w:val="009745A7"/>
    <w:rsid w:val="00976EAE"/>
    <w:rsid w:val="00977B13"/>
    <w:rsid w:val="009807CA"/>
    <w:rsid w:val="0098220D"/>
    <w:rsid w:val="00983BEF"/>
    <w:rsid w:val="00984667"/>
    <w:rsid w:val="00985298"/>
    <w:rsid w:val="009865E6"/>
    <w:rsid w:val="00990D5B"/>
    <w:rsid w:val="00993053"/>
    <w:rsid w:val="00993570"/>
    <w:rsid w:val="00993B84"/>
    <w:rsid w:val="009947CE"/>
    <w:rsid w:val="00996483"/>
    <w:rsid w:val="00996F5A"/>
    <w:rsid w:val="009A1546"/>
    <w:rsid w:val="009A37C7"/>
    <w:rsid w:val="009A4305"/>
    <w:rsid w:val="009A4C40"/>
    <w:rsid w:val="009A4DB7"/>
    <w:rsid w:val="009A5D44"/>
    <w:rsid w:val="009A61FC"/>
    <w:rsid w:val="009A6BF4"/>
    <w:rsid w:val="009A7DB1"/>
    <w:rsid w:val="009B041A"/>
    <w:rsid w:val="009B0595"/>
    <w:rsid w:val="009B0B73"/>
    <w:rsid w:val="009B0FE5"/>
    <w:rsid w:val="009B119D"/>
    <w:rsid w:val="009B156B"/>
    <w:rsid w:val="009B16F1"/>
    <w:rsid w:val="009B3623"/>
    <w:rsid w:val="009B38FA"/>
    <w:rsid w:val="009B4D15"/>
    <w:rsid w:val="009C14B3"/>
    <w:rsid w:val="009C1D2B"/>
    <w:rsid w:val="009C2ACB"/>
    <w:rsid w:val="009C37C3"/>
    <w:rsid w:val="009C7C86"/>
    <w:rsid w:val="009D0330"/>
    <w:rsid w:val="009D1807"/>
    <w:rsid w:val="009D1C80"/>
    <w:rsid w:val="009D2E8C"/>
    <w:rsid w:val="009D2FF7"/>
    <w:rsid w:val="009D4D83"/>
    <w:rsid w:val="009D5095"/>
    <w:rsid w:val="009D5D9B"/>
    <w:rsid w:val="009E08FA"/>
    <w:rsid w:val="009E0935"/>
    <w:rsid w:val="009E3DFB"/>
    <w:rsid w:val="009E49DB"/>
    <w:rsid w:val="009E5987"/>
    <w:rsid w:val="009E7278"/>
    <w:rsid w:val="009E7884"/>
    <w:rsid w:val="009E788A"/>
    <w:rsid w:val="009F0294"/>
    <w:rsid w:val="009F0859"/>
    <w:rsid w:val="009F0CFA"/>
    <w:rsid w:val="009F0E08"/>
    <w:rsid w:val="009F4789"/>
    <w:rsid w:val="009F6CEC"/>
    <w:rsid w:val="00A00EA6"/>
    <w:rsid w:val="00A01D66"/>
    <w:rsid w:val="00A048C2"/>
    <w:rsid w:val="00A07C56"/>
    <w:rsid w:val="00A13752"/>
    <w:rsid w:val="00A1481F"/>
    <w:rsid w:val="00A15CEB"/>
    <w:rsid w:val="00A163E5"/>
    <w:rsid w:val="00A1763D"/>
    <w:rsid w:val="00A17CEC"/>
    <w:rsid w:val="00A25539"/>
    <w:rsid w:val="00A26843"/>
    <w:rsid w:val="00A27EF0"/>
    <w:rsid w:val="00A313C5"/>
    <w:rsid w:val="00A3169B"/>
    <w:rsid w:val="00A322FD"/>
    <w:rsid w:val="00A37318"/>
    <w:rsid w:val="00A42361"/>
    <w:rsid w:val="00A42A4D"/>
    <w:rsid w:val="00A4559D"/>
    <w:rsid w:val="00A47A23"/>
    <w:rsid w:val="00A50B20"/>
    <w:rsid w:val="00A50CE8"/>
    <w:rsid w:val="00A51390"/>
    <w:rsid w:val="00A5421D"/>
    <w:rsid w:val="00A54A29"/>
    <w:rsid w:val="00A54E97"/>
    <w:rsid w:val="00A5511D"/>
    <w:rsid w:val="00A55395"/>
    <w:rsid w:val="00A5675D"/>
    <w:rsid w:val="00A57486"/>
    <w:rsid w:val="00A60481"/>
    <w:rsid w:val="00A606E6"/>
    <w:rsid w:val="00A60D13"/>
    <w:rsid w:val="00A62915"/>
    <w:rsid w:val="00A6321E"/>
    <w:rsid w:val="00A63560"/>
    <w:rsid w:val="00A636E0"/>
    <w:rsid w:val="00A662AF"/>
    <w:rsid w:val="00A665FD"/>
    <w:rsid w:val="00A71EF8"/>
    <w:rsid w:val="00A7223D"/>
    <w:rsid w:val="00A72243"/>
    <w:rsid w:val="00A7252E"/>
    <w:rsid w:val="00A72745"/>
    <w:rsid w:val="00A73285"/>
    <w:rsid w:val="00A76EFC"/>
    <w:rsid w:val="00A77972"/>
    <w:rsid w:val="00A83414"/>
    <w:rsid w:val="00A83DD4"/>
    <w:rsid w:val="00A866DD"/>
    <w:rsid w:val="00A87D50"/>
    <w:rsid w:val="00A91010"/>
    <w:rsid w:val="00A920E8"/>
    <w:rsid w:val="00A933A5"/>
    <w:rsid w:val="00A95167"/>
    <w:rsid w:val="00A9539D"/>
    <w:rsid w:val="00A95979"/>
    <w:rsid w:val="00A95EAE"/>
    <w:rsid w:val="00A9632A"/>
    <w:rsid w:val="00A96559"/>
    <w:rsid w:val="00A97F29"/>
    <w:rsid w:val="00AA06F6"/>
    <w:rsid w:val="00AA3512"/>
    <w:rsid w:val="00AA3ECA"/>
    <w:rsid w:val="00AA4DD5"/>
    <w:rsid w:val="00AA56A2"/>
    <w:rsid w:val="00AA5DE8"/>
    <w:rsid w:val="00AA69F1"/>
    <w:rsid w:val="00AA702E"/>
    <w:rsid w:val="00AA7D26"/>
    <w:rsid w:val="00AB0590"/>
    <w:rsid w:val="00AB0964"/>
    <w:rsid w:val="00AB2E32"/>
    <w:rsid w:val="00AB5011"/>
    <w:rsid w:val="00AB5B70"/>
    <w:rsid w:val="00AC180A"/>
    <w:rsid w:val="00AC1C54"/>
    <w:rsid w:val="00AC2FDF"/>
    <w:rsid w:val="00AC7368"/>
    <w:rsid w:val="00AC77B0"/>
    <w:rsid w:val="00AD16B9"/>
    <w:rsid w:val="00AD1B82"/>
    <w:rsid w:val="00AD35FE"/>
    <w:rsid w:val="00AD60CD"/>
    <w:rsid w:val="00AD7BDC"/>
    <w:rsid w:val="00AE377D"/>
    <w:rsid w:val="00AF0EBA"/>
    <w:rsid w:val="00AF3159"/>
    <w:rsid w:val="00AF33E1"/>
    <w:rsid w:val="00AF3B4D"/>
    <w:rsid w:val="00AF57B9"/>
    <w:rsid w:val="00AF633F"/>
    <w:rsid w:val="00AF6668"/>
    <w:rsid w:val="00AF68A2"/>
    <w:rsid w:val="00B00F63"/>
    <w:rsid w:val="00B01BDD"/>
    <w:rsid w:val="00B01FF6"/>
    <w:rsid w:val="00B02C8A"/>
    <w:rsid w:val="00B0421E"/>
    <w:rsid w:val="00B07A41"/>
    <w:rsid w:val="00B11739"/>
    <w:rsid w:val="00B13DBC"/>
    <w:rsid w:val="00B14ADC"/>
    <w:rsid w:val="00B1743D"/>
    <w:rsid w:val="00B17A18"/>
    <w:rsid w:val="00B17FBD"/>
    <w:rsid w:val="00B22A1E"/>
    <w:rsid w:val="00B23BDB"/>
    <w:rsid w:val="00B24F6C"/>
    <w:rsid w:val="00B2758E"/>
    <w:rsid w:val="00B30023"/>
    <w:rsid w:val="00B315A6"/>
    <w:rsid w:val="00B31813"/>
    <w:rsid w:val="00B331D9"/>
    <w:rsid w:val="00B33365"/>
    <w:rsid w:val="00B3596B"/>
    <w:rsid w:val="00B37632"/>
    <w:rsid w:val="00B41B93"/>
    <w:rsid w:val="00B43349"/>
    <w:rsid w:val="00B44B8B"/>
    <w:rsid w:val="00B452AD"/>
    <w:rsid w:val="00B46E2C"/>
    <w:rsid w:val="00B502D4"/>
    <w:rsid w:val="00B548BC"/>
    <w:rsid w:val="00B561E9"/>
    <w:rsid w:val="00B57B36"/>
    <w:rsid w:val="00B57E6F"/>
    <w:rsid w:val="00B607A9"/>
    <w:rsid w:val="00B6196F"/>
    <w:rsid w:val="00B632B6"/>
    <w:rsid w:val="00B651D5"/>
    <w:rsid w:val="00B717F5"/>
    <w:rsid w:val="00B741BC"/>
    <w:rsid w:val="00B74F9C"/>
    <w:rsid w:val="00B765E0"/>
    <w:rsid w:val="00B7681C"/>
    <w:rsid w:val="00B76C62"/>
    <w:rsid w:val="00B77CEF"/>
    <w:rsid w:val="00B805C3"/>
    <w:rsid w:val="00B81168"/>
    <w:rsid w:val="00B82767"/>
    <w:rsid w:val="00B84992"/>
    <w:rsid w:val="00B84DF2"/>
    <w:rsid w:val="00B8686D"/>
    <w:rsid w:val="00B8752D"/>
    <w:rsid w:val="00B87FC8"/>
    <w:rsid w:val="00B923BD"/>
    <w:rsid w:val="00B93F69"/>
    <w:rsid w:val="00B9774A"/>
    <w:rsid w:val="00BA76BD"/>
    <w:rsid w:val="00BB070D"/>
    <w:rsid w:val="00BB1909"/>
    <w:rsid w:val="00BB1D9B"/>
    <w:rsid w:val="00BB1DDC"/>
    <w:rsid w:val="00BB74C2"/>
    <w:rsid w:val="00BC0130"/>
    <w:rsid w:val="00BC17A2"/>
    <w:rsid w:val="00BC24F6"/>
    <w:rsid w:val="00BC30C9"/>
    <w:rsid w:val="00BC3DF3"/>
    <w:rsid w:val="00BC4D68"/>
    <w:rsid w:val="00BD077D"/>
    <w:rsid w:val="00BD1927"/>
    <w:rsid w:val="00BD2C13"/>
    <w:rsid w:val="00BD2DA4"/>
    <w:rsid w:val="00BD3E5F"/>
    <w:rsid w:val="00BD4AF6"/>
    <w:rsid w:val="00BD4B30"/>
    <w:rsid w:val="00BD4BD1"/>
    <w:rsid w:val="00BD5C8C"/>
    <w:rsid w:val="00BE05E9"/>
    <w:rsid w:val="00BE144B"/>
    <w:rsid w:val="00BE22EC"/>
    <w:rsid w:val="00BE2BAA"/>
    <w:rsid w:val="00BE3E58"/>
    <w:rsid w:val="00BE554D"/>
    <w:rsid w:val="00BE7C2C"/>
    <w:rsid w:val="00BF0FAC"/>
    <w:rsid w:val="00BF5C2E"/>
    <w:rsid w:val="00BF70CE"/>
    <w:rsid w:val="00C0037F"/>
    <w:rsid w:val="00C00D9A"/>
    <w:rsid w:val="00C01616"/>
    <w:rsid w:val="00C0162B"/>
    <w:rsid w:val="00C0358F"/>
    <w:rsid w:val="00C03ECF"/>
    <w:rsid w:val="00C068ED"/>
    <w:rsid w:val="00C06BB7"/>
    <w:rsid w:val="00C07C34"/>
    <w:rsid w:val="00C10370"/>
    <w:rsid w:val="00C103C4"/>
    <w:rsid w:val="00C13A0A"/>
    <w:rsid w:val="00C14F3A"/>
    <w:rsid w:val="00C16C9D"/>
    <w:rsid w:val="00C22E0C"/>
    <w:rsid w:val="00C26AC4"/>
    <w:rsid w:val="00C319F6"/>
    <w:rsid w:val="00C345B1"/>
    <w:rsid w:val="00C347FA"/>
    <w:rsid w:val="00C359E6"/>
    <w:rsid w:val="00C40142"/>
    <w:rsid w:val="00C44A9B"/>
    <w:rsid w:val="00C476E9"/>
    <w:rsid w:val="00C51220"/>
    <w:rsid w:val="00C52C3C"/>
    <w:rsid w:val="00C53644"/>
    <w:rsid w:val="00C53A54"/>
    <w:rsid w:val="00C5407E"/>
    <w:rsid w:val="00C57182"/>
    <w:rsid w:val="00C57863"/>
    <w:rsid w:val="00C57A7B"/>
    <w:rsid w:val="00C640AF"/>
    <w:rsid w:val="00C64C2B"/>
    <w:rsid w:val="00C655FD"/>
    <w:rsid w:val="00C66840"/>
    <w:rsid w:val="00C7364C"/>
    <w:rsid w:val="00C74A23"/>
    <w:rsid w:val="00C74C49"/>
    <w:rsid w:val="00C75407"/>
    <w:rsid w:val="00C77B93"/>
    <w:rsid w:val="00C804DB"/>
    <w:rsid w:val="00C8067A"/>
    <w:rsid w:val="00C80A11"/>
    <w:rsid w:val="00C83322"/>
    <w:rsid w:val="00C8450C"/>
    <w:rsid w:val="00C86C1C"/>
    <w:rsid w:val="00C870A8"/>
    <w:rsid w:val="00C91FEB"/>
    <w:rsid w:val="00C94434"/>
    <w:rsid w:val="00C94800"/>
    <w:rsid w:val="00C95C3B"/>
    <w:rsid w:val="00C96E59"/>
    <w:rsid w:val="00C97468"/>
    <w:rsid w:val="00C97E11"/>
    <w:rsid w:val="00CA0D4A"/>
    <w:rsid w:val="00CA0D75"/>
    <w:rsid w:val="00CA1C95"/>
    <w:rsid w:val="00CA31F8"/>
    <w:rsid w:val="00CA5A9C"/>
    <w:rsid w:val="00CA5D44"/>
    <w:rsid w:val="00CB156C"/>
    <w:rsid w:val="00CB20CC"/>
    <w:rsid w:val="00CB65A6"/>
    <w:rsid w:val="00CC28C1"/>
    <w:rsid w:val="00CC4C20"/>
    <w:rsid w:val="00CD17C0"/>
    <w:rsid w:val="00CD2E75"/>
    <w:rsid w:val="00CD3517"/>
    <w:rsid w:val="00CD5B04"/>
    <w:rsid w:val="00CD5FE2"/>
    <w:rsid w:val="00CE03B9"/>
    <w:rsid w:val="00CE0C44"/>
    <w:rsid w:val="00CE7633"/>
    <w:rsid w:val="00CE7C68"/>
    <w:rsid w:val="00CF0673"/>
    <w:rsid w:val="00CF0E9A"/>
    <w:rsid w:val="00CF1E1E"/>
    <w:rsid w:val="00D0096F"/>
    <w:rsid w:val="00D00DD4"/>
    <w:rsid w:val="00D014DE"/>
    <w:rsid w:val="00D02B4C"/>
    <w:rsid w:val="00D0398D"/>
    <w:rsid w:val="00D040C4"/>
    <w:rsid w:val="00D100C7"/>
    <w:rsid w:val="00D12B9F"/>
    <w:rsid w:val="00D14141"/>
    <w:rsid w:val="00D14DC3"/>
    <w:rsid w:val="00D168A4"/>
    <w:rsid w:val="00D20AD1"/>
    <w:rsid w:val="00D20D32"/>
    <w:rsid w:val="00D23AD1"/>
    <w:rsid w:val="00D30093"/>
    <w:rsid w:val="00D34DB4"/>
    <w:rsid w:val="00D364E8"/>
    <w:rsid w:val="00D4211F"/>
    <w:rsid w:val="00D43EF7"/>
    <w:rsid w:val="00D45937"/>
    <w:rsid w:val="00D46B7E"/>
    <w:rsid w:val="00D46CC2"/>
    <w:rsid w:val="00D51465"/>
    <w:rsid w:val="00D516C2"/>
    <w:rsid w:val="00D53070"/>
    <w:rsid w:val="00D57C15"/>
    <w:rsid w:val="00D57C84"/>
    <w:rsid w:val="00D6057D"/>
    <w:rsid w:val="00D607D3"/>
    <w:rsid w:val="00D62D29"/>
    <w:rsid w:val="00D6369A"/>
    <w:rsid w:val="00D64763"/>
    <w:rsid w:val="00D648EC"/>
    <w:rsid w:val="00D67856"/>
    <w:rsid w:val="00D70D35"/>
    <w:rsid w:val="00D70E5D"/>
    <w:rsid w:val="00D710CB"/>
    <w:rsid w:val="00D71640"/>
    <w:rsid w:val="00D7209E"/>
    <w:rsid w:val="00D720FE"/>
    <w:rsid w:val="00D7254A"/>
    <w:rsid w:val="00D767A7"/>
    <w:rsid w:val="00D77875"/>
    <w:rsid w:val="00D81E37"/>
    <w:rsid w:val="00D82C49"/>
    <w:rsid w:val="00D836C5"/>
    <w:rsid w:val="00D84576"/>
    <w:rsid w:val="00D84EED"/>
    <w:rsid w:val="00D86169"/>
    <w:rsid w:val="00D90FD5"/>
    <w:rsid w:val="00D93B26"/>
    <w:rsid w:val="00DA0372"/>
    <w:rsid w:val="00DA1399"/>
    <w:rsid w:val="00DA1AD3"/>
    <w:rsid w:val="00DA1CDE"/>
    <w:rsid w:val="00DA2346"/>
    <w:rsid w:val="00DA24C6"/>
    <w:rsid w:val="00DA27E8"/>
    <w:rsid w:val="00DA4D7B"/>
    <w:rsid w:val="00DA62F8"/>
    <w:rsid w:val="00DB3C63"/>
    <w:rsid w:val="00DB53F2"/>
    <w:rsid w:val="00DB6DE7"/>
    <w:rsid w:val="00DB71B6"/>
    <w:rsid w:val="00DC1151"/>
    <w:rsid w:val="00DC1624"/>
    <w:rsid w:val="00DC5024"/>
    <w:rsid w:val="00DD0007"/>
    <w:rsid w:val="00DD271C"/>
    <w:rsid w:val="00DD2872"/>
    <w:rsid w:val="00DD3F97"/>
    <w:rsid w:val="00DD4B18"/>
    <w:rsid w:val="00DD749B"/>
    <w:rsid w:val="00DE095B"/>
    <w:rsid w:val="00DE23B5"/>
    <w:rsid w:val="00DE264A"/>
    <w:rsid w:val="00DE3131"/>
    <w:rsid w:val="00DF273D"/>
    <w:rsid w:val="00DF304F"/>
    <w:rsid w:val="00DF5072"/>
    <w:rsid w:val="00DF5557"/>
    <w:rsid w:val="00DF59EA"/>
    <w:rsid w:val="00DF64FC"/>
    <w:rsid w:val="00E01C56"/>
    <w:rsid w:val="00E02D18"/>
    <w:rsid w:val="00E041E7"/>
    <w:rsid w:val="00E05828"/>
    <w:rsid w:val="00E06E73"/>
    <w:rsid w:val="00E0743F"/>
    <w:rsid w:val="00E10EDB"/>
    <w:rsid w:val="00E13A9A"/>
    <w:rsid w:val="00E14604"/>
    <w:rsid w:val="00E17201"/>
    <w:rsid w:val="00E205E4"/>
    <w:rsid w:val="00E20EF9"/>
    <w:rsid w:val="00E21824"/>
    <w:rsid w:val="00E21E08"/>
    <w:rsid w:val="00E23CA1"/>
    <w:rsid w:val="00E306F2"/>
    <w:rsid w:val="00E30CA2"/>
    <w:rsid w:val="00E317C4"/>
    <w:rsid w:val="00E3326C"/>
    <w:rsid w:val="00E33DD7"/>
    <w:rsid w:val="00E409A8"/>
    <w:rsid w:val="00E466E6"/>
    <w:rsid w:val="00E47198"/>
    <w:rsid w:val="00E50C12"/>
    <w:rsid w:val="00E52612"/>
    <w:rsid w:val="00E5668E"/>
    <w:rsid w:val="00E56CF2"/>
    <w:rsid w:val="00E61541"/>
    <w:rsid w:val="00E62E0C"/>
    <w:rsid w:val="00E65B91"/>
    <w:rsid w:val="00E65C66"/>
    <w:rsid w:val="00E67ED6"/>
    <w:rsid w:val="00E70BF9"/>
    <w:rsid w:val="00E71FFB"/>
    <w:rsid w:val="00E7209D"/>
    <w:rsid w:val="00E72BDE"/>
    <w:rsid w:val="00E72EAD"/>
    <w:rsid w:val="00E75D80"/>
    <w:rsid w:val="00E77223"/>
    <w:rsid w:val="00E7799D"/>
    <w:rsid w:val="00E80BB6"/>
    <w:rsid w:val="00E81065"/>
    <w:rsid w:val="00E85118"/>
    <w:rsid w:val="00E8528B"/>
    <w:rsid w:val="00E85B94"/>
    <w:rsid w:val="00E92014"/>
    <w:rsid w:val="00E9208A"/>
    <w:rsid w:val="00E9488B"/>
    <w:rsid w:val="00E9644A"/>
    <w:rsid w:val="00E96FC3"/>
    <w:rsid w:val="00E972A3"/>
    <w:rsid w:val="00E978D0"/>
    <w:rsid w:val="00E97CBF"/>
    <w:rsid w:val="00E97F19"/>
    <w:rsid w:val="00EA1418"/>
    <w:rsid w:val="00EA3A06"/>
    <w:rsid w:val="00EA4150"/>
    <w:rsid w:val="00EA416F"/>
    <w:rsid w:val="00EA4613"/>
    <w:rsid w:val="00EA54D7"/>
    <w:rsid w:val="00EA7F91"/>
    <w:rsid w:val="00EB032A"/>
    <w:rsid w:val="00EB0B87"/>
    <w:rsid w:val="00EB1474"/>
    <w:rsid w:val="00EB1523"/>
    <w:rsid w:val="00EB34F1"/>
    <w:rsid w:val="00EB3BC1"/>
    <w:rsid w:val="00EB5984"/>
    <w:rsid w:val="00EB6365"/>
    <w:rsid w:val="00EC0E49"/>
    <w:rsid w:val="00EC101F"/>
    <w:rsid w:val="00EC1D9F"/>
    <w:rsid w:val="00EC1DD2"/>
    <w:rsid w:val="00EC680A"/>
    <w:rsid w:val="00EC755F"/>
    <w:rsid w:val="00EC793B"/>
    <w:rsid w:val="00ED0830"/>
    <w:rsid w:val="00ED0986"/>
    <w:rsid w:val="00ED1E4F"/>
    <w:rsid w:val="00ED2FB9"/>
    <w:rsid w:val="00ED3DC0"/>
    <w:rsid w:val="00ED58FD"/>
    <w:rsid w:val="00EE0131"/>
    <w:rsid w:val="00EE15E6"/>
    <w:rsid w:val="00EE17B0"/>
    <w:rsid w:val="00EE1B19"/>
    <w:rsid w:val="00EE2A86"/>
    <w:rsid w:val="00EE2AA5"/>
    <w:rsid w:val="00EE482C"/>
    <w:rsid w:val="00EE4B9C"/>
    <w:rsid w:val="00EE4C6C"/>
    <w:rsid w:val="00EE59D3"/>
    <w:rsid w:val="00EE6263"/>
    <w:rsid w:val="00EF06D9"/>
    <w:rsid w:val="00EF0BAD"/>
    <w:rsid w:val="00EF25F4"/>
    <w:rsid w:val="00EF4228"/>
    <w:rsid w:val="00EF6A5F"/>
    <w:rsid w:val="00EF7C60"/>
    <w:rsid w:val="00F00CD1"/>
    <w:rsid w:val="00F02705"/>
    <w:rsid w:val="00F02CF3"/>
    <w:rsid w:val="00F06971"/>
    <w:rsid w:val="00F07F4D"/>
    <w:rsid w:val="00F111D1"/>
    <w:rsid w:val="00F127F2"/>
    <w:rsid w:val="00F12C28"/>
    <w:rsid w:val="00F12E32"/>
    <w:rsid w:val="00F13F1C"/>
    <w:rsid w:val="00F1432B"/>
    <w:rsid w:val="00F14777"/>
    <w:rsid w:val="00F15F1A"/>
    <w:rsid w:val="00F23D08"/>
    <w:rsid w:val="00F247F5"/>
    <w:rsid w:val="00F265EE"/>
    <w:rsid w:val="00F275D2"/>
    <w:rsid w:val="00F3049E"/>
    <w:rsid w:val="00F30C64"/>
    <w:rsid w:val="00F326A4"/>
    <w:rsid w:val="00F32BA2"/>
    <w:rsid w:val="00F32CDB"/>
    <w:rsid w:val="00F33E50"/>
    <w:rsid w:val="00F37B5A"/>
    <w:rsid w:val="00F37D64"/>
    <w:rsid w:val="00F40BC4"/>
    <w:rsid w:val="00F43AD8"/>
    <w:rsid w:val="00F445CF"/>
    <w:rsid w:val="00F44E42"/>
    <w:rsid w:val="00F458AC"/>
    <w:rsid w:val="00F46F37"/>
    <w:rsid w:val="00F529EB"/>
    <w:rsid w:val="00F538BD"/>
    <w:rsid w:val="00F5487A"/>
    <w:rsid w:val="00F54FF2"/>
    <w:rsid w:val="00F565FE"/>
    <w:rsid w:val="00F57FA8"/>
    <w:rsid w:val="00F60D3F"/>
    <w:rsid w:val="00F63345"/>
    <w:rsid w:val="00F63A70"/>
    <w:rsid w:val="00F63D8C"/>
    <w:rsid w:val="00F6576C"/>
    <w:rsid w:val="00F66DBB"/>
    <w:rsid w:val="00F67C7F"/>
    <w:rsid w:val="00F70BF4"/>
    <w:rsid w:val="00F72CCB"/>
    <w:rsid w:val="00F73911"/>
    <w:rsid w:val="00F73C11"/>
    <w:rsid w:val="00F7534E"/>
    <w:rsid w:val="00F83B8C"/>
    <w:rsid w:val="00F85E15"/>
    <w:rsid w:val="00F874CB"/>
    <w:rsid w:val="00F9044A"/>
    <w:rsid w:val="00F91A20"/>
    <w:rsid w:val="00F91C6D"/>
    <w:rsid w:val="00F922E9"/>
    <w:rsid w:val="00F929AF"/>
    <w:rsid w:val="00F92D84"/>
    <w:rsid w:val="00F93CBA"/>
    <w:rsid w:val="00F93EDF"/>
    <w:rsid w:val="00F966CE"/>
    <w:rsid w:val="00F96F1C"/>
    <w:rsid w:val="00FA1802"/>
    <w:rsid w:val="00FA21D0"/>
    <w:rsid w:val="00FA2A31"/>
    <w:rsid w:val="00FA3241"/>
    <w:rsid w:val="00FA35E2"/>
    <w:rsid w:val="00FA52E6"/>
    <w:rsid w:val="00FA5F5F"/>
    <w:rsid w:val="00FB25EC"/>
    <w:rsid w:val="00FB2C0A"/>
    <w:rsid w:val="00FB56B3"/>
    <w:rsid w:val="00FB6F0A"/>
    <w:rsid w:val="00FB730C"/>
    <w:rsid w:val="00FC01BB"/>
    <w:rsid w:val="00FC2695"/>
    <w:rsid w:val="00FC2D65"/>
    <w:rsid w:val="00FC33D4"/>
    <w:rsid w:val="00FC3E03"/>
    <w:rsid w:val="00FC3FC1"/>
    <w:rsid w:val="00FC46F4"/>
    <w:rsid w:val="00FC63C7"/>
    <w:rsid w:val="00FC6C88"/>
    <w:rsid w:val="00FD0654"/>
    <w:rsid w:val="00FD0BE6"/>
    <w:rsid w:val="00FD1AFE"/>
    <w:rsid w:val="00FD4943"/>
    <w:rsid w:val="00FD4C0A"/>
    <w:rsid w:val="00FD53A5"/>
    <w:rsid w:val="00FD5B44"/>
    <w:rsid w:val="00FD727E"/>
    <w:rsid w:val="00FE34BE"/>
    <w:rsid w:val="00FE3988"/>
    <w:rsid w:val="00FE3F07"/>
    <w:rsid w:val="00FE4671"/>
    <w:rsid w:val="00FE6E3F"/>
    <w:rsid w:val="00FF052E"/>
    <w:rsid w:val="00FF4B8F"/>
    <w:rsid w:val="00FF4F5E"/>
    <w:rsid w:val="00FF6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C28C1"/>
    <w:pPr>
      <w:keepNext/>
      <w:numPr>
        <w:ilvl w:val="1"/>
        <w:numId w:val="25"/>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C28C1"/>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A8341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709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66646-D923-499E-80FA-693E1A4E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3863</Words>
  <Characters>22024</Characters>
  <Application>Microsoft Office Word</Application>
  <DocSecurity>0</DocSecurity>
  <Lines>183</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Daniele Carullo</cp:lastModifiedBy>
  <cp:revision>29</cp:revision>
  <cp:lastPrinted>2015-05-12T18:31:00Z</cp:lastPrinted>
  <dcterms:created xsi:type="dcterms:W3CDTF">2023-12-21T10:20:00Z</dcterms:created>
  <dcterms:modified xsi:type="dcterms:W3CDTF">2024-02-29T08:01:00Z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