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1DF9BAB6" w14:textId="77777777" w:rsidTr="004066C6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1EF3E1EB" w14:textId="77777777" w:rsidR="000A03B2" w:rsidRPr="00B57B36" w:rsidRDefault="005135A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="00075AE8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="000A03B2" w:rsidRPr="00B57B36">
              <w:rPr>
                <w:rFonts w:ascii="AdvP6960" w:hAnsi="AdvP6960" w:cs="AdvP6960"/>
                <w:noProof/>
                <w:color w:val="241F20"/>
                <w:szCs w:val="18"/>
                <w:lang w:eastAsia="en-GB"/>
              </w:rPr>
              <w:drawing>
                <wp:inline distT="0" distB="0" distL="0" distR="0" wp14:anchorId="7D051850" wp14:editId="4782AE5F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3B2"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="000A03B2"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0A03B2"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0A03B2"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0A03B2"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="000A03B2"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0D2EBF74" w14:textId="77777777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843EA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 </w:t>
            </w:r>
            <w:proofErr w:type="gramStart"/>
            <w:r w:rsidR="00843EA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4761E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72316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7378C4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49ECD6D0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eastAsia="en-GB"/>
              </w:rPr>
              <w:drawing>
                <wp:inline distT="0" distB="0" distL="0" distR="0" wp14:anchorId="7B684F58" wp14:editId="6BB8E531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1C12E4A" w14:textId="77777777" w:rsidTr="004066C6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107CA718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23086E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0072D17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5E59AFFC" w14:textId="77777777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6600BFDB" w14:textId="77777777" w:rsidTr="004066C6">
        <w:trPr>
          <w:trHeight w:val="68"/>
          <w:jc w:val="center"/>
        </w:trPr>
        <w:tc>
          <w:tcPr>
            <w:tcW w:w="8782" w:type="dxa"/>
            <w:gridSpan w:val="2"/>
          </w:tcPr>
          <w:p w14:paraId="5B199B42" w14:textId="77777777" w:rsidR="00AA7D26" w:rsidRPr="003A6FC6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3A6FC6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843EAC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Marco Bravi, Antonio Marzocchella, Giuseppe Caputo</w:t>
            </w:r>
          </w:p>
          <w:p w14:paraId="00660CAC" w14:textId="77777777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843EA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723169">
              <w:rPr>
                <w:rFonts w:ascii="Tahoma" w:hAnsi="Tahoma" w:cs="Tahoma"/>
                <w:sz w:val="14"/>
                <w:szCs w:val="14"/>
              </w:rPr>
              <w:t>10-6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45CD1631" w14:textId="5CF1CE2E" w:rsidR="00E978D0" w:rsidRPr="00B57B36" w:rsidRDefault="004066C6" w:rsidP="00E978D0">
      <w:pPr>
        <w:pStyle w:val="CETTitle"/>
      </w:pPr>
      <w:r>
        <w:t xml:space="preserve">Production of </w:t>
      </w:r>
      <w:r w:rsidR="00CB1A5D">
        <w:t>A</w:t>
      </w:r>
      <w:r>
        <w:t>lco</w:t>
      </w:r>
      <w:r w:rsidR="00804FFE">
        <w:t xml:space="preserve">hols from C1-waste </w:t>
      </w:r>
      <w:r w:rsidR="00CB1A5D">
        <w:t>G</w:t>
      </w:r>
      <w:r w:rsidR="00804FFE">
        <w:t xml:space="preserve">as </w:t>
      </w:r>
      <w:r w:rsidR="00CB1A5D">
        <w:t>F</w:t>
      </w:r>
      <w:r w:rsidR="00804FFE">
        <w:t xml:space="preserve">ermentation by </w:t>
      </w:r>
      <w:r w:rsidR="00804FFE" w:rsidRPr="00BF66FE">
        <w:rPr>
          <w:i/>
          <w:iCs/>
        </w:rPr>
        <w:t>Clostridium carboxidivorans</w:t>
      </w:r>
      <w:r w:rsidR="00804FFE">
        <w:t xml:space="preserve"> in a </w:t>
      </w:r>
      <w:r w:rsidR="00CB1A5D">
        <w:t>C</w:t>
      </w:r>
      <w:r w:rsidR="00804FFE">
        <w:t xml:space="preserve">ontinuous </w:t>
      </w:r>
      <w:r w:rsidR="00CB1A5D">
        <w:t>G</w:t>
      </w:r>
      <w:r w:rsidR="008159AC">
        <w:t xml:space="preserve">as </w:t>
      </w:r>
      <w:r w:rsidR="00CB1A5D">
        <w:t>F</w:t>
      </w:r>
      <w:r w:rsidR="008159AC">
        <w:t xml:space="preserve">ed </w:t>
      </w:r>
      <w:r w:rsidR="00CB1A5D">
        <w:t>B</w:t>
      </w:r>
      <w:r w:rsidR="008159AC">
        <w:t>ioreactor</w:t>
      </w:r>
    </w:p>
    <w:p w14:paraId="67D931A9" w14:textId="77777777" w:rsidR="00B57E6F" w:rsidRPr="00302478" w:rsidRDefault="00ED761B" w:rsidP="00B57E6F">
      <w:pPr>
        <w:pStyle w:val="CETAuthors"/>
        <w:rPr>
          <w:lang w:val="it-IT"/>
        </w:rPr>
      </w:pPr>
      <w:r w:rsidRPr="00302478">
        <w:rPr>
          <w:lang w:val="it-IT"/>
        </w:rPr>
        <w:t>Sara Pisacane</w:t>
      </w:r>
      <w:r w:rsidR="00302478" w:rsidRPr="00302478">
        <w:rPr>
          <w:vertAlign w:val="superscript"/>
          <w:lang w:val="it-IT"/>
        </w:rPr>
        <w:t>a</w:t>
      </w:r>
      <w:r w:rsidRPr="00302478">
        <w:rPr>
          <w:lang w:val="it-IT"/>
        </w:rPr>
        <w:t>, Fabiana Lanzillo</w:t>
      </w:r>
      <w:r w:rsidR="0042618B" w:rsidRPr="00302478">
        <w:rPr>
          <w:vertAlign w:val="superscript"/>
          <w:lang w:val="it-IT"/>
        </w:rPr>
        <w:t>a</w:t>
      </w:r>
      <w:r w:rsidRPr="00302478">
        <w:rPr>
          <w:lang w:val="it-IT"/>
        </w:rPr>
        <w:t>, Francesca Raganati</w:t>
      </w:r>
      <w:r w:rsidR="0042618B" w:rsidRPr="00302478">
        <w:rPr>
          <w:vertAlign w:val="superscript"/>
          <w:lang w:val="it-IT"/>
        </w:rPr>
        <w:t>a</w:t>
      </w:r>
      <w:r w:rsidR="00201E5E">
        <w:rPr>
          <w:vertAlign w:val="superscript"/>
          <w:lang w:val="it-IT"/>
        </w:rPr>
        <w:t>*</w:t>
      </w:r>
      <w:r w:rsidRPr="00302478">
        <w:rPr>
          <w:lang w:val="it-IT"/>
        </w:rPr>
        <w:t>, Antonio Marzocchella</w:t>
      </w:r>
      <w:r w:rsidR="0042618B" w:rsidRPr="00302478">
        <w:rPr>
          <w:vertAlign w:val="superscript"/>
          <w:lang w:val="it-IT"/>
        </w:rPr>
        <w:t>a</w:t>
      </w:r>
      <w:r w:rsidRPr="00302478">
        <w:rPr>
          <w:lang w:val="it-IT"/>
        </w:rPr>
        <w:t xml:space="preserve"> </w:t>
      </w:r>
    </w:p>
    <w:p w14:paraId="125314C3" w14:textId="77777777" w:rsidR="0071169B" w:rsidRDefault="00B57E6F" w:rsidP="00302478">
      <w:pPr>
        <w:pStyle w:val="CETAddress"/>
        <w:rPr>
          <w:lang w:val="it-IT"/>
        </w:rPr>
      </w:pPr>
      <w:r w:rsidRPr="00810E10">
        <w:rPr>
          <w:vertAlign w:val="superscript"/>
          <w:lang w:val="it-IT"/>
        </w:rPr>
        <w:t>a</w:t>
      </w:r>
      <w:r w:rsidR="00302478" w:rsidRPr="00810E10">
        <w:rPr>
          <w:rFonts w:ascii="Times New Roman" w:hAnsi="Times New Roman"/>
          <w:noProof w:val="0"/>
          <w:sz w:val="24"/>
          <w:szCs w:val="24"/>
          <w:lang w:val="it-IT" w:eastAsia="it-IT"/>
        </w:rPr>
        <w:t xml:space="preserve"> </w:t>
      </w:r>
      <w:r w:rsidR="00302478" w:rsidRPr="00810E10">
        <w:rPr>
          <w:lang w:val="it-IT"/>
        </w:rPr>
        <w:t>Department of Chemical, Materials and Production Engineering–Università degli Studi di Napoli Federico II, P.le V. Tecchio 80, 80125 Napoli – Italy</w:t>
      </w:r>
    </w:p>
    <w:p w14:paraId="185033B1" w14:textId="77777777" w:rsidR="005747C3" w:rsidRPr="00810E10" w:rsidRDefault="005747C3" w:rsidP="00302478">
      <w:pPr>
        <w:pStyle w:val="CETAddress"/>
        <w:rPr>
          <w:lang w:val="it-IT"/>
        </w:rPr>
      </w:pPr>
    </w:p>
    <w:p w14:paraId="57DBBF47" w14:textId="77777777" w:rsidR="0071169B" w:rsidRPr="0026152C" w:rsidRDefault="00302478" w:rsidP="0071169B">
      <w:pPr>
        <w:pStyle w:val="CETAddress"/>
      </w:pPr>
      <w:r w:rsidRPr="00810E10">
        <w:rPr>
          <w:lang w:val="it-IT"/>
        </w:rPr>
        <w:t xml:space="preserve"> </w:t>
      </w:r>
      <w:r w:rsidR="0071169B" w:rsidRPr="0026152C">
        <w:t>*Corresponding author</w:t>
      </w:r>
    </w:p>
    <w:p w14:paraId="2445E68E" w14:textId="77777777" w:rsidR="0071169B" w:rsidRPr="0071169B" w:rsidRDefault="0071169B" w:rsidP="0071169B">
      <w:pPr>
        <w:pStyle w:val="CETAddress"/>
      </w:pPr>
      <w:r w:rsidRPr="0071169B">
        <w:t>Dr. Francesca Raganati</w:t>
      </w:r>
    </w:p>
    <w:p w14:paraId="28AA8E4F" w14:textId="77777777" w:rsidR="0071169B" w:rsidRPr="0071169B" w:rsidRDefault="0071169B" w:rsidP="0071169B">
      <w:pPr>
        <w:pStyle w:val="CETAddress"/>
      </w:pPr>
      <w:r w:rsidRPr="0071169B">
        <w:t>Phone: +39 0817682218; fax: +39 0815936936.</w:t>
      </w:r>
    </w:p>
    <w:p w14:paraId="3222336F" w14:textId="77777777" w:rsidR="0071169B" w:rsidRPr="0071169B" w:rsidRDefault="0071169B" w:rsidP="00FD7B47">
      <w:pPr>
        <w:pStyle w:val="CETAddress"/>
        <w:spacing w:line="480" w:lineRule="auto"/>
        <w:contextualSpacing w:val="0"/>
      </w:pPr>
      <w:r w:rsidRPr="0071169B">
        <w:t>E-mail address: francesca.raganati@unina.it</w:t>
      </w:r>
    </w:p>
    <w:p w14:paraId="651BEEC8" w14:textId="40506155" w:rsidR="0026152C" w:rsidRPr="0026152C" w:rsidRDefault="0026152C" w:rsidP="000E433E">
      <w:pPr>
        <w:pStyle w:val="CETAddress"/>
        <w:spacing w:line="240" w:lineRule="auto"/>
        <w:contextualSpacing w:val="0"/>
        <w:jc w:val="both"/>
        <w:rPr>
          <w:sz w:val="18"/>
          <w:szCs w:val="18"/>
          <w:lang w:val="en-US"/>
        </w:rPr>
      </w:pPr>
      <w:r w:rsidRPr="0026152C">
        <w:rPr>
          <w:sz w:val="18"/>
          <w:szCs w:val="18"/>
        </w:rPr>
        <w:t>Syngas – a gas mixture of CO, CO</w:t>
      </w:r>
      <w:r w:rsidRPr="0026152C">
        <w:rPr>
          <w:sz w:val="18"/>
          <w:szCs w:val="18"/>
          <w:vertAlign w:val="subscript"/>
        </w:rPr>
        <w:t>2</w:t>
      </w:r>
      <w:r w:rsidRPr="0026152C">
        <w:rPr>
          <w:sz w:val="18"/>
          <w:szCs w:val="18"/>
        </w:rPr>
        <w:t>, and H</w:t>
      </w:r>
      <w:r w:rsidRPr="0026152C">
        <w:rPr>
          <w:sz w:val="18"/>
          <w:szCs w:val="18"/>
          <w:vertAlign w:val="subscript"/>
        </w:rPr>
        <w:t>2</w:t>
      </w:r>
      <w:r w:rsidRPr="0026152C">
        <w:rPr>
          <w:sz w:val="18"/>
          <w:szCs w:val="18"/>
        </w:rPr>
        <w:t xml:space="preserve"> </w:t>
      </w:r>
      <w:r w:rsidR="002F41F1">
        <w:rPr>
          <w:sz w:val="18"/>
          <w:szCs w:val="18"/>
        </w:rPr>
        <w:t>–</w:t>
      </w:r>
      <w:r w:rsidRPr="0026152C">
        <w:rPr>
          <w:sz w:val="18"/>
          <w:szCs w:val="18"/>
        </w:rPr>
        <w:t xml:space="preserve"> </w:t>
      </w:r>
      <w:r w:rsidR="002F41F1">
        <w:rPr>
          <w:sz w:val="18"/>
          <w:szCs w:val="18"/>
        </w:rPr>
        <w:t xml:space="preserve">can </w:t>
      </w:r>
      <w:r w:rsidRPr="0026152C">
        <w:rPr>
          <w:sz w:val="18"/>
          <w:szCs w:val="18"/>
        </w:rPr>
        <w:t>be produced by gasification of C-based streams (e.g. biomass, plastic</w:t>
      </w:r>
      <w:r w:rsidR="007E6C72">
        <w:rPr>
          <w:sz w:val="18"/>
          <w:szCs w:val="18"/>
        </w:rPr>
        <w:t>s</w:t>
      </w:r>
      <w:r w:rsidRPr="0026152C">
        <w:rPr>
          <w:sz w:val="18"/>
          <w:szCs w:val="18"/>
        </w:rPr>
        <w:t xml:space="preserve">). It is as a cost-effective substrate for the production of numerous valuable products. Some microorganisms </w:t>
      </w:r>
      <w:r w:rsidR="002F41F1">
        <w:rPr>
          <w:sz w:val="18"/>
          <w:szCs w:val="18"/>
        </w:rPr>
        <w:t>can</w:t>
      </w:r>
      <w:r w:rsidR="004424D3" w:rsidRPr="0026152C">
        <w:rPr>
          <w:sz w:val="18"/>
          <w:szCs w:val="18"/>
        </w:rPr>
        <w:t xml:space="preserve"> </w:t>
      </w:r>
      <w:r w:rsidRPr="0026152C">
        <w:rPr>
          <w:sz w:val="18"/>
          <w:szCs w:val="18"/>
        </w:rPr>
        <w:t>thrive using CO or syngas as carbon and energy source</w:t>
      </w:r>
      <w:r w:rsidR="002E5119" w:rsidRPr="002E5119">
        <w:rPr>
          <w:sz w:val="18"/>
          <w:szCs w:val="18"/>
        </w:rPr>
        <w:t xml:space="preserve">, </w:t>
      </w:r>
      <w:r w:rsidR="007E6C72">
        <w:rPr>
          <w:sz w:val="18"/>
          <w:szCs w:val="18"/>
        </w:rPr>
        <w:t xml:space="preserve">and just </w:t>
      </w:r>
      <w:r w:rsidR="002E5119" w:rsidRPr="002E5119">
        <w:rPr>
          <w:sz w:val="18"/>
          <w:szCs w:val="18"/>
        </w:rPr>
        <w:t xml:space="preserve">a few </w:t>
      </w:r>
      <w:r w:rsidR="007E6C72">
        <w:rPr>
          <w:sz w:val="18"/>
          <w:szCs w:val="18"/>
        </w:rPr>
        <w:t>strains are able to</w:t>
      </w:r>
      <w:r w:rsidR="002E5119" w:rsidRPr="002E5119">
        <w:rPr>
          <w:sz w:val="18"/>
          <w:szCs w:val="18"/>
        </w:rPr>
        <w:t xml:space="preserve"> converting CO/syngas into biofuels.</w:t>
      </w:r>
      <w:r w:rsidR="007E6C72">
        <w:rPr>
          <w:sz w:val="18"/>
          <w:szCs w:val="18"/>
        </w:rPr>
        <w:t xml:space="preserve"> </w:t>
      </w:r>
      <w:r w:rsidRPr="0026152C">
        <w:rPr>
          <w:i/>
          <w:iCs/>
          <w:sz w:val="18"/>
          <w:szCs w:val="18"/>
        </w:rPr>
        <w:t>Clostridium carboxidivorans</w:t>
      </w:r>
      <w:r w:rsidRPr="0026152C">
        <w:rPr>
          <w:sz w:val="18"/>
          <w:szCs w:val="18"/>
        </w:rPr>
        <w:t xml:space="preserve"> is a microorganism known for its ability to produce short- and long-chain acids and alcohols, including acetic acid, butyric acid, hexanoic acid, ethanol, butanol and hexanol.</w:t>
      </w:r>
    </w:p>
    <w:p w14:paraId="7BA4571A" w14:textId="77777777" w:rsidR="0026152C" w:rsidRPr="0026152C" w:rsidRDefault="002E5119" w:rsidP="00FD7B47">
      <w:pPr>
        <w:pStyle w:val="CETAddress"/>
        <w:jc w:val="both"/>
        <w:rPr>
          <w:sz w:val="18"/>
          <w:szCs w:val="18"/>
        </w:rPr>
      </w:pPr>
      <w:r>
        <w:rPr>
          <w:sz w:val="18"/>
          <w:szCs w:val="18"/>
        </w:rPr>
        <w:t>This</w:t>
      </w:r>
      <w:r w:rsidR="0026152C" w:rsidRPr="0026152C">
        <w:rPr>
          <w:sz w:val="18"/>
          <w:szCs w:val="18"/>
        </w:rPr>
        <w:t xml:space="preserve"> contribution </w:t>
      </w:r>
      <w:r w:rsidRPr="002E5119">
        <w:rPr>
          <w:sz w:val="18"/>
          <w:szCs w:val="18"/>
        </w:rPr>
        <w:t>focuses on</w:t>
      </w:r>
      <w:r>
        <w:rPr>
          <w:sz w:val="18"/>
          <w:szCs w:val="18"/>
        </w:rPr>
        <w:t xml:space="preserve"> </w:t>
      </w:r>
      <w:r w:rsidRPr="002E5119">
        <w:rPr>
          <w:sz w:val="18"/>
          <w:szCs w:val="18"/>
        </w:rPr>
        <w:t xml:space="preserve">characterizing CO fermentation by </w:t>
      </w:r>
      <w:r w:rsidR="00014538" w:rsidRPr="00014538">
        <w:rPr>
          <w:i/>
          <w:iCs/>
          <w:sz w:val="18"/>
          <w:szCs w:val="18"/>
        </w:rPr>
        <w:t>C. carboxidivorans</w:t>
      </w:r>
      <w:r w:rsidRPr="002E5119">
        <w:rPr>
          <w:sz w:val="18"/>
          <w:szCs w:val="18"/>
        </w:rPr>
        <w:t xml:space="preserve"> in a continuous gas-fed bioreacto</w:t>
      </w:r>
      <w:r>
        <w:rPr>
          <w:sz w:val="18"/>
          <w:szCs w:val="18"/>
        </w:rPr>
        <w:t xml:space="preserve">r. </w:t>
      </w:r>
      <w:r w:rsidRPr="002E5119">
        <w:rPr>
          <w:sz w:val="18"/>
          <w:szCs w:val="18"/>
        </w:rPr>
        <w:t>The bioreactor was continuously supplied with a 100% CO stream at a flow rate of 0.6 L/h.</w:t>
      </w:r>
      <w:r w:rsidR="006450EA">
        <w:rPr>
          <w:sz w:val="18"/>
          <w:szCs w:val="18"/>
        </w:rPr>
        <w:t xml:space="preserve"> Fermentation tests were carried out </w:t>
      </w:r>
      <w:r w:rsidR="007E6C72">
        <w:rPr>
          <w:sz w:val="18"/>
          <w:szCs w:val="18"/>
        </w:rPr>
        <w:t xml:space="preserve">at constant temperature </w:t>
      </w:r>
      <w:r w:rsidR="006450EA">
        <w:rPr>
          <w:sz w:val="18"/>
          <w:szCs w:val="18"/>
        </w:rPr>
        <w:t>with an without pH control.</w:t>
      </w:r>
      <w:r w:rsidRPr="002E5119">
        <w:rPr>
          <w:sz w:val="18"/>
          <w:szCs w:val="18"/>
        </w:rPr>
        <w:t xml:space="preserve"> </w:t>
      </w:r>
      <w:r w:rsidR="0026152C" w:rsidRPr="0026152C">
        <w:rPr>
          <w:sz w:val="18"/>
          <w:szCs w:val="18"/>
        </w:rPr>
        <w:t xml:space="preserve">The </w:t>
      </w:r>
      <w:r w:rsidR="007E6C72">
        <w:rPr>
          <w:sz w:val="18"/>
          <w:szCs w:val="18"/>
        </w:rPr>
        <w:t>fermentation</w:t>
      </w:r>
      <w:r w:rsidR="0026152C" w:rsidRPr="0026152C">
        <w:rPr>
          <w:sz w:val="18"/>
          <w:szCs w:val="18"/>
        </w:rPr>
        <w:t xml:space="preserve"> process was characterized in terms of metabolites and cell production, CO conversion, specific rate of cells/metabolite production and yields.</w:t>
      </w:r>
    </w:p>
    <w:p w14:paraId="6AAE8896" w14:textId="77777777" w:rsidR="006450EA" w:rsidRPr="006450EA" w:rsidRDefault="007E6C72" w:rsidP="006450EA">
      <w:pPr>
        <w:pStyle w:val="CETBodytext"/>
        <w:ind w:right="-1"/>
        <w:rPr>
          <w:bCs/>
          <w:noProof/>
          <w:szCs w:val="18"/>
          <w:lang w:val="en-GB"/>
        </w:rPr>
      </w:pPr>
      <w:r>
        <w:rPr>
          <w:bCs/>
          <w:noProof/>
          <w:szCs w:val="18"/>
          <w:lang w:val="en-GB"/>
        </w:rPr>
        <w:t>E</w:t>
      </w:r>
      <w:r w:rsidR="006450EA" w:rsidRPr="006450EA">
        <w:rPr>
          <w:bCs/>
          <w:noProof/>
          <w:szCs w:val="18"/>
          <w:lang w:val="en-GB"/>
        </w:rPr>
        <w:t>thanol was the primary solvent produced</w:t>
      </w:r>
      <w:r>
        <w:rPr>
          <w:bCs/>
          <w:noProof/>
          <w:szCs w:val="18"/>
          <w:lang w:val="en-GB"/>
        </w:rPr>
        <w:t xml:space="preserve"> and </w:t>
      </w:r>
      <w:r w:rsidR="006450EA" w:rsidRPr="006450EA">
        <w:rPr>
          <w:bCs/>
          <w:noProof/>
          <w:szCs w:val="18"/>
          <w:lang w:val="en-GB"/>
        </w:rPr>
        <w:t xml:space="preserve">a shift towards longer-chain alcohols was observed </w:t>
      </w:r>
      <w:r>
        <w:rPr>
          <w:bCs/>
          <w:noProof/>
          <w:szCs w:val="18"/>
          <w:lang w:val="en-GB"/>
        </w:rPr>
        <w:t xml:space="preserve">under constant </w:t>
      </w:r>
      <w:r w:rsidR="006450EA" w:rsidRPr="006450EA">
        <w:rPr>
          <w:bCs/>
          <w:noProof/>
          <w:szCs w:val="18"/>
          <w:lang w:val="en-GB"/>
        </w:rPr>
        <w:t xml:space="preserve">pH. The maximum cell concentration </w:t>
      </w:r>
      <w:r>
        <w:rPr>
          <w:bCs/>
          <w:noProof/>
          <w:szCs w:val="18"/>
          <w:lang w:val="en-GB"/>
        </w:rPr>
        <w:t xml:space="preserve">was </w:t>
      </w:r>
      <w:r w:rsidR="006450EA" w:rsidRPr="006450EA">
        <w:rPr>
          <w:bCs/>
          <w:noProof/>
          <w:szCs w:val="18"/>
          <w:lang w:val="en-GB"/>
        </w:rPr>
        <w:t>0.56 g</w:t>
      </w:r>
      <w:r w:rsidR="00014538" w:rsidRPr="00014538">
        <w:rPr>
          <w:bCs/>
          <w:noProof/>
          <w:szCs w:val="18"/>
          <w:vertAlign w:val="subscript"/>
          <w:lang w:val="en-GB"/>
        </w:rPr>
        <w:t>DM</w:t>
      </w:r>
      <w:r w:rsidR="006450EA" w:rsidRPr="006450EA">
        <w:rPr>
          <w:bCs/>
          <w:noProof/>
          <w:szCs w:val="18"/>
          <w:lang w:val="en-GB"/>
        </w:rPr>
        <w:t xml:space="preserve">/L </w:t>
      </w:r>
      <w:r>
        <w:rPr>
          <w:bCs/>
          <w:noProof/>
          <w:szCs w:val="18"/>
          <w:lang w:val="en-GB"/>
        </w:rPr>
        <w:t>with and without pH control. T</w:t>
      </w:r>
      <w:r w:rsidR="006450EA" w:rsidRPr="006450EA">
        <w:rPr>
          <w:bCs/>
          <w:noProof/>
          <w:szCs w:val="18"/>
          <w:lang w:val="en-GB"/>
        </w:rPr>
        <w:t xml:space="preserve">he highest solvent concentrations </w:t>
      </w:r>
      <w:r>
        <w:rPr>
          <w:bCs/>
          <w:noProof/>
          <w:szCs w:val="18"/>
          <w:lang w:val="en-GB"/>
        </w:rPr>
        <w:t xml:space="preserve">was </w:t>
      </w:r>
      <w:r w:rsidRPr="006450EA">
        <w:rPr>
          <w:bCs/>
          <w:noProof/>
          <w:szCs w:val="18"/>
          <w:lang w:val="en-GB"/>
        </w:rPr>
        <w:t>182</w:t>
      </w:r>
      <w:r>
        <w:rPr>
          <w:bCs/>
          <w:noProof/>
          <w:szCs w:val="18"/>
          <w:lang w:val="en-GB"/>
        </w:rPr>
        <w:t>0</w:t>
      </w:r>
      <w:r w:rsidRPr="006450EA">
        <w:rPr>
          <w:bCs/>
          <w:noProof/>
          <w:szCs w:val="18"/>
          <w:lang w:val="en-GB"/>
        </w:rPr>
        <w:t xml:space="preserve"> </w:t>
      </w:r>
      <w:r w:rsidR="006450EA" w:rsidRPr="006450EA">
        <w:rPr>
          <w:bCs/>
          <w:noProof/>
          <w:szCs w:val="18"/>
          <w:lang w:val="en-GB"/>
        </w:rPr>
        <w:t>mg/L o</w:t>
      </w:r>
      <w:r w:rsidR="006450EA" w:rsidRPr="004B18E4">
        <w:rPr>
          <w:bCs/>
          <w:noProof/>
          <w:szCs w:val="18"/>
          <w:lang w:val="en-GB"/>
        </w:rPr>
        <w:t>f ethanol without pH control</w:t>
      </w:r>
      <w:r>
        <w:rPr>
          <w:bCs/>
          <w:noProof/>
          <w:szCs w:val="18"/>
          <w:lang w:val="en-GB"/>
        </w:rPr>
        <w:t>,</w:t>
      </w:r>
      <w:r w:rsidR="006450EA" w:rsidRPr="004B18E4">
        <w:rPr>
          <w:bCs/>
          <w:noProof/>
          <w:szCs w:val="18"/>
          <w:lang w:val="en-GB"/>
        </w:rPr>
        <w:t xml:space="preserve"> and </w:t>
      </w:r>
      <w:r w:rsidR="00014538" w:rsidRPr="004B18E4">
        <w:rPr>
          <w:bCs/>
          <w:noProof/>
          <w:szCs w:val="18"/>
          <w:lang w:val="en-GB"/>
        </w:rPr>
        <w:t>330 mg/L of butanol and 20 mg/L</w:t>
      </w:r>
      <w:r w:rsidR="006450EA" w:rsidRPr="004B18E4">
        <w:rPr>
          <w:bCs/>
          <w:noProof/>
          <w:szCs w:val="18"/>
          <w:lang w:val="en-GB"/>
        </w:rPr>
        <w:t xml:space="preserve"> </w:t>
      </w:r>
      <w:r w:rsidR="004B18E4" w:rsidRPr="004B18E4">
        <w:rPr>
          <w:bCs/>
          <w:noProof/>
          <w:szCs w:val="18"/>
          <w:lang w:val="en-GB"/>
        </w:rPr>
        <w:t xml:space="preserve">of hexanol </w:t>
      </w:r>
      <w:r w:rsidR="006450EA" w:rsidRPr="004B18E4">
        <w:rPr>
          <w:bCs/>
          <w:noProof/>
          <w:szCs w:val="18"/>
          <w:lang w:val="en-GB"/>
        </w:rPr>
        <w:t>with pH control.</w:t>
      </w:r>
    </w:p>
    <w:p w14:paraId="44BAE458" w14:textId="77777777" w:rsidR="00D86F30" w:rsidRDefault="006450EA">
      <w:pPr>
        <w:pStyle w:val="CETBodytext"/>
        <w:ind w:right="-1"/>
      </w:pPr>
      <w:r w:rsidRPr="006450EA">
        <w:rPr>
          <w:bCs/>
          <w:noProof/>
          <w:szCs w:val="18"/>
          <w:lang w:val="en-GB"/>
        </w:rPr>
        <w:t xml:space="preserve">The study </w:t>
      </w:r>
      <w:r w:rsidR="007E6C72">
        <w:rPr>
          <w:bCs/>
          <w:noProof/>
          <w:szCs w:val="18"/>
          <w:lang w:val="en-GB"/>
        </w:rPr>
        <w:t xml:space="preserve">highlithed the role of the </w:t>
      </w:r>
      <w:r w:rsidRPr="006450EA">
        <w:rPr>
          <w:bCs/>
          <w:noProof/>
          <w:szCs w:val="18"/>
          <w:lang w:val="en-GB"/>
        </w:rPr>
        <w:t xml:space="preserve">substrate composition and the </w:t>
      </w:r>
      <w:r w:rsidR="007E6C72">
        <w:rPr>
          <w:bCs/>
          <w:noProof/>
          <w:szCs w:val="18"/>
          <w:lang w:val="en-GB"/>
        </w:rPr>
        <w:t xml:space="preserve">operating </w:t>
      </w:r>
      <w:r w:rsidRPr="006450EA">
        <w:rPr>
          <w:bCs/>
          <w:noProof/>
          <w:szCs w:val="18"/>
          <w:lang w:val="en-GB"/>
        </w:rPr>
        <w:t xml:space="preserve">conditions </w:t>
      </w:r>
      <w:r w:rsidR="007E6C72" w:rsidRPr="006450EA">
        <w:rPr>
          <w:bCs/>
          <w:noProof/>
          <w:szCs w:val="18"/>
          <w:lang w:val="en-GB"/>
        </w:rPr>
        <w:t>o</w:t>
      </w:r>
      <w:r w:rsidR="007E6C72">
        <w:rPr>
          <w:bCs/>
          <w:noProof/>
          <w:szCs w:val="18"/>
          <w:lang w:val="en-GB"/>
        </w:rPr>
        <w:t>n</w:t>
      </w:r>
      <w:r w:rsidR="007E6C72" w:rsidRPr="006450EA">
        <w:rPr>
          <w:bCs/>
          <w:noProof/>
          <w:szCs w:val="18"/>
          <w:lang w:val="en-GB"/>
        </w:rPr>
        <w:t xml:space="preserve"> </w:t>
      </w:r>
      <w:r w:rsidRPr="006450EA">
        <w:rPr>
          <w:bCs/>
          <w:noProof/>
          <w:szCs w:val="18"/>
          <w:lang w:val="en-GB"/>
        </w:rPr>
        <w:t xml:space="preserve">syngas. </w:t>
      </w:r>
      <w:r w:rsidR="007E6C72">
        <w:rPr>
          <w:bCs/>
          <w:noProof/>
          <w:szCs w:val="18"/>
          <w:lang w:val="en-GB"/>
        </w:rPr>
        <w:t xml:space="preserve">The reported results provides a first guidline for </w:t>
      </w:r>
      <w:r w:rsidRPr="006450EA">
        <w:rPr>
          <w:bCs/>
          <w:noProof/>
          <w:szCs w:val="18"/>
          <w:lang w:val="en-GB"/>
        </w:rPr>
        <w:t>syngas fermentation for the production of biofuels and chemicals.</w:t>
      </w:r>
      <w:r w:rsidR="0002591E">
        <w:rPr>
          <w:bCs/>
          <w:noProof/>
          <w:szCs w:val="18"/>
          <w:lang w:val="en-GB"/>
        </w:rPr>
        <w:t xml:space="preserve"> </w:t>
      </w:r>
    </w:p>
    <w:p w14:paraId="50D6D57D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5CC90E3A" w14:textId="77777777" w:rsidR="00950FF0" w:rsidRPr="006E5053" w:rsidRDefault="00BF3CF9" w:rsidP="008D5A6A">
      <w:pPr>
        <w:pStyle w:val="CETBodytext"/>
        <w:rPr>
          <w:lang w:val="en-GB"/>
        </w:rPr>
      </w:pPr>
      <w:r w:rsidRPr="00900A55">
        <w:rPr>
          <w:lang w:val="en-GB"/>
        </w:rPr>
        <w:t xml:space="preserve">Global concerns </w:t>
      </w:r>
      <w:r w:rsidR="00BB0796" w:rsidRPr="00BB0796">
        <w:rPr>
          <w:lang w:val="en-GB"/>
        </w:rPr>
        <w:t>include not only</w:t>
      </w:r>
      <w:r w:rsidR="00F3391F">
        <w:rPr>
          <w:lang w:val="en-GB"/>
        </w:rPr>
        <w:t xml:space="preserve"> </w:t>
      </w:r>
      <w:r w:rsidRPr="00900A55">
        <w:rPr>
          <w:lang w:val="en-GB"/>
        </w:rPr>
        <w:t xml:space="preserve">the </w:t>
      </w:r>
      <w:r w:rsidR="00D9128F">
        <w:rPr>
          <w:lang w:val="en-GB"/>
        </w:rPr>
        <w:t>depletion</w:t>
      </w:r>
      <w:r w:rsidR="00D9128F" w:rsidRPr="00900A55">
        <w:rPr>
          <w:lang w:val="en-GB"/>
        </w:rPr>
        <w:t xml:space="preserve"> </w:t>
      </w:r>
      <w:r w:rsidRPr="00900A55">
        <w:rPr>
          <w:lang w:val="en-GB"/>
        </w:rPr>
        <w:t xml:space="preserve">of fossil deposits </w:t>
      </w:r>
      <w:r w:rsidR="00BB0796">
        <w:rPr>
          <w:lang w:val="en-GB"/>
        </w:rPr>
        <w:t>but also</w:t>
      </w:r>
      <w:r w:rsidR="00F3391F">
        <w:rPr>
          <w:lang w:val="en-GB"/>
        </w:rPr>
        <w:t xml:space="preserve"> </w:t>
      </w:r>
      <w:r w:rsidRPr="006E5053">
        <w:rPr>
          <w:lang w:val="en-GB"/>
        </w:rPr>
        <w:t>rising atmospheric carbon dioxide (CO</w:t>
      </w:r>
      <w:r w:rsidR="00BA536E" w:rsidRPr="00BA536E">
        <w:rPr>
          <w:vertAlign w:val="subscript"/>
          <w:lang w:val="en-GB"/>
        </w:rPr>
        <w:t>2</w:t>
      </w:r>
      <w:r w:rsidRPr="006E5053">
        <w:rPr>
          <w:lang w:val="en-GB"/>
        </w:rPr>
        <w:t xml:space="preserve">) </w:t>
      </w:r>
      <w:r w:rsidR="00DB70B1">
        <w:rPr>
          <w:lang w:val="en-GB"/>
        </w:rPr>
        <w:t>concentration</w:t>
      </w:r>
      <w:r w:rsidRPr="006E5053">
        <w:rPr>
          <w:lang w:val="en-GB"/>
        </w:rPr>
        <w:t xml:space="preserve">, climate change, and the challenges associated with recycling waste. These issues are intricately linked to population growth and </w:t>
      </w:r>
      <w:r w:rsidR="00D9128F">
        <w:rPr>
          <w:lang w:val="en-GB"/>
        </w:rPr>
        <w:t xml:space="preserve">to </w:t>
      </w:r>
      <w:r w:rsidRPr="006E5053">
        <w:rPr>
          <w:lang w:val="en-GB"/>
        </w:rPr>
        <w:t xml:space="preserve">the increasing industrialization of many countries. Indeed, in industrialized </w:t>
      </w:r>
      <w:r w:rsidR="009A2D65">
        <w:rPr>
          <w:lang w:val="en-GB"/>
        </w:rPr>
        <w:t>countries</w:t>
      </w:r>
      <w:r w:rsidRPr="006E5053">
        <w:rPr>
          <w:lang w:val="en-GB"/>
        </w:rPr>
        <w:t xml:space="preserve"> most fuels and a wide range of platform chemicals have historically been sourced from petroleum through oil refineries. </w:t>
      </w:r>
      <w:r w:rsidR="00D9128F">
        <w:rPr>
          <w:lang w:val="en-GB"/>
        </w:rPr>
        <w:t>The listed concerns press</w:t>
      </w:r>
      <w:r w:rsidRPr="006E5053">
        <w:rPr>
          <w:lang w:val="en-GB"/>
        </w:rPr>
        <w:t xml:space="preserve"> contemporary societies </w:t>
      </w:r>
      <w:r w:rsidR="00D9128F">
        <w:rPr>
          <w:lang w:val="en-GB"/>
        </w:rPr>
        <w:t xml:space="preserve">to </w:t>
      </w:r>
      <w:r w:rsidRPr="006E5053">
        <w:rPr>
          <w:lang w:val="en-GB"/>
        </w:rPr>
        <w:t xml:space="preserve">explore novel production </w:t>
      </w:r>
      <w:r w:rsidR="00D9128F">
        <w:rPr>
          <w:lang w:val="en-GB"/>
        </w:rPr>
        <w:t xml:space="preserve">technologies </w:t>
      </w:r>
      <w:r w:rsidRPr="006E5053">
        <w:rPr>
          <w:lang w:val="en-GB"/>
        </w:rPr>
        <w:t xml:space="preserve">and alternative </w:t>
      </w:r>
      <w:r w:rsidR="009A2D65" w:rsidRPr="006E5053">
        <w:rPr>
          <w:lang w:val="en-GB"/>
        </w:rPr>
        <w:t xml:space="preserve">sources </w:t>
      </w:r>
      <w:r w:rsidR="009A2D65">
        <w:rPr>
          <w:lang w:val="en-GB"/>
        </w:rPr>
        <w:t xml:space="preserve">of </w:t>
      </w:r>
      <w:r w:rsidR="00751D26" w:rsidRPr="006E5053">
        <w:rPr>
          <w:lang w:val="en-GB"/>
        </w:rPr>
        <w:t xml:space="preserve">non-fossil resources </w:t>
      </w:r>
      <w:r w:rsidRPr="006E5053">
        <w:rPr>
          <w:lang w:val="en-GB"/>
        </w:rPr>
        <w:t xml:space="preserve">fuel (Ahuja et al., 2023). </w:t>
      </w:r>
    </w:p>
    <w:p w14:paraId="28339D8A" w14:textId="77777777" w:rsidR="00950FF0" w:rsidRPr="006E5053" w:rsidRDefault="00000E62" w:rsidP="00950FF0">
      <w:pPr>
        <w:pStyle w:val="CETBodytext"/>
        <w:rPr>
          <w:lang w:val="en-GB"/>
        </w:rPr>
      </w:pPr>
      <w:r w:rsidRPr="00000E62">
        <w:rPr>
          <w:lang w:val="en-GB"/>
        </w:rPr>
        <w:t>Biofuels</w:t>
      </w:r>
      <w:r w:rsidR="00D9128F">
        <w:rPr>
          <w:lang w:val="en-GB"/>
        </w:rPr>
        <w:t xml:space="preserve"> –</w:t>
      </w:r>
      <w:r w:rsidR="00D9128F" w:rsidRPr="00000E62">
        <w:rPr>
          <w:lang w:val="en-GB"/>
        </w:rPr>
        <w:t xml:space="preserve"> </w:t>
      </w:r>
      <w:r w:rsidR="00D9128F">
        <w:rPr>
          <w:lang w:val="en-GB"/>
        </w:rPr>
        <w:t xml:space="preserve">fuels produced </w:t>
      </w:r>
      <w:r w:rsidRPr="00000E62">
        <w:rPr>
          <w:lang w:val="en-GB"/>
        </w:rPr>
        <w:t xml:space="preserve">from biological </w:t>
      </w:r>
      <w:r w:rsidR="00D9128F">
        <w:rPr>
          <w:lang w:val="en-GB"/>
        </w:rPr>
        <w:t>re</w:t>
      </w:r>
      <w:r w:rsidRPr="00000E62">
        <w:rPr>
          <w:lang w:val="en-GB"/>
        </w:rPr>
        <w:t>sources</w:t>
      </w:r>
      <w:r w:rsidR="00D9128F">
        <w:rPr>
          <w:lang w:val="en-GB"/>
        </w:rPr>
        <w:t xml:space="preserve"> -</w:t>
      </w:r>
      <w:r w:rsidR="00D9128F" w:rsidRPr="00000E62">
        <w:rPr>
          <w:lang w:val="en-GB"/>
        </w:rPr>
        <w:t xml:space="preserve"> </w:t>
      </w:r>
      <w:r w:rsidRPr="00000E62">
        <w:rPr>
          <w:lang w:val="en-GB"/>
        </w:rPr>
        <w:t xml:space="preserve">have emerged as a promising alternative to replace fossil fuels. The fermentation of sugars or starch feedstocks to produce ethanol and butanol as value-added products raises concerns about competition with food resources (Kennes et al., 2016). </w:t>
      </w:r>
      <w:r w:rsidR="003F6305">
        <w:rPr>
          <w:lang w:val="en-GB"/>
        </w:rPr>
        <w:t xml:space="preserve">The </w:t>
      </w:r>
      <w:proofErr w:type="gramStart"/>
      <w:r w:rsidR="003F6305">
        <w:rPr>
          <w:lang w:val="en-GB"/>
        </w:rPr>
        <w:t>second generation</w:t>
      </w:r>
      <w:proofErr w:type="gramEnd"/>
      <w:r w:rsidR="003F6305">
        <w:rPr>
          <w:lang w:val="en-GB"/>
        </w:rPr>
        <w:t xml:space="preserve"> biofuels opt for </w:t>
      </w:r>
      <w:r w:rsidRPr="00000E62">
        <w:rPr>
          <w:lang w:val="en-GB"/>
        </w:rPr>
        <w:t xml:space="preserve">lignocellulosic </w:t>
      </w:r>
      <w:r w:rsidR="003F6305">
        <w:rPr>
          <w:lang w:val="en-GB"/>
        </w:rPr>
        <w:t>biomass</w:t>
      </w:r>
      <w:r w:rsidRPr="00000E62">
        <w:rPr>
          <w:lang w:val="en-GB"/>
        </w:rPr>
        <w:t xml:space="preserve"> </w:t>
      </w:r>
      <w:r w:rsidR="00D02501">
        <w:rPr>
          <w:lang w:val="en-GB"/>
        </w:rPr>
        <w:t xml:space="preserve">and </w:t>
      </w:r>
      <w:r w:rsidRPr="00000E62">
        <w:rPr>
          <w:lang w:val="en-GB"/>
        </w:rPr>
        <w:t xml:space="preserve">offers a solution to </w:t>
      </w:r>
      <w:r w:rsidR="00D02501">
        <w:rPr>
          <w:lang w:val="en-GB"/>
        </w:rPr>
        <w:t>the competition with feed/food resources</w:t>
      </w:r>
      <w:r w:rsidRPr="00000E62">
        <w:rPr>
          <w:lang w:val="en-GB"/>
        </w:rPr>
        <w:t xml:space="preserve"> (Fernández-Naveira et al., 2017</w:t>
      </w:r>
      <w:r w:rsidR="00E969DC">
        <w:rPr>
          <w:lang w:val="en-GB"/>
        </w:rPr>
        <w:t>a</w:t>
      </w:r>
      <w:r w:rsidRPr="00000E62">
        <w:rPr>
          <w:lang w:val="en-GB"/>
        </w:rPr>
        <w:t>).</w:t>
      </w:r>
      <w:r w:rsidR="00F5554D">
        <w:rPr>
          <w:lang w:val="en-GB"/>
        </w:rPr>
        <w:t xml:space="preserve"> </w:t>
      </w:r>
      <w:r w:rsidR="00D02501">
        <w:rPr>
          <w:lang w:val="en-GB"/>
        </w:rPr>
        <w:t xml:space="preserve">However, </w:t>
      </w:r>
      <w:r w:rsidR="007E59AD">
        <w:rPr>
          <w:lang w:val="en-GB"/>
        </w:rPr>
        <w:t xml:space="preserve">the exploitation of </w:t>
      </w:r>
      <w:r w:rsidR="00D02501">
        <w:rPr>
          <w:lang w:val="en-GB"/>
        </w:rPr>
        <w:t xml:space="preserve">lignocellulosic biomass </w:t>
      </w:r>
      <w:r w:rsidR="007E59AD">
        <w:rPr>
          <w:lang w:val="en-GB"/>
        </w:rPr>
        <w:t>via sugar fermentation path is limited to the poly</w:t>
      </w:r>
      <w:r w:rsidR="00B63CBF" w:rsidRPr="00B63CBF">
        <w:rPr>
          <w:lang w:val="en-GB"/>
        </w:rPr>
        <w:t>carbohydrate</w:t>
      </w:r>
      <w:r w:rsidR="007E59AD">
        <w:rPr>
          <w:lang w:val="en-GB"/>
        </w:rPr>
        <w:t xml:space="preserve"> </w:t>
      </w:r>
      <w:r w:rsidR="00B63CBF">
        <w:rPr>
          <w:lang w:val="en-GB"/>
        </w:rPr>
        <w:t xml:space="preserve">fraction – cellulose and hemicellulose – while the lignin fraction is not </w:t>
      </w:r>
      <w:r w:rsidR="00950FF0" w:rsidRPr="006E5053">
        <w:rPr>
          <w:lang w:val="en-GB"/>
        </w:rPr>
        <w:t>fermentable (Kennes et al., 2016).</w:t>
      </w:r>
      <w:r w:rsidR="00B63CBF">
        <w:rPr>
          <w:lang w:val="en-GB"/>
        </w:rPr>
        <w:t xml:space="preserve"> Moreover, the energy required to destructure lignocellulosic biomass may be so high to make </w:t>
      </w:r>
      <w:r w:rsidR="00CB7184">
        <w:rPr>
          <w:lang w:val="en-GB"/>
        </w:rPr>
        <w:t xml:space="preserve">the energy balance of the process to produce biofuels negative. </w:t>
      </w:r>
    </w:p>
    <w:p w14:paraId="5F2F8222" w14:textId="60E5F22A" w:rsidR="00950FF0" w:rsidRPr="006E5053" w:rsidRDefault="00CB7184" w:rsidP="00F5554D">
      <w:pPr>
        <w:pStyle w:val="CETBodytext"/>
        <w:rPr>
          <w:lang w:val="en-GB"/>
        </w:rPr>
      </w:pPr>
      <w:r>
        <w:rPr>
          <w:lang w:val="en-GB"/>
        </w:rPr>
        <w:lastRenderedPageBreak/>
        <w:t xml:space="preserve">A potential strategy to exploit </w:t>
      </w:r>
      <w:r w:rsidR="00A438B0">
        <w:rPr>
          <w:lang w:val="en-GB"/>
        </w:rPr>
        <w:t xml:space="preserve">all </w:t>
      </w:r>
      <w:r>
        <w:rPr>
          <w:lang w:val="en-GB"/>
        </w:rPr>
        <w:t xml:space="preserve">the </w:t>
      </w:r>
      <w:r w:rsidR="00F5554D" w:rsidRPr="00F5554D">
        <w:rPr>
          <w:lang w:val="en-GB"/>
        </w:rPr>
        <w:t xml:space="preserve">lignocellulosic </w:t>
      </w:r>
      <w:r>
        <w:rPr>
          <w:lang w:val="en-GB"/>
        </w:rPr>
        <w:t xml:space="preserve">biomass </w:t>
      </w:r>
      <w:r w:rsidR="00A438B0">
        <w:rPr>
          <w:lang w:val="en-GB"/>
        </w:rPr>
        <w:t xml:space="preserve">is the </w:t>
      </w:r>
      <w:r w:rsidR="00F5554D" w:rsidRPr="00F5554D">
        <w:rPr>
          <w:lang w:val="en-GB"/>
        </w:rPr>
        <w:t>gasifi</w:t>
      </w:r>
      <w:r w:rsidR="00A438B0">
        <w:rPr>
          <w:lang w:val="en-GB"/>
        </w:rPr>
        <w:t>cation</w:t>
      </w:r>
      <w:r w:rsidR="00F5554D" w:rsidRPr="00F5554D">
        <w:rPr>
          <w:lang w:val="en-GB"/>
        </w:rPr>
        <w:t xml:space="preserve"> </w:t>
      </w:r>
      <w:r w:rsidR="00A438B0">
        <w:rPr>
          <w:lang w:val="en-GB"/>
        </w:rPr>
        <w:t xml:space="preserve">to </w:t>
      </w:r>
      <w:r w:rsidR="00F5554D" w:rsidRPr="00F5554D">
        <w:rPr>
          <w:lang w:val="en-GB"/>
        </w:rPr>
        <w:t xml:space="preserve">convert </w:t>
      </w:r>
      <w:r w:rsidR="00A438B0">
        <w:rPr>
          <w:lang w:val="en-GB"/>
        </w:rPr>
        <w:t xml:space="preserve">biomass </w:t>
      </w:r>
      <w:r w:rsidR="00F5554D" w:rsidRPr="00F5554D">
        <w:rPr>
          <w:lang w:val="en-GB"/>
        </w:rPr>
        <w:t>into syngas</w:t>
      </w:r>
      <w:r w:rsidR="00A438B0">
        <w:rPr>
          <w:lang w:val="en-GB"/>
        </w:rPr>
        <w:t>:</w:t>
      </w:r>
      <w:r w:rsidR="00A438B0" w:rsidRPr="00F5554D">
        <w:rPr>
          <w:lang w:val="en-GB"/>
        </w:rPr>
        <w:t xml:space="preserve"> </w:t>
      </w:r>
      <w:r w:rsidR="00A438B0">
        <w:rPr>
          <w:lang w:val="en-GB"/>
        </w:rPr>
        <w:t xml:space="preserve">a gas mixture of </w:t>
      </w:r>
      <w:r w:rsidR="00F5554D" w:rsidRPr="00F5554D">
        <w:rPr>
          <w:lang w:val="en-GB"/>
        </w:rPr>
        <w:t>carbon monoxide (CO), hydrogen (H</w:t>
      </w:r>
      <w:r w:rsidR="00014538" w:rsidRPr="00014538">
        <w:rPr>
          <w:vertAlign w:val="subscript"/>
          <w:lang w:val="en-GB"/>
        </w:rPr>
        <w:t>2</w:t>
      </w:r>
      <w:r w:rsidR="00F5554D" w:rsidRPr="00F5554D">
        <w:rPr>
          <w:lang w:val="en-GB"/>
        </w:rPr>
        <w:t>), and carbon dioxide (CO</w:t>
      </w:r>
      <w:r w:rsidR="00014538" w:rsidRPr="00014538">
        <w:rPr>
          <w:vertAlign w:val="subscript"/>
          <w:lang w:val="en-GB"/>
        </w:rPr>
        <w:t>2</w:t>
      </w:r>
      <w:r w:rsidR="00F5554D" w:rsidRPr="00F5554D">
        <w:rPr>
          <w:lang w:val="en-GB"/>
        </w:rPr>
        <w:t xml:space="preserve">). Depending on the properties of the feedstock and gasification conditions, the presence of </w:t>
      </w:r>
      <w:r w:rsidR="00F5554D">
        <w:rPr>
          <w:lang w:val="en-GB"/>
        </w:rPr>
        <w:t xml:space="preserve">other compounds (e.g </w:t>
      </w:r>
      <w:r w:rsidR="00F5554D" w:rsidRPr="006E5053">
        <w:rPr>
          <w:lang w:val="en-GB"/>
        </w:rPr>
        <w:t>CH</w:t>
      </w:r>
      <w:r w:rsidR="00F5554D" w:rsidRPr="006E5053">
        <w:rPr>
          <w:vertAlign w:val="subscript"/>
          <w:lang w:val="en-GB"/>
        </w:rPr>
        <w:t>4</w:t>
      </w:r>
      <w:r w:rsidR="00F5554D" w:rsidRPr="006E5053">
        <w:rPr>
          <w:lang w:val="en-GB"/>
        </w:rPr>
        <w:t>, C</w:t>
      </w:r>
      <w:r w:rsidR="00F5554D" w:rsidRPr="006E5053">
        <w:rPr>
          <w:vertAlign w:val="subscript"/>
          <w:lang w:val="en-GB"/>
        </w:rPr>
        <w:t>2</w:t>
      </w:r>
      <w:r w:rsidR="00F5554D" w:rsidRPr="006E5053">
        <w:rPr>
          <w:lang w:val="en-GB"/>
        </w:rPr>
        <w:t>H</w:t>
      </w:r>
      <w:r w:rsidR="00F5554D" w:rsidRPr="006E5053">
        <w:rPr>
          <w:vertAlign w:val="subscript"/>
          <w:lang w:val="en-GB"/>
        </w:rPr>
        <w:t>6</w:t>
      </w:r>
      <w:r w:rsidR="00F5554D" w:rsidRPr="006E5053">
        <w:rPr>
          <w:lang w:val="en-GB"/>
        </w:rPr>
        <w:t>, C</w:t>
      </w:r>
      <w:r w:rsidR="00F5554D" w:rsidRPr="006E5053">
        <w:rPr>
          <w:vertAlign w:val="subscript"/>
          <w:lang w:val="en-GB"/>
        </w:rPr>
        <w:t>2</w:t>
      </w:r>
      <w:r w:rsidR="00F5554D" w:rsidRPr="006E5053">
        <w:rPr>
          <w:lang w:val="en-GB"/>
        </w:rPr>
        <w:t>H</w:t>
      </w:r>
      <w:r w:rsidR="00F5554D" w:rsidRPr="006E5053">
        <w:rPr>
          <w:vertAlign w:val="subscript"/>
          <w:lang w:val="en-GB"/>
        </w:rPr>
        <w:t>2</w:t>
      </w:r>
      <w:r w:rsidR="00F5554D" w:rsidRPr="006E5053">
        <w:rPr>
          <w:lang w:val="en-GB"/>
        </w:rPr>
        <w:t>, C</w:t>
      </w:r>
      <w:r w:rsidR="00F5554D" w:rsidRPr="006E5053">
        <w:rPr>
          <w:vertAlign w:val="subscript"/>
          <w:lang w:val="en-GB"/>
        </w:rPr>
        <w:t>6</w:t>
      </w:r>
      <w:r w:rsidR="00F5554D" w:rsidRPr="006E5053">
        <w:rPr>
          <w:lang w:val="en-GB"/>
        </w:rPr>
        <w:t>H</w:t>
      </w:r>
      <w:r w:rsidR="00F5554D" w:rsidRPr="006E5053">
        <w:rPr>
          <w:vertAlign w:val="subscript"/>
          <w:lang w:val="en-GB"/>
        </w:rPr>
        <w:t>6</w:t>
      </w:r>
      <w:r w:rsidR="00F5554D" w:rsidRPr="006E5053">
        <w:rPr>
          <w:lang w:val="en-GB"/>
        </w:rPr>
        <w:t>, C</w:t>
      </w:r>
      <w:r w:rsidR="00F5554D" w:rsidRPr="006E5053">
        <w:rPr>
          <w:vertAlign w:val="subscript"/>
          <w:lang w:val="en-GB"/>
        </w:rPr>
        <w:t>10</w:t>
      </w:r>
      <w:r w:rsidR="00F5554D" w:rsidRPr="006E5053">
        <w:rPr>
          <w:lang w:val="en-GB"/>
        </w:rPr>
        <w:t>H</w:t>
      </w:r>
      <w:r w:rsidR="00F5554D" w:rsidRPr="006E5053">
        <w:rPr>
          <w:vertAlign w:val="subscript"/>
          <w:lang w:val="en-GB"/>
        </w:rPr>
        <w:t>8</w:t>
      </w:r>
      <w:r w:rsidR="00F5554D" w:rsidRPr="006E5053">
        <w:rPr>
          <w:lang w:val="en-GB"/>
        </w:rPr>
        <w:t>, NH</w:t>
      </w:r>
      <w:r w:rsidR="00F5554D" w:rsidRPr="006E5053">
        <w:rPr>
          <w:vertAlign w:val="subscript"/>
          <w:lang w:val="en-GB"/>
        </w:rPr>
        <w:t>3</w:t>
      </w:r>
      <w:r w:rsidR="00F5554D" w:rsidRPr="006E5053">
        <w:rPr>
          <w:lang w:val="en-GB"/>
        </w:rPr>
        <w:t>, HCN, NO</w:t>
      </w:r>
      <w:r w:rsidR="00F5554D" w:rsidRPr="006E5053">
        <w:rPr>
          <w:vertAlign w:val="subscript"/>
          <w:lang w:val="en-GB"/>
        </w:rPr>
        <w:t>x</w:t>
      </w:r>
      <w:r w:rsidR="00F5554D" w:rsidRPr="006E5053">
        <w:rPr>
          <w:lang w:val="en-GB"/>
        </w:rPr>
        <w:t>, SO</w:t>
      </w:r>
      <w:r w:rsidR="00F5554D" w:rsidRPr="006E5053">
        <w:rPr>
          <w:vertAlign w:val="subscript"/>
          <w:lang w:val="en-GB"/>
        </w:rPr>
        <w:t>2</w:t>
      </w:r>
      <w:r w:rsidR="00F5554D" w:rsidRPr="006E5053">
        <w:rPr>
          <w:lang w:val="en-GB"/>
        </w:rPr>
        <w:t>, H</w:t>
      </w:r>
      <w:r w:rsidR="00F5554D" w:rsidRPr="006E5053">
        <w:rPr>
          <w:vertAlign w:val="subscript"/>
          <w:lang w:val="en-GB"/>
        </w:rPr>
        <w:t>2</w:t>
      </w:r>
      <w:r w:rsidR="00F5554D" w:rsidRPr="006E5053">
        <w:rPr>
          <w:lang w:val="en-GB"/>
        </w:rPr>
        <w:t>S, COS</w:t>
      </w:r>
      <w:r w:rsidR="00F5554D">
        <w:rPr>
          <w:lang w:val="en-GB"/>
        </w:rPr>
        <w:t>)</w:t>
      </w:r>
      <w:r w:rsidR="00F5554D" w:rsidRPr="00F5554D">
        <w:rPr>
          <w:lang w:val="en-GB"/>
        </w:rPr>
        <w:t xml:space="preserve"> has been reported (Xu et al., 2011). Many industrial waste gases also contain one or more of these gases and </w:t>
      </w:r>
      <w:r w:rsidR="00814248">
        <w:rPr>
          <w:lang w:val="en-GB"/>
        </w:rPr>
        <w:t>can</w:t>
      </w:r>
      <w:r w:rsidR="00F5554D" w:rsidRPr="00F5554D">
        <w:rPr>
          <w:lang w:val="en-GB"/>
        </w:rPr>
        <w:t xml:space="preserve"> be utilized as feedstock, offering clear environmental advantages (Abubackar et al., 2011).</w:t>
      </w:r>
      <w:r w:rsidR="00F5554D">
        <w:rPr>
          <w:lang w:val="en-GB"/>
        </w:rPr>
        <w:t xml:space="preserve"> </w:t>
      </w:r>
    </w:p>
    <w:p w14:paraId="3CA04BBC" w14:textId="099C0718" w:rsidR="00005919" w:rsidRPr="006E5053" w:rsidRDefault="00661EFF" w:rsidP="00005919">
      <w:pPr>
        <w:pStyle w:val="CETBodytext"/>
        <w:rPr>
          <w:rFonts w:cs="Arial"/>
          <w:color w:val="374151"/>
          <w:shd w:val="clear" w:color="auto" w:fill="F7F7F8"/>
        </w:rPr>
      </w:pPr>
      <w:r w:rsidRPr="00661EFF">
        <w:rPr>
          <w:lang w:val="en-GB"/>
        </w:rPr>
        <w:t xml:space="preserve">Syngas components </w:t>
      </w:r>
      <w:r w:rsidR="00B84ED8">
        <w:rPr>
          <w:lang w:val="en-GB"/>
        </w:rPr>
        <w:t xml:space="preserve">may be </w:t>
      </w:r>
      <w:r w:rsidRPr="00661EFF">
        <w:rPr>
          <w:lang w:val="en-GB"/>
        </w:rPr>
        <w:t xml:space="preserve">substrate for </w:t>
      </w:r>
      <w:r w:rsidR="00C06D51">
        <w:rPr>
          <w:lang w:val="en-GB"/>
        </w:rPr>
        <w:t>some</w:t>
      </w:r>
      <w:r w:rsidR="00C06D51" w:rsidRPr="00661EFF">
        <w:rPr>
          <w:lang w:val="en-GB"/>
        </w:rPr>
        <w:t xml:space="preserve"> </w:t>
      </w:r>
      <w:r w:rsidRPr="00661EFF">
        <w:rPr>
          <w:lang w:val="en-GB"/>
        </w:rPr>
        <w:t xml:space="preserve">microorganisms able of synthesizing value-added products, including acetic acid, butyric acid, ethanol, butanol, and methane (Stoll et al., 2018). </w:t>
      </w:r>
      <w:r w:rsidR="00950FF0" w:rsidRPr="006E5053">
        <w:rPr>
          <w:lang w:val="en-GB"/>
        </w:rPr>
        <w:t xml:space="preserve">Biological catalysts play a crucial role in the conversion of </w:t>
      </w:r>
      <w:r w:rsidR="00E313A6">
        <w:rPr>
          <w:lang w:val="en-GB"/>
        </w:rPr>
        <w:t xml:space="preserve">syngas </w:t>
      </w:r>
      <w:r w:rsidR="00950FF0" w:rsidRPr="006E5053">
        <w:rPr>
          <w:lang w:val="en-GB"/>
        </w:rPr>
        <w:t>into chemicals</w:t>
      </w:r>
      <w:r w:rsidR="006D1B39">
        <w:rPr>
          <w:lang w:val="en-GB"/>
        </w:rPr>
        <w:t>/</w:t>
      </w:r>
      <w:r w:rsidR="00950FF0" w:rsidRPr="006E5053">
        <w:rPr>
          <w:lang w:val="en-GB"/>
        </w:rPr>
        <w:t>biofuels and have many advantages over metal-based catalysts</w:t>
      </w:r>
      <w:r w:rsidR="004D1A40">
        <w:rPr>
          <w:lang w:val="en-GB"/>
        </w:rPr>
        <w:t>. Indeed</w:t>
      </w:r>
      <w:r w:rsidR="00E313A6">
        <w:rPr>
          <w:lang w:val="en-GB"/>
        </w:rPr>
        <w:t>,</w:t>
      </w:r>
      <w:r w:rsidR="00950FF0" w:rsidRPr="006E5053">
        <w:rPr>
          <w:lang w:val="en-GB"/>
        </w:rPr>
        <w:t xml:space="preserve"> </w:t>
      </w:r>
      <w:r w:rsidR="004D1A40">
        <w:rPr>
          <w:lang w:val="en-GB"/>
        </w:rPr>
        <w:t xml:space="preserve">bioconversion is characterized by </w:t>
      </w:r>
      <w:r w:rsidR="00950FF0" w:rsidRPr="006E5053">
        <w:rPr>
          <w:lang w:val="en-GB"/>
        </w:rPr>
        <w:t>high specificity, low operation</w:t>
      </w:r>
      <w:r>
        <w:rPr>
          <w:lang w:val="en-GB"/>
        </w:rPr>
        <w:t>al</w:t>
      </w:r>
      <w:r w:rsidR="00950FF0" w:rsidRPr="006E5053">
        <w:rPr>
          <w:lang w:val="en-GB"/>
        </w:rPr>
        <w:t xml:space="preserve"> cost</w:t>
      </w:r>
      <w:r>
        <w:rPr>
          <w:lang w:val="en-GB"/>
        </w:rPr>
        <w:t>s</w:t>
      </w:r>
      <w:r w:rsidR="00950FF0" w:rsidRPr="006E5053">
        <w:rPr>
          <w:lang w:val="en-GB"/>
        </w:rPr>
        <w:t xml:space="preserve"> (</w:t>
      </w:r>
      <w:r w:rsidRPr="00661EFF">
        <w:rPr>
          <w:lang w:val="en-GB"/>
        </w:rPr>
        <w:t>low temperature and pressure</w:t>
      </w:r>
      <w:r w:rsidR="00950FF0" w:rsidRPr="006E5053">
        <w:rPr>
          <w:lang w:val="en-GB"/>
        </w:rPr>
        <w:t xml:space="preserve">), </w:t>
      </w:r>
      <w:r w:rsidR="004D1A40">
        <w:rPr>
          <w:lang w:val="en-GB"/>
        </w:rPr>
        <w:t xml:space="preserve">good </w:t>
      </w:r>
      <w:r w:rsidR="00950FF0" w:rsidRPr="006E5053">
        <w:rPr>
          <w:lang w:val="en-GB"/>
        </w:rPr>
        <w:t xml:space="preserve">resistance </w:t>
      </w:r>
      <w:r w:rsidRPr="00661EFF">
        <w:rPr>
          <w:lang w:val="en-GB"/>
        </w:rPr>
        <w:t>to sulphur gas poisoning</w:t>
      </w:r>
      <w:r w:rsidR="00950FF0" w:rsidRPr="006E5053">
        <w:rPr>
          <w:lang w:val="en-GB"/>
        </w:rPr>
        <w:t xml:space="preserve"> (Durre and Eikmanns, 2015). </w:t>
      </w:r>
      <w:r w:rsidR="004D1A40">
        <w:rPr>
          <w:lang w:val="en-GB"/>
        </w:rPr>
        <w:t>O</w:t>
      </w:r>
      <w:r w:rsidR="00C0126C" w:rsidRPr="00C0126C">
        <w:rPr>
          <w:lang w:val="en-GB"/>
        </w:rPr>
        <w:t xml:space="preserve">nly a few </w:t>
      </w:r>
      <w:r w:rsidR="004D1A40">
        <w:rPr>
          <w:lang w:val="en-GB"/>
        </w:rPr>
        <w:t xml:space="preserve">clostridia </w:t>
      </w:r>
      <w:r w:rsidR="00C0126C" w:rsidRPr="00C0126C">
        <w:rPr>
          <w:lang w:val="en-GB"/>
        </w:rPr>
        <w:t>are recognized for both generating value-added products and thriving on syngas as primary carbon and energy sources (Liberato et al., 2019).</w:t>
      </w:r>
      <w:r w:rsidR="00C0126C">
        <w:rPr>
          <w:lang w:val="en-GB"/>
        </w:rPr>
        <w:t xml:space="preserve"> </w:t>
      </w:r>
      <w:r w:rsidR="00950FF0" w:rsidRPr="006E5053">
        <w:rPr>
          <w:i/>
          <w:iCs/>
          <w:lang w:val="en-GB"/>
        </w:rPr>
        <w:t>C</w:t>
      </w:r>
      <w:r w:rsidR="004D1A40">
        <w:rPr>
          <w:i/>
          <w:iCs/>
          <w:lang w:val="en-GB"/>
        </w:rPr>
        <w:t>lostridium</w:t>
      </w:r>
      <w:r w:rsidR="004D1A40" w:rsidRPr="006E5053">
        <w:rPr>
          <w:i/>
          <w:iCs/>
          <w:lang w:val="en-GB"/>
        </w:rPr>
        <w:t xml:space="preserve"> </w:t>
      </w:r>
      <w:r w:rsidR="00950FF0" w:rsidRPr="006E5053">
        <w:rPr>
          <w:i/>
          <w:iCs/>
          <w:lang w:val="en-GB"/>
        </w:rPr>
        <w:t>carboxidivorans</w:t>
      </w:r>
      <w:r w:rsidR="00950FF0" w:rsidRPr="006E5053">
        <w:rPr>
          <w:lang w:val="en-GB"/>
        </w:rPr>
        <w:t xml:space="preserve"> </w:t>
      </w:r>
      <w:proofErr w:type="gramStart"/>
      <w:r w:rsidR="00950FF0" w:rsidRPr="006E5053">
        <w:rPr>
          <w:lang w:val="en-GB"/>
        </w:rPr>
        <w:t>is able to</w:t>
      </w:r>
      <w:proofErr w:type="gramEnd"/>
      <w:r w:rsidR="00950FF0" w:rsidRPr="006E5053">
        <w:rPr>
          <w:lang w:val="en-GB"/>
        </w:rPr>
        <w:t xml:space="preserve"> grow autotrophically on syngas, using the gaseous CO or CO</w:t>
      </w:r>
      <w:r w:rsidR="00950FF0" w:rsidRPr="006E5053">
        <w:rPr>
          <w:vertAlign w:val="subscript"/>
          <w:lang w:val="en-GB"/>
        </w:rPr>
        <w:t>2</w:t>
      </w:r>
      <w:r w:rsidR="00950FF0" w:rsidRPr="006E5053">
        <w:rPr>
          <w:lang w:val="en-GB"/>
        </w:rPr>
        <w:t xml:space="preserve"> + H</w:t>
      </w:r>
      <w:r w:rsidR="00950FF0" w:rsidRPr="006E5053">
        <w:rPr>
          <w:vertAlign w:val="subscript"/>
          <w:lang w:val="en-GB"/>
        </w:rPr>
        <w:t>2</w:t>
      </w:r>
      <w:r w:rsidR="00950FF0" w:rsidRPr="006E5053">
        <w:rPr>
          <w:lang w:val="en-GB"/>
        </w:rPr>
        <w:t xml:space="preserve"> as carbon and energy source</w:t>
      </w:r>
      <w:r w:rsidR="004D1A40">
        <w:rPr>
          <w:lang w:val="en-GB"/>
        </w:rPr>
        <w:t>. I</w:t>
      </w:r>
      <w:r w:rsidR="00950FF0" w:rsidRPr="006E5053">
        <w:rPr>
          <w:lang w:val="en-GB"/>
        </w:rPr>
        <w:t xml:space="preserve">t </w:t>
      </w:r>
      <w:r w:rsidR="00814248">
        <w:rPr>
          <w:lang w:val="en-GB"/>
        </w:rPr>
        <w:t>can</w:t>
      </w:r>
      <w:r w:rsidR="00950FF0" w:rsidRPr="006E5053">
        <w:rPr>
          <w:lang w:val="en-GB"/>
        </w:rPr>
        <w:t xml:space="preserve"> produce short and longer </w:t>
      </w:r>
      <w:r w:rsidR="00AF69E3" w:rsidRPr="006E5053">
        <w:rPr>
          <w:lang w:val="en-GB"/>
        </w:rPr>
        <w:t xml:space="preserve">chain </w:t>
      </w:r>
      <w:r w:rsidR="00950FF0" w:rsidRPr="006E5053">
        <w:rPr>
          <w:lang w:val="en-GB"/>
        </w:rPr>
        <w:t>alcohols such as ethanol, butanol and hexanol (Bruan</w:t>
      </w:r>
      <w:r w:rsidR="0018742F" w:rsidRPr="006E5053">
        <w:rPr>
          <w:lang w:val="en-GB"/>
        </w:rPr>
        <w:t>t</w:t>
      </w:r>
      <w:r w:rsidR="00950FF0" w:rsidRPr="006E5053">
        <w:rPr>
          <w:lang w:val="en-GB"/>
        </w:rPr>
        <w:t xml:space="preserve"> et al., 2010) through a variation of the Wood–Ljungdahl pathway (Ragsdale, 2008).</w:t>
      </w:r>
      <w:r w:rsidR="00005919" w:rsidRPr="006E5053">
        <w:rPr>
          <w:rFonts w:cs="Arial"/>
          <w:color w:val="374151"/>
          <w:shd w:val="clear" w:color="auto" w:fill="F7F7F8"/>
        </w:rPr>
        <w:t xml:space="preserve"> </w:t>
      </w:r>
    </w:p>
    <w:p w14:paraId="6C864F06" w14:textId="77777777" w:rsidR="001D280A" w:rsidRPr="006E5053" w:rsidRDefault="004D1A40" w:rsidP="00005919">
      <w:pPr>
        <w:pStyle w:val="CETBodytext"/>
        <w:rPr>
          <w:rFonts w:cs="Arial"/>
          <w:lang w:val="en-GB"/>
        </w:rPr>
      </w:pPr>
      <w:r>
        <w:t xml:space="preserve">Design and operation of </w:t>
      </w:r>
      <w:r w:rsidR="00744B2A" w:rsidRPr="00744B2A">
        <w:t xml:space="preserve">bioreactors under anaerobic conditions with CO-related gas as substrates </w:t>
      </w:r>
      <w:r>
        <w:t>is even</w:t>
      </w:r>
      <w:r w:rsidR="00744B2A" w:rsidRPr="00744B2A">
        <w:t xml:space="preserve"> more challenging </w:t>
      </w:r>
      <w:r>
        <w:t xml:space="preserve">when </w:t>
      </w:r>
      <w:r w:rsidR="00744B2A" w:rsidRPr="00744B2A">
        <w:t xml:space="preserve">compared to traditional carbohydrate fermentation. </w:t>
      </w:r>
      <w:r>
        <w:t>As a matter of fact</w:t>
      </w:r>
      <w:r w:rsidR="00744B2A" w:rsidRPr="00744B2A">
        <w:t xml:space="preserve">, </w:t>
      </w:r>
      <w:r>
        <w:t xml:space="preserve">the optimization of operating conditions </w:t>
      </w:r>
      <w:r w:rsidR="00744B2A" w:rsidRPr="00744B2A">
        <w:t>is a crucial factor to maximize yield and selectivity of biochemical reactions (Fernández-Naveira et al., 2016).</w:t>
      </w:r>
      <w:r w:rsidR="00744B2A">
        <w:t xml:space="preserve"> </w:t>
      </w:r>
    </w:p>
    <w:p w14:paraId="77929050" w14:textId="77777777" w:rsidR="00600535" w:rsidRPr="006E5053" w:rsidRDefault="007C03B7" w:rsidP="00950FF0">
      <w:pPr>
        <w:pStyle w:val="CETBodytext"/>
        <w:rPr>
          <w:lang w:val="en-GB"/>
        </w:rPr>
      </w:pPr>
      <w:r w:rsidRPr="007C03B7">
        <w:rPr>
          <w:lang w:val="en-GB"/>
        </w:rPr>
        <w:t xml:space="preserve">The present study </w:t>
      </w:r>
      <w:r w:rsidR="004D1A40">
        <w:rPr>
          <w:lang w:val="en-GB"/>
        </w:rPr>
        <w:t xml:space="preserve">report results of </w:t>
      </w:r>
      <w:r w:rsidRPr="007C03B7">
        <w:rPr>
          <w:lang w:val="en-GB"/>
        </w:rPr>
        <w:t xml:space="preserve">the conversion of CO into value-added products by </w:t>
      </w:r>
      <w:r w:rsidR="00014538" w:rsidRPr="00014538">
        <w:rPr>
          <w:i/>
          <w:iCs/>
          <w:lang w:val="en-GB"/>
        </w:rPr>
        <w:t>C. carboxidivorans</w:t>
      </w:r>
      <w:r w:rsidRPr="007C03B7">
        <w:rPr>
          <w:lang w:val="en-GB"/>
        </w:rPr>
        <w:t xml:space="preserve"> in a stirred tank reactor (non-pressurized) operated </w:t>
      </w:r>
      <w:r w:rsidR="004D1A40">
        <w:rPr>
          <w:lang w:val="en-GB"/>
        </w:rPr>
        <w:t xml:space="preserve">under </w:t>
      </w:r>
      <w:r w:rsidRPr="007C03B7">
        <w:rPr>
          <w:lang w:val="en-GB"/>
        </w:rPr>
        <w:t xml:space="preserve">continuous gas feeding, with and without pH control. The aim is to </w:t>
      </w:r>
      <w:r w:rsidR="004D1A40">
        <w:rPr>
          <w:lang w:val="en-GB"/>
        </w:rPr>
        <w:t xml:space="preserve">assess the </w:t>
      </w:r>
      <w:r w:rsidRPr="007C03B7">
        <w:rPr>
          <w:lang w:val="en-GB"/>
        </w:rPr>
        <w:t>optim</w:t>
      </w:r>
      <w:r w:rsidR="004D1A40">
        <w:rPr>
          <w:lang w:val="en-GB"/>
        </w:rPr>
        <w:t>al</w:t>
      </w:r>
      <w:r w:rsidRPr="007C03B7">
        <w:rPr>
          <w:lang w:val="en-GB"/>
        </w:rPr>
        <w:t xml:space="preserve"> fermentation conditions to enhance the production of alcohols.</w:t>
      </w:r>
      <w:r w:rsidR="00600535" w:rsidRPr="006E5053">
        <w:rPr>
          <w:lang w:val="en-GB"/>
        </w:rPr>
        <w:t xml:space="preserve"> </w:t>
      </w:r>
    </w:p>
    <w:p w14:paraId="4CB74612" w14:textId="77777777" w:rsidR="00453E24" w:rsidRPr="006E5053" w:rsidRDefault="004C09C7" w:rsidP="00453E24">
      <w:pPr>
        <w:pStyle w:val="CETHeading1"/>
      </w:pPr>
      <w:r w:rsidRPr="006E5053">
        <w:t xml:space="preserve">Materials and methods </w:t>
      </w:r>
    </w:p>
    <w:p w14:paraId="2E0807DE" w14:textId="77777777" w:rsidR="00453E24" w:rsidRPr="006E5053" w:rsidRDefault="007231CB" w:rsidP="00453E24">
      <w:pPr>
        <w:pStyle w:val="CETheadingx"/>
      </w:pPr>
      <w:r w:rsidRPr="006E5053">
        <w:t xml:space="preserve">Microrganism and media </w:t>
      </w:r>
    </w:p>
    <w:p w14:paraId="052295A3" w14:textId="77777777" w:rsidR="000B16AE" w:rsidRDefault="00543393" w:rsidP="00543393">
      <w:pPr>
        <w:pStyle w:val="CETBodytext"/>
      </w:pPr>
      <w:r w:rsidRPr="006E5053">
        <w:t xml:space="preserve">Deutsche Sammlung von Mikroorganismen und Zellkulturen (DSMZ) supplied </w:t>
      </w:r>
      <w:r w:rsidRPr="006E5053">
        <w:rPr>
          <w:i/>
          <w:iCs/>
        </w:rPr>
        <w:t>Clostridium carboxidivorans</w:t>
      </w:r>
      <w:r w:rsidRPr="006E5053">
        <w:t xml:space="preserve"> DSM 15243 (strain designation P7) in form of dried pellets. </w:t>
      </w:r>
      <w:r w:rsidR="00723DBA" w:rsidRPr="00723DBA">
        <w:t>Lanzillo et al. (2020) detailed the protocol for reactivating and storing the microorganism</w:t>
      </w:r>
      <w:r w:rsidRPr="006E5053">
        <w:t xml:space="preserve">. </w:t>
      </w:r>
    </w:p>
    <w:p w14:paraId="1AD3345B" w14:textId="77777777" w:rsidR="00543393" w:rsidRPr="006E5053" w:rsidRDefault="00543393" w:rsidP="00543393">
      <w:pPr>
        <w:pStyle w:val="CETBodytext"/>
      </w:pPr>
      <w:r w:rsidRPr="006E5053">
        <w:t xml:space="preserve">The composition of the fermentation medium </w:t>
      </w:r>
      <w:r w:rsidR="00723DBA">
        <w:t>was</w:t>
      </w:r>
      <w:r w:rsidRPr="006E5053">
        <w:t>: 25 mL/L mineral solution</w:t>
      </w:r>
      <w:r w:rsidR="00330C0C" w:rsidRPr="00330C0C">
        <w:t xml:space="preserve">; </w:t>
      </w:r>
      <w:r w:rsidRPr="006E5053">
        <w:t xml:space="preserve">10 mL/L trace metal solution; 10 mL/L vitamin solution; 1g/L yeast extract and 0.6 g/L of reducing agent (Fernández-Naveira et al., 2016). </w:t>
      </w:r>
    </w:p>
    <w:p w14:paraId="338C4BFE" w14:textId="77777777" w:rsidR="00453E24" w:rsidRPr="006E5053" w:rsidRDefault="00543393" w:rsidP="00543393">
      <w:pPr>
        <w:pStyle w:val="CETBodytext"/>
      </w:pPr>
      <w:r w:rsidRPr="006E5053">
        <w:t>Chemicals were from Sigma Aldrich (Milan, Italy). Vessels of CO were from Aircos srl (Naples, Italy).</w:t>
      </w:r>
    </w:p>
    <w:p w14:paraId="284C2D4F" w14:textId="77777777" w:rsidR="00453E24" w:rsidRPr="006E5053" w:rsidRDefault="00B22B8A" w:rsidP="00453E24">
      <w:pPr>
        <w:pStyle w:val="CETheadingx"/>
      </w:pPr>
      <w:r w:rsidRPr="006E5053">
        <w:t xml:space="preserve">Apparatus </w:t>
      </w:r>
      <w:r w:rsidR="00810E10" w:rsidRPr="006E5053">
        <w:t>and operative conditions</w:t>
      </w:r>
    </w:p>
    <w:p w14:paraId="0D7307F8" w14:textId="77777777" w:rsidR="005B395E" w:rsidRDefault="00810E10" w:rsidP="002416C7">
      <w:pPr>
        <w:pStyle w:val="CETBodytext"/>
        <w:rPr>
          <w:lang w:val="en-GB"/>
        </w:rPr>
      </w:pPr>
      <w:r w:rsidRPr="006E5053">
        <w:rPr>
          <w:lang w:val="en-GB"/>
        </w:rPr>
        <w:t xml:space="preserve">Continuous fermentations were carried out in </w:t>
      </w:r>
      <w:r w:rsidR="00376A88">
        <w:rPr>
          <w:lang w:val="en-GB"/>
        </w:rPr>
        <w:t xml:space="preserve">a </w:t>
      </w:r>
      <w:r w:rsidRPr="006E5053">
        <w:rPr>
          <w:lang w:val="en-GB"/>
        </w:rPr>
        <w:t>MiniBio bioreactor (Applikon) equipped with a 0.25 L vessel</w:t>
      </w:r>
      <w:r w:rsidR="007D67DD">
        <w:rPr>
          <w:lang w:val="en-GB"/>
        </w:rPr>
        <w:t>,</w:t>
      </w:r>
      <w:r w:rsidRPr="006E5053">
        <w:rPr>
          <w:lang w:val="en-GB"/>
        </w:rPr>
        <w:t xml:space="preserve"> housed in a</w:t>
      </w:r>
      <w:r w:rsidR="00376A88">
        <w:rPr>
          <w:lang w:val="en-GB"/>
        </w:rPr>
        <w:t>n</w:t>
      </w:r>
      <w:r w:rsidRPr="006E5053">
        <w:rPr>
          <w:lang w:val="en-GB"/>
        </w:rPr>
        <w:t xml:space="preserve"> ATEX room. A microsparger was used for optimal </w:t>
      </w:r>
      <w:r w:rsidR="007D67DD">
        <w:rPr>
          <w:lang w:val="en-GB"/>
        </w:rPr>
        <w:t xml:space="preserve">gas </w:t>
      </w:r>
      <w:r w:rsidRPr="006E5053">
        <w:rPr>
          <w:lang w:val="en-GB"/>
        </w:rPr>
        <w:t>dispersion</w:t>
      </w:r>
      <w:r w:rsidR="004D1A40">
        <w:rPr>
          <w:lang w:val="en-GB"/>
        </w:rPr>
        <w:t xml:space="preserve"> at the bottom of the biore</w:t>
      </w:r>
      <w:r w:rsidR="00F6589A">
        <w:rPr>
          <w:lang w:val="en-GB"/>
        </w:rPr>
        <w:t>ac</w:t>
      </w:r>
      <w:r w:rsidR="004D1A40">
        <w:rPr>
          <w:lang w:val="en-GB"/>
        </w:rPr>
        <w:t>tor</w:t>
      </w:r>
      <w:r w:rsidRPr="006E5053">
        <w:rPr>
          <w:lang w:val="en-GB"/>
        </w:rPr>
        <w:t xml:space="preserve">. </w:t>
      </w:r>
      <w:r w:rsidR="00F92B16" w:rsidRPr="00F92B16">
        <w:rPr>
          <w:lang w:val="en-GB"/>
        </w:rPr>
        <w:t xml:space="preserve">The pH control unit </w:t>
      </w:r>
      <w:r w:rsidR="004D1A40">
        <w:rPr>
          <w:lang w:val="en-GB"/>
        </w:rPr>
        <w:t xml:space="preserve">kept </w:t>
      </w:r>
      <w:r w:rsidR="00F92B16" w:rsidRPr="00F92B16">
        <w:rPr>
          <w:lang w:val="en-GB"/>
        </w:rPr>
        <w:t xml:space="preserve">the pH at a preset value by delivering 1 M NaOH and 0.5 M HCl solutions </w:t>
      </w:r>
      <w:r w:rsidR="004D1A40">
        <w:rPr>
          <w:lang w:val="en-GB"/>
        </w:rPr>
        <w:t xml:space="preserve">by means of </w:t>
      </w:r>
      <w:r w:rsidR="00F92B16" w:rsidRPr="00F92B16">
        <w:rPr>
          <w:lang w:val="en-GB"/>
        </w:rPr>
        <w:t>peristaltic pump</w:t>
      </w:r>
      <w:r w:rsidR="004D1A40">
        <w:rPr>
          <w:lang w:val="en-GB"/>
        </w:rPr>
        <w:t>s</w:t>
      </w:r>
      <w:r w:rsidR="00F92B16" w:rsidRPr="00F92B16">
        <w:rPr>
          <w:lang w:val="en-GB"/>
        </w:rPr>
        <w:t>.</w:t>
      </w:r>
      <w:r w:rsidRPr="006E5053">
        <w:rPr>
          <w:lang w:val="en-GB"/>
        </w:rPr>
        <w:t xml:space="preserve"> </w:t>
      </w:r>
      <w:r w:rsidR="00E843AF" w:rsidRPr="00E843AF">
        <w:rPr>
          <w:lang w:val="en-GB"/>
        </w:rPr>
        <w:t>The apparatus system used for continuous fermentation tests is illustrated in Figure 1.</w:t>
      </w:r>
      <w:r w:rsidRPr="006E5053">
        <w:rPr>
          <w:lang w:val="en-GB"/>
        </w:rPr>
        <w:t xml:space="preserve"> </w:t>
      </w:r>
      <w:r w:rsidR="0082310B" w:rsidRPr="0082310B">
        <w:rPr>
          <w:lang w:val="en-GB"/>
        </w:rPr>
        <w:t>The bioreactor</w:t>
      </w:r>
      <w:r w:rsidR="009912AE">
        <w:rPr>
          <w:lang w:val="en-GB"/>
        </w:rPr>
        <w:t xml:space="preserve"> was filled with </w:t>
      </w:r>
      <w:r w:rsidR="0082310B" w:rsidRPr="0082310B">
        <w:rPr>
          <w:lang w:val="en-GB"/>
        </w:rPr>
        <w:t>0.12 L (V</w:t>
      </w:r>
      <w:r w:rsidR="00014538" w:rsidRPr="00014538">
        <w:rPr>
          <w:vertAlign w:val="subscript"/>
          <w:lang w:val="en-GB"/>
        </w:rPr>
        <w:t>L</w:t>
      </w:r>
      <w:r w:rsidR="0082310B" w:rsidRPr="0082310B">
        <w:rPr>
          <w:lang w:val="en-GB"/>
        </w:rPr>
        <w:t>)</w:t>
      </w:r>
      <w:r w:rsidR="00E942C4">
        <w:rPr>
          <w:lang w:val="en-GB"/>
        </w:rPr>
        <w:t xml:space="preserve"> </w:t>
      </w:r>
      <w:r w:rsidR="009912AE">
        <w:rPr>
          <w:lang w:val="en-GB"/>
        </w:rPr>
        <w:t xml:space="preserve">of medium and </w:t>
      </w:r>
      <w:r w:rsidR="0082310B" w:rsidRPr="0082310B">
        <w:rPr>
          <w:lang w:val="en-GB"/>
        </w:rPr>
        <w:t xml:space="preserve">autoclaved for 20 minutes at 121°C. </w:t>
      </w:r>
      <w:r w:rsidR="009912AE">
        <w:rPr>
          <w:lang w:val="en-GB"/>
        </w:rPr>
        <w:t xml:space="preserve">The </w:t>
      </w:r>
      <w:r w:rsidR="0082310B" w:rsidRPr="0082310B">
        <w:rPr>
          <w:lang w:val="en-GB"/>
        </w:rPr>
        <w:t>steriliz</w:t>
      </w:r>
      <w:r w:rsidR="009912AE">
        <w:rPr>
          <w:lang w:val="en-GB"/>
        </w:rPr>
        <w:t>ed bioreactor-medium was</w:t>
      </w:r>
      <w:r w:rsidR="0082310B" w:rsidRPr="0082310B">
        <w:rPr>
          <w:lang w:val="en-GB"/>
        </w:rPr>
        <w:t xml:space="preserve"> N</w:t>
      </w:r>
      <w:r w:rsidR="00014538" w:rsidRPr="00014538">
        <w:rPr>
          <w:vertAlign w:val="subscript"/>
          <w:lang w:val="en-GB"/>
        </w:rPr>
        <w:t>2</w:t>
      </w:r>
      <w:r w:rsidR="009912AE">
        <w:rPr>
          <w:lang w:val="en-GB"/>
        </w:rPr>
        <w:t>-</w:t>
      </w:r>
      <w:r w:rsidR="0082310B" w:rsidRPr="0082310B">
        <w:rPr>
          <w:lang w:val="en-GB"/>
        </w:rPr>
        <w:t xml:space="preserve">flushed to </w:t>
      </w:r>
      <w:r w:rsidR="009912AE">
        <w:rPr>
          <w:lang w:val="en-GB"/>
        </w:rPr>
        <w:t xml:space="preserve">remove </w:t>
      </w:r>
      <w:r w:rsidR="0082310B" w:rsidRPr="0082310B">
        <w:rPr>
          <w:lang w:val="en-GB"/>
        </w:rPr>
        <w:t xml:space="preserve">oxygen from the headspace and </w:t>
      </w:r>
      <w:r w:rsidR="009912AE">
        <w:rPr>
          <w:lang w:val="en-GB"/>
        </w:rPr>
        <w:t xml:space="preserve">the </w:t>
      </w:r>
      <w:r w:rsidR="0082310B" w:rsidRPr="0082310B">
        <w:rPr>
          <w:lang w:val="en-GB"/>
        </w:rPr>
        <w:t>liquid medium. As the temperature dropped below 40°C, cysteine and vitamins were added to the medium. Upon achieving anaerobic conditions, the N</w:t>
      </w:r>
      <w:r w:rsidR="00014538" w:rsidRPr="00014538">
        <w:rPr>
          <w:vertAlign w:val="subscript"/>
          <w:lang w:val="en-GB"/>
        </w:rPr>
        <w:t>2</w:t>
      </w:r>
      <w:r w:rsidR="0082310B" w:rsidRPr="0082310B">
        <w:rPr>
          <w:lang w:val="en-GB"/>
        </w:rPr>
        <w:t xml:space="preserve"> gas stream was replaced by the CO stream under gas flow differential conditions. The CO stream</w:t>
      </w:r>
      <w:r w:rsidR="009912AE">
        <w:rPr>
          <w:lang w:val="en-GB"/>
        </w:rPr>
        <w:t xml:space="preserve"> -</w:t>
      </w:r>
      <w:r w:rsidR="009912AE" w:rsidRPr="0082310B">
        <w:rPr>
          <w:lang w:val="en-GB"/>
        </w:rPr>
        <w:t xml:space="preserve"> </w:t>
      </w:r>
      <w:r w:rsidR="0082310B" w:rsidRPr="0082310B">
        <w:rPr>
          <w:lang w:val="en-GB"/>
        </w:rPr>
        <w:t>sterilized by filtration (cut-off 0.2 µm, Millipore</w:t>
      </w:r>
      <w:r w:rsidR="009912AE" w:rsidRPr="0082310B">
        <w:rPr>
          <w:lang w:val="en-GB"/>
        </w:rPr>
        <w:t>)</w:t>
      </w:r>
      <w:r w:rsidR="009912AE">
        <w:rPr>
          <w:lang w:val="en-GB"/>
        </w:rPr>
        <w:t xml:space="preserve"> -</w:t>
      </w:r>
      <w:r w:rsidR="009912AE" w:rsidRPr="0082310B">
        <w:rPr>
          <w:lang w:val="en-GB"/>
        </w:rPr>
        <w:t xml:space="preserve"> </w:t>
      </w:r>
      <w:r w:rsidR="0082310B" w:rsidRPr="0082310B">
        <w:rPr>
          <w:lang w:val="en-GB"/>
        </w:rPr>
        <w:t>was continuously supplied to the reactor</w:t>
      </w:r>
      <w:r w:rsidR="009912AE">
        <w:rPr>
          <w:lang w:val="en-GB"/>
        </w:rPr>
        <w:t>. The volumetric flow rate of the gas stream was measured and controlled</w:t>
      </w:r>
      <w:r w:rsidR="0082310B" w:rsidRPr="0082310B">
        <w:rPr>
          <w:lang w:val="en-GB"/>
        </w:rPr>
        <w:t xml:space="preserve"> </w:t>
      </w:r>
      <w:r w:rsidR="009912AE">
        <w:rPr>
          <w:lang w:val="en-GB"/>
        </w:rPr>
        <w:t xml:space="preserve">by means of </w:t>
      </w:r>
      <w:r w:rsidR="0082310B" w:rsidRPr="0082310B">
        <w:rPr>
          <w:lang w:val="en-GB"/>
        </w:rPr>
        <w:t xml:space="preserve">a mass flow controller (Applikon). </w:t>
      </w:r>
    </w:p>
    <w:p w14:paraId="31B12FCA" w14:textId="6D46A7F2" w:rsidR="00EE03B6" w:rsidRPr="004B0BEE" w:rsidRDefault="009912AE" w:rsidP="00EE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Temperature, </w:t>
      </w:r>
      <w:proofErr w:type="gramStart"/>
      <w:r>
        <w:t>pH</w:t>
      </w:r>
      <w:proofErr w:type="gramEnd"/>
      <w:r>
        <w:t xml:space="preserve"> and gas flow rate was continuously measured and recorded by the </w:t>
      </w:r>
      <w:r w:rsidR="00074BBD">
        <w:t xml:space="preserve">MiniBio </w:t>
      </w:r>
      <w:r>
        <w:t>acquisition unit</w:t>
      </w:r>
      <w:r w:rsidR="00074BBD">
        <w:t>.</w:t>
      </w:r>
      <w:r>
        <w:t xml:space="preserve"> </w:t>
      </w:r>
      <w:r w:rsidR="00EE03B6" w:rsidRPr="004B0BEE">
        <w:t>Temperature of 35°C, agitation speed of 250 rpm, pH of 5.75 were set as bioreactor operating conditions.</w:t>
      </w:r>
    </w:p>
    <w:p w14:paraId="11056786" w14:textId="75833631" w:rsidR="00766684" w:rsidRPr="00EE03B6" w:rsidRDefault="00766684" w:rsidP="002416C7">
      <w:pPr>
        <w:pStyle w:val="CETBodytext"/>
      </w:pPr>
    </w:p>
    <w:p w14:paraId="17613C86" w14:textId="77777777" w:rsidR="005B395E" w:rsidRPr="00766684" w:rsidRDefault="005B395E" w:rsidP="002416C7">
      <w:pPr>
        <w:pStyle w:val="CETBodytext"/>
        <w:rPr>
          <w:lang w:val="en-GB"/>
        </w:rPr>
      </w:pPr>
      <w:r w:rsidRPr="006E5053">
        <w:rPr>
          <w:rFonts w:cs="Arial"/>
          <w:noProof/>
          <w:lang w:val="en-GB" w:eastAsia="en-GB"/>
        </w:rPr>
        <w:drawing>
          <wp:inline distT="0" distB="0" distL="0" distR="0" wp14:anchorId="2F3D7D51" wp14:editId="64FD5148">
            <wp:extent cx="2376173" cy="1282700"/>
            <wp:effectExtent l="0" t="0" r="0" b="0"/>
            <wp:docPr id="7" name="Immagine 19" descr="Immagine che contiene diagramma, schizzo, disegno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ta 2022-12-05 alle 10.18.0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9"/>
                    <a:stretch/>
                  </pic:blipFill>
                  <pic:spPr bwMode="auto">
                    <a:xfrm>
                      <a:off x="0" y="0"/>
                      <a:ext cx="2432809" cy="131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BA70B" w14:textId="77777777" w:rsidR="00766684" w:rsidRDefault="00BA536E" w:rsidP="00136A65">
      <w:pPr>
        <w:pStyle w:val="CETBodytext"/>
        <w:rPr>
          <w:lang w:val="en-GB"/>
        </w:rPr>
      </w:pPr>
      <w:r w:rsidRPr="005B395E">
        <w:rPr>
          <w:bCs/>
          <w:i/>
          <w:iCs/>
        </w:rPr>
        <w:t>Figure 1:</w:t>
      </w:r>
      <w:r w:rsidR="00B22B8A" w:rsidRPr="006E5053">
        <w:rPr>
          <w:i/>
          <w:iCs/>
        </w:rPr>
        <w:t xml:space="preserve"> </w:t>
      </w:r>
      <w:r w:rsidR="004D1A40">
        <w:rPr>
          <w:i/>
          <w:iCs/>
        </w:rPr>
        <w:t xml:space="preserve">Sketch </w:t>
      </w:r>
      <w:r w:rsidR="00B22B8A" w:rsidRPr="006E5053">
        <w:rPr>
          <w:i/>
          <w:iCs/>
        </w:rPr>
        <w:t xml:space="preserve">of </w:t>
      </w:r>
      <w:r w:rsidR="004D1A40">
        <w:rPr>
          <w:i/>
          <w:iCs/>
        </w:rPr>
        <w:t xml:space="preserve">the </w:t>
      </w:r>
      <w:r w:rsidR="00B22B8A" w:rsidRPr="006E5053">
        <w:rPr>
          <w:i/>
          <w:iCs/>
        </w:rPr>
        <w:t xml:space="preserve">gas-fed </w:t>
      </w:r>
      <w:r w:rsidR="004D1A40" w:rsidRPr="006E5053">
        <w:rPr>
          <w:i/>
          <w:iCs/>
        </w:rPr>
        <w:t>ferment</w:t>
      </w:r>
      <w:r w:rsidR="004D1A40">
        <w:rPr>
          <w:i/>
          <w:iCs/>
        </w:rPr>
        <w:t>er</w:t>
      </w:r>
      <w:r w:rsidR="0048226D">
        <w:rPr>
          <w:i/>
          <w:iCs/>
        </w:rPr>
        <w:t>.</w:t>
      </w:r>
    </w:p>
    <w:p w14:paraId="6145A4BA" w14:textId="77777777" w:rsidR="00136A65" w:rsidRPr="00136A65" w:rsidRDefault="00B4517A" w:rsidP="00136A65">
      <w:pPr>
        <w:pStyle w:val="CETBodytext"/>
        <w:rPr>
          <w:lang w:val="en-GB"/>
        </w:rPr>
      </w:pPr>
      <w:r w:rsidRPr="006E5053">
        <w:lastRenderedPageBreak/>
        <w:t xml:space="preserve">The volumetric flow rate of the </w:t>
      </w:r>
      <w:r w:rsidR="009912AE">
        <w:t xml:space="preserve">CO </w:t>
      </w:r>
      <w:r w:rsidRPr="006E5053">
        <w:t>stream (Q</w:t>
      </w:r>
      <w:r w:rsidRPr="006E5053">
        <w:rPr>
          <w:vertAlign w:val="subscript"/>
        </w:rPr>
        <w:t>G</w:t>
      </w:r>
      <w:r w:rsidRPr="006E5053">
        <w:t>) was set at 0.6 L/h to provide a gas dilution rate (D</w:t>
      </w:r>
      <w:r w:rsidRPr="006E5053">
        <w:rPr>
          <w:vertAlign w:val="subscript"/>
        </w:rPr>
        <w:t>G</w:t>
      </w:r>
      <w:r w:rsidRPr="006E5053">
        <w:t>= Q</w:t>
      </w:r>
      <w:r w:rsidRPr="006E5053">
        <w:rPr>
          <w:vertAlign w:val="subscript"/>
        </w:rPr>
        <w:t>G</w:t>
      </w:r>
      <w:r w:rsidRPr="006E5053">
        <w:t>/</w:t>
      </w:r>
      <w:r w:rsidR="009912AE" w:rsidRPr="006E5053">
        <w:t>V</w:t>
      </w:r>
      <w:r w:rsidR="009912AE">
        <w:rPr>
          <w:vertAlign w:val="subscript"/>
        </w:rPr>
        <w:t>L</w:t>
      </w:r>
      <w:r w:rsidRPr="006E5053">
        <w:t>) of 5 h</w:t>
      </w:r>
      <w:r w:rsidRPr="006E5053">
        <w:rPr>
          <w:vertAlign w:val="superscript"/>
        </w:rPr>
        <w:t>-1</w:t>
      </w:r>
      <w:r w:rsidRPr="006E5053">
        <w:t xml:space="preserve">. </w:t>
      </w:r>
      <w:r w:rsidR="00136A65" w:rsidRPr="00136A65">
        <w:rPr>
          <w:lang w:val="en-GB"/>
        </w:rPr>
        <w:t>Q</w:t>
      </w:r>
      <w:r w:rsidR="00136A65" w:rsidRPr="00136A65">
        <w:rPr>
          <w:vertAlign w:val="subscript"/>
          <w:lang w:val="en-GB"/>
        </w:rPr>
        <w:t>G</w:t>
      </w:r>
      <w:r w:rsidR="00136A65" w:rsidRPr="00136A65">
        <w:rPr>
          <w:lang w:val="en-GB"/>
        </w:rPr>
        <w:t xml:space="preserve"> was set to provide a differential behaviour of the reactor with respect to the CO.</w:t>
      </w:r>
    </w:p>
    <w:p w14:paraId="47CD537A" w14:textId="77777777" w:rsidR="00E716A6" w:rsidRDefault="009912AE" w:rsidP="00E716A6">
      <w:pPr>
        <w:pStyle w:val="CETBodytext"/>
      </w:pPr>
      <w:r>
        <w:t>T</w:t>
      </w:r>
      <w:r w:rsidR="003D16CD" w:rsidRPr="003D16CD">
        <w:t xml:space="preserve">he fermentation </w:t>
      </w:r>
      <w:r>
        <w:t xml:space="preserve">started by inoculating </w:t>
      </w:r>
      <w:r w:rsidR="003D16CD" w:rsidRPr="003D16CD">
        <w:t xml:space="preserve">500 μL of the stock culture into 15-mL Hungate tubes containing the pre-culture medium (Wilkins Chalgren anaerobic broth base medium). 5 mL of the active culture </w:t>
      </w:r>
      <w:r>
        <w:t xml:space="preserve">from a 2 </w:t>
      </w:r>
      <w:proofErr w:type="gramStart"/>
      <w:r>
        <w:t>day</w:t>
      </w:r>
      <w:r w:rsidR="00391A5C">
        <w:t>s</w:t>
      </w:r>
      <w:proofErr w:type="gramEnd"/>
      <w:r>
        <w:t xml:space="preserve"> culture </w:t>
      </w:r>
      <w:r w:rsidR="003D16CD" w:rsidRPr="003D16CD">
        <w:t xml:space="preserve">were inoculated into the </w:t>
      </w:r>
      <w:r>
        <w:t>bio</w:t>
      </w:r>
      <w:r w:rsidR="003D16CD" w:rsidRPr="003D16CD">
        <w:t>reactor</w:t>
      </w:r>
      <w:r w:rsidR="003D16CD">
        <w:t>.</w:t>
      </w:r>
    </w:p>
    <w:p w14:paraId="2B085C58" w14:textId="77777777" w:rsidR="00052A04" w:rsidRDefault="00052A04" w:rsidP="00052A04">
      <w:pPr>
        <w:pStyle w:val="CETBodytext"/>
        <w:rPr>
          <w:lang w:val="en-GB"/>
        </w:rPr>
      </w:pPr>
      <w:r w:rsidRPr="00EB463D">
        <w:rPr>
          <w:lang w:val="en-GB"/>
        </w:rPr>
        <w:t>Tests were conducted in a mechanically stirred tank reactor continuously operated with respect to the gas phase.</w:t>
      </w:r>
      <w:r>
        <w:rPr>
          <w:lang w:val="en-GB"/>
        </w:rPr>
        <w:t xml:space="preserve"> </w:t>
      </w:r>
      <w:r w:rsidRPr="00EB463D">
        <w:rPr>
          <w:lang w:val="en-GB"/>
        </w:rPr>
        <w:t xml:space="preserve">Each test was carried out in triplicates (biological replicates). Data reported in tables and figures are the mean values between them. The standard error was always lower than </w:t>
      </w:r>
      <w:r>
        <w:rPr>
          <w:lang w:val="en-GB"/>
        </w:rPr>
        <w:t>5</w:t>
      </w:r>
      <w:r w:rsidRPr="00EB463D">
        <w:rPr>
          <w:lang w:val="en-GB"/>
        </w:rPr>
        <w:t>%.</w:t>
      </w:r>
    </w:p>
    <w:p w14:paraId="7ACB5A75" w14:textId="77777777" w:rsidR="00052A04" w:rsidRPr="006E5053" w:rsidRDefault="00052A04" w:rsidP="00E716A6">
      <w:pPr>
        <w:pStyle w:val="CETBodytext"/>
        <w:rPr>
          <w:lang w:val="en-GB"/>
        </w:rPr>
      </w:pPr>
    </w:p>
    <w:p w14:paraId="665A2713" w14:textId="77777777" w:rsidR="00600535" w:rsidRDefault="00C246B1" w:rsidP="00FA5F5F">
      <w:pPr>
        <w:pStyle w:val="CETheadingx"/>
      </w:pPr>
      <w:r w:rsidRPr="006E5053">
        <w:t xml:space="preserve">Analytic methods </w:t>
      </w:r>
    </w:p>
    <w:p w14:paraId="2B99E563" w14:textId="77777777" w:rsidR="00C246B1" w:rsidRPr="006E5053" w:rsidRDefault="009912AE" w:rsidP="002B37D6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The</w:t>
      </w:r>
      <w:r w:rsidRPr="006E5053">
        <w:t xml:space="preserve"> pH </w:t>
      </w:r>
      <w:r w:rsidR="00074BBD">
        <w:t xml:space="preserve">of the </w:t>
      </w:r>
      <w:r>
        <w:t xml:space="preserve">culture </w:t>
      </w:r>
      <w:r w:rsidR="00074BBD">
        <w:t xml:space="preserve">was </w:t>
      </w:r>
      <w:r w:rsidRPr="003203E1">
        <w:t>measured online</w:t>
      </w:r>
      <w:r w:rsidR="00074BBD">
        <w:t xml:space="preserve"> by means of a pH probe</w:t>
      </w:r>
      <w:r w:rsidRPr="006E5053">
        <w:t>.</w:t>
      </w:r>
      <w:r>
        <w:t xml:space="preserve"> </w:t>
      </w:r>
      <w:r w:rsidR="00BA536E" w:rsidRPr="00BA536E">
        <w:rPr>
          <w:rFonts w:cs="Arial"/>
          <w:color w:val="000000" w:themeColor="text1"/>
          <w:szCs w:val="13"/>
          <w:lang w:eastAsia="it-IT"/>
        </w:rPr>
        <w:t xml:space="preserve">1 mL liquid </w:t>
      </w:r>
      <w:r>
        <w:rPr>
          <w:rFonts w:cs="Arial"/>
          <w:color w:val="000000" w:themeColor="text1"/>
          <w:szCs w:val="13"/>
          <w:lang w:eastAsia="it-IT"/>
        </w:rPr>
        <w:t xml:space="preserve">culture was periodically sampled </w:t>
      </w:r>
      <w:r w:rsidR="00BA536E" w:rsidRPr="00BA536E">
        <w:rPr>
          <w:rFonts w:cs="Arial"/>
          <w:color w:val="000000" w:themeColor="text1"/>
          <w:szCs w:val="13"/>
          <w:lang w:eastAsia="it-IT"/>
        </w:rPr>
        <w:t xml:space="preserve">to </w:t>
      </w:r>
      <w:r>
        <w:rPr>
          <w:rFonts w:cs="Arial"/>
          <w:color w:val="000000" w:themeColor="text1"/>
          <w:szCs w:val="13"/>
          <w:lang w:eastAsia="it-IT"/>
        </w:rPr>
        <w:t xml:space="preserve">assess </w:t>
      </w:r>
      <w:r w:rsidR="00BA536E" w:rsidRPr="00BA536E">
        <w:rPr>
          <w:rFonts w:cs="Arial"/>
          <w:color w:val="000000" w:themeColor="text1"/>
          <w:szCs w:val="13"/>
          <w:lang w:eastAsia="it-IT"/>
        </w:rPr>
        <w:t>biomass growth and metabolite production as reported by Lanzillo et al. (2020).</w:t>
      </w:r>
      <w:r w:rsidR="00074BBD">
        <w:rPr>
          <w:rFonts w:cs="Arial"/>
          <w:color w:val="000000" w:themeColor="text1"/>
          <w:szCs w:val="13"/>
          <w:lang w:eastAsia="it-IT"/>
        </w:rPr>
        <w:t xml:space="preserve"> </w:t>
      </w:r>
      <w:r w:rsidR="00C246B1" w:rsidRPr="006E5053">
        <w:t>The optical density (OD</w:t>
      </w:r>
      <w:r w:rsidR="00C246B1" w:rsidRPr="00DF2402">
        <w:rPr>
          <w:vertAlign w:val="subscript"/>
        </w:rPr>
        <w:t>λ</w:t>
      </w:r>
      <w:r w:rsidR="00C246B1" w:rsidRPr="006E5053">
        <w:t>) of the culture was measured at 600 nm by using a UV– visible spectrophotometer (SPECORD 50 UV-VIS, Analytik Jena, Jena, Germany). The cell concentration (g</w:t>
      </w:r>
      <w:r w:rsidR="00BA536E" w:rsidRPr="00BA536E">
        <w:rPr>
          <w:vertAlign w:val="subscript"/>
        </w:rPr>
        <w:t>DM</w:t>
      </w:r>
      <w:r w:rsidR="00C246B1" w:rsidRPr="006E5053">
        <w:t>/L) was assessed by processing the measured absorbance according to a previously generated calibration curve (1 OD = 0.4 g</w:t>
      </w:r>
      <w:r w:rsidR="00BA536E" w:rsidRPr="00BA536E">
        <w:rPr>
          <w:vertAlign w:val="subscript"/>
        </w:rPr>
        <w:t>DM</w:t>
      </w:r>
      <w:r w:rsidR="00C246B1" w:rsidRPr="006E5053">
        <w:t xml:space="preserve">/L). </w:t>
      </w:r>
    </w:p>
    <w:p w14:paraId="4A01C681" w14:textId="77777777" w:rsidR="00B43A90" w:rsidRPr="00DA478E" w:rsidRDefault="00074BBD" w:rsidP="00B43A90">
      <w:pPr>
        <w:pStyle w:val="CETBodytext"/>
        <w:rPr>
          <w:lang w:val="en-GB"/>
        </w:rPr>
      </w:pPr>
      <w:r>
        <w:rPr>
          <w:lang w:val="en-GB"/>
        </w:rPr>
        <w:t>T</w:t>
      </w:r>
      <w:r w:rsidR="003D3AF5" w:rsidRPr="003D3AF5">
        <w:rPr>
          <w:lang w:val="en-GB"/>
        </w:rPr>
        <w:t xml:space="preserve">he </w:t>
      </w:r>
      <w:r>
        <w:rPr>
          <w:lang w:val="en-GB"/>
        </w:rPr>
        <w:t xml:space="preserve">sampled culture was </w:t>
      </w:r>
      <w:r w:rsidR="003D3AF5" w:rsidRPr="003D3AF5">
        <w:rPr>
          <w:lang w:val="en-GB"/>
        </w:rPr>
        <w:t>centrifuged at 13,000 rpm for 10 minutes</w:t>
      </w:r>
      <w:r w:rsidR="003D3AF5">
        <w:rPr>
          <w:lang w:val="en-GB"/>
        </w:rPr>
        <w:t xml:space="preserve"> </w:t>
      </w:r>
      <w:r w:rsidR="00C246B1" w:rsidRPr="006E5053">
        <w:rPr>
          <w:lang w:val="en-GB"/>
        </w:rPr>
        <w:t>(Centrifuge MiniSpin®, Eppendorf Italia, Milan, Italy) to recover the liquid phase. The concentrations of soluble species (acids and alcohols - acetic acid, butyric acid, hexanoic acid, ethanol, butanol) were measured by using an HPLC (HP1100, Agilent Co., Santa Clara, CA, USA) equipped with Rezex ™ ROA-Organic Acid H+ column (8%), 150 × 7.8 mm, and a RID detector (Column Temperature Controller, ThermasphereTM TS-130). The mobile phase was 3 mM H</w:t>
      </w:r>
      <w:r w:rsidR="00BA536E" w:rsidRPr="00BA536E">
        <w:rPr>
          <w:vertAlign w:val="subscript"/>
          <w:lang w:val="en-GB"/>
        </w:rPr>
        <w:t>2</w:t>
      </w:r>
      <w:r w:rsidR="00C246B1" w:rsidRPr="006E5053">
        <w:rPr>
          <w:lang w:val="en-GB"/>
        </w:rPr>
        <w:t>SO</w:t>
      </w:r>
      <w:r w:rsidR="00C246B1" w:rsidRPr="00466B84">
        <w:rPr>
          <w:vertAlign w:val="subscript"/>
          <w:lang w:val="en-GB"/>
        </w:rPr>
        <w:t>4</w:t>
      </w:r>
      <w:r w:rsidR="00C246B1" w:rsidRPr="006E5053">
        <w:rPr>
          <w:lang w:val="en-GB"/>
        </w:rPr>
        <w:t xml:space="preserve"> solution fed at </w:t>
      </w:r>
      <w:r w:rsidR="00C246B1" w:rsidRPr="00826F83">
        <w:rPr>
          <w:lang w:val="en-GB"/>
        </w:rPr>
        <w:t>1 mL/min</w:t>
      </w:r>
      <w:r w:rsidR="00C246B1" w:rsidRPr="006E5053">
        <w:rPr>
          <w:lang w:val="en-GB"/>
        </w:rPr>
        <w:t xml:space="preserve"> flow rate</w:t>
      </w:r>
      <w:r w:rsidR="0009250F" w:rsidRPr="0009250F">
        <w:rPr>
          <w:lang w:val="en-GB"/>
        </w:rPr>
        <w:t xml:space="preserve"> </w:t>
      </w:r>
      <w:r w:rsidR="0009250F" w:rsidRPr="006E5053">
        <w:rPr>
          <w:lang w:val="en-GB"/>
        </w:rPr>
        <w:t>at 60°C</w:t>
      </w:r>
      <w:r w:rsidR="00C246B1" w:rsidRPr="006E5053">
        <w:rPr>
          <w:lang w:val="en-GB"/>
        </w:rPr>
        <w:t>.</w:t>
      </w:r>
      <w:r w:rsidR="00B43A90">
        <w:rPr>
          <w:lang w:val="en-GB"/>
        </w:rPr>
        <w:t xml:space="preserve"> </w:t>
      </w:r>
    </w:p>
    <w:p w14:paraId="41291DE7" w14:textId="77777777" w:rsidR="001273C2" w:rsidRDefault="001273C2">
      <w:pPr>
        <w:pStyle w:val="CETHeading1"/>
        <w:rPr>
          <w:lang w:val="en-GB"/>
        </w:rPr>
      </w:pPr>
      <w:r w:rsidRPr="001273C2">
        <w:rPr>
          <w:lang w:val="en-GB"/>
        </w:rPr>
        <w:t xml:space="preserve">Results </w:t>
      </w:r>
    </w:p>
    <w:p w14:paraId="616CF4FE" w14:textId="2BFC6543" w:rsidR="00E369EC" w:rsidRDefault="00EB463D" w:rsidP="006C2B7C">
      <w:pPr>
        <w:pStyle w:val="CETBodytext"/>
        <w:rPr>
          <w:lang w:val="en-GB"/>
        </w:rPr>
      </w:pPr>
      <w:r w:rsidRPr="00EB463D">
        <w:rPr>
          <w:lang w:val="en-GB"/>
        </w:rPr>
        <w:t xml:space="preserve">Tests </w:t>
      </w:r>
      <w:r w:rsidR="002C27E9">
        <w:rPr>
          <w:lang w:val="en-GB"/>
        </w:rPr>
        <w:t xml:space="preserve">to assess </w:t>
      </w:r>
      <w:r w:rsidR="002C27E9" w:rsidRPr="00EE03B6">
        <w:rPr>
          <w:i/>
          <w:lang w:val="en-GB"/>
        </w:rPr>
        <w:t>C. Carboxidivorans</w:t>
      </w:r>
      <w:r w:rsidR="002C27E9">
        <w:rPr>
          <w:lang w:val="en-GB"/>
        </w:rPr>
        <w:t xml:space="preserve"> ability to ferment CO and the effect of pH on process performances </w:t>
      </w:r>
      <w:r w:rsidRPr="00EB463D">
        <w:rPr>
          <w:lang w:val="en-GB"/>
        </w:rPr>
        <w:t>were conducted in stirred tank reactor continuously operated with respect to the gas phase.</w:t>
      </w:r>
      <w:r>
        <w:rPr>
          <w:lang w:val="en-GB"/>
        </w:rPr>
        <w:t xml:space="preserve"> </w:t>
      </w:r>
    </w:p>
    <w:p w14:paraId="2BFF9874" w14:textId="1B3283E4" w:rsidR="00C075A2" w:rsidRDefault="00692AD6" w:rsidP="00CC5A03">
      <w:pPr>
        <w:pStyle w:val="CETBodytext"/>
        <w:rPr>
          <w:rFonts w:cs="Arial"/>
          <w:color w:val="202124"/>
          <w:szCs w:val="18"/>
          <w:lang w:eastAsia="it-IT"/>
        </w:rPr>
      </w:pPr>
      <w:r>
        <w:rPr>
          <w:lang w:val="en-GB"/>
        </w:rPr>
        <w:t xml:space="preserve">The first test campaign was carried out setting </w:t>
      </w:r>
      <w:r w:rsidR="00EB463D" w:rsidRPr="00EB463D">
        <w:rPr>
          <w:lang w:val="en-GB"/>
        </w:rPr>
        <w:t>the pH at 5.75 and CO was the sole carbon source (Figure 2</w:t>
      </w:r>
      <w:r w:rsidR="00F267D5">
        <w:rPr>
          <w:lang w:val="en-GB"/>
        </w:rPr>
        <w:t xml:space="preserve">, </w:t>
      </w:r>
      <w:r w:rsidR="00EB463D" w:rsidRPr="00EB463D">
        <w:rPr>
          <w:lang w:val="en-GB"/>
        </w:rPr>
        <w:t>A</w:t>
      </w:r>
      <w:r w:rsidR="00F267D5">
        <w:rPr>
          <w:lang w:val="en-GB"/>
        </w:rPr>
        <w:t>1, A2 and A3</w:t>
      </w:r>
      <w:r w:rsidRPr="00EB463D">
        <w:rPr>
          <w:lang w:val="en-GB"/>
        </w:rPr>
        <w:t>)</w:t>
      </w:r>
      <w:r>
        <w:rPr>
          <w:lang w:val="en-GB"/>
        </w:rPr>
        <w:t>.</w:t>
      </w:r>
      <w:r w:rsidRPr="00EB463D">
        <w:rPr>
          <w:lang w:val="en-GB"/>
        </w:rPr>
        <w:t xml:space="preserve"> </w:t>
      </w:r>
      <w:r w:rsidR="00B77C10" w:rsidRPr="00EE03B6">
        <w:rPr>
          <w:lang w:val="en-GB"/>
        </w:rPr>
        <w:t>The lag phase was not identified</w:t>
      </w:r>
      <w:r w:rsidR="00F267D5">
        <w:rPr>
          <w:lang w:val="en-GB"/>
        </w:rPr>
        <w:t>:</w:t>
      </w:r>
      <w:r w:rsidR="00F267D5" w:rsidRPr="00EB463D">
        <w:rPr>
          <w:lang w:val="en-GB"/>
        </w:rPr>
        <w:t xml:space="preserve"> </w:t>
      </w:r>
      <w:r w:rsidR="00EB463D" w:rsidRPr="00EB463D">
        <w:rPr>
          <w:lang w:val="en-GB"/>
        </w:rPr>
        <w:t xml:space="preserve">cells </w:t>
      </w:r>
      <w:r w:rsidR="00F267D5">
        <w:rPr>
          <w:lang w:val="en-GB"/>
        </w:rPr>
        <w:t xml:space="preserve">started to </w:t>
      </w:r>
      <w:r w:rsidR="00EB463D" w:rsidRPr="00EB463D">
        <w:rPr>
          <w:lang w:val="en-GB"/>
        </w:rPr>
        <w:t>grow immediately after inoculation</w:t>
      </w:r>
      <w:r w:rsidR="00F267D5">
        <w:rPr>
          <w:lang w:val="en-GB"/>
        </w:rPr>
        <w:t xml:space="preserve"> and approached the </w:t>
      </w:r>
      <w:r w:rsidR="00EB463D" w:rsidRPr="00EB463D">
        <w:rPr>
          <w:lang w:val="en-GB"/>
        </w:rPr>
        <w:t>maximum value 0.56 g</w:t>
      </w:r>
      <w:r w:rsidR="00014538" w:rsidRPr="00014538">
        <w:rPr>
          <w:vertAlign w:val="subscript"/>
          <w:lang w:val="en-GB"/>
        </w:rPr>
        <w:t>DM</w:t>
      </w:r>
      <w:r w:rsidR="00EB463D" w:rsidRPr="00EB463D">
        <w:rPr>
          <w:lang w:val="en-GB"/>
        </w:rPr>
        <w:t>/L</w:t>
      </w:r>
      <w:r w:rsidR="00F267D5">
        <w:rPr>
          <w:lang w:val="en-GB"/>
        </w:rPr>
        <w:t xml:space="preserve"> after about 50 hours</w:t>
      </w:r>
      <w:r w:rsidR="0050038D">
        <w:rPr>
          <w:lang w:val="en-GB"/>
        </w:rPr>
        <w:t>.</w:t>
      </w:r>
      <w:r w:rsidR="00F267D5" w:rsidRPr="00EB463D">
        <w:rPr>
          <w:lang w:val="en-GB"/>
        </w:rPr>
        <w:t xml:space="preserve"> </w:t>
      </w:r>
      <w:r w:rsidR="00F267D5">
        <w:rPr>
          <w:lang w:val="en-GB"/>
        </w:rPr>
        <w:t>T</w:t>
      </w:r>
      <w:r w:rsidR="00EB463D" w:rsidRPr="00EB463D">
        <w:rPr>
          <w:lang w:val="en-GB"/>
        </w:rPr>
        <w:t xml:space="preserve">he </w:t>
      </w:r>
      <w:r w:rsidR="00F267D5">
        <w:rPr>
          <w:lang w:val="en-GB"/>
        </w:rPr>
        <w:t xml:space="preserve">acids were produced during the cell exponential growth. </w:t>
      </w:r>
      <w:proofErr w:type="gramStart"/>
      <w:r w:rsidR="00F267D5">
        <w:rPr>
          <w:lang w:val="en-GB"/>
        </w:rPr>
        <w:t>As a consequence of</w:t>
      </w:r>
      <w:proofErr w:type="gramEnd"/>
      <w:r w:rsidR="00F267D5">
        <w:rPr>
          <w:lang w:val="en-GB"/>
        </w:rPr>
        <w:t xml:space="preserve"> the acid reconversion</w:t>
      </w:r>
      <w:r w:rsidR="00870B85">
        <w:rPr>
          <w:lang w:val="en-GB"/>
        </w:rPr>
        <w:t>,</w:t>
      </w:r>
      <w:r w:rsidR="00F267D5">
        <w:rPr>
          <w:lang w:val="en-GB"/>
        </w:rPr>
        <w:t xml:space="preserve"> the acid concentrations reached a maximum at about 24 hours - AA = </w:t>
      </w:r>
      <w:r w:rsidR="00EB463D" w:rsidRPr="00EB463D">
        <w:rPr>
          <w:lang w:val="en-GB"/>
        </w:rPr>
        <w:t>76</w:t>
      </w:r>
      <w:r w:rsidR="00870B85">
        <w:rPr>
          <w:lang w:val="en-GB"/>
        </w:rPr>
        <w:t>0</w:t>
      </w:r>
      <w:r w:rsidR="00F267D5">
        <w:rPr>
          <w:lang w:val="en-GB"/>
        </w:rPr>
        <w:t xml:space="preserve"> mg/L</w:t>
      </w:r>
      <w:r w:rsidR="00EB463D" w:rsidRPr="00EB463D">
        <w:rPr>
          <w:lang w:val="en-GB"/>
        </w:rPr>
        <w:t xml:space="preserve">, </w:t>
      </w:r>
      <w:r w:rsidR="00F267D5" w:rsidRPr="00EB463D">
        <w:rPr>
          <w:lang w:val="en-GB"/>
        </w:rPr>
        <w:t>BA</w:t>
      </w:r>
      <w:r w:rsidR="00870B85">
        <w:rPr>
          <w:lang w:val="en-GB"/>
        </w:rPr>
        <w:t>=</w:t>
      </w:r>
      <w:r w:rsidR="00870B85" w:rsidRPr="00EB463D">
        <w:rPr>
          <w:lang w:val="en-GB"/>
        </w:rPr>
        <w:t>2</w:t>
      </w:r>
      <w:r w:rsidR="00870B85">
        <w:rPr>
          <w:lang w:val="en-GB"/>
        </w:rPr>
        <w:t>10 mg/L</w:t>
      </w:r>
      <w:r w:rsidR="00EB463D" w:rsidRPr="00EB463D">
        <w:rPr>
          <w:lang w:val="en-GB"/>
        </w:rPr>
        <w:t xml:space="preserve">, </w:t>
      </w:r>
      <w:r w:rsidR="00870B85">
        <w:rPr>
          <w:lang w:val="en-GB"/>
        </w:rPr>
        <w:t>HA=</w:t>
      </w:r>
      <w:r w:rsidR="00870B85" w:rsidRPr="00EB463D">
        <w:rPr>
          <w:lang w:val="en-GB"/>
        </w:rPr>
        <w:t>13</w:t>
      </w:r>
      <w:r w:rsidR="00870B85">
        <w:rPr>
          <w:lang w:val="en-GB"/>
        </w:rPr>
        <w:t>0</w:t>
      </w:r>
      <w:r w:rsidR="00870B85" w:rsidRPr="00EB463D">
        <w:rPr>
          <w:lang w:val="en-GB"/>
        </w:rPr>
        <w:t xml:space="preserve"> </w:t>
      </w:r>
      <w:r w:rsidR="00EB463D" w:rsidRPr="00EB463D">
        <w:rPr>
          <w:lang w:val="en-GB"/>
        </w:rPr>
        <w:t>mg/L</w:t>
      </w:r>
      <w:r w:rsidR="00870B85">
        <w:rPr>
          <w:lang w:val="en-GB"/>
        </w:rPr>
        <w:t xml:space="preserve"> – and approached a constant value after about 60 hours. The solvents were produced at the same time of the acid concentration peak and the concentration approached constant values</w:t>
      </w:r>
      <w:r w:rsidR="00EB463D" w:rsidRPr="00EB463D">
        <w:rPr>
          <w:lang w:val="en-GB"/>
        </w:rPr>
        <w:t xml:space="preserve"> after </w:t>
      </w:r>
      <w:r w:rsidR="00870B85">
        <w:rPr>
          <w:lang w:val="en-GB"/>
        </w:rPr>
        <w:t xml:space="preserve">about </w:t>
      </w:r>
      <w:r w:rsidR="00EB463D" w:rsidRPr="00EB463D">
        <w:rPr>
          <w:lang w:val="en-GB"/>
        </w:rPr>
        <w:t xml:space="preserve">70 hours: 801 mg/L of ethanol, 330 mg/L of butanol, and </w:t>
      </w:r>
      <w:r w:rsidR="00E16366">
        <w:rPr>
          <w:lang w:val="en-GB"/>
        </w:rPr>
        <w:t>20</w:t>
      </w:r>
      <w:r w:rsidR="00EB463D" w:rsidRPr="00EB463D">
        <w:rPr>
          <w:lang w:val="en-GB"/>
        </w:rPr>
        <w:t xml:space="preserve"> mg/L of hexanol.</w:t>
      </w:r>
      <w:r w:rsidR="00EB463D">
        <w:rPr>
          <w:lang w:val="en-GB"/>
        </w:rPr>
        <w:t xml:space="preserve"> </w:t>
      </w:r>
      <w:r w:rsidR="00E6027F">
        <w:rPr>
          <w:rFonts w:cs="Arial"/>
          <w:color w:val="202124"/>
          <w:szCs w:val="18"/>
          <w:lang w:eastAsia="it-IT"/>
        </w:rPr>
        <w:t xml:space="preserve">The 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fermentation </w:t>
      </w:r>
      <w:r w:rsidR="00E6027F">
        <w:rPr>
          <w:rFonts w:cs="Arial"/>
          <w:color w:val="202124"/>
          <w:szCs w:val="18"/>
          <w:lang w:eastAsia="it-IT"/>
        </w:rPr>
        <w:t xml:space="preserve">process </w:t>
      </w:r>
      <w:r w:rsidR="00870B85">
        <w:rPr>
          <w:rFonts w:cs="Arial"/>
          <w:color w:val="202124"/>
          <w:szCs w:val="18"/>
          <w:lang w:eastAsia="it-IT"/>
        </w:rPr>
        <w:t xml:space="preserve">extinguished 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after </w:t>
      </w:r>
      <w:r w:rsidR="00E6027F">
        <w:rPr>
          <w:rFonts w:cs="Arial"/>
          <w:color w:val="202124"/>
          <w:szCs w:val="18"/>
          <w:lang w:eastAsia="it-IT"/>
        </w:rPr>
        <w:t xml:space="preserve">about </w:t>
      </w:r>
      <w:r w:rsidR="00E6027F" w:rsidRPr="00E6027F">
        <w:rPr>
          <w:rFonts w:cs="Arial"/>
          <w:color w:val="202124"/>
          <w:szCs w:val="18"/>
          <w:lang w:eastAsia="it-IT"/>
        </w:rPr>
        <w:t>80 hours</w:t>
      </w:r>
      <w:r w:rsidR="00870B85">
        <w:rPr>
          <w:rFonts w:cs="Arial"/>
          <w:color w:val="202124"/>
          <w:szCs w:val="18"/>
          <w:lang w:eastAsia="it-IT"/>
        </w:rPr>
        <w:t>: t</w:t>
      </w:r>
      <w:r w:rsidR="00870B85" w:rsidRPr="00E6027F">
        <w:rPr>
          <w:rFonts w:cs="Arial"/>
          <w:color w:val="202124"/>
          <w:szCs w:val="18"/>
          <w:lang w:eastAsia="it-IT"/>
        </w:rPr>
        <w:t xml:space="preserve">here 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was no further accumulation of </w:t>
      </w:r>
      <w:r w:rsidR="00870B85">
        <w:rPr>
          <w:rFonts w:cs="Arial"/>
          <w:color w:val="202124"/>
          <w:szCs w:val="18"/>
          <w:lang w:eastAsia="it-IT"/>
        </w:rPr>
        <w:t xml:space="preserve">cells, </w:t>
      </w:r>
      <w:r w:rsidR="00E6027F" w:rsidRPr="00E6027F">
        <w:rPr>
          <w:rFonts w:cs="Arial"/>
          <w:color w:val="202124"/>
          <w:szCs w:val="18"/>
          <w:lang w:eastAsia="it-IT"/>
        </w:rPr>
        <w:t>acids</w:t>
      </w:r>
      <w:r w:rsidR="00870B85">
        <w:rPr>
          <w:rFonts w:cs="Arial"/>
          <w:color w:val="202124"/>
          <w:szCs w:val="18"/>
          <w:lang w:eastAsia="it-IT"/>
        </w:rPr>
        <w:t>,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 and solvents. </w:t>
      </w:r>
      <w:r w:rsidR="00870B85">
        <w:rPr>
          <w:rFonts w:cs="Arial"/>
          <w:color w:val="202124"/>
          <w:szCs w:val="18"/>
          <w:lang w:eastAsia="it-IT"/>
        </w:rPr>
        <w:t xml:space="preserve">The absence of further fermentation </w:t>
      </w:r>
      <w:r w:rsidR="00DA04EB">
        <w:rPr>
          <w:rFonts w:cs="Arial"/>
          <w:color w:val="202124"/>
          <w:szCs w:val="18"/>
          <w:lang w:eastAsia="it-IT"/>
        </w:rPr>
        <w:t>can</w:t>
      </w:r>
      <w:r w:rsidR="00870B85">
        <w:rPr>
          <w:rFonts w:cs="Arial"/>
          <w:color w:val="202124"/>
          <w:szCs w:val="18"/>
          <w:lang w:eastAsia="it-IT"/>
        </w:rPr>
        <w:t xml:space="preserve"> not be due </w:t>
      </w:r>
      <w:r w:rsidR="00E6027F" w:rsidRPr="00E6027F">
        <w:rPr>
          <w:rFonts w:cs="Arial"/>
          <w:color w:val="202124"/>
          <w:szCs w:val="18"/>
          <w:lang w:eastAsia="it-IT"/>
        </w:rPr>
        <w:t>to alcohol inhibition</w:t>
      </w:r>
      <w:r w:rsidR="00870B85">
        <w:rPr>
          <w:rFonts w:cs="Arial"/>
          <w:color w:val="202124"/>
          <w:szCs w:val="18"/>
          <w:lang w:eastAsia="it-IT"/>
        </w:rPr>
        <w:t xml:space="preserve"> because </w:t>
      </w:r>
      <w:r w:rsidR="00E6027F" w:rsidRPr="00E6027F">
        <w:rPr>
          <w:rFonts w:cs="Arial"/>
          <w:color w:val="202124"/>
          <w:szCs w:val="18"/>
          <w:lang w:eastAsia="it-IT"/>
        </w:rPr>
        <w:t>the alcohol concentration did not exceed 2 g/L (Figure A2)</w:t>
      </w:r>
      <w:r w:rsidR="00967591">
        <w:rPr>
          <w:rFonts w:cs="Arial"/>
          <w:color w:val="202124"/>
          <w:szCs w:val="18"/>
          <w:lang w:eastAsia="it-IT"/>
        </w:rPr>
        <w:t xml:space="preserve"> </w:t>
      </w:r>
      <w:r w:rsidR="00870B85">
        <w:rPr>
          <w:rFonts w:cs="Arial"/>
          <w:color w:val="202124"/>
          <w:szCs w:val="18"/>
          <w:lang w:eastAsia="it-IT"/>
        </w:rPr>
        <w:t xml:space="preserve">lower than the inhibition threshold reported by 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Fernández-Naveira et al. </w:t>
      </w:r>
      <w:r w:rsidR="00870B85">
        <w:rPr>
          <w:rFonts w:cs="Arial"/>
          <w:color w:val="202124"/>
          <w:szCs w:val="18"/>
          <w:lang w:eastAsia="it-IT"/>
        </w:rPr>
        <w:t>(</w:t>
      </w:r>
      <w:r w:rsidR="00E6027F" w:rsidRPr="00E6027F">
        <w:rPr>
          <w:rFonts w:cs="Arial"/>
          <w:color w:val="202124"/>
          <w:szCs w:val="18"/>
          <w:lang w:eastAsia="it-IT"/>
        </w:rPr>
        <w:t xml:space="preserve">2016). </w:t>
      </w:r>
      <w:r w:rsidR="00870B85" w:rsidRPr="008078F8">
        <w:rPr>
          <w:rFonts w:cs="Arial"/>
          <w:color w:val="202124"/>
          <w:szCs w:val="18"/>
          <w:lang w:eastAsia="it-IT"/>
        </w:rPr>
        <w:t>I</w:t>
      </w:r>
      <w:r w:rsidR="00E6027F" w:rsidRPr="008078F8">
        <w:rPr>
          <w:rFonts w:cs="Arial"/>
          <w:color w:val="202124"/>
          <w:szCs w:val="18"/>
          <w:lang w:eastAsia="it-IT"/>
        </w:rPr>
        <w:t xml:space="preserve">t is </w:t>
      </w:r>
      <w:r w:rsidR="00DC475F" w:rsidRPr="00CC5A03">
        <w:rPr>
          <w:rFonts w:cs="Arial"/>
          <w:color w:val="202124"/>
          <w:szCs w:val="18"/>
          <w:lang w:eastAsia="it-IT"/>
        </w:rPr>
        <w:t xml:space="preserve">expected </w:t>
      </w:r>
      <w:r w:rsidR="00E6027F" w:rsidRPr="008078F8">
        <w:rPr>
          <w:rFonts w:cs="Arial"/>
          <w:color w:val="202124"/>
          <w:szCs w:val="18"/>
          <w:lang w:eastAsia="it-IT"/>
        </w:rPr>
        <w:t>that</w:t>
      </w:r>
      <w:r w:rsidR="00DC475F" w:rsidRPr="00CC5A03">
        <w:rPr>
          <w:rFonts w:cs="Arial"/>
          <w:color w:val="202124"/>
          <w:szCs w:val="18"/>
          <w:lang w:eastAsia="it-IT"/>
        </w:rPr>
        <w:t xml:space="preserve"> the operation under batch condition of the </w:t>
      </w:r>
      <w:r w:rsidR="00E6027F" w:rsidRPr="008078F8">
        <w:rPr>
          <w:rFonts w:cs="Arial"/>
          <w:color w:val="202124"/>
          <w:szCs w:val="18"/>
          <w:lang w:eastAsia="it-IT"/>
        </w:rPr>
        <w:t xml:space="preserve">liquid phase </w:t>
      </w:r>
      <w:r w:rsidR="00DC475F" w:rsidRPr="00CC5A03">
        <w:rPr>
          <w:rFonts w:cs="Arial"/>
          <w:color w:val="202124"/>
          <w:szCs w:val="18"/>
          <w:lang w:eastAsia="it-IT"/>
        </w:rPr>
        <w:t xml:space="preserve">may be characterized by starvation </w:t>
      </w:r>
      <w:r w:rsidR="00E6027F" w:rsidRPr="008078F8">
        <w:rPr>
          <w:rFonts w:cs="Arial"/>
          <w:color w:val="202124"/>
          <w:szCs w:val="18"/>
          <w:lang w:eastAsia="it-IT"/>
        </w:rPr>
        <w:t xml:space="preserve">in the culture medium of one or more nutrients necessary for growth and production. </w:t>
      </w:r>
      <w:r w:rsidR="00DC475F" w:rsidRPr="00CC5A03">
        <w:rPr>
          <w:rFonts w:cs="Arial"/>
          <w:color w:val="202124"/>
          <w:szCs w:val="18"/>
          <w:lang w:eastAsia="it-IT"/>
        </w:rPr>
        <w:t xml:space="preserve">The CO concentration </w:t>
      </w:r>
      <w:r w:rsidR="008078F8" w:rsidRPr="00CC5A03">
        <w:rPr>
          <w:rFonts w:cs="Arial"/>
          <w:color w:val="202124"/>
          <w:szCs w:val="18"/>
          <w:lang w:eastAsia="it-IT"/>
        </w:rPr>
        <w:t xml:space="preserve">in the medium </w:t>
      </w:r>
      <w:r w:rsidR="00DC475F" w:rsidRPr="00CC5A03">
        <w:rPr>
          <w:rFonts w:cs="Arial"/>
          <w:color w:val="202124"/>
          <w:szCs w:val="18"/>
          <w:lang w:eastAsia="it-IT"/>
        </w:rPr>
        <w:t xml:space="preserve">is </w:t>
      </w:r>
      <w:r w:rsidR="008078F8" w:rsidRPr="00CC5A03">
        <w:rPr>
          <w:rFonts w:cs="Arial"/>
          <w:color w:val="202124"/>
          <w:szCs w:val="18"/>
          <w:lang w:eastAsia="it-IT"/>
        </w:rPr>
        <w:t xml:space="preserve">lower than the inhibition limit. Indeed, under the operating conditions </w:t>
      </w:r>
      <w:r w:rsidR="00F3287C" w:rsidRPr="008078F8">
        <w:rPr>
          <w:rFonts w:cs="Arial"/>
          <w:color w:val="202124"/>
          <w:szCs w:val="18"/>
          <w:lang w:eastAsia="it-IT"/>
        </w:rPr>
        <w:t xml:space="preserve">(1 bar), the </w:t>
      </w:r>
      <w:r w:rsidR="008078F8" w:rsidRPr="00CC5A03">
        <w:rPr>
          <w:rFonts w:cs="Arial"/>
          <w:color w:val="202124"/>
          <w:szCs w:val="18"/>
          <w:lang w:eastAsia="it-IT"/>
        </w:rPr>
        <w:t xml:space="preserve">maximum </w:t>
      </w:r>
      <w:r w:rsidR="00F3287C" w:rsidRPr="008078F8">
        <w:rPr>
          <w:rFonts w:cs="Arial"/>
          <w:color w:val="202124"/>
          <w:szCs w:val="18"/>
          <w:lang w:eastAsia="it-IT"/>
        </w:rPr>
        <w:t>CO concentration in the liquid phase (in equilibrium with pure gaseous CO at 1 bar) is 23 mg/L</w:t>
      </w:r>
      <w:r w:rsidR="008078F8" w:rsidRPr="00CC5A03">
        <w:rPr>
          <w:rFonts w:cs="Arial"/>
          <w:color w:val="202124"/>
          <w:szCs w:val="18"/>
          <w:lang w:eastAsia="it-IT"/>
        </w:rPr>
        <w:t xml:space="preserve">, just lower than </w:t>
      </w:r>
      <w:r w:rsidR="00F3287C" w:rsidRPr="008078F8">
        <w:rPr>
          <w:rFonts w:cs="Arial"/>
          <w:color w:val="202124"/>
          <w:szCs w:val="18"/>
          <w:lang w:eastAsia="it-IT"/>
        </w:rPr>
        <w:t>25 mg/L (</w:t>
      </w:r>
      <w:r w:rsidR="008078F8" w:rsidRPr="00CC5A03">
        <w:rPr>
          <w:rFonts w:cs="Arial"/>
          <w:color w:val="202124"/>
          <w:szCs w:val="18"/>
          <w:lang w:eastAsia="it-IT"/>
        </w:rPr>
        <w:t xml:space="preserve">CO concentration in the liquid phase in equilibrium at </w:t>
      </w:r>
      <w:r w:rsidR="00F3287C" w:rsidRPr="008078F8">
        <w:rPr>
          <w:rFonts w:cs="Arial"/>
          <w:color w:val="202124"/>
          <w:szCs w:val="18"/>
          <w:lang w:eastAsia="it-IT"/>
        </w:rPr>
        <w:t>P</w:t>
      </w:r>
      <w:r w:rsidR="00014538" w:rsidRPr="008078F8">
        <w:rPr>
          <w:rFonts w:cs="Arial"/>
          <w:color w:val="202124"/>
          <w:szCs w:val="18"/>
          <w:vertAlign w:val="subscript"/>
          <w:lang w:eastAsia="it-IT"/>
        </w:rPr>
        <w:t>CO</w:t>
      </w:r>
      <w:r w:rsidR="008078F8" w:rsidRPr="00CC5A03">
        <w:rPr>
          <w:rFonts w:cs="Arial"/>
          <w:color w:val="202124"/>
          <w:szCs w:val="18"/>
          <w:lang w:eastAsia="it-IT"/>
        </w:rPr>
        <w:t>=</w:t>
      </w:r>
      <w:r w:rsidR="00F3287C" w:rsidRPr="008078F8">
        <w:rPr>
          <w:rFonts w:cs="Arial"/>
          <w:color w:val="202124"/>
          <w:szCs w:val="18"/>
          <w:lang w:eastAsia="it-IT"/>
        </w:rPr>
        <w:t xml:space="preserve">1.1 atm) identified as the optimal condition for the growth rate of </w:t>
      </w:r>
      <w:r w:rsidR="00014538" w:rsidRPr="008078F8">
        <w:rPr>
          <w:rFonts w:cs="Arial"/>
          <w:i/>
          <w:iCs/>
          <w:color w:val="202124"/>
          <w:szCs w:val="18"/>
          <w:lang w:eastAsia="it-IT"/>
        </w:rPr>
        <w:t>C. carboxidivorans</w:t>
      </w:r>
      <w:r w:rsidR="00F3287C" w:rsidRPr="008078F8">
        <w:rPr>
          <w:rFonts w:cs="Arial"/>
          <w:color w:val="202124"/>
          <w:szCs w:val="18"/>
          <w:lang w:eastAsia="it-IT"/>
        </w:rPr>
        <w:t xml:space="preserve"> in batch experiments (Lanzillo et al., 2020).</w:t>
      </w:r>
      <w:r w:rsidR="00E4368F" w:rsidRPr="006739D2">
        <w:t xml:space="preserve"> </w:t>
      </w:r>
    </w:p>
    <w:p w14:paraId="07886E5D" w14:textId="77777777" w:rsidR="005D5D73" w:rsidRDefault="00870B85" w:rsidP="00B528C2">
      <w:pPr>
        <w:pStyle w:val="CETBodytext"/>
        <w:rPr>
          <w:lang w:val="en-GB"/>
        </w:rPr>
      </w:pPr>
      <w:r>
        <w:rPr>
          <w:lang w:val="en-GB"/>
        </w:rPr>
        <w:t xml:space="preserve">The second test campaign was carried out without </w:t>
      </w:r>
      <w:r w:rsidR="00617C9E" w:rsidRPr="00617C9E">
        <w:t xml:space="preserve">pH </w:t>
      </w:r>
      <w:r>
        <w:t>control. Average data of the fermentation test are reported in the Figure 2B (B1, B2, and B3)</w:t>
      </w:r>
      <w:r w:rsidR="00617C9E" w:rsidRPr="00617C9E">
        <w:t xml:space="preserve">. </w:t>
      </w:r>
      <w:r w:rsidR="0050038D">
        <w:t xml:space="preserve">The lag phase was still absent: </w:t>
      </w:r>
      <w:r w:rsidR="00541D67" w:rsidRPr="00541D67">
        <w:t xml:space="preserve">cells </w:t>
      </w:r>
      <w:r w:rsidR="0050038D">
        <w:t xml:space="preserve">started to </w:t>
      </w:r>
      <w:r w:rsidR="00541D67" w:rsidRPr="00541D67">
        <w:t>growth immediately after inoculation</w:t>
      </w:r>
      <w:r w:rsidR="0050038D">
        <w:t>, the concentration reached the maximum value a</w:t>
      </w:r>
      <w:r w:rsidR="00541D67" w:rsidRPr="00541D67">
        <w:t>fter 48 hours</w:t>
      </w:r>
      <w:r w:rsidR="0050038D">
        <w:t xml:space="preserve"> (</w:t>
      </w:r>
      <w:r w:rsidR="00541D67" w:rsidRPr="00541D67">
        <w:t>0.56 g</w:t>
      </w:r>
      <w:r w:rsidR="00014538" w:rsidRPr="00014538">
        <w:rPr>
          <w:vertAlign w:val="subscript"/>
        </w:rPr>
        <w:t>DM</w:t>
      </w:r>
      <w:r w:rsidR="00541D67" w:rsidRPr="00541D67">
        <w:t>/L</w:t>
      </w:r>
      <w:r w:rsidR="0050038D">
        <w:t xml:space="preserve">) and progressively decreased with the time. </w:t>
      </w:r>
      <w:r w:rsidR="00541D67" w:rsidRPr="00541D67">
        <w:t>Within the first 30 hours, the concentrations of acids—AA, BA, and HA—reached their respective maxima</w:t>
      </w:r>
      <w:r w:rsidR="0050038D">
        <w:t xml:space="preserve"> (</w:t>
      </w:r>
      <w:r w:rsidR="00541D67" w:rsidRPr="00541D67">
        <w:t>659, 106, and 36 mg/L</w:t>
      </w:r>
      <w:r w:rsidR="00B528C2">
        <w:t>)</w:t>
      </w:r>
      <w:r w:rsidR="00541D67">
        <w:t>.</w:t>
      </w:r>
      <w:r w:rsidR="00B528C2">
        <w:t xml:space="preserve"> </w:t>
      </w:r>
      <w:r w:rsidR="0050038D">
        <w:t>Solvents started to be produced as the acid con</w:t>
      </w:r>
      <w:r w:rsidR="00755B0F">
        <w:t>ce</w:t>
      </w:r>
      <w:r w:rsidR="0050038D">
        <w:t>ntr</w:t>
      </w:r>
      <w:r w:rsidR="00755B0F">
        <w:t>a</w:t>
      </w:r>
      <w:r w:rsidR="0050038D">
        <w:t>tion started to decrease.</w:t>
      </w:r>
      <w:r w:rsidR="00B528C2" w:rsidRPr="00B528C2">
        <w:t xml:space="preserve"> Metabolite concentrations stabilized after 70 hours.</w:t>
      </w:r>
      <w:r w:rsidR="00B528C2">
        <w:t xml:space="preserve"> </w:t>
      </w:r>
      <w:r w:rsidR="00DC475F">
        <w:t>The decrease in biomass concentration after 80 hours could be due to the accumulation of acids and a reduction in pH that is not completely compensated by solventogenesis (reconversion of acids).</w:t>
      </w:r>
    </w:p>
    <w:p w14:paraId="17FE9F8F" w14:textId="77777777" w:rsidR="0019464D" w:rsidRDefault="0019464D" w:rsidP="0019464D">
      <w:pPr>
        <w:pStyle w:val="CETBodytext"/>
      </w:pPr>
      <w:r w:rsidRPr="009C104A">
        <w:t xml:space="preserve">The growth rate of </w:t>
      </w:r>
      <w:r w:rsidRPr="009C104A">
        <w:rPr>
          <w:i/>
          <w:iCs/>
        </w:rPr>
        <w:t>C. carboxidivorans</w:t>
      </w:r>
      <w:r w:rsidRPr="009C104A">
        <w:t xml:space="preserve"> in this study was calculated </w:t>
      </w:r>
      <w:r>
        <w:t xml:space="preserve">as the slope of the biomass growth curve </w:t>
      </w:r>
      <w:r w:rsidRPr="009C104A">
        <w:t xml:space="preserve">in the exponential phase </w:t>
      </w:r>
      <w:r>
        <w:t>(</w:t>
      </w:r>
      <w:r w:rsidRPr="009C104A">
        <w:t>between 0 and 48 h</w:t>
      </w:r>
      <w:r>
        <w:t xml:space="preserve">). </w:t>
      </w:r>
      <w:r w:rsidRPr="0019464D">
        <w:t xml:space="preserve">The </w:t>
      </w:r>
      <w:r w:rsidR="0050038D">
        <w:t xml:space="preserve">specific </w:t>
      </w:r>
      <w:r w:rsidRPr="0019464D">
        <w:t>growth rate was 0.061 h</w:t>
      </w:r>
      <w:r w:rsidR="00014538" w:rsidRPr="00014538">
        <w:rPr>
          <w:vertAlign w:val="superscript"/>
        </w:rPr>
        <w:t>-1</w:t>
      </w:r>
      <w:r w:rsidRPr="0019464D">
        <w:t xml:space="preserve"> in the experiment with pH control (pH=5.75). </w:t>
      </w:r>
      <w:r w:rsidR="00272A8B">
        <w:t xml:space="preserve">The rate was in agreement </w:t>
      </w:r>
      <w:r w:rsidRPr="0019464D">
        <w:t xml:space="preserve">with </w:t>
      </w:r>
      <w:r w:rsidR="00272A8B">
        <w:t xml:space="preserve">data reported by </w:t>
      </w:r>
      <w:r w:rsidRPr="0019464D">
        <w:t>Fernandez et al. (2019)</w:t>
      </w:r>
      <w:r w:rsidR="00272A8B">
        <w:t>: specific</w:t>
      </w:r>
      <w:r w:rsidRPr="0019464D">
        <w:t xml:space="preserve"> growth rate 0.063 h</w:t>
      </w:r>
      <w:r w:rsidR="00014538" w:rsidRPr="00014538">
        <w:rPr>
          <w:vertAlign w:val="superscript"/>
        </w:rPr>
        <w:t>-1</w:t>
      </w:r>
      <w:r w:rsidRPr="0019464D">
        <w:t xml:space="preserve"> </w:t>
      </w:r>
      <w:r w:rsidR="00272A8B">
        <w:t xml:space="preserve">assessed for a culture carried out </w:t>
      </w:r>
      <w:r w:rsidRPr="0019464D">
        <w:t xml:space="preserve">in a bioreactor fed with a gas mixture </w:t>
      </w:r>
      <w:r w:rsidR="00272A8B">
        <w:t xml:space="preserve">- </w:t>
      </w:r>
      <w:r w:rsidRPr="0019464D">
        <w:t>(</w:t>
      </w:r>
      <w:proofErr w:type="gramStart"/>
      <w:r w:rsidRPr="0019464D">
        <w:t>CO:CO</w:t>
      </w:r>
      <w:r w:rsidR="00014538" w:rsidRPr="00014538">
        <w:rPr>
          <w:vertAlign w:val="subscript"/>
        </w:rPr>
        <w:t>2</w:t>
      </w:r>
      <w:proofErr w:type="gramEnd"/>
      <w:r w:rsidRPr="0019464D">
        <w:t>:H</w:t>
      </w:r>
      <w:r w:rsidR="00014538" w:rsidRPr="00014538">
        <w:rPr>
          <w:vertAlign w:val="subscript"/>
        </w:rPr>
        <w:t>2</w:t>
      </w:r>
      <w:r w:rsidRPr="0019464D">
        <w:t>:N</w:t>
      </w:r>
      <w:r w:rsidR="00014538" w:rsidRPr="00014538">
        <w:rPr>
          <w:vertAlign w:val="subscript"/>
        </w:rPr>
        <w:t>2</w:t>
      </w:r>
      <w:r w:rsidRPr="0019464D">
        <w:t>, 20:20:10:50) as a carbon and energy source</w:t>
      </w:r>
      <w:r w:rsidR="00272A8B">
        <w:t xml:space="preserve"> -</w:t>
      </w:r>
      <w:r w:rsidR="00272A8B" w:rsidRPr="0019464D">
        <w:t xml:space="preserve"> </w:t>
      </w:r>
      <w:r w:rsidRPr="0019464D">
        <w:t>at flow rate of 0.6 L/h.</w:t>
      </w:r>
      <w:r w:rsidRPr="009C104A">
        <w:t xml:space="preserve"> </w:t>
      </w:r>
    </w:p>
    <w:p w14:paraId="1E3BE627" w14:textId="1C272C37" w:rsidR="0019464D" w:rsidRDefault="00C72FC4" w:rsidP="0019464D">
      <w:pPr>
        <w:pStyle w:val="CETBodytext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F94FB2B" wp14:editId="74BB3A35">
            <wp:simplePos x="0" y="0"/>
            <wp:positionH relativeFrom="column">
              <wp:posOffset>-59055</wp:posOffset>
            </wp:positionH>
            <wp:positionV relativeFrom="paragraph">
              <wp:posOffset>643255</wp:posOffset>
            </wp:positionV>
            <wp:extent cx="5516880" cy="6410960"/>
            <wp:effectExtent l="0" t="0" r="0" b="0"/>
            <wp:wrapSquare wrapText="bothSides"/>
            <wp:docPr id="1107300817" name="Immagine 1" descr="Immagine che contiene testo, diagramma, linea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00817" name="Immagine 1" descr="Immagine che contiene testo, diagramma, linea, Pian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" b="15743"/>
                    <a:stretch/>
                  </pic:blipFill>
                  <pic:spPr bwMode="auto">
                    <a:xfrm>
                      <a:off x="0" y="0"/>
                      <a:ext cx="5516880" cy="64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8B">
        <w:t xml:space="preserve">The specific </w:t>
      </w:r>
      <w:r w:rsidR="0019464D">
        <w:t xml:space="preserve">growth rate </w:t>
      </w:r>
      <w:r w:rsidR="00272A8B">
        <w:t xml:space="preserve">assessed during the test carried out without the pH control was </w:t>
      </w:r>
      <w:r w:rsidR="0019464D">
        <w:t>0.083 h</w:t>
      </w:r>
      <w:r w:rsidR="00014538" w:rsidRPr="00014538">
        <w:rPr>
          <w:vertAlign w:val="superscript"/>
        </w:rPr>
        <w:t>−1</w:t>
      </w:r>
      <w:r w:rsidR="0019464D">
        <w:t xml:space="preserve">. </w:t>
      </w:r>
      <w:r w:rsidR="00272A8B">
        <w:t xml:space="preserve">The result was smaller than the value assessed by </w:t>
      </w:r>
      <w:r w:rsidR="0019464D">
        <w:t xml:space="preserve">Ukpong et al. (2012) </w:t>
      </w:r>
      <w:r w:rsidR="00272A8B">
        <w:t xml:space="preserve">- </w:t>
      </w:r>
      <w:r w:rsidR="0019464D">
        <w:t>0.098 h</w:t>
      </w:r>
      <w:r w:rsidR="00014538" w:rsidRPr="00014538">
        <w:rPr>
          <w:vertAlign w:val="superscript"/>
        </w:rPr>
        <w:t>-1</w:t>
      </w:r>
      <w:r w:rsidR="0019464D">
        <w:t xml:space="preserve"> </w:t>
      </w:r>
      <w:r w:rsidR="00272A8B">
        <w:t>– during a test carried out without pH control</w:t>
      </w:r>
      <w:r w:rsidR="0019464D">
        <w:t xml:space="preserve">. The </w:t>
      </w:r>
      <w:r w:rsidR="00272A8B">
        <w:t xml:space="preserve">main difference between the two set of operating conditions was the medium - </w:t>
      </w:r>
      <w:r w:rsidR="0019464D">
        <w:t xml:space="preserve">modified basal medium (Liou et al., 2005) </w:t>
      </w:r>
      <w:r w:rsidR="00272A8B">
        <w:t xml:space="preserve">– the </w:t>
      </w:r>
      <w:r w:rsidR="0019464D">
        <w:t xml:space="preserve">syngas </w:t>
      </w:r>
      <w:r w:rsidR="00272A8B">
        <w:t xml:space="preserve">composition </w:t>
      </w:r>
      <w:r w:rsidR="0019464D">
        <w:t>(N</w:t>
      </w:r>
      <w:r w:rsidR="00014538" w:rsidRPr="00014538">
        <w:rPr>
          <w:vertAlign w:val="subscript"/>
        </w:rPr>
        <w:t>2</w:t>
      </w:r>
      <w:r w:rsidR="0019464D">
        <w:t>:</w:t>
      </w:r>
      <w:proofErr w:type="gramStart"/>
      <w:r w:rsidR="0019464D">
        <w:t>CO:CO</w:t>
      </w:r>
      <w:r w:rsidR="00014538" w:rsidRPr="00014538">
        <w:rPr>
          <w:vertAlign w:val="subscript"/>
        </w:rPr>
        <w:t>2</w:t>
      </w:r>
      <w:proofErr w:type="gramEnd"/>
      <w:r w:rsidR="0019464D">
        <w:t>:H</w:t>
      </w:r>
      <w:r w:rsidR="00014538" w:rsidRPr="00014538">
        <w:rPr>
          <w:vertAlign w:val="subscript"/>
        </w:rPr>
        <w:t>2</w:t>
      </w:r>
      <w:r w:rsidR="0019464D">
        <w:t xml:space="preserve">, 60:20:15:5) </w:t>
      </w:r>
      <w:r w:rsidR="00272A8B">
        <w:t>and the gas flow rate (</w:t>
      </w:r>
      <w:r w:rsidR="0019464D">
        <w:t>6 L/h</w:t>
      </w:r>
      <w:r w:rsidR="00272A8B">
        <w:t>)</w:t>
      </w:r>
      <w:r w:rsidR="0019464D">
        <w:t xml:space="preserve">. </w:t>
      </w:r>
    </w:p>
    <w:p w14:paraId="4125E2F1" w14:textId="69E86CAD" w:rsidR="00B278C8" w:rsidRDefault="00B278C8" w:rsidP="00886508">
      <w:pPr>
        <w:pStyle w:val="CETBodytext"/>
        <w:rPr>
          <w:bCs/>
          <w:i/>
          <w:iCs/>
        </w:rPr>
      </w:pPr>
    </w:p>
    <w:p w14:paraId="65800E64" w14:textId="0BEBCD1D" w:rsidR="00886508" w:rsidRPr="00886508" w:rsidRDefault="00BA536E" w:rsidP="00886508">
      <w:pPr>
        <w:pStyle w:val="CETBodytext"/>
        <w:rPr>
          <w:i/>
          <w:iCs/>
        </w:rPr>
      </w:pPr>
      <w:r w:rsidRPr="005B395E">
        <w:rPr>
          <w:bCs/>
          <w:i/>
          <w:iCs/>
        </w:rPr>
        <w:t>Figure 2:</w:t>
      </w:r>
      <w:r w:rsidR="00886508" w:rsidRPr="00886508">
        <w:rPr>
          <w:i/>
          <w:iCs/>
        </w:rPr>
        <w:t xml:space="preserve"> </w:t>
      </w:r>
      <w:r w:rsidR="00DC475F">
        <w:rPr>
          <w:i/>
          <w:iCs/>
        </w:rPr>
        <w:t>Concentration of cells and metabolites</w:t>
      </w:r>
      <w:r w:rsidR="00DC475F" w:rsidRPr="00610920">
        <w:rPr>
          <w:i/>
          <w:iCs/>
        </w:rPr>
        <w:t xml:space="preserve"> </w:t>
      </w:r>
      <w:r w:rsidR="00610920" w:rsidRPr="00610920">
        <w:rPr>
          <w:i/>
          <w:iCs/>
        </w:rPr>
        <w:t xml:space="preserve">vs. time measured during </w:t>
      </w:r>
      <w:r w:rsidR="00610920">
        <w:rPr>
          <w:i/>
          <w:iCs/>
        </w:rPr>
        <w:t>continuous</w:t>
      </w:r>
      <w:r w:rsidR="00610920" w:rsidRPr="00610920">
        <w:rPr>
          <w:i/>
          <w:iCs/>
        </w:rPr>
        <w:t xml:space="preserve"> </w:t>
      </w:r>
      <w:r w:rsidR="00610920">
        <w:rPr>
          <w:i/>
          <w:iCs/>
        </w:rPr>
        <w:t xml:space="preserve">CO-fed </w:t>
      </w:r>
      <w:r w:rsidR="00610920" w:rsidRPr="00610920">
        <w:rPr>
          <w:i/>
          <w:iCs/>
        </w:rPr>
        <w:t>fermentation</w:t>
      </w:r>
      <w:r w:rsidR="00610920">
        <w:rPr>
          <w:i/>
          <w:iCs/>
        </w:rPr>
        <w:t xml:space="preserve"> tests (CO volumetric flow rate 0.6 L/h)</w:t>
      </w:r>
      <w:r w:rsidR="00610920">
        <w:rPr>
          <w:i/>
          <w:iCs/>
          <w:lang w:val="en-GB"/>
        </w:rPr>
        <w:t>.</w:t>
      </w:r>
      <w:r w:rsidR="00886508" w:rsidRPr="00886508">
        <w:rPr>
          <w:i/>
          <w:iCs/>
        </w:rPr>
        <w:t xml:space="preserve"> A) </w:t>
      </w:r>
      <w:r w:rsidR="00610920">
        <w:rPr>
          <w:i/>
          <w:iCs/>
        </w:rPr>
        <w:t xml:space="preserve">Fermentation with </w:t>
      </w:r>
      <w:r w:rsidR="00886508" w:rsidRPr="00886508">
        <w:rPr>
          <w:i/>
          <w:iCs/>
        </w:rPr>
        <w:t>pH control</w:t>
      </w:r>
      <w:r w:rsidR="00610920">
        <w:rPr>
          <w:i/>
          <w:iCs/>
        </w:rPr>
        <w:t>:</w:t>
      </w:r>
      <w:r w:rsidR="00B92376">
        <w:rPr>
          <w:i/>
          <w:iCs/>
        </w:rPr>
        <w:t xml:space="preserve"> </w:t>
      </w:r>
      <w:r w:rsidR="00610920">
        <w:rPr>
          <w:i/>
          <w:iCs/>
        </w:rPr>
        <w:t>A1) biomass concentration</w:t>
      </w:r>
      <w:r w:rsidR="000850C8">
        <w:rPr>
          <w:i/>
          <w:iCs/>
        </w:rPr>
        <w:t xml:space="preserve"> and pH trend</w:t>
      </w:r>
      <w:r w:rsidR="00610920">
        <w:rPr>
          <w:i/>
          <w:iCs/>
        </w:rPr>
        <w:t>; A2)</w:t>
      </w:r>
      <w:r w:rsidR="00B92376">
        <w:rPr>
          <w:i/>
          <w:iCs/>
        </w:rPr>
        <w:t xml:space="preserve"> acid </w:t>
      </w:r>
      <w:r w:rsidR="00610920">
        <w:rPr>
          <w:i/>
          <w:iCs/>
        </w:rPr>
        <w:t>concentrations; A3</w:t>
      </w:r>
      <w:r w:rsidR="00AB3A2E">
        <w:rPr>
          <w:i/>
          <w:iCs/>
        </w:rPr>
        <w:t>)</w:t>
      </w:r>
      <w:r w:rsidR="00610920">
        <w:rPr>
          <w:i/>
          <w:iCs/>
        </w:rPr>
        <w:t xml:space="preserve"> solvent concentrations.</w:t>
      </w:r>
      <w:r w:rsidR="00886508" w:rsidRPr="00886508">
        <w:rPr>
          <w:i/>
          <w:iCs/>
        </w:rPr>
        <w:t xml:space="preserve"> B) </w:t>
      </w:r>
      <w:r w:rsidR="00610920">
        <w:rPr>
          <w:i/>
          <w:iCs/>
        </w:rPr>
        <w:t xml:space="preserve">Fermentation without </w:t>
      </w:r>
      <w:r w:rsidR="00886508" w:rsidRPr="00886508">
        <w:rPr>
          <w:i/>
          <w:iCs/>
        </w:rPr>
        <w:t>pH control</w:t>
      </w:r>
      <w:r w:rsidR="00610920">
        <w:rPr>
          <w:i/>
          <w:iCs/>
        </w:rPr>
        <w:t>:</w:t>
      </w:r>
      <w:r w:rsidR="00610920" w:rsidRPr="00610920">
        <w:rPr>
          <w:i/>
          <w:iCs/>
        </w:rPr>
        <w:t xml:space="preserve"> </w:t>
      </w:r>
      <w:r w:rsidR="00610920">
        <w:rPr>
          <w:i/>
          <w:iCs/>
        </w:rPr>
        <w:t>B1) biomass concentration</w:t>
      </w:r>
      <w:r w:rsidR="003F119A">
        <w:rPr>
          <w:i/>
          <w:iCs/>
        </w:rPr>
        <w:t xml:space="preserve"> and pH trend</w:t>
      </w:r>
      <w:r w:rsidR="00610920">
        <w:rPr>
          <w:i/>
          <w:iCs/>
        </w:rPr>
        <w:t>; B2) acid concentrations</w:t>
      </w:r>
      <w:r w:rsidR="00DC475F">
        <w:rPr>
          <w:i/>
          <w:iCs/>
        </w:rPr>
        <w:t xml:space="preserve">; </w:t>
      </w:r>
      <w:r w:rsidR="00610920">
        <w:rPr>
          <w:i/>
          <w:iCs/>
        </w:rPr>
        <w:t>B3</w:t>
      </w:r>
      <w:r w:rsidR="00AB3A2E">
        <w:rPr>
          <w:i/>
          <w:iCs/>
        </w:rPr>
        <w:t>)</w:t>
      </w:r>
      <w:r w:rsidR="00610920">
        <w:rPr>
          <w:i/>
          <w:iCs/>
        </w:rPr>
        <w:t xml:space="preserve"> solvent concentrations.</w:t>
      </w:r>
      <w:r w:rsidR="00B92376">
        <w:rPr>
          <w:i/>
          <w:iCs/>
        </w:rPr>
        <w:t xml:space="preserve"> </w:t>
      </w:r>
    </w:p>
    <w:p w14:paraId="7CB5002B" w14:textId="77777777" w:rsidR="00D005AD" w:rsidRDefault="00D005AD" w:rsidP="001E6033">
      <w:pPr>
        <w:pStyle w:val="CETBodytext"/>
      </w:pPr>
    </w:p>
    <w:p w14:paraId="46D47CC3" w14:textId="77777777" w:rsidR="00C075A2" w:rsidRDefault="00BA536E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Arial"/>
          <w:color w:val="202124"/>
          <w:szCs w:val="18"/>
          <w:lang w:eastAsia="it-IT"/>
        </w:rPr>
      </w:pPr>
      <w:r w:rsidRPr="003F13A1">
        <w:rPr>
          <w:rFonts w:cs="Arial"/>
          <w:color w:val="202124"/>
          <w:szCs w:val="18"/>
          <w:lang w:eastAsia="it-IT"/>
        </w:rPr>
        <w:t xml:space="preserve">Table 1 </w:t>
      </w:r>
      <w:r w:rsidR="00DC475F">
        <w:rPr>
          <w:rFonts w:cs="Arial"/>
          <w:color w:val="202124"/>
          <w:szCs w:val="18"/>
          <w:lang w:eastAsia="it-IT"/>
        </w:rPr>
        <w:t xml:space="preserve">reports </w:t>
      </w:r>
      <w:r w:rsidRPr="003F13A1">
        <w:rPr>
          <w:rFonts w:cs="Arial"/>
          <w:color w:val="202124"/>
          <w:szCs w:val="18"/>
          <w:lang w:eastAsia="it-IT"/>
        </w:rPr>
        <w:t xml:space="preserve">the maximum concentrations of acids and solvents obtained </w:t>
      </w:r>
      <w:r w:rsidR="00060C43">
        <w:rPr>
          <w:rFonts w:cs="Arial"/>
          <w:color w:val="202124"/>
          <w:szCs w:val="18"/>
          <w:lang w:eastAsia="it-IT"/>
        </w:rPr>
        <w:t xml:space="preserve">under </w:t>
      </w:r>
      <w:r w:rsidRPr="003F13A1">
        <w:rPr>
          <w:rFonts w:cs="Arial"/>
          <w:color w:val="202124"/>
          <w:szCs w:val="18"/>
          <w:lang w:eastAsia="it-IT"/>
        </w:rPr>
        <w:t>controlled and uncontrolled pH fermentations</w:t>
      </w:r>
      <w:r w:rsidR="007B1072" w:rsidRPr="003F13A1">
        <w:rPr>
          <w:rFonts w:cs="Arial"/>
          <w:color w:val="202124"/>
          <w:szCs w:val="18"/>
          <w:lang w:eastAsia="it-IT"/>
        </w:rPr>
        <w:t xml:space="preserve">. </w:t>
      </w:r>
      <w:r w:rsidR="003F13A1" w:rsidRPr="003F13A1">
        <w:rPr>
          <w:rFonts w:cs="Arial"/>
          <w:color w:val="202124"/>
          <w:szCs w:val="18"/>
          <w:lang w:eastAsia="it-IT"/>
        </w:rPr>
        <w:t>Benevenuti et al. (2021) reported maximum concentrations of 1.32 g/L acetic acid, 1.76 g/L ethanol, and 0.46 g/L butanol in a bioreactor continuously supplied with synthetic syngas (gas flow rate of 30 L/h)</w:t>
      </w:r>
      <w:r w:rsidR="003F13A1">
        <w:rPr>
          <w:rFonts w:cs="Arial"/>
          <w:color w:val="202124"/>
          <w:szCs w:val="18"/>
          <w:lang w:eastAsia="it-IT"/>
        </w:rPr>
        <w:t xml:space="preserve"> </w:t>
      </w:r>
      <w:r w:rsidR="003F13A1" w:rsidRPr="003F13A1">
        <w:rPr>
          <w:color w:val="000000" w:themeColor="text1"/>
          <w:szCs w:val="32"/>
          <w:shd w:val="clear" w:color="auto" w:fill="FFFFFF"/>
        </w:rPr>
        <w:t>consisting of 20% CO, 5% H</w:t>
      </w:r>
      <w:r w:rsidR="003F13A1" w:rsidRPr="003F13A1">
        <w:rPr>
          <w:color w:val="000000" w:themeColor="text1"/>
          <w:szCs w:val="32"/>
          <w:shd w:val="clear" w:color="auto" w:fill="FFFFFF"/>
          <w:vertAlign w:val="subscript"/>
        </w:rPr>
        <w:t>2</w:t>
      </w:r>
      <w:r w:rsidR="003F13A1" w:rsidRPr="003F13A1">
        <w:rPr>
          <w:color w:val="000000" w:themeColor="text1"/>
          <w:szCs w:val="32"/>
          <w:shd w:val="clear" w:color="auto" w:fill="FFFFFF"/>
        </w:rPr>
        <w:t>, 15% CO</w:t>
      </w:r>
      <w:r w:rsidR="003F13A1" w:rsidRPr="003F13A1">
        <w:rPr>
          <w:color w:val="000000" w:themeColor="text1"/>
          <w:szCs w:val="32"/>
          <w:shd w:val="clear" w:color="auto" w:fill="FFFFFF"/>
          <w:vertAlign w:val="subscript"/>
        </w:rPr>
        <w:t>2</w:t>
      </w:r>
      <w:r w:rsidR="003F13A1" w:rsidRPr="003F13A1">
        <w:rPr>
          <w:color w:val="000000" w:themeColor="text1"/>
          <w:szCs w:val="32"/>
          <w:shd w:val="clear" w:color="auto" w:fill="FFFFFF"/>
        </w:rPr>
        <w:t xml:space="preserve"> and 60% N</w:t>
      </w:r>
      <w:r w:rsidR="003F13A1" w:rsidRPr="003F13A1">
        <w:rPr>
          <w:color w:val="000000" w:themeColor="text1"/>
          <w:szCs w:val="32"/>
          <w:shd w:val="clear" w:color="auto" w:fill="FFFFFF"/>
          <w:vertAlign w:val="subscript"/>
        </w:rPr>
        <w:t>2</w:t>
      </w:r>
      <w:r w:rsidR="003F13A1" w:rsidRPr="003F13A1">
        <w:t xml:space="preserve">, using ATCC®2713 as a liquid medium with 0.15% </w:t>
      </w:r>
      <w:r w:rsidR="003F13A1" w:rsidRPr="003F13A1">
        <w:lastRenderedPageBreak/>
        <w:t>Tween®80</w:t>
      </w:r>
      <w:r w:rsidR="00DC475F">
        <w:t xml:space="preserve"> and operated without pH control</w:t>
      </w:r>
      <w:r w:rsidR="003F13A1" w:rsidRPr="003F13A1">
        <w:rPr>
          <w:rFonts w:cs="Arial"/>
          <w:color w:val="202124"/>
          <w:szCs w:val="18"/>
          <w:lang w:eastAsia="it-IT"/>
        </w:rPr>
        <w:t>.</w:t>
      </w:r>
      <w:r w:rsidR="003F13A1">
        <w:rPr>
          <w:rFonts w:cs="Arial"/>
          <w:color w:val="202124"/>
          <w:szCs w:val="18"/>
          <w:lang w:eastAsia="it-IT"/>
        </w:rPr>
        <w:t xml:space="preserve"> </w:t>
      </w:r>
      <w:r w:rsidR="003F13A1" w:rsidRPr="003F13A1">
        <w:rPr>
          <w:rFonts w:cs="Arial"/>
          <w:color w:val="202124"/>
          <w:szCs w:val="18"/>
          <w:lang w:eastAsia="it-IT"/>
        </w:rPr>
        <w:t xml:space="preserve">The </w:t>
      </w:r>
      <w:r w:rsidR="00DC475F">
        <w:rPr>
          <w:rFonts w:cs="Arial"/>
          <w:color w:val="202124"/>
          <w:szCs w:val="18"/>
          <w:lang w:eastAsia="it-IT"/>
        </w:rPr>
        <w:t xml:space="preserve">reported </w:t>
      </w:r>
      <w:r w:rsidR="003F13A1" w:rsidRPr="003F13A1">
        <w:rPr>
          <w:rFonts w:cs="Arial"/>
          <w:color w:val="202124"/>
          <w:szCs w:val="18"/>
          <w:lang w:eastAsia="it-IT"/>
        </w:rPr>
        <w:t>differences in operating conditions likely contribute to variations in the conversion of acids into solvents.</w:t>
      </w:r>
      <w:r w:rsidR="003F13A1">
        <w:t xml:space="preserve"> </w:t>
      </w:r>
      <w:r w:rsidR="003F13A1" w:rsidRPr="003F13A1">
        <w:t xml:space="preserve">In </w:t>
      </w:r>
      <w:r w:rsidR="003F13A1">
        <w:t>the present</w:t>
      </w:r>
      <w:r w:rsidR="003F13A1" w:rsidRPr="003F13A1">
        <w:t xml:space="preserve"> study, the conversion of acetic acid </w:t>
      </w:r>
      <w:r w:rsidR="00DC475F">
        <w:t>in</w:t>
      </w:r>
      <w:r w:rsidR="003F13A1" w:rsidRPr="003F13A1">
        <w:t>to ethanol is more pronounced than the conversion of butyric acid into butanol</w:t>
      </w:r>
      <w:r w:rsidR="00DC475F">
        <w:t>. Moreover</w:t>
      </w:r>
      <w:r w:rsidR="003F13A1" w:rsidRPr="003F13A1">
        <w:t xml:space="preserve">, </w:t>
      </w:r>
      <w:r w:rsidR="00DC475F">
        <w:t xml:space="preserve">butyric acid conversion into butanol is less pronounced than in the fermentation reported by </w:t>
      </w:r>
      <w:r w:rsidR="003F13A1" w:rsidRPr="003F13A1">
        <w:t>Benevenuti et al. (2021).</w:t>
      </w:r>
      <w:r w:rsidR="00674991">
        <w:t xml:space="preserve"> </w:t>
      </w:r>
    </w:p>
    <w:p w14:paraId="60C32A84" w14:textId="77777777" w:rsidR="00D86F30" w:rsidRPr="00E969DC" w:rsidRDefault="003F13A1">
      <w:pPr>
        <w:pStyle w:val="CETBodytext"/>
      </w:pPr>
      <w:r w:rsidRPr="003F13A1">
        <w:t xml:space="preserve">The comparison of the two </w:t>
      </w:r>
      <w:r w:rsidR="008B48EB">
        <w:t>test campaign</w:t>
      </w:r>
      <w:r w:rsidR="00042CD6">
        <w:t>s</w:t>
      </w:r>
      <w:r w:rsidR="008B48EB">
        <w:t xml:space="preserve"> points out </w:t>
      </w:r>
      <w:r w:rsidRPr="003F13A1">
        <w:t xml:space="preserve">that </w:t>
      </w:r>
      <w:r w:rsidR="008B48EB">
        <w:t xml:space="preserve">under </w:t>
      </w:r>
      <w:r w:rsidR="008B48EB" w:rsidRPr="003F13A1">
        <w:t>uncontrolled pH</w:t>
      </w:r>
      <w:r w:rsidR="008B48EB">
        <w:t xml:space="preserve"> condition</w:t>
      </w:r>
      <w:r w:rsidR="008B48EB" w:rsidRPr="003F13A1">
        <w:t xml:space="preserve"> </w:t>
      </w:r>
      <w:r w:rsidRPr="003F13A1">
        <w:t>the bacterium initially produce</w:t>
      </w:r>
      <w:r>
        <w:t>d</w:t>
      </w:r>
      <w:r w:rsidRPr="003F13A1">
        <w:t xml:space="preserve"> acetic acid </w:t>
      </w:r>
      <w:r w:rsidR="008B48EB">
        <w:t xml:space="preserve">– at </w:t>
      </w:r>
      <w:r w:rsidRPr="003F13A1">
        <w:t xml:space="preserve">concentration </w:t>
      </w:r>
      <w:r w:rsidR="008B48EB">
        <w:t xml:space="preserve">larger </w:t>
      </w:r>
      <w:r w:rsidRPr="003F13A1">
        <w:t>than other acids (Figure 2B2</w:t>
      </w:r>
      <w:r w:rsidR="004A539B" w:rsidRPr="003F13A1">
        <w:t>)</w:t>
      </w:r>
      <w:r w:rsidR="004A539B">
        <w:t xml:space="preserve"> -</w:t>
      </w:r>
      <w:r w:rsidR="004A539B" w:rsidRPr="003F13A1">
        <w:t xml:space="preserve"> </w:t>
      </w:r>
      <w:r w:rsidRPr="003F13A1">
        <w:t>leading to a drop in pH</w:t>
      </w:r>
      <w:r w:rsidR="00D063E4">
        <w:t xml:space="preserve"> </w:t>
      </w:r>
      <w:r w:rsidR="001E748C">
        <w:t xml:space="preserve">(Figure </w:t>
      </w:r>
      <w:r w:rsidR="002E33A9">
        <w:t>2B1)</w:t>
      </w:r>
      <w:r w:rsidRPr="003F13A1">
        <w:t>. In response to the pH decrease, solventogenesis occur</w:t>
      </w:r>
      <w:r>
        <w:t>red</w:t>
      </w:r>
      <w:r w:rsidR="004A539B">
        <w:t xml:space="preserve"> and the </w:t>
      </w:r>
      <w:r w:rsidRPr="003F13A1">
        <w:t xml:space="preserve">ethanol </w:t>
      </w:r>
      <w:r w:rsidR="004A539B">
        <w:t xml:space="preserve">was </w:t>
      </w:r>
      <w:r w:rsidRPr="003F13A1">
        <w:t xml:space="preserve">the primary solvent produced, as indicated by the concentration in Table 1. </w:t>
      </w:r>
      <w:r w:rsidR="004A539B">
        <w:t>Onset of e</w:t>
      </w:r>
      <w:r w:rsidR="004A539B" w:rsidRPr="003F13A1">
        <w:t xml:space="preserve">thanol </w:t>
      </w:r>
      <w:r w:rsidRPr="003F13A1">
        <w:t xml:space="preserve">production </w:t>
      </w:r>
      <w:r w:rsidR="004A539B">
        <w:t xml:space="preserve">was recorded since </w:t>
      </w:r>
      <w:r w:rsidRPr="003F13A1">
        <w:t xml:space="preserve">the early hours of fermentation reaching </w:t>
      </w:r>
      <w:r w:rsidR="004A539B">
        <w:t xml:space="preserve">the maximum </w:t>
      </w:r>
      <w:r w:rsidRPr="00E969DC">
        <w:t xml:space="preserve">after about 20 hours. This observed behavior of </w:t>
      </w:r>
      <w:r w:rsidR="00014538" w:rsidRPr="00E969DC">
        <w:rPr>
          <w:i/>
          <w:iCs/>
        </w:rPr>
        <w:t>Clostridium</w:t>
      </w:r>
      <w:r w:rsidRPr="00E969DC">
        <w:t xml:space="preserve"> is consistent with the findings of Fernández-Naveira et al. </w:t>
      </w:r>
      <w:r w:rsidR="00014538" w:rsidRPr="00E969DC">
        <w:t>(2017</w:t>
      </w:r>
      <w:r w:rsidR="00E969DC" w:rsidRPr="00E969DC">
        <w:t>b</w:t>
      </w:r>
      <w:r w:rsidRPr="00E969DC">
        <w:t>)</w:t>
      </w:r>
      <w:r w:rsidR="004A539B">
        <w:t xml:space="preserve">. They pointed out that </w:t>
      </w:r>
      <w:r w:rsidRPr="00E969DC">
        <w:t xml:space="preserve">without pH control the synthesis of alcohols starts simultaneously with the acidification of the medium, </w:t>
      </w:r>
      <w:r w:rsidR="004A539B">
        <w:t xml:space="preserve">just after the </w:t>
      </w:r>
      <w:r w:rsidRPr="00E969DC">
        <w:t xml:space="preserve">inoculation. </w:t>
      </w:r>
      <w:r w:rsidR="004A539B">
        <w:t xml:space="preserve">The reported observations suggest </w:t>
      </w:r>
      <w:r w:rsidRPr="00E969DC">
        <w:t>that under low pH conditions there is</w:t>
      </w:r>
      <w:r w:rsidR="004A539B">
        <w:t xml:space="preserve"> </w:t>
      </w:r>
      <w:r w:rsidR="004A539B" w:rsidRPr="00E969DC">
        <w:t>n</w:t>
      </w:r>
      <w:r w:rsidR="004A539B">
        <w:t>o</w:t>
      </w:r>
      <w:r w:rsidR="004A539B" w:rsidRPr="00E969DC">
        <w:t xml:space="preserve">t </w:t>
      </w:r>
      <w:r w:rsidRPr="00E969DC">
        <w:t>a pronounced transformation of acids into solvents</w:t>
      </w:r>
      <w:r w:rsidR="004A539B">
        <w:t xml:space="preserve"> and</w:t>
      </w:r>
      <w:r w:rsidRPr="00E969DC">
        <w:t xml:space="preserve"> both acidogenesis and solventogenesis coexist in </w:t>
      </w:r>
      <w:r w:rsidR="00014538" w:rsidRPr="00E969DC">
        <w:rPr>
          <w:i/>
          <w:iCs/>
        </w:rPr>
        <w:t>C. carboxidivorans</w:t>
      </w:r>
      <w:r w:rsidR="009870F6" w:rsidRPr="00E969DC">
        <w:t xml:space="preserve"> </w:t>
      </w:r>
      <w:r w:rsidR="00014538" w:rsidRPr="00E969DC">
        <w:t>cultures</w:t>
      </w:r>
      <w:r w:rsidRPr="00E969DC">
        <w:t xml:space="preserve">. </w:t>
      </w:r>
    </w:p>
    <w:p w14:paraId="3A42F673" w14:textId="06094D91" w:rsidR="00A355D0" w:rsidRPr="00EA0D04" w:rsidRDefault="004A539B" w:rsidP="00016F79">
      <w:pPr>
        <w:pStyle w:val="CETBodytext"/>
      </w:pPr>
      <w:r>
        <w:t xml:space="preserve">Tests carried out under </w:t>
      </w:r>
      <w:r w:rsidR="00996EE8" w:rsidRPr="00E969DC">
        <w:t>pH control at 5.75</w:t>
      </w:r>
      <w:r>
        <w:t xml:space="preserve"> point out that </w:t>
      </w:r>
      <w:r w:rsidR="00996EE8" w:rsidRPr="00E969DC">
        <w:t>acid</w:t>
      </w:r>
      <w:r>
        <w:t>s</w:t>
      </w:r>
      <w:r w:rsidR="00996EE8" w:rsidRPr="00E969DC">
        <w:t xml:space="preserve"> </w:t>
      </w:r>
      <w:r>
        <w:t xml:space="preserve">– acetic, </w:t>
      </w:r>
      <w:r w:rsidR="00996EE8" w:rsidRPr="00E969DC">
        <w:t>butyric</w:t>
      </w:r>
      <w:r>
        <w:t xml:space="preserve">, </w:t>
      </w:r>
      <w:r w:rsidR="00996EE8" w:rsidRPr="00E969DC">
        <w:t xml:space="preserve">and hexanoic </w:t>
      </w:r>
      <w:r>
        <w:t xml:space="preserve">– approached a </w:t>
      </w:r>
      <w:r w:rsidR="00996EE8" w:rsidRPr="00E969DC">
        <w:t xml:space="preserve">maximum </w:t>
      </w:r>
      <w:r>
        <w:t xml:space="preserve">larger than that measured under </w:t>
      </w:r>
      <w:r w:rsidR="00996EE8" w:rsidRPr="00E969DC">
        <w:t xml:space="preserve">uncontrolled pH </w:t>
      </w:r>
      <w:r>
        <w:t>tests</w:t>
      </w:r>
      <w:r w:rsidRPr="00E969DC">
        <w:t xml:space="preserve"> </w:t>
      </w:r>
      <w:r w:rsidR="00996EE8" w:rsidRPr="00E969DC">
        <w:t xml:space="preserve">(Table 1). </w:t>
      </w:r>
      <w:r>
        <w:t>T</w:t>
      </w:r>
      <w:r w:rsidR="00996EE8" w:rsidRPr="00E969DC">
        <w:t xml:space="preserve">he </w:t>
      </w:r>
      <w:r w:rsidR="00CE60FD">
        <w:t xml:space="preserve">maximum </w:t>
      </w:r>
      <w:r w:rsidR="00996EE8" w:rsidRPr="00E969DC">
        <w:t xml:space="preserve">ethanol </w:t>
      </w:r>
      <w:r>
        <w:t xml:space="preserve">concentration </w:t>
      </w:r>
      <w:r w:rsidR="00CE60FD">
        <w:t xml:space="preserve">measured during </w:t>
      </w:r>
      <w:r w:rsidR="00996EE8" w:rsidRPr="00E969DC">
        <w:t>pH</w:t>
      </w:r>
      <w:r w:rsidR="00CE60FD">
        <w:t>-</w:t>
      </w:r>
      <w:r w:rsidR="00996EE8" w:rsidRPr="00E969DC">
        <w:t>control</w:t>
      </w:r>
      <w:r w:rsidR="00CE60FD">
        <w:t>led test</w:t>
      </w:r>
      <w:r w:rsidR="00996EE8" w:rsidRPr="00E969DC">
        <w:t xml:space="preserve"> is lower than that obtained </w:t>
      </w:r>
      <w:r w:rsidR="00CE60FD">
        <w:t>during the</w:t>
      </w:r>
      <w:r w:rsidR="00996EE8" w:rsidRPr="00E969DC">
        <w:t xml:space="preserve"> uncontrolled pH test. However, butanol reache</w:t>
      </w:r>
      <w:r w:rsidR="001F091A" w:rsidRPr="00E969DC">
        <w:t>d</w:t>
      </w:r>
      <w:r w:rsidR="00996EE8" w:rsidRPr="00E969DC">
        <w:t xml:space="preserve"> higher concentration</w:t>
      </w:r>
      <w:r w:rsidR="00CE60FD">
        <w:t xml:space="preserve"> -</w:t>
      </w:r>
      <w:r w:rsidR="00996EE8" w:rsidRPr="00E969DC">
        <w:t xml:space="preserve"> from the conversion of a significant amount of butyric acid</w:t>
      </w:r>
      <w:r w:rsidR="00CE60FD">
        <w:t xml:space="preserve"> – than that measured during the uncontrolled pH test.</w:t>
      </w:r>
      <w:r w:rsidR="00CE60FD" w:rsidRPr="00E969DC">
        <w:t xml:space="preserve"> </w:t>
      </w:r>
      <w:r w:rsidR="00996EE8" w:rsidRPr="00E969DC">
        <w:t xml:space="preserve">The conversion of acids to solvents is expected through the Wood-Ljungdahl pathway, leading to the production of acetyl-CoA, which </w:t>
      </w:r>
      <w:r w:rsidR="004424D3">
        <w:t>could</w:t>
      </w:r>
      <w:r w:rsidR="00996EE8" w:rsidRPr="00E969DC">
        <w:t xml:space="preserve"> be converted to both acetate and ethanol. Acetyl-CoA </w:t>
      </w:r>
      <w:r w:rsidR="004424D3">
        <w:t>could</w:t>
      </w:r>
      <w:r w:rsidR="00996EE8" w:rsidRPr="00E969DC">
        <w:t xml:space="preserve"> also be enzymatically transformed into butyryl-CoA, from which butanol and butyric acid are obtained as end products. Regarding long-chain products, acetyl-CoA is converted into hexanoyl-CoA, which </w:t>
      </w:r>
      <w:r w:rsidR="004424D3">
        <w:t>could</w:t>
      </w:r>
      <w:r w:rsidR="00996EE8" w:rsidRPr="00E969DC">
        <w:t xml:space="preserve"> be directly transformed into hexanoate or, alternatively, into hexanol (Fernández-Naveira et al., 2</w:t>
      </w:r>
      <w:r w:rsidR="00E969DC" w:rsidRPr="00E969DC">
        <w:t>017a</w:t>
      </w:r>
      <w:r w:rsidR="00996EE8" w:rsidRPr="00E969DC">
        <w:t>).</w:t>
      </w:r>
      <w:r w:rsidR="001F091A" w:rsidRPr="00E969DC">
        <w:t xml:space="preserve"> At pH of 5.75, the </w:t>
      </w:r>
      <w:r w:rsidR="00CE60FD">
        <w:t xml:space="preserve">ethanol </w:t>
      </w:r>
      <w:r w:rsidR="001F091A" w:rsidRPr="00E969DC">
        <w:t xml:space="preserve">production </w:t>
      </w:r>
      <w:r w:rsidR="00CE60FD">
        <w:t>onset was delayed with respect to the test carried under uncontrolled pH test</w:t>
      </w:r>
      <w:r w:rsidR="001F091A" w:rsidRPr="00E969DC">
        <w:t>.</w:t>
      </w:r>
    </w:p>
    <w:tbl>
      <w:tblPr>
        <w:tblpPr w:leftFromText="141" w:rightFromText="141" w:vertAnchor="text" w:horzAnchor="margin" w:tblpY="574"/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2"/>
        <w:gridCol w:w="1086"/>
        <w:gridCol w:w="941"/>
        <w:gridCol w:w="1171"/>
        <w:gridCol w:w="1203"/>
        <w:gridCol w:w="1028"/>
        <w:gridCol w:w="850"/>
        <w:gridCol w:w="1381"/>
        <w:gridCol w:w="37"/>
      </w:tblGrid>
      <w:tr w:rsidR="00761550" w:rsidRPr="00B57B36" w14:paraId="662CADE1" w14:textId="77777777" w:rsidTr="00761550">
        <w:trPr>
          <w:trHeight w:val="537"/>
        </w:trPr>
        <w:tc>
          <w:tcPr>
            <w:tcW w:w="1092" w:type="dxa"/>
            <w:tcBorders>
              <w:top w:val="single" w:sz="12" w:space="0" w:color="008000"/>
              <w:bottom w:val="nil"/>
              <w:right w:val="nil"/>
            </w:tcBorders>
            <w:shd w:val="clear" w:color="auto" w:fill="FFFFFF"/>
          </w:tcPr>
          <w:p w14:paraId="35F57437" w14:textId="77777777" w:rsidR="00034846" w:rsidRPr="004E0C72" w:rsidRDefault="00034846" w:rsidP="00034846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1086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2478450A" w14:textId="77777777" w:rsidR="00034846" w:rsidRPr="004E0C72" w:rsidRDefault="00034846" w:rsidP="00034846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9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34FD490E" w14:textId="77777777" w:rsidR="00034846" w:rsidRPr="00B57B36" w:rsidRDefault="00034846" w:rsidP="0003484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Acetic acid mg/L</w:t>
            </w:r>
          </w:p>
        </w:tc>
        <w:tc>
          <w:tcPr>
            <w:tcW w:w="117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73E86F4E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Butyric acid mg/L</w:t>
            </w:r>
          </w:p>
        </w:tc>
        <w:tc>
          <w:tcPr>
            <w:tcW w:w="1203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3702FFA5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Hexanoic acid mg/L</w:t>
            </w:r>
          </w:p>
        </w:tc>
        <w:tc>
          <w:tcPr>
            <w:tcW w:w="1028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09161D9C" w14:textId="77777777" w:rsidR="00034846" w:rsidRPr="00B57B36" w:rsidRDefault="00034846" w:rsidP="00034846">
            <w:pPr>
              <w:pStyle w:val="CETBodytext"/>
              <w:tabs>
                <w:tab w:val="clear" w:pos="7100"/>
                <w:tab w:val="left" w:pos="665"/>
              </w:tabs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Ethanol mg/L</w:t>
            </w:r>
          </w:p>
        </w:tc>
        <w:tc>
          <w:tcPr>
            <w:tcW w:w="850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307A93C8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Butanol</w:t>
            </w:r>
          </w:p>
          <w:p w14:paraId="69843CA4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mg/L</w:t>
            </w:r>
          </w:p>
        </w:tc>
        <w:tc>
          <w:tcPr>
            <w:tcW w:w="1381" w:type="dxa"/>
            <w:tcBorders>
              <w:top w:val="single" w:sz="12" w:space="0" w:color="008000"/>
              <w:left w:val="nil"/>
              <w:bottom w:val="nil"/>
            </w:tcBorders>
            <w:shd w:val="clear" w:color="auto" w:fill="FFFFFF"/>
          </w:tcPr>
          <w:p w14:paraId="11174961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Hexanol</w:t>
            </w:r>
          </w:p>
          <w:p w14:paraId="4566D3FF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mg/L</w:t>
            </w:r>
          </w:p>
        </w:tc>
        <w:tc>
          <w:tcPr>
            <w:tcW w:w="3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DFBB9A" w14:textId="77777777" w:rsidR="00034846" w:rsidRPr="00B57B36" w:rsidRDefault="00034846" w:rsidP="0003484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761550" w:rsidRPr="00B57B36" w14:paraId="4A6A8AC9" w14:textId="77777777" w:rsidTr="00761550">
        <w:trPr>
          <w:trHeight w:val="431"/>
        </w:trPr>
        <w:tc>
          <w:tcPr>
            <w:tcW w:w="1092" w:type="dxa"/>
            <w:tcBorders>
              <w:top w:val="single" w:sz="12" w:space="0" w:color="008000"/>
              <w:bottom w:val="nil"/>
              <w:right w:val="nil"/>
            </w:tcBorders>
            <w:shd w:val="clear" w:color="auto" w:fill="FFFFFF"/>
          </w:tcPr>
          <w:p w14:paraId="5B176DA6" w14:textId="77777777" w:rsidR="00034846" w:rsidRPr="00B57B36" w:rsidRDefault="00034846" w:rsidP="007D1FE1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pH control</w:t>
            </w:r>
          </w:p>
        </w:tc>
        <w:tc>
          <w:tcPr>
            <w:tcW w:w="1086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2CD65C23" w14:textId="77777777" w:rsidR="00034846" w:rsidRPr="00B57B36" w:rsidRDefault="00034846" w:rsidP="007D1FE1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9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36997498" w14:textId="77777777" w:rsidR="00034846" w:rsidRDefault="00034846" w:rsidP="0003484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76</w:t>
            </w:r>
            <w:r w:rsidR="003E7569">
              <w:rPr>
                <w:lang w:val="en-GB"/>
              </w:rPr>
              <w:t>0</w:t>
            </w:r>
            <w:r w:rsidR="00102BCF">
              <w:rPr>
                <w:rFonts w:cs="Arial"/>
                <w:szCs w:val="18"/>
                <w:lang w:val="en-GB"/>
              </w:rPr>
              <w:t>±2</w:t>
            </w:r>
            <w:r w:rsidR="00D13B53">
              <w:rPr>
                <w:rFonts w:cs="Arial"/>
                <w:szCs w:val="18"/>
                <w:lang w:val="en-GB"/>
              </w:rPr>
              <w:t>6.7</w:t>
            </w:r>
          </w:p>
        </w:tc>
        <w:tc>
          <w:tcPr>
            <w:tcW w:w="117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381AC8CE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  <w:r w:rsidR="003E7569">
              <w:rPr>
                <w:rFonts w:cs="Arial"/>
                <w:szCs w:val="18"/>
                <w:lang w:val="en-GB"/>
              </w:rPr>
              <w:t>10</w:t>
            </w:r>
            <w:r w:rsidR="00102BCF">
              <w:rPr>
                <w:rFonts w:cs="Arial"/>
                <w:szCs w:val="18"/>
                <w:lang w:val="en-GB"/>
              </w:rPr>
              <w:t>±</w:t>
            </w:r>
            <w:r w:rsidR="00D13B53">
              <w:rPr>
                <w:rFonts w:cs="Arial"/>
                <w:szCs w:val="18"/>
                <w:lang w:val="en-GB"/>
              </w:rPr>
              <w:t>4.3</w:t>
            </w:r>
          </w:p>
        </w:tc>
        <w:tc>
          <w:tcPr>
            <w:tcW w:w="1203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76965BA7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13</w:t>
            </w:r>
            <w:r w:rsidR="003E7569">
              <w:rPr>
                <w:rFonts w:cs="Arial"/>
                <w:szCs w:val="18"/>
                <w:lang w:val="en-GB"/>
              </w:rPr>
              <w:t>0</w:t>
            </w:r>
            <w:r w:rsidR="00102BCF">
              <w:rPr>
                <w:rFonts w:cs="Arial"/>
                <w:szCs w:val="18"/>
                <w:lang w:val="en-GB"/>
              </w:rPr>
              <w:t>±</w:t>
            </w:r>
            <w:r w:rsidR="00D13B53">
              <w:rPr>
                <w:rFonts w:cs="Arial"/>
                <w:szCs w:val="18"/>
                <w:lang w:val="en-GB"/>
              </w:rPr>
              <w:t>5.4</w:t>
            </w:r>
          </w:p>
        </w:tc>
        <w:tc>
          <w:tcPr>
            <w:tcW w:w="1028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01470730" w14:textId="77777777" w:rsidR="00034846" w:rsidRDefault="00034846" w:rsidP="00034846">
            <w:pPr>
              <w:pStyle w:val="CETBodytext"/>
              <w:tabs>
                <w:tab w:val="clear" w:pos="7100"/>
                <w:tab w:val="left" w:pos="665"/>
              </w:tabs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801</w:t>
            </w:r>
            <w:r w:rsidR="00102BCF">
              <w:rPr>
                <w:rFonts w:cs="Arial"/>
                <w:szCs w:val="18"/>
                <w:lang w:val="en-GB"/>
              </w:rPr>
              <w:t>±2</w:t>
            </w:r>
            <w:r w:rsidR="00D13B53">
              <w:rPr>
                <w:rFonts w:cs="Arial"/>
                <w:szCs w:val="18"/>
                <w:lang w:val="en-GB"/>
              </w:rPr>
              <w:t>6.4</w:t>
            </w:r>
          </w:p>
        </w:tc>
        <w:tc>
          <w:tcPr>
            <w:tcW w:w="850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14:paraId="1CEB771C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330</w:t>
            </w:r>
            <w:r w:rsidR="00102BCF">
              <w:rPr>
                <w:rFonts w:cs="Arial"/>
                <w:szCs w:val="18"/>
                <w:lang w:val="en-GB"/>
              </w:rPr>
              <w:t>±</w:t>
            </w:r>
            <w:r w:rsidR="00D13B53">
              <w:rPr>
                <w:rFonts w:cs="Arial"/>
                <w:szCs w:val="18"/>
                <w:lang w:val="en-GB"/>
              </w:rPr>
              <w:t>10.</w:t>
            </w:r>
            <w:r w:rsidR="00467642">
              <w:rPr>
                <w:rFonts w:cs="Arial"/>
                <w:szCs w:val="18"/>
                <w:lang w:val="en-GB"/>
              </w:rPr>
              <w:t>9</w:t>
            </w:r>
          </w:p>
        </w:tc>
        <w:tc>
          <w:tcPr>
            <w:tcW w:w="1381" w:type="dxa"/>
            <w:tcBorders>
              <w:top w:val="single" w:sz="12" w:space="0" w:color="008000"/>
              <w:left w:val="nil"/>
              <w:bottom w:val="nil"/>
            </w:tcBorders>
            <w:shd w:val="clear" w:color="auto" w:fill="FFFFFF"/>
          </w:tcPr>
          <w:p w14:paraId="10452945" w14:textId="77777777" w:rsidR="00034846" w:rsidRDefault="00071D9B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</w:t>
            </w:r>
            <w:r w:rsidR="00102BCF">
              <w:rPr>
                <w:rFonts w:cs="Arial"/>
                <w:szCs w:val="18"/>
                <w:lang w:val="en-GB"/>
              </w:rPr>
              <w:t>±</w:t>
            </w:r>
            <w:r w:rsidR="00D13B53">
              <w:rPr>
                <w:rFonts w:cs="Arial"/>
                <w:szCs w:val="18"/>
                <w:lang w:val="en-GB"/>
              </w:rPr>
              <w:t>0.</w:t>
            </w:r>
            <w:r w:rsidR="00467642">
              <w:rPr>
                <w:rFonts w:cs="Arial"/>
                <w:szCs w:val="18"/>
                <w:lang w:val="en-GB"/>
              </w:rPr>
              <w:t>6</w:t>
            </w:r>
          </w:p>
        </w:tc>
        <w:tc>
          <w:tcPr>
            <w:tcW w:w="3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84CEE9B" w14:textId="77777777" w:rsidR="00034846" w:rsidRPr="00B57B36" w:rsidRDefault="00034846" w:rsidP="0003484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761550" w:rsidRPr="00B57B36" w14:paraId="39C41CE9" w14:textId="77777777" w:rsidTr="00761550">
        <w:tc>
          <w:tcPr>
            <w:tcW w:w="1092" w:type="dxa"/>
            <w:tcBorders>
              <w:top w:val="nil"/>
              <w:bottom w:val="single" w:sz="12" w:space="0" w:color="008000"/>
              <w:right w:val="nil"/>
            </w:tcBorders>
            <w:shd w:val="clear" w:color="auto" w:fill="FFFFFF"/>
          </w:tcPr>
          <w:p w14:paraId="745B1456" w14:textId="77777777" w:rsidR="00034846" w:rsidRDefault="00034846" w:rsidP="007D1FE1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no pH </w:t>
            </w:r>
            <w:proofErr w:type="gramStart"/>
            <w:r>
              <w:rPr>
                <w:lang w:val="en-GB"/>
              </w:rPr>
              <w:t>control</w:t>
            </w:r>
            <w:proofErr w:type="gramEnd"/>
          </w:p>
          <w:p w14:paraId="652826D8" w14:textId="77777777" w:rsidR="00034846" w:rsidRPr="00B57B36" w:rsidRDefault="00034846" w:rsidP="007D1FE1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50671332" w14:textId="77777777" w:rsidR="00034846" w:rsidRPr="00732C99" w:rsidRDefault="00034846" w:rsidP="007D1FE1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1D584021" w14:textId="77777777" w:rsidR="00034846" w:rsidRPr="00B57B36" w:rsidRDefault="00034846" w:rsidP="0003484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659</w:t>
            </w:r>
            <w:r w:rsidR="004D5D66">
              <w:rPr>
                <w:rFonts w:cs="Arial"/>
                <w:szCs w:val="18"/>
                <w:lang w:val="en-GB"/>
              </w:rPr>
              <w:t>±23.</w:t>
            </w:r>
            <w:r w:rsidR="00467642">
              <w:rPr>
                <w:rFonts w:cs="Arial"/>
                <w:szCs w:val="18"/>
                <w:lang w:val="en-GB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5DA0F918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106</w:t>
            </w:r>
            <w:r w:rsidR="004D5D66">
              <w:rPr>
                <w:rFonts w:cs="Arial"/>
                <w:szCs w:val="18"/>
                <w:lang w:val="en-GB"/>
              </w:rPr>
              <w:t>±2.2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0380F606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36</w:t>
            </w:r>
            <w:r w:rsidR="004D5D66">
              <w:rPr>
                <w:rFonts w:cs="Arial"/>
                <w:szCs w:val="18"/>
                <w:lang w:val="en-GB"/>
              </w:rPr>
              <w:t>±0.</w:t>
            </w:r>
            <w:r w:rsidR="00467642"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056AF1AA" w14:textId="77777777" w:rsidR="0003484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182</w:t>
            </w:r>
            <w:r w:rsidR="008A2830">
              <w:rPr>
                <w:rFonts w:cs="Arial"/>
                <w:szCs w:val="18"/>
                <w:lang w:val="en-GB"/>
              </w:rPr>
              <w:t>0</w:t>
            </w:r>
            <w:r w:rsidR="004D5D66">
              <w:rPr>
                <w:rFonts w:cs="Arial"/>
                <w:szCs w:val="18"/>
                <w:lang w:val="en-GB"/>
              </w:rPr>
              <w:t>±36.</w:t>
            </w:r>
            <w:r w:rsidR="00467642">
              <w:rPr>
                <w:rFonts w:cs="Arial"/>
                <w:szCs w:val="18"/>
                <w:lang w:val="en-GB"/>
              </w:rPr>
              <w:t>5</w:t>
            </w:r>
          </w:p>
          <w:p w14:paraId="72C5C40C" w14:textId="77777777" w:rsidR="00034846" w:rsidRPr="00732C99" w:rsidRDefault="00034846" w:rsidP="00034846">
            <w:pPr>
              <w:pStyle w:val="CETBody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14:paraId="27FEF087" w14:textId="77777777" w:rsidR="00034846" w:rsidRPr="00B57B36" w:rsidRDefault="00034846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156</w:t>
            </w:r>
            <w:r w:rsidR="004D5D66">
              <w:rPr>
                <w:rFonts w:cs="Arial"/>
                <w:szCs w:val="18"/>
                <w:lang w:val="en-GB"/>
              </w:rPr>
              <w:t>±3.4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8000"/>
            </w:tcBorders>
            <w:shd w:val="clear" w:color="auto" w:fill="FFFFFF"/>
          </w:tcPr>
          <w:p w14:paraId="7A5E41BB" w14:textId="77777777" w:rsidR="00034846" w:rsidRPr="00B57B36" w:rsidRDefault="00C86708" w:rsidP="0003484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</w:t>
            </w:r>
            <w:r w:rsidR="004D5D66">
              <w:rPr>
                <w:rFonts w:cs="Arial"/>
                <w:szCs w:val="18"/>
                <w:lang w:val="en-GB"/>
              </w:rPr>
              <w:t>±0.5</w:t>
            </w:r>
          </w:p>
        </w:tc>
        <w:tc>
          <w:tcPr>
            <w:tcW w:w="37" w:type="dxa"/>
            <w:shd w:val="clear" w:color="auto" w:fill="FFFFFF"/>
          </w:tcPr>
          <w:p w14:paraId="0D0CA935" w14:textId="77777777" w:rsidR="00034846" w:rsidRPr="00B57B36" w:rsidRDefault="00034846" w:rsidP="0003484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3395FB80" w14:textId="77777777" w:rsidR="005D3DA3" w:rsidRPr="00016F79" w:rsidRDefault="005D3DA3" w:rsidP="002A744B">
      <w:pPr>
        <w:pStyle w:val="CETBodytext"/>
      </w:pPr>
    </w:p>
    <w:p w14:paraId="1BDE23B6" w14:textId="77777777" w:rsidR="00034846" w:rsidRPr="00034846" w:rsidRDefault="00034846" w:rsidP="00034846">
      <w:pPr>
        <w:pStyle w:val="CETBodytext"/>
        <w:rPr>
          <w:i/>
        </w:rPr>
      </w:pPr>
      <w:r w:rsidRPr="005B395E">
        <w:rPr>
          <w:i/>
        </w:rPr>
        <w:t>Table 1:</w:t>
      </w:r>
      <w:r w:rsidRPr="00034846">
        <w:rPr>
          <w:i/>
        </w:rPr>
        <w:t xml:space="preserve"> Data of maximum concentrations of products </w:t>
      </w:r>
    </w:p>
    <w:p w14:paraId="340CB829" w14:textId="77777777" w:rsidR="00702D70" w:rsidRDefault="007D1041" w:rsidP="00280FAF">
      <w:pPr>
        <w:pStyle w:val="CETHeadingxx"/>
      </w:pPr>
      <w:r>
        <w:t xml:space="preserve">4 Conclusions </w:t>
      </w:r>
    </w:p>
    <w:p w14:paraId="6701DBD4" w14:textId="77777777" w:rsidR="007D1041" w:rsidRPr="0032572D" w:rsidRDefault="00E07605" w:rsidP="006F165C">
      <w:pPr>
        <w:pStyle w:val="CETHeadingxx"/>
        <w:jc w:val="both"/>
        <w:rPr>
          <w:b w:val="0"/>
        </w:rPr>
      </w:pPr>
      <w:r w:rsidRPr="006F165C">
        <w:rPr>
          <w:b w:val="0"/>
          <w:bCs/>
        </w:rPr>
        <w:t xml:space="preserve">Fermentation tests were carried out </w:t>
      </w:r>
      <w:r w:rsidR="00767DFE" w:rsidRPr="006F165C">
        <w:rPr>
          <w:b w:val="0"/>
          <w:bCs/>
        </w:rPr>
        <w:t xml:space="preserve">in stirred tank reactors with continuous gas feeding </w:t>
      </w:r>
      <w:r w:rsidR="00725D45" w:rsidRPr="00725D45">
        <w:rPr>
          <w:b w:val="0"/>
          <w:bCs/>
        </w:rPr>
        <w:t>to enhance the efficiency of solvent production</w:t>
      </w:r>
      <w:r w:rsidR="00725D45">
        <w:rPr>
          <w:b w:val="0"/>
          <w:bCs/>
        </w:rPr>
        <w:t xml:space="preserve"> </w:t>
      </w:r>
      <w:r w:rsidR="009234CB" w:rsidRPr="006F165C">
        <w:rPr>
          <w:b w:val="0"/>
          <w:bCs/>
        </w:rPr>
        <w:t xml:space="preserve">by </w:t>
      </w:r>
      <w:r w:rsidR="009234CB" w:rsidRPr="006F165C">
        <w:rPr>
          <w:b w:val="0"/>
          <w:bCs/>
          <w:i/>
          <w:iCs/>
        </w:rPr>
        <w:t>C. carboxi</w:t>
      </w:r>
      <w:r w:rsidR="00061AFC">
        <w:rPr>
          <w:b w:val="0"/>
          <w:bCs/>
          <w:i/>
          <w:iCs/>
        </w:rPr>
        <w:t>di</w:t>
      </w:r>
      <w:r w:rsidR="009234CB" w:rsidRPr="006F165C">
        <w:rPr>
          <w:b w:val="0"/>
          <w:bCs/>
          <w:i/>
          <w:iCs/>
        </w:rPr>
        <w:t>vorans</w:t>
      </w:r>
      <w:r w:rsidR="009234CB" w:rsidRPr="006F165C">
        <w:rPr>
          <w:b w:val="0"/>
          <w:bCs/>
        </w:rPr>
        <w:t xml:space="preserve"> </w:t>
      </w:r>
      <w:r w:rsidR="00725D45">
        <w:rPr>
          <w:b w:val="0"/>
          <w:bCs/>
        </w:rPr>
        <w:t xml:space="preserve">during </w:t>
      </w:r>
      <w:r w:rsidR="009234CB" w:rsidRPr="006F165C">
        <w:rPr>
          <w:b w:val="0"/>
          <w:bCs/>
        </w:rPr>
        <w:t>syngas fermentation</w:t>
      </w:r>
      <w:r w:rsidR="00CE60FD">
        <w:rPr>
          <w:b w:val="0"/>
          <w:bCs/>
        </w:rPr>
        <w:t>.</w:t>
      </w:r>
      <w:r w:rsidR="00CE60FD" w:rsidRPr="006F165C">
        <w:rPr>
          <w:b w:val="0"/>
          <w:bCs/>
        </w:rPr>
        <w:t xml:space="preserve"> </w:t>
      </w:r>
      <w:r w:rsidR="00CE60FD">
        <w:rPr>
          <w:b w:val="0"/>
          <w:bCs/>
        </w:rPr>
        <w:t xml:space="preserve">Tests </w:t>
      </w:r>
      <w:r w:rsidR="00725D45" w:rsidRPr="00725D45">
        <w:rPr>
          <w:b w:val="0"/>
          <w:bCs/>
        </w:rPr>
        <w:t>demonstrati</w:t>
      </w:r>
      <w:r w:rsidR="00CE60FD">
        <w:rPr>
          <w:b w:val="0"/>
          <w:bCs/>
        </w:rPr>
        <w:t>ed</w:t>
      </w:r>
      <w:r w:rsidR="00725D45" w:rsidRPr="00725D45">
        <w:rPr>
          <w:b w:val="0"/>
          <w:bCs/>
        </w:rPr>
        <w:t xml:space="preserve"> highly effective production of ethanol and butanol.</w:t>
      </w:r>
      <w:r w:rsidR="003E06DD" w:rsidRPr="0032572D">
        <w:t xml:space="preserve"> </w:t>
      </w:r>
      <w:r w:rsidR="00A1119E">
        <w:rPr>
          <w:b w:val="0"/>
        </w:rPr>
        <w:t>T</w:t>
      </w:r>
      <w:r w:rsidR="003E06DD" w:rsidRPr="0032572D">
        <w:rPr>
          <w:b w:val="0"/>
        </w:rPr>
        <w:t>he microorganism used both the direct and the indirect route</w:t>
      </w:r>
      <w:r w:rsidR="00E10A4E">
        <w:rPr>
          <w:b w:val="0"/>
        </w:rPr>
        <w:t>s</w:t>
      </w:r>
      <w:r w:rsidR="003E06DD" w:rsidRPr="0032572D">
        <w:rPr>
          <w:b w:val="0"/>
        </w:rPr>
        <w:t xml:space="preserve"> to produce alcohols, </w:t>
      </w:r>
      <w:r w:rsidR="00E10A4E" w:rsidRPr="00E10A4E">
        <w:rPr>
          <w:b w:val="0"/>
        </w:rPr>
        <w:t>thereby limiting the final acid concentration</w:t>
      </w:r>
      <w:r w:rsidR="00E10A4E">
        <w:rPr>
          <w:b w:val="0"/>
        </w:rPr>
        <w:t xml:space="preserve">. </w:t>
      </w:r>
      <w:r w:rsidR="00E10A4E" w:rsidRPr="00E10A4E">
        <w:rPr>
          <w:b w:val="0"/>
        </w:rPr>
        <w:t>Under uncontrolled pH conditions, the maximum ethanol concentration was achieved, while under controlled pH conditions, maximum concentration values were also attained for longer chain solvent</w:t>
      </w:r>
      <w:r w:rsidR="00E10A4E">
        <w:rPr>
          <w:b w:val="0"/>
        </w:rPr>
        <w:t>s</w:t>
      </w:r>
      <w:r w:rsidR="00E10A4E" w:rsidRPr="00E10A4E">
        <w:rPr>
          <w:b w:val="0"/>
        </w:rPr>
        <w:t>.</w:t>
      </w:r>
      <w:r w:rsidR="00AD4FD8" w:rsidRPr="0032572D">
        <w:rPr>
          <w:b w:val="0"/>
        </w:rPr>
        <w:t xml:space="preserve"> </w:t>
      </w:r>
      <w:r w:rsidR="003E06DD" w:rsidRPr="0032572D">
        <w:rPr>
          <w:b w:val="0"/>
        </w:rPr>
        <w:t xml:space="preserve">After 80 h, the concentration of all metabolites approached a constant value, suggesting </w:t>
      </w:r>
      <w:r w:rsidR="006D09E5" w:rsidRPr="006D09E5">
        <w:rPr>
          <w:b w:val="0"/>
        </w:rPr>
        <w:t>a potential deficiency of essential components for growth and production in the medium</w:t>
      </w:r>
      <w:r w:rsidR="00E97F04">
        <w:rPr>
          <w:b w:val="0"/>
        </w:rPr>
        <w:t xml:space="preserve">. </w:t>
      </w:r>
      <w:r w:rsidR="006D09E5">
        <w:rPr>
          <w:b w:val="0"/>
        </w:rPr>
        <w:t>T</w:t>
      </w:r>
      <w:r w:rsidR="006D09E5" w:rsidRPr="006D09E5">
        <w:rPr>
          <w:b w:val="0"/>
        </w:rPr>
        <w:t xml:space="preserve">o address this issue, a possible solution </w:t>
      </w:r>
      <w:r w:rsidR="00CE60FD">
        <w:rPr>
          <w:b w:val="0"/>
        </w:rPr>
        <w:t xml:space="preserve">is the </w:t>
      </w:r>
      <w:r w:rsidR="006D09E5" w:rsidRPr="006D09E5">
        <w:rPr>
          <w:b w:val="0"/>
        </w:rPr>
        <w:t xml:space="preserve">continuous liquid feeding to </w:t>
      </w:r>
      <w:r w:rsidR="00CE60FD">
        <w:rPr>
          <w:b w:val="0"/>
        </w:rPr>
        <w:t xml:space="preserve">provide </w:t>
      </w:r>
      <w:r w:rsidR="006D09E5" w:rsidRPr="006D09E5">
        <w:rPr>
          <w:b w:val="0"/>
        </w:rPr>
        <w:t>the presence of all necessary nutrients at the appropriate concentrations.</w:t>
      </w:r>
      <w:r w:rsidR="006D09E5">
        <w:rPr>
          <w:b w:val="0"/>
        </w:rPr>
        <w:t xml:space="preserve"> </w:t>
      </w:r>
    </w:p>
    <w:p w14:paraId="4D5B332D" w14:textId="77777777" w:rsidR="00280FAF" w:rsidRPr="00280FAF" w:rsidRDefault="00280FAF" w:rsidP="00280FAF">
      <w:pPr>
        <w:pStyle w:val="CETHeadingxx"/>
        <w:rPr>
          <w:lang w:val="en-GB"/>
        </w:rPr>
        <w:sectPr w:rsidR="00280FAF" w:rsidRPr="00280FAF" w:rsidSect="001B45F8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 w:rsidRPr="0032572D">
        <w:t>Nomenclature</w:t>
      </w:r>
    </w:p>
    <w:p w14:paraId="3EC7130C" w14:textId="77777777" w:rsidR="00280FAF" w:rsidRPr="00280FAF" w:rsidRDefault="008319A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AA</w:t>
      </w:r>
      <w:r w:rsidR="00280FAF" w:rsidRPr="00280FAF">
        <w:rPr>
          <w:rFonts w:eastAsia="SimSun"/>
        </w:rPr>
        <w:t xml:space="preserve"> – </w:t>
      </w:r>
      <w:r w:rsidR="0041505F">
        <w:rPr>
          <w:rFonts w:eastAsia="SimSun"/>
        </w:rPr>
        <w:t xml:space="preserve">acetic acid concentration </w:t>
      </w:r>
      <w:r w:rsidR="00291E14">
        <w:rPr>
          <w:rFonts w:eastAsia="SimSun"/>
        </w:rPr>
        <w:t>(</w:t>
      </w:r>
      <w:r w:rsidR="0041505F">
        <w:rPr>
          <w:rFonts w:eastAsia="SimSun"/>
        </w:rPr>
        <w:t>mg/L</w:t>
      </w:r>
      <w:r w:rsidR="00291E14">
        <w:rPr>
          <w:rFonts w:eastAsia="SimSun"/>
        </w:rPr>
        <w:t>)</w:t>
      </w:r>
    </w:p>
    <w:p w14:paraId="76329B0F" w14:textId="77777777" w:rsidR="00280FAF" w:rsidRPr="00280FAF" w:rsidRDefault="00280FAF" w:rsidP="00280FAF">
      <w:pPr>
        <w:pStyle w:val="CETBodytext"/>
        <w:jc w:val="left"/>
        <w:rPr>
          <w:rFonts w:eastAsia="SimSun"/>
        </w:rPr>
        <w:sectPr w:rsidR="00280FAF" w:rsidRPr="00280FAF" w:rsidSect="001B45F8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</w:p>
    <w:p w14:paraId="0E737747" w14:textId="77777777" w:rsidR="00280FAF" w:rsidRPr="00280FAF" w:rsidRDefault="008319A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B</w:t>
      </w:r>
      <w:r w:rsidR="00280FAF" w:rsidRPr="00280FAF">
        <w:rPr>
          <w:rFonts w:eastAsia="SimSun"/>
        </w:rPr>
        <w:t xml:space="preserve"> – </w:t>
      </w:r>
      <w:r w:rsidR="0041505F">
        <w:rPr>
          <w:rFonts w:eastAsia="SimSun"/>
        </w:rPr>
        <w:t xml:space="preserve">butanol concentration </w:t>
      </w:r>
      <w:r w:rsidR="00291E14">
        <w:rPr>
          <w:rFonts w:eastAsia="SimSun"/>
        </w:rPr>
        <w:t>(</w:t>
      </w:r>
      <w:r w:rsidR="00B9596B">
        <w:rPr>
          <w:rFonts w:eastAsia="SimSun"/>
        </w:rPr>
        <w:t>mg/L</w:t>
      </w:r>
      <w:r w:rsidR="00291E14">
        <w:rPr>
          <w:rFonts w:eastAsia="SimSun"/>
        </w:rPr>
        <w:t>)</w:t>
      </w:r>
      <w:r w:rsidR="002071FA">
        <w:rPr>
          <w:rFonts w:eastAsia="SimSun"/>
        </w:rPr>
        <w:t xml:space="preserve"> </w:t>
      </w:r>
    </w:p>
    <w:p w14:paraId="7EB396C3" w14:textId="77777777" w:rsidR="00280FAF" w:rsidRPr="00280FAF" w:rsidRDefault="008319A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BA</w:t>
      </w:r>
      <w:r w:rsidR="00280FAF" w:rsidRPr="00280FAF">
        <w:rPr>
          <w:rFonts w:eastAsia="SimSun"/>
        </w:rPr>
        <w:t xml:space="preserve"> – </w:t>
      </w:r>
      <w:r w:rsidR="0041505F">
        <w:rPr>
          <w:rFonts w:eastAsia="SimSun"/>
        </w:rPr>
        <w:t xml:space="preserve">butyric acid concentration </w:t>
      </w:r>
      <w:r w:rsidR="00291E14">
        <w:rPr>
          <w:rFonts w:eastAsia="SimSun"/>
        </w:rPr>
        <w:t>(</w:t>
      </w:r>
      <w:r w:rsidR="002071FA">
        <w:rPr>
          <w:rFonts w:eastAsia="SimSun"/>
        </w:rPr>
        <w:t>mg/L</w:t>
      </w:r>
      <w:r w:rsidR="00291E14">
        <w:rPr>
          <w:rFonts w:eastAsia="SimSun"/>
        </w:rPr>
        <w:t>)</w:t>
      </w:r>
      <w:r w:rsidR="002071FA">
        <w:rPr>
          <w:rFonts w:eastAsia="SimSun"/>
        </w:rPr>
        <w:t xml:space="preserve"> </w:t>
      </w:r>
    </w:p>
    <w:p w14:paraId="4AABAAFA" w14:textId="77777777" w:rsidR="00280FAF" w:rsidRPr="00EC4F3F" w:rsidRDefault="008319A3" w:rsidP="00280FAF">
      <w:pPr>
        <w:pStyle w:val="CETBodytext"/>
        <w:jc w:val="left"/>
        <w:rPr>
          <w:rFonts w:eastAsia="SimSun"/>
          <w:lang w:val="en-GB"/>
        </w:rPr>
      </w:pPr>
      <w:r w:rsidRPr="00EC4F3F">
        <w:rPr>
          <w:rFonts w:eastAsia="SimSun"/>
          <w:lang w:val="en-GB"/>
        </w:rPr>
        <w:t>E</w:t>
      </w:r>
      <w:r w:rsidR="00280FAF" w:rsidRPr="00EC4F3F">
        <w:rPr>
          <w:rFonts w:eastAsia="SimSun"/>
          <w:lang w:val="en-GB"/>
        </w:rPr>
        <w:t xml:space="preserve"> – </w:t>
      </w:r>
      <w:r w:rsidR="00A87EAC" w:rsidRPr="00EC4F3F">
        <w:rPr>
          <w:rFonts w:eastAsia="SimSun"/>
          <w:lang w:val="en-GB"/>
        </w:rPr>
        <w:t>ethanol concen</w:t>
      </w:r>
      <w:r w:rsidR="00424E21" w:rsidRPr="00EC4F3F">
        <w:rPr>
          <w:rFonts w:eastAsia="SimSun"/>
          <w:lang w:val="en-GB"/>
        </w:rPr>
        <w:t xml:space="preserve">tration </w:t>
      </w:r>
      <w:r w:rsidR="00291E14">
        <w:rPr>
          <w:rFonts w:eastAsia="SimSun"/>
          <w:lang w:val="en-GB"/>
        </w:rPr>
        <w:t>(</w:t>
      </w:r>
      <w:r w:rsidR="00424E21" w:rsidRPr="00EC4F3F">
        <w:rPr>
          <w:rFonts w:eastAsia="SimSun"/>
          <w:lang w:val="en-GB"/>
        </w:rPr>
        <w:t>mg/L</w:t>
      </w:r>
      <w:r w:rsidR="00291E14">
        <w:rPr>
          <w:rFonts w:eastAsia="SimSun"/>
          <w:lang w:val="en-GB"/>
        </w:rPr>
        <w:t>)</w:t>
      </w:r>
    </w:p>
    <w:p w14:paraId="36CB27A4" w14:textId="77777777" w:rsidR="00280FAF" w:rsidRPr="00EC4F3F" w:rsidRDefault="00872CBF" w:rsidP="00280FAF">
      <w:pPr>
        <w:pStyle w:val="CETBodytext"/>
        <w:jc w:val="left"/>
        <w:rPr>
          <w:rFonts w:eastAsia="SimSun"/>
          <w:lang w:val="en-GB"/>
        </w:rPr>
      </w:pPr>
      <w:r w:rsidRPr="00EC4F3F">
        <w:rPr>
          <w:rFonts w:eastAsia="SimSun"/>
          <w:lang w:val="en-GB"/>
        </w:rPr>
        <w:t>H</w:t>
      </w:r>
      <w:r w:rsidR="0041505F" w:rsidRPr="00EC4F3F">
        <w:rPr>
          <w:rFonts w:eastAsia="SimSun"/>
          <w:lang w:val="en-GB"/>
        </w:rPr>
        <w:t>A</w:t>
      </w:r>
      <w:r w:rsidR="00280FAF" w:rsidRPr="00EC4F3F">
        <w:rPr>
          <w:rFonts w:eastAsia="SimSun"/>
          <w:lang w:val="en-GB"/>
        </w:rPr>
        <w:t xml:space="preserve"> – </w:t>
      </w:r>
      <w:r w:rsidR="00424E21" w:rsidRPr="00EC4F3F">
        <w:rPr>
          <w:rFonts w:eastAsia="SimSun"/>
          <w:lang w:val="en-GB"/>
        </w:rPr>
        <w:t xml:space="preserve">hexanoic acid concentration </w:t>
      </w:r>
      <w:r w:rsidR="00291E14">
        <w:rPr>
          <w:rFonts w:eastAsia="SimSun"/>
          <w:lang w:val="en-GB"/>
        </w:rPr>
        <w:t>(</w:t>
      </w:r>
      <w:r w:rsidR="00424E21" w:rsidRPr="00EC4F3F">
        <w:rPr>
          <w:rFonts w:eastAsia="SimSun"/>
          <w:lang w:val="en-GB"/>
        </w:rPr>
        <w:t>mg/L</w:t>
      </w:r>
      <w:r w:rsidR="00291E14">
        <w:rPr>
          <w:rFonts w:eastAsia="SimSun"/>
          <w:lang w:val="en-GB"/>
        </w:rPr>
        <w:t>)</w:t>
      </w:r>
    </w:p>
    <w:p w14:paraId="2ABC8ADB" w14:textId="77777777" w:rsidR="00280FAF" w:rsidRPr="00EC4F3F" w:rsidRDefault="00872CBF" w:rsidP="00280FAF">
      <w:pPr>
        <w:pStyle w:val="CETBodytext"/>
        <w:jc w:val="left"/>
        <w:rPr>
          <w:rFonts w:eastAsia="SimSun"/>
          <w:lang w:val="en-GB"/>
        </w:rPr>
      </w:pPr>
      <w:r w:rsidRPr="00EC4F3F">
        <w:rPr>
          <w:rFonts w:eastAsia="SimSun"/>
          <w:lang w:val="en-GB"/>
        </w:rPr>
        <w:t>H</w:t>
      </w:r>
      <w:r w:rsidR="0041505F" w:rsidRPr="00EC4F3F">
        <w:rPr>
          <w:rFonts w:eastAsia="SimSun"/>
          <w:lang w:val="en-GB"/>
        </w:rPr>
        <w:t xml:space="preserve"> </w:t>
      </w:r>
      <w:r w:rsidR="00280FAF" w:rsidRPr="00EC4F3F">
        <w:rPr>
          <w:rFonts w:eastAsia="SimSun"/>
          <w:lang w:val="en-GB"/>
        </w:rPr>
        <w:t xml:space="preserve">– </w:t>
      </w:r>
      <w:r w:rsidR="00424E21" w:rsidRPr="00EC4F3F">
        <w:rPr>
          <w:rFonts w:eastAsia="SimSun"/>
          <w:lang w:val="en-GB"/>
        </w:rPr>
        <w:t xml:space="preserve">hexanol concentration </w:t>
      </w:r>
      <w:r w:rsidR="00291E14">
        <w:rPr>
          <w:rFonts w:eastAsia="SimSun"/>
          <w:lang w:val="en-GB"/>
        </w:rPr>
        <w:t>(</w:t>
      </w:r>
      <w:r w:rsidR="00424E21" w:rsidRPr="00EC4F3F">
        <w:rPr>
          <w:rFonts w:eastAsia="SimSun"/>
          <w:lang w:val="en-GB"/>
        </w:rPr>
        <w:t>mg/L</w:t>
      </w:r>
      <w:r w:rsidR="00291E14">
        <w:rPr>
          <w:rFonts w:eastAsia="SimSun"/>
          <w:lang w:val="en-GB"/>
        </w:rPr>
        <w:t>)</w:t>
      </w:r>
    </w:p>
    <w:p w14:paraId="1E27C9F4" w14:textId="77777777" w:rsidR="00280FAF" w:rsidRPr="00280FAF" w:rsidRDefault="00017EF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D</w:t>
      </w:r>
      <w:r w:rsidRPr="00017EF7">
        <w:rPr>
          <w:rFonts w:eastAsia="SimSun"/>
          <w:vertAlign w:val="subscript"/>
        </w:rPr>
        <w:t>g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  <w:lang w:val="en-GB"/>
        </w:rPr>
        <w:t xml:space="preserve">gas dilution rate </w:t>
      </w:r>
      <w:r w:rsidRPr="009F75F6">
        <w:rPr>
          <w:rFonts w:eastAsia="SimSun"/>
          <w:lang w:val="en-GB"/>
        </w:rPr>
        <w:t>(h</w:t>
      </w:r>
      <w:r w:rsidRPr="009F75F6">
        <w:rPr>
          <w:rFonts w:eastAsia="SimSun"/>
          <w:vertAlign w:val="superscript"/>
          <w:lang w:val="en-GB"/>
        </w:rPr>
        <w:t>-1</w:t>
      </w:r>
      <w:r w:rsidRPr="009F75F6">
        <w:rPr>
          <w:rFonts w:eastAsia="SimSun"/>
          <w:lang w:val="en-GB"/>
        </w:rPr>
        <w:t>)</w:t>
      </w:r>
    </w:p>
    <w:p w14:paraId="777B59AC" w14:textId="77777777" w:rsidR="00280FAF" w:rsidRPr="00280FAF" w:rsidRDefault="00D41F4C" w:rsidP="00280FAF">
      <w:pPr>
        <w:pStyle w:val="CETBodytext"/>
        <w:jc w:val="left"/>
        <w:rPr>
          <w:rFonts w:eastAsia="SimSun"/>
        </w:rPr>
      </w:pPr>
      <w:r w:rsidRPr="00D41F4C">
        <w:rPr>
          <w:lang w:val="en-GB"/>
        </w:rPr>
        <w:t>OD</w:t>
      </w:r>
      <w:r w:rsidRPr="00D41F4C">
        <w:rPr>
          <w:vertAlign w:val="subscript"/>
        </w:rPr>
        <w:t>λ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 xml:space="preserve">optical density </w:t>
      </w:r>
    </w:p>
    <w:p w14:paraId="522C18FD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T –</w:t>
      </w:r>
      <w:r w:rsidR="00524967">
        <w:rPr>
          <w:rFonts w:eastAsia="SimSun"/>
        </w:rPr>
        <w:t xml:space="preserve"> fermentation temperature</w:t>
      </w:r>
      <w:r w:rsidRPr="00280FAF">
        <w:rPr>
          <w:rFonts w:eastAsia="SimSun"/>
        </w:rPr>
        <w:t xml:space="preserve"> </w:t>
      </w:r>
      <w:r w:rsidR="00BB2962">
        <w:rPr>
          <w:rFonts w:eastAsia="SimSun"/>
        </w:rPr>
        <w:t>(</w:t>
      </w:r>
      <w:r w:rsidR="00DC475F">
        <w:rPr>
          <w:rFonts w:eastAsia="SimSun"/>
        </w:rPr>
        <w:t>°C</w:t>
      </w:r>
      <w:r w:rsidR="00BB2962">
        <w:rPr>
          <w:rFonts w:eastAsia="SimSun"/>
        </w:rPr>
        <w:t>)</w:t>
      </w:r>
    </w:p>
    <w:p w14:paraId="00C78558" w14:textId="77777777" w:rsidR="00280FAF" w:rsidRPr="00280FAF" w:rsidRDefault="00BB2962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 xml:space="preserve">X </w:t>
      </w:r>
      <w:r w:rsidR="00280FAF" w:rsidRPr="00280FAF">
        <w:rPr>
          <w:rFonts w:eastAsia="SimSun"/>
        </w:rPr>
        <w:t xml:space="preserve">– </w:t>
      </w:r>
      <w:r>
        <w:rPr>
          <w:rFonts w:eastAsia="SimSun"/>
        </w:rPr>
        <w:t xml:space="preserve">cell concentration </w:t>
      </w:r>
      <w:r w:rsidR="00291E14">
        <w:rPr>
          <w:rFonts w:eastAsia="SimSun"/>
        </w:rPr>
        <w:t>(</w:t>
      </w:r>
      <w:r>
        <w:rPr>
          <w:rFonts w:eastAsia="SimSun"/>
        </w:rPr>
        <w:t>g</w:t>
      </w:r>
      <w:r w:rsidRPr="00BB2962">
        <w:rPr>
          <w:rFonts w:eastAsia="SimSun"/>
          <w:vertAlign w:val="subscript"/>
        </w:rPr>
        <w:t>DM</w:t>
      </w:r>
      <w:r>
        <w:rPr>
          <w:rFonts w:eastAsia="SimSun"/>
        </w:rPr>
        <w:t>/L</w:t>
      </w:r>
      <w:r w:rsidR="00291E14">
        <w:rPr>
          <w:rFonts w:eastAsia="SimSun"/>
        </w:rPr>
        <w:t>)</w:t>
      </w:r>
    </w:p>
    <w:p w14:paraId="015335DF" w14:textId="77777777" w:rsidR="00280FAF" w:rsidRPr="00280FAF" w:rsidRDefault="00280A9D" w:rsidP="00280FAF">
      <w:pPr>
        <w:pStyle w:val="CETBodytext"/>
        <w:jc w:val="left"/>
        <w:rPr>
          <w:rFonts w:eastAsia="SimSun"/>
        </w:rPr>
      </w:pPr>
      <w:r w:rsidRPr="009F75F6">
        <w:rPr>
          <w:lang w:val="en-GB"/>
        </w:rPr>
        <w:t>μ</w:t>
      </w:r>
      <w:r w:rsidR="00280FAF" w:rsidRPr="00280FAF">
        <w:rPr>
          <w:rFonts w:eastAsia="SimSun"/>
        </w:rPr>
        <w:t xml:space="preserve"> – </w:t>
      </w:r>
      <w:r w:rsidR="00BB2962">
        <w:rPr>
          <w:rFonts w:eastAsia="SimSun"/>
        </w:rPr>
        <w:t>specific cell grow</w:t>
      </w:r>
      <w:r w:rsidR="00A167BF">
        <w:rPr>
          <w:rFonts w:eastAsia="SimSun"/>
        </w:rPr>
        <w:t>th</w:t>
      </w:r>
      <w:r w:rsidR="00BB2962">
        <w:rPr>
          <w:rFonts w:eastAsia="SimSun"/>
        </w:rPr>
        <w:t xml:space="preserve"> rate </w:t>
      </w:r>
      <w:r>
        <w:rPr>
          <w:rFonts w:eastAsia="SimSun"/>
        </w:rPr>
        <w:t>(h</w:t>
      </w:r>
      <w:r w:rsidRPr="00280A9D">
        <w:rPr>
          <w:rFonts w:eastAsia="SimSun"/>
          <w:vertAlign w:val="superscript"/>
        </w:rPr>
        <w:t>-1</w:t>
      </w:r>
      <w:r>
        <w:rPr>
          <w:rFonts w:eastAsia="SimSun"/>
        </w:rPr>
        <w:t>)</w:t>
      </w:r>
    </w:p>
    <w:p w14:paraId="704668A1" w14:textId="77777777" w:rsidR="00280FAF" w:rsidRPr="00280FAF" w:rsidRDefault="00121F8D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Q</w:t>
      </w:r>
      <w:r w:rsidRPr="00121F8D">
        <w:rPr>
          <w:rFonts w:eastAsia="SimSun"/>
          <w:vertAlign w:val="subscript"/>
        </w:rPr>
        <w:t>G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gas flow rate (</w:t>
      </w:r>
      <w:r w:rsidR="004C1984">
        <w:rPr>
          <w:rFonts w:eastAsia="SimSun"/>
        </w:rPr>
        <w:t>L/h)</w:t>
      </w:r>
    </w:p>
    <w:p w14:paraId="5828CBCD" w14:textId="77777777" w:rsidR="00280FAF" w:rsidRDefault="004C1984" w:rsidP="00280FAF">
      <w:pPr>
        <w:pStyle w:val="CETBodytext"/>
        <w:jc w:val="left"/>
        <w:rPr>
          <w:rFonts w:eastAsia="SimSun"/>
          <w:lang w:val="el-GR"/>
        </w:rPr>
      </w:pPr>
      <w:r w:rsidRPr="004C1984">
        <w:rPr>
          <w:rFonts w:eastAsia="SimSun"/>
          <w:lang w:val="en-GB"/>
        </w:rPr>
        <w:t>V</w:t>
      </w:r>
      <w:r w:rsidRPr="004C1984">
        <w:rPr>
          <w:rFonts w:eastAsia="SimSun"/>
          <w:vertAlign w:val="subscript"/>
          <w:lang w:val="en-GB"/>
        </w:rPr>
        <w:t>L</w:t>
      </w:r>
      <w:r w:rsidR="00280FAF" w:rsidRPr="00280FAF">
        <w:rPr>
          <w:rFonts w:eastAsia="SimSun"/>
          <w:lang w:val="el-GR"/>
        </w:rPr>
        <w:t xml:space="preserve"> </w:t>
      </w:r>
      <w:r>
        <w:rPr>
          <w:rFonts w:eastAsia="SimSun"/>
          <w:lang w:val="el-GR"/>
        </w:rPr>
        <w:t>–</w:t>
      </w:r>
      <w:r w:rsidR="008D206C" w:rsidRPr="008D206C">
        <w:rPr>
          <w:rFonts w:eastAsia="SimSun"/>
          <w:lang w:val="en-GB"/>
        </w:rPr>
        <w:t xml:space="preserve"> </w:t>
      </w:r>
      <w:r w:rsidR="008D206C" w:rsidRPr="00354EB4">
        <w:rPr>
          <w:lang w:val="en-GB"/>
        </w:rPr>
        <w:t xml:space="preserve">volume of </w:t>
      </w:r>
      <w:r w:rsidR="00F32559">
        <w:rPr>
          <w:lang w:val="en-GB"/>
        </w:rPr>
        <w:t xml:space="preserve">culture </w:t>
      </w:r>
      <w:r w:rsidR="008D206C" w:rsidRPr="00354EB4">
        <w:rPr>
          <w:lang w:val="en-GB"/>
        </w:rPr>
        <w:t>(L)</w:t>
      </w:r>
      <w:r w:rsidR="00280FAF" w:rsidRPr="00280FAF">
        <w:rPr>
          <w:rFonts w:eastAsia="SimSun"/>
          <w:lang w:val="el-GR"/>
        </w:rPr>
        <w:t xml:space="preserve"> </w:t>
      </w:r>
    </w:p>
    <w:p w14:paraId="301F6AF0" w14:textId="77777777" w:rsidR="008D206C" w:rsidRPr="00280FAF" w:rsidRDefault="008D206C" w:rsidP="00280FAF">
      <w:pPr>
        <w:pStyle w:val="CETBodytext"/>
        <w:jc w:val="left"/>
        <w:rPr>
          <w:rFonts w:eastAsia="SimSun"/>
        </w:rPr>
      </w:pPr>
      <w:r w:rsidRPr="004C1984">
        <w:rPr>
          <w:rFonts w:eastAsia="SimSun"/>
          <w:lang w:val="en-GB"/>
        </w:rPr>
        <w:t>V</w:t>
      </w:r>
      <w:r>
        <w:rPr>
          <w:rFonts w:eastAsia="SimSun"/>
          <w:vertAlign w:val="subscript"/>
          <w:lang w:val="en-GB"/>
        </w:rPr>
        <w:t>G</w:t>
      </w:r>
      <w:r w:rsidRPr="00280FAF">
        <w:rPr>
          <w:rFonts w:eastAsia="SimSun"/>
          <w:lang w:val="el-GR"/>
        </w:rPr>
        <w:t xml:space="preserve"> </w:t>
      </w:r>
      <w:r>
        <w:rPr>
          <w:rFonts w:eastAsia="SimSun"/>
          <w:lang w:val="el-GR"/>
        </w:rPr>
        <w:t>–</w:t>
      </w:r>
      <w:r w:rsidRPr="008D206C">
        <w:rPr>
          <w:rFonts w:eastAsia="SimSun"/>
          <w:lang w:val="en-GB"/>
        </w:rPr>
        <w:t xml:space="preserve"> </w:t>
      </w:r>
      <w:r w:rsidRPr="00354EB4">
        <w:rPr>
          <w:lang w:val="en-GB"/>
        </w:rPr>
        <w:t xml:space="preserve">volume of </w:t>
      </w:r>
      <w:r>
        <w:rPr>
          <w:lang w:val="en-GB"/>
        </w:rPr>
        <w:t xml:space="preserve">gas </w:t>
      </w:r>
      <w:r w:rsidRPr="00354EB4">
        <w:rPr>
          <w:lang w:val="en-GB"/>
        </w:rPr>
        <w:t>inside the bioreactor (L)</w:t>
      </w:r>
    </w:p>
    <w:p w14:paraId="40564F81" w14:textId="77777777" w:rsidR="00280FAF" w:rsidRPr="00E377D0" w:rsidRDefault="00280FAF" w:rsidP="00280FAF">
      <w:pPr>
        <w:pStyle w:val="CETBodytext"/>
        <w:jc w:val="left"/>
        <w:rPr>
          <w:rFonts w:eastAsia="SimSun"/>
        </w:rPr>
        <w:sectPr w:rsidR="00280FAF" w:rsidRPr="00E377D0" w:rsidSect="001B45F8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</w:p>
    <w:p w14:paraId="4A34EB4B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6B337782" w14:textId="77777777" w:rsidR="00600535" w:rsidRPr="00B57B36" w:rsidRDefault="00766E3C" w:rsidP="00600535">
      <w:pPr>
        <w:pStyle w:val="CETBodytext"/>
        <w:rPr>
          <w:lang w:val="en-GB"/>
        </w:rPr>
      </w:pPr>
      <w:r w:rsidRPr="00766E3C">
        <w:rPr>
          <w:lang w:val="en-GB"/>
        </w:rPr>
        <w:t xml:space="preserve">We acknowledge financial support under the National Recovery and Resilience Plan (NRRP), Mission 4, Component 2, Investment 1.1, Call for tender No. 104 published on 2.2.2022 by the Italian Ministry of </w:t>
      </w:r>
      <w:r w:rsidRPr="00766E3C">
        <w:rPr>
          <w:lang w:val="en-GB"/>
        </w:rPr>
        <w:lastRenderedPageBreak/>
        <w:t xml:space="preserve">University and Research (MUR), funded by the European Union – NextGenerationEU– Project Title: </w:t>
      </w:r>
      <w:r w:rsidRPr="003D2615">
        <w:rPr>
          <w:b/>
          <w:bCs/>
          <w:lang w:val="en-GB"/>
        </w:rPr>
        <w:t>STRONG STEELATION: Slags inerTization and valoRizatiON of the off-Gas from STEEL Industry through gas-fermentATION for bio-butanol production</w:t>
      </w:r>
      <w:r w:rsidRPr="00766E3C">
        <w:rPr>
          <w:lang w:val="en-GB"/>
        </w:rPr>
        <w:t xml:space="preserve"> – CUP E53D23003940006 - Grant Assignment Decree No. n. 961 del 30/06/2023 adopted on PE - Physical Sciences and Engineering settore PE8 “Products and Processes Engineering" by the Italian Ministry of Ministry of University and Research (MUR).</w:t>
      </w:r>
    </w:p>
    <w:p w14:paraId="307C9935" w14:textId="77777777" w:rsidR="00133532" w:rsidRDefault="00133532" w:rsidP="00A62C4F">
      <w:pPr>
        <w:pStyle w:val="CETReference"/>
      </w:pPr>
    </w:p>
    <w:p w14:paraId="370E5E25" w14:textId="77777777" w:rsidR="00600535" w:rsidRPr="00826F83" w:rsidRDefault="00600535" w:rsidP="00A62C4F">
      <w:pPr>
        <w:pStyle w:val="CETReference"/>
      </w:pPr>
      <w:r w:rsidRPr="00826F83">
        <w:t>References</w:t>
      </w:r>
    </w:p>
    <w:p w14:paraId="3D3E8DC1" w14:textId="77777777" w:rsidR="00FF1C10" w:rsidRPr="005B6365" w:rsidRDefault="00FF1C10" w:rsidP="00797F6A">
      <w:pPr>
        <w:pStyle w:val="CETReferencetext"/>
      </w:pPr>
      <w:r w:rsidRPr="005B6365">
        <w:t>Abubackar H.N., Veiga M.C. and Kennes C., 2011. Biological conversion of carbon monoxide: rich syngas or waste gases to bioethanol. Biofuels Bioprod Biorefin 5:93–114. DOI: 10.1002/bbb.256</w:t>
      </w:r>
      <w:r w:rsidR="003E3EEC" w:rsidRPr="005B6365">
        <w:t>.</w:t>
      </w:r>
    </w:p>
    <w:p w14:paraId="23D0F690" w14:textId="77777777" w:rsidR="00E0379A" w:rsidRPr="005B6365" w:rsidRDefault="00E0379A" w:rsidP="00E0379A">
      <w:pPr>
        <w:pStyle w:val="CETReferencetext"/>
      </w:pPr>
      <w:r w:rsidRPr="005B6365">
        <w:t>Ahuja V., Bhatt A.K., Ravindran B., Yang Y.H., Bhatia S.K, 2023. A Mini-Review on Syngas Fermentation to Bio-Alcohols: Current Status and Challenges. Sustainability</w:t>
      </w:r>
      <w:r w:rsidR="007F2A21" w:rsidRPr="005B6365">
        <w:t xml:space="preserve">, </w:t>
      </w:r>
      <w:r w:rsidRPr="005B6365">
        <w:t>15(4):1–21</w:t>
      </w:r>
      <w:r w:rsidR="00475982" w:rsidRPr="005B6365">
        <w:t xml:space="preserve">. </w:t>
      </w:r>
      <w:hyperlink r:id="rId12" w:history="1">
        <w:r w:rsidR="00A36DCC" w:rsidRPr="005B6365">
          <w:rPr>
            <w:rStyle w:val="Collegamentoipertestuale"/>
            <w:color w:val="auto"/>
            <w:u w:val="none"/>
          </w:rPr>
          <w:t>https://doi.org/10.3390/su15043765</w:t>
        </w:r>
      </w:hyperlink>
      <w:r w:rsidR="00475982" w:rsidRPr="005B6365">
        <w:t>.</w:t>
      </w:r>
    </w:p>
    <w:p w14:paraId="228FB6CD" w14:textId="77777777" w:rsidR="00F406F7" w:rsidRPr="005B6365" w:rsidRDefault="00F406F7" w:rsidP="00E0379A">
      <w:pPr>
        <w:pStyle w:val="CETReferencetext"/>
      </w:pPr>
      <w:r w:rsidRPr="005B6365">
        <w:t>Benevenuti C., Amaral P., Ferreira T. 2021. Impacts of syngas composition on anaerobic fermentation. Reactions, 2: 391–407. https://doi.org/10.3390/reactions2040025</w:t>
      </w:r>
      <w:r w:rsidR="003D6649" w:rsidRPr="005B6365">
        <w:t>.</w:t>
      </w:r>
    </w:p>
    <w:p w14:paraId="7E648AB2" w14:textId="77777777" w:rsidR="00A36DCC" w:rsidRPr="005B6365" w:rsidRDefault="00A36DCC" w:rsidP="00E0379A">
      <w:pPr>
        <w:pStyle w:val="CETReferencetext"/>
      </w:pPr>
      <w:r w:rsidRPr="005B6365">
        <w:t>Bruant G., Lévesque M.J., Peter C., Guiot S.R., Masson L.</w:t>
      </w:r>
      <w:r w:rsidR="00A14087" w:rsidRPr="005B6365">
        <w:t>, 2010.</w:t>
      </w:r>
      <w:r w:rsidRPr="005B6365">
        <w:t xml:space="preserve"> Genomic analysis of carbon monoxide utilization and butanol production by </w:t>
      </w:r>
      <w:r w:rsidRPr="005B6365">
        <w:rPr>
          <w:i/>
          <w:iCs/>
        </w:rPr>
        <w:t>Clostridium carboxidivorans</w:t>
      </w:r>
      <w:r w:rsidRPr="005B6365">
        <w:t xml:space="preserve"> strain P7T. PLoS One, 5, 13033</w:t>
      </w:r>
      <w:r w:rsidR="00A14087" w:rsidRPr="005B6365">
        <w:t>.</w:t>
      </w:r>
    </w:p>
    <w:p w14:paraId="7229BFA7" w14:textId="77777777" w:rsidR="003E3EEC" w:rsidRPr="005B6365" w:rsidRDefault="003E3EEC" w:rsidP="00797F6A">
      <w:pPr>
        <w:pStyle w:val="CETReferencetext"/>
      </w:pPr>
      <w:r w:rsidRPr="005B6365">
        <w:t>Durre, P., Eikmanns, B.J.</w:t>
      </w:r>
      <w:r w:rsidR="003F7D77" w:rsidRPr="005B6365">
        <w:t xml:space="preserve">, </w:t>
      </w:r>
      <w:r w:rsidRPr="005B6365">
        <w:t xml:space="preserve">2015. C1-carbon sources for chemical and fuel production by microbial gas fermentation. Curr. Opin. Biotechnol. 35, 63–72. </w:t>
      </w:r>
      <w:hyperlink r:id="rId13" w:history="1">
        <w:r w:rsidRPr="005B6365">
          <w:rPr>
            <w:rStyle w:val="Collegamentoipertestuale"/>
            <w:color w:val="auto"/>
            <w:u w:val="none"/>
          </w:rPr>
          <w:t>https://doi.org/10.1016/j.copbio. 2015.03.008</w:t>
        </w:r>
      </w:hyperlink>
      <w:r w:rsidRPr="005B6365">
        <w:t>.</w:t>
      </w:r>
    </w:p>
    <w:p w14:paraId="46AA6693" w14:textId="77777777" w:rsidR="001356F1" w:rsidRPr="005B6365" w:rsidRDefault="001356F1" w:rsidP="00613A8F">
      <w:pPr>
        <w:pStyle w:val="CETReferencetext"/>
      </w:pPr>
      <w:r w:rsidRPr="005B6365">
        <w:t xml:space="preserve">Fernández -Naveira A., Abubackar H.N., Veiga M.C., Kennes C., 2016. Carbon monoxide bioconversion to butanol-ethanol by </w:t>
      </w:r>
      <w:r w:rsidRPr="005B6365">
        <w:rPr>
          <w:i/>
          <w:iCs/>
        </w:rPr>
        <w:t>Clostridium carboxidivorans</w:t>
      </w:r>
      <w:r w:rsidRPr="005B6365">
        <w:t>: kinetics and toxicity of alcohols. Appl. Microbiol. Biotechnol, 100: 4231–4240. https://doi. org/10.1007/s00253-016-7389-8.</w:t>
      </w:r>
    </w:p>
    <w:p w14:paraId="122DE774" w14:textId="77777777" w:rsidR="00C1781B" w:rsidRPr="005B6365" w:rsidRDefault="00C1781B" w:rsidP="00C1781B">
      <w:pPr>
        <w:pStyle w:val="CETReferencetext"/>
      </w:pPr>
      <w:r w:rsidRPr="007E6C72">
        <w:rPr>
          <w:lang w:val="en-US"/>
        </w:rPr>
        <w:t xml:space="preserve">Fernández-Naveira </w:t>
      </w:r>
      <w:r w:rsidR="00E969DC" w:rsidRPr="007E6C72">
        <w:rPr>
          <w:lang w:val="en-US"/>
        </w:rPr>
        <w:t>A., Veiga M.C., Kennes C., 2017b</w:t>
      </w:r>
      <w:r w:rsidRPr="007E6C72">
        <w:rPr>
          <w:lang w:val="en-US"/>
        </w:rPr>
        <w:t xml:space="preserve">. </w:t>
      </w:r>
      <w:r w:rsidRPr="005B6365">
        <w:t>Effect of pH control on the anaerobic H-B-E fermentation of syngas in bioreactors. J Chem Technol Biotechnol, 92: 1178–1185. DOI 10.1002/jctb.5232</w:t>
      </w:r>
      <w:r w:rsidR="00BE7E57" w:rsidRPr="005B6365">
        <w:t>.</w:t>
      </w:r>
    </w:p>
    <w:p w14:paraId="0614FCA6" w14:textId="77777777" w:rsidR="002C5FEA" w:rsidRPr="005B6365" w:rsidRDefault="002C5FEA" w:rsidP="002C5FEA">
      <w:pPr>
        <w:pStyle w:val="CETReferencetext"/>
      </w:pPr>
      <w:r w:rsidRPr="004C17A0">
        <w:rPr>
          <w:lang w:val="en-US"/>
        </w:rPr>
        <w:t>Fernández-Naveira A., Veiga M.C., Kennes C., 2017</w:t>
      </w:r>
      <w:r w:rsidR="00E969DC" w:rsidRPr="004C17A0">
        <w:rPr>
          <w:lang w:val="en-US"/>
        </w:rPr>
        <w:t>a</w:t>
      </w:r>
      <w:r w:rsidRPr="004C17A0">
        <w:rPr>
          <w:lang w:val="en-US"/>
        </w:rPr>
        <w:t xml:space="preserve">. </w:t>
      </w:r>
      <w:r w:rsidRPr="005B6365">
        <w:t>H-B-E (hexanol-butanol-ethanol) fermentation for the production of higher alcohols from syngas/waste gas. J Chem Technol Biotechnol, 92: 712–731. DOI 10.1002/jctb.5194.</w:t>
      </w:r>
    </w:p>
    <w:p w14:paraId="6E2D25EC" w14:textId="77777777" w:rsidR="00EB5325" w:rsidRPr="005B6365" w:rsidRDefault="00EB5325" w:rsidP="002C5FEA">
      <w:pPr>
        <w:pStyle w:val="CETReferencetext"/>
      </w:pPr>
      <w:r w:rsidRPr="005B6365">
        <w:rPr>
          <w:lang w:val="en-US"/>
        </w:rPr>
        <w:t>Fernandez-Naveira A., Veiga M.C., Kennes C.</w:t>
      </w:r>
      <w:r w:rsidR="007E725A" w:rsidRPr="005B6365">
        <w:rPr>
          <w:lang w:val="en-US"/>
        </w:rPr>
        <w:t xml:space="preserve"> </w:t>
      </w:r>
      <w:r w:rsidRPr="005B6365">
        <w:rPr>
          <w:lang w:val="en-US"/>
        </w:rPr>
        <w:t xml:space="preserve">2019. </w:t>
      </w:r>
      <w:r w:rsidRPr="005B6365">
        <w:t xml:space="preserve">Effect of salinity on C1-gas fermentation by </w:t>
      </w:r>
      <w:r w:rsidRPr="005B6365">
        <w:rPr>
          <w:i/>
          <w:iCs/>
        </w:rPr>
        <w:t>Clostridium carboxidivorans</w:t>
      </w:r>
      <w:r w:rsidRPr="005B6365">
        <w:t xml:space="preserve"> producing acids and alcohols. AMB Expr, 9: 110. https://doi.org/10.1186/s13568</w:t>
      </w:r>
      <w:r w:rsidRPr="005B6365">
        <w:rPr>
          <w:rFonts w:ascii="Cambria Math" w:hAnsi="Cambria Math" w:cs="Cambria Math"/>
        </w:rPr>
        <w:t>‐</w:t>
      </w:r>
      <w:r w:rsidRPr="005B6365">
        <w:t>019</w:t>
      </w:r>
      <w:r w:rsidRPr="005B6365">
        <w:rPr>
          <w:rFonts w:ascii="Cambria Math" w:hAnsi="Cambria Math" w:cs="Cambria Math"/>
        </w:rPr>
        <w:t>‐</w:t>
      </w:r>
      <w:r w:rsidRPr="005B6365">
        <w:t>0837</w:t>
      </w:r>
      <w:r w:rsidRPr="005B6365">
        <w:rPr>
          <w:rFonts w:ascii="Cambria Math" w:hAnsi="Cambria Math" w:cs="Cambria Math"/>
        </w:rPr>
        <w:t>‐</w:t>
      </w:r>
      <w:r w:rsidRPr="005B6365">
        <w:t>y.</w:t>
      </w:r>
    </w:p>
    <w:p w14:paraId="5514C2B9" w14:textId="77777777" w:rsidR="002F09E8" w:rsidRPr="005B6365" w:rsidRDefault="002F09E8" w:rsidP="002C5FEA">
      <w:pPr>
        <w:pStyle w:val="CETReferencetext"/>
      </w:pPr>
      <w:r w:rsidRPr="005B6365">
        <w:t>Kennes D., Abubackar H.N., Diaz M., Veiga M.C., Kennes C.</w:t>
      </w:r>
      <w:r w:rsidR="00FF1C10" w:rsidRPr="005B6365">
        <w:t xml:space="preserve">, </w:t>
      </w:r>
      <w:r w:rsidRPr="005B6365">
        <w:t>2016. Bioethanol production from biomass: carbohydrate vs syngas fermentation. J Chem Technol Bioetchnol 91:304–317. https://doi.org/10.1002/jctb.4842.</w:t>
      </w:r>
    </w:p>
    <w:p w14:paraId="187F13F1" w14:textId="77777777" w:rsidR="003D6649" w:rsidRPr="005B6365" w:rsidRDefault="00A8080A" w:rsidP="003D6649">
      <w:pPr>
        <w:pStyle w:val="CETReferencetext"/>
        <w:rPr>
          <w:lang w:val="en-US"/>
        </w:rPr>
      </w:pPr>
      <w:r w:rsidRPr="005B6365">
        <w:rPr>
          <w:lang w:val="it-IT"/>
        </w:rPr>
        <w:t xml:space="preserve">Lanzillo F., Ruggiero G., Raganati F., Russo M.E., Marzocchella A., 2020. </w:t>
      </w:r>
      <w:r w:rsidRPr="005B6365">
        <w:rPr>
          <w:lang w:val="en-US"/>
        </w:rPr>
        <w:t xml:space="preserve">Batch syngas fermentation by </w:t>
      </w:r>
      <w:r w:rsidRPr="005B6365">
        <w:rPr>
          <w:i/>
          <w:iCs/>
          <w:lang w:val="en-US"/>
        </w:rPr>
        <w:t>Clostridium</w:t>
      </w:r>
      <w:r w:rsidRPr="005B6365">
        <w:rPr>
          <w:lang w:val="en-US"/>
        </w:rPr>
        <w:t xml:space="preserve"> </w:t>
      </w:r>
      <w:r w:rsidRPr="005B6365">
        <w:rPr>
          <w:i/>
          <w:iCs/>
          <w:lang w:val="en-US"/>
        </w:rPr>
        <w:t>carboxidivorans</w:t>
      </w:r>
      <w:r w:rsidRPr="005B6365">
        <w:rPr>
          <w:lang w:val="en-US"/>
        </w:rPr>
        <w:t xml:space="preserve"> for production of acids and alcohols. Processes 8:1075. </w:t>
      </w:r>
      <w:hyperlink r:id="rId14" w:history="1">
        <w:r w:rsidRPr="005B6365">
          <w:rPr>
            <w:rStyle w:val="Collegamentoipertestuale"/>
            <w:color w:val="auto"/>
            <w:u w:val="none"/>
            <w:lang w:val="en-US"/>
          </w:rPr>
          <w:t>https://doi.org/10.3390/pr8091075</w:t>
        </w:r>
      </w:hyperlink>
      <w:r w:rsidRPr="005B6365">
        <w:rPr>
          <w:lang w:val="en-US"/>
        </w:rPr>
        <w:t>.</w:t>
      </w:r>
    </w:p>
    <w:p w14:paraId="5E2CCB22" w14:textId="77777777" w:rsidR="003D6649" w:rsidRPr="005B6365" w:rsidRDefault="003D6649" w:rsidP="003D6649">
      <w:pPr>
        <w:pStyle w:val="CETReferencetext"/>
        <w:rPr>
          <w:rFonts w:cs="Arial"/>
          <w:szCs w:val="18"/>
          <w:lang w:val="en-US"/>
        </w:rPr>
      </w:pPr>
      <w:r w:rsidRPr="005B6365">
        <w:rPr>
          <w:rFonts w:eastAsiaTheme="minorHAnsi" w:cs="Arial"/>
          <w:szCs w:val="18"/>
          <w:lang w:val="en-US"/>
        </w:rPr>
        <w:t xml:space="preserve">Liou JSC, Balkwill DL, Drake GR, Tanner RS. 2005. </w:t>
      </w:r>
      <w:r w:rsidRPr="005B6365">
        <w:rPr>
          <w:rFonts w:eastAsiaTheme="minorHAnsi" w:cs="Arial"/>
          <w:i/>
          <w:szCs w:val="18"/>
          <w:lang w:val="en-US"/>
        </w:rPr>
        <w:t>Clostridium carboxidivorans</w:t>
      </w:r>
      <w:r w:rsidRPr="005B6365">
        <w:rPr>
          <w:rFonts w:eastAsiaTheme="minorHAnsi" w:cs="Arial"/>
          <w:szCs w:val="18"/>
          <w:lang w:val="en-US"/>
        </w:rPr>
        <w:t xml:space="preserve"> sp. nov., a solvent-producing clostridium isolated from an agricultural settling lagoon, and reclassification of the acetogen </w:t>
      </w:r>
      <w:r w:rsidRPr="005B6365">
        <w:rPr>
          <w:rFonts w:eastAsiaTheme="minorHAnsi" w:cs="Arial"/>
          <w:i/>
          <w:szCs w:val="18"/>
          <w:lang w:val="en-US"/>
        </w:rPr>
        <w:t>Clostridium scatologenes</w:t>
      </w:r>
      <w:r w:rsidRPr="005B6365">
        <w:rPr>
          <w:rFonts w:eastAsiaTheme="minorHAnsi" w:cs="Arial"/>
          <w:szCs w:val="18"/>
          <w:lang w:val="en-US"/>
        </w:rPr>
        <w:t xml:space="preserve"> strain SL1 as </w:t>
      </w:r>
      <w:r w:rsidRPr="005B6365">
        <w:rPr>
          <w:rFonts w:eastAsiaTheme="minorHAnsi" w:cs="Arial"/>
          <w:i/>
          <w:szCs w:val="18"/>
          <w:lang w:val="en-US"/>
        </w:rPr>
        <w:t>Clostridium drakei</w:t>
      </w:r>
      <w:r w:rsidRPr="005B6365">
        <w:rPr>
          <w:rFonts w:eastAsiaTheme="minorHAnsi" w:cs="Arial"/>
          <w:szCs w:val="18"/>
          <w:lang w:val="en-US"/>
        </w:rPr>
        <w:t xml:space="preserve"> sp. nov. Int J Syst Evol Microbiol 55:2085–2091.</w:t>
      </w:r>
    </w:p>
    <w:p w14:paraId="7779B53C" w14:textId="77777777" w:rsidR="003E3EEC" w:rsidRPr="005B6365" w:rsidRDefault="003E3EEC" w:rsidP="00A8080A">
      <w:pPr>
        <w:pStyle w:val="CETReferencetext"/>
        <w:rPr>
          <w:lang w:val="en-US"/>
        </w:rPr>
      </w:pPr>
      <w:r w:rsidRPr="005B6365">
        <w:rPr>
          <w:lang w:val="it-IT"/>
        </w:rPr>
        <w:t>Liberato V., Benevenuti C., Coelho F., Botelho A., Amaral, P., Pereira, N., Ferreira, T</w:t>
      </w:r>
      <w:r w:rsidR="00D51168" w:rsidRPr="005B6365">
        <w:rPr>
          <w:lang w:val="it-IT"/>
        </w:rPr>
        <w:t xml:space="preserve">., </w:t>
      </w:r>
      <w:r w:rsidRPr="005B6365">
        <w:rPr>
          <w:lang w:val="it-IT"/>
        </w:rPr>
        <w:t xml:space="preserve">2019. </w:t>
      </w:r>
      <w:r w:rsidRPr="005B6365">
        <w:t>Chemicals production in a biorefinery context. Catalysts, 9, 962. doi:10.3390/catal9110962</w:t>
      </w:r>
      <w:r w:rsidR="003D6649" w:rsidRPr="005B6365">
        <w:t>.</w:t>
      </w:r>
    </w:p>
    <w:p w14:paraId="132AAF7E" w14:textId="77777777" w:rsidR="008D6ECD" w:rsidRPr="005B6365" w:rsidRDefault="008D6ECD" w:rsidP="00276677">
      <w:pPr>
        <w:pStyle w:val="CETReferencetext"/>
      </w:pPr>
      <w:r w:rsidRPr="005B6365">
        <w:t>Ragsdale S.W., 2008. Acetogenesis and the Wood–Ljungdahl pathway of CO</w:t>
      </w:r>
      <w:r w:rsidRPr="005B6365">
        <w:rPr>
          <w:vertAlign w:val="subscript"/>
        </w:rPr>
        <w:t>2</w:t>
      </w:r>
      <w:r w:rsidRPr="005B6365">
        <w:t xml:space="preserve"> fixation. Biochimica et Biophysica Acta, 1784: 1873–1898. https://doi:10.1016/j.bbapap.2008.08.012.</w:t>
      </w:r>
    </w:p>
    <w:p w14:paraId="679B2F71" w14:textId="77777777" w:rsidR="003E3EEC" w:rsidRPr="005B6365" w:rsidRDefault="003E3EEC" w:rsidP="003E3EEC">
      <w:pPr>
        <w:pStyle w:val="CETReferencetext"/>
      </w:pPr>
      <w:r w:rsidRPr="005B6365">
        <w:t>Stoll K.I., Herbig S., Sauer J., Neumann A., Oswald F.</w:t>
      </w:r>
      <w:r w:rsidR="003F7D77" w:rsidRPr="005B6365">
        <w:t xml:space="preserve">, </w:t>
      </w:r>
      <w:r w:rsidRPr="005B6365">
        <w:t>2018. Fermentation of H</w:t>
      </w:r>
      <w:r w:rsidRPr="005B6365">
        <w:rPr>
          <w:vertAlign w:val="subscript"/>
        </w:rPr>
        <w:t>2</w:t>
      </w:r>
      <w:r w:rsidRPr="005B6365">
        <w:t xml:space="preserve"> and CO</w:t>
      </w:r>
      <w:r w:rsidRPr="005B6365">
        <w:rPr>
          <w:vertAlign w:val="subscript"/>
        </w:rPr>
        <w:t>2</w:t>
      </w:r>
      <w:r w:rsidRPr="005B6365">
        <w:t xml:space="preserve"> with </w:t>
      </w:r>
      <w:r w:rsidRPr="005B6365">
        <w:rPr>
          <w:i/>
          <w:iCs/>
        </w:rPr>
        <w:t>Clostridium ljungdahlii</w:t>
      </w:r>
      <w:r w:rsidRPr="005B6365">
        <w:t xml:space="preserve"> at Elevated Process Pressure – First Experimental Results. Chem. Eng. Trans, 64: 2–7. </w:t>
      </w:r>
      <w:hyperlink r:id="rId15" w:history="1">
        <w:r w:rsidRPr="005B6365">
          <w:rPr>
            <w:rStyle w:val="Collegamentoipertestuale"/>
            <w:color w:val="auto"/>
            <w:u w:val="none"/>
          </w:rPr>
          <w:t>https://doi.org/10.3303/CET1864026</w:t>
        </w:r>
      </w:hyperlink>
      <w:r w:rsidRPr="005B6365">
        <w:t>.</w:t>
      </w:r>
    </w:p>
    <w:p w14:paraId="4777E482" w14:textId="77777777" w:rsidR="004F6672" w:rsidRPr="005B6365" w:rsidRDefault="004F6672" w:rsidP="003E3EEC">
      <w:pPr>
        <w:pStyle w:val="CETReferencetext"/>
      </w:pPr>
      <w:r w:rsidRPr="005B6365">
        <w:t xml:space="preserve">Ukpong M.N., Atiyeh H.K., De Lorme M.J.M., Liu K., Zhu X., Tanner R.S., Wilkins M.R., Stevenson B.S. 2012. Physiological response of </w:t>
      </w:r>
      <w:r w:rsidRPr="005B6365">
        <w:rPr>
          <w:i/>
          <w:iCs/>
        </w:rPr>
        <w:t>Clostridium carboxidivorans</w:t>
      </w:r>
      <w:r w:rsidRPr="005B6365">
        <w:t xml:space="preserve"> during conversion of synthesis gas to solvents in a gas-fed bioreactor. Biotechnol Bioeng, 109: 2720–2728. https://doi.org/10.1002/bit.24549</w:t>
      </w:r>
      <w:r w:rsidR="003D6649" w:rsidRPr="005B6365">
        <w:t>.</w:t>
      </w:r>
    </w:p>
    <w:p w14:paraId="5D861CA0" w14:textId="77777777" w:rsidR="004628D2" w:rsidRDefault="002F09E8" w:rsidP="00EA0D04">
      <w:pPr>
        <w:pStyle w:val="CETReferencetext"/>
      </w:pPr>
      <w:r w:rsidRPr="005B6365">
        <w:t>Xu D., Tree D.R., Lewis R.S</w:t>
      </w:r>
      <w:r w:rsidR="00DA5755" w:rsidRPr="005B6365">
        <w:t xml:space="preserve">., </w:t>
      </w:r>
      <w:r w:rsidRPr="005B6365">
        <w:t xml:space="preserve">2011. The Effects of Syngas Impurities on Syngas Fermentation to Liquid Fuels. Biomass Bioenergy, 35, 2690–2696. </w:t>
      </w:r>
      <w:proofErr w:type="gramStart"/>
      <w:r w:rsidRPr="005B6365">
        <w:t>doi:10.1016/j.biombioe</w:t>
      </w:r>
      <w:proofErr w:type="gramEnd"/>
      <w:r w:rsidRPr="005B6365">
        <w:t>.2011.03.005</w:t>
      </w:r>
      <w:r w:rsidR="005B6365">
        <w:t>.</w:t>
      </w:r>
    </w:p>
    <w:sectPr w:rsidR="004628D2" w:rsidSect="001B45F8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4DAC" w14:textId="77777777" w:rsidR="001B45F8" w:rsidRDefault="001B45F8" w:rsidP="004F5E36">
      <w:r>
        <w:separator/>
      </w:r>
    </w:p>
  </w:endnote>
  <w:endnote w:type="continuationSeparator" w:id="0">
    <w:p w14:paraId="127FB696" w14:textId="77777777" w:rsidR="001B45F8" w:rsidRDefault="001B45F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P6960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97D0" w14:textId="77777777" w:rsidR="001B45F8" w:rsidRDefault="001B45F8" w:rsidP="004F5E36">
      <w:r>
        <w:separator/>
      </w:r>
    </w:p>
  </w:footnote>
  <w:footnote w:type="continuationSeparator" w:id="0">
    <w:p w14:paraId="27236A50" w14:textId="77777777" w:rsidR="001B45F8" w:rsidRDefault="001B45F8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447BC"/>
    <w:multiLevelType w:val="hybridMultilevel"/>
    <w:tmpl w:val="372E6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53245">
    <w:abstractNumId w:val="10"/>
  </w:num>
  <w:num w:numId="2" w16cid:durableId="446706213">
    <w:abstractNumId w:val="8"/>
  </w:num>
  <w:num w:numId="3" w16cid:durableId="2036542084">
    <w:abstractNumId w:val="3"/>
  </w:num>
  <w:num w:numId="4" w16cid:durableId="963077428">
    <w:abstractNumId w:val="2"/>
  </w:num>
  <w:num w:numId="5" w16cid:durableId="1029140181">
    <w:abstractNumId w:val="1"/>
  </w:num>
  <w:num w:numId="6" w16cid:durableId="975375266">
    <w:abstractNumId w:val="0"/>
  </w:num>
  <w:num w:numId="7" w16cid:durableId="1855728911">
    <w:abstractNumId w:val="9"/>
  </w:num>
  <w:num w:numId="8" w16cid:durableId="1579823297">
    <w:abstractNumId w:val="7"/>
  </w:num>
  <w:num w:numId="9" w16cid:durableId="737361253">
    <w:abstractNumId w:val="6"/>
  </w:num>
  <w:num w:numId="10" w16cid:durableId="1146048210">
    <w:abstractNumId w:val="5"/>
  </w:num>
  <w:num w:numId="11" w16cid:durableId="622688722">
    <w:abstractNumId w:val="4"/>
  </w:num>
  <w:num w:numId="12" w16cid:durableId="1603606639">
    <w:abstractNumId w:val="18"/>
  </w:num>
  <w:num w:numId="13" w16cid:durableId="559708699">
    <w:abstractNumId w:val="13"/>
  </w:num>
  <w:num w:numId="14" w16cid:durableId="1142962970">
    <w:abstractNumId w:val="19"/>
  </w:num>
  <w:num w:numId="15" w16cid:durableId="388573878">
    <w:abstractNumId w:val="22"/>
  </w:num>
  <w:num w:numId="16" w16cid:durableId="142620234">
    <w:abstractNumId w:val="21"/>
  </w:num>
  <w:num w:numId="17" w16cid:durableId="120005171">
    <w:abstractNumId w:val="12"/>
  </w:num>
  <w:num w:numId="18" w16cid:durableId="1488790686">
    <w:abstractNumId w:val="13"/>
    <w:lvlOverride w:ilvl="0">
      <w:startOverride w:val="1"/>
    </w:lvlOverride>
  </w:num>
  <w:num w:numId="19" w16cid:durableId="618535295">
    <w:abstractNumId w:val="17"/>
  </w:num>
  <w:num w:numId="20" w16cid:durableId="1079785775">
    <w:abstractNumId w:val="16"/>
  </w:num>
  <w:num w:numId="21" w16cid:durableId="2037390635">
    <w:abstractNumId w:val="15"/>
  </w:num>
  <w:num w:numId="22" w16cid:durableId="1411194752">
    <w:abstractNumId w:val="14"/>
  </w:num>
  <w:num w:numId="23" w16cid:durableId="1287274395">
    <w:abstractNumId w:val="20"/>
  </w:num>
  <w:num w:numId="24" w16cid:durableId="797261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E62"/>
    <w:rsid w:val="00001BCD"/>
    <w:rsid w:val="000027C0"/>
    <w:rsid w:val="000052FB"/>
    <w:rsid w:val="00005544"/>
    <w:rsid w:val="00005919"/>
    <w:rsid w:val="00005DAA"/>
    <w:rsid w:val="00006C36"/>
    <w:rsid w:val="00011061"/>
    <w:rsid w:val="000117CB"/>
    <w:rsid w:val="00011FA5"/>
    <w:rsid w:val="00012D3D"/>
    <w:rsid w:val="00014538"/>
    <w:rsid w:val="00016F79"/>
    <w:rsid w:val="00017EF7"/>
    <w:rsid w:val="00024165"/>
    <w:rsid w:val="00025470"/>
    <w:rsid w:val="0002591E"/>
    <w:rsid w:val="00025D8B"/>
    <w:rsid w:val="0002752A"/>
    <w:rsid w:val="00030011"/>
    <w:rsid w:val="0003148D"/>
    <w:rsid w:val="00031EEC"/>
    <w:rsid w:val="00032316"/>
    <w:rsid w:val="00032754"/>
    <w:rsid w:val="00032B95"/>
    <w:rsid w:val="00034846"/>
    <w:rsid w:val="00042CD6"/>
    <w:rsid w:val="000438BC"/>
    <w:rsid w:val="0004443C"/>
    <w:rsid w:val="000445BF"/>
    <w:rsid w:val="0004508F"/>
    <w:rsid w:val="00051566"/>
    <w:rsid w:val="00052A04"/>
    <w:rsid w:val="00052AB3"/>
    <w:rsid w:val="00053AFC"/>
    <w:rsid w:val="00053CCB"/>
    <w:rsid w:val="0005410D"/>
    <w:rsid w:val="00054E2B"/>
    <w:rsid w:val="000562A9"/>
    <w:rsid w:val="00060C43"/>
    <w:rsid w:val="0006128C"/>
    <w:rsid w:val="00061AFC"/>
    <w:rsid w:val="00062A9A"/>
    <w:rsid w:val="00064E3C"/>
    <w:rsid w:val="00065058"/>
    <w:rsid w:val="00071D9B"/>
    <w:rsid w:val="00073D0A"/>
    <w:rsid w:val="00074BBD"/>
    <w:rsid w:val="00075AE8"/>
    <w:rsid w:val="00083084"/>
    <w:rsid w:val="000850C8"/>
    <w:rsid w:val="00086C39"/>
    <w:rsid w:val="00090985"/>
    <w:rsid w:val="00091DE6"/>
    <w:rsid w:val="0009250F"/>
    <w:rsid w:val="000969DA"/>
    <w:rsid w:val="000A03B2"/>
    <w:rsid w:val="000A3C57"/>
    <w:rsid w:val="000A4EB0"/>
    <w:rsid w:val="000A71F6"/>
    <w:rsid w:val="000A774A"/>
    <w:rsid w:val="000B16AE"/>
    <w:rsid w:val="000B2590"/>
    <w:rsid w:val="000B4547"/>
    <w:rsid w:val="000C1BE4"/>
    <w:rsid w:val="000C4170"/>
    <w:rsid w:val="000C48D0"/>
    <w:rsid w:val="000D0268"/>
    <w:rsid w:val="000D0EA3"/>
    <w:rsid w:val="000D34BE"/>
    <w:rsid w:val="000E102F"/>
    <w:rsid w:val="000E1995"/>
    <w:rsid w:val="000E3096"/>
    <w:rsid w:val="000E36F1"/>
    <w:rsid w:val="000E3A73"/>
    <w:rsid w:val="000E414A"/>
    <w:rsid w:val="000E433E"/>
    <w:rsid w:val="000F093C"/>
    <w:rsid w:val="000F118D"/>
    <w:rsid w:val="000F3C8C"/>
    <w:rsid w:val="000F5DAE"/>
    <w:rsid w:val="000F787B"/>
    <w:rsid w:val="00102BCF"/>
    <w:rsid w:val="001105EA"/>
    <w:rsid w:val="0011083B"/>
    <w:rsid w:val="00113186"/>
    <w:rsid w:val="00117FA4"/>
    <w:rsid w:val="0012091F"/>
    <w:rsid w:val="00121F8D"/>
    <w:rsid w:val="00126BC2"/>
    <w:rsid w:val="001273C2"/>
    <w:rsid w:val="00127E7D"/>
    <w:rsid w:val="001308B6"/>
    <w:rsid w:val="0013121F"/>
    <w:rsid w:val="00131FE6"/>
    <w:rsid w:val="0013263F"/>
    <w:rsid w:val="001331DF"/>
    <w:rsid w:val="00133532"/>
    <w:rsid w:val="00133BC3"/>
    <w:rsid w:val="00134DE4"/>
    <w:rsid w:val="001356F1"/>
    <w:rsid w:val="00136A65"/>
    <w:rsid w:val="0014034D"/>
    <w:rsid w:val="00141172"/>
    <w:rsid w:val="0014425C"/>
    <w:rsid w:val="00144D16"/>
    <w:rsid w:val="00146203"/>
    <w:rsid w:val="00150E59"/>
    <w:rsid w:val="00152DE3"/>
    <w:rsid w:val="00152F68"/>
    <w:rsid w:val="00154F0E"/>
    <w:rsid w:val="00156F74"/>
    <w:rsid w:val="001603B2"/>
    <w:rsid w:val="00160E90"/>
    <w:rsid w:val="00161D4E"/>
    <w:rsid w:val="00164CF9"/>
    <w:rsid w:val="0016595D"/>
    <w:rsid w:val="001667A6"/>
    <w:rsid w:val="001726D1"/>
    <w:rsid w:val="00174C99"/>
    <w:rsid w:val="00174EA8"/>
    <w:rsid w:val="00177D71"/>
    <w:rsid w:val="00180ED0"/>
    <w:rsid w:val="00184AD6"/>
    <w:rsid w:val="00184C62"/>
    <w:rsid w:val="0018742F"/>
    <w:rsid w:val="00191C88"/>
    <w:rsid w:val="0019427A"/>
    <w:rsid w:val="0019464D"/>
    <w:rsid w:val="0019528A"/>
    <w:rsid w:val="001A3827"/>
    <w:rsid w:val="001A4AF7"/>
    <w:rsid w:val="001B0349"/>
    <w:rsid w:val="001B1E93"/>
    <w:rsid w:val="001B2C1B"/>
    <w:rsid w:val="001B45F8"/>
    <w:rsid w:val="001B65C1"/>
    <w:rsid w:val="001C2872"/>
    <w:rsid w:val="001C684B"/>
    <w:rsid w:val="001C6AAC"/>
    <w:rsid w:val="001D07C2"/>
    <w:rsid w:val="001D0CFB"/>
    <w:rsid w:val="001D21AF"/>
    <w:rsid w:val="001D280A"/>
    <w:rsid w:val="001D53FC"/>
    <w:rsid w:val="001D658A"/>
    <w:rsid w:val="001E30EA"/>
    <w:rsid w:val="001E46BE"/>
    <w:rsid w:val="001E5C6A"/>
    <w:rsid w:val="001E6033"/>
    <w:rsid w:val="001E68AC"/>
    <w:rsid w:val="001E748C"/>
    <w:rsid w:val="001F091A"/>
    <w:rsid w:val="001F42A5"/>
    <w:rsid w:val="001F7B9D"/>
    <w:rsid w:val="00201C93"/>
    <w:rsid w:val="00201E5E"/>
    <w:rsid w:val="00204206"/>
    <w:rsid w:val="00205D08"/>
    <w:rsid w:val="002071FA"/>
    <w:rsid w:val="00212034"/>
    <w:rsid w:val="00213D86"/>
    <w:rsid w:val="002224B4"/>
    <w:rsid w:val="00223E70"/>
    <w:rsid w:val="002334F2"/>
    <w:rsid w:val="00234634"/>
    <w:rsid w:val="00234B25"/>
    <w:rsid w:val="00236777"/>
    <w:rsid w:val="00240162"/>
    <w:rsid w:val="002416C7"/>
    <w:rsid w:val="00241BA1"/>
    <w:rsid w:val="00243C7B"/>
    <w:rsid w:val="00244350"/>
    <w:rsid w:val="002447EF"/>
    <w:rsid w:val="00245E44"/>
    <w:rsid w:val="00251550"/>
    <w:rsid w:val="00255200"/>
    <w:rsid w:val="00257234"/>
    <w:rsid w:val="0026152C"/>
    <w:rsid w:val="00263B05"/>
    <w:rsid w:val="00265724"/>
    <w:rsid w:val="0027221A"/>
    <w:rsid w:val="002726CF"/>
    <w:rsid w:val="00272A8B"/>
    <w:rsid w:val="00274856"/>
    <w:rsid w:val="00275B61"/>
    <w:rsid w:val="00276276"/>
    <w:rsid w:val="00276677"/>
    <w:rsid w:val="00280A9D"/>
    <w:rsid w:val="00280E8A"/>
    <w:rsid w:val="00280FAF"/>
    <w:rsid w:val="00281536"/>
    <w:rsid w:val="00282656"/>
    <w:rsid w:val="00286893"/>
    <w:rsid w:val="00287A8F"/>
    <w:rsid w:val="0029062C"/>
    <w:rsid w:val="00291E14"/>
    <w:rsid w:val="00294E36"/>
    <w:rsid w:val="00295614"/>
    <w:rsid w:val="00296B83"/>
    <w:rsid w:val="002A2CDC"/>
    <w:rsid w:val="002A5B06"/>
    <w:rsid w:val="002A744B"/>
    <w:rsid w:val="002B37D6"/>
    <w:rsid w:val="002B4015"/>
    <w:rsid w:val="002B78CE"/>
    <w:rsid w:val="002C04E1"/>
    <w:rsid w:val="002C27E9"/>
    <w:rsid w:val="002C2FB6"/>
    <w:rsid w:val="002C5FEA"/>
    <w:rsid w:val="002C6C8A"/>
    <w:rsid w:val="002C718C"/>
    <w:rsid w:val="002D1D6B"/>
    <w:rsid w:val="002D2FD2"/>
    <w:rsid w:val="002D37AF"/>
    <w:rsid w:val="002D6FDC"/>
    <w:rsid w:val="002D71B9"/>
    <w:rsid w:val="002E0FFE"/>
    <w:rsid w:val="002E33A9"/>
    <w:rsid w:val="002E5119"/>
    <w:rsid w:val="002E55B7"/>
    <w:rsid w:val="002E5FA7"/>
    <w:rsid w:val="002F09E8"/>
    <w:rsid w:val="002F28A5"/>
    <w:rsid w:val="002F30F2"/>
    <w:rsid w:val="002F3309"/>
    <w:rsid w:val="002F3451"/>
    <w:rsid w:val="002F41F1"/>
    <w:rsid w:val="002F6EF6"/>
    <w:rsid w:val="003008CE"/>
    <w:rsid w:val="003009B7"/>
    <w:rsid w:val="00300E56"/>
    <w:rsid w:val="00300E68"/>
    <w:rsid w:val="0030152C"/>
    <w:rsid w:val="00302478"/>
    <w:rsid w:val="00302DEF"/>
    <w:rsid w:val="003043AC"/>
    <w:rsid w:val="0030469C"/>
    <w:rsid w:val="00305027"/>
    <w:rsid w:val="003055C6"/>
    <w:rsid w:val="00305727"/>
    <w:rsid w:val="00306866"/>
    <w:rsid w:val="00306CEF"/>
    <w:rsid w:val="00310F75"/>
    <w:rsid w:val="003203E1"/>
    <w:rsid w:val="00321CA6"/>
    <w:rsid w:val="003231C2"/>
    <w:rsid w:val="00323763"/>
    <w:rsid w:val="00323A06"/>
    <w:rsid w:val="00323C5F"/>
    <w:rsid w:val="00324285"/>
    <w:rsid w:val="0032484B"/>
    <w:rsid w:val="00324CCB"/>
    <w:rsid w:val="0032572D"/>
    <w:rsid w:val="00325A12"/>
    <w:rsid w:val="00327735"/>
    <w:rsid w:val="00330C0C"/>
    <w:rsid w:val="00334C09"/>
    <w:rsid w:val="003473BE"/>
    <w:rsid w:val="00350563"/>
    <w:rsid w:val="00351531"/>
    <w:rsid w:val="00354274"/>
    <w:rsid w:val="0035598D"/>
    <w:rsid w:val="0037008F"/>
    <w:rsid w:val="003702C7"/>
    <w:rsid w:val="003723D4"/>
    <w:rsid w:val="0037365C"/>
    <w:rsid w:val="00375EB5"/>
    <w:rsid w:val="00376A88"/>
    <w:rsid w:val="0037762E"/>
    <w:rsid w:val="00380EB0"/>
    <w:rsid w:val="00381905"/>
    <w:rsid w:val="00384CC8"/>
    <w:rsid w:val="003871FD"/>
    <w:rsid w:val="00391A5C"/>
    <w:rsid w:val="0039359C"/>
    <w:rsid w:val="003A037A"/>
    <w:rsid w:val="003A1E30"/>
    <w:rsid w:val="003A2829"/>
    <w:rsid w:val="003A4301"/>
    <w:rsid w:val="003A4670"/>
    <w:rsid w:val="003A5C49"/>
    <w:rsid w:val="003A62F8"/>
    <w:rsid w:val="003A6FC6"/>
    <w:rsid w:val="003A7D1C"/>
    <w:rsid w:val="003B1053"/>
    <w:rsid w:val="003B24FD"/>
    <w:rsid w:val="003B304B"/>
    <w:rsid w:val="003B3146"/>
    <w:rsid w:val="003C4F41"/>
    <w:rsid w:val="003C5E8C"/>
    <w:rsid w:val="003C6285"/>
    <w:rsid w:val="003D16CD"/>
    <w:rsid w:val="003D2615"/>
    <w:rsid w:val="003D326C"/>
    <w:rsid w:val="003D3AF5"/>
    <w:rsid w:val="003D6649"/>
    <w:rsid w:val="003E06DD"/>
    <w:rsid w:val="003E2B77"/>
    <w:rsid w:val="003E3498"/>
    <w:rsid w:val="003E3EEC"/>
    <w:rsid w:val="003E7569"/>
    <w:rsid w:val="003F015E"/>
    <w:rsid w:val="003F02FD"/>
    <w:rsid w:val="003F119A"/>
    <w:rsid w:val="003F13A1"/>
    <w:rsid w:val="003F26E0"/>
    <w:rsid w:val="003F297D"/>
    <w:rsid w:val="003F6305"/>
    <w:rsid w:val="003F64D0"/>
    <w:rsid w:val="003F7D77"/>
    <w:rsid w:val="00400414"/>
    <w:rsid w:val="00401011"/>
    <w:rsid w:val="0040287C"/>
    <w:rsid w:val="004066C6"/>
    <w:rsid w:val="004126C5"/>
    <w:rsid w:val="00412D90"/>
    <w:rsid w:val="0041446B"/>
    <w:rsid w:val="0041467A"/>
    <w:rsid w:val="0041505F"/>
    <w:rsid w:val="00423E19"/>
    <w:rsid w:val="00424E21"/>
    <w:rsid w:val="0042618B"/>
    <w:rsid w:val="004261EF"/>
    <w:rsid w:val="004308F7"/>
    <w:rsid w:val="00436981"/>
    <w:rsid w:val="00437919"/>
    <w:rsid w:val="00437D58"/>
    <w:rsid w:val="0044071E"/>
    <w:rsid w:val="004424D3"/>
    <w:rsid w:val="0044329C"/>
    <w:rsid w:val="00443AF9"/>
    <w:rsid w:val="00453C32"/>
    <w:rsid w:val="00453E24"/>
    <w:rsid w:val="00454338"/>
    <w:rsid w:val="00456154"/>
    <w:rsid w:val="004573B6"/>
    <w:rsid w:val="00457456"/>
    <w:rsid w:val="004577FE"/>
    <w:rsid w:val="00457B9C"/>
    <w:rsid w:val="0046164A"/>
    <w:rsid w:val="00462484"/>
    <w:rsid w:val="004628D2"/>
    <w:rsid w:val="00462DCD"/>
    <w:rsid w:val="004648AD"/>
    <w:rsid w:val="00465997"/>
    <w:rsid w:val="00466B84"/>
    <w:rsid w:val="00467642"/>
    <w:rsid w:val="00467E1A"/>
    <w:rsid w:val="004703A9"/>
    <w:rsid w:val="004738C4"/>
    <w:rsid w:val="00475809"/>
    <w:rsid w:val="00475982"/>
    <w:rsid w:val="004760DE"/>
    <w:rsid w:val="004761E9"/>
    <w:rsid w:val="004763D7"/>
    <w:rsid w:val="00480F9A"/>
    <w:rsid w:val="0048184F"/>
    <w:rsid w:val="0048226D"/>
    <w:rsid w:val="0049532F"/>
    <w:rsid w:val="004A004E"/>
    <w:rsid w:val="004A0ADA"/>
    <w:rsid w:val="004A24CF"/>
    <w:rsid w:val="004A2B13"/>
    <w:rsid w:val="004A32E2"/>
    <w:rsid w:val="004A539B"/>
    <w:rsid w:val="004A76D0"/>
    <w:rsid w:val="004B0BEE"/>
    <w:rsid w:val="004B1535"/>
    <w:rsid w:val="004B18E4"/>
    <w:rsid w:val="004B374F"/>
    <w:rsid w:val="004B446E"/>
    <w:rsid w:val="004C09C7"/>
    <w:rsid w:val="004C17A0"/>
    <w:rsid w:val="004C1984"/>
    <w:rsid w:val="004C3D1D"/>
    <w:rsid w:val="004C3D84"/>
    <w:rsid w:val="004C7913"/>
    <w:rsid w:val="004D0BBD"/>
    <w:rsid w:val="004D1A31"/>
    <w:rsid w:val="004D1A40"/>
    <w:rsid w:val="004D5D66"/>
    <w:rsid w:val="004D693E"/>
    <w:rsid w:val="004D7EB7"/>
    <w:rsid w:val="004E06A4"/>
    <w:rsid w:val="004E0C72"/>
    <w:rsid w:val="004E1E00"/>
    <w:rsid w:val="004E3581"/>
    <w:rsid w:val="004E4DD6"/>
    <w:rsid w:val="004F017C"/>
    <w:rsid w:val="004F0663"/>
    <w:rsid w:val="004F2A81"/>
    <w:rsid w:val="004F5E36"/>
    <w:rsid w:val="004F6672"/>
    <w:rsid w:val="0050038D"/>
    <w:rsid w:val="00501460"/>
    <w:rsid w:val="00505FF7"/>
    <w:rsid w:val="005064F2"/>
    <w:rsid w:val="00507B47"/>
    <w:rsid w:val="00507BEF"/>
    <w:rsid w:val="00507CC9"/>
    <w:rsid w:val="005119A5"/>
    <w:rsid w:val="005135A2"/>
    <w:rsid w:val="00516AAC"/>
    <w:rsid w:val="00521A7B"/>
    <w:rsid w:val="00523B0A"/>
    <w:rsid w:val="00524967"/>
    <w:rsid w:val="005278B7"/>
    <w:rsid w:val="00532016"/>
    <w:rsid w:val="005323D3"/>
    <w:rsid w:val="00532B5C"/>
    <w:rsid w:val="005335AA"/>
    <w:rsid w:val="005346C8"/>
    <w:rsid w:val="00540079"/>
    <w:rsid w:val="005409AB"/>
    <w:rsid w:val="00541D67"/>
    <w:rsid w:val="00541F73"/>
    <w:rsid w:val="00543393"/>
    <w:rsid w:val="00543E7D"/>
    <w:rsid w:val="00545FC7"/>
    <w:rsid w:val="00547A68"/>
    <w:rsid w:val="005531C9"/>
    <w:rsid w:val="005558CB"/>
    <w:rsid w:val="00556F9F"/>
    <w:rsid w:val="00557884"/>
    <w:rsid w:val="00570C43"/>
    <w:rsid w:val="00571297"/>
    <w:rsid w:val="005747C3"/>
    <w:rsid w:val="00581EE7"/>
    <w:rsid w:val="00583BE1"/>
    <w:rsid w:val="005B2110"/>
    <w:rsid w:val="005B395E"/>
    <w:rsid w:val="005B61E6"/>
    <w:rsid w:val="005B6365"/>
    <w:rsid w:val="005B695F"/>
    <w:rsid w:val="005C2458"/>
    <w:rsid w:val="005C77E1"/>
    <w:rsid w:val="005D0543"/>
    <w:rsid w:val="005D3DA3"/>
    <w:rsid w:val="005D5D73"/>
    <w:rsid w:val="005D668A"/>
    <w:rsid w:val="005D6A2F"/>
    <w:rsid w:val="005E1A82"/>
    <w:rsid w:val="005E2280"/>
    <w:rsid w:val="005E794C"/>
    <w:rsid w:val="005F0A28"/>
    <w:rsid w:val="005F0E5E"/>
    <w:rsid w:val="005F23B5"/>
    <w:rsid w:val="005F61DA"/>
    <w:rsid w:val="0060052A"/>
    <w:rsid w:val="00600535"/>
    <w:rsid w:val="00602417"/>
    <w:rsid w:val="00610920"/>
    <w:rsid w:val="00610CD6"/>
    <w:rsid w:val="00613A8F"/>
    <w:rsid w:val="00617C9E"/>
    <w:rsid w:val="00620DEE"/>
    <w:rsid w:val="00621F92"/>
    <w:rsid w:val="0062280A"/>
    <w:rsid w:val="00625639"/>
    <w:rsid w:val="0062579F"/>
    <w:rsid w:val="00631B33"/>
    <w:rsid w:val="00634004"/>
    <w:rsid w:val="006369E6"/>
    <w:rsid w:val="0064184D"/>
    <w:rsid w:val="006422CC"/>
    <w:rsid w:val="00642A3E"/>
    <w:rsid w:val="006450EA"/>
    <w:rsid w:val="00653515"/>
    <w:rsid w:val="00653BB9"/>
    <w:rsid w:val="00656F0B"/>
    <w:rsid w:val="00660E3E"/>
    <w:rsid w:val="00661EFF"/>
    <w:rsid w:val="00662E74"/>
    <w:rsid w:val="006739D2"/>
    <w:rsid w:val="00674991"/>
    <w:rsid w:val="00676DE6"/>
    <w:rsid w:val="00680C23"/>
    <w:rsid w:val="00682742"/>
    <w:rsid w:val="0068367D"/>
    <w:rsid w:val="00684CEF"/>
    <w:rsid w:val="00692AD6"/>
    <w:rsid w:val="00693766"/>
    <w:rsid w:val="00694AA2"/>
    <w:rsid w:val="006A1F52"/>
    <w:rsid w:val="006A3281"/>
    <w:rsid w:val="006B4416"/>
    <w:rsid w:val="006B4888"/>
    <w:rsid w:val="006B61A9"/>
    <w:rsid w:val="006C0F57"/>
    <w:rsid w:val="006C2B7C"/>
    <w:rsid w:val="006C2E45"/>
    <w:rsid w:val="006C359C"/>
    <w:rsid w:val="006C3874"/>
    <w:rsid w:val="006C4E43"/>
    <w:rsid w:val="006C5579"/>
    <w:rsid w:val="006C5B14"/>
    <w:rsid w:val="006D09E5"/>
    <w:rsid w:val="006D1B39"/>
    <w:rsid w:val="006D6E8B"/>
    <w:rsid w:val="006E236C"/>
    <w:rsid w:val="006E5053"/>
    <w:rsid w:val="006E737D"/>
    <w:rsid w:val="006F1499"/>
    <w:rsid w:val="006F165C"/>
    <w:rsid w:val="006F7AB5"/>
    <w:rsid w:val="00700878"/>
    <w:rsid w:val="007008B8"/>
    <w:rsid w:val="00701EF4"/>
    <w:rsid w:val="007021E6"/>
    <w:rsid w:val="007027C2"/>
    <w:rsid w:val="00702962"/>
    <w:rsid w:val="00702D70"/>
    <w:rsid w:val="00704B6F"/>
    <w:rsid w:val="00707C2B"/>
    <w:rsid w:val="0071169B"/>
    <w:rsid w:val="0071220F"/>
    <w:rsid w:val="007124F6"/>
    <w:rsid w:val="00713973"/>
    <w:rsid w:val="007165EC"/>
    <w:rsid w:val="00720A24"/>
    <w:rsid w:val="00723169"/>
    <w:rsid w:val="007231CB"/>
    <w:rsid w:val="00723DBA"/>
    <w:rsid w:val="0072556B"/>
    <w:rsid w:val="00725D45"/>
    <w:rsid w:val="00732386"/>
    <w:rsid w:val="00732C99"/>
    <w:rsid w:val="0073514D"/>
    <w:rsid w:val="007447F3"/>
    <w:rsid w:val="00744B2A"/>
    <w:rsid w:val="00745A04"/>
    <w:rsid w:val="00746170"/>
    <w:rsid w:val="00751484"/>
    <w:rsid w:val="007515C0"/>
    <w:rsid w:val="00751D26"/>
    <w:rsid w:val="0075499F"/>
    <w:rsid w:val="00755B0F"/>
    <w:rsid w:val="007614CA"/>
    <w:rsid w:val="00761550"/>
    <w:rsid w:val="00763015"/>
    <w:rsid w:val="00763435"/>
    <w:rsid w:val="007643AF"/>
    <w:rsid w:val="007661C8"/>
    <w:rsid w:val="007665A9"/>
    <w:rsid w:val="00766684"/>
    <w:rsid w:val="007668CA"/>
    <w:rsid w:val="00766C4D"/>
    <w:rsid w:val="00766E3C"/>
    <w:rsid w:val="00766F16"/>
    <w:rsid w:val="00767DFE"/>
    <w:rsid w:val="0077098D"/>
    <w:rsid w:val="00770A25"/>
    <w:rsid w:val="00770A53"/>
    <w:rsid w:val="007723CC"/>
    <w:rsid w:val="00773B3E"/>
    <w:rsid w:val="007860CF"/>
    <w:rsid w:val="00790EA3"/>
    <w:rsid w:val="00791705"/>
    <w:rsid w:val="00792CF0"/>
    <w:rsid w:val="007931FA"/>
    <w:rsid w:val="007940DC"/>
    <w:rsid w:val="00797C5E"/>
    <w:rsid w:val="00797F6A"/>
    <w:rsid w:val="007A2172"/>
    <w:rsid w:val="007A2443"/>
    <w:rsid w:val="007A287E"/>
    <w:rsid w:val="007A347F"/>
    <w:rsid w:val="007A4861"/>
    <w:rsid w:val="007A4F2C"/>
    <w:rsid w:val="007A7A8D"/>
    <w:rsid w:val="007A7BBA"/>
    <w:rsid w:val="007B0C50"/>
    <w:rsid w:val="007B1072"/>
    <w:rsid w:val="007B14DE"/>
    <w:rsid w:val="007B20F8"/>
    <w:rsid w:val="007B3E5B"/>
    <w:rsid w:val="007B48F9"/>
    <w:rsid w:val="007B6E90"/>
    <w:rsid w:val="007B74D4"/>
    <w:rsid w:val="007C03B7"/>
    <w:rsid w:val="007C082E"/>
    <w:rsid w:val="007C1A43"/>
    <w:rsid w:val="007C2E73"/>
    <w:rsid w:val="007C446B"/>
    <w:rsid w:val="007C737E"/>
    <w:rsid w:val="007C79B9"/>
    <w:rsid w:val="007D0951"/>
    <w:rsid w:val="007D0CB6"/>
    <w:rsid w:val="007D1041"/>
    <w:rsid w:val="007D1FE1"/>
    <w:rsid w:val="007D415F"/>
    <w:rsid w:val="007D67DD"/>
    <w:rsid w:val="007E1C85"/>
    <w:rsid w:val="007E59AD"/>
    <w:rsid w:val="007E647A"/>
    <w:rsid w:val="007E68DE"/>
    <w:rsid w:val="007E69A3"/>
    <w:rsid w:val="007E6C72"/>
    <w:rsid w:val="007E725A"/>
    <w:rsid w:val="007F0FEE"/>
    <w:rsid w:val="007F15DD"/>
    <w:rsid w:val="007F2A21"/>
    <w:rsid w:val="007F5876"/>
    <w:rsid w:val="0080013E"/>
    <w:rsid w:val="008002B2"/>
    <w:rsid w:val="00802F15"/>
    <w:rsid w:val="00804E8E"/>
    <w:rsid w:val="00804F2F"/>
    <w:rsid w:val="00804FFE"/>
    <w:rsid w:val="00806EC2"/>
    <w:rsid w:val="008078F8"/>
    <w:rsid w:val="0081065A"/>
    <w:rsid w:val="008109A9"/>
    <w:rsid w:val="00810E10"/>
    <w:rsid w:val="00812943"/>
    <w:rsid w:val="00813288"/>
    <w:rsid w:val="00814248"/>
    <w:rsid w:val="008159AC"/>
    <w:rsid w:val="008168FC"/>
    <w:rsid w:val="008169B6"/>
    <w:rsid w:val="008205D7"/>
    <w:rsid w:val="0082310B"/>
    <w:rsid w:val="00823FBB"/>
    <w:rsid w:val="00824999"/>
    <w:rsid w:val="00826F83"/>
    <w:rsid w:val="00830996"/>
    <w:rsid w:val="008314B5"/>
    <w:rsid w:val="008319A3"/>
    <w:rsid w:val="008345F1"/>
    <w:rsid w:val="00843EAC"/>
    <w:rsid w:val="008445B1"/>
    <w:rsid w:val="00845797"/>
    <w:rsid w:val="00845B66"/>
    <w:rsid w:val="008572B3"/>
    <w:rsid w:val="00862DDC"/>
    <w:rsid w:val="00863B47"/>
    <w:rsid w:val="00865B07"/>
    <w:rsid w:val="008667EA"/>
    <w:rsid w:val="00867FC9"/>
    <w:rsid w:val="0087056B"/>
    <w:rsid w:val="00870B85"/>
    <w:rsid w:val="00872CBF"/>
    <w:rsid w:val="008735D2"/>
    <w:rsid w:val="00873AC7"/>
    <w:rsid w:val="0087513B"/>
    <w:rsid w:val="0087637F"/>
    <w:rsid w:val="008764D5"/>
    <w:rsid w:val="008779AB"/>
    <w:rsid w:val="00880723"/>
    <w:rsid w:val="00882B49"/>
    <w:rsid w:val="00886508"/>
    <w:rsid w:val="00892AD5"/>
    <w:rsid w:val="00893A89"/>
    <w:rsid w:val="00896E74"/>
    <w:rsid w:val="00897344"/>
    <w:rsid w:val="008A1512"/>
    <w:rsid w:val="008A2830"/>
    <w:rsid w:val="008A72CD"/>
    <w:rsid w:val="008B48EB"/>
    <w:rsid w:val="008B6012"/>
    <w:rsid w:val="008B781E"/>
    <w:rsid w:val="008B7C03"/>
    <w:rsid w:val="008C0BBE"/>
    <w:rsid w:val="008C57CD"/>
    <w:rsid w:val="008C6E23"/>
    <w:rsid w:val="008D206C"/>
    <w:rsid w:val="008D278A"/>
    <w:rsid w:val="008D32B9"/>
    <w:rsid w:val="008D433B"/>
    <w:rsid w:val="008D4A16"/>
    <w:rsid w:val="008D5A6A"/>
    <w:rsid w:val="008D6526"/>
    <w:rsid w:val="008D6ECD"/>
    <w:rsid w:val="008E0400"/>
    <w:rsid w:val="008E0422"/>
    <w:rsid w:val="008E1C66"/>
    <w:rsid w:val="008E26F9"/>
    <w:rsid w:val="008E566E"/>
    <w:rsid w:val="008E78CC"/>
    <w:rsid w:val="00900A55"/>
    <w:rsid w:val="0090161A"/>
    <w:rsid w:val="00901EB6"/>
    <w:rsid w:val="00902717"/>
    <w:rsid w:val="00904C62"/>
    <w:rsid w:val="00906FD2"/>
    <w:rsid w:val="00907BEE"/>
    <w:rsid w:val="009151DB"/>
    <w:rsid w:val="00917C12"/>
    <w:rsid w:val="00922BA8"/>
    <w:rsid w:val="009234CB"/>
    <w:rsid w:val="00924DAC"/>
    <w:rsid w:val="00926724"/>
    <w:rsid w:val="00927058"/>
    <w:rsid w:val="00940A7A"/>
    <w:rsid w:val="00942750"/>
    <w:rsid w:val="00943FBB"/>
    <w:rsid w:val="009450CE"/>
    <w:rsid w:val="009459BB"/>
    <w:rsid w:val="00947179"/>
    <w:rsid w:val="0095005A"/>
    <w:rsid w:val="00950FF0"/>
    <w:rsid w:val="0095164B"/>
    <w:rsid w:val="00952743"/>
    <w:rsid w:val="00954090"/>
    <w:rsid w:val="009573E7"/>
    <w:rsid w:val="00963E05"/>
    <w:rsid w:val="00964392"/>
    <w:rsid w:val="00964A45"/>
    <w:rsid w:val="00967591"/>
    <w:rsid w:val="00967843"/>
    <w:rsid w:val="00967D54"/>
    <w:rsid w:val="00971028"/>
    <w:rsid w:val="00976C9C"/>
    <w:rsid w:val="009870F6"/>
    <w:rsid w:val="00987C65"/>
    <w:rsid w:val="009912AE"/>
    <w:rsid w:val="00993B84"/>
    <w:rsid w:val="00996483"/>
    <w:rsid w:val="00996EE8"/>
    <w:rsid w:val="00996F5A"/>
    <w:rsid w:val="009A2410"/>
    <w:rsid w:val="009A2D65"/>
    <w:rsid w:val="009B041A"/>
    <w:rsid w:val="009B2614"/>
    <w:rsid w:val="009B2E23"/>
    <w:rsid w:val="009B38AC"/>
    <w:rsid w:val="009B41AF"/>
    <w:rsid w:val="009B475E"/>
    <w:rsid w:val="009B5406"/>
    <w:rsid w:val="009B5E8F"/>
    <w:rsid w:val="009B69B7"/>
    <w:rsid w:val="009C104A"/>
    <w:rsid w:val="009C37C3"/>
    <w:rsid w:val="009C3E3C"/>
    <w:rsid w:val="009C4FF1"/>
    <w:rsid w:val="009C60C6"/>
    <w:rsid w:val="009C7C86"/>
    <w:rsid w:val="009D1B0C"/>
    <w:rsid w:val="009D2070"/>
    <w:rsid w:val="009D2FF7"/>
    <w:rsid w:val="009D6182"/>
    <w:rsid w:val="009E6447"/>
    <w:rsid w:val="009E7884"/>
    <w:rsid w:val="009E788A"/>
    <w:rsid w:val="009F0E08"/>
    <w:rsid w:val="009F4B50"/>
    <w:rsid w:val="00A0268B"/>
    <w:rsid w:val="00A05848"/>
    <w:rsid w:val="00A1119E"/>
    <w:rsid w:val="00A11BFB"/>
    <w:rsid w:val="00A134D4"/>
    <w:rsid w:val="00A14087"/>
    <w:rsid w:val="00A15CF6"/>
    <w:rsid w:val="00A15FF7"/>
    <w:rsid w:val="00A16790"/>
    <w:rsid w:val="00A167BF"/>
    <w:rsid w:val="00A1763D"/>
    <w:rsid w:val="00A17BA9"/>
    <w:rsid w:val="00A17CEC"/>
    <w:rsid w:val="00A219BA"/>
    <w:rsid w:val="00A22485"/>
    <w:rsid w:val="00A23C31"/>
    <w:rsid w:val="00A23EE0"/>
    <w:rsid w:val="00A25271"/>
    <w:rsid w:val="00A27EF0"/>
    <w:rsid w:val="00A3167D"/>
    <w:rsid w:val="00A32358"/>
    <w:rsid w:val="00A34714"/>
    <w:rsid w:val="00A3510F"/>
    <w:rsid w:val="00A355D0"/>
    <w:rsid w:val="00A36DCC"/>
    <w:rsid w:val="00A42361"/>
    <w:rsid w:val="00A438B0"/>
    <w:rsid w:val="00A46D66"/>
    <w:rsid w:val="00A50B20"/>
    <w:rsid w:val="00A51390"/>
    <w:rsid w:val="00A56A99"/>
    <w:rsid w:val="00A60D13"/>
    <w:rsid w:val="00A62C4F"/>
    <w:rsid w:val="00A67899"/>
    <w:rsid w:val="00A70A86"/>
    <w:rsid w:val="00A7223D"/>
    <w:rsid w:val="00A72745"/>
    <w:rsid w:val="00A7293D"/>
    <w:rsid w:val="00A72F88"/>
    <w:rsid w:val="00A74B43"/>
    <w:rsid w:val="00A76EFC"/>
    <w:rsid w:val="00A8080A"/>
    <w:rsid w:val="00A8107A"/>
    <w:rsid w:val="00A834C8"/>
    <w:rsid w:val="00A843CE"/>
    <w:rsid w:val="00A876EB"/>
    <w:rsid w:val="00A87D50"/>
    <w:rsid w:val="00A87EAC"/>
    <w:rsid w:val="00A91010"/>
    <w:rsid w:val="00A93009"/>
    <w:rsid w:val="00A93B48"/>
    <w:rsid w:val="00A94636"/>
    <w:rsid w:val="00A949C2"/>
    <w:rsid w:val="00A95319"/>
    <w:rsid w:val="00A97F29"/>
    <w:rsid w:val="00AA1D67"/>
    <w:rsid w:val="00AA3B66"/>
    <w:rsid w:val="00AA5184"/>
    <w:rsid w:val="00AA702E"/>
    <w:rsid w:val="00AA7D26"/>
    <w:rsid w:val="00AB0964"/>
    <w:rsid w:val="00AB200C"/>
    <w:rsid w:val="00AB33D8"/>
    <w:rsid w:val="00AB3A2E"/>
    <w:rsid w:val="00AB4CF2"/>
    <w:rsid w:val="00AB5011"/>
    <w:rsid w:val="00AB511D"/>
    <w:rsid w:val="00AB71B4"/>
    <w:rsid w:val="00AB7FFB"/>
    <w:rsid w:val="00AC4A85"/>
    <w:rsid w:val="00AC7368"/>
    <w:rsid w:val="00AD06BA"/>
    <w:rsid w:val="00AD16B9"/>
    <w:rsid w:val="00AD2E0A"/>
    <w:rsid w:val="00AD2FE1"/>
    <w:rsid w:val="00AD4F24"/>
    <w:rsid w:val="00AD4FD8"/>
    <w:rsid w:val="00AE377D"/>
    <w:rsid w:val="00AE4213"/>
    <w:rsid w:val="00AF0705"/>
    <w:rsid w:val="00AF085E"/>
    <w:rsid w:val="00AF0DEB"/>
    <w:rsid w:val="00AF0EBA"/>
    <w:rsid w:val="00AF1934"/>
    <w:rsid w:val="00AF4E09"/>
    <w:rsid w:val="00AF69E3"/>
    <w:rsid w:val="00AF7FB8"/>
    <w:rsid w:val="00B003BF"/>
    <w:rsid w:val="00B02C8A"/>
    <w:rsid w:val="00B03C27"/>
    <w:rsid w:val="00B17FBD"/>
    <w:rsid w:val="00B2109F"/>
    <w:rsid w:val="00B2276F"/>
    <w:rsid w:val="00B22B8A"/>
    <w:rsid w:val="00B2770B"/>
    <w:rsid w:val="00B278C8"/>
    <w:rsid w:val="00B30295"/>
    <w:rsid w:val="00B30637"/>
    <w:rsid w:val="00B315A6"/>
    <w:rsid w:val="00B31813"/>
    <w:rsid w:val="00B33365"/>
    <w:rsid w:val="00B371D3"/>
    <w:rsid w:val="00B43A90"/>
    <w:rsid w:val="00B4517A"/>
    <w:rsid w:val="00B528C2"/>
    <w:rsid w:val="00B5633B"/>
    <w:rsid w:val="00B568B7"/>
    <w:rsid w:val="00B57B36"/>
    <w:rsid w:val="00B57E6F"/>
    <w:rsid w:val="00B607A0"/>
    <w:rsid w:val="00B6325C"/>
    <w:rsid w:val="00B63CBF"/>
    <w:rsid w:val="00B718AD"/>
    <w:rsid w:val="00B73AD5"/>
    <w:rsid w:val="00B7548B"/>
    <w:rsid w:val="00B77C10"/>
    <w:rsid w:val="00B84ED8"/>
    <w:rsid w:val="00B863BE"/>
    <w:rsid w:val="00B8686D"/>
    <w:rsid w:val="00B92376"/>
    <w:rsid w:val="00B93F69"/>
    <w:rsid w:val="00B9596B"/>
    <w:rsid w:val="00B96091"/>
    <w:rsid w:val="00BA1C35"/>
    <w:rsid w:val="00BA536E"/>
    <w:rsid w:val="00BA6BD1"/>
    <w:rsid w:val="00BA7731"/>
    <w:rsid w:val="00BB0796"/>
    <w:rsid w:val="00BB0C4D"/>
    <w:rsid w:val="00BB1DDC"/>
    <w:rsid w:val="00BB23B2"/>
    <w:rsid w:val="00BB2962"/>
    <w:rsid w:val="00BB4B6A"/>
    <w:rsid w:val="00BB60F9"/>
    <w:rsid w:val="00BC30C9"/>
    <w:rsid w:val="00BD077D"/>
    <w:rsid w:val="00BD136A"/>
    <w:rsid w:val="00BD74EE"/>
    <w:rsid w:val="00BE3E58"/>
    <w:rsid w:val="00BE422F"/>
    <w:rsid w:val="00BE7E57"/>
    <w:rsid w:val="00BF2D8D"/>
    <w:rsid w:val="00BF3CF9"/>
    <w:rsid w:val="00BF4595"/>
    <w:rsid w:val="00BF66FE"/>
    <w:rsid w:val="00C0126C"/>
    <w:rsid w:val="00C01616"/>
    <w:rsid w:val="00C0162B"/>
    <w:rsid w:val="00C047FC"/>
    <w:rsid w:val="00C068ED"/>
    <w:rsid w:val="00C06D51"/>
    <w:rsid w:val="00C075A2"/>
    <w:rsid w:val="00C07B8F"/>
    <w:rsid w:val="00C10A95"/>
    <w:rsid w:val="00C12ED4"/>
    <w:rsid w:val="00C14B58"/>
    <w:rsid w:val="00C16C16"/>
    <w:rsid w:val="00C1781B"/>
    <w:rsid w:val="00C22E0C"/>
    <w:rsid w:val="00C246B1"/>
    <w:rsid w:val="00C26560"/>
    <w:rsid w:val="00C318D3"/>
    <w:rsid w:val="00C318DB"/>
    <w:rsid w:val="00C336AB"/>
    <w:rsid w:val="00C345B1"/>
    <w:rsid w:val="00C40142"/>
    <w:rsid w:val="00C41ABE"/>
    <w:rsid w:val="00C442CB"/>
    <w:rsid w:val="00C4641F"/>
    <w:rsid w:val="00C50200"/>
    <w:rsid w:val="00C52786"/>
    <w:rsid w:val="00C52B07"/>
    <w:rsid w:val="00C52C3C"/>
    <w:rsid w:val="00C53FD4"/>
    <w:rsid w:val="00C57182"/>
    <w:rsid w:val="00C57863"/>
    <w:rsid w:val="00C60F16"/>
    <w:rsid w:val="00C640AF"/>
    <w:rsid w:val="00C655FD"/>
    <w:rsid w:val="00C72FC4"/>
    <w:rsid w:val="00C75407"/>
    <w:rsid w:val="00C75BBE"/>
    <w:rsid w:val="00C75DAF"/>
    <w:rsid w:val="00C80295"/>
    <w:rsid w:val="00C82223"/>
    <w:rsid w:val="00C8316F"/>
    <w:rsid w:val="00C847F0"/>
    <w:rsid w:val="00C86708"/>
    <w:rsid w:val="00C870A8"/>
    <w:rsid w:val="00C877B5"/>
    <w:rsid w:val="00C903B2"/>
    <w:rsid w:val="00C909FE"/>
    <w:rsid w:val="00C928AD"/>
    <w:rsid w:val="00C94336"/>
    <w:rsid w:val="00C94434"/>
    <w:rsid w:val="00CA0D4A"/>
    <w:rsid w:val="00CA0D75"/>
    <w:rsid w:val="00CA1C95"/>
    <w:rsid w:val="00CA4955"/>
    <w:rsid w:val="00CA5A9C"/>
    <w:rsid w:val="00CB0A1F"/>
    <w:rsid w:val="00CB1A5D"/>
    <w:rsid w:val="00CB2CDF"/>
    <w:rsid w:val="00CB7184"/>
    <w:rsid w:val="00CB730F"/>
    <w:rsid w:val="00CC2A5E"/>
    <w:rsid w:val="00CC4C20"/>
    <w:rsid w:val="00CC5A03"/>
    <w:rsid w:val="00CD1106"/>
    <w:rsid w:val="00CD3517"/>
    <w:rsid w:val="00CD5FE2"/>
    <w:rsid w:val="00CE5401"/>
    <w:rsid w:val="00CE60FD"/>
    <w:rsid w:val="00CE7C68"/>
    <w:rsid w:val="00CF26A7"/>
    <w:rsid w:val="00CF4646"/>
    <w:rsid w:val="00CF55D2"/>
    <w:rsid w:val="00D005AD"/>
    <w:rsid w:val="00D02501"/>
    <w:rsid w:val="00D02B4C"/>
    <w:rsid w:val="00D040C4"/>
    <w:rsid w:val="00D063E4"/>
    <w:rsid w:val="00D06A5B"/>
    <w:rsid w:val="00D12471"/>
    <w:rsid w:val="00D13B53"/>
    <w:rsid w:val="00D14F1A"/>
    <w:rsid w:val="00D15782"/>
    <w:rsid w:val="00D20AD1"/>
    <w:rsid w:val="00D210DC"/>
    <w:rsid w:val="00D2421E"/>
    <w:rsid w:val="00D337B2"/>
    <w:rsid w:val="00D41F4C"/>
    <w:rsid w:val="00D46586"/>
    <w:rsid w:val="00D46B7E"/>
    <w:rsid w:val="00D51168"/>
    <w:rsid w:val="00D54940"/>
    <w:rsid w:val="00D57C84"/>
    <w:rsid w:val="00D6057D"/>
    <w:rsid w:val="00D60ED0"/>
    <w:rsid w:val="00D6182C"/>
    <w:rsid w:val="00D62945"/>
    <w:rsid w:val="00D62F91"/>
    <w:rsid w:val="00D648EC"/>
    <w:rsid w:val="00D65134"/>
    <w:rsid w:val="00D6654F"/>
    <w:rsid w:val="00D71640"/>
    <w:rsid w:val="00D75B88"/>
    <w:rsid w:val="00D76FB8"/>
    <w:rsid w:val="00D836C5"/>
    <w:rsid w:val="00D84576"/>
    <w:rsid w:val="00D8568A"/>
    <w:rsid w:val="00D86F30"/>
    <w:rsid w:val="00D8795D"/>
    <w:rsid w:val="00D87F3B"/>
    <w:rsid w:val="00D9069C"/>
    <w:rsid w:val="00D90DAB"/>
    <w:rsid w:val="00D9128F"/>
    <w:rsid w:val="00D93B39"/>
    <w:rsid w:val="00D93BB1"/>
    <w:rsid w:val="00D946E3"/>
    <w:rsid w:val="00DA04EB"/>
    <w:rsid w:val="00DA1399"/>
    <w:rsid w:val="00DA1953"/>
    <w:rsid w:val="00DA24C6"/>
    <w:rsid w:val="00DA253A"/>
    <w:rsid w:val="00DA25F0"/>
    <w:rsid w:val="00DA478E"/>
    <w:rsid w:val="00DA4D7B"/>
    <w:rsid w:val="00DA5755"/>
    <w:rsid w:val="00DA6304"/>
    <w:rsid w:val="00DA68F3"/>
    <w:rsid w:val="00DA7B52"/>
    <w:rsid w:val="00DB013D"/>
    <w:rsid w:val="00DB0729"/>
    <w:rsid w:val="00DB1F9C"/>
    <w:rsid w:val="00DB21A6"/>
    <w:rsid w:val="00DB70B1"/>
    <w:rsid w:val="00DC475F"/>
    <w:rsid w:val="00DC4AAF"/>
    <w:rsid w:val="00DD103A"/>
    <w:rsid w:val="00DD271C"/>
    <w:rsid w:val="00DD445A"/>
    <w:rsid w:val="00DD511D"/>
    <w:rsid w:val="00DE1479"/>
    <w:rsid w:val="00DE264A"/>
    <w:rsid w:val="00DE34BD"/>
    <w:rsid w:val="00DE7C68"/>
    <w:rsid w:val="00DF2402"/>
    <w:rsid w:val="00DF5072"/>
    <w:rsid w:val="00DF5B29"/>
    <w:rsid w:val="00E02D18"/>
    <w:rsid w:val="00E0379A"/>
    <w:rsid w:val="00E041E7"/>
    <w:rsid w:val="00E073C8"/>
    <w:rsid w:val="00E07605"/>
    <w:rsid w:val="00E10768"/>
    <w:rsid w:val="00E10A4E"/>
    <w:rsid w:val="00E12411"/>
    <w:rsid w:val="00E16366"/>
    <w:rsid w:val="00E22929"/>
    <w:rsid w:val="00E23CA1"/>
    <w:rsid w:val="00E260B1"/>
    <w:rsid w:val="00E27ACC"/>
    <w:rsid w:val="00E30926"/>
    <w:rsid w:val="00E313A6"/>
    <w:rsid w:val="00E33DD7"/>
    <w:rsid w:val="00E35DA7"/>
    <w:rsid w:val="00E369EC"/>
    <w:rsid w:val="00E409A8"/>
    <w:rsid w:val="00E4368F"/>
    <w:rsid w:val="00E50C12"/>
    <w:rsid w:val="00E51A6C"/>
    <w:rsid w:val="00E54582"/>
    <w:rsid w:val="00E6027F"/>
    <w:rsid w:val="00E60AEE"/>
    <w:rsid w:val="00E61056"/>
    <w:rsid w:val="00E61098"/>
    <w:rsid w:val="00E64055"/>
    <w:rsid w:val="00E64C8B"/>
    <w:rsid w:val="00E64F9C"/>
    <w:rsid w:val="00E65B91"/>
    <w:rsid w:val="00E66F3D"/>
    <w:rsid w:val="00E716A6"/>
    <w:rsid w:val="00E7209D"/>
    <w:rsid w:val="00E72EAD"/>
    <w:rsid w:val="00E743F9"/>
    <w:rsid w:val="00E77223"/>
    <w:rsid w:val="00E800E6"/>
    <w:rsid w:val="00E839A3"/>
    <w:rsid w:val="00E843AF"/>
    <w:rsid w:val="00E8528B"/>
    <w:rsid w:val="00E85B94"/>
    <w:rsid w:val="00E909EA"/>
    <w:rsid w:val="00E942C4"/>
    <w:rsid w:val="00E969DC"/>
    <w:rsid w:val="00E978D0"/>
    <w:rsid w:val="00E97F04"/>
    <w:rsid w:val="00EA0D04"/>
    <w:rsid w:val="00EA4613"/>
    <w:rsid w:val="00EA7F91"/>
    <w:rsid w:val="00EB0348"/>
    <w:rsid w:val="00EB1523"/>
    <w:rsid w:val="00EB463D"/>
    <w:rsid w:val="00EB5325"/>
    <w:rsid w:val="00EB69CE"/>
    <w:rsid w:val="00EB7340"/>
    <w:rsid w:val="00EC0E49"/>
    <w:rsid w:val="00EC101F"/>
    <w:rsid w:val="00EC1C2E"/>
    <w:rsid w:val="00EC1D9F"/>
    <w:rsid w:val="00EC3327"/>
    <w:rsid w:val="00EC3ACF"/>
    <w:rsid w:val="00EC4346"/>
    <w:rsid w:val="00EC4F3F"/>
    <w:rsid w:val="00EC79CB"/>
    <w:rsid w:val="00ED0413"/>
    <w:rsid w:val="00ED2783"/>
    <w:rsid w:val="00ED34A2"/>
    <w:rsid w:val="00ED761B"/>
    <w:rsid w:val="00EE0131"/>
    <w:rsid w:val="00EE03B6"/>
    <w:rsid w:val="00EE0B92"/>
    <w:rsid w:val="00EE17B0"/>
    <w:rsid w:val="00EE1C7C"/>
    <w:rsid w:val="00EE5896"/>
    <w:rsid w:val="00EF00A5"/>
    <w:rsid w:val="00EF06D9"/>
    <w:rsid w:val="00EF21C9"/>
    <w:rsid w:val="00EF6046"/>
    <w:rsid w:val="00EF7EED"/>
    <w:rsid w:val="00F04F02"/>
    <w:rsid w:val="00F0622C"/>
    <w:rsid w:val="00F070AE"/>
    <w:rsid w:val="00F10144"/>
    <w:rsid w:val="00F16BDD"/>
    <w:rsid w:val="00F20F6B"/>
    <w:rsid w:val="00F21132"/>
    <w:rsid w:val="00F2158B"/>
    <w:rsid w:val="00F226D8"/>
    <w:rsid w:val="00F262FC"/>
    <w:rsid w:val="00F267D5"/>
    <w:rsid w:val="00F3049E"/>
    <w:rsid w:val="00F30C64"/>
    <w:rsid w:val="00F32559"/>
    <w:rsid w:val="00F3287C"/>
    <w:rsid w:val="00F32BA2"/>
    <w:rsid w:val="00F32CDB"/>
    <w:rsid w:val="00F33305"/>
    <w:rsid w:val="00F3391F"/>
    <w:rsid w:val="00F406F7"/>
    <w:rsid w:val="00F41AC9"/>
    <w:rsid w:val="00F42443"/>
    <w:rsid w:val="00F42F3A"/>
    <w:rsid w:val="00F47B69"/>
    <w:rsid w:val="00F53F94"/>
    <w:rsid w:val="00F5554D"/>
    <w:rsid w:val="00F565FE"/>
    <w:rsid w:val="00F62A97"/>
    <w:rsid w:val="00F62E7F"/>
    <w:rsid w:val="00F63A70"/>
    <w:rsid w:val="00F63D8C"/>
    <w:rsid w:val="00F6589A"/>
    <w:rsid w:val="00F7395D"/>
    <w:rsid w:val="00F7534E"/>
    <w:rsid w:val="00F81894"/>
    <w:rsid w:val="00F82C84"/>
    <w:rsid w:val="00F87FF7"/>
    <w:rsid w:val="00F90DE5"/>
    <w:rsid w:val="00F92B16"/>
    <w:rsid w:val="00F93EDF"/>
    <w:rsid w:val="00F93F50"/>
    <w:rsid w:val="00F9542F"/>
    <w:rsid w:val="00F95783"/>
    <w:rsid w:val="00FA1495"/>
    <w:rsid w:val="00FA1802"/>
    <w:rsid w:val="00FA21D0"/>
    <w:rsid w:val="00FA5F5F"/>
    <w:rsid w:val="00FB0167"/>
    <w:rsid w:val="00FB3C63"/>
    <w:rsid w:val="00FB55C6"/>
    <w:rsid w:val="00FB730C"/>
    <w:rsid w:val="00FC0718"/>
    <w:rsid w:val="00FC12D8"/>
    <w:rsid w:val="00FC2695"/>
    <w:rsid w:val="00FC3E03"/>
    <w:rsid w:val="00FC3FC1"/>
    <w:rsid w:val="00FD23BF"/>
    <w:rsid w:val="00FD3CD8"/>
    <w:rsid w:val="00FD56D3"/>
    <w:rsid w:val="00FD7B47"/>
    <w:rsid w:val="00FE22DC"/>
    <w:rsid w:val="00FE24B8"/>
    <w:rsid w:val="00FE4F16"/>
    <w:rsid w:val="00FE5EF8"/>
    <w:rsid w:val="00FE74AE"/>
    <w:rsid w:val="00FF1C10"/>
    <w:rsid w:val="00FF5584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AA93E8B"/>
  <w15:docId w15:val="{FE683EFA-61CE-49A2-B398-9FF3FE98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5200"/>
    <w:rPr>
      <w:color w:val="605E5C"/>
      <w:shd w:val="clear" w:color="auto" w:fill="E1DFDD"/>
    </w:rPr>
  </w:style>
  <w:style w:type="paragraph" w:customStyle="1" w:styleId="MDPI71References">
    <w:name w:val="MDPI_7.1_References"/>
    <w:basedOn w:val="Normale"/>
    <w:qFormat/>
    <w:rsid w:val="003A5C49"/>
    <w:pPr>
      <w:numPr>
        <w:numId w:val="24"/>
      </w:numPr>
      <w:tabs>
        <w:tab w:val="clear" w:pos="7100"/>
      </w:tabs>
      <w:adjustRightInd w:val="0"/>
      <w:snapToGrid w:val="0"/>
      <w:spacing w:line="260" w:lineRule="atLeast"/>
      <w:ind w:left="425" w:hanging="425"/>
    </w:pPr>
    <w:rPr>
      <w:rFonts w:ascii="Palatino Linotype" w:hAnsi="Palatino Linotype"/>
      <w:snapToGrid w:val="0"/>
      <w:color w:val="000000"/>
      <w:lang w:val="en-US" w:eastAsia="de-DE" w:bidi="en-US"/>
    </w:rPr>
  </w:style>
  <w:style w:type="character" w:customStyle="1" w:styleId="y2iqfc">
    <w:name w:val="y2iqfc"/>
    <w:basedOn w:val="Carpredefinitoparagrafo"/>
    <w:rsid w:val="00EB0348"/>
  </w:style>
  <w:style w:type="paragraph" w:styleId="Revisione">
    <w:name w:val="Revision"/>
    <w:hidden/>
    <w:uiPriority w:val="99"/>
    <w:semiHidden/>
    <w:rsid w:val="002E511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16/j.copbio.%202015.03.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su150437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doi.org/10.3303/CET1864026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3390/pr80910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060B-2FE4-4489-A0F9-D3D6390C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3473</Words>
  <Characters>19800</Characters>
  <Application>Microsoft Office Word</Application>
  <DocSecurity>0</DocSecurity>
  <Lines>165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FRANCESCA RAGANATI</cp:lastModifiedBy>
  <cp:revision>106</cp:revision>
  <cp:lastPrinted>2015-05-12T18:31:00Z</cp:lastPrinted>
  <dcterms:created xsi:type="dcterms:W3CDTF">2023-11-09T11:58:00Z</dcterms:created>
  <dcterms:modified xsi:type="dcterms:W3CDTF">2024-04-08T16:33:00Z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2023-12-18T09:45:35Z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fb1a7f0b-70ee-435d-a076-ba9e5f6644ea</vt:lpwstr>
  </property>
  <property fmtid="{D5CDD505-2E9C-101B-9397-08002B2CF9AE}" pid="10" name="MSIP_Label_2ad0b24d-6422-44b0-b3de-abb3a9e8c81a_ContentBits">
    <vt:lpwstr>0</vt:lpwstr>
  </property>
</Properties>
</file>