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F70FFA2" w:rsidR="00E978D0" w:rsidRPr="00B57B36" w:rsidRDefault="0036448B" w:rsidP="00E978D0">
      <w:pPr>
        <w:pStyle w:val="CETTitle"/>
      </w:pPr>
      <w:r>
        <w:t xml:space="preserve">The </w:t>
      </w:r>
      <w:r w:rsidR="00D375A7">
        <w:t>I</w:t>
      </w:r>
      <w:r>
        <w:t xml:space="preserve">nfluence of </w:t>
      </w:r>
      <w:r w:rsidR="00D375A7">
        <w:t>D</w:t>
      </w:r>
      <w:r>
        <w:t xml:space="preserve">ifferent </w:t>
      </w:r>
      <w:r w:rsidR="00D375A7">
        <w:t>A</w:t>
      </w:r>
      <w:r>
        <w:t xml:space="preserve">mendments in </w:t>
      </w:r>
      <w:r w:rsidR="00D375A7">
        <w:t>P</w:t>
      </w:r>
      <w:r>
        <w:t xml:space="preserve">arental </w:t>
      </w:r>
      <w:r w:rsidR="00D375A7">
        <w:t>M</w:t>
      </w:r>
      <w:r>
        <w:t xml:space="preserve">aterials in </w:t>
      </w:r>
      <w:r w:rsidR="00D375A7">
        <w:t>E</w:t>
      </w:r>
      <w:r>
        <w:t xml:space="preserve">arly </w:t>
      </w:r>
      <w:r w:rsidR="00D375A7">
        <w:t>D</w:t>
      </w:r>
      <w:r>
        <w:t xml:space="preserve">evelopment of </w:t>
      </w:r>
      <w:proofErr w:type="spellStart"/>
      <w:r w:rsidR="00D375A7">
        <w:t>T</w:t>
      </w:r>
      <w:r>
        <w:t>echnosols</w:t>
      </w:r>
      <w:proofErr w:type="spellEnd"/>
      <w:r>
        <w:t xml:space="preserve"> </w:t>
      </w:r>
      <w:r w:rsidR="00D375A7">
        <w:t>B</w:t>
      </w:r>
      <w:r>
        <w:t>ioremediation</w:t>
      </w:r>
    </w:p>
    <w:p w14:paraId="0488FED2" w14:textId="48D194C9" w:rsidR="00B57E6F" w:rsidRPr="00B57B36" w:rsidRDefault="0036448B" w:rsidP="00B57E6F">
      <w:pPr>
        <w:pStyle w:val="CETAuthors"/>
      </w:pPr>
      <w:r>
        <w:t>Andani Mphinyane</w:t>
      </w:r>
      <w:r w:rsidR="00B57E6F" w:rsidRPr="00B57B36">
        <w:rPr>
          <w:vertAlign w:val="superscript"/>
        </w:rPr>
        <w:t>a</w:t>
      </w:r>
      <w:r w:rsidR="00B57E6F" w:rsidRPr="00B57B36">
        <w:t xml:space="preserve">, </w:t>
      </w:r>
      <w:r>
        <w:t>Evans</w:t>
      </w:r>
      <w:r w:rsidR="00B57E6F" w:rsidRPr="00B57B36">
        <w:t xml:space="preserve"> </w:t>
      </w:r>
      <w:r>
        <w:t>M</w:t>
      </w:r>
      <w:r w:rsidR="00B57E6F" w:rsidRPr="00B57B36">
        <w:t>.</w:t>
      </w:r>
      <w:r>
        <w:t>N</w:t>
      </w:r>
      <w:r w:rsidR="00B57E6F" w:rsidRPr="00B57B36">
        <w:t xml:space="preserve"> </w:t>
      </w:r>
      <w:r>
        <w:t>Chirwa</w:t>
      </w:r>
      <w:r w:rsidR="00B57E6F" w:rsidRPr="00B57B36">
        <w:rPr>
          <w:vertAlign w:val="superscript"/>
        </w:rPr>
        <w:t>b,</w:t>
      </w:r>
      <w:r w:rsidR="00B57E6F" w:rsidRPr="00B57B36">
        <w:t>*</w:t>
      </w:r>
    </w:p>
    <w:p w14:paraId="6B2D21B3" w14:textId="682D6AC4" w:rsidR="00B57E6F" w:rsidRPr="00B57B36" w:rsidRDefault="00B57E6F" w:rsidP="00B57E6F">
      <w:pPr>
        <w:pStyle w:val="CETAddress"/>
      </w:pPr>
      <w:r w:rsidRPr="00B57B36">
        <w:rPr>
          <w:vertAlign w:val="superscript"/>
        </w:rPr>
        <w:t>a</w:t>
      </w:r>
      <w:r w:rsidR="0043285E">
        <w:rPr>
          <w:vertAlign w:val="superscript"/>
        </w:rPr>
        <w:t>b</w:t>
      </w:r>
      <w:r w:rsidR="00EE18DF">
        <w:t>University of Pretoria</w:t>
      </w:r>
      <w:r w:rsidRPr="00B57B36">
        <w:t>,</w:t>
      </w:r>
      <w:bookmarkStart w:id="0" w:name="_Hlk156017827"/>
      <w:r w:rsidR="00EE18DF">
        <w:t>Water Utilization and Environmental Engineering Division, Department of Chemical Engineering, University of Pretoria, Hatfield, 0002, South Africa</w:t>
      </w:r>
      <w:r w:rsidRPr="00B57B36">
        <w:t xml:space="preserve"> </w:t>
      </w:r>
      <w:bookmarkEnd w:id="0"/>
    </w:p>
    <w:p w14:paraId="73F1267A" w14:textId="3165D2CC" w:rsidR="00B57E6F" w:rsidRPr="00B57B36" w:rsidRDefault="00EE18DF" w:rsidP="00B57E6F">
      <w:pPr>
        <w:pStyle w:val="CETemail"/>
      </w:pPr>
      <w:r>
        <w:t xml:space="preserve">evans.chirwa@up.ac.za </w:t>
      </w:r>
    </w:p>
    <w:p w14:paraId="04B319EE" w14:textId="2E7BAF6E" w:rsidR="00600535" w:rsidRPr="0052588D" w:rsidRDefault="00EE18DF" w:rsidP="00600535">
      <w:pPr>
        <w:pStyle w:val="CETBodytext"/>
        <w:rPr>
          <w:rFonts w:cs="Arial"/>
          <w:szCs w:val="18"/>
          <w:lang w:val="en-GB"/>
        </w:rPr>
      </w:pPr>
      <w:bookmarkStart w:id="1" w:name="_Hlk495475023"/>
      <w:r w:rsidRPr="0052588D">
        <w:rPr>
          <w:rFonts w:cs="Arial"/>
          <w:szCs w:val="18"/>
          <w:lang w:val="en-GB"/>
        </w:rPr>
        <w:t xml:space="preserve">The aim </w:t>
      </w:r>
      <w:r w:rsidR="00A91C97" w:rsidRPr="0052588D">
        <w:rPr>
          <w:rFonts w:eastAsia="Calibri" w:cs="Arial"/>
          <w:szCs w:val="18"/>
          <w:lang w:val="en-ZA"/>
        </w:rPr>
        <w:t xml:space="preserve">of this study was to develop a topsoil with ecological functionality to meet mine rehabilitation and re-establishment of the desired final ecosystem considering different </w:t>
      </w:r>
      <w:proofErr w:type="spellStart"/>
      <w:r w:rsidR="00A91C97" w:rsidRPr="0052588D">
        <w:rPr>
          <w:rFonts w:eastAsia="Calibri" w:cs="Arial"/>
          <w:szCs w:val="18"/>
          <w:lang w:val="en-ZA"/>
        </w:rPr>
        <w:t>technosols</w:t>
      </w:r>
      <w:proofErr w:type="spellEnd"/>
      <w:r w:rsidR="00A91C97" w:rsidRPr="0052588D">
        <w:rPr>
          <w:rFonts w:eastAsia="Calibri" w:cs="Arial"/>
          <w:szCs w:val="18"/>
          <w:lang w:val="en-ZA"/>
        </w:rPr>
        <w:t xml:space="preserve"> bioremediation configurations. The substrates were amended with compost and malt residue to provide the organic fraction of the soil. In terms of nutrient requirements for fertile soils to sustain plant cover, the best configuration</w:t>
      </w:r>
      <w:r w:rsidR="00B70479">
        <w:rPr>
          <w:rFonts w:eastAsia="Calibri" w:cs="Arial"/>
          <w:szCs w:val="18"/>
          <w:lang w:val="en-ZA"/>
        </w:rPr>
        <w:t>s</w:t>
      </w:r>
      <w:r w:rsidR="00A91C97" w:rsidRPr="0052588D">
        <w:rPr>
          <w:rFonts w:eastAsia="Calibri" w:cs="Arial"/>
          <w:szCs w:val="18"/>
          <w:lang w:val="en-ZA"/>
        </w:rPr>
        <w:t xml:space="preserve"> w</w:t>
      </w:r>
      <w:r w:rsidR="00B70479">
        <w:rPr>
          <w:rFonts w:eastAsia="Calibri" w:cs="Arial"/>
          <w:szCs w:val="18"/>
          <w:lang w:val="en-ZA"/>
        </w:rPr>
        <w:t>ere</w:t>
      </w:r>
      <w:r w:rsidR="00A91C97" w:rsidRPr="0052588D">
        <w:rPr>
          <w:rFonts w:eastAsia="Calibri" w:cs="Arial"/>
          <w:szCs w:val="18"/>
          <w:lang w:val="en-ZA"/>
        </w:rPr>
        <w:t xml:space="preserve"> </w:t>
      </w:r>
      <w:r w:rsidR="00B70479" w:rsidRPr="0052588D">
        <w:rPr>
          <w:rFonts w:eastAsia="Calibri" w:cs="Arial"/>
          <w:szCs w:val="18"/>
          <w:lang w:val="en-ZA"/>
        </w:rPr>
        <w:t>attained,</w:t>
      </w:r>
      <w:r w:rsidR="00B70479">
        <w:rPr>
          <w:rFonts w:eastAsia="Calibri" w:cs="Arial"/>
          <w:szCs w:val="18"/>
          <w:lang w:val="en-ZA"/>
        </w:rPr>
        <w:t xml:space="preserve"> and this implies that the different amendments were necessary in influencing soil properties</w:t>
      </w:r>
      <w:r w:rsidR="00A91C97" w:rsidRPr="0052588D">
        <w:rPr>
          <w:rFonts w:eastAsia="Calibri" w:cs="Arial"/>
          <w:szCs w:val="18"/>
          <w:lang w:val="en-ZA"/>
        </w:rPr>
        <w:t xml:space="preserve">.  The presence </w:t>
      </w:r>
      <w:r w:rsidR="00A91C97" w:rsidRPr="00CD064D">
        <w:rPr>
          <w:rFonts w:eastAsia="Calibri" w:cs="Arial"/>
          <w:i/>
          <w:iCs/>
          <w:szCs w:val="18"/>
          <w:lang w:val="en-ZA"/>
        </w:rPr>
        <w:t xml:space="preserve">of </w:t>
      </w:r>
      <w:proofErr w:type="spellStart"/>
      <w:r w:rsidR="00A91C97" w:rsidRPr="00CD064D">
        <w:rPr>
          <w:rFonts w:eastAsia="Calibri" w:cs="Arial"/>
          <w:i/>
          <w:iCs/>
          <w:szCs w:val="18"/>
          <w:lang w:val="en-ZA"/>
        </w:rPr>
        <w:t>Eragrostic</w:t>
      </w:r>
      <w:proofErr w:type="spellEnd"/>
      <w:r w:rsidR="00A91C97" w:rsidRPr="00CD064D">
        <w:rPr>
          <w:rFonts w:eastAsia="Calibri" w:cs="Arial"/>
          <w:i/>
          <w:iCs/>
          <w:szCs w:val="18"/>
          <w:lang w:val="en-ZA"/>
        </w:rPr>
        <w:t xml:space="preserve"> tef</w:t>
      </w:r>
      <w:r w:rsidR="00A91C97" w:rsidRPr="0052588D">
        <w:rPr>
          <w:rFonts w:eastAsia="Calibri" w:cs="Arial"/>
          <w:szCs w:val="18"/>
          <w:lang w:val="en-ZA"/>
        </w:rPr>
        <w:t xml:space="preserve"> ensured absence of metal mobilisation and an improved soil structure.</w:t>
      </w:r>
      <w:r w:rsidR="001C5BC7">
        <w:rPr>
          <w:rFonts w:eastAsia="Calibri" w:cs="Arial"/>
          <w:szCs w:val="18"/>
          <w:lang w:val="en-ZA"/>
        </w:rPr>
        <w:t xml:space="preserve"> The results showed that amendments and pH have direct linear correlations to plant growth. </w:t>
      </w:r>
      <w:r w:rsidR="00B00EB0">
        <w:rPr>
          <w:rFonts w:eastAsia="Calibri" w:cs="Arial"/>
          <w:szCs w:val="18"/>
          <w:lang w:val="en-ZA"/>
        </w:rPr>
        <w:t>It was identified that dolomite (3%), calcite (5%) and gypsum (4%) are indicative of both higher biomass accumulation and degree of germination</w:t>
      </w:r>
      <w:r w:rsidR="00B70479">
        <w:rPr>
          <w:rFonts w:eastAsia="Calibri" w:cs="Arial"/>
          <w:szCs w:val="18"/>
          <w:lang w:val="en-ZA"/>
        </w:rPr>
        <w:t xml:space="preserve">. </w:t>
      </w:r>
      <w:proofErr w:type="spellStart"/>
      <w:r w:rsidR="00B70479">
        <w:rPr>
          <w:rFonts w:eastAsia="Calibri" w:cs="Arial"/>
          <w:szCs w:val="18"/>
          <w:lang w:val="en-ZA"/>
        </w:rPr>
        <w:t>Technosols</w:t>
      </w:r>
      <w:proofErr w:type="spellEnd"/>
      <w:r w:rsidR="00B70479">
        <w:rPr>
          <w:rFonts w:eastAsia="Calibri" w:cs="Arial"/>
          <w:szCs w:val="18"/>
          <w:lang w:val="en-ZA"/>
        </w:rPr>
        <w:t xml:space="preserve"> have an improved soil-plant-water relations compared to that of stockpiled soil, therefore displaying potential for land rehabilitation and repurposing of coal waste. </w:t>
      </w:r>
    </w:p>
    <w:bookmarkEnd w:id="1"/>
    <w:p w14:paraId="476B2F2E" w14:textId="77777777" w:rsidR="00600535" w:rsidRPr="00B57B36" w:rsidRDefault="00600535" w:rsidP="00600535">
      <w:pPr>
        <w:pStyle w:val="CETHeading1"/>
        <w:rPr>
          <w:lang w:val="en-GB"/>
        </w:rPr>
      </w:pPr>
      <w:r w:rsidRPr="00B57B36">
        <w:rPr>
          <w:lang w:val="en-GB"/>
        </w:rPr>
        <w:t>Introduction</w:t>
      </w:r>
    </w:p>
    <w:p w14:paraId="53278CF6" w14:textId="6104909E" w:rsidR="00A91C97" w:rsidRPr="00A91C97" w:rsidRDefault="007C3CEC" w:rsidP="00A91C97">
      <w:pPr>
        <w:pStyle w:val="CETBodytext"/>
        <w:rPr>
          <w:lang w:val="en-ZA"/>
        </w:rPr>
      </w:pPr>
      <w:r>
        <w:t>The production of coal waste currently stands at approximately 6 Mt annually</w:t>
      </w:r>
      <w:r>
        <w:rPr>
          <w:lang w:val="en-ZA"/>
        </w:rPr>
        <w:t xml:space="preserve"> and</w:t>
      </w:r>
      <w:r w:rsidR="00A91C97" w:rsidRPr="00A91C97">
        <w:rPr>
          <w:lang w:val="en-ZA"/>
        </w:rPr>
        <w:t xml:space="preserve"> it becomes increasingly important to manage the existing waste materials and the disposal of new wastes to alleviate its potential environmental and social burden</w:t>
      </w:r>
      <w:r w:rsidR="0043285E">
        <w:rPr>
          <w:lang w:val="en-ZA"/>
        </w:rPr>
        <w:t xml:space="preserve"> (</w:t>
      </w:r>
      <w:proofErr w:type="spellStart"/>
      <w:r w:rsidR="0043285E">
        <w:rPr>
          <w:lang w:val="en-ZA"/>
        </w:rPr>
        <w:t>Hussieny</w:t>
      </w:r>
      <w:proofErr w:type="spellEnd"/>
      <w:r w:rsidR="0043285E">
        <w:rPr>
          <w:lang w:val="en-ZA"/>
        </w:rPr>
        <w:t xml:space="preserve"> et al., 2019)</w:t>
      </w:r>
      <w:r w:rsidR="00A91C97" w:rsidRPr="00A91C97">
        <w:rPr>
          <w:lang w:val="en-ZA"/>
        </w:rPr>
        <w:t xml:space="preserve">. In regions such as the </w:t>
      </w:r>
      <w:proofErr w:type="spellStart"/>
      <w:r w:rsidR="00A91C97" w:rsidRPr="00A91C97">
        <w:rPr>
          <w:lang w:val="en-ZA"/>
        </w:rPr>
        <w:t>eMalahleni</w:t>
      </w:r>
      <w:proofErr w:type="spellEnd"/>
      <w:r w:rsidR="00A91C97" w:rsidRPr="00A91C97">
        <w:rPr>
          <w:lang w:val="en-ZA"/>
        </w:rPr>
        <w:t xml:space="preserve"> (Witbank) coal fields in South Africa, several local collieries approach the end of their productive lives or areas, where coal mining is being phased out in favour of renewable energy and the locus of production is shifting away from traditional coal processing. In this instance, coal waste can be seen as a multi-product resource that can provide economic, social opportunities and environmental benefits. Coal waste re</w:t>
      </w:r>
      <w:r>
        <w:rPr>
          <w:lang w:val="en-ZA"/>
        </w:rPr>
        <w:t>p</w:t>
      </w:r>
      <w:r w:rsidR="00A91C97" w:rsidRPr="00A91C97">
        <w:rPr>
          <w:lang w:val="en-ZA"/>
        </w:rPr>
        <w:t>rocessing in South Africa for thermal coal recovery is already a reality; however, repurposing of the non-combustible fraction is not generally practised.</w:t>
      </w:r>
      <w:r w:rsidR="00A91C97">
        <w:rPr>
          <w:lang w:val="en-ZA"/>
        </w:rPr>
        <w:t xml:space="preserve"> </w:t>
      </w:r>
      <w:r w:rsidR="00A91C97" w:rsidRPr="00A91C97">
        <w:rPr>
          <w:lang w:val="en-ZA"/>
        </w:rPr>
        <w:t xml:space="preserve">Therefore, soil characteristics and quality depend highly on the constituents’ parent materials. This applies to </w:t>
      </w:r>
      <w:proofErr w:type="spellStart"/>
      <w:r w:rsidR="00A91C97" w:rsidRPr="00A91C97">
        <w:rPr>
          <w:lang w:val="en-ZA"/>
        </w:rPr>
        <w:t>technosols</w:t>
      </w:r>
      <w:proofErr w:type="spellEnd"/>
      <w:r w:rsidR="00A91C97" w:rsidRPr="00A91C97">
        <w:rPr>
          <w:lang w:val="en-ZA"/>
        </w:rPr>
        <w:t xml:space="preserve">, which are created for resilient and productive landscapes capable of supporting a growing human population and blemished mine landscapes in the context of global sustainability and change of circular economy (Bateman </w:t>
      </w:r>
      <w:r w:rsidR="00A91C97" w:rsidRPr="00A91C97">
        <w:rPr>
          <w:i/>
          <w:iCs/>
          <w:lang w:val="en-ZA"/>
        </w:rPr>
        <w:t>et al.,</w:t>
      </w:r>
      <w:r w:rsidR="00A91C97" w:rsidRPr="00A91C97">
        <w:rPr>
          <w:lang w:val="en-ZA"/>
        </w:rPr>
        <w:t xml:space="preserve"> 2019). A review on </w:t>
      </w:r>
      <w:proofErr w:type="spellStart"/>
      <w:r w:rsidR="00A91C97" w:rsidRPr="00A91C97">
        <w:rPr>
          <w:lang w:val="en-ZA"/>
        </w:rPr>
        <w:t>technosols</w:t>
      </w:r>
      <w:proofErr w:type="spellEnd"/>
      <w:r w:rsidR="00A91C97" w:rsidRPr="00A91C97">
        <w:rPr>
          <w:lang w:val="en-ZA"/>
        </w:rPr>
        <w:t xml:space="preserve"> completed by Schad (2018) provides adequate information on soil taxonomy, that facilitate understanding of soil toxicological characteristics and improvements to be considered across. </w:t>
      </w:r>
      <w:proofErr w:type="spellStart"/>
      <w:r w:rsidR="00A91C97" w:rsidRPr="00A91C97">
        <w:rPr>
          <w:lang w:val="en-ZA"/>
        </w:rPr>
        <w:t>Technosols</w:t>
      </w:r>
      <w:proofErr w:type="spellEnd"/>
      <w:r w:rsidR="00A91C97" w:rsidRPr="00A91C97">
        <w:rPr>
          <w:lang w:val="en-ZA"/>
        </w:rPr>
        <w:t xml:space="preserve"> are diagnostic soils created and modified by humans from industrial processes and then brought to the surface, entirely not influenced by surface processes and deposited into the environment they do not commonly occur (Schad, 2018). In addition, their properties are substantially different from the environment where they are placed and with the same chemical and mineralogical properties when first excavated. </w:t>
      </w:r>
      <w:r w:rsidR="00A91C97" w:rsidRPr="00A91C97">
        <w:rPr>
          <w:lang w:val="en-ZA"/>
        </w:rPr>
        <w:fldChar w:fldCharType="begin" w:fldLock="1"/>
      </w:r>
      <w:r w:rsidR="00A91C97" w:rsidRPr="00A91C97">
        <w:rPr>
          <w:lang w:val="en-ZA"/>
        </w:rPr>
        <w:instrText>ADDIN CSL_CITATION {"citationItems":[{"id":"ITEM-1","itemData":{"DOI":"10.1016/j.wasman.2013.12.016","ISBN":"1879-2456 (Electronic)\\r0956-053X (Linking)","ISSN":"18792456","PMID":"24418669","abstract":"The greening of urban and suburban areas requires large amounts of arable earth that is a non-renewable resource. However, concentration of population in cities leads to the production of high amounts of wastes and by-products that are nowadays partly recycled as a resource and quite systematically exported out of urban areas. To preserve natural soil resources, a strategy of waste recycling as fertile substitutes is proposed. Eleven wastes are selected for their environmental harmlessness and their contrasted physico-chemical properties for their potential use in pedological engineering. The aim is (i) to demonstrate the feasibility of the formulation of fertile substrates exclusively with wastes and (ii) to model their physico-chemical properties following various types, number and proportions of constitutive wastes. Twenty-five binary and ternary combinations are tested at different ratios for total carbon, Olsen available phosphorus, cation exchange capacity, water pH, water retention capacity and bulk density. Dose-response curves describe the variation of physico-chemical properties of mixtures depending on the type and ratio of selected wastes. If these mixtures mainly mimic natural soils, some of them present more extreme urban soil features, especially for pH and POlsen. The fertility of the new substrates is modelled by multilinear regressions for the main soil properties.","author":[{"dropping-particle":"","family":"Rokia","given":"S.","non-dropping-particle":"","parse-names":false,"suffix":""},{"dropping-particle":"","family":"Séré","given":"G.","non-dropping-particle":"","parse-names":false,"suffix":""},{"dropping-particle":"","family":"Schwartz","given":"C.","non-dropping-particle":"","parse-names":false,"suffix":""},{"dropping-particle":"","family":"Deeb","given":"M.","non-dropping-particle":"","parse-names":false,"suffix":""},{"dropping-particle":"","family":"Fournier","given":"F.","non-dropping-particle":"","parse-names":false,"suffix":""},{"dropping-particle":"","family":"Nehls","given":"T.","non-dropping-particle":"","parse-names":false,"suffix":""},{"dropping-particle":"","family":"Damas","given":"O.","non-dropping-particle":"","parse-names":false,"suffix":""},{"dropping-particle":"","family":"Vidal-Beaudet","given":"L.","non-dropping-particle":"","parse-names":false,"suffix":""}],"container-title":"Waste Management","id":"ITEM-1","issue":"11","issued":{"date-parts":[["2014"]]},"page":"2155-2162","publisher":"Elsevier Ltd","title":"Modelling agronomic properties of Technosols constructed with urban wastes","type":"article-journal","volume":"34"},"uris":["http://www.mendeley.com/documents/?uuid=4e33b9e8-4fc4-4ca1-99e0-5731a0fe61ee"]}],"mendeley":{"formattedCitation":"(Rokia et al., 2014)","plainTextFormattedCitation":"(Rokia et al., 2014)","previouslyFormattedCitation":"(Rokia et al., 2014)"},"properties":{"noteIndex":0},"schema":"https://github.com/citation-style-language/schema/raw/master/csl-citation.json"}</w:instrText>
      </w:r>
      <w:r w:rsidR="00A91C97" w:rsidRPr="00A91C97">
        <w:rPr>
          <w:lang w:val="en-ZA"/>
        </w:rPr>
        <w:fldChar w:fldCharType="separate"/>
      </w:r>
      <w:r w:rsidR="00A91C97" w:rsidRPr="00A91C97">
        <w:rPr>
          <w:lang w:val="en-ZA"/>
        </w:rPr>
        <w:t>Rokia</w:t>
      </w:r>
      <w:r w:rsidR="00A91C97" w:rsidRPr="00A91C97">
        <w:rPr>
          <w:i/>
          <w:iCs/>
          <w:lang w:val="en-ZA"/>
        </w:rPr>
        <w:t xml:space="preserve"> et al. </w:t>
      </w:r>
      <w:r w:rsidR="00A91C97" w:rsidRPr="00A91C97">
        <w:rPr>
          <w:lang w:val="en-ZA"/>
        </w:rPr>
        <w:t>(2014)</w:t>
      </w:r>
      <w:r w:rsidR="00A91C97" w:rsidRPr="00A91C97">
        <w:fldChar w:fldCharType="end"/>
      </w:r>
      <w:r w:rsidR="00A91C97" w:rsidRPr="00A91C97">
        <w:rPr>
          <w:lang w:val="en-ZA"/>
        </w:rPr>
        <w:t xml:space="preserve">, demonstrated the feasibility of producing </w:t>
      </w:r>
      <w:proofErr w:type="spellStart"/>
      <w:r w:rsidR="00A91C97" w:rsidRPr="00A91C97">
        <w:rPr>
          <w:lang w:val="en-ZA"/>
        </w:rPr>
        <w:t>technosols</w:t>
      </w:r>
      <w:proofErr w:type="spellEnd"/>
      <w:r w:rsidR="00A91C97" w:rsidRPr="00A91C97">
        <w:rPr>
          <w:lang w:val="en-ZA"/>
        </w:rPr>
        <w:t xml:space="preserve"> using urban wastes, including earth materials and organic wastes. In terms of using mine waste for </w:t>
      </w:r>
      <w:proofErr w:type="spellStart"/>
      <w:r w:rsidR="00A91C97" w:rsidRPr="00A91C97">
        <w:rPr>
          <w:lang w:val="en-ZA"/>
        </w:rPr>
        <w:t>technosols</w:t>
      </w:r>
      <w:proofErr w:type="spellEnd"/>
      <w:r w:rsidR="00A91C97" w:rsidRPr="00A91C97">
        <w:rPr>
          <w:lang w:val="en-ZA"/>
        </w:rPr>
        <w:t xml:space="preserve"> bioremediation, Ginocchio </w:t>
      </w:r>
      <w:r w:rsidR="00A91C97" w:rsidRPr="00A91C97">
        <w:rPr>
          <w:i/>
          <w:iCs/>
          <w:lang w:val="en-ZA"/>
        </w:rPr>
        <w:t>et al.</w:t>
      </w:r>
      <w:r w:rsidR="00A91C97" w:rsidRPr="00A91C97">
        <w:rPr>
          <w:lang w:val="en-ZA"/>
        </w:rPr>
        <w:t xml:space="preserve"> </w:t>
      </w:r>
      <w:r w:rsidR="00A91C97" w:rsidRPr="00A91C97">
        <w:rPr>
          <w:lang w:val="en-ZA"/>
        </w:rPr>
        <w:fldChar w:fldCharType="begin" w:fldLock="1"/>
      </w:r>
      <w:r w:rsidR="00A91C97" w:rsidRPr="00A91C97">
        <w:rPr>
          <w:lang w:val="en-ZA"/>
        </w:rPr>
        <w:instrText>ADDIN CSL_CITATION {"citationItems":[{"id":"ITEM-1","itemData":{"author":[{"dropping-particle":"","family":"Ginocchio","given":"R","non-dropping-particle":"","parse-names":false,"suffix":""},{"dropping-particle":"","family":"Arellano","given":"EC","non-dropping-particle":"","parse-names":false,"suffix":""},{"dropping-particle":"","family":"Gandarillas","given":"M","non-dropping-particle":"","parse-names":false,"suffix":""},{"dropping-particle":"","family":"Sáez-Navarrete","given":"C","non-dropping-particle":"","parse-names":false,"suffix":""},{"dropping-particle":"","family":"Ham","given":"M","non-dropping-particle":"van","parse-names":false,"suffix":""},{"dropping-particle":"","family":"Brown","given":"S","non-dropping-particle":"","parse-names":false,"suffix":""}],"container-title":"First International Congress on Planning for Closure of Mining Operations","id":"ITEM-1","issued":{"date-parts":[["2016"]]},"page":"1-11","title":"Mixing residues allows multiple benefits beyond proper stabilization of tailings storage facilities at closure.","type":"article-journal"},"uris":["http://www.mendeley.com/documents/?uuid=deb31cb1-ebd3-4359-92a9-3657785d8938"]}],"mendeley":{"formattedCitation":"(Ginocchio et al., 2016)","manualFormatting":"(2016)","plainTextFormattedCitation":"(Ginocchio et al., 2016)","previouslyFormattedCitation":"(Ginocchio et al., 2016)"},"properties":{"noteIndex":0},"schema":"https://github.com/citation-style-language/schema/raw/master/csl-citation.json"}</w:instrText>
      </w:r>
      <w:r w:rsidR="00A91C97" w:rsidRPr="00A91C97">
        <w:rPr>
          <w:lang w:val="en-ZA"/>
        </w:rPr>
        <w:fldChar w:fldCharType="separate"/>
      </w:r>
      <w:r w:rsidR="00A91C97" w:rsidRPr="00A91C97">
        <w:rPr>
          <w:lang w:val="en-ZA"/>
        </w:rPr>
        <w:t>(2016)</w:t>
      </w:r>
      <w:r w:rsidR="00A91C97" w:rsidRPr="00A91C97">
        <w:fldChar w:fldCharType="end"/>
      </w:r>
      <w:r w:rsidR="00A91C97" w:rsidRPr="00A91C97">
        <w:rPr>
          <w:lang w:val="en-ZA"/>
        </w:rPr>
        <w:t>, ha</w:t>
      </w:r>
      <w:r w:rsidR="00DB2F8B">
        <w:rPr>
          <w:lang w:val="en-ZA"/>
        </w:rPr>
        <w:t>s</w:t>
      </w:r>
      <w:r w:rsidR="00A91C97" w:rsidRPr="00A91C97">
        <w:rPr>
          <w:lang w:val="en-ZA"/>
        </w:rPr>
        <w:t xml:space="preserve"> shown that organic wastes, when applied to mine waste speed-up soil formation and are critical for the establishment of a self-sustainable plant cover and for root development. </w:t>
      </w:r>
      <w:proofErr w:type="spellStart"/>
      <w:r w:rsidR="00A91C97" w:rsidRPr="00A91C97">
        <w:rPr>
          <w:lang w:val="en-ZA"/>
        </w:rPr>
        <w:t>Technosols</w:t>
      </w:r>
      <w:proofErr w:type="spellEnd"/>
      <w:r w:rsidR="00A91C97" w:rsidRPr="00A91C97">
        <w:rPr>
          <w:lang w:val="en-ZA"/>
        </w:rPr>
        <w:t xml:space="preserve"> bioremediation studies using coal waste as main parental material, have grown in recent years, however, few studies considered the ecotoxicological aspects in view of mine rehabilitation strategies (Shanmugasundaram </w:t>
      </w:r>
      <w:r w:rsidR="00A91C97" w:rsidRPr="00A91C97">
        <w:rPr>
          <w:i/>
          <w:iCs/>
          <w:lang w:val="en-ZA"/>
        </w:rPr>
        <w:t>et al.,</w:t>
      </w:r>
      <w:r w:rsidR="00A91C97" w:rsidRPr="00A91C97">
        <w:rPr>
          <w:lang w:val="en-ZA"/>
        </w:rPr>
        <w:t xml:space="preserve"> 2014</w:t>
      </w:r>
      <w:r w:rsidR="0084459A">
        <w:rPr>
          <w:lang w:val="en-ZA"/>
        </w:rPr>
        <w:t>)</w:t>
      </w:r>
      <w:r w:rsidR="00A91C97" w:rsidRPr="00A91C97">
        <w:rPr>
          <w:lang w:val="en-ZA"/>
        </w:rPr>
        <w:t xml:space="preserve">. Additionally, there has been little synthesis of research knowledge pertaining the ecotoxicological trends in chemical activity of metal trace elements in coal waste. Proving that the toxicity of some coal waste tailings is one of the major problems that are experienced during vegetation establishment. The study proposes </w:t>
      </w:r>
      <w:r w:rsidR="00A91C97" w:rsidRPr="00A91C97">
        <w:rPr>
          <w:lang w:val="en-ZA"/>
        </w:rPr>
        <w:lastRenderedPageBreak/>
        <w:t xml:space="preserve">the development of topsoil and the influence of amendments through repurposing of coal waste that will ensure improvement of soil properties, introduction of pioneer species and beginning of soil-forming and biological processes in </w:t>
      </w:r>
      <w:proofErr w:type="spellStart"/>
      <w:r w:rsidR="00A91C97" w:rsidRPr="00A91C97">
        <w:rPr>
          <w:lang w:val="en-ZA"/>
        </w:rPr>
        <w:t>technosols</w:t>
      </w:r>
      <w:proofErr w:type="spellEnd"/>
      <w:r w:rsidR="00A91C97" w:rsidRPr="00A91C97">
        <w:rPr>
          <w:lang w:val="en-ZA"/>
        </w:rPr>
        <w:t xml:space="preserve">. </w:t>
      </w:r>
      <w:r w:rsidR="00D9465D">
        <w:rPr>
          <w:lang w:val="en-ZA"/>
        </w:rPr>
        <w:t xml:space="preserve">The present paper assesses the sustainable potential use of </w:t>
      </w:r>
      <w:proofErr w:type="spellStart"/>
      <w:r w:rsidR="00D9465D">
        <w:rPr>
          <w:lang w:val="en-ZA"/>
        </w:rPr>
        <w:t>technosols</w:t>
      </w:r>
      <w:proofErr w:type="spellEnd"/>
      <w:r w:rsidR="00D9465D">
        <w:rPr>
          <w:lang w:val="en-ZA"/>
        </w:rPr>
        <w:t xml:space="preserve"> as an alternative material for topsoil</w:t>
      </w:r>
      <w:r w:rsidR="00A91C97" w:rsidRPr="00A91C97">
        <w:rPr>
          <w:lang w:val="en-ZA"/>
        </w:rPr>
        <w:t>.</w:t>
      </w:r>
      <w:r w:rsidR="00D9465D">
        <w:rPr>
          <w:lang w:val="en-ZA"/>
        </w:rPr>
        <w:t xml:space="preserve"> The feasibility of using </w:t>
      </w:r>
      <w:proofErr w:type="spellStart"/>
      <w:r w:rsidR="00D9465D">
        <w:rPr>
          <w:lang w:val="en-ZA"/>
        </w:rPr>
        <w:t>technosols</w:t>
      </w:r>
      <w:proofErr w:type="spellEnd"/>
      <w:r w:rsidR="00D9465D">
        <w:rPr>
          <w:lang w:val="en-ZA"/>
        </w:rPr>
        <w:t xml:space="preserve"> bioremediation in early development was investigated and suitability of ecotoxicity tests were carried out. For this purpose, the influence of amendments on different treatments was also assessed.</w:t>
      </w:r>
      <w:r w:rsidR="00A91C97" w:rsidRPr="00A91C97">
        <w:rPr>
          <w:lang w:val="en-ZA"/>
        </w:rPr>
        <w:t xml:space="preserve"> This approach will minimise water-based environmental and terrestrial burdens and further seek to provide a new product in the form of </w:t>
      </w:r>
      <w:proofErr w:type="spellStart"/>
      <w:r w:rsidR="00A91C97" w:rsidRPr="00A91C97">
        <w:rPr>
          <w:lang w:val="en-ZA"/>
        </w:rPr>
        <w:t>technosols</w:t>
      </w:r>
      <w:proofErr w:type="spellEnd"/>
      <w:r w:rsidR="00A91C97" w:rsidRPr="00A91C97">
        <w:rPr>
          <w:lang w:val="en-ZA"/>
        </w:rPr>
        <w:t xml:space="preserve"> bioremediation.</w:t>
      </w:r>
    </w:p>
    <w:p w14:paraId="61A9B77A" w14:textId="79340A1D" w:rsidR="00600535" w:rsidRPr="00B57B36" w:rsidRDefault="0052588D" w:rsidP="0052588D">
      <w:pPr>
        <w:pStyle w:val="CETHeading1"/>
      </w:pPr>
      <w:r>
        <w:t xml:space="preserve">Materials and methods </w:t>
      </w:r>
    </w:p>
    <w:p w14:paraId="10ACE406" w14:textId="623543B2" w:rsidR="00DB2F8B" w:rsidRDefault="0052588D" w:rsidP="00D341DA">
      <w:pPr>
        <w:pStyle w:val="ListParagraph"/>
        <w:ind w:left="0"/>
      </w:pPr>
      <w:r w:rsidRPr="005C03E4">
        <w:t xml:space="preserve">Coal tailings, slurry and local soils with a broad spectrum of topsoil requirements and a naturally acidic soils (control medium) </w:t>
      </w:r>
      <w:r>
        <w:t>were</w:t>
      </w:r>
      <w:r w:rsidRPr="005C03E4">
        <w:t xml:space="preserve"> used in this study. Separation processes and sampling of the parent material </w:t>
      </w:r>
      <w:r>
        <w:t>was</w:t>
      </w:r>
      <w:r w:rsidRPr="005C03E4">
        <w:t xml:space="preserve"> carried out simultaneously with the required amendments to provide an organic and nutrient source. Parent material </w:t>
      </w:r>
      <w:r>
        <w:t>was</w:t>
      </w:r>
      <w:r w:rsidRPr="005C03E4">
        <w:t xml:space="preserve"> composed of tailings and slurry that was generated in the coal processing plant/unit during the extraction and beneficiation of coal; secondly, Virgin and stockpile soils were also utilized as control. The criteria of selection follow</w:t>
      </w:r>
      <w:r>
        <w:t>ed</w:t>
      </w:r>
      <w:r w:rsidRPr="005C03E4">
        <w:t xml:space="preserve"> the adoption by the World Reference Base for Soil Resources from a mixture of Anthropic soils,  regional availability, abundance and cost. The coal wastes </w:t>
      </w:r>
      <w:r>
        <w:t>were</w:t>
      </w:r>
      <w:r w:rsidRPr="005C03E4">
        <w:t xml:space="preserve"> the tailings and the slurry, the amendments </w:t>
      </w:r>
      <w:r>
        <w:t>were</w:t>
      </w:r>
      <w:r w:rsidRPr="005C03E4">
        <w:t xml:space="preserve"> the compost made off green waste and malt residue as by product from the beer industry after brewing.</w:t>
      </w:r>
      <w:r>
        <w:t xml:space="preserve"> Parent</w:t>
      </w:r>
      <w:r w:rsidRPr="005C03E4">
        <w:t xml:space="preserve"> materials and amendments were homogenised for obtainment of representative subsamples and then were oven dried at 30°C room for 72hours. Malt residue </w:t>
      </w:r>
      <w:r>
        <w:t>was</w:t>
      </w:r>
      <w:r w:rsidRPr="005C03E4">
        <w:t xml:space="preserve"> then disaggregated, compost milled manually (comminution) and passed through a 5.6mm sieve analysis. Soils and coal</w:t>
      </w:r>
      <w:r>
        <w:t xml:space="preserve"> waste</w:t>
      </w:r>
      <w:r w:rsidRPr="005C03E4">
        <w:t xml:space="preserve"> as controls w</w:t>
      </w:r>
      <w:r>
        <w:t>ere</w:t>
      </w:r>
      <w:r w:rsidRPr="005C03E4">
        <w:t xml:space="preserve"> pass</w:t>
      </w:r>
      <w:r>
        <w:t>ed</w:t>
      </w:r>
      <w:r w:rsidRPr="005C03E4">
        <w:t xml:space="preserve"> through a 2mm sieve. The main materials and amendments of different organics </w:t>
      </w:r>
      <w:r>
        <w:t>were</w:t>
      </w:r>
      <w:r w:rsidRPr="005C03E4">
        <w:t xml:space="preserve"> dried at a temperature of 30</w:t>
      </w:r>
      <w:r>
        <w:t xml:space="preserve"> </w:t>
      </w:r>
      <w:r w:rsidRPr="005C03E4">
        <w:t xml:space="preserve"> </w:t>
      </w:r>
      <w:proofErr w:type="spellStart"/>
      <w:r w:rsidRPr="00DB2F8B">
        <w:rPr>
          <w:vertAlign w:val="superscript"/>
        </w:rPr>
        <w:t>o</w:t>
      </w:r>
      <w:r w:rsidRPr="005C03E4">
        <w:t>C</w:t>
      </w:r>
      <w:proofErr w:type="spellEnd"/>
      <w:r w:rsidRPr="005C03E4">
        <w:t xml:space="preserve"> for a minimum of 72 hours to prevent Nitrogen loss. </w:t>
      </w:r>
      <w:r w:rsidRPr="00E938FA">
        <w:t>By using a comprehensive set of analytical tools; the chemical</w:t>
      </w:r>
      <w:r>
        <w:t xml:space="preserve"> and</w:t>
      </w:r>
      <w:r w:rsidRPr="00E938FA">
        <w:t xml:space="preserve"> physical aspects required for a well-functioning soil </w:t>
      </w:r>
      <w:r>
        <w:t>were</w:t>
      </w:r>
      <w:r w:rsidRPr="00E938FA">
        <w:t xml:space="preserve"> defined. Material characterization and analyses </w:t>
      </w:r>
      <w:r>
        <w:t>were</w:t>
      </w:r>
      <w:r w:rsidRPr="00E938FA">
        <w:t xml:space="preserve"> performed based on the South African standards presented by The Non-Affiliated Analyses Work Committee (1990) and in accordance with the EPA 3050B (US EPA 1996). Parent materials </w:t>
      </w:r>
      <w:r w:rsidR="00FC0F2D">
        <w:t>were</w:t>
      </w:r>
      <w:r w:rsidRPr="00E938FA">
        <w:t xml:space="preserve"> analysed for </w:t>
      </w:r>
      <w:proofErr w:type="spellStart"/>
      <w:r w:rsidRPr="00E938FA">
        <w:t>physico</w:t>
      </w:r>
      <w:proofErr w:type="spellEnd"/>
      <w:r w:rsidRPr="00E938FA">
        <w:t>-chemical parameters and amendments analysed for CHNS as set out by the DME (2001).</w:t>
      </w:r>
      <w:r>
        <w:t xml:space="preserve"> </w:t>
      </w:r>
    </w:p>
    <w:p w14:paraId="4E0D3E9D" w14:textId="77777777" w:rsidR="00DB2F8B" w:rsidRDefault="00DB2F8B" w:rsidP="00DB2F8B">
      <w:pPr>
        <w:pStyle w:val="ListParagraph"/>
        <w:ind w:left="0"/>
      </w:pPr>
    </w:p>
    <w:p w14:paraId="07D34F63" w14:textId="2CCA4816" w:rsidR="0052588D" w:rsidRDefault="0052588D" w:rsidP="00DB2F8B">
      <w:pPr>
        <w:pStyle w:val="ListParagraph"/>
        <w:ind w:left="0"/>
      </w:pPr>
      <w:r w:rsidRPr="00E938FA">
        <w:t>For the procedure to be less complex,</w:t>
      </w:r>
      <w:r w:rsidR="00FC5070">
        <w:t xml:space="preserve"> various proportions of waste with classical soil indicator attributes have been selected to determine appropriate ratios</w:t>
      </w:r>
      <w:r w:rsidR="00F03116">
        <w:t xml:space="preserve"> based on structural soil model and agronomic characteris</w:t>
      </w:r>
      <w:r w:rsidR="007017CE">
        <w:t>tics</w:t>
      </w:r>
      <w:r w:rsidR="00F03116">
        <w:t xml:space="preserve">. </w:t>
      </w:r>
      <w:r w:rsidRPr="00E938FA">
        <w:t>The construction</w:t>
      </w:r>
      <w:r w:rsidR="00F03116">
        <w:t xml:space="preserve"> materials </w:t>
      </w:r>
      <w:r w:rsidRPr="00E938FA">
        <w:t xml:space="preserve"> </w:t>
      </w:r>
      <w:r>
        <w:t>w</w:t>
      </w:r>
      <w:r w:rsidR="00F03116">
        <w:t>ere</w:t>
      </w:r>
      <w:r w:rsidRPr="00E938FA">
        <w:t xml:space="preserve"> prepared</w:t>
      </w:r>
      <w:r w:rsidR="00F03116">
        <w:t xml:space="preserve"> to feasibly create</w:t>
      </w:r>
      <w:r w:rsidR="007017CE">
        <w:t xml:space="preserve"> a</w:t>
      </w:r>
      <w:r w:rsidR="00F03116">
        <w:t xml:space="preserve"> fertile substrate</w:t>
      </w:r>
      <w:r w:rsidR="007017CE">
        <w:t xml:space="preserve"> that provided a variation in </w:t>
      </w:r>
      <w:proofErr w:type="spellStart"/>
      <w:r w:rsidR="007017CE">
        <w:t>physico</w:t>
      </w:r>
      <w:proofErr w:type="spellEnd"/>
      <w:r w:rsidR="007017CE">
        <w:t>-chemical properties of mixtures constituted</w:t>
      </w:r>
      <w:r w:rsidR="00F03116">
        <w:t xml:space="preserve"> with the ability to support plant biomass production</w:t>
      </w:r>
      <w:r w:rsidR="00806E8F">
        <w:t xml:space="preserve"> (Rokia et al., 2014)</w:t>
      </w:r>
      <w:r w:rsidR="00F03116">
        <w:t xml:space="preserve">. </w:t>
      </w:r>
      <w:r w:rsidRPr="00E938FA">
        <w:t xml:space="preserve">The standard NF EN 13041 method </w:t>
      </w:r>
      <w:r w:rsidR="00FC0F2D">
        <w:t>was</w:t>
      </w:r>
      <w:r w:rsidRPr="00E938FA">
        <w:t xml:space="preserve"> adapted for the bulk density determination of samples</w:t>
      </w:r>
      <w:r w:rsidR="00806E8F">
        <w:t xml:space="preserve">. </w:t>
      </w:r>
      <w:r w:rsidRPr="00E938FA">
        <w:t xml:space="preserve">Table </w:t>
      </w:r>
      <w:r>
        <w:t>1</w:t>
      </w:r>
      <w:r w:rsidRPr="00E938FA">
        <w:t xml:space="preserve"> show</w:t>
      </w:r>
      <w:r w:rsidR="00470339">
        <w:t>ed</w:t>
      </w:r>
      <w:r w:rsidRPr="00E938FA">
        <w:t xml:space="preserve"> the procedure followed </w:t>
      </w:r>
      <w:r w:rsidR="00470339">
        <w:t>during</w:t>
      </w:r>
      <w:r w:rsidRPr="00E938FA">
        <w:t xml:space="preserve"> </w:t>
      </w:r>
      <w:proofErr w:type="spellStart"/>
      <w:r>
        <w:t>technosols</w:t>
      </w:r>
      <w:proofErr w:type="spellEnd"/>
      <w:r w:rsidR="00470339">
        <w:t xml:space="preserve"> preparations</w:t>
      </w:r>
      <w:r w:rsidRPr="00E938FA">
        <w:t>.</w:t>
      </w:r>
      <w:r>
        <w:t xml:space="preserve"> </w:t>
      </w:r>
      <w:r w:rsidRPr="00932F6C">
        <w:t xml:space="preserve">Representative fractions </w:t>
      </w:r>
      <w:r>
        <w:t>were</w:t>
      </w:r>
      <w:r w:rsidRPr="00932F6C">
        <w:t xml:space="preserve"> selected to efficiently contribute to the </w:t>
      </w:r>
      <w:proofErr w:type="spellStart"/>
      <w:r>
        <w:t>technosols</w:t>
      </w:r>
      <w:proofErr w:type="spellEnd"/>
      <w:r>
        <w:t xml:space="preserve"> creation</w:t>
      </w:r>
      <w:r w:rsidR="00470339">
        <w:t>:</w:t>
      </w:r>
      <w:r w:rsidRPr="00932F6C">
        <w:t xml:space="preserve"> sustainable </w:t>
      </w:r>
      <w:proofErr w:type="spellStart"/>
      <w:r>
        <w:t>technosols</w:t>
      </w:r>
      <w:proofErr w:type="spellEnd"/>
      <w:r w:rsidRPr="00932F6C">
        <w:t xml:space="preserve"> structure, stimulate and activate microbial growth and stabilization of soil organic matter. </w:t>
      </w:r>
    </w:p>
    <w:p w14:paraId="46FD6A7B" w14:textId="77777777" w:rsidR="00FD3D94" w:rsidRDefault="00FD3D94" w:rsidP="00FD3D94">
      <w:pPr>
        <w:pStyle w:val="ListParagraph"/>
        <w:ind w:left="0"/>
      </w:pPr>
    </w:p>
    <w:p w14:paraId="2827016F" w14:textId="0179B778" w:rsidR="0052588D" w:rsidRPr="00FD3D94" w:rsidRDefault="00FD3D94" w:rsidP="00FD3D94">
      <w:pPr>
        <w:rPr>
          <w:i/>
          <w:iCs/>
        </w:rPr>
      </w:pPr>
      <w:r w:rsidRPr="007E47F7">
        <w:rPr>
          <w:i/>
          <w:iCs/>
        </w:rPr>
        <w:t>Table 1: Soil mixes for material compositions and different ratios</w:t>
      </w:r>
    </w:p>
    <w:p w14:paraId="63D93118" w14:textId="77777777" w:rsidR="0052588D" w:rsidRDefault="0052588D" w:rsidP="0052588D">
      <w:pPr>
        <w:pStyle w:val="ListParagraph"/>
        <w:ind w:left="0"/>
      </w:pPr>
    </w:p>
    <w:tbl>
      <w:tblPr>
        <w:tblStyle w:val="PlainTable2"/>
        <w:tblW w:w="9493" w:type="dxa"/>
        <w:tblInd w:w="-284" w:type="dxa"/>
        <w:tblLayout w:type="fixed"/>
        <w:tblLook w:val="04A0" w:firstRow="1" w:lastRow="0" w:firstColumn="1" w:lastColumn="0" w:noHBand="0" w:noVBand="1"/>
      </w:tblPr>
      <w:tblGrid>
        <w:gridCol w:w="1555"/>
        <w:gridCol w:w="1276"/>
        <w:gridCol w:w="709"/>
        <w:gridCol w:w="708"/>
        <w:gridCol w:w="709"/>
        <w:gridCol w:w="851"/>
        <w:gridCol w:w="708"/>
        <w:gridCol w:w="709"/>
        <w:gridCol w:w="709"/>
        <w:gridCol w:w="709"/>
        <w:gridCol w:w="850"/>
      </w:tblGrid>
      <w:tr w:rsidR="00A71C3A" w:rsidRPr="00A71C3A" w14:paraId="337F1B22" w14:textId="77777777" w:rsidTr="00B5201F">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831" w:type="dxa"/>
            <w:gridSpan w:val="2"/>
            <w:vMerge w:val="restart"/>
          </w:tcPr>
          <w:p w14:paraId="7D58DE05" w14:textId="77777777" w:rsidR="00A71C3A" w:rsidRPr="00A71C3A" w:rsidRDefault="00A71C3A" w:rsidP="00A71C3A">
            <w:pPr>
              <w:pStyle w:val="CETBodytext"/>
              <w:rPr>
                <w:lang w:val="en-ZA"/>
              </w:rPr>
            </w:pPr>
            <w:bookmarkStart w:id="2" w:name="_Hlk44330358"/>
            <w:r w:rsidRPr="00A71C3A">
              <w:rPr>
                <w:lang w:val="en-ZA"/>
              </w:rPr>
              <w:t>w/w</w:t>
            </w:r>
          </w:p>
        </w:tc>
        <w:tc>
          <w:tcPr>
            <w:tcW w:w="2126" w:type="dxa"/>
            <w:gridSpan w:val="3"/>
            <w:vMerge w:val="restart"/>
          </w:tcPr>
          <w:p w14:paraId="554A7168"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Controls</w:t>
            </w:r>
          </w:p>
          <w:p w14:paraId="23ED8BE8"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C1     C2      C3</w:t>
            </w:r>
          </w:p>
        </w:tc>
        <w:tc>
          <w:tcPr>
            <w:tcW w:w="851" w:type="dxa"/>
          </w:tcPr>
          <w:p w14:paraId="6B1D170C"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1</w:t>
            </w:r>
          </w:p>
        </w:tc>
        <w:tc>
          <w:tcPr>
            <w:tcW w:w="708" w:type="dxa"/>
          </w:tcPr>
          <w:p w14:paraId="560A2A68"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2</w:t>
            </w:r>
          </w:p>
        </w:tc>
        <w:tc>
          <w:tcPr>
            <w:tcW w:w="709" w:type="dxa"/>
          </w:tcPr>
          <w:p w14:paraId="5F09CC25"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3</w:t>
            </w:r>
          </w:p>
        </w:tc>
        <w:tc>
          <w:tcPr>
            <w:tcW w:w="709" w:type="dxa"/>
          </w:tcPr>
          <w:p w14:paraId="15E984A8"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4</w:t>
            </w:r>
          </w:p>
        </w:tc>
        <w:tc>
          <w:tcPr>
            <w:tcW w:w="709" w:type="dxa"/>
          </w:tcPr>
          <w:p w14:paraId="3A92D302"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5</w:t>
            </w:r>
          </w:p>
        </w:tc>
        <w:tc>
          <w:tcPr>
            <w:tcW w:w="850" w:type="dxa"/>
          </w:tcPr>
          <w:p w14:paraId="2DB5D37D" w14:textId="77777777" w:rsidR="00A71C3A" w:rsidRPr="00A71C3A" w:rsidRDefault="00A71C3A" w:rsidP="00A71C3A">
            <w:pPr>
              <w:pStyle w:val="CETBodytext"/>
              <w:cnfStyle w:val="100000000000" w:firstRow="1" w:lastRow="0" w:firstColumn="0" w:lastColumn="0" w:oddVBand="0" w:evenVBand="0" w:oddHBand="0" w:evenHBand="0" w:firstRowFirstColumn="0" w:firstRowLastColumn="0" w:lastRowFirstColumn="0" w:lastRowLastColumn="0"/>
              <w:rPr>
                <w:lang w:val="en-ZA"/>
              </w:rPr>
            </w:pPr>
            <w:r w:rsidRPr="00A71C3A">
              <w:rPr>
                <w:lang w:val="en-ZA"/>
              </w:rPr>
              <w:t>6</w:t>
            </w:r>
          </w:p>
        </w:tc>
      </w:tr>
      <w:tr w:rsidR="00A71C3A" w:rsidRPr="00A71C3A" w14:paraId="6F27FC13" w14:textId="77777777" w:rsidTr="00B5201F">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831" w:type="dxa"/>
            <w:gridSpan w:val="2"/>
            <w:vMerge/>
          </w:tcPr>
          <w:p w14:paraId="2E40AE16" w14:textId="77777777" w:rsidR="00A71C3A" w:rsidRPr="00A71C3A" w:rsidRDefault="00A71C3A" w:rsidP="00A71C3A">
            <w:pPr>
              <w:pStyle w:val="CETBodytext"/>
              <w:rPr>
                <w:lang w:val="en-ZA"/>
              </w:rPr>
            </w:pPr>
          </w:p>
        </w:tc>
        <w:tc>
          <w:tcPr>
            <w:tcW w:w="2126" w:type="dxa"/>
            <w:gridSpan w:val="3"/>
            <w:vMerge/>
          </w:tcPr>
          <w:p w14:paraId="02634774"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p>
        </w:tc>
        <w:tc>
          <w:tcPr>
            <w:tcW w:w="851" w:type="dxa"/>
          </w:tcPr>
          <w:p w14:paraId="35B8EF3A"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CWT/SS/MR</w:t>
            </w:r>
          </w:p>
        </w:tc>
        <w:tc>
          <w:tcPr>
            <w:tcW w:w="708" w:type="dxa"/>
          </w:tcPr>
          <w:p w14:paraId="12BE65DB"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CWT/MR (5%)</w:t>
            </w:r>
          </w:p>
        </w:tc>
        <w:tc>
          <w:tcPr>
            <w:tcW w:w="709" w:type="dxa"/>
          </w:tcPr>
          <w:p w14:paraId="2D564E9D"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CWT/C (5%)</w:t>
            </w:r>
          </w:p>
        </w:tc>
        <w:tc>
          <w:tcPr>
            <w:tcW w:w="709" w:type="dxa"/>
          </w:tcPr>
          <w:p w14:paraId="63129E85"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CWT/C (2.5%)</w:t>
            </w:r>
          </w:p>
        </w:tc>
        <w:tc>
          <w:tcPr>
            <w:tcW w:w="709" w:type="dxa"/>
          </w:tcPr>
          <w:p w14:paraId="5C584B14"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CWS/C (5%)</w:t>
            </w:r>
          </w:p>
        </w:tc>
        <w:tc>
          <w:tcPr>
            <w:tcW w:w="850" w:type="dxa"/>
          </w:tcPr>
          <w:p w14:paraId="42451449"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CWS/SS/MR</w:t>
            </w:r>
          </w:p>
        </w:tc>
      </w:tr>
      <w:tr w:rsidR="00A71C3A" w:rsidRPr="00A71C3A" w14:paraId="23EEDBB4" w14:textId="77777777" w:rsidTr="00B5201F">
        <w:trPr>
          <w:trHeight w:val="36"/>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BFE50A6" w14:textId="77777777" w:rsidR="00A71C3A" w:rsidRPr="00A71C3A" w:rsidRDefault="00A71C3A" w:rsidP="00A71C3A">
            <w:pPr>
              <w:pStyle w:val="CETBodytext"/>
              <w:rPr>
                <w:lang w:val="en-ZA"/>
              </w:rPr>
            </w:pPr>
            <w:r w:rsidRPr="00A71C3A">
              <w:rPr>
                <w:lang w:val="en-ZA"/>
              </w:rPr>
              <w:t>Main Material</w:t>
            </w:r>
          </w:p>
          <w:p w14:paraId="1668D1F0" w14:textId="77777777" w:rsidR="00A71C3A" w:rsidRPr="00A71C3A" w:rsidRDefault="00A71C3A" w:rsidP="00A71C3A">
            <w:pPr>
              <w:pStyle w:val="CETBodytext"/>
              <w:rPr>
                <w:lang w:val="en-ZA"/>
              </w:rPr>
            </w:pPr>
            <w:r w:rsidRPr="00A71C3A">
              <w:rPr>
                <w:lang w:val="en-ZA"/>
              </w:rPr>
              <w:t>(%w/w)</w:t>
            </w:r>
          </w:p>
        </w:tc>
        <w:tc>
          <w:tcPr>
            <w:tcW w:w="1276" w:type="dxa"/>
          </w:tcPr>
          <w:p w14:paraId="4E4AB1BD"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bCs/>
                <w:lang w:val="en-ZA"/>
              </w:rPr>
            </w:pPr>
            <w:r w:rsidRPr="00A71C3A">
              <w:rPr>
                <w:bCs/>
                <w:lang w:val="en-ZA"/>
              </w:rPr>
              <w:t>Stockpiled topsoil</w:t>
            </w:r>
          </w:p>
        </w:tc>
        <w:tc>
          <w:tcPr>
            <w:tcW w:w="709" w:type="dxa"/>
          </w:tcPr>
          <w:p w14:paraId="2291796D"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8" w:type="dxa"/>
          </w:tcPr>
          <w:p w14:paraId="41EC154D"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9" w:type="dxa"/>
          </w:tcPr>
          <w:p w14:paraId="18FA087C"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100%</w:t>
            </w:r>
          </w:p>
        </w:tc>
        <w:tc>
          <w:tcPr>
            <w:tcW w:w="851" w:type="dxa"/>
          </w:tcPr>
          <w:p w14:paraId="4B244AE6"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23.75%</w:t>
            </w:r>
          </w:p>
        </w:tc>
        <w:tc>
          <w:tcPr>
            <w:tcW w:w="708" w:type="dxa"/>
          </w:tcPr>
          <w:p w14:paraId="4A5A28D4"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9" w:type="dxa"/>
          </w:tcPr>
          <w:p w14:paraId="7FDD2D98"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9" w:type="dxa"/>
          </w:tcPr>
          <w:p w14:paraId="632B2597"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9" w:type="dxa"/>
          </w:tcPr>
          <w:p w14:paraId="094DF7FD"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850" w:type="dxa"/>
          </w:tcPr>
          <w:p w14:paraId="0F2F4821"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23.75%</w:t>
            </w:r>
          </w:p>
        </w:tc>
      </w:tr>
      <w:tr w:rsidR="00A71C3A" w:rsidRPr="00A71C3A" w14:paraId="62F8A532" w14:textId="77777777" w:rsidTr="00B5201F">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555" w:type="dxa"/>
            <w:vMerge/>
          </w:tcPr>
          <w:p w14:paraId="1D6F4755" w14:textId="77777777" w:rsidR="00A71C3A" w:rsidRPr="00A71C3A" w:rsidRDefault="00A71C3A" w:rsidP="00A71C3A">
            <w:pPr>
              <w:pStyle w:val="CETBodytext"/>
              <w:rPr>
                <w:lang w:val="en-ZA"/>
              </w:rPr>
            </w:pPr>
          </w:p>
        </w:tc>
        <w:tc>
          <w:tcPr>
            <w:tcW w:w="1276" w:type="dxa"/>
          </w:tcPr>
          <w:p w14:paraId="51105188"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bCs/>
                <w:lang w:val="en-ZA"/>
              </w:rPr>
            </w:pPr>
            <w:r w:rsidRPr="00A71C3A">
              <w:rPr>
                <w:bCs/>
                <w:lang w:val="en-ZA"/>
              </w:rPr>
              <w:t>Virgin topsoil</w:t>
            </w:r>
          </w:p>
        </w:tc>
        <w:tc>
          <w:tcPr>
            <w:tcW w:w="709" w:type="dxa"/>
          </w:tcPr>
          <w:p w14:paraId="7A14BD72"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8" w:type="dxa"/>
          </w:tcPr>
          <w:p w14:paraId="08B4C5F7"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100%</w:t>
            </w:r>
          </w:p>
        </w:tc>
        <w:tc>
          <w:tcPr>
            <w:tcW w:w="709" w:type="dxa"/>
          </w:tcPr>
          <w:p w14:paraId="1A1B3879"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851" w:type="dxa"/>
          </w:tcPr>
          <w:p w14:paraId="21524616"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8" w:type="dxa"/>
          </w:tcPr>
          <w:p w14:paraId="6C578272"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9" w:type="dxa"/>
          </w:tcPr>
          <w:p w14:paraId="7434420D"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9" w:type="dxa"/>
          </w:tcPr>
          <w:p w14:paraId="13D6E9A2"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9" w:type="dxa"/>
          </w:tcPr>
          <w:p w14:paraId="36CD9789"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850" w:type="dxa"/>
          </w:tcPr>
          <w:p w14:paraId="083B38A4"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p>
        </w:tc>
      </w:tr>
      <w:tr w:rsidR="00A71C3A" w:rsidRPr="00A71C3A" w14:paraId="6D3B4BB2" w14:textId="77777777" w:rsidTr="00413F1F">
        <w:trPr>
          <w:trHeight w:val="320"/>
        </w:trPr>
        <w:tc>
          <w:tcPr>
            <w:cnfStyle w:val="001000000000" w:firstRow="0" w:lastRow="0" w:firstColumn="1" w:lastColumn="0" w:oddVBand="0" w:evenVBand="0" w:oddHBand="0" w:evenHBand="0" w:firstRowFirstColumn="0" w:firstRowLastColumn="0" w:lastRowFirstColumn="0" w:lastRowLastColumn="0"/>
            <w:tcW w:w="1555" w:type="dxa"/>
            <w:vMerge/>
          </w:tcPr>
          <w:p w14:paraId="77E66326" w14:textId="77777777" w:rsidR="00A71C3A" w:rsidRPr="00A71C3A" w:rsidRDefault="00A71C3A" w:rsidP="00A71C3A">
            <w:pPr>
              <w:pStyle w:val="CETBodytext"/>
              <w:rPr>
                <w:lang w:val="en-ZA"/>
              </w:rPr>
            </w:pPr>
          </w:p>
        </w:tc>
        <w:tc>
          <w:tcPr>
            <w:tcW w:w="1276" w:type="dxa"/>
          </w:tcPr>
          <w:p w14:paraId="5C76AFE6"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bCs/>
                <w:lang w:val="en-ZA"/>
              </w:rPr>
            </w:pPr>
            <w:r w:rsidRPr="00A71C3A">
              <w:rPr>
                <w:bCs/>
                <w:lang w:val="en-ZA"/>
              </w:rPr>
              <w:t>Coal tailings</w:t>
            </w:r>
          </w:p>
        </w:tc>
        <w:tc>
          <w:tcPr>
            <w:tcW w:w="709" w:type="dxa"/>
          </w:tcPr>
          <w:p w14:paraId="5046F793"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100%</w:t>
            </w:r>
          </w:p>
        </w:tc>
        <w:tc>
          <w:tcPr>
            <w:tcW w:w="708" w:type="dxa"/>
          </w:tcPr>
          <w:p w14:paraId="4D94A741"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p>
        </w:tc>
        <w:tc>
          <w:tcPr>
            <w:tcW w:w="709" w:type="dxa"/>
          </w:tcPr>
          <w:p w14:paraId="5AE1552F"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p>
        </w:tc>
        <w:tc>
          <w:tcPr>
            <w:tcW w:w="851" w:type="dxa"/>
          </w:tcPr>
          <w:p w14:paraId="118DCD7C"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71.25%</w:t>
            </w:r>
          </w:p>
        </w:tc>
        <w:tc>
          <w:tcPr>
            <w:tcW w:w="708" w:type="dxa"/>
          </w:tcPr>
          <w:p w14:paraId="0810C69F"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95%</w:t>
            </w:r>
          </w:p>
        </w:tc>
        <w:tc>
          <w:tcPr>
            <w:tcW w:w="709" w:type="dxa"/>
          </w:tcPr>
          <w:p w14:paraId="06A07A90"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95%</w:t>
            </w:r>
          </w:p>
        </w:tc>
        <w:tc>
          <w:tcPr>
            <w:tcW w:w="709" w:type="dxa"/>
          </w:tcPr>
          <w:p w14:paraId="558A8DA6"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97.5%</w:t>
            </w:r>
          </w:p>
        </w:tc>
        <w:tc>
          <w:tcPr>
            <w:tcW w:w="709" w:type="dxa"/>
          </w:tcPr>
          <w:p w14:paraId="3F690101"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p>
        </w:tc>
        <w:tc>
          <w:tcPr>
            <w:tcW w:w="850" w:type="dxa"/>
          </w:tcPr>
          <w:p w14:paraId="3A586C30"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p>
        </w:tc>
      </w:tr>
      <w:tr w:rsidR="00A71C3A" w:rsidRPr="00A71C3A" w14:paraId="79DAC5FA" w14:textId="77777777" w:rsidTr="00B5201F">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55" w:type="dxa"/>
            <w:vMerge/>
          </w:tcPr>
          <w:p w14:paraId="16D3D8D6" w14:textId="77777777" w:rsidR="00A71C3A" w:rsidRPr="00A71C3A" w:rsidRDefault="00A71C3A" w:rsidP="00A71C3A">
            <w:pPr>
              <w:pStyle w:val="CETBodytext"/>
              <w:rPr>
                <w:lang w:val="en-ZA"/>
              </w:rPr>
            </w:pPr>
          </w:p>
        </w:tc>
        <w:tc>
          <w:tcPr>
            <w:tcW w:w="1276" w:type="dxa"/>
          </w:tcPr>
          <w:p w14:paraId="5832563E"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bCs/>
                <w:lang w:val="en-ZA"/>
              </w:rPr>
            </w:pPr>
            <w:r w:rsidRPr="00A71C3A">
              <w:rPr>
                <w:bCs/>
                <w:lang w:val="en-ZA"/>
              </w:rPr>
              <w:t>Coal slurry</w:t>
            </w:r>
          </w:p>
        </w:tc>
        <w:tc>
          <w:tcPr>
            <w:tcW w:w="709" w:type="dxa"/>
          </w:tcPr>
          <w:p w14:paraId="1E2373D3" w14:textId="4F064B03" w:rsidR="00A71C3A" w:rsidRPr="00A71C3A" w:rsidRDefault="00413F1F"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Pr>
                <w:lang w:val="en-ZA"/>
              </w:rPr>
              <w:t>100%</w:t>
            </w:r>
          </w:p>
        </w:tc>
        <w:tc>
          <w:tcPr>
            <w:tcW w:w="708" w:type="dxa"/>
          </w:tcPr>
          <w:p w14:paraId="511F1D53"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9" w:type="dxa"/>
          </w:tcPr>
          <w:p w14:paraId="31B4D16B"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851" w:type="dxa"/>
          </w:tcPr>
          <w:p w14:paraId="00D2CEAA"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8" w:type="dxa"/>
          </w:tcPr>
          <w:p w14:paraId="324F0C9A"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p>
        </w:tc>
        <w:tc>
          <w:tcPr>
            <w:tcW w:w="709" w:type="dxa"/>
          </w:tcPr>
          <w:p w14:paraId="1DA3364E"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p>
        </w:tc>
        <w:tc>
          <w:tcPr>
            <w:tcW w:w="709" w:type="dxa"/>
          </w:tcPr>
          <w:p w14:paraId="196722D2"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p>
        </w:tc>
        <w:tc>
          <w:tcPr>
            <w:tcW w:w="709" w:type="dxa"/>
          </w:tcPr>
          <w:p w14:paraId="24AF9145"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95%</w:t>
            </w:r>
          </w:p>
        </w:tc>
        <w:tc>
          <w:tcPr>
            <w:tcW w:w="850" w:type="dxa"/>
          </w:tcPr>
          <w:p w14:paraId="7E64BE05"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71.25%</w:t>
            </w:r>
          </w:p>
        </w:tc>
      </w:tr>
      <w:tr w:rsidR="00A71C3A" w:rsidRPr="00A71C3A" w14:paraId="2CC32DA9" w14:textId="77777777" w:rsidTr="00B5201F">
        <w:trPr>
          <w:trHeight w:val="98"/>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58EA0FAA" w14:textId="77777777" w:rsidR="00A71C3A" w:rsidRPr="00A71C3A" w:rsidRDefault="00A71C3A" w:rsidP="00A71C3A">
            <w:pPr>
              <w:pStyle w:val="CETBodytext"/>
              <w:rPr>
                <w:lang w:val="en-ZA"/>
              </w:rPr>
            </w:pPr>
            <w:r w:rsidRPr="00A71C3A">
              <w:rPr>
                <w:lang w:val="en-ZA"/>
              </w:rPr>
              <w:t>Amendments</w:t>
            </w:r>
          </w:p>
          <w:p w14:paraId="2667D2BD" w14:textId="77777777" w:rsidR="00A71C3A" w:rsidRPr="00A71C3A" w:rsidRDefault="00A71C3A" w:rsidP="00A71C3A">
            <w:pPr>
              <w:pStyle w:val="CETBodytext"/>
              <w:rPr>
                <w:lang w:val="en-ZA"/>
              </w:rPr>
            </w:pPr>
            <w:r w:rsidRPr="00A71C3A">
              <w:rPr>
                <w:lang w:val="en-ZA"/>
              </w:rPr>
              <w:t>(%w/w)</w:t>
            </w:r>
          </w:p>
        </w:tc>
        <w:tc>
          <w:tcPr>
            <w:tcW w:w="1276" w:type="dxa"/>
          </w:tcPr>
          <w:p w14:paraId="780C584D"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bCs/>
                <w:lang w:val="en-ZA"/>
              </w:rPr>
            </w:pPr>
            <w:r w:rsidRPr="00A71C3A">
              <w:rPr>
                <w:bCs/>
                <w:lang w:val="en-ZA"/>
              </w:rPr>
              <w:t>Malt residue</w:t>
            </w:r>
          </w:p>
        </w:tc>
        <w:tc>
          <w:tcPr>
            <w:tcW w:w="709" w:type="dxa"/>
          </w:tcPr>
          <w:p w14:paraId="0CA4724B"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8" w:type="dxa"/>
          </w:tcPr>
          <w:p w14:paraId="1BC16584"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9" w:type="dxa"/>
          </w:tcPr>
          <w:p w14:paraId="65602A41"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851" w:type="dxa"/>
          </w:tcPr>
          <w:p w14:paraId="3541ED62"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5%</w:t>
            </w:r>
          </w:p>
        </w:tc>
        <w:tc>
          <w:tcPr>
            <w:tcW w:w="708" w:type="dxa"/>
          </w:tcPr>
          <w:p w14:paraId="3D3CA66A"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5%</w:t>
            </w:r>
          </w:p>
        </w:tc>
        <w:tc>
          <w:tcPr>
            <w:tcW w:w="709" w:type="dxa"/>
          </w:tcPr>
          <w:p w14:paraId="5AC8F3DE"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9" w:type="dxa"/>
          </w:tcPr>
          <w:p w14:paraId="6A4070CD"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709" w:type="dxa"/>
          </w:tcPr>
          <w:p w14:paraId="45344A8E"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w:t>
            </w:r>
          </w:p>
        </w:tc>
        <w:tc>
          <w:tcPr>
            <w:tcW w:w="850" w:type="dxa"/>
          </w:tcPr>
          <w:p w14:paraId="021CFA83" w14:textId="77777777" w:rsidR="00A71C3A" w:rsidRPr="00A71C3A" w:rsidRDefault="00A71C3A" w:rsidP="00A71C3A">
            <w:pPr>
              <w:pStyle w:val="CETBodytext"/>
              <w:cnfStyle w:val="000000000000" w:firstRow="0" w:lastRow="0" w:firstColumn="0" w:lastColumn="0" w:oddVBand="0" w:evenVBand="0" w:oddHBand="0" w:evenHBand="0" w:firstRowFirstColumn="0" w:firstRowLastColumn="0" w:lastRowFirstColumn="0" w:lastRowLastColumn="0"/>
              <w:rPr>
                <w:lang w:val="en-ZA"/>
              </w:rPr>
            </w:pPr>
            <w:r w:rsidRPr="00A71C3A">
              <w:rPr>
                <w:lang w:val="en-ZA"/>
              </w:rPr>
              <w:t>5%</w:t>
            </w:r>
          </w:p>
        </w:tc>
      </w:tr>
      <w:tr w:rsidR="00A71C3A" w:rsidRPr="00A71C3A" w14:paraId="228D2696" w14:textId="77777777" w:rsidTr="00B5201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55" w:type="dxa"/>
            <w:vMerge/>
          </w:tcPr>
          <w:p w14:paraId="56BB7D78" w14:textId="77777777" w:rsidR="00A71C3A" w:rsidRPr="00A71C3A" w:rsidRDefault="00A71C3A" w:rsidP="00A71C3A">
            <w:pPr>
              <w:pStyle w:val="CETBodytext"/>
              <w:rPr>
                <w:lang w:val="en-ZA"/>
              </w:rPr>
            </w:pPr>
          </w:p>
        </w:tc>
        <w:tc>
          <w:tcPr>
            <w:tcW w:w="1276" w:type="dxa"/>
          </w:tcPr>
          <w:p w14:paraId="71C9439A"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bCs/>
                <w:lang w:val="en-ZA"/>
              </w:rPr>
            </w:pPr>
            <w:r w:rsidRPr="00A71C3A">
              <w:rPr>
                <w:bCs/>
                <w:lang w:val="en-ZA"/>
              </w:rPr>
              <w:t>Compost</w:t>
            </w:r>
          </w:p>
        </w:tc>
        <w:tc>
          <w:tcPr>
            <w:tcW w:w="709" w:type="dxa"/>
          </w:tcPr>
          <w:p w14:paraId="51335112"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8" w:type="dxa"/>
          </w:tcPr>
          <w:p w14:paraId="38BA0F8F"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9" w:type="dxa"/>
          </w:tcPr>
          <w:p w14:paraId="54F3A9A1"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851" w:type="dxa"/>
          </w:tcPr>
          <w:p w14:paraId="22BF66AC"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8" w:type="dxa"/>
          </w:tcPr>
          <w:p w14:paraId="23D29E84"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w:t>
            </w:r>
          </w:p>
        </w:tc>
        <w:tc>
          <w:tcPr>
            <w:tcW w:w="709" w:type="dxa"/>
          </w:tcPr>
          <w:p w14:paraId="6217F31C"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5%</w:t>
            </w:r>
          </w:p>
        </w:tc>
        <w:tc>
          <w:tcPr>
            <w:tcW w:w="709" w:type="dxa"/>
          </w:tcPr>
          <w:p w14:paraId="4BD66C1D"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2.5%</w:t>
            </w:r>
          </w:p>
        </w:tc>
        <w:tc>
          <w:tcPr>
            <w:tcW w:w="709" w:type="dxa"/>
          </w:tcPr>
          <w:p w14:paraId="7BFE606F"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r w:rsidRPr="00A71C3A">
              <w:rPr>
                <w:lang w:val="en-ZA"/>
              </w:rPr>
              <w:t>5%</w:t>
            </w:r>
          </w:p>
        </w:tc>
        <w:tc>
          <w:tcPr>
            <w:tcW w:w="850" w:type="dxa"/>
          </w:tcPr>
          <w:p w14:paraId="68C68299" w14:textId="77777777" w:rsidR="00A71C3A" w:rsidRPr="00A71C3A" w:rsidRDefault="00A71C3A" w:rsidP="00A71C3A">
            <w:pPr>
              <w:pStyle w:val="CETBodytext"/>
              <w:cnfStyle w:val="000000100000" w:firstRow="0" w:lastRow="0" w:firstColumn="0" w:lastColumn="0" w:oddVBand="0" w:evenVBand="0" w:oddHBand="1" w:evenHBand="0" w:firstRowFirstColumn="0" w:firstRowLastColumn="0" w:lastRowFirstColumn="0" w:lastRowLastColumn="0"/>
              <w:rPr>
                <w:lang w:val="en-ZA"/>
              </w:rPr>
            </w:pPr>
          </w:p>
        </w:tc>
      </w:tr>
      <w:bookmarkEnd w:id="2"/>
    </w:tbl>
    <w:p w14:paraId="21B9A280" w14:textId="65C803C6" w:rsidR="007D0951" w:rsidRPr="0052588D" w:rsidRDefault="007D0951" w:rsidP="0052588D">
      <w:pPr>
        <w:pStyle w:val="CETBodytext"/>
        <w:rPr>
          <w:lang w:val="en-GB"/>
        </w:rPr>
      </w:pPr>
    </w:p>
    <w:p w14:paraId="68222760" w14:textId="77777777" w:rsidR="00FD3D94" w:rsidRDefault="00FD3D94" w:rsidP="00FD3D94"/>
    <w:p w14:paraId="5F5E7853" w14:textId="789F9C3A" w:rsidR="00FD3D94" w:rsidRDefault="00470339" w:rsidP="00FD3D94">
      <w:r>
        <w:t>T</w:t>
      </w:r>
      <w:r w:rsidR="00FD3D94" w:rsidRPr="00932F6C">
        <w:t xml:space="preserve">ap water </w:t>
      </w:r>
      <w:r w:rsidR="00FD3D94">
        <w:t>was</w:t>
      </w:r>
      <w:r w:rsidR="00FD3D94" w:rsidRPr="00932F6C">
        <w:t xml:space="preserve"> u</w:t>
      </w:r>
      <w:r>
        <w:t>sed</w:t>
      </w:r>
      <w:r w:rsidR="00FD3D94" w:rsidRPr="00932F6C">
        <w:t xml:space="preserve"> for irrigation </w:t>
      </w:r>
      <w:r>
        <w:t>of</w:t>
      </w:r>
      <w:r w:rsidR="00FD3D94" w:rsidRPr="00932F6C">
        <w:t xml:space="preserve"> </w:t>
      </w:r>
      <w:proofErr w:type="spellStart"/>
      <w:r w:rsidR="00FD3D94">
        <w:t>technosols</w:t>
      </w:r>
      <w:proofErr w:type="spellEnd"/>
      <w:r w:rsidR="00FD3D94" w:rsidRPr="00932F6C">
        <w:t xml:space="preserve"> contained in columns.</w:t>
      </w:r>
      <w:r>
        <w:t xml:space="preserve"> During germination period of the seeds, </w:t>
      </w:r>
      <w:r w:rsidR="00FD3D94" w:rsidRPr="00932F6C">
        <w:t xml:space="preserve"> </w:t>
      </w:r>
      <w:r>
        <w:t>m</w:t>
      </w:r>
      <w:r w:rsidR="00FD3D94" w:rsidRPr="00932F6C">
        <w:t xml:space="preserve">anual irrigation of 50% of field capacity </w:t>
      </w:r>
      <w:r w:rsidR="00FD3D94">
        <w:t>was</w:t>
      </w:r>
      <w:r w:rsidR="00FD3D94" w:rsidRPr="00932F6C">
        <w:t xml:space="preserve"> performed twice a week for 10 days. Then the pots </w:t>
      </w:r>
      <w:r w:rsidR="00FD3D94">
        <w:t>were</w:t>
      </w:r>
      <w:r w:rsidR="00FD3D94" w:rsidRPr="00932F6C">
        <w:t xml:space="preserve"> taken to the Nursery greenhouse gas chamber for 14 days. </w:t>
      </w:r>
    </w:p>
    <w:p w14:paraId="15311F62" w14:textId="77777777" w:rsidR="00FD3D94" w:rsidRDefault="00FD3D94" w:rsidP="00FD3D94"/>
    <w:p w14:paraId="463B0090" w14:textId="77777777" w:rsidR="00FD3D94" w:rsidRPr="00AA0C1E" w:rsidRDefault="00FD3D94" w:rsidP="00FD3D94">
      <w:pPr>
        <w:rPr>
          <w:b/>
          <w:bCs/>
        </w:rPr>
      </w:pPr>
      <w:r w:rsidRPr="00AA0C1E">
        <w:rPr>
          <w:b/>
          <w:bCs/>
          <w:noProof/>
        </w:rPr>
        <w:drawing>
          <wp:inline distT="0" distB="0" distL="0" distR="0" wp14:anchorId="23DBE84B" wp14:editId="466B3F9D">
            <wp:extent cx="1807327" cy="1669626"/>
            <wp:effectExtent l="0" t="0" r="2540" b="6985"/>
            <wp:docPr id="19876956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774" t="46753" r="9430" b="280"/>
                    <a:stretch/>
                  </pic:blipFill>
                  <pic:spPr bwMode="auto">
                    <a:xfrm>
                      <a:off x="0" y="0"/>
                      <a:ext cx="1824254" cy="1685263"/>
                    </a:xfrm>
                    <a:prstGeom prst="rect">
                      <a:avLst/>
                    </a:prstGeom>
                    <a:noFill/>
                    <a:ln>
                      <a:noFill/>
                    </a:ln>
                    <a:extLst>
                      <a:ext uri="{53640926-AAD7-44D8-BBD7-CCE9431645EC}">
                        <a14:shadowObscured xmlns:a14="http://schemas.microsoft.com/office/drawing/2010/main"/>
                      </a:ext>
                    </a:extLst>
                  </pic:spPr>
                </pic:pic>
              </a:graphicData>
            </a:graphic>
          </wp:inline>
        </w:drawing>
      </w:r>
      <w:r>
        <w:rPr>
          <w:b/>
          <w:bCs/>
        </w:rPr>
        <w:t xml:space="preserve"> </w:t>
      </w:r>
      <w:r w:rsidRPr="00AA0C1E">
        <w:rPr>
          <w:b/>
          <w:bCs/>
          <w:noProof/>
        </w:rPr>
        <w:drawing>
          <wp:inline distT="0" distB="0" distL="0" distR="0" wp14:anchorId="1B7456FC" wp14:editId="5939B911">
            <wp:extent cx="1651000" cy="1686560"/>
            <wp:effectExtent l="0" t="0" r="6350" b="8890"/>
            <wp:docPr id="1941213886" name="Picture 7" descr="A ruler and gras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13886" name="Picture 7" descr="A ruler and grass on a white surfac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064" r="1814" b="6001"/>
                    <a:stretch/>
                  </pic:blipFill>
                  <pic:spPr bwMode="auto">
                    <a:xfrm>
                      <a:off x="0" y="0"/>
                      <a:ext cx="1690319" cy="1726726"/>
                    </a:xfrm>
                    <a:prstGeom prst="rect">
                      <a:avLst/>
                    </a:prstGeom>
                    <a:noFill/>
                    <a:ln>
                      <a:noFill/>
                    </a:ln>
                    <a:extLst>
                      <a:ext uri="{53640926-AAD7-44D8-BBD7-CCE9431645EC}">
                        <a14:shadowObscured xmlns:a14="http://schemas.microsoft.com/office/drawing/2010/main"/>
                      </a:ext>
                    </a:extLst>
                  </pic:spPr>
                </pic:pic>
              </a:graphicData>
            </a:graphic>
          </wp:inline>
        </w:drawing>
      </w:r>
      <w:r>
        <w:rPr>
          <w:b/>
          <w:bCs/>
        </w:rPr>
        <w:t xml:space="preserve"> </w:t>
      </w:r>
      <w:r w:rsidRPr="00AA0C1E">
        <w:rPr>
          <w:b/>
          <w:bCs/>
          <w:noProof/>
        </w:rPr>
        <w:drawing>
          <wp:inline distT="0" distB="0" distL="0" distR="0" wp14:anchorId="167DB1DF" wp14:editId="6F1D72AE">
            <wp:extent cx="1787320" cy="1699260"/>
            <wp:effectExtent l="0" t="0" r="3810" b="0"/>
            <wp:docPr id="2046825765" name="Picture 8" descr="A close-up of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25765" name="Picture 8" descr="A close-up of a rock&#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71" t="22818" r="1"/>
                    <a:stretch/>
                  </pic:blipFill>
                  <pic:spPr bwMode="auto">
                    <a:xfrm>
                      <a:off x="0" y="0"/>
                      <a:ext cx="1826998" cy="1736983"/>
                    </a:xfrm>
                    <a:prstGeom prst="rect">
                      <a:avLst/>
                    </a:prstGeom>
                    <a:noFill/>
                    <a:ln>
                      <a:noFill/>
                    </a:ln>
                    <a:extLst>
                      <a:ext uri="{53640926-AAD7-44D8-BBD7-CCE9431645EC}">
                        <a14:shadowObscured xmlns:a14="http://schemas.microsoft.com/office/drawing/2010/main"/>
                      </a:ext>
                    </a:extLst>
                  </pic:spPr>
                </pic:pic>
              </a:graphicData>
            </a:graphic>
          </wp:inline>
        </w:drawing>
      </w:r>
    </w:p>
    <w:p w14:paraId="60916A2E" w14:textId="63AA6AC0" w:rsidR="00FD3D94" w:rsidRDefault="00FD3D94" w:rsidP="00FD3D94">
      <w:r w:rsidRPr="00C62738">
        <w:t xml:space="preserve">Preparation of </w:t>
      </w:r>
      <w:proofErr w:type="spellStart"/>
      <w:r w:rsidRPr="00C62738">
        <w:t>technosols</w:t>
      </w:r>
      <w:proofErr w:type="spellEnd"/>
      <w:r>
        <w:t xml:space="preserve">                 Teff grass growth                          Root system </w:t>
      </w:r>
      <w:r>
        <w:tab/>
      </w:r>
      <w:r>
        <w:tab/>
      </w:r>
    </w:p>
    <w:p w14:paraId="15D9B760" w14:textId="77777777" w:rsidR="00FD3D94" w:rsidRDefault="00FD3D94" w:rsidP="00FD3D94"/>
    <w:p w14:paraId="45A346B2" w14:textId="70FF868D" w:rsidR="00FD3D94" w:rsidRPr="00FD3D94" w:rsidRDefault="00FD3D94" w:rsidP="00FD3D94">
      <w:pPr>
        <w:rPr>
          <w:i/>
          <w:iCs/>
        </w:rPr>
      </w:pPr>
      <w:r w:rsidRPr="00FD3D94">
        <w:rPr>
          <w:i/>
          <w:iCs/>
        </w:rPr>
        <w:t xml:space="preserve">Figure 1: Tef grass growth in </w:t>
      </w:r>
      <w:proofErr w:type="spellStart"/>
      <w:r w:rsidRPr="00FD3D94">
        <w:rPr>
          <w:i/>
          <w:iCs/>
        </w:rPr>
        <w:t>technosol</w:t>
      </w:r>
      <w:proofErr w:type="spellEnd"/>
      <w:r w:rsidRPr="00FD3D94">
        <w:rPr>
          <w:i/>
          <w:iCs/>
        </w:rPr>
        <w:t xml:space="preserve"> bioremediation experiment </w:t>
      </w:r>
    </w:p>
    <w:p w14:paraId="09406386" w14:textId="648D0AC2" w:rsidR="00453E24" w:rsidRDefault="00453E24" w:rsidP="00453E24">
      <w:pPr>
        <w:pStyle w:val="CETBodytext"/>
      </w:pPr>
    </w:p>
    <w:p w14:paraId="0636B784" w14:textId="2841CD2A" w:rsidR="00453E24" w:rsidRDefault="00FD3D94" w:rsidP="00FD3D94">
      <w:pPr>
        <w:pStyle w:val="CETheadingx"/>
        <w:numPr>
          <w:ilvl w:val="0"/>
          <w:numId w:val="0"/>
        </w:numPr>
      </w:pPr>
      <w:r>
        <w:t xml:space="preserve">3. Results and discussions </w:t>
      </w:r>
    </w:p>
    <w:p w14:paraId="0220F08E" w14:textId="507ECD4C" w:rsidR="00FD3D94" w:rsidRDefault="00FD3D94" w:rsidP="00FD3D94">
      <w:r>
        <w:t>Depending on the availability of topsoil during mine site rehabilitation, topsoil is often saved for establishing vegetation cover and given its relatively nutrient rich status for bioremediation (</w:t>
      </w:r>
      <w:proofErr w:type="spellStart"/>
      <w:r>
        <w:t>Gunathunga</w:t>
      </w:r>
      <w:proofErr w:type="spellEnd"/>
      <w:r>
        <w:t xml:space="preserve"> et al., 2023). Table 2 shows the latter scenario where topsoil (stockpile) that has been stored in pile for decades under sub optimal conditions losing its functional properties. Notable changes that can be seen include nutrients depletion for plants available, soil pH fluctuations heightened soil bulk density, decreased organic carbon occurring with increased age depth of the topsoil stockpile as compared to the virgin soil. </w:t>
      </w:r>
    </w:p>
    <w:p w14:paraId="0D236899" w14:textId="77777777" w:rsidR="00FD3D94" w:rsidRDefault="00FD3D94" w:rsidP="00FD3D94"/>
    <w:p w14:paraId="1DF8AA98" w14:textId="211631EC" w:rsidR="00FD3D94" w:rsidRPr="00FD3D94" w:rsidRDefault="00FD3D94" w:rsidP="00FD3D94">
      <w:pPr>
        <w:rPr>
          <w:i/>
          <w:iCs/>
        </w:rPr>
      </w:pPr>
      <w:r w:rsidRPr="00FD3D94">
        <w:rPr>
          <w:i/>
          <w:iCs/>
        </w:rPr>
        <w:t xml:space="preserve">Table 2: Primary analysis of soils available for mine rehabilitation </w:t>
      </w:r>
    </w:p>
    <w:p w14:paraId="41C97202" w14:textId="44B92092" w:rsidR="00FD3D94" w:rsidRDefault="00FD3D94" w:rsidP="00FD3D94">
      <w:r>
        <w:t xml:space="preserve"> </w:t>
      </w:r>
    </w:p>
    <w:tbl>
      <w:tblPr>
        <w:tblStyle w:val="PlainTable2"/>
        <w:tblW w:w="15389" w:type="dxa"/>
        <w:tblLayout w:type="fixed"/>
        <w:tblLook w:val="0600" w:firstRow="0" w:lastRow="0" w:firstColumn="0" w:lastColumn="0" w:noHBand="1" w:noVBand="1"/>
      </w:tblPr>
      <w:tblGrid>
        <w:gridCol w:w="1133"/>
        <w:gridCol w:w="568"/>
        <w:gridCol w:w="709"/>
        <w:gridCol w:w="567"/>
        <w:gridCol w:w="567"/>
        <w:gridCol w:w="567"/>
        <w:gridCol w:w="567"/>
        <w:gridCol w:w="567"/>
        <w:gridCol w:w="709"/>
        <w:gridCol w:w="567"/>
        <w:gridCol w:w="992"/>
        <w:gridCol w:w="567"/>
        <w:gridCol w:w="7309"/>
      </w:tblGrid>
      <w:tr w:rsidR="003B4AA3" w:rsidRPr="00A71C3A" w14:paraId="0BC7A5E4" w14:textId="77777777" w:rsidTr="003B4AA3">
        <w:trPr>
          <w:trHeight w:val="669"/>
        </w:trPr>
        <w:tc>
          <w:tcPr>
            <w:tcW w:w="1133" w:type="dxa"/>
            <w:hideMark/>
          </w:tcPr>
          <w:p w14:paraId="155BB6A0" w14:textId="77777777" w:rsidR="00A71C3A" w:rsidRPr="00A71C3A" w:rsidRDefault="00A71C3A" w:rsidP="00A71C3A">
            <w:pPr>
              <w:pStyle w:val="CETBodytext"/>
              <w:rPr>
                <w:sz w:val="16"/>
                <w:szCs w:val="16"/>
                <w:lang w:val="en-ZA"/>
              </w:rPr>
            </w:pPr>
          </w:p>
        </w:tc>
        <w:tc>
          <w:tcPr>
            <w:tcW w:w="568" w:type="dxa"/>
            <w:hideMark/>
          </w:tcPr>
          <w:p w14:paraId="7A79D989" w14:textId="77777777" w:rsidR="00A71C3A" w:rsidRPr="00A71C3A" w:rsidRDefault="00A71C3A" w:rsidP="00A71C3A">
            <w:pPr>
              <w:pStyle w:val="CETBodytext"/>
              <w:rPr>
                <w:sz w:val="16"/>
                <w:szCs w:val="16"/>
                <w:lang w:val="en-ZA"/>
              </w:rPr>
            </w:pPr>
            <w:r w:rsidRPr="00A71C3A">
              <w:rPr>
                <w:b/>
                <w:bCs/>
                <w:sz w:val="16"/>
                <w:szCs w:val="16"/>
                <w:lang w:val="en-ZA"/>
              </w:rPr>
              <w:t>pH</w:t>
            </w:r>
          </w:p>
        </w:tc>
        <w:tc>
          <w:tcPr>
            <w:tcW w:w="709" w:type="dxa"/>
            <w:hideMark/>
          </w:tcPr>
          <w:p w14:paraId="2F9B4C90" w14:textId="77777777" w:rsidR="00A71C3A" w:rsidRPr="00A71C3A" w:rsidRDefault="00A71C3A" w:rsidP="00A71C3A">
            <w:pPr>
              <w:pStyle w:val="CETBodytext"/>
              <w:rPr>
                <w:sz w:val="16"/>
                <w:szCs w:val="16"/>
                <w:lang w:val="en-ZA"/>
              </w:rPr>
            </w:pPr>
            <w:r w:rsidRPr="00A71C3A">
              <w:rPr>
                <w:b/>
                <w:bCs/>
                <w:sz w:val="16"/>
                <w:szCs w:val="16"/>
                <w:lang w:val="en-ZA"/>
              </w:rPr>
              <w:t>P Bray II</w:t>
            </w:r>
          </w:p>
        </w:tc>
        <w:tc>
          <w:tcPr>
            <w:tcW w:w="567" w:type="dxa"/>
            <w:hideMark/>
          </w:tcPr>
          <w:p w14:paraId="73D50A73" w14:textId="77777777" w:rsidR="00A71C3A" w:rsidRPr="00A71C3A" w:rsidRDefault="00A71C3A" w:rsidP="00A71C3A">
            <w:pPr>
              <w:pStyle w:val="CETBodytext"/>
              <w:rPr>
                <w:sz w:val="16"/>
                <w:szCs w:val="16"/>
                <w:lang w:val="en-ZA"/>
              </w:rPr>
            </w:pPr>
            <w:r w:rsidRPr="00A71C3A">
              <w:rPr>
                <w:b/>
                <w:bCs/>
                <w:sz w:val="16"/>
                <w:szCs w:val="16"/>
                <w:lang w:val="en-ZA"/>
              </w:rPr>
              <w:t>Cu</w:t>
            </w:r>
          </w:p>
        </w:tc>
        <w:tc>
          <w:tcPr>
            <w:tcW w:w="567" w:type="dxa"/>
            <w:hideMark/>
          </w:tcPr>
          <w:p w14:paraId="4EFECB52" w14:textId="77777777" w:rsidR="00A71C3A" w:rsidRPr="00A71C3A" w:rsidRDefault="00A71C3A" w:rsidP="00A71C3A">
            <w:pPr>
              <w:pStyle w:val="CETBodytext"/>
              <w:rPr>
                <w:sz w:val="16"/>
                <w:szCs w:val="16"/>
                <w:lang w:val="en-ZA"/>
              </w:rPr>
            </w:pPr>
            <w:r w:rsidRPr="00A71C3A">
              <w:rPr>
                <w:b/>
                <w:bCs/>
                <w:sz w:val="16"/>
                <w:szCs w:val="16"/>
                <w:lang w:val="en-ZA"/>
              </w:rPr>
              <w:t>Zn</w:t>
            </w:r>
          </w:p>
        </w:tc>
        <w:tc>
          <w:tcPr>
            <w:tcW w:w="567" w:type="dxa"/>
            <w:hideMark/>
          </w:tcPr>
          <w:p w14:paraId="1FCAF836" w14:textId="77777777" w:rsidR="00A71C3A" w:rsidRPr="00A71C3A" w:rsidRDefault="00A71C3A" w:rsidP="00A71C3A">
            <w:pPr>
              <w:pStyle w:val="CETBodytext"/>
              <w:rPr>
                <w:sz w:val="16"/>
                <w:szCs w:val="16"/>
                <w:lang w:val="en-ZA"/>
              </w:rPr>
            </w:pPr>
            <w:r w:rsidRPr="00A71C3A">
              <w:rPr>
                <w:b/>
                <w:bCs/>
                <w:sz w:val="16"/>
                <w:szCs w:val="16"/>
                <w:lang w:val="en-ZA"/>
              </w:rPr>
              <w:t>Mn</w:t>
            </w:r>
          </w:p>
        </w:tc>
        <w:tc>
          <w:tcPr>
            <w:tcW w:w="567" w:type="dxa"/>
            <w:hideMark/>
          </w:tcPr>
          <w:p w14:paraId="48A0E6EA" w14:textId="77777777" w:rsidR="00A71C3A" w:rsidRPr="00A71C3A" w:rsidRDefault="00A71C3A" w:rsidP="00A71C3A">
            <w:pPr>
              <w:pStyle w:val="CETBodytext"/>
              <w:rPr>
                <w:sz w:val="16"/>
                <w:szCs w:val="16"/>
                <w:lang w:val="en-ZA"/>
              </w:rPr>
            </w:pPr>
            <w:r w:rsidRPr="00A71C3A">
              <w:rPr>
                <w:b/>
                <w:bCs/>
                <w:sz w:val="16"/>
                <w:szCs w:val="16"/>
                <w:lang w:val="en-ZA"/>
              </w:rPr>
              <w:t>B</w:t>
            </w:r>
          </w:p>
        </w:tc>
        <w:tc>
          <w:tcPr>
            <w:tcW w:w="567" w:type="dxa"/>
            <w:hideMark/>
          </w:tcPr>
          <w:p w14:paraId="5FC77ACB" w14:textId="77777777" w:rsidR="00A71C3A" w:rsidRPr="00A71C3A" w:rsidRDefault="00A71C3A" w:rsidP="00A71C3A">
            <w:pPr>
              <w:pStyle w:val="CETBodytext"/>
              <w:rPr>
                <w:sz w:val="16"/>
                <w:szCs w:val="16"/>
                <w:lang w:val="en-ZA"/>
              </w:rPr>
            </w:pPr>
            <w:r w:rsidRPr="00A71C3A">
              <w:rPr>
                <w:b/>
                <w:bCs/>
                <w:sz w:val="16"/>
                <w:szCs w:val="16"/>
                <w:lang w:val="en-ZA"/>
              </w:rPr>
              <w:t>Fe</w:t>
            </w:r>
          </w:p>
        </w:tc>
        <w:tc>
          <w:tcPr>
            <w:tcW w:w="709" w:type="dxa"/>
            <w:hideMark/>
          </w:tcPr>
          <w:p w14:paraId="02BEAB25" w14:textId="77777777" w:rsidR="00A71C3A" w:rsidRPr="00A71C3A" w:rsidRDefault="00A71C3A" w:rsidP="00A71C3A">
            <w:pPr>
              <w:pStyle w:val="CETBodytext"/>
              <w:rPr>
                <w:sz w:val="16"/>
                <w:szCs w:val="16"/>
                <w:lang w:val="en-ZA"/>
              </w:rPr>
            </w:pPr>
            <w:r w:rsidRPr="00A71C3A">
              <w:rPr>
                <w:b/>
                <w:bCs/>
                <w:sz w:val="16"/>
                <w:szCs w:val="16"/>
                <w:lang w:val="en-ZA"/>
              </w:rPr>
              <w:t>S (Am. Acet.)</w:t>
            </w:r>
          </w:p>
        </w:tc>
        <w:tc>
          <w:tcPr>
            <w:tcW w:w="567" w:type="dxa"/>
            <w:hideMark/>
          </w:tcPr>
          <w:p w14:paraId="67B86568" w14:textId="77777777" w:rsidR="00A71C3A" w:rsidRPr="00A71C3A" w:rsidRDefault="00A71C3A" w:rsidP="00A71C3A">
            <w:pPr>
              <w:pStyle w:val="CETBodytext"/>
              <w:rPr>
                <w:sz w:val="16"/>
                <w:szCs w:val="16"/>
                <w:lang w:val="en-ZA"/>
              </w:rPr>
            </w:pPr>
            <w:r w:rsidRPr="00A71C3A">
              <w:rPr>
                <w:b/>
                <w:bCs/>
                <w:sz w:val="16"/>
                <w:szCs w:val="16"/>
                <w:lang w:val="en-ZA"/>
              </w:rPr>
              <w:t>C</w:t>
            </w:r>
          </w:p>
        </w:tc>
        <w:tc>
          <w:tcPr>
            <w:tcW w:w="992" w:type="dxa"/>
            <w:hideMark/>
          </w:tcPr>
          <w:p w14:paraId="2817451D" w14:textId="77777777" w:rsidR="00A71C3A" w:rsidRPr="00A71C3A" w:rsidRDefault="00A71C3A" w:rsidP="00A71C3A">
            <w:pPr>
              <w:pStyle w:val="CETBodytext"/>
              <w:rPr>
                <w:sz w:val="16"/>
                <w:szCs w:val="16"/>
                <w:lang w:val="en-ZA"/>
              </w:rPr>
            </w:pPr>
            <w:r w:rsidRPr="00A71C3A">
              <w:rPr>
                <w:b/>
                <w:bCs/>
                <w:sz w:val="16"/>
                <w:szCs w:val="16"/>
                <w:lang w:val="en-ZA"/>
              </w:rPr>
              <w:t>CEC (pH 7)</w:t>
            </w:r>
          </w:p>
        </w:tc>
        <w:tc>
          <w:tcPr>
            <w:tcW w:w="567" w:type="dxa"/>
            <w:hideMark/>
          </w:tcPr>
          <w:p w14:paraId="1FC33D75" w14:textId="77777777" w:rsidR="00A71C3A" w:rsidRPr="00A71C3A" w:rsidRDefault="00A71C3A" w:rsidP="00A71C3A">
            <w:pPr>
              <w:pStyle w:val="CETBodytext"/>
              <w:rPr>
                <w:sz w:val="16"/>
                <w:szCs w:val="16"/>
                <w:lang w:val="en-ZA"/>
              </w:rPr>
            </w:pPr>
            <w:r w:rsidRPr="00A71C3A">
              <w:rPr>
                <w:b/>
                <w:bCs/>
                <w:sz w:val="16"/>
                <w:szCs w:val="16"/>
                <w:lang w:val="en-ZA"/>
              </w:rPr>
              <w:t>N</w:t>
            </w:r>
          </w:p>
        </w:tc>
        <w:tc>
          <w:tcPr>
            <w:tcW w:w="7309" w:type="dxa"/>
            <w:hideMark/>
          </w:tcPr>
          <w:p w14:paraId="201975C4" w14:textId="77777777" w:rsidR="00A71C3A" w:rsidRPr="00A71C3A" w:rsidRDefault="00A71C3A" w:rsidP="00A71C3A">
            <w:pPr>
              <w:pStyle w:val="CETBodytext"/>
              <w:rPr>
                <w:sz w:val="16"/>
                <w:szCs w:val="16"/>
                <w:lang w:val="en-ZA"/>
              </w:rPr>
            </w:pPr>
            <w:r w:rsidRPr="00A71C3A">
              <w:rPr>
                <w:b/>
                <w:bCs/>
                <w:sz w:val="16"/>
                <w:szCs w:val="16"/>
                <w:lang w:val="en-ZA"/>
              </w:rPr>
              <w:t>Bulk Density</w:t>
            </w:r>
          </w:p>
        </w:tc>
      </w:tr>
      <w:tr w:rsidR="003B4AA3" w:rsidRPr="00A71C3A" w14:paraId="295877B9" w14:textId="77777777" w:rsidTr="00D73518">
        <w:trPr>
          <w:trHeight w:val="561"/>
        </w:trPr>
        <w:tc>
          <w:tcPr>
            <w:tcW w:w="1133" w:type="dxa"/>
            <w:hideMark/>
          </w:tcPr>
          <w:p w14:paraId="0533CC76" w14:textId="77777777" w:rsidR="00A71C3A" w:rsidRPr="00A71C3A" w:rsidRDefault="00A71C3A" w:rsidP="00A71C3A">
            <w:pPr>
              <w:pStyle w:val="CETBodytext"/>
              <w:rPr>
                <w:sz w:val="16"/>
                <w:szCs w:val="16"/>
                <w:lang w:val="en-ZA"/>
              </w:rPr>
            </w:pPr>
          </w:p>
        </w:tc>
        <w:tc>
          <w:tcPr>
            <w:tcW w:w="568" w:type="dxa"/>
            <w:hideMark/>
          </w:tcPr>
          <w:p w14:paraId="2F3779EC" w14:textId="32F0872E" w:rsidR="00A71C3A" w:rsidRPr="00A71C3A" w:rsidRDefault="00806E8F" w:rsidP="00A71C3A">
            <w:pPr>
              <w:pStyle w:val="CETBodytext"/>
              <w:rPr>
                <w:sz w:val="16"/>
                <w:szCs w:val="16"/>
                <w:lang w:val="en-ZA"/>
              </w:rPr>
            </w:pPr>
            <w:proofErr w:type="spellStart"/>
            <w:r>
              <w:rPr>
                <w:b/>
                <w:bCs/>
                <w:sz w:val="16"/>
                <w:szCs w:val="16"/>
                <w:lang w:val="en-ZA"/>
              </w:rPr>
              <w:t>kcl</w:t>
            </w:r>
            <w:proofErr w:type="spellEnd"/>
          </w:p>
        </w:tc>
        <w:tc>
          <w:tcPr>
            <w:tcW w:w="709" w:type="dxa"/>
            <w:hideMark/>
          </w:tcPr>
          <w:p w14:paraId="7E4D2F44" w14:textId="77777777" w:rsidR="00A71C3A" w:rsidRPr="00A71C3A" w:rsidRDefault="00A71C3A" w:rsidP="00A71C3A">
            <w:pPr>
              <w:pStyle w:val="CETBodytext"/>
              <w:rPr>
                <w:sz w:val="16"/>
                <w:szCs w:val="16"/>
                <w:lang w:val="en-ZA"/>
              </w:rPr>
            </w:pPr>
            <w:r w:rsidRPr="00A71C3A">
              <w:rPr>
                <w:b/>
                <w:bCs/>
                <w:sz w:val="16"/>
                <w:szCs w:val="16"/>
                <w:lang w:val="en-ZA"/>
              </w:rPr>
              <w:t>mg/kg</w:t>
            </w:r>
          </w:p>
        </w:tc>
        <w:tc>
          <w:tcPr>
            <w:tcW w:w="567" w:type="dxa"/>
            <w:hideMark/>
          </w:tcPr>
          <w:p w14:paraId="721B506A" w14:textId="77777777" w:rsidR="00A71C3A" w:rsidRPr="00A71C3A" w:rsidRDefault="00A71C3A" w:rsidP="00A71C3A">
            <w:pPr>
              <w:pStyle w:val="CETBodytext"/>
              <w:rPr>
                <w:sz w:val="16"/>
                <w:szCs w:val="16"/>
                <w:lang w:val="en-ZA"/>
              </w:rPr>
            </w:pPr>
            <w:r w:rsidRPr="00A71C3A">
              <w:rPr>
                <w:b/>
                <w:bCs/>
                <w:sz w:val="16"/>
                <w:szCs w:val="16"/>
                <w:lang w:val="en-ZA"/>
              </w:rPr>
              <w:t>mg/kg</w:t>
            </w:r>
          </w:p>
        </w:tc>
        <w:tc>
          <w:tcPr>
            <w:tcW w:w="567" w:type="dxa"/>
            <w:hideMark/>
          </w:tcPr>
          <w:p w14:paraId="1CE8F782" w14:textId="77777777" w:rsidR="00A71C3A" w:rsidRPr="00A71C3A" w:rsidRDefault="00A71C3A" w:rsidP="00A71C3A">
            <w:pPr>
              <w:pStyle w:val="CETBodytext"/>
              <w:rPr>
                <w:sz w:val="16"/>
                <w:szCs w:val="16"/>
                <w:lang w:val="en-ZA"/>
              </w:rPr>
            </w:pPr>
            <w:r w:rsidRPr="00A71C3A">
              <w:rPr>
                <w:b/>
                <w:bCs/>
                <w:sz w:val="16"/>
                <w:szCs w:val="16"/>
                <w:lang w:val="en-ZA"/>
              </w:rPr>
              <w:t>mg/kg</w:t>
            </w:r>
          </w:p>
        </w:tc>
        <w:tc>
          <w:tcPr>
            <w:tcW w:w="567" w:type="dxa"/>
            <w:hideMark/>
          </w:tcPr>
          <w:p w14:paraId="306BF997" w14:textId="77777777" w:rsidR="00A71C3A" w:rsidRPr="00A71C3A" w:rsidRDefault="00A71C3A" w:rsidP="00A71C3A">
            <w:pPr>
              <w:pStyle w:val="CETBodytext"/>
              <w:rPr>
                <w:sz w:val="16"/>
                <w:szCs w:val="16"/>
                <w:lang w:val="en-ZA"/>
              </w:rPr>
            </w:pPr>
            <w:r w:rsidRPr="00A71C3A">
              <w:rPr>
                <w:b/>
                <w:bCs/>
                <w:sz w:val="16"/>
                <w:szCs w:val="16"/>
                <w:lang w:val="en-ZA"/>
              </w:rPr>
              <w:t>mg/kg</w:t>
            </w:r>
          </w:p>
        </w:tc>
        <w:tc>
          <w:tcPr>
            <w:tcW w:w="567" w:type="dxa"/>
            <w:hideMark/>
          </w:tcPr>
          <w:p w14:paraId="3952D4A5" w14:textId="77777777" w:rsidR="00A71C3A" w:rsidRPr="00A71C3A" w:rsidRDefault="00A71C3A" w:rsidP="00A71C3A">
            <w:pPr>
              <w:pStyle w:val="CETBodytext"/>
              <w:rPr>
                <w:sz w:val="16"/>
                <w:szCs w:val="16"/>
                <w:lang w:val="en-ZA"/>
              </w:rPr>
            </w:pPr>
            <w:r w:rsidRPr="00A71C3A">
              <w:rPr>
                <w:b/>
                <w:bCs/>
                <w:sz w:val="16"/>
                <w:szCs w:val="16"/>
                <w:lang w:val="en-ZA"/>
              </w:rPr>
              <w:t>mg/kg</w:t>
            </w:r>
          </w:p>
        </w:tc>
        <w:tc>
          <w:tcPr>
            <w:tcW w:w="567" w:type="dxa"/>
            <w:hideMark/>
          </w:tcPr>
          <w:p w14:paraId="39B4A006" w14:textId="77777777" w:rsidR="00A71C3A" w:rsidRPr="00A71C3A" w:rsidRDefault="00A71C3A" w:rsidP="00A71C3A">
            <w:pPr>
              <w:pStyle w:val="CETBodytext"/>
              <w:rPr>
                <w:sz w:val="16"/>
                <w:szCs w:val="16"/>
                <w:lang w:val="en-ZA"/>
              </w:rPr>
            </w:pPr>
            <w:r w:rsidRPr="00A71C3A">
              <w:rPr>
                <w:b/>
                <w:bCs/>
                <w:sz w:val="16"/>
                <w:szCs w:val="16"/>
                <w:lang w:val="en-ZA"/>
              </w:rPr>
              <w:t>mg/kg</w:t>
            </w:r>
          </w:p>
        </w:tc>
        <w:tc>
          <w:tcPr>
            <w:tcW w:w="709" w:type="dxa"/>
            <w:hideMark/>
          </w:tcPr>
          <w:p w14:paraId="616BD71A" w14:textId="77777777" w:rsidR="00A71C3A" w:rsidRPr="00A71C3A" w:rsidRDefault="00A71C3A" w:rsidP="00A71C3A">
            <w:pPr>
              <w:pStyle w:val="CETBodytext"/>
              <w:rPr>
                <w:sz w:val="16"/>
                <w:szCs w:val="16"/>
                <w:lang w:val="en-ZA"/>
              </w:rPr>
            </w:pPr>
            <w:r w:rsidRPr="00A71C3A">
              <w:rPr>
                <w:b/>
                <w:bCs/>
                <w:sz w:val="16"/>
                <w:szCs w:val="16"/>
                <w:lang w:val="en-ZA"/>
              </w:rPr>
              <w:t>mg/kg</w:t>
            </w:r>
          </w:p>
        </w:tc>
        <w:tc>
          <w:tcPr>
            <w:tcW w:w="567" w:type="dxa"/>
            <w:hideMark/>
          </w:tcPr>
          <w:p w14:paraId="0127E0E2" w14:textId="77777777" w:rsidR="00A71C3A" w:rsidRPr="00A71C3A" w:rsidRDefault="00A71C3A" w:rsidP="00A71C3A">
            <w:pPr>
              <w:pStyle w:val="CETBodytext"/>
              <w:rPr>
                <w:sz w:val="16"/>
                <w:szCs w:val="16"/>
                <w:lang w:val="en-ZA"/>
              </w:rPr>
            </w:pPr>
            <w:r w:rsidRPr="00A71C3A">
              <w:rPr>
                <w:b/>
                <w:bCs/>
                <w:sz w:val="16"/>
                <w:szCs w:val="16"/>
                <w:lang w:val="en-ZA"/>
              </w:rPr>
              <w:t>%</w:t>
            </w:r>
          </w:p>
        </w:tc>
        <w:tc>
          <w:tcPr>
            <w:tcW w:w="992" w:type="dxa"/>
            <w:hideMark/>
          </w:tcPr>
          <w:p w14:paraId="71EAE8CF" w14:textId="77777777" w:rsidR="00A71C3A" w:rsidRPr="00A71C3A" w:rsidRDefault="00A71C3A" w:rsidP="00A71C3A">
            <w:pPr>
              <w:pStyle w:val="CETBodytext"/>
              <w:rPr>
                <w:sz w:val="16"/>
                <w:szCs w:val="16"/>
                <w:lang w:val="en-ZA"/>
              </w:rPr>
            </w:pPr>
            <w:proofErr w:type="spellStart"/>
            <w:r w:rsidRPr="00A71C3A">
              <w:rPr>
                <w:b/>
                <w:bCs/>
                <w:sz w:val="16"/>
                <w:szCs w:val="16"/>
                <w:lang w:val="en-ZA"/>
              </w:rPr>
              <w:t>cmol</w:t>
            </w:r>
            <w:proofErr w:type="spellEnd"/>
            <w:r w:rsidRPr="00A71C3A">
              <w:rPr>
                <w:b/>
                <w:bCs/>
                <w:sz w:val="16"/>
                <w:szCs w:val="16"/>
                <w:lang w:val="en-ZA"/>
              </w:rPr>
              <w:t>(+)/kg</w:t>
            </w:r>
          </w:p>
        </w:tc>
        <w:tc>
          <w:tcPr>
            <w:tcW w:w="567" w:type="dxa"/>
            <w:hideMark/>
          </w:tcPr>
          <w:p w14:paraId="5BF23B92" w14:textId="77777777" w:rsidR="00A71C3A" w:rsidRPr="00A71C3A" w:rsidRDefault="00A71C3A" w:rsidP="00A71C3A">
            <w:pPr>
              <w:pStyle w:val="CETBodytext"/>
              <w:rPr>
                <w:sz w:val="16"/>
                <w:szCs w:val="16"/>
                <w:lang w:val="en-ZA"/>
              </w:rPr>
            </w:pPr>
            <w:r w:rsidRPr="00A71C3A">
              <w:rPr>
                <w:b/>
                <w:bCs/>
                <w:sz w:val="16"/>
                <w:szCs w:val="16"/>
                <w:lang w:val="en-ZA"/>
              </w:rPr>
              <w:t>%</w:t>
            </w:r>
          </w:p>
        </w:tc>
        <w:tc>
          <w:tcPr>
            <w:tcW w:w="7309" w:type="dxa"/>
            <w:hideMark/>
          </w:tcPr>
          <w:p w14:paraId="76E4247B" w14:textId="77777777" w:rsidR="00A71C3A" w:rsidRPr="00A71C3A" w:rsidRDefault="00A71C3A" w:rsidP="00A71C3A">
            <w:pPr>
              <w:pStyle w:val="CETBodytext"/>
              <w:rPr>
                <w:sz w:val="16"/>
                <w:szCs w:val="16"/>
                <w:lang w:val="en-ZA"/>
              </w:rPr>
            </w:pPr>
            <w:r w:rsidRPr="00A71C3A">
              <w:rPr>
                <w:b/>
                <w:bCs/>
                <w:sz w:val="16"/>
                <w:szCs w:val="16"/>
                <w:lang w:val="en-ZA"/>
              </w:rPr>
              <w:t>mg/kg</w:t>
            </w:r>
          </w:p>
        </w:tc>
      </w:tr>
      <w:tr w:rsidR="003B4AA3" w:rsidRPr="00A71C3A" w14:paraId="463F90B8" w14:textId="77777777" w:rsidTr="003B4AA3">
        <w:trPr>
          <w:trHeight w:val="527"/>
        </w:trPr>
        <w:tc>
          <w:tcPr>
            <w:tcW w:w="1133" w:type="dxa"/>
            <w:hideMark/>
          </w:tcPr>
          <w:p w14:paraId="41F5C38E" w14:textId="77777777" w:rsidR="00A71C3A" w:rsidRPr="00A71C3A" w:rsidRDefault="00A71C3A" w:rsidP="00A71C3A">
            <w:pPr>
              <w:pStyle w:val="CETBodytext"/>
              <w:rPr>
                <w:sz w:val="16"/>
                <w:szCs w:val="16"/>
                <w:lang w:val="en-ZA"/>
              </w:rPr>
            </w:pPr>
            <w:r w:rsidRPr="00A71C3A">
              <w:rPr>
                <w:b/>
                <w:bCs/>
                <w:sz w:val="16"/>
                <w:szCs w:val="16"/>
                <w:lang w:val="en-ZA"/>
              </w:rPr>
              <w:t>Stockpiled soil</w:t>
            </w:r>
          </w:p>
        </w:tc>
        <w:tc>
          <w:tcPr>
            <w:tcW w:w="568" w:type="dxa"/>
            <w:hideMark/>
          </w:tcPr>
          <w:p w14:paraId="0C5C0624" w14:textId="77777777" w:rsidR="00A71C3A" w:rsidRPr="00A71C3A" w:rsidRDefault="00A71C3A" w:rsidP="00A71C3A">
            <w:pPr>
              <w:pStyle w:val="CETBodytext"/>
              <w:rPr>
                <w:sz w:val="16"/>
                <w:szCs w:val="16"/>
                <w:lang w:val="en-ZA"/>
              </w:rPr>
            </w:pPr>
            <w:r w:rsidRPr="00A71C3A">
              <w:rPr>
                <w:sz w:val="16"/>
                <w:szCs w:val="16"/>
                <w:lang w:val="en-ZA"/>
              </w:rPr>
              <w:t>3,4</w:t>
            </w:r>
          </w:p>
        </w:tc>
        <w:tc>
          <w:tcPr>
            <w:tcW w:w="709" w:type="dxa"/>
            <w:hideMark/>
          </w:tcPr>
          <w:p w14:paraId="4164479A" w14:textId="77777777" w:rsidR="00A71C3A" w:rsidRPr="00A71C3A" w:rsidRDefault="00A71C3A" w:rsidP="00A71C3A">
            <w:pPr>
              <w:pStyle w:val="CETBodytext"/>
              <w:rPr>
                <w:sz w:val="16"/>
                <w:szCs w:val="16"/>
                <w:lang w:val="en-ZA"/>
              </w:rPr>
            </w:pPr>
            <w:r w:rsidRPr="00A71C3A">
              <w:rPr>
                <w:sz w:val="16"/>
                <w:szCs w:val="16"/>
                <w:lang w:val="en-ZA"/>
              </w:rPr>
              <w:t>3,88</w:t>
            </w:r>
          </w:p>
        </w:tc>
        <w:tc>
          <w:tcPr>
            <w:tcW w:w="567" w:type="dxa"/>
            <w:hideMark/>
          </w:tcPr>
          <w:p w14:paraId="3F1BC573" w14:textId="77777777" w:rsidR="00A71C3A" w:rsidRPr="00A71C3A" w:rsidRDefault="00A71C3A" w:rsidP="00A71C3A">
            <w:pPr>
              <w:pStyle w:val="CETBodytext"/>
              <w:rPr>
                <w:sz w:val="16"/>
                <w:szCs w:val="16"/>
                <w:lang w:val="en-ZA"/>
              </w:rPr>
            </w:pPr>
            <w:r w:rsidRPr="00A71C3A">
              <w:rPr>
                <w:sz w:val="16"/>
                <w:szCs w:val="16"/>
                <w:lang w:val="en-ZA"/>
              </w:rPr>
              <w:t>0,45</w:t>
            </w:r>
          </w:p>
        </w:tc>
        <w:tc>
          <w:tcPr>
            <w:tcW w:w="567" w:type="dxa"/>
            <w:hideMark/>
          </w:tcPr>
          <w:p w14:paraId="277292D6" w14:textId="77777777" w:rsidR="00A71C3A" w:rsidRPr="00A71C3A" w:rsidRDefault="00A71C3A" w:rsidP="00A71C3A">
            <w:pPr>
              <w:pStyle w:val="CETBodytext"/>
              <w:rPr>
                <w:sz w:val="16"/>
                <w:szCs w:val="16"/>
                <w:lang w:val="en-ZA"/>
              </w:rPr>
            </w:pPr>
            <w:r w:rsidRPr="00A71C3A">
              <w:rPr>
                <w:sz w:val="16"/>
                <w:szCs w:val="16"/>
                <w:lang w:val="en-ZA"/>
              </w:rPr>
              <w:t>0,42</w:t>
            </w:r>
          </w:p>
        </w:tc>
        <w:tc>
          <w:tcPr>
            <w:tcW w:w="567" w:type="dxa"/>
            <w:hideMark/>
          </w:tcPr>
          <w:p w14:paraId="7177EF36" w14:textId="77777777" w:rsidR="00A71C3A" w:rsidRPr="00A71C3A" w:rsidRDefault="00A71C3A" w:rsidP="00A71C3A">
            <w:pPr>
              <w:pStyle w:val="CETBodytext"/>
              <w:rPr>
                <w:sz w:val="16"/>
                <w:szCs w:val="16"/>
                <w:lang w:val="en-ZA"/>
              </w:rPr>
            </w:pPr>
            <w:r w:rsidRPr="00A71C3A">
              <w:rPr>
                <w:sz w:val="16"/>
                <w:szCs w:val="16"/>
                <w:lang w:val="en-ZA"/>
              </w:rPr>
              <w:t>2,34</w:t>
            </w:r>
          </w:p>
        </w:tc>
        <w:tc>
          <w:tcPr>
            <w:tcW w:w="567" w:type="dxa"/>
            <w:hideMark/>
          </w:tcPr>
          <w:p w14:paraId="2120D1CC" w14:textId="77777777" w:rsidR="00A71C3A" w:rsidRPr="00A71C3A" w:rsidRDefault="00A71C3A" w:rsidP="00A71C3A">
            <w:pPr>
              <w:pStyle w:val="CETBodytext"/>
              <w:rPr>
                <w:sz w:val="16"/>
                <w:szCs w:val="16"/>
                <w:lang w:val="en-ZA"/>
              </w:rPr>
            </w:pPr>
            <w:r w:rsidRPr="00A71C3A">
              <w:rPr>
                <w:sz w:val="16"/>
                <w:szCs w:val="16"/>
                <w:lang w:val="en-ZA"/>
              </w:rPr>
              <w:t>0,09</w:t>
            </w:r>
          </w:p>
        </w:tc>
        <w:tc>
          <w:tcPr>
            <w:tcW w:w="567" w:type="dxa"/>
            <w:hideMark/>
          </w:tcPr>
          <w:p w14:paraId="031D373C" w14:textId="77777777" w:rsidR="00A71C3A" w:rsidRPr="00A71C3A" w:rsidRDefault="00A71C3A" w:rsidP="00A71C3A">
            <w:pPr>
              <w:pStyle w:val="CETBodytext"/>
              <w:rPr>
                <w:sz w:val="16"/>
                <w:szCs w:val="16"/>
                <w:lang w:val="en-ZA"/>
              </w:rPr>
            </w:pPr>
            <w:r w:rsidRPr="00A71C3A">
              <w:rPr>
                <w:sz w:val="16"/>
                <w:szCs w:val="16"/>
                <w:lang w:val="en-ZA"/>
              </w:rPr>
              <w:t>14,85</w:t>
            </w:r>
          </w:p>
        </w:tc>
        <w:tc>
          <w:tcPr>
            <w:tcW w:w="709" w:type="dxa"/>
            <w:hideMark/>
          </w:tcPr>
          <w:p w14:paraId="12DCAE26" w14:textId="77777777" w:rsidR="00A71C3A" w:rsidRPr="00A71C3A" w:rsidRDefault="00A71C3A" w:rsidP="00A71C3A">
            <w:pPr>
              <w:pStyle w:val="CETBodytext"/>
              <w:rPr>
                <w:sz w:val="16"/>
                <w:szCs w:val="16"/>
                <w:lang w:val="en-ZA"/>
              </w:rPr>
            </w:pPr>
            <w:r w:rsidRPr="00A71C3A">
              <w:rPr>
                <w:sz w:val="16"/>
                <w:szCs w:val="16"/>
                <w:lang w:val="en-ZA"/>
              </w:rPr>
              <w:t>209,76</w:t>
            </w:r>
          </w:p>
        </w:tc>
        <w:tc>
          <w:tcPr>
            <w:tcW w:w="567" w:type="dxa"/>
            <w:hideMark/>
          </w:tcPr>
          <w:p w14:paraId="3711A7DF" w14:textId="77777777" w:rsidR="00A71C3A" w:rsidRPr="00A71C3A" w:rsidRDefault="00A71C3A" w:rsidP="00A71C3A">
            <w:pPr>
              <w:pStyle w:val="CETBodytext"/>
              <w:rPr>
                <w:sz w:val="16"/>
                <w:szCs w:val="16"/>
                <w:lang w:val="en-ZA"/>
              </w:rPr>
            </w:pPr>
            <w:r w:rsidRPr="00A71C3A">
              <w:rPr>
                <w:sz w:val="16"/>
                <w:szCs w:val="16"/>
                <w:lang w:val="en-ZA"/>
              </w:rPr>
              <w:t>0,22</w:t>
            </w:r>
          </w:p>
        </w:tc>
        <w:tc>
          <w:tcPr>
            <w:tcW w:w="992" w:type="dxa"/>
            <w:hideMark/>
          </w:tcPr>
          <w:p w14:paraId="3B61EC1B" w14:textId="77777777" w:rsidR="00A71C3A" w:rsidRPr="00A71C3A" w:rsidRDefault="00A71C3A" w:rsidP="00A71C3A">
            <w:pPr>
              <w:pStyle w:val="CETBodytext"/>
              <w:rPr>
                <w:sz w:val="16"/>
                <w:szCs w:val="16"/>
                <w:lang w:val="en-ZA"/>
              </w:rPr>
            </w:pPr>
            <w:r w:rsidRPr="00A71C3A">
              <w:rPr>
                <w:sz w:val="16"/>
                <w:szCs w:val="16"/>
                <w:lang w:val="en-ZA"/>
              </w:rPr>
              <w:t>1,72</w:t>
            </w:r>
          </w:p>
        </w:tc>
        <w:tc>
          <w:tcPr>
            <w:tcW w:w="567" w:type="dxa"/>
            <w:hideMark/>
          </w:tcPr>
          <w:p w14:paraId="36AB9656" w14:textId="77777777" w:rsidR="00A71C3A" w:rsidRPr="00A71C3A" w:rsidRDefault="00A71C3A" w:rsidP="00A71C3A">
            <w:pPr>
              <w:pStyle w:val="CETBodytext"/>
              <w:rPr>
                <w:sz w:val="16"/>
                <w:szCs w:val="16"/>
                <w:lang w:val="en-ZA"/>
              </w:rPr>
            </w:pPr>
            <w:r w:rsidRPr="00A71C3A">
              <w:rPr>
                <w:sz w:val="16"/>
                <w:szCs w:val="16"/>
                <w:lang w:val="en-ZA"/>
              </w:rPr>
              <w:t>0,02</w:t>
            </w:r>
          </w:p>
        </w:tc>
        <w:tc>
          <w:tcPr>
            <w:tcW w:w="7309" w:type="dxa"/>
            <w:hideMark/>
          </w:tcPr>
          <w:p w14:paraId="6FB32281" w14:textId="77777777" w:rsidR="00A71C3A" w:rsidRPr="00A71C3A" w:rsidRDefault="00A71C3A" w:rsidP="00A71C3A">
            <w:pPr>
              <w:pStyle w:val="CETBodytext"/>
              <w:rPr>
                <w:sz w:val="16"/>
                <w:szCs w:val="16"/>
                <w:lang w:val="en-ZA"/>
              </w:rPr>
            </w:pPr>
            <w:r w:rsidRPr="00A71C3A">
              <w:rPr>
                <w:sz w:val="16"/>
                <w:szCs w:val="16"/>
                <w:lang w:val="en-ZA"/>
              </w:rPr>
              <w:t>1,68</w:t>
            </w:r>
          </w:p>
        </w:tc>
      </w:tr>
      <w:tr w:rsidR="003B4AA3" w:rsidRPr="00A71C3A" w14:paraId="44992747" w14:textId="77777777" w:rsidTr="00D73518">
        <w:trPr>
          <w:trHeight w:val="279"/>
        </w:trPr>
        <w:tc>
          <w:tcPr>
            <w:tcW w:w="1133" w:type="dxa"/>
            <w:hideMark/>
          </w:tcPr>
          <w:p w14:paraId="0F9FC561" w14:textId="77777777" w:rsidR="00A71C3A" w:rsidRPr="00A71C3A" w:rsidRDefault="00A71C3A" w:rsidP="00A71C3A">
            <w:pPr>
              <w:pStyle w:val="CETBodytext"/>
              <w:rPr>
                <w:sz w:val="16"/>
                <w:szCs w:val="16"/>
                <w:lang w:val="en-ZA"/>
              </w:rPr>
            </w:pPr>
            <w:r w:rsidRPr="00A71C3A">
              <w:rPr>
                <w:b/>
                <w:bCs/>
                <w:sz w:val="16"/>
                <w:szCs w:val="16"/>
                <w:lang w:val="en-ZA"/>
              </w:rPr>
              <w:t>virgin soil</w:t>
            </w:r>
          </w:p>
        </w:tc>
        <w:tc>
          <w:tcPr>
            <w:tcW w:w="568" w:type="dxa"/>
            <w:hideMark/>
          </w:tcPr>
          <w:p w14:paraId="7F63C83E" w14:textId="77777777" w:rsidR="00A71C3A" w:rsidRPr="00A71C3A" w:rsidRDefault="00A71C3A" w:rsidP="00A71C3A">
            <w:pPr>
              <w:pStyle w:val="CETBodytext"/>
              <w:rPr>
                <w:sz w:val="16"/>
                <w:szCs w:val="16"/>
                <w:lang w:val="en-ZA"/>
              </w:rPr>
            </w:pPr>
            <w:r w:rsidRPr="00A71C3A">
              <w:rPr>
                <w:sz w:val="16"/>
                <w:szCs w:val="16"/>
                <w:lang w:val="en-ZA"/>
              </w:rPr>
              <w:t>3,6</w:t>
            </w:r>
          </w:p>
        </w:tc>
        <w:tc>
          <w:tcPr>
            <w:tcW w:w="709" w:type="dxa"/>
            <w:hideMark/>
          </w:tcPr>
          <w:p w14:paraId="3205E098" w14:textId="77777777" w:rsidR="00A71C3A" w:rsidRPr="00A71C3A" w:rsidRDefault="00A71C3A" w:rsidP="00A71C3A">
            <w:pPr>
              <w:pStyle w:val="CETBodytext"/>
              <w:rPr>
                <w:sz w:val="16"/>
                <w:szCs w:val="16"/>
                <w:lang w:val="en-ZA"/>
              </w:rPr>
            </w:pPr>
            <w:r w:rsidRPr="00A71C3A">
              <w:rPr>
                <w:sz w:val="16"/>
                <w:szCs w:val="16"/>
                <w:lang w:val="en-ZA"/>
              </w:rPr>
              <w:t>7,09</w:t>
            </w:r>
          </w:p>
        </w:tc>
        <w:tc>
          <w:tcPr>
            <w:tcW w:w="567" w:type="dxa"/>
            <w:hideMark/>
          </w:tcPr>
          <w:p w14:paraId="2685FA9E" w14:textId="77777777" w:rsidR="00A71C3A" w:rsidRPr="00A71C3A" w:rsidRDefault="00A71C3A" w:rsidP="00A71C3A">
            <w:pPr>
              <w:pStyle w:val="CETBodytext"/>
              <w:rPr>
                <w:sz w:val="16"/>
                <w:szCs w:val="16"/>
                <w:lang w:val="en-ZA"/>
              </w:rPr>
            </w:pPr>
            <w:r w:rsidRPr="00A71C3A">
              <w:rPr>
                <w:sz w:val="16"/>
                <w:szCs w:val="16"/>
                <w:lang w:val="en-ZA"/>
              </w:rPr>
              <w:t>0,68</w:t>
            </w:r>
          </w:p>
        </w:tc>
        <w:tc>
          <w:tcPr>
            <w:tcW w:w="567" w:type="dxa"/>
            <w:hideMark/>
          </w:tcPr>
          <w:p w14:paraId="7CEC393D" w14:textId="77777777" w:rsidR="00A71C3A" w:rsidRPr="00A71C3A" w:rsidRDefault="00A71C3A" w:rsidP="00A71C3A">
            <w:pPr>
              <w:pStyle w:val="CETBodytext"/>
              <w:rPr>
                <w:sz w:val="16"/>
                <w:szCs w:val="16"/>
                <w:lang w:val="en-ZA"/>
              </w:rPr>
            </w:pPr>
            <w:r w:rsidRPr="00A71C3A">
              <w:rPr>
                <w:sz w:val="16"/>
                <w:szCs w:val="16"/>
                <w:lang w:val="en-ZA"/>
              </w:rPr>
              <w:t>0,70</w:t>
            </w:r>
          </w:p>
        </w:tc>
        <w:tc>
          <w:tcPr>
            <w:tcW w:w="567" w:type="dxa"/>
            <w:hideMark/>
          </w:tcPr>
          <w:p w14:paraId="0D5CE20F" w14:textId="77777777" w:rsidR="00A71C3A" w:rsidRPr="00A71C3A" w:rsidRDefault="00A71C3A" w:rsidP="00A71C3A">
            <w:pPr>
              <w:pStyle w:val="CETBodytext"/>
              <w:rPr>
                <w:sz w:val="16"/>
                <w:szCs w:val="16"/>
                <w:lang w:val="en-ZA"/>
              </w:rPr>
            </w:pPr>
            <w:r w:rsidRPr="00A71C3A">
              <w:rPr>
                <w:sz w:val="16"/>
                <w:szCs w:val="16"/>
                <w:lang w:val="en-ZA"/>
              </w:rPr>
              <w:t>5,94</w:t>
            </w:r>
          </w:p>
        </w:tc>
        <w:tc>
          <w:tcPr>
            <w:tcW w:w="567" w:type="dxa"/>
            <w:hideMark/>
          </w:tcPr>
          <w:p w14:paraId="3F590788" w14:textId="77777777" w:rsidR="00A71C3A" w:rsidRPr="00A71C3A" w:rsidRDefault="00A71C3A" w:rsidP="00A71C3A">
            <w:pPr>
              <w:pStyle w:val="CETBodytext"/>
              <w:rPr>
                <w:sz w:val="16"/>
                <w:szCs w:val="16"/>
                <w:lang w:val="en-ZA"/>
              </w:rPr>
            </w:pPr>
            <w:r w:rsidRPr="00A71C3A">
              <w:rPr>
                <w:sz w:val="16"/>
                <w:szCs w:val="16"/>
                <w:lang w:val="en-ZA"/>
              </w:rPr>
              <w:t>0,16</w:t>
            </w:r>
          </w:p>
        </w:tc>
        <w:tc>
          <w:tcPr>
            <w:tcW w:w="567" w:type="dxa"/>
            <w:hideMark/>
          </w:tcPr>
          <w:p w14:paraId="5582BB14" w14:textId="77777777" w:rsidR="00A71C3A" w:rsidRPr="00A71C3A" w:rsidRDefault="00A71C3A" w:rsidP="00A71C3A">
            <w:pPr>
              <w:pStyle w:val="CETBodytext"/>
              <w:rPr>
                <w:sz w:val="16"/>
                <w:szCs w:val="16"/>
                <w:lang w:val="en-ZA"/>
              </w:rPr>
            </w:pPr>
            <w:r w:rsidRPr="00A71C3A">
              <w:rPr>
                <w:sz w:val="16"/>
                <w:szCs w:val="16"/>
                <w:lang w:val="en-ZA"/>
              </w:rPr>
              <w:t>52,51</w:t>
            </w:r>
          </w:p>
        </w:tc>
        <w:tc>
          <w:tcPr>
            <w:tcW w:w="709" w:type="dxa"/>
            <w:hideMark/>
          </w:tcPr>
          <w:p w14:paraId="134FE3D5" w14:textId="77777777" w:rsidR="00A71C3A" w:rsidRPr="00A71C3A" w:rsidRDefault="00A71C3A" w:rsidP="00A71C3A">
            <w:pPr>
              <w:pStyle w:val="CETBodytext"/>
              <w:rPr>
                <w:sz w:val="16"/>
                <w:szCs w:val="16"/>
                <w:lang w:val="en-ZA"/>
              </w:rPr>
            </w:pPr>
            <w:r w:rsidRPr="00A71C3A">
              <w:rPr>
                <w:sz w:val="16"/>
                <w:szCs w:val="16"/>
                <w:lang w:val="en-ZA"/>
              </w:rPr>
              <w:t>82,36</w:t>
            </w:r>
          </w:p>
        </w:tc>
        <w:tc>
          <w:tcPr>
            <w:tcW w:w="567" w:type="dxa"/>
            <w:hideMark/>
          </w:tcPr>
          <w:p w14:paraId="7AE415A0" w14:textId="77777777" w:rsidR="00A71C3A" w:rsidRPr="00A71C3A" w:rsidRDefault="00A71C3A" w:rsidP="00A71C3A">
            <w:pPr>
              <w:pStyle w:val="CETBodytext"/>
              <w:rPr>
                <w:sz w:val="16"/>
                <w:szCs w:val="16"/>
                <w:lang w:val="en-ZA"/>
              </w:rPr>
            </w:pPr>
            <w:r w:rsidRPr="00A71C3A">
              <w:rPr>
                <w:sz w:val="16"/>
                <w:szCs w:val="16"/>
                <w:lang w:val="en-ZA"/>
              </w:rPr>
              <w:t>0,76</w:t>
            </w:r>
          </w:p>
        </w:tc>
        <w:tc>
          <w:tcPr>
            <w:tcW w:w="992" w:type="dxa"/>
            <w:hideMark/>
          </w:tcPr>
          <w:p w14:paraId="1B1EA49F" w14:textId="77777777" w:rsidR="00A71C3A" w:rsidRPr="00A71C3A" w:rsidRDefault="00A71C3A" w:rsidP="00A71C3A">
            <w:pPr>
              <w:pStyle w:val="CETBodytext"/>
              <w:rPr>
                <w:sz w:val="16"/>
                <w:szCs w:val="16"/>
                <w:lang w:val="en-ZA"/>
              </w:rPr>
            </w:pPr>
            <w:r w:rsidRPr="00A71C3A">
              <w:rPr>
                <w:sz w:val="16"/>
                <w:szCs w:val="16"/>
                <w:lang w:val="en-ZA"/>
              </w:rPr>
              <w:t>3,10</w:t>
            </w:r>
          </w:p>
        </w:tc>
        <w:tc>
          <w:tcPr>
            <w:tcW w:w="567" w:type="dxa"/>
            <w:hideMark/>
          </w:tcPr>
          <w:p w14:paraId="019E273B" w14:textId="77777777" w:rsidR="00A71C3A" w:rsidRPr="00A71C3A" w:rsidRDefault="00A71C3A" w:rsidP="00A71C3A">
            <w:pPr>
              <w:pStyle w:val="CETBodytext"/>
              <w:rPr>
                <w:sz w:val="16"/>
                <w:szCs w:val="16"/>
                <w:lang w:val="en-ZA"/>
              </w:rPr>
            </w:pPr>
            <w:r w:rsidRPr="00A71C3A">
              <w:rPr>
                <w:sz w:val="16"/>
                <w:szCs w:val="16"/>
                <w:lang w:val="en-ZA"/>
              </w:rPr>
              <w:t>0,04</w:t>
            </w:r>
          </w:p>
        </w:tc>
        <w:tc>
          <w:tcPr>
            <w:tcW w:w="7309" w:type="dxa"/>
            <w:hideMark/>
          </w:tcPr>
          <w:p w14:paraId="2B53B024" w14:textId="77777777" w:rsidR="00A71C3A" w:rsidRPr="00A71C3A" w:rsidRDefault="00A71C3A" w:rsidP="00A71C3A">
            <w:pPr>
              <w:pStyle w:val="CETBodytext"/>
              <w:rPr>
                <w:sz w:val="16"/>
                <w:szCs w:val="16"/>
                <w:lang w:val="en-ZA"/>
              </w:rPr>
            </w:pPr>
            <w:r w:rsidRPr="00A71C3A">
              <w:rPr>
                <w:sz w:val="16"/>
                <w:szCs w:val="16"/>
                <w:lang w:val="en-ZA"/>
              </w:rPr>
              <w:t>1,52</w:t>
            </w:r>
          </w:p>
        </w:tc>
      </w:tr>
    </w:tbl>
    <w:p w14:paraId="18BAFA6F" w14:textId="44CD8372" w:rsidR="00453E24" w:rsidRDefault="00453E24" w:rsidP="00FD3D94">
      <w:pPr>
        <w:pStyle w:val="CETBodytext"/>
      </w:pPr>
    </w:p>
    <w:p w14:paraId="1376844F" w14:textId="6A4A8D18" w:rsidR="00FD3D94" w:rsidRPr="00FD3D94" w:rsidRDefault="00FD3D94" w:rsidP="00FD3D94">
      <w:pPr>
        <w:pStyle w:val="CETBodytext"/>
        <w:rPr>
          <w:i/>
          <w:iCs/>
        </w:rPr>
      </w:pPr>
      <w:r w:rsidRPr="00FD3D94">
        <w:rPr>
          <w:i/>
          <w:iCs/>
        </w:rPr>
        <w:t>Table 3: Relative abundance of crystalline phase (Mass %)</w:t>
      </w:r>
    </w:p>
    <w:p w14:paraId="66425C45" w14:textId="77777777" w:rsidR="00FD3D94" w:rsidRDefault="00FD3D94" w:rsidP="00FD3D94">
      <w:pPr>
        <w:pStyle w:val="CETBodytext"/>
      </w:pPr>
    </w:p>
    <w:tbl>
      <w:tblPr>
        <w:tblStyle w:val="PlainTable2"/>
        <w:tblW w:w="6021" w:type="dxa"/>
        <w:tblLook w:val="0420" w:firstRow="1" w:lastRow="0" w:firstColumn="0" w:lastColumn="0" w:noHBand="0" w:noVBand="1"/>
      </w:tblPr>
      <w:tblGrid>
        <w:gridCol w:w="1404"/>
        <w:gridCol w:w="1226"/>
        <w:gridCol w:w="1007"/>
        <w:gridCol w:w="1391"/>
        <w:gridCol w:w="993"/>
      </w:tblGrid>
      <w:tr w:rsidR="00B86B49" w:rsidRPr="00B86B49" w14:paraId="3C96B21A" w14:textId="77777777" w:rsidTr="00B86B49">
        <w:trPr>
          <w:cnfStyle w:val="100000000000" w:firstRow="1" w:lastRow="0" w:firstColumn="0" w:lastColumn="0" w:oddVBand="0" w:evenVBand="0" w:oddHBand="0" w:evenHBand="0" w:firstRowFirstColumn="0" w:firstRowLastColumn="0" w:lastRowFirstColumn="0" w:lastRowLastColumn="0"/>
          <w:trHeight w:val="318"/>
        </w:trPr>
        <w:tc>
          <w:tcPr>
            <w:tcW w:w="1404" w:type="dxa"/>
            <w:hideMark/>
          </w:tcPr>
          <w:p w14:paraId="7CD0FCBF" w14:textId="77777777" w:rsidR="00B86B49" w:rsidRPr="00B86B49" w:rsidRDefault="00B86B49" w:rsidP="00B86B49">
            <w:pPr>
              <w:pStyle w:val="CETBodytext"/>
              <w:rPr>
                <w:noProof/>
                <w:lang w:val="en-ZA"/>
              </w:rPr>
            </w:pPr>
            <w:r w:rsidRPr="00B86B49">
              <w:rPr>
                <w:b/>
                <w:bCs/>
                <w:noProof/>
                <w:lang w:val="en-ZA"/>
              </w:rPr>
              <w:t>Mineral</w:t>
            </w:r>
          </w:p>
        </w:tc>
        <w:tc>
          <w:tcPr>
            <w:tcW w:w="1226" w:type="dxa"/>
            <w:hideMark/>
          </w:tcPr>
          <w:p w14:paraId="787D32EE" w14:textId="77777777" w:rsidR="00B86B49" w:rsidRPr="00B86B49" w:rsidRDefault="00B86B49" w:rsidP="00B86B49">
            <w:pPr>
              <w:pStyle w:val="CETBodytext"/>
              <w:rPr>
                <w:lang w:val="en-ZA"/>
              </w:rPr>
            </w:pPr>
            <w:r w:rsidRPr="00B86B49">
              <w:rPr>
                <w:lang w:val="en-ZA"/>
              </w:rPr>
              <w:t>Tailings</w:t>
            </w:r>
          </w:p>
        </w:tc>
        <w:tc>
          <w:tcPr>
            <w:tcW w:w="1007" w:type="dxa"/>
            <w:hideMark/>
          </w:tcPr>
          <w:p w14:paraId="7617C4ED" w14:textId="77777777" w:rsidR="00B86B49" w:rsidRPr="00B86B49" w:rsidRDefault="00B86B49" w:rsidP="00B86B49">
            <w:pPr>
              <w:pStyle w:val="CETBodytext"/>
              <w:rPr>
                <w:lang w:val="en-ZA"/>
              </w:rPr>
            </w:pPr>
            <w:r w:rsidRPr="00B86B49">
              <w:rPr>
                <w:lang w:val="en-ZA"/>
              </w:rPr>
              <w:t>Slurry</w:t>
            </w:r>
          </w:p>
        </w:tc>
        <w:tc>
          <w:tcPr>
            <w:tcW w:w="1391" w:type="dxa"/>
            <w:hideMark/>
          </w:tcPr>
          <w:p w14:paraId="08EAAAAB" w14:textId="77777777" w:rsidR="00B86B49" w:rsidRPr="00B86B49" w:rsidRDefault="00B86B49" w:rsidP="00B86B49">
            <w:pPr>
              <w:pStyle w:val="CETBodytext"/>
              <w:rPr>
                <w:lang w:val="en-ZA"/>
              </w:rPr>
            </w:pPr>
            <w:r w:rsidRPr="00B86B49">
              <w:rPr>
                <w:lang w:val="en-ZA"/>
              </w:rPr>
              <w:t>Stockpile soil</w:t>
            </w:r>
          </w:p>
        </w:tc>
        <w:tc>
          <w:tcPr>
            <w:tcW w:w="993" w:type="dxa"/>
            <w:hideMark/>
          </w:tcPr>
          <w:p w14:paraId="2DA20B42" w14:textId="77777777" w:rsidR="00B86B49" w:rsidRPr="00B86B49" w:rsidRDefault="00B86B49" w:rsidP="00B86B49">
            <w:pPr>
              <w:pStyle w:val="CETBodytext"/>
              <w:rPr>
                <w:lang w:val="en-ZA"/>
              </w:rPr>
            </w:pPr>
            <w:r w:rsidRPr="00B86B49">
              <w:rPr>
                <w:lang w:val="en-ZA"/>
              </w:rPr>
              <w:t>Virgin soil</w:t>
            </w:r>
          </w:p>
        </w:tc>
      </w:tr>
      <w:tr w:rsidR="00B86B49" w:rsidRPr="00B86B49" w14:paraId="7A8B92F8" w14:textId="77777777" w:rsidTr="00B86B49">
        <w:trPr>
          <w:cnfStyle w:val="000000100000" w:firstRow="0" w:lastRow="0" w:firstColumn="0" w:lastColumn="0" w:oddVBand="0" w:evenVBand="0" w:oddHBand="1" w:evenHBand="0" w:firstRowFirstColumn="0" w:firstRowLastColumn="0" w:lastRowFirstColumn="0" w:lastRowLastColumn="0"/>
          <w:trHeight w:val="318"/>
        </w:trPr>
        <w:tc>
          <w:tcPr>
            <w:tcW w:w="1404" w:type="dxa"/>
            <w:hideMark/>
          </w:tcPr>
          <w:p w14:paraId="7C3B6216" w14:textId="77777777" w:rsidR="00B86B49" w:rsidRPr="00B86B49" w:rsidRDefault="00B86B49" w:rsidP="00B86B49">
            <w:pPr>
              <w:pStyle w:val="CETBodytext"/>
              <w:rPr>
                <w:lang w:val="en-ZA"/>
              </w:rPr>
            </w:pPr>
            <w:r w:rsidRPr="00B86B49">
              <w:rPr>
                <w:lang w:val="en-ZA"/>
              </w:rPr>
              <w:t>quartz</w:t>
            </w:r>
          </w:p>
        </w:tc>
        <w:tc>
          <w:tcPr>
            <w:tcW w:w="1226" w:type="dxa"/>
            <w:hideMark/>
          </w:tcPr>
          <w:p w14:paraId="0D2EF39C" w14:textId="77777777" w:rsidR="00B86B49" w:rsidRPr="00B86B49" w:rsidRDefault="00B86B49" w:rsidP="00B86B49">
            <w:pPr>
              <w:pStyle w:val="CETBodytext"/>
              <w:rPr>
                <w:lang w:val="en-ZA"/>
              </w:rPr>
            </w:pPr>
            <w:r w:rsidRPr="00B86B49">
              <w:rPr>
                <w:lang w:val="en-ZA"/>
              </w:rPr>
              <w:t>15</w:t>
            </w:r>
          </w:p>
        </w:tc>
        <w:tc>
          <w:tcPr>
            <w:tcW w:w="1007" w:type="dxa"/>
            <w:hideMark/>
          </w:tcPr>
          <w:p w14:paraId="5D4466D6" w14:textId="77777777" w:rsidR="00B86B49" w:rsidRPr="00B86B49" w:rsidRDefault="00B86B49" w:rsidP="00B86B49">
            <w:pPr>
              <w:pStyle w:val="CETBodytext"/>
              <w:rPr>
                <w:lang w:val="en-ZA"/>
              </w:rPr>
            </w:pPr>
            <w:r w:rsidRPr="00B86B49">
              <w:rPr>
                <w:lang w:val="en-ZA"/>
              </w:rPr>
              <w:t>20</w:t>
            </w:r>
          </w:p>
        </w:tc>
        <w:tc>
          <w:tcPr>
            <w:tcW w:w="1391" w:type="dxa"/>
            <w:hideMark/>
          </w:tcPr>
          <w:p w14:paraId="2429FE4E" w14:textId="77777777" w:rsidR="00B86B49" w:rsidRPr="00B86B49" w:rsidRDefault="00B86B49" w:rsidP="00B86B49">
            <w:pPr>
              <w:pStyle w:val="CETBodytext"/>
              <w:rPr>
                <w:lang w:val="en-ZA"/>
              </w:rPr>
            </w:pPr>
            <w:r w:rsidRPr="00B86B49">
              <w:rPr>
                <w:lang w:val="en-ZA"/>
              </w:rPr>
              <w:t>73</w:t>
            </w:r>
          </w:p>
        </w:tc>
        <w:tc>
          <w:tcPr>
            <w:tcW w:w="993" w:type="dxa"/>
            <w:hideMark/>
          </w:tcPr>
          <w:p w14:paraId="7A0DB2A6" w14:textId="77777777" w:rsidR="00B86B49" w:rsidRPr="00B86B49" w:rsidRDefault="00B86B49" w:rsidP="00B86B49">
            <w:pPr>
              <w:pStyle w:val="CETBodytext"/>
              <w:rPr>
                <w:lang w:val="en-ZA"/>
              </w:rPr>
            </w:pPr>
            <w:r w:rsidRPr="00B86B49">
              <w:rPr>
                <w:lang w:val="en-ZA"/>
              </w:rPr>
              <w:t>70</w:t>
            </w:r>
          </w:p>
        </w:tc>
      </w:tr>
      <w:tr w:rsidR="00B86B49" w:rsidRPr="00B86B49" w14:paraId="6C53B7B5" w14:textId="77777777" w:rsidTr="00B86B49">
        <w:trPr>
          <w:trHeight w:val="318"/>
        </w:trPr>
        <w:tc>
          <w:tcPr>
            <w:tcW w:w="1404" w:type="dxa"/>
            <w:hideMark/>
          </w:tcPr>
          <w:p w14:paraId="57924049" w14:textId="77777777" w:rsidR="00B86B49" w:rsidRPr="00B86B49" w:rsidRDefault="00B86B49" w:rsidP="00B86B49">
            <w:pPr>
              <w:pStyle w:val="CETBodytext"/>
              <w:rPr>
                <w:lang w:val="en-ZA"/>
              </w:rPr>
            </w:pPr>
            <w:r w:rsidRPr="00B86B49">
              <w:rPr>
                <w:lang w:val="en-ZA"/>
              </w:rPr>
              <w:t>pyrite</w:t>
            </w:r>
          </w:p>
        </w:tc>
        <w:tc>
          <w:tcPr>
            <w:tcW w:w="1226" w:type="dxa"/>
            <w:hideMark/>
          </w:tcPr>
          <w:p w14:paraId="20B904AB" w14:textId="77777777" w:rsidR="00B86B49" w:rsidRPr="00B86B49" w:rsidRDefault="00B86B49" w:rsidP="00B86B49">
            <w:pPr>
              <w:pStyle w:val="CETBodytext"/>
              <w:rPr>
                <w:lang w:val="en-ZA"/>
              </w:rPr>
            </w:pPr>
            <w:r w:rsidRPr="00B86B49">
              <w:rPr>
                <w:lang w:val="en-ZA"/>
              </w:rPr>
              <w:t>2</w:t>
            </w:r>
          </w:p>
        </w:tc>
        <w:tc>
          <w:tcPr>
            <w:tcW w:w="1007" w:type="dxa"/>
            <w:hideMark/>
          </w:tcPr>
          <w:p w14:paraId="74F4C6EB" w14:textId="77777777" w:rsidR="00B86B49" w:rsidRPr="00B86B49" w:rsidRDefault="00B86B49" w:rsidP="00B86B49">
            <w:pPr>
              <w:pStyle w:val="CETBodytext"/>
              <w:rPr>
                <w:lang w:val="en-ZA"/>
              </w:rPr>
            </w:pPr>
            <w:r w:rsidRPr="00B86B49">
              <w:rPr>
                <w:lang w:val="en-ZA"/>
              </w:rPr>
              <w:t>1</w:t>
            </w:r>
          </w:p>
        </w:tc>
        <w:tc>
          <w:tcPr>
            <w:tcW w:w="1391" w:type="dxa"/>
            <w:hideMark/>
          </w:tcPr>
          <w:p w14:paraId="6D802B6A" w14:textId="77777777" w:rsidR="00B86B49" w:rsidRPr="00B86B49" w:rsidRDefault="00B86B49" w:rsidP="00B86B49">
            <w:pPr>
              <w:pStyle w:val="CETBodytext"/>
              <w:rPr>
                <w:lang w:val="en-ZA"/>
              </w:rPr>
            </w:pPr>
            <w:r w:rsidRPr="00B86B49">
              <w:rPr>
                <w:lang w:val="en-ZA"/>
              </w:rPr>
              <w:t>-</w:t>
            </w:r>
          </w:p>
        </w:tc>
        <w:tc>
          <w:tcPr>
            <w:tcW w:w="993" w:type="dxa"/>
            <w:hideMark/>
          </w:tcPr>
          <w:p w14:paraId="690E800F" w14:textId="77777777" w:rsidR="00B86B49" w:rsidRPr="00B86B49" w:rsidRDefault="00B86B49" w:rsidP="00B86B49">
            <w:pPr>
              <w:pStyle w:val="CETBodytext"/>
              <w:rPr>
                <w:lang w:val="en-ZA"/>
              </w:rPr>
            </w:pPr>
            <w:r w:rsidRPr="00B86B49">
              <w:rPr>
                <w:lang w:val="en-ZA"/>
              </w:rPr>
              <w:t>-</w:t>
            </w:r>
          </w:p>
        </w:tc>
      </w:tr>
      <w:tr w:rsidR="00B86B49" w:rsidRPr="00B86B49" w14:paraId="7AE3DF2E" w14:textId="77777777" w:rsidTr="00B86B49">
        <w:trPr>
          <w:cnfStyle w:val="000000100000" w:firstRow="0" w:lastRow="0" w:firstColumn="0" w:lastColumn="0" w:oddVBand="0" w:evenVBand="0" w:oddHBand="1" w:evenHBand="0" w:firstRowFirstColumn="0" w:firstRowLastColumn="0" w:lastRowFirstColumn="0" w:lastRowLastColumn="0"/>
          <w:trHeight w:val="318"/>
        </w:trPr>
        <w:tc>
          <w:tcPr>
            <w:tcW w:w="1404" w:type="dxa"/>
            <w:hideMark/>
          </w:tcPr>
          <w:p w14:paraId="62BB890C" w14:textId="77777777" w:rsidR="00B86B49" w:rsidRPr="00B86B49" w:rsidRDefault="00B86B49" w:rsidP="00B86B49">
            <w:pPr>
              <w:pStyle w:val="CETBodytext"/>
              <w:rPr>
                <w:lang w:val="en-ZA"/>
              </w:rPr>
            </w:pPr>
            <w:r w:rsidRPr="00B86B49">
              <w:rPr>
                <w:lang w:val="en-ZA"/>
              </w:rPr>
              <w:t>kaolinite</w:t>
            </w:r>
          </w:p>
        </w:tc>
        <w:tc>
          <w:tcPr>
            <w:tcW w:w="1226" w:type="dxa"/>
            <w:hideMark/>
          </w:tcPr>
          <w:p w14:paraId="4F857996" w14:textId="77777777" w:rsidR="00B86B49" w:rsidRPr="00B86B49" w:rsidRDefault="00B86B49" w:rsidP="00B86B49">
            <w:pPr>
              <w:pStyle w:val="CETBodytext"/>
              <w:rPr>
                <w:lang w:val="en-ZA"/>
              </w:rPr>
            </w:pPr>
            <w:r w:rsidRPr="00B86B49">
              <w:rPr>
                <w:lang w:val="en-ZA"/>
              </w:rPr>
              <w:t>52</w:t>
            </w:r>
          </w:p>
        </w:tc>
        <w:tc>
          <w:tcPr>
            <w:tcW w:w="1007" w:type="dxa"/>
            <w:hideMark/>
          </w:tcPr>
          <w:p w14:paraId="4E963C5E" w14:textId="77777777" w:rsidR="00B86B49" w:rsidRPr="00B86B49" w:rsidRDefault="00B86B49" w:rsidP="00B86B49">
            <w:pPr>
              <w:pStyle w:val="CETBodytext"/>
              <w:rPr>
                <w:lang w:val="en-ZA"/>
              </w:rPr>
            </w:pPr>
            <w:r w:rsidRPr="00B86B49">
              <w:rPr>
                <w:lang w:val="en-ZA"/>
              </w:rPr>
              <w:t>57</w:t>
            </w:r>
          </w:p>
        </w:tc>
        <w:tc>
          <w:tcPr>
            <w:tcW w:w="1391" w:type="dxa"/>
            <w:hideMark/>
          </w:tcPr>
          <w:p w14:paraId="7496C9EC" w14:textId="77777777" w:rsidR="00B86B49" w:rsidRPr="00B86B49" w:rsidRDefault="00B86B49" w:rsidP="00B86B49">
            <w:pPr>
              <w:pStyle w:val="CETBodytext"/>
              <w:rPr>
                <w:lang w:val="en-ZA"/>
              </w:rPr>
            </w:pPr>
            <w:r w:rsidRPr="00B86B49">
              <w:rPr>
                <w:lang w:val="en-ZA"/>
              </w:rPr>
              <w:t>24</w:t>
            </w:r>
          </w:p>
        </w:tc>
        <w:tc>
          <w:tcPr>
            <w:tcW w:w="993" w:type="dxa"/>
            <w:hideMark/>
          </w:tcPr>
          <w:p w14:paraId="57CD5287" w14:textId="77777777" w:rsidR="00B86B49" w:rsidRPr="00B86B49" w:rsidRDefault="00B86B49" w:rsidP="00B86B49">
            <w:pPr>
              <w:pStyle w:val="CETBodytext"/>
              <w:rPr>
                <w:lang w:val="en-ZA"/>
              </w:rPr>
            </w:pPr>
            <w:r w:rsidRPr="00B86B49">
              <w:rPr>
                <w:lang w:val="en-ZA"/>
              </w:rPr>
              <w:t>26</w:t>
            </w:r>
          </w:p>
        </w:tc>
      </w:tr>
      <w:tr w:rsidR="00B86B49" w:rsidRPr="00B86B49" w14:paraId="0AB6EF75" w14:textId="77777777" w:rsidTr="00B86B49">
        <w:trPr>
          <w:trHeight w:val="318"/>
        </w:trPr>
        <w:tc>
          <w:tcPr>
            <w:tcW w:w="1404" w:type="dxa"/>
            <w:hideMark/>
          </w:tcPr>
          <w:p w14:paraId="12F5D542" w14:textId="77777777" w:rsidR="00B86B49" w:rsidRPr="00B86B49" w:rsidRDefault="00B86B49" w:rsidP="00B86B49">
            <w:pPr>
              <w:pStyle w:val="CETBodytext"/>
              <w:rPr>
                <w:lang w:val="en-ZA"/>
              </w:rPr>
            </w:pPr>
            <w:r w:rsidRPr="00B86B49">
              <w:rPr>
                <w:lang w:val="en-ZA"/>
              </w:rPr>
              <w:t>muscovite</w:t>
            </w:r>
          </w:p>
        </w:tc>
        <w:tc>
          <w:tcPr>
            <w:tcW w:w="1226" w:type="dxa"/>
            <w:hideMark/>
          </w:tcPr>
          <w:p w14:paraId="7C030E07" w14:textId="77777777" w:rsidR="00B86B49" w:rsidRPr="00B86B49" w:rsidRDefault="00B86B49" w:rsidP="00B86B49">
            <w:pPr>
              <w:pStyle w:val="CETBodytext"/>
              <w:rPr>
                <w:lang w:val="en-ZA"/>
              </w:rPr>
            </w:pPr>
            <w:r w:rsidRPr="00B86B49">
              <w:rPr>
                <w:lang w:val="en-ZA"/>
              </w:rPr>
              <w:t>12</w:t>
            </w:r>
          </w:p>
        </w:tc>
        <w:tc>
          <w:tcPr>
            <w:tcW w:w="1007" w:type="dxa"/>
            <w:hideMark/>
          </w:tcPr>
          <w:p w14:paraId="1C3E2692" w14:textId="77777777" w:rsidR="00B86B49" w:rsidRPr="00B86B49" w:rsidRDefault="00B86B49" w:rsidP="00B86B49">
            <w:pPr>
              <w:pStyle w:val="CETBodytext"/>
              <w:rPr>
                <w:lang w:val="en-ZA"/>
              </w:rPr>
            </w:pPr>
            <w:r w:rsidRPr="00B86B49">
              <w:rPr>
                <w:lang w:val="en-ZA"/>
              </w:rPr>
              <w:t>12</w:t>
            </w:r>
          </w:p>
        </w:tc>
        <w:tc>
          <w:tcPr>
            <w:tcW w:w="1391" w:type="dxa"/>
            <w:hideMark/>
          </w:tcPr>
          <w:p w14:paraId="175A649E" w14:textId="77777777" w:rsidR="00B86B49" w:rsidRPr="00B86B49" w:rsidRDefault="00B86B49" w:rsidP="00B86B49">
            <w:pPr>
              <w:pStyle w:val="CETBodytext"/>
              <w:rPr>
                <w:lang w:val="en-ZA"/>
              </w:rPr>
            </w:pPr>
            <w:r w:rsidRPr="00B86B49">
              <w:rPr>
                <w:lang w:val="en-ZA"/>
              </w:rPr>
              <w:t>3</w:t>
            </w:r>
          </w:p>
        </w:tc>
        <w:tc>
          <w:tcPr>
            <w:tcW w:w="993" w:type="dxa"/>
            <w:hideMark/>
          </w:tcPr>
          <w:p w14:paraId="01D2B002" w14:textId="77777777" w:rsidR="00B86B49" w:rsidRPr="00B86B49" w:rsidRDefault="00B86B49" w:rsidP="00B86B49">
            <w:pPr>
              <w:pStyle w:val="CETBodytext"/>
              <w:rPr>
                <w:lang w:val="en-ZA"/>
              </w:rPr>
            </w:pPr>
            <w:r w:rsidRPr="00B86B49">
              <w:rPr>
                <w:lang w:val="en-ZA"/>
              </w:rPr>
              <w:t>4</w:t>
            </w:r>
          </w:p>
        </w:tc>
      </w:tr>
      <w:tr w:rsidR="00B86B49" w:rsidRPr="00B86B49" w14:paraId="7263BC38" w14:textId="77777777" w:rsidTr="00B86B49">
        <w:trPr>
          <w:cnfStyle w:val="000000100000" w:firstRow="0" w:lastRow="0" w:firstColumn="0" w:lastColumn="0" w:oddVBand="0" w:evenVBand="0" w:oddHBand="1" w:evenHBand="0" w:firstRowFirstColumn="0" w:firstRowLastColumn="0" w:lastRowFirstColumn="0" w:lastRowLastColumn="0"/>
          <w:trHeight w:val="318"/>
        </w:trPr>
        <w:tc>
          <w:tcPr>
            <w:tcW w:w="1404" w:type="dxa"/>
            <w:hideMark/>
          </w:tcPr>
          <w:p w14:paraId="270D0DDC" w14:textId="77777777" w:rsidR="00B86B49" w:rsidRPr="00B86B49" w:rsidRDefault="00B86B49" w:rsidP="00B86B49">
            <w:pPr>
              <w:pStyle w:val="CETBodytext"/>
              <w:rPr>
                <w:lang w:val="en-ZA"/>
              </w:rPr>
            </w:pPr>
            <w:r w:rsidRPr="00B86B49">
              <w:rPr>
                <w:lang w:val="en-ZA"/>
              </w:rPr>
              <w:t>feldspar</w:t>
            </w:r>
          </w:p>
        </w:tc>
        <w:tc>
          <w:tcPr>
            <w:tcW w:w="1226" w:type="dxa"/>
            <w:hideMark/>
          </w:tcPr>
          <w:p w14:paraId="3AD97DCA" w14:textId="77777777" w:rsidR="00B86B49" w:rsidRPr="00B86B49" w:rsidRDefault="00B86B49" w:rsidP="00B86B49">
            <w:pPr>
              <w:pStyle w:val="CETBodytext"/>
              <w:rPr>
                <w:lang w:val="en-ZA"/>
              </w:rPr>
            </w:pPr>
            <w:r w:rsidRPr="00B86B49">
              <w:rPr>
                <w:lang w:val="en-ZA"/>
              </w:rPr>
              <w:t>4</w:t>
            </w:r>
          </w:p>
        </w:tc>
        <w:tc>
          <w:tcPr>
            <w:tcW w:w="1007" w:type="dxa"/>
            <w:hideMark/>
          </w:tcPr>
          <w:p w14:paraId="44BB86E9" w14:textId="77777777" w:rsidR="00B86B49" w:rsidRPr="00B86B49" w:rsidRDefault="00B86B49" w:rsidP="00B86B49">
            <w:pPr>
              <w:pStyle w:val="CETBodytext"/>
              <w:rPr>
                <w:lang w:val="en-ZA"/>
              </w:rPr>
            </w:pPr>
            <w:r w:rsidRPr="00B86B49">
              <w:rPr>
                <w:lang w:val="en-ZA"/>
              </w:rPr>
              <w:t>2</w:t>
            </w:r>
          </w:p>
        </w:tc>
        <w:tc>
          <w:tcPr>
            <w:tcW w:w="1391" w:type="dxa"/>
            <w:hideMark/>
          </w:tcPr>
          <w:p w14:paraId="6933769A" w14:textId="77777777" w:rsidR="00B86B49" w:rsidRPr="00B86B49" w:rsidRDefault="00B86B49" w:rsidP="00B86B49">
            <w:pPr>
              <w:pStyle w:val="CETBodytext"/>
              <w:rPr>
                <w:lang w:val="en-ZA"/>
              </w:rPr>
            </w:pPr>
            <w:r w:rsidRPr="00B86B49">
              <w:rPr>
                <w:lang w:val="en-ZA"/>
              </w:rPr>
              <w:t>-</w:t>
            </w:r>
          </w:p>
        </w:tc>
        <w:tc>
          <w:tcPr>
            <w:tcW w:w="993" w:type="dxa"/>
            <w:hideMark/>
          </w:tcPr>
          <w:p w14:paraId="7659E99A" w14:textId="77777777" w:rsidR="00B86B49" w:rsidRPr="00B86B49" w:rsidRDefault="00B86B49" w:rsidP="00B86B49">
            <w:pPr>
              <w:pStyle w:val="CETBodytext"/>
              <w:rPr>
                <w:lang w:val="en-ZA"/>
              </w:rPr>
            </w:pPr>
            <w:r w:rsidRPr="00B86B49">
              <w:rPr>
                <w:lang w:val="en-ZA"/>
              </w:rPr>
              <w:t>-</w:t>
            </w:r>
          </w:p>
        </w:tc>
      </w:tr>
      <w:tr w:rsidR="00B86B49" w:rsidRPr="00B86B49" w14:paraId="16FCEADD" w14:textId="77777777" w:rsidTr="00B86B49">
        <w:trPr>
          <w:trHeight w:val="318"/>
        </w:trPr>
        <w:tc>
          <w:tcPr>
            <w:tcW w:w="1404" w:type="dxa"/>
            <w:hideMark/>
          </w:tcPr>
          <w:p w14:paraId="7738932C" w14:textId="77777777" w:rsidR="00B86B49" w:rsidRPr="00B86B49" w:rsidRDefault="00B86B49" w:rsidP="00B86B49">
            <w:pPr>
              <w:pStyle w:val="CETBodytext"/>
              <w:rPr>
                <w:lang w:val="en-ZA"/>
              </w:rPr>
            </w:pPr>
            <w:r w:rsidRPr="00B86B49">
              <w:rPr>
                <w:lang w:val="en-ZA"/>
              </w:rPr>
              <w:t>spinel</w:t>
            </w:r>
          </w:p>
        </w:tc>
        <w:tc>
          <w:tcPr>
            <w:tcW w:w="1226" w:type="dxa"/>
            <w:hideMark/>
          </w:tcPr>
          <w:p w14:paraId="5072EF4D" w14:textId="77777777" w:rsidR="00B86B49" w:rsidRPr="00B86B49" w:rsidRDefault="00B86B49" w:rsidP="00B86B49">
            <w:pPr>
              <w:pStyle w:val="CETBodytext"/>
              <w:rPr>
                <w:lang w:val="en-ZA"/>
              </w:rPr>
            </w:pPr>
            <w:r w:rsidRPr="00B86B49">
              <w:rPr>
                <w:lang w:val="en-ZA"/>
              </w:rPr>
              <w:t>2</w:t>
            </w:r>
          </w:p>
        </w:tc>
        <w:tc>
          <w:tcPr>
            <w:tcW w:w="1007" w:type="dxa"/>
            <w:hideMark/>
          </w:tcPr>
          <w:p w14:paraId="64534199" w14:textId="77777777" w:rsidR="00B86B49" w:rsidRPr="00B86B49" w:rsidRDefault="00B86B49" w:rsidP="00B86B49">
            <w:pPr>
              <w:pStyle w:val="CETBodytext"/>
              <w:rPr>
                <w:lang w:val="en-ZA"/>
              </w:rPr>
            </w:pPr>
            <w:r w:rsidRPr="00B86B49">
              <w:rPr>
                <w:lang w:val="en-ZA"/>
              </w:rPr>
              <w:t>2</w:t>
            </w:r>
          </w:p>
        </w:tc>
        <w:tc>
          <w:tcPr>
            <w:tcW w:w="1391" w:type="dxa"/>
            <w:hideMark/>
          </w:tcPr>
          <w:p w14:paraId="6908889C" w14:textId="77777777" w:rsidR="00B86B49" w:rsidRPr="00B86B49" w:rsidRDefault="00B86B49" w:rsidP="00B86B49">
            <w:pPr>
              <w:pStyle w:val="CETBodytext"/>
              <w:rPr>
                <w:lang w:val="en-ZA"/>
              </w:rPr>
            </w:pPr>
            <w:r w:rsidRPr="00B86B49">
              <w:rPr>
                <w:lang w:val="en-ZA"/>
              </w:rPr>
              <w:t>-</w:t>
            </w:r>
          </w:p>
        </w:tc>
        <w:tc>
          <w:tcPr>
            <w:tcW w:w="993" w:type="dxa"/>
            <w:hideMark/>
          </w:tcPr>
          <w:p w14:paraId="076DB672" w14:textId="77777777" w:rsidR="00B86B49" w:rsidRPr="00B86B49" w:rsidRDefault="00B86B49" w:rsidP="00B86B49">
            <w:pPr>
              <w:pStyle w:val="CETBodytext"/>
              <w:rPr>
                <w:lang w:val="en-ZA"/>
              </w:rPr>
            </w:pPr>
            <w:r w:rsidRPr="00B86B49">
              <w:rPr>
                <w:lang w:val="en-ZA"/>
              </w:rPr>
              <w:t>-</w:t>
            </w:r>
          </w:p>
        </w:tc>
      </w:tr>
      <w:tr w:rsidR="00B86B49" w:rsidRPr="00B86B49" w14:paraId="0C773D1B" w14:textId="77777777" w:rsidTr="00B86B49">
        <w:trPr>
          <w:cnfStyle w:val="000000100000" w:firstRow="0" w:lastRow="0" w:firstColumn="0" w:lastColumn="0" w:oddVBand="0" w:evenVBand="0" w:oddHBand="1" w:evenHBand="0" w:firstRowFirstColumn="0" w:firstRowLastColumn="0" w:lastRowFirstColumn="0" w:lastRowLastColumn="0"/>
          <w:trHeight w:val="318"/>
        </w:trPr>
        <w:tc>
          <w:tcPr>
            <w:tcW w:w="1404" w:type="dxa"/>
            <w:hideMark/>
          </w:tcPr>
          <w:p w14:paraId="7FCAE3A4" w14:textId="77777777" w:rsidR="00B86B49" w:rsidRPr="00B86B49" w:rsidRDefault="00B86B49" w:rsidP="00B86B49">
            <w:pPr>
              <w:pStyle w:val="CETBodytext"/>
              <w:rPr>
                <w:lang w:val="en-ZA"/>
              </w:rPr>
            </w:pPr>
            <w:r w:rsidRPr="00B86B49">
              <w:rPr>
                <w:lang w:val="en-ZA"/>
              </w:rPr>
              <w:t>gypsum</w:t>
            </w:r>
          </w:p>
        </w:tc>
        <w:tc>
          <w:tcPr>
            <w:tcW w:w="1226" w:type="dxa"/>
            <w:hideMark/>
          </w:tcPr>
          <w:p w14:paraId="258C1619" w14:textId="77777777" w:rsidR="00B86B49" w:rsidRPr="00B86B49" w:rsidRDefault="00B86B49" w:rsidP="00B86B49">
            <w:pPr>
              <w:pStyle w:val="CETBodytext"/>
              <w:rPr>
                <w:lang w:val="en-ZA"/>
              </w:rPr>
            </w:pPr>
            <w:r w:rsidRPr="00B86B49">
              <w:rPr>
                <w:lang w:val="en-ZA"/>
              </w:rPr>
              <w:t>4</w:t>
            </w:r>
          </w:p>
        </w:tc>
        <w:tc>
          <w:tcPr>
            <w:tcW w:w="1007" w:type="dxa"/>
            <w:hideMark/>
          </w:tcPr>
          <w:p w14:paraId="0A3878F4" w14:textId="77777777" w:rsidR="00B86B49" w:rsidRPr="00B86B49" w:rsidRDefault="00B86B49" w:rsidP="00B86B49">
            <w:pPr>
              <w:pStyle w:val="CETBodytext"/>
              <w:rPr>
                <w:lang w:val="en-ZA"/>
              </w:rPr>
            </w:pPr>
            <w:r w:rsidRPr="00B86B49">
              <w:rPr>
                <w:lang w:val="en-ZA"/>
              </w:rPr>
              <w:t>4</w:t>
            </w:r>
          </w:p>
        </w:tc>
        <w:tc>
          <w:tcPr>
            <w:tcW w:w="1391" w:type="dxa"/>
            <w:hideMark/>
          </w:tcPr>
          <w:p w14:paraId="3384E123" w14:textId="77777777" w:rsidR="00B86B49" w:rsidRPr="00B86B49" w:rsidRDefault="00B86B49" w:rsidP="00B86B49">
            <w:pPr>
              <w:pStyle w:val="CETBodytext"/>
              <w:rPr>
                <w:lang w:val="en-ZA"/>
              </w:rPr>
            </w:pPr>
            <w:r w:rsidRPr="00B86B49">
              <w:rPr>
                <w:lang w:val="en-ZA"/>
              </w:rPr>
              <w:t>-</w:t>
            </w:r>
          </w:p>
        </w:tc>
        <w:tc>
          <w:tcPr>
            <w:tcW w:w="993" w:type="dxa"/>
            <w:hideMark/>
          </w:tcPr>
          <w:p w14:paraId="0BBDD3E9" w14:textId="77777777" w:rsidR="00B86B49" w:rsidRPr="00B86B49" w:rsidRDefault="00B86B49" w:rsidP="00B86B49">
            <w:pPr>
              <w:pStyle w:val="CETBodytext"/>
              <w:rPr>
                <w:lang w:val="en-ZA"/>
              </w:rPr>
            </w:pPr>
            <w:r w:rsidRPr="00B86B49">
              <w:rPr>
                <w:lang w:val="en-ZA"/>
              </w:rPr>
              <w:t>-</w:t>
            </w:r>
          </w:p>
        </w:tc>
      </w:tr>
      <w:tr w:rsidR="00B86B49" w:rsidRPr="00B86B49" w14:paraId="7710A7BE" w14:textId="77777777" w:rsidTr="00B86B49">
        <w:trPr>
          <w:trHeight w:val="318"/>
        </w:trPr>
        <w:tc>
          <w:tcPr>
            <w:tcW w:w="1404" w:type="dxa"/>
            <w:hideMark/>
          </w:tcPr>
          <w:p w14:paraId="556FF5C5" w14:textId="77777777" w:rsidR="00B86B49" w:rsidRPr="00B86B49" w:rsidRDefault="00B86B49" w:rsidP="00B86B49">
            <w:pPr>
              <w:pStyle w:val="CETBodytext"/>
              <w:rPr>
                <w:lang w:val="en-ZA"/>
              </w:rPr>
            </w:pPr>
            <w:r w:rsidRPr="00B86B49">
              <w:rPr>
                <w:lang w:val="en-ZA"/>
              </w:rPr>
              <w:t>anhydrite</w:t>
            </w:r>
          </w:p>
        </w:tc>
        <w:tc>
          <w:tcPr>
            <w:tcW w:w="1226" w:type="dxa"/>
            <w:hideMark/>
          </w:tcPr>
          <w:p w14:paraId="433472EA" w14:textId="77777777" w:rsidR="00B86B49" w:rsidRPr="00B86B49" w:rsidRDefault="00B86B49" w:rsidP="00B86B49">
            <w:pPr>
              <w:pStyle w:val="CETBodytext"/>
              <w:rPr>
                <w:lang w:val="en-ZA"/>
              </w:rPr>
            </w:pPr>
            <w:r w:rsidRPr="00B86B49">
              <w:rPr>
                <w:lang w:val="en-ZA"/>
              </w:rPr>
              <w:t>-</w:t>
            </w:r>
          </w:p>
        </w:tc>
        <w:tc>
          <w:tcPr>
            <w:tcW w:w="1007" w:type="dxa"/>
            <w:hideMark/>
          </w:tcPr>
          <w:p w14:paraId="4E294782" w14:textId="77777777" w:rsidR="00B86B49" w:rsidRPr="00B86B49" w:rsidRDefault="00B86B49" w:rsidP="00B86B49">
            <w:pPr>
              <w:pStyle w:val="CETBodytext"/>
              <w:rPr>
                <w:lang w:val="en-ZA"/>
              </w:rPr>
            </w:pPr>
            <w:r w:rsidRPr="00B86B49">
              <w:rPr>
                <w:lang w:val="en-ZA"/>
              </w:rPr>
              <w:t>&lt;1</w:t>
            </w:r>
          </w:p>
        </w:tc>
        <w:tc>
          <w:tcPr>
            <w:tcW w:w="1391" w:type="dxa"/>
            <w:hideMark/>
          </w:tcPr>
          <w:p w14:paraId="20A93187" w14:textId="77777777" w:rsidR="00B86B49" w:rsidRPr="00B86B49" w:rsidRDefault="00B86B49" w:rsidP="00B86B49">
            <w:pPr>
              <w:pStyle w:val="CETBodytext"/>
              <w:rPr>
                <w:lang w:val="en-ZA"/>
              </w:rPr>
            </w:pPr>
            <w:r w:rsidRPr="00B86B49">
              <w:rPr>
                <w:lang w:val="en-ZA"/>
              </w:rPr>
              <w:t>-</w:t>
            </w:r>
          </w:p>
        </w:tc>
        <w:tc>
          <w:tcPr>
            <w:tcW w:w="993" w:type="dxa"/>
            <w:hideMark/>
          </w:tcPr>
          <w:p w14:paraId="15DDBFB8" w14:textId="77777777" w:rsidR="00B86B49" w:rsidRPr="00B86B49" w:rsidRDefault="00B86B49" w:rsidP="00B86B49">
            <w:pPr>
              <w:pStyle w:val="CETBodytext"/>
              <w:rPr>
                <w:lang w:val="en-ZA"/>
              </w:rPr>
            </w:pPr>
            <w:r w:rsidRPr="00B86B49">
              <w:rPr>
                <w:lang w:val="en-ZA"/>
              </w:rPr>
              <w:t>-</w:t>
            </w:r>
          </w:p>
        </w:tc>
      </w:tr>
      <w:tr w:rsidR="00B86B49" w:rsidRPr="00B86B49" w14:paraId="154511AB" w14:textId="77777777" w:rsidTr="00B86B49">
        <w:trPr>
          <w:cnfStyle w:val="000000100000" w:firstRow="0" w:lastRow="0" w:firstColumn="0" w:lastColumn="0" w:oddVBand="0" w:evenVBand="0" w:oddHBand="1" w:evenHBand="0" w:firstRowFirstColumn="0" w:firstRowLastColumn="0" w:lastRowFirstColumn="0" w:lastRowLastColumn="0"/>
          <w:trHeight w:val="318"/>
        </w:trPr>
        <w:tc>
          <w:tcPr>
            <w:tcW w:w="1404" w:type="dxa"/>
            <w:hideMark/>
          </w:tcPr>
          <w:p w14:paraId="5500232D" w14:textId="77777777" w:rsidR="00B86B49" w:rsidRPr="00B86B49" w:rsidRDefault="00B86B49" w:rsidP="00B86B49">
            <w:pPr>
              <w:pStyle w:val="CETBodytext"/>
              <w:rPr>
                <w:lang w:val="en-ZA"/>
              </w:rPr>
            </w:pPr>
            <w:r w:rsidRPr="00B86B49">
              <w:rPr>
                <w:lang w:val="en-ZA"/>
              </w:rPr>
              <w:t>calcite</w:t>
            </w:r>
          </w:p>
        </w:tc>
        <w:tc>
          <w:tcPr>
            <w:tcW w:w="1226" w:type="dxa"/>
            <w:hideMark/>
          </w:tcPr>
          <w:p w14:paraId="015258A2" w14:textId="77777777" w:rsidR="00B86B49" w:rsidRPr="00B86B49" w:rsidRDefault="00B86B49" w:rsidP="00B86B49">
            <w:pPr>
              <w:pStyle w:val="CETBodytext"/>
              <w:rPr>
                <w:lang w:val="en-ZA"/>
              </w:rPr>
            </w:pPr>
            <w:r w:rsidRPr="00B86B49">
              <w:rPr>
                <w:lang w:val="en-ZA"/>
              </w:rPr>
              <w:t>5</w:t>
            </w:r>
          </w:p>
        </w:tc>
        <w:tc>
          <w:tcPr>
            <w:tcW w:w="1007" w:type="dxa"/>
            <w:hideMark/>
          </w:tcPr>
          <w:p w14:paraId="4F1EE5D0" w14:textId="77777777" w:rsidR="00B86B49" w:rsidRPr="00B86B49" w:rsidRDefault="00B86B49" w:rsidP="00B86B49">
            <w:pPr>
              <w:pStyle w:val="CETBodytext"/>
              <w:rPr>
                <w:lang w:val="en-ZA"/>
              </w:rPr>
            </w:pPr>
            <w:r w:rsidRPr="00B86B49">
              <w:rPr>
                <w:lang w:val="en-ZA"/>
              </w:rPr>
              <w:t>&lt;1</w:t>
            </w:r>
          </w:p>
        </w:tc>
        <w:tc>
          <w:tcPr>
            <w:tcW w:w="1391" w:type="dxa"/>
            <w:hideMark/>
          </w:tcPr>
          <w:p w14:paraId="6F6347C9" w14:textId="77777777" w:rsidR="00B86B49" w:rsidRPr="00B86B49" w:rsidRDefault="00B86B49" w:rsidP="00B86B49">
            <w:pPr>
              <w:pStyle w:val="CETBodytext"/>
              <w:rPr>
                <w:lang w:val="en-ZA"/>
              </w:rPr>
            </w:pPr>
            <w:r w:rsidRPr="00B86B49">
              <w:rPr>
                <w:lang w:val="en-ZA"/>
              </w:rPr>
              <w:t>-</w:t>
            </w:r>
          </w:p>
        </w:tc>
        <w:tc>
          <w:tcPr>
            <w:tcW w:w="993" w:type="dxa"/>
            <w:hideMark/>
          </w:tcPr>
          <w:p w14:paraId="4EC5CC8D" w14:textId="77777777" w:rsidR="00B86B49" w:rsidRPr="00B86B49" w:rsidRDefault="00B86B49" w:rsidP="00B86B49">
            <w:pPr>
              <w:pStyle w:val="CETBodytext"/>
              <w:rPr>
                <w:lang w:val="en-ZA"/>
              </w:rPr>
            </w:pPr>
            <w:r w:rsidRPr="00B86B49">
              <w:rPr>
                <w:lang w:val="en-ZA"/>
              </w:rPr>
              <w:t>-</w:t>
            </w:r>
          </w:p>
        </w:tc>
      </w:tr>
      <w:tr w:rsidR="00B86B49" w:rsidRPr="00B86B49" w14:paraId="7FC93DAF" w14:textId="77777777" w:rsidTr="00B86B49">
        <w:trPr>
          <w:trHeight w:val="318"/>
        </w:trPr>
        <w:tc>
          <w:tcPr>
            <w:tcW w:w="1404" w:type="dxa"/>
            <w:hideMark/>
          </w:tcPr>
          <w:p w14:paraId="15C39BCC" w14:textId="77777777" w:rsidR="00B86B49" w:rsidRPr="00B86B49" w:rsidRDefault="00B86B49" w:rsidP="00B86B49">
            <w:pPr>
              <w:pStyle w:val="CETBodytext"/>
              <w:rPr>
                <w:lang w:val="en-ZA"/>
              </w:rPr>
            </w:pPr>
            <w:r w:rsidRPr="00B86B49">
              <w:rPr>
                <w:lang w:val="en-ZA"/>
              </w:rPr>
              <w:t>dolomite</w:t>
            </w:r>
          </w:p>
        </w:tc>
        <w:tc>
          <w:tcPr>
            <w:tcW w:w="1226" w:type="dxa"/>
            <w:hideMark/>
          </w:tcPr>
          <w:p w14:paraId="0C3CB050" w14:textId="77777777" w:rsidR="00B86B49" w:rsidRPr="00B86B49" w:rsidRDefault="00B86B49" w:rsidP="00B86B49">
            <w:pPr>
              <w:pStyle w:val="CETBodytext"/>
              <w:rPr>
                <w:lang w:val="en-ZA"/>
              </w:rPr>
            </w:pPr>
            <w:r w:rsidRPr="00B86B49">
              <w:rPr>
                <w:lang w:val="en-ZA"/>
              </w:rPr>
              <w:t>3</w:t>
            </w:r>
          </w:p>
        </w:tc>
        <w:tc>
          <w:tcPr>
            <w:tcW w:w="1007" w:type="dxa"/>
            <w:hideMark/>
          </w:tcPr>
          <w:p w14:paraId="0F44A051" w14:textId="77777777" w:rsidR="00B86B49" w:rsidRPr="00B86B49" w:rsidRDefault="00B86B49" w:rsidP="00B86B49">
            <w:pPr>
              <w:pStyle w:val="CETBodytext"/>
              <w:rPr>
                <w:lang w:val="en-ZA"/>
              </w:rPr>
            </w:pPr>
            <w:r w:rsidRPr="00B86B49">
              <w:rPr>
                <w:lang w:val="en-ZA"/>
              </w:rPr>
              <w:t>-</w:t>
            </w:r>
          </w:p>
        </w:tc>
        <w:tc>
          <w:tcPr>
            <w:tcW w:w="1391" w:type="dxa"/>
            <w:hideMark/>
          </w:tcPr>
          <w:p w14:paraId="56C70031" w14:textId="77777777" w:rsidR="00B86B49" w:rsidRPr="00B86B49" w:rsidRDefault="00B86B49" w:rsidP="00B86B49">
            <w:pPr>
              <w:pStyle w:val="CETBodytext"/>
              <w:rPr>
                <w:lang w:val="en-ZA"/>
              </w:rPr>
            </w:pPr>
            <w:r w:rsidRPr="00B86B49">
              <w:rPr>
                <w:lang w:val="en-ZA"/>
              </w:rPr>
              <w:t>-</w:t>
            </w:r>
          </w:p>
        </w:tc>
        <w:tc>
          <w:tcPr>
            <w:tcW w:w="993" w:type="dxa"/>
            <w:hideMark/>
          </w:tcPr>
          <w:p w14:paraId="2B5F3D8E" w14:textId="77777777" w:rsidR="00B86B49" w:rsidRPr="00B86B49" w:rsidRDefault="00B86B49" w:rsidP="00B86B49">
            <w:pPr>
              <w:pStyle w:val="CETBodytext"/>
              <w:rPr>
                <w:lang w:val="en-ZA"/>
              </w:rPr>
            </w:pPr>
            <w:r w:rsidRPr="00B86B49">
              <w:rPr>
                <w:lang w:val="en-ZA"/>
              </w:rPr>
              <w:t>-</w:t>
            </w:r>
          </w:p>
        </w:tc>
      </w:tr>
    </w:tbl>
    <w:p w14:paraId="55768041" w14:textId="14FF7390" w:rsidR="00FD3D94" w:rsidRDefault="00FD3D94" w:rsidP="00FD3D94">
      <w:pPr>
        <w:pStyle w:val="CETBodytext"/>
        <w:rPr>
          <w:noProof/>
        </w:rPr>
      </w:pPr>
    </w:p>
    <w:p w14:paraId="15BB8F84" w14:textId="77777777" w:rsidR="008F13D9" w:rsidRPr="00B57B36" w:rsidRDefault="008F13D9" w:rsidP="00FD3D94">
      <w:pPr>
        <w:pStyle w:val="CETBodytext"/>
      </w:pPr>
    </w:p>
    <w:p w14:paraId="68D83B10" w14:textId="4ABBC68B" w:rsidR="005B2F9A" w:rsidRDefault="005B2F9A" w:rsidP="005B2F9A">
      <w:r>
        <w:t xml:space="preserve">Properties of the materials used to construct the </w:t>
      </w:r>
      <w:proofErr w:type="spellStart"/>
      <w:r>
        <w:t>technosols</w:t>
      </w:r>
      <w:proofErr w:type="spellEnd"/>
      <w:r>
        <w:t xml:space="preserve"> are illustrated in Table 3. Regarding the crystalline composition of coal wastes (tailings and slurry) are mainly composed of gypsum, calcite and dolomite while the control soils (stockpile and virgin) by abundance of quartz with less kaolinite and muscovite. The highest concentrations of quartz in virgin and stockpile soils can be attributed to quartz being undoubtedly the most common mineral at the earth surface whether in rock, sediments and soils, especially those in sandy structure (Wilson, 2020). Kaolinite is the most common clay mineral in coal (Yang et al., 2021). Results from CHNS analysis of all materials are shown in Table 4. The soils  are lower in both carbon (0.97%) of virgin and (0.48%) of stockpile contents when compared to the coal waste slurry (53.9%) and tailings (41.25%). The </w:t>
      </w:r>
      <w:proofErr w:type="spellStart"/>
      <w:r>
        <w:t>sulfur</w:t>
      </w:r>
      <w:proofErr w:type="spellEnd"/>
      <w:r>
        <w:t xml:space="preserve"> contents are 1.43% and 1.19%, respectively. These figures enable its use as the parent material for </w:t>
      </w:r>
      <w:proofErr w:type="spellStart"/>
      <w:r>
        <w:t>technosols</w:t>
      </w:r>
      <w:proofErr w:type="spellEnd"/>
      <w:r>
        <w:t xml:space="preserve"> bioremediation.</w:t>
      </w:r>
      <w:r w:rsidR="00964844" w:rsidRPr="00964844">
        <w:t xml:space="preserve"> </w:t>
      </w:r>
      <w:r w:rsidR="00964844" w:rsidRPr="00964844">
        <w:t xml:space="preserve">Pyritic resulted as the predominant </w:t>
      </w:r>
      <w:proofErr w:type="spellStart"/>
      <w:r w:rsidR="00964844" w:rsidRPr="00964844">
        <w:t>sulfur</w:t>
      </w:r>
      <w:proofErr w:type="spellEnd"/>
      <w:r w:rsidR="00964844" w:rsidRPr="00964844">
        <w:t xml:space="preserve"> content in the slurry, this compound could oxidise and generate acidity</w:t>
      </w:r>
      <w:r w:rsidR="00964844">
        <w:t xml:space="preserve"> </w:t>
      </w:r>
      <w:r>
        <w:t xml:space="preserve">as can be seen in Figure 1. </w:t>
      </w:r>
      <w:r w:rsidR="00964844">
        <w:t xml:space="preserve">The parent materials’ metal content could be identified with the highest concentrations of Al, Ni, and Fe depicted in the slurry. The tailings showed high concentration of Ca and Mg and the malt residue resulted rich in N and P. </w:t>
      </w:r>
    </w:p>
    <w:p w14:paraId="582642C6" w14:textId="7D62E897" w:rsidR="00453E24" w:rsidRDefault="00453E24" w:rsidP="00453E24">
      <w:pPr>
        <w:pStyle w:val="CETBodytext"/>
        <w:rPr>
          <w:lang w:val="en-GB"/>
        </w:rPr>
      </w:pPr>
    </w:p>
    <w:p w14:paraId="38CDD50B" w14:textId="13076BF7" w:rsidR="005B2F9A" w:rsidRDefault="0095199C" w:rsidP="005B2F9A">
      <w:r>
        <w:t>A</w:t>
      </w:r>
      <w:r w:rsidR="005B2F9A">
        <w:t xml:space="preserve">cid forming and neutralizing minerals of the bulk contents </w:t>
      </w:r>
      <w:r>
        <w:t>were</w:t>
      </w:r>
      <w:r w:rsidR="005B2F9A">
        <w:t xml:space="preserve"> measured</w:t>
      </w:r>
      <w:r w:rsidR="005B2F9A" w:rsidRPr="008D7430">
        <w:t xml:space="preserve"> </w:t>
      </w:r>
      <w:r w:rsidR="005B2F9A">
        <w:t xml:space="preserve">to evaluate the extent of the reaction of acid forming and neutralising minerals under various ARD characterisation test conditions. </w:t>
      </w:r>
      <w:r w:rsidR="0093334F">
        <w:t>The combined A</w:t>
      </w:r>
      <w:r w:rsidR="00E90A7E">
        <w:t xml:space="preserve">cid </w:t>
      </w:r>
      <w:r w:rsidR="0093334F">
        <w:t>B</w:t>
      </w:r>
      <w:r w:rsidR="00E90A7E">
        <w:t xml:space="preserve">ase </w:t>
      </w:r>
      <w:r w:rsidR="0093334F">
        <w:t>A</w:t>
      </w:r>
      <w:r w:rsidR="00E90A7E">
        <w:t>ccounting</w:t>
      </w:r>
      <w:r w:rsidR="00102F4A">
        <w:t xml:space="preserve"> (ABA)</w:t>
      </w:r>
      <w:r w:rsidR="0093334F">
        <w:t>-N</w:t>
      </w:r>
      <w:r w:rsidR="00102F4A">
        <w:t xml:space="preserve">et </w:t>
      </w:r>
      <w:r w:rsidR="0093334F">
        <w:t>A</w:t>
      </w:r>
      <w:r w:rsidR="00102F4A">
        <w:t xml:space="preserve">cid </w:t>
      </w:r>
      <w:r w:rsidR="0093334F">
        <w:t>G</w:t>
      </w:r>
      <w:r w:rsidR="00102F4A">
        <w:t>eneration (NAG)</w:t>
      </w:r>
      <w:r w:rsidR="0093334F">
        <w:t xml:space="preserve"> classification plot in Figure 2 illustrates the classification of the tailings uncertain, with a negative N</w:t>
      </w:r>
      <w:r w:rsidR="00102F4A">
        <w:t xml:space="preserve">et </w:t>
      </w:r>
      <w:r w:rsidR="0093334F">
        <w:t>A</w:t>
      </w:r>
      <w:r w:rsidR="00102F4A">
        <w:t xml:space="preserve">cid </w:t>
      </w:r>
      <w:r w:rsidR="0093334F">
        <w:t>P</w:t>
      </w:r>
      <w:r w:rsidR="00102F4A">
        <w:t xml:space="preserve">roduction </w:t>
      </w:r>
      <w:r w:rsidR="0093334F">
        <w:t>P</w:t>
      </w:r>
      <w:r w:rsidR="00102F4A">
        <w:t>otential (NAPP)</w:t>
      </w:r>
      <w:r w:rsidR="0093334F">
        <w:t xml:space="preserve"> and a NAG pH &gt; </w:t>
      </w:r>
      <w:r w:rsidR="00160B5B">
        <w:t>4.</w:t>
      </w:r>
      <w:r w:rsidR="0093334F">
        <w:t xml:space="preserve">5. Conversely, the classification of the slurry </w:t>
      </w:r>
      <w:r w:rsidR="00160B5B">
        <w:t>remained potentially acid-forming with a positive NAPP and a NAG pH &lt; 4.5</w:t>
      </w:r>
      <w:r w:rsidR="00BB3515">
        <w:t xml:space="preserve"> </w:t>
      </w:r>
      <w:r w:rsidR="005B2F9A">
        <w:t>(</w:t>
      </w:r>
      <w:proofErr w:type="spellStart"/>
      <w:r w:rsidR="005B2F9A">
        <w:t>Parbhakar</w:t>
      </w:r>
      <w:proofErr w:type="spellEnd"/>
      <w:r w:rsidR="005B2F9A">
        <w:t xml:space="preserve">-Fox &amp; </w:t>
      </w:r>
      <w:proofErr w:type="spellStart"/>
      <w:r w:rsidR="005B2F9A">
        <w:t>Lottermoser</w:t>
      </w:r>
      <w:proofErr w:type="spellEnd"/>
      <w:r w:rsidR="005B2F9A">
        <w:t xml:space="preserve">, 2015). </w:t>
      </w:r>
    </w:p>
    <w:p w14:paraId="25ACBE74" w14:textId="77777777" w:rsidR="005B2F9A" w:rsidRDefault="005B2F9A" w:rsidP="00453E24">
      <w:pPr>
        <w:pStyle w:val="CETBodytext"/>
        <w:rPr>
          <w:lang w:val="en-GB"/>
        </w:rPr>
      </w:pPr>
    </w:p>
    <w:p w14:paraId="781727FB" w14:textId="00AE4065" w:rsidR="005B2F9A" w:rsidRDefault="005B2F9A" w:rsidP="00453E24">
      <w:pPr>
        <w:pStyle w:val="CETBodytext"/>
        <w:rPr>
          <w:lang w:val="en-GB"/>
        </w:rPr>
      </w:pPr>
    </w:p>
    <w:p w14:paraId="2E562C00" w14:textId="426CF04E" w:rsidR="004577FE" w:rsidRDefault="00AB11DB" w:rsidP="00964844">
      <w:pPr>
        <w:pStyle w:val="CETListbullets"/>
      </w:pPr>
      <w:r>
        <w:rPr>
          <w:noProof/>
        </w:rPr>
        <w:drawing>
          <wp:anchor distT="0" distB="0" distL="114300" distR="114300" simplePos="0" relativeHeight="251659264" behindDoc="0" locked="0" layoutInCell="1" allowOverlap="1" wp14:anchorId="29AE78C2" wp14:editId="1B50FAD8">
            <wp:simplePos x="0" y="0"/>
            <wp:positionH relativeFrom="margin">
              <wp:align>left</wp:align>
            </wp:positionH>
            <wp:positionV relativeFrom="paragraph">
              <wp:posOffset>8255</wp:posOffset>
            </wp:positionV>
            <wp:extent cx="4930140" cy="2044065"/>
            <wp:effectExtent l="0" t="0" r="3810" b="0"/>
            <wp:wrapSquare wrapText="bothSides"/>
            <wp:docPr id="1595082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82444" name=""/>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t="21233"/>
                    <a:stretch/>
                  </pic:blipFill>
                  <pic:spPr bwMode="auto">
                    <a:xfrm>
                      <a:off x="0" y="0"/>
                      <a:ext cx="4936495" cy="20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68444F" w14:textId="77777777" w:rsidR="005B2F9A" w:rsidRPr="005B2F9A" w:rsidRDefault="005B2F9A" w:rsidP="005B2F9A">
      <w:pPr>
        <w:pStyle w:val="CETBodytext"/>
        <w:rPr>
          <w:lang w:val="en-GB"/>
        </w:rPr>
      </w:pPr>
    </w:p>
    <w:p w14:paraId="4450EA91" w14:textId="77777777" w:rsidR="005B2F9A" w:rsidRPr="005B2F9A" w:rsidRDefault="005B2F9A" w:rsidP="005B2F9A">
      <w:pPr>
        <w:pStyle w:val="CETBodytext"/>
        <w:rPr>
          <w:lang w:val="en-GB"/>
        </w:rPr>
      </w:pPr>
    </w:p>
    <w:p w14:paraId="0E56DE9D" w14:textId="77777777" w:rsidR="005B2F9A" w:rsidRPr="005B2F9A" w:rsidRDefault="005B2F9A" w:rsidP="005B2F9A">
      <w:pPr>
        <w:pStyle w:val="CETBodytext"/>
        <w:rPr>
          <w:lang w:val="en-GB"/>
        </w:rPr>
      </w:pPr>
    </w:p>
    <w:p w14:paraId="5CC9613A" w14:textId="77777777" w:rsidR="005B2F9A" w:rsidRPr="005B2F9A" w:rsidRDefault="005B2F9A" w:rsidP="005B2F9A">
      <w:pPr>
        <w:pStyle w:val="CETBodytext"/>
        <w:rPr>
          <w:lang w:val="en-GB"/>
        </w:rPr>
      </w:pPr>
    </w:p>
    <w:p w14:paraId="0D9D2043" w14:textId="77777777" w:rsidR="005B2F9A" w:rsidRPr="005B2F9A" w:rsidRDefault="005B2F9A" w:rsidP="005B2F9A">
      <w:pPr>
        <w:pStyle w:val="CETBodytext"/>
        <w:rPr>
          <w:lang w:val="en-GB"/>
        </w:rPr>
      </w:pPr>
    </w:p>
    <w:p w14:paraId="669FC862" w14:textId="77777777" w:rsidR="005B2F9A" w:rsidRPr="005B2F9A" w:rsidRDefault="005B2F9A" w:rsidP="005B2F9A">
      <w:pPr>
        <w:pStyle w:val="CETBodytext"/>
        <w:rPr>
          <w:lang w:val="en-GB"/>
        </w:rPr>
      </w:pPr>
    </w:p>
    <w:p w14:paraId="51CC1175" w14:textId="77777777" w:rsidR="005B2F9A" w:rsidRPr="005B2F9A" w:rsidRDefault="005B2F9A" w:rsidP="005B2F9A">
      <w:pPr>
        <w:pStyle w:val="CETBodytext"/>
        <w:rPr>
          <w:lang w:val="en-GB"/>
        </w:rPr>
      </w:pPr>
    </w:p>
    <w:p w14:paraId="080E794D" w14:textId="77777777" w:rsidR="005B2F9A" w:rsidRPr="005B2F9A" w:rsidRDefault="005B2F9A" w:rsidP="005B2F9A">
      <w:pPr>
        <w:pStyle w:val="CETBodytext"/>
        <w:rPr>
          <w:lang w:val="en-GB"/>
        </w:rPr>
      </w:pPr>
    </w:p>
    <w:p w14:paraId="54D78105" w14:textId="77777777" w:rsidR="005B2F9A" w:rsidRPr="005B2F9A" w:rsidRDefault="005B2F9A" w:rsidP="005B2F9A">
      <w:pPr>
        <w:pStyle w:val="CETBodytext"/>
        <w:rPr>
          <w:lang w:val="en-GB"/>
        </w:rPr>
      </w:pPr>
    </w:p>
    <w:p w14:paraId="69E1E0D7" w14:textId="77777777" w:rsidR="005B2F9A" w:rsidRPr="005B2F9A" w:rsidRDefault="005B2F9A" w:rsidP="005B2F9A">
      <w:pPr>
        <w:pStyle w:val="CETBodytext"/>
        <w:rPr>
          <w:lang w:val="en-GB"/>
        </w:rPr>
      </w:pPr>
    </w:p>
    <w:p w14:paraId="3241C665" w14:textId="77777777" w:rsidR="005B2F9A" w:rsidRDefault="005B2F9A" w:rsidP="005B2F9A">
      <w:pPr>
        <w:pStyle w:val="CETBodytext"/>
        <w:rPr>
          <w:lang w:val="en-GB"/>
        </w:rPr>
      </w:pPr>
    </w:p>
    <w:p w14:paraId="580DD187" w14:textId="77777777" w:rsidR="005B2F9A" w:rsidRDefault="005B2F9A" w:rsidP="005B2F9A">
      <w:pPr>
        <w:pStyle w:val="CETBodytext"/>
        <w:rPr>
          <w:lang w:val="en-GB"/>
        </w:rPr>
      </w:pPr>
    </w:p>
    <w:p w14:paraId="27E323A6" w14:textId="77777777" w:rsidR="005B2F9A" w:rsidRDefault="005B2F9A" w:rsidP="005B2F9A">
      <w:pPr>
        <w:pStyle w:val="CETBodytext"/>
        <w:rPr>
          <w:lang w:val="en-GB"/>
        </w:rPr>
      </w:pPr>
    </w:p>
    <w:p w14:paraId="2F93757F" w14:textId="77777777" w:rsidR="005B2F9A" w:rsidRDefault="005B2F9A" w:rsidP="005B2F9A">
      <w:pPr>
        <w:pStyle w:val="CETBodytext"/>
        <w:rPr>
          <w:lang w:val="en-GB"/>
        </w:rPr>
      </w:pPr>
    </w:p>
    <w:p w14:paraId="311EC77B" w14:textId="02698AED" w:rsidR="005B2F9A" w:rsidRPr="005B2F9A" w:rsidRDefault="005B2F9A" w:rsidP="005B2F9A">
      <w:pPr>
        <w:pStyle w:val="CETBodytext"/>
        <w:rPr>
          <w:i/>
          <w:iCs/>
          <w:lang w:val="en-GB"/>
        </w:rPr>
      </w:pPr>
      <w:r w:rsidRPr="005B2F9A">
        <w:rPr>
          <w:i/>
          <w:iCs/>
          <w:lang w:val="en-GB"/>
        </w:rPr>
        <w:t>Figure 2: ARD test</w:t>
      </w:r>
    </w:p>
    <w:p w14:paraId="2C48118D" w14:textId="77777777" w:rsidR="00AB11DB" w:rsidRDefault="00AB11DB" w:rsidP="005B2F9A"/>
    <w:p w14:paraId="0832C73F" w14:textId="38B166BE" w:rsidR="005B2F9A" w:rsidRDefault="005B2F9A" w:rsidP="005B2F9A">
      <w:r>
        <w:t xml:space="preserve">Regarding the possibility of using </w:t>
      </w:r>
      <w:proofErr w:type="spellStart"/>
      <w:r>
        <w:t>technosols</w:t>
      </w:r>
      <w:proofErr w:type="spellEnd"/>
      <w:r>
        <w:t xml:space="preserve"> for mine rehabilitation and to accelerate soil cover on revegetation processes, the evaluation of early development plant growth using </w:t>
      </w:r>
      <w:proofErr w:type="spellStart"/>
      <w:r w:rsidRPr="00D87CD0">
        <w:rPr>
          <w:i/>
          <w:iCs/>
        </w:rPr>
        <w:t>eragrostis</w:t>
      </w:r>
      <w:proofErr w:type="spellEnd"/>
      <w:r w:rsidRPr="00D87CD0">
        <w:rPr>
          <w:i/>
          <w:iCs/>
        </w:rPr>
        <w:t xml:space="preserve"> tef</w:t>
      </w:r>
      <w:r>
        <w:t xml:space="preserve"> is presented in Figure 1. All plants grew healthy with no signs of nutrients deficiency indicating that the amendment choice has had an overall positive effect on </w:t>
      </w:r>
      <w:proofErr w:type="spellStart"/>
      <w:r>
        <w:t>technosols</w:t>
      </w:r>
      <w:proofErr w:type="spellEnd"/>
      <w:r>
        <w:t xml:space="preserve">. Results </w:t>
      </w:r>
      <w:r w:rsidR="00CD064D">
        <w:t>obtained</w:t>
      </w:r>
      <w:r>
        <w:t xml:space="preserve"> </w:t>
      </w:r>
      <w:r w:rsidR="00CD064D">
        <w:t>were</w:t>
      </w:r>
      <w:r>
        <w:t xml:space="preserve"> consistent with </w:t>
      </w:r>
      <w:r w:rsidR="00CD064D">
        <w:t xml:space="preserve">(Jordan et al., 2017; </w:t>
      </w:r>
      <w:proofErr w:type="spellStart"/>
      <w:r w:rsidR="00CD064D">
        <w:t>Moremo</w:t>
      </w:r>
      <w:proofErr w:type="spellEnd"/>
      <w:r w:rsidR="00CD064D">
        <w:t>-Barriga et al., 2017</w:t>
      </w:r>
      <w:r w:rsidR="003A33D7">
        <w:t>;</w:t>
      </w:r>
      <w:r w:rsidR="00CD064D">
        <w:t xml:space="preserve"> Santini &amp; Fey, 2017</w:t>
      </w:r>
      <w:r w:rsidR="003A33D7">
        <w:t xml:space="preserve"> and Daniell &amp; Van Deventer, 2018</w:t>
      </w:r>
      <w:r w:rsidR="00CD064D">
        <w:t>)</w:t>
      </w:r>
      <w:r>
        <w:t xml:space="preserve"> encountered in the literature. </w:t>
      </w:r>
      <w:proofErr w:type="spellStart"/>
      <w:r>
        <w:t>Technsols</w:t>
      </w:r>
      <w:proofErr w:type="spellEnd"/>
      <w:r>
        <w:t xml:space="preserve"> presented in this study is adequate in terms of early development and the different amendment mixed. These conditions facilitated the fast development of plant germination and survival as indicated in Figure 3, thereby reducing the need for virgin and stockpile soils, and reduces exposure of the formation of AMD.  </w:t>
      </w:r>
    </w:p>
    <w:p w14:paraId="44A19775" w14:textId="77777777" w:rsidR="005B2F9A" w:rsidRPr="00C171FA" w:rsidRDefault="005B2F9A" w:rsidP="005B2F9A"/>
    <w:p w14:paraId="5C4B6091" w14:textId="77777777" w:rsidR="00413F1F" w:rsidRDefault="00413F1F" w:rsidP="005B2F9A">
      <w:pPr>
        <w:rPr>
          <w:i/>
          <w:iCs/>
        </w:rPr>
      </w:pPr>
    </w:p>
    <w:p w14:paraId="563537EF" w14:textId="77777777" w:rsidR="00413F1F" w:rsidRDefault="00413F1F" w:rsidP="005B2F9A">
      <w:pPr>
        <w:rPr>
          <w:i/>
          <w:iCs/>
        </w:rPr>
      </w:pPr>
    </w:p>
    <w:p w14:paraId="38F46B1A" w14:textId="77777777" w:rsidR="00413F1F" w:rsidRDefault="00413F1F" w:rsidP="005B2F9A">
      <w:pPr>
        <w:rPr>
          <w:i/>
          <w:iCs/>
        </w:rPr>
      </w:pPr>
    </w:p>
    <w:p w14:paraId="6A184317" w14:textId="77777777" w:rsidR="00413F1F" w:rsidRDefault="00413F1F" w:rsidP="005B2F9A">
      <w:pPr>
        <w:rPr>
          <w:i/>
          <w:iCs/>
        </w:rPr>
      </w:pPr>
    </w:p>
    <w:p w14:paraId="10B430DB" w14:textId="77777777" w:rsidR="00413F1F" w:rsidRDefault="00413F1F" w:rsidP="005B2F9A">
      <w:pPr>
        <w:rPr>
          <w:i/>
          <w:iCs/>
        </w:rPr>
      </w:pPr>
    </w:p>
    <w:p w14:paraId="2FACBE0C" w14:textId="77777777" w:rsidR="00413F1F" w:rsidRDefault="00413F1F" w:rsidP="005B2F9A">
      <w:pPr>
        <w:rPr>
          <w:i/>
          <w:iCs/>
        </w:rPr>
      </w:pPr>
    </w:p>
    <w:p w14:paraId="551FF021" w14:textId="77777777" w:rsidR="00413F1F" w:rsidRDefault="00413F1F" w:rsidP="005B2F9A">
      <w:pPr>
        <w:rPr>
          <w:i/>
          <w:iCs/>
        </w:rPr>
      </w:pPr>
    </w:p>
    <w:p w14:paraId="109573D8" w14:textId="77777777" w:rsidR="00413F1F" w:rsidRDefault="00413F1F" w:rsidP="005B2F9A">
      <w:pPr>
        <w:rPr>
          <w:i/>
          <w:iCs/>
        </w:rPr>
      </w:pPr>
    </w:p>
    <w:p w14:paraId="544602B9" w14:textId="77777777" w:rsidR="00413F1F" w:rsidRDefault="00413F1F" w:rsidP="005B2F9A">
      <w:pPr>
        <w:rPr>
          <w:i/>
          <w:iCs/>
        </w:rPr>
      </w:pPr>
    </w:p>
    <w:p w14:paraId="56DBD95C" w14:textId="77777777" w:rsidR="00413F1F" w:rsidRDefault="00413F1F" w:rsidP="005B2F9A">
      <w:pPr>
        <w:rPr>
          <w:i/>
          <w:iCs/>
        </w:rPr>
      </w:pPr>
    </w:p>
    <w:p w14:paraId="5055792F" w14:textId="77777777" w:rsidR="00413F1F" w:rsidRDefault="00413F1F" w:rsidP="005B2F9A">
      <w:pPr>
        <w:rPr>
          <w:i/>
          <w:iCs/>
        </w:rPr>
      </w:pPr>
    </w:p>
    <w:p w14:paraId="5678A643" w14:textId="77777777" w:rsidR="00806E8F" w:rsidRDefault="00806E8F" w:rsidP="005B2F9A">
      <w:pPr>
        <w:rPr>
          <w:i/>
          <w:iCs/>
        </w:rPr>
      </w:pPr>
    </w:p>
    <w:p w14:paraId="1F1282EC" w14:textId="563BFD7E" w:rsidR="005B2F9A" w:rsidRDefault="005B2F9A" w:rsidP="005B2F9A">
      <w:pPr>
        <w:rPr>
          <w:i/>
          <w:iCs/>
        </w:rPr>
      </w:pPr>
      <w:r w:rsidRPr="005B2F9A">
        <w:rPr>
          <w:i/>
          <w:iCs/>
        </w:rPr>
        <w:t>Table 4: Elemental characterization</w:t>
      </w:r>
    </w:p>
    <w:p w14:paraId="52C78B16" w14:textId="77777777" w:rsidR="005B2F9A" w:rsidRPr="005B2F9A" w:rsidRDefault="005B2F9A" w:rsidP="005B2F9A">
      <w:pPr>
        <w:rPr>
          <w:i/>
          <w:iCs/>
        </w:rPr>
      </w:pPr>
    </w:p>
    <w:tbl>
      <w:tblPr>
        <w:tblStyle w:val="PlainTable2"/>
        <w:tblW w:w="7159" w:type="dxa"/>
        <w:tblLook w:val="04A0" w:firstRow="1" w:lastRow="0" w:firstColumn="1" w:lastColumn="0" w:noHBand="0" w:noVBand="1"/>
      </w:tblPr>
      <w:tblGrid>
        <w:gridCol w:w="1286"/>
        <w:gridCol w:w="717"/>
        <w:gridCol w:w="1107"/>
        <w:gridCol w:w="988"/>
        <w:gridCol w:w="1157"/>
        <w:gridCol w:w="967"/>
        <w:gridCol w:w="937"/>
      </w:tblGrid>
      <w:tr w:rsidR="00413F1F" w:rsidRPr="00413F1F" w14:paraId="0123F74E" w14:textId="77777777" w:rsidTr="00B5201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331" w:type="dxa"/>
            <w:hideMark/>
          </w:tcPr>
          <w:p w14:paraId="5A13ED78" w14:textId="77777777" w:rsidR="00413F1F" w:rsidRPr="00413F1F" w:rsidRDefault="00413F1F" w:rsidP="00413F1F">
            <w:pPr>
              <w:rPr>
                <w:szCs w:val="18"/>
                <w:lang w:val="en-ZA"/>
              </w:rPr>
            </w:pPr>
            <w:r w:rsidRPr="00413F1F">
              <w:rPr>
                <w:b/>
                <w:bCs/>
                <w:szCs w:val="18"/>
                <w:lang w:val="en-ZA"/>
              </w:rPr>
              <w:t>elements (%)</w:t>
            </w:r>
          </w:p>
        </w:tc>
        <w:tc>
          <w:tcPr>
            <w:tcW w:w="718" w:type="dxa"/>
            <w:hideMark/>
          </w:tcPr>
          <w:p w14:paraId="498A08BB" w14:textId="77777777" w:rsidR="00413F1F" w:rsidRPr="00413F1F" w:rsidRDefault="00413F1F" w:rsidP="00413F1F">
            <w:pPr>
              <w:cnfStyle w:val="100000000000" w:firstRow="1" w:lastRow="0" w:firstColumn="0" w:lastColumn="0" w:oddVBand="0" w:evenVBand="0" w:oddHBand="0" w:evenHBand="0" w:firstRowFirstColumn="0" w:firstRowLastColumn="0" w:lastRowFirstColumn="0" w:lastRowLastColumn="0"/>
              <w:rPr>
                <w:szCs w:val="18"/>
                <w:lang w:val="en-ZA"/>
              </w:rPr>
            </w:pPr>
            <w:r w:rsidRPr="00413F1F">
              <w:rPr>
                <w:szCs w:val="18"/>
                <w:lang w:val="en-ZA"/>
              </w:rPr>
              <w:t>virgin soil</w:t>
            </w:r>
          </w:p>
        </w:tc>
        <w:tc>
          <w:tcPr>
            <w:tcW w:w="979" w:type="dxa"/>
            <w:hideMark/>
          </w:tcPr>
          <w:p w14:paraId="4F7DDC9A" w14:textId="77777777" w:rsidR="00413F1F" w:rsidRPr="00413F1F" w:rsidRDefault="00413F1F" w:rsidP="00413F1F">
            <w:pPr>
              <w:cnfStyle w:val="100000000000" w:firstRow="1" w:lastRow="0" w:firstColumn="0" w:lastColumn="0" w:oddVBand="0" w:evenVBand="0" w:oddHBand="0" w:evenHBand="0" w:firstRowFirstColumn="0" w:firstRowLastColumn="0" w:lastRowFirstColumn="0" w:lastRowLastColumn="0"/>
              <w:rPr>
                <w:szCs w:val="18"/>
                <w:lang w:val="en-ZA"/>
              </w:rPr>
            </w:pPr>
            <w:r w:rsidRPr="00413F1F">
              <w:rPr>
                <w:szCs w:val="18"/>
                <w:lang w:val="en-ZA"/>
              </w:rPr>
              <w:t>stockpiled soil</w:t>
            </w:r>
          </w:p>
        </w:tc>
        <w:tc>
          <w:tcPr>
            <w:tcW w:w="1009" w:type="dxa"/>
            <w:hideMark/>
          </w:tcPr>
          <w:p w14:paraId="2A84E4A7" w14:textId="77777777" w:rsidR="00413F1F" w:rsidRPr="00413F1F" w:rsidRDefault="00413F1F" w:rsidP="00413F1F">
            <w:pPr>
              <w:cnfStyle w:val="100000000000" w:firstRow="1" w:lastRow="0" w:firstColumn="0" w:lastColumn="0" w:oddVBand="0" w:evenVBand="0" w:oddHBand="0" w:evenHBand="0" w:firstRowFirstColumn="0" w:firstRowLastColumn="0" w:lastRowFirstColumn="0" w:lastRowLastColumn="0"/>
              <w:rPr>
                <w:szCs w:val="18"/>
                <w:lang w:val="en-ZA"/>
              </w:rPr>
            </w:pPr>
            <w:r w:rsidRPr="00413F1F">
              <w:rPr>
                <w:szCs w:val="18"/>
                <w:lang w:val="en-ZA"/>
              </w:rPr>
              <w:t>coal tailings</w:t>
            </w:r>
          </w:p>
        </w:tc>
        <w:tc>
          <w:tcPr>
            <w:tcW w:w="1224" w:type="dxa"/>
            <w:hideMark/>
          </w:tcPr>
          <w:p w14:paraId="474492F0" w14:textId="77777777" w:rsidR="00413F1F" w:rsidRPr="00413F1F" w:rsidRDefault="00413F1F" w:rsidP="00413F1F">
            <w:pPr>
              <w:cnfStyle w:val="100000000000" w:firstRow="1" w:lastRow="0" w:firstColumn="0" w:lastColumn="0" w:oddVBand="0" w:evenVBand="0" w:oddHBand="0" w:evenHBand="0" w:firstRowFirstColumn="0" w:firstRowLastColumn="0" w:lastRowFirstColumn="0" w:lastRowLastColumn="0"/>
              <w:rPr>
                <w:szCs w:val="18"/>
                <w:lang w:val="en-ZA"/>
              </w:rPr>
            </w:pPr>
            <w:r w:rsidRPr="00413F1F">
              <w:rPr>
                <w:szCs w:val="18"/>
                <w:lang w:val="en-ZA"/>
              </w:rPr>
              <w:t>coal slurry</w:t>
            </w:r>
          </w:p>
        </w:tc>
        <w:tc>
          <w:tcPr>
            <w:tcW w:w="949" w:type="dxa"/>
            <w:hideMark/>
          </w:tcPr>
          <w:p w14:paraId="2CC5EAD6" w14:textId="77777777" w:rsidR="00413F1F" w:rsidRPr="00413F1F" w:rsidRDefault="00413F1F" w:rsidP="00413F1F">
            <w:pPr>
              <w:cnfStyle w:val="100000000000" w:firstRow="1" w:lastRow="0" w:firstColumn="0" w:lastColumn="0" w:oddVBand="0" w:evenVBand="0" w:oddHBand="0" w:evenHBand="0" w:firstRowFirstColumn="0" w:firstRowLastColumn="0" w:lastRowFirstColumn="0" w:lastRowLastColumn="0"/>
              <w:rPr>
                <w:szCs w:val="18"/>
                <w:lang w:val="en-ZA"/>
              </w:rPr>
            </w:pPr>
            <w:r w:rsidRPr="00413F1F">
              <w:rPr>
                <w:szCs w:val="18"/>
                <w:lang w:val="en-ZA"/>
              </w:rPr>
              <w:t>compost</w:t>
            </w:r>
          </w:p>
        </w:tc>
        <w:tc>
          <w:tcPr>
            <w:tcW w:w="949" w:type="dxa"/>
            <w:hideMark/>
          </w:tcPr>
          <w:p w14:paraId="3FCEF1ED" w14:textId="77777777" w:rsidR="00413F1F" w:rsidRPr="00413F1F" w:rsidRDefault="00413F1F" w:rsidP="00413F1F">
            <w:pPr>
              <w:cnfStyle w:val="100000000000" w:firstRow="1" w:lastRow="0" w:firstColumn="0" w:lastColumn="0" w:oddVBand="0" w:evenVBand="0" w:oddHBand="0" w:evenHBand="0" w:firstRowFirstColumn="0" w:firstRowLastColumn="0" w:lastRowFirstColumn="0" w:lastRowLastColumn="0"/>
              <w:rPr>
                <w:szCs w:val="18"/>
                <w:lang w:val="en-ZA"/>
              </w:rPr>
            </w:pPr>
            <w:r w:rsidRPr="00413F1F">
              <w:rPr>
                <w:szCs w:val="18"/>
                <w:lang w:val="en-ZA"/>
              </w:rPr>
              <w:t>malt residue</w:t>
            </w:r>
          </w:p>
        </w:tc>
      </w:tr>
      <w:tr w:rsidR="00413F1F" w:rsidRPr="00413F1F" w14:paraId="2D966EE5"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5BD31585" w14:textId="77777777" w:rsidR="00413F1F" w:rsidRPr="00413F1F" w:rsidRDefault="00413F1F" w:rsidP="00413F1F">
            <w:pPr>
              <w:rPr>
                <w:szCs w:val="18"/>
                <w:lang w:val="en-ZA"/>
              </w:rPr>
            </w:pPr>
            <w:r w:rsidRPr="00413F1F">
              <w:rPr>
                <w:szCs w:val="18"/>
                <w:lang w:val="en-ZA"/>
              </w:rPr>
              <w:t>Al</w:t>
            </w:r>
          </w:p>
        </w:tc>
        <w:tc>
          <w:tcPr>
            <w:tcW w:w="718" w:type="dxa"/>
            <w:hideMark/>
          </w:tcPr>
          <w:p w14:paraId="4BED7346"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3,39</w:t>
            </w:r>
          </w:p>
        </w:tc>
        <w:tc>
          <w:tcPr>
            <w:tcW w:w="979" w:type="dxa"/>
            <w:hideMark/>
          </w:tcPr>
          <w:p w14:paraId="6F6C0F35"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1,64</w:t>
            </w:r>
          </w:p>
        </w:tc>
        <w:tc>
          <w:tcPr>
            <w:tcW w:w="1009" w:type="dxa"/>
            <w:hideMark/>
          </w:tcPr>
          <w:p w14:paraId="1F9048BC"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3,35</w:t>
            </w:r>
          </w:p>
        </w:tc>
        <w:tc>
          <w:tcPr>
            <w:tcW w:w="1224" w:type="dxa"/>
            <w:hideMark/>
          </w:tcPr>
          <w:p w14:paraId="7D431E19"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5,34</w:t>
            </w:r>
          </w:p>
        </w:tc>
        <w:tc>
          <w:tcPr>
            <w:tcW w:w="949" w:type="dxa"/>
            <w:hideMark/>
          </w:tcPr>
          <w:p w14:paraId="12E6A211"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2,15</w:t>
            </w:r>
          </w:p>
        </w:tc>
        <w:tc>
          <w:tcPr>
            <w:tcW w:w="949" w:type="dxa"/>
            <w:hideMark/>
          </w:tcPr>
          <w:p w14:paraId="34E418C1"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0,02</w:t>
            </w:r>
          </w:p>
        </w:tc>
      </w:tr>
      <w:tr w:rsidR="00413F1F" w:rsidRPr="00413F1F" w14:paraId="4F720DEB" w14:textId="77777777" w:rsidTr="00B5201F">
        <w:trPr>
          <w:trHeight w:val="107"/>
        </w:trPr>
        <w:tc>
          <w:tcPr>
            <w:cnfStyle w:val="001000000000" w:firstRow="0" w:lastRow="0" w:firstColumn="1" w:lastColumn="0" w:oddVBand="0" w:evenVBand="0" w:oddHBand="0" w:evenHBand="0" w:firstRowFirstColumn="0" w:firstRowLastColumn="0" w:lastRowFirstColumn="0" w:lastRowLastColumn="0"/>
            <w:tcW w:w="1331" w:type="dxa"/>
            <w:hideMark/>
          </w:tcPr>
          <w:p w14:paraId="7F29054E" w14:textId="77777777" w:rsidR="00413F1F" w:rsidRPr="00413F1F" w:rsidRDefault="00413F1F" w:rsidP="00413F1F">
            <w:pPr>
              <w:rPr>
                <w:szCs w:val="18"/>
                <w:lang w:val="en-ZA"/>
              </w:rPr>
            </w:pPr>
            <w:r w:rsidRPr="00413F1F">
              <w:rPr>
                <w:szCs w:val="18"/>
                <w:lang w:val="en-ZA"/>
              </w:rPr>
              <w:t>As</w:t>
            </w:r>
          </w:p>
        </w:tc>
        <w:tc>
          <w:tcPr>
            <w:tcW w:w="718" w:type="dxa"/>
            <w:hideMark/>
          </w:tcPr>
          <w:p w14:paraId="63BD716D"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979" w:type="dxa"/>
            <w:hideMark/>
          </w:tcPr>
          <w:p w14:paraId="75B5589B"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1009" w:type="dxa"/>
            <w:hideMark/>
          </w:tcPr>
          <w:p w14:paraId="491535BC"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1224" w:type="dxa"/>
            <w:hideMark/>
          </w:tcPr>
          <w:p w14:paraId="4DBB37DA"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949" w:type="dxa"/>
            <w:hideMark/>
          </w:tcPr>
          <w:p w14:paraId="225A75C5"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949" w:type="dxa"/>
            <w:hideMark/>
          </w:tcPr>
          <w:p w14:paraId="0364DCAA"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r>
      <w:tr w:rsidR="00413F1F" w:rsidRPr="00413F1F" w14:paraId="5527B7C3"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658CD7FF" w14:textId="77777777" w:rsidR="00413F1F" w:rsidRPr="00413F1F" w:rsidRDefault="00413F1F" w:rsidP="00413F1F">
            <w:pPr>
              <w:rPr>
                <w:szCs w:val="18"/>
                <w:lang w:val="en-ZA"/>
              </w:rPr>
            </w:pPr>
            <w:r w:rsidRPr="00413F1F">
              <w:rPr>
                <w:szCs w:val="18"/>
                <w:lang w:val="en-ZA"/>
              </w:rPr>
              <w:t>Ba</w:t>
            </w:r>
          </w:p>
        </w:tc>
        <w:tc>
          <w:tcPr>
            <w:tcW w:w="718" w:type="dxa"/>
            <w:hideMark/>
          </w:tcPr>
          <w:p w14:paraId="6747337E"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0,01</w:t>
            </w:r>
          </w:p>
        </w:tc>
        <w:tc>
          <w:tcPr>
            <w:tcW w:w="979" w:type="dxa"/>
            <w:hideMark/>
          </w:tcPr>
          <w:p w14:paraId="318F4B28"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c>
          <w:tcPr>
            <w:tcW w:w="1009" w:type="dxa"/>
            <w:hideMark/>
          </w:tcPr>
          <w:p w14:paraId="614303F6"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0,05</w:t>
            </w:r>
          </w:p>
        </w:tc>
        <w:tc>
          <w:tcPr>
            <w:tcW w:w="1224" w:type="dxa"/>
            <w:hideMark/>
          </w:tcPr>
          <w:p w14:paraId="62FBEAA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c>
          <w:tcPr>
            <w:tcW w:w="949" w:type="dxa"/>
            <w:hideMark/>
          </w:tcPr>
          <w:p w14:paraId="7566E7C7"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0,01</w:t>
            </w:r>
          </w:p>
        </w:tc>
        <w:tc>
          <w:tcPr>
            <w:tcW w:w="949" w:type="dxa"/>
            <w:hideMark/>
          </w:tcPr>
          <w:p w14:paraId="07D6C3F1"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r>
      <w:tr w:rsidR="00413F1F" w:rsidRPr="00413F1F" w14:paraId="68813DFE"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6FC18B0E" w14:textId="77777777" w:rsidR="00413F1F" w:rsidRPr="00413F1F" w:rsidRDefault="00413F1F" w:rsidP="00413F1F">
            <w:pPr>
              <w:rPr>
                <w:szCs w:val="18"/>
                <w:lang w:val="en-ZA"/>
              </w:rPr>
            </w:pPr>
            <w:r w:rsidRPr="00413F1F">
              <w:rPr>
                <w:szCs w:val="18"/>
                <w:lang w:val="en-ZA"/>
              </w:rPr>
              <w:t xml:space="preserve">Ca </w:t>
            </w:r>
          </w:p>
        </w:tc>
        <w:tc>
          <w:tcPr>
            <w:tcW w:w="718" w:type="dxa"/>
            <w:hideMark/>
          </w:tcPr>
          <w:p w14:paraId="6F008268"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0,11</w:t>
            </w:r>
          </w:p>
        </w:tc>
        <w:tc>
          <w:tcPr>
            <w:tcW w:w="979" w:type="dxa"/>
            <w:hideMark/>
          </w:tcPr>
          <w:p w14:paraId="0197C666"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0,11</w:t>
            </w:r>
          </w:p>
        </w:tc>
        <w:tc>
          <w:tcPr>
            <w:tcW w:w="1009" w:type="dxa"/>
            <w:hideMark/>
          </w:tcPr>
          <w:p w14:paraId="36A2D8D9"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2,91</w:t>
            </w:r>
          </w:p>
        </w:tc>
        <w:tc>
          <w:tcPr>
            <w:tcW w:w="1224" w:type="dxa"/>
            <w:hideMark/>
          </w:tcPr>
          <w:p w14:paraId="2065D39A"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0,89</w:t>
            </w:r>
          </w:p>
        </w:tc>
        <w:tc>
          <w:tcPr>
            <w:tcW w:w="949" w:type="dxa"/>
            <w:hideMark/>
          </w:tcPr>
          <w:p w14:paraId="7D7386EB"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3,28</w:t>
            </w:r>
          </w:p>
        </w:tc>
        <w:tc>
          <w:tcPr>
            <w:tcW w:w="949" w:type="dxa"/>
            <w:hideMark/>
          </w:tcPr>
          <w:p w14:paraId="540BEC9E"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0,3</w:t>
            </w:r>
          </w:p>
        </w:tc>
      </w:tr>
      <w:tr w:rsidR="00413F1F" w:rsidRPr="00413F1F" w14:paraId="51E28FCF"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413415E3" w14:textId="77777777" w:rsidR="00413F1F" w:rsidRPr="00413F1F" w:rsidRDefault="00413F1F" w:rsidP="00413F1F">
            <w:pPr>
              <w:rPr>
                <w:szCs w:val="18"/>
                <w:lang w:val="en-ZA"/>
              </w:rPr>
            </w:pPr>
            <w:r w:rsidRPr="00413F1F">
              <w:rPr>
                <w:szCs w:val="18"/>
                <w:lang w:val="en-ZA"/>
              </w:rPr>
              <w:t>Cr</w:t>
            </w:r>
          </w:p>
        </w:tc>
        <w:tc>
          <w:tcPr>
            <w:tcW w:w="718" w:type="dxa"/>
            <w:hideMark/>
          </w:tcPr>
          <w:p w14:paraId="06386C6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0,01</w:t>
            </w:r>
          </w:p>
        </w:tc>
        <w:tc>
          <w:tcPr>
            <w:tcW w:w="979" w:type="dxa"/>
            <w:hideMark/>
          </w:tcPr>
          <w:p w14:paraId="3DA44599"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0,04</w:t>
            </w:r>
          </w:p>
        </w:tc>
        <w:tc>
          <w:tcPr>
            <w:tcW w:w="1009" w:type="dxa"/>
            <w:hideMark/>
          </w:tcPr>
          <w:p w14:paraId="620EDAAB"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0,01</w:t>
            </w:r>
          </w:p>
        </w:tc>
        <w:tc>
          <w:tcPr>
            <w:tcW w:w="1224" w:type="dxa"/>
            <w:hideMark/>
          </w:tcPr>
          <w:p w14:paraId="6EE7B506"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0,01</w:t>
            </w:r>
          </w:p>
        </w:tc>
        <w:tc>
          <w:tcPr>
            <w:tcW w:w="949" w:type="dxa"/>
            <w:hideMark/>
          </w:tcPr>
          <w:p w14:paraId="4A189E64"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c>
          <w:tcPr>
            <w:tcW w:w="949" w:type="dxa"/>
            <w:hideMark/>
          </w:tcPr>
          <w:p w14:paraId="2D813BDE"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r>
      <w:tr w:rsidR="00413F1F" w:rsidRPr="00413F1F" w14:paraId="5B9C0BC5"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7BB3E212" w14:textId="77777777" w:rsidR="00413F1F" w:rsidRPr="00413F1F" w:rsidRDefault="00413F1F" w:rsidP="00413F1F">
            <w:pPr>
              <w:rPr>
                <w:szCs w:val="18"/>
                <w:lang w:val="en-ZA"/>
              </w:rPr>
            </w:pPr>
            <w:r w:rsidRPr="00413F1F">
              <w:rPr>
                <w:szCs w:val="18"/>
                <w:lang w:val="en-ZA"/>
              </w:rPr>
              <w:t>Cu</w:t>
            </w:r>
          </w:p>
        </w:tc>
        <w:tc>
          <w:tcPr>
            <w:tcW w:w="718" w:type="dxa"/>
            <w:hideMark/>
          </w:tcPr>
          <w:p w14:paraId="3EF4BFA1"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979" w:type="dxa"/>
            <w:hideMark/>
          </w:tcPr>
          <w:p w14:paraId="4E685D54"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1009" w:type="dxa"/>
            <w:hideMark/>
          </w:tcPr>
          <w:p w14:paraId="14D13131"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1224" w:type="dxa"/>
            <w:hideMark/>
          </w:tcPr>
          <w:p w14:paraId="3858D7D4"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949" w:type="dxa"/>
            <w:hideMark/>
          </w:tcPr>
          <w:p w14:paraId="435CAE3E"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949" w:type="dxa"/>
            <w:hideMark/>
          </w:tcPr>
          <w:p w14:paraId="55954C46"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r>
      <w:tr w:rsidR="00413F1F" w:rsidRPr="00413F1F" w14:paraId="2D0782B6"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0C7C6574" w14:textId="77777777" w:rsidR="00413F1F" w:rsidRPr="00413F1F" w:rsidRDefault="00413F1F" w:rsidP="00413F1F">
            <w:pPr>
              <w:rPr>
                <w:szCs w:val="18"/>
                <w:lang w:val="en-ZA"/>
              </w:rPr>
            </w:pPr>
            <w:r w:rsidRPr="00413F1F">
              <w:rPr>
                <w:szCs w:val="18"/>
                <w:lang w:val="en-ZA"/>
              </w:rPr>
              <w:t>Fe</w:t>
            </w:r>
          </w:p>
        </w:tc>
        <w:tc>
          <w:tcPr>
            <w:tcW w:w="718" w:type="dxa"/>
            <w:hideMark/>
          </w:tcPr>
          <w:p w14:paraId="1B4CC14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2,18</w:t>
            </w:r>
          </w:p>
        </w:tc>
        <w:tc>
          <w:tcPr>
            <w:tcW w:w="979" w:type="dxa"/>
            <w:hideMark/>
          </w:tcPr>
          <w:p w14:paraId="6AA05640"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3,04</w:t>
            </w:r>
          </w:p>
        </w:tc>
        <w:tc>
          <w:tcPr>
            <w:tcW w:w="1009" w:type="dxa"/>
            <w:hideMark/>
          </w:tcPr>
          <w:p w14:paraId="2419C6B2"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1,82</w:t>
            </w:r>
          </w:p>
        </w:tc>
        <w:tc>
          <w:tcPr>
            <w:tcW w:w="1224" w:type="dxa"/>
            <w:hideMark/>
          </w:tcPr>
          <w:p w14:paraId="0BE84E4B"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2,6</w:t>
            </w:r>
          </w:p>
        </w:tc>
        <w:tc>
          <w:tcPr>
            <w:tcW w:w="949" w:type="dxa"/>
            <w:hideMark/>
          </w:tcPr>
          <w:p w14:paraId="6A104C7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0,99</w:t>
            </w:r>
          </w:p>
        </w:tc>
        <w:tc>
          <w:tcPr>
            <w:tcW w:w="949" w:type="dxa"/>
            <w:hideMark/>
          </w:tcPr>
          <w:p w14:paraId="0E534EE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0,03</w:t>
            </w:r>
          </w:p>
        </w:tc>
      </w:tr>
      <w:tr w:rsidR="00413F1F" w:rsidRPr="00413F1F" w14:paraId="46021714"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142E44D4" w14:textId="77777777" w:rsidR="00413F1F" w:rsidRPr="00413F1F" w:rsidRDefault="00413F1F" w:rsidP="00413F1F">
            <w:pPr>
              <w:rPr>
                <w:szCs w:val="18"/>
                <w:lang w:val="en-ZA"/>
              </w:rPr>
            </w:pPr>
            <w:r w:rsidRPr="00413F1F">
              <w:rPr>
                <w:szCs w:val="18"/>
                <w:lang w:val="en-ZA"/>
              </w:rPr>
              <w:t>Mg</w:t>
            </w:r>
          </w:p>
        </w:tc>
        <w:tc>
          <w:tcPr>
            <w:tcW w:w="718" w:type="dxa"/>
            <w:hideMark/>
          </w:tcPr>
          <w:p w14:paraId="4E134225"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0,04</w:t>
            </w:r>
          </w:p>
        </w:tc>
        <w:tc>
          <w:tcPr>
            <w:tcW w:w="979" w:type="dxa"/>
            <w:hideMark/>
          </w:tcPr>
          <w:p w14:paraId="53DD6A12"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0,02</w:t>
            </w:r>
          </w:p>
        </w:tc>
        <w:tc>
          <w:tcPr>
            <w:tcW w:w="1009" w:type="dxa"/>
            <w:hideMark/>
          </w:tcPr>
          <w:p w14:paraId="703B0C34"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0,3</w:t>
            </w:r>
          </w:p>
        </w:tc>
        <w:tc>
          <w:tcPr>
            <w:tcW w:w="1224" w:type="dxa"/>
            <w:hideMark/>
          </w:tcPr>
          <w:p w14:paraId="245014AA"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0,16</w:t>
            </w:r>
          </w:p>
        </w:tc>
        <w:tc>
          <w:tcPr>
            <w:tcW w:w="949" w:type="dxa"/>
            <w:hideMark/>
          </w:tcPr>
          <w:p w14:paraId="2F357548"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0,27</w:t>
            </w:r>
          </w:p>
        </w:tc>
        <w:tc>
          <w:tcPr>
            <w:tcW w:w="949" w:type="dxa"/>
            <w:hideMark/>
          </w:tcPr>
          <w:p w14:paraId="30E1157D"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0,19</w:t>
            </w:r>
          </w:p>
        </w:tc>
      </w:tr>
      <w:tr w:rsidR="00413F1F" w:rsidRPr="00413F1F" w14:paraId="587F76C7"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593C3CB8" w14:textId="77777777" w:rsidR="00413F1F" w:rsidRPr="00413F1F" w:rsidRDefault="00413F1F" w:rsidP="00413F1F">
            <w:pPr>
              <w:rPr>
                <w:szCs w:val="18"/>
                <w:lang w:val="en-ZA"/>
              </w:rPr>
            </w:pPr>
            <w:r w:rsidRPr="00413F1F">
              <w:rPr>
                <w:szCs w:val="18"/>
                <w:lang w:val="en-ZA"/>
              </w:rPr>
              <w:t>Mn</w:t>
            </w:r>
          </w:p>
        </w:tc>
        <w:tc>
          <w:tcPr>
            <w:tcW w:w="718" w:type="dxa"/>
            <w:hideMark/>
          </w:tcPr>
          <w:p w14:paraId="76F2529B"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0,02</w:t>
            </w:r>
          </w:p>
        </w:tc>
        <w:tc>
          <w:tcPr>
            <w:tcW w:w="979" w:type="dxa"/>
            <w:hideMark/>
          </w:tcPr>
          <w:p w14:paraId="4957F680"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0,01</w:t>
            </w:r>
          </w:p>
        </w:tc>
        <w:tc>
          <w:tcPr>
            <w:tcW w:w="1009" w:type="dxa"/>
            <w:hideMark/>
          </w:tcPr>
          <w:p w14:paraId="4E985F72"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0,02</w:t>
            </w:r>
          </w:p>
        </w:tc>
        <w:tc>
          <w:tcPr>
            <w:tcW w:w="1224" w:type="dxa"/>
            <w:hideMark/>
          </w:tcPr>
          <w:p w14:paraId="4692752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0,02</w:t>
            </w:r>
          </w:p>
        </w:tc>
        <w:tc>
          <w:tcPr>
            <w:tcW w:w="949" w:type="dxa"/>
            <w:hideMark/>
          </w:tcPr>
          <w:p w14:paraId="7BA6143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0,02</w:t>
            </w:r>
          </w:p>
        </w:tc>
        <w:tc>
          <w:tcPr>
            <w:tcW w:w="949" w:type="dxa"/>
            <w:hideMark/>
          </w:tcPr>
          <w:p w14:paraId="2D6360A5"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r>
      <w:tr w:rsidR="00413F1F" w:rsidRPr="00413F1F" w14:paraId="6A3B8D52"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2CFC8C28" w14:textId="77777777" w:rsidR="00413F1F" w:rsidRPr="00413F1F" w:rsidRDefault="00413F1F" w:rsidP="00413F1F">
            <w:pPr>
              <w:rPr>
                <w:szCs w:val="18"/>
                <w:lang w:val="en-ZA"/>
              </w:rPr>
            </w:pPr>
            <w:r w:rsidRPr="00413F1F">
              <w:rPr>
                <w:szCs w:val="18"/>
                <w:lang w:val="en-ZA"/>
              </w:rPr>
              <w:t>Ni</w:t>
            </w:r>
          </w:p>
        </w:tc>
        <w:tc>
          <w:tcPr>
            <w:tcW w:w="718" w:type="dxa"/>
            <w:hideMark/>
          </w:tcPr>
          <w:p w14:paraId="6F99A887"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979" w:type="dxa"/>
            <w:hideMark/>
          </w:tcPr>
          <w:p w14:paraId="74E3469D"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1009" w:type="dxa"/>
            <w:hideMark/>
          </w:tcPr>
          <w:p w14:paraId="4E18F3BD"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1224" w:type="dxa"/>
            <w:hideMark/>
          </w:tcPr>
          <w:p w14:paraId="2E4B797F"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0,02</w:t>
            </w:r>
          </w:p>
        </w:tc>
        <w:tc>
          <w:tcPr>
            <w:tcW w:w="949" w:type="dxa"/>
            <w:hideMark/>
          </w:tcPr>
          <w:p w14:paraId="2080BCD4"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0,03</w:t>
            </w:r>
          </w:p>
        </w:tc>
        <w:tc>
          <w:tcPr>
            <w:tcW w:w="949" w:type="dxa"/>
            <w:hideMark/>
          </w:tcPr>
          <w:p w14:paraId="05D8D3A1"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r>
      <w:tr w:rsidR="00413F1F" w:rsidRPr="00413F1F" w14:paraId="67002DF9"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09A967B9" w14:textId="77777777" w:rsidR="00413F1F" w:rsidRPr="00413F1F" w:rsidRDefault="00413F1F" w:rsidP="00413F1F">
            <w:pPr>
              <w:rPr>
                <w:szCs w:val="18"/>
                <w:lang w:val="en-ZA"/>
              </w:rPr>
            </w:pPr>
            <w:r w:rsidRPr="00413F1F">
              <w:rPr>
                <w:szCs w:val="18"/>
                <w:lang w:val="en-ZA"/>
              </w:rPr>
              <w:t>K</w:t>
            </w:r>
          </w:p>
        </w:tc>
        <w:tc>
          <w:tcPr>
            <w:tcW w:w="718" w:type="dxa"/>
            <w:hideMark/>
          </w:tcPr>
          <w:p w14:paraId="42FCCB05"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0,16</w:t>
            </w:r>
          </w:p>
        </w:tc>
        <w:tc>
          <w:tcPr>
            <w:tcW w:w="979" w:type="dxa"/>
            <w:hideMark/>
          </w:tcPr>
          <w:p w14:paraId="77055C19"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0,09</w:t>
            </w:r>
          </w:p>
        </w:tc>
        <w:tc>
          <w:tcPr>
            <w:tcW w:w="1009" w:type="dxa"/>
            <w:hideMark/>
          </w:tcPr>
          <w:p w14:paraId="23AB30C2"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0,23</w:t>
            </w:r>
          </w:p>
        </w:tc>
        <w:tc>
          <w:tcPr>
            <w:tcW w:w="1224" w:type="dxa"/>
            <w:hideMark/>
          </w:tcPr>
          <w:p w14:paraId="797A37BF"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0,3</w:t>
            </w:r>
          </w:p>
        </w:tc>
        <w:tc>
          <w:tcPr>
            <w:tcW w:w="949" w:type="dxa"/>
            <w:hideMark/>
          </w:tcPr>
          <w:p w14:paraId="60B9A035"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0,77</w:t>
            </w:r>
          </w:p>
        </w:tc>
        <w:tc>
          <w:tcPr>
            <w:tcW w:w="949" w:type="dxa"/>
            <w:hideMark/>
          </w:tcPr>
          <w:p w14:paraId="4C43FAFA"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0,39</w:t>
            </w:r>
          </w:p>
        </w:tc>
      </w:tr>
      <w:tr w:rsidR="00413F1F" w:rsidRPr="00413F1F" w14:paraId="2972C24E"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0CF08B8B" w14:textId="77777777" w:rsidR="00413F1F" w:rsidRPr="00413F1F" w:rsidRDefault="00413F1F" w:rsidP="00413F1F">
            <w:pPr>
              <w:rPr>
                <w:szCs w:val="18"/>
                <w:lang w:val="en-ZA"/>
              </w:rPr>
            </w:pPr>
            <w:r w:rsidRPr="00413F1F">
              <w:rPr>
                <w:szCs w:val="18"/>
                <w:lang w:val="en-ZA"/>
              </w:rPr>
              <w:t>Na</w:t>
            </w:r>
          </w:p>
        </w:tc>
        <w:tc>
          <w:tcPr>
            <w:tcW w:w="718" w:type="dxa"/>
            <w:hideMark/>
          </w:tcPr>
          <w:p w14:paraId="0325FE0F"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0,02</w:t>
            </w:r>
          </w:p>
        </w:tc>
        <w:tc>
          <w:tcPr>
            <w:tcW w:w="979" w:type="dxa"/>
            <w:hideMark/>
          </w:tcPr>
          <w:p w14:paraId="63903F84"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0,02</w:t>
            </w:r>
          </w:p>
        </w:tc>
        <w:tc>
          <w:tcPr>
            <w:tcW w:w="1009" w:type="dxa"/>
            <w:hideMark/>
          </w:tcPr>
          <w:p w14:paraId="2FE1A264"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0,04</w:t>
            </w:r>
          </w:p>
        </w:tc>
        <w:tc>
          <w:tcPr>
            <w:tcW w:w="1224" w:type="dxa"/>
            <w:hideMark/>
          </w:tcPr>
          <w:p w14:paraId="7E1FB555"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0,04</w:t>
            </w:r>
          </w:p>
        </w:tc>
        <w:tc>
          <w:tcPr>
            <w:tcW w:w="949" w:type="dxa"/>
            <w:hideMark/>
          </w:tcPr>
          <w:p w14:paraId="217C8A5F"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0,25</w:t>
            </w:r>
          </w:p>
        </w:tc>
        <w:tc>
          <w:tcPr>
            <w:tcW w:w="949" w:type="dxa"/>
            <w:hideMark/>
          </w:tcPr>
          <w:p w14:paraId="41D5282B"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0,08</w:t>
            </w:r>
          </w:p>
        </w:tc>
      </w:tr>
      <w:tr w:rsidR="00413F1F" w:rsidRPr="00413F1F" w14:paraId="52E30BB1"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3294E528" w14:textId="77777777" w:rsidR="00413F1F" w:rsidRPr="00413F1F" w:rsidRDefault="00413F1F" w:rsidP="00413F1F">
            <w:pPr>
              <w:rPr>
                <w:szCs w:val="18"/>
                <w:lang w:val="en-ZA"/>
              </w:rPr>
            </w:pPr>
            <w:r w:rsidRPr="00413F1F">
              <w:rPr>
                <w:szCs w:val="18"/>
                <w:lang w:val="en-ZA"/>
              </w:rPr>
              <w:t>Sr</w:t>
            </w:r>
          </w:p>
        </w:tc>
        <w:tc>
          <w:tcPr>
            <w:tcW w:w="718" w:type="dxa"/>
            <w:hideMark/>
          </w:tcPr>
          <w:p w14:paraId="1527F990"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c>
          <w:tcPr>
            <w:tcW w:w="979" w:type="dxa"/>
            <w:hideMark/>
          </w:tcPr>
          <w:p w14:paraId="399DCE79"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c>
          <w:tcPr>
            <w:tcW w:w="1009" w:type="dxa"/>
            <w:hideMark/>
          </w:tcPr>
          <w:p w14:paraId="7606C488"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0,04</w:t>
            </w:r>
          </w:p>
        </w:tc>
        <w:tc>
          <w:tcPr>
            <w:tcW w:w="1224" w:type="dxa"/>
            <w:hideMark/>
          </w:tcPr>
          <w:p w14:paraId="7CAE87AB"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c>
          <w:tcPr>
            <w:tcW w:w="949" w:type="dxa"/>
            <w:hideMark/>
          </w:tcPr>
          <w:p w14:paraId="4E97AB79"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0,02</w:t>
            </w:r>
          </w:p>
        </w:tc>
        <w:tc>
          <w:tcPr>
            <w:tcW w:w="949" w:type="dxa"/>
            <w:hideMark/>
          </w:tcPr>
          <w:p w14:paraId="2B9A20A4"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nq</w:t>
            </w:r>
          </w:p>
        </w:tc>
      </w:tr>
      <w:tr w:rsidR="00413F1F" w:rsidRPr="00413F1F" w14:paraId="1018A705"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6B447684" w14:textId="77777777" w:rsidR="00413F1F" w:rsidRPr="00413F1F" w:rsidRDefault="00413F1F" w:rsidP="00413F1F">
            <w:pPr>
              <w:rPr>
                <w:szCs w:val="18"/>
                <w:lang w:val="en-ZA"/>
              </w:rPr>
            </w:pPr>
            <w:r w:rsidRPr="00413F1F">
              <w:rPr>
                <w:szCs w:val="18"/>
                <w:lang w:val="en-ZA"/>
              </w:rPr>
              <w:t>Zn</w:t>
            </w:r>
          </w:p>
        </w:tc>
        <w:tc>
          <w:tcPr>
            <w:tcW w:w="718" w:type="dxa"/>
            <w:hideMark/>
          </w:tcPr>
          <w:p w14:paraId="3C839167"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979" w:type="dxa"/>
            <w:hideMark/>
          </w:tcPr>
          <w:p w14:paraId="1E6DE22E"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1009" w:type="dxa"/>
            <w:hideMark/>
          </w:tcPr>
          <w:p w14:paraId="788AB64E"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1224" w:type="dxa"/>
            <w:hideMark/>
          </w:tcPr>
          <w:p w14:paraId="7C80C5FE"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nq</w:t>
            </w:r>
          </w:p>
        </w:tc>
        <w:tc>
          <w:tcPr>
            <w:tcW w:w="949" w:type="dxa"/>
            <w:hideMark/>
          </w:tcPr>
          <w:p w14:paraId="7338A49F"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c>
          <w:tcPr>
            <w:tcW w:w="949" w:type="dxa"/>
            <w:hideMark/>
          </w:tcPr>
          <w:p w14:paraId="5F1051A2"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0,01</w:t>
            </w:r>
          </w:p>
        </w:tc>
      </w:tr>
      <w:tr w:rsidR="00413F1F" w:rsidRPr="00413F1F" w14:paraId="2139A069"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1CCC2543" w14:textId="77777777" w:rsidR="00413F1F" w:rsidRPr="00413F1F" w:rsidRDefault="00413F1F" w:rsidP="00413F1F">
            <w:pPr>
              <w:rPr>
                <w:szCs w:val="18"/>
                <w:lang w:val="en-ZA"/>
              </w:rPr>
            </w:pPr>
            <w:r w:rsidRPr="00413F1F">
              <w:rPr>
                <w:szCs w:val="18"/>
                <w:lang w:val="en-ZA"/>
              </w:rPr>
              <w:t>P</w:t>
            </w:r>
          </w:p>
        </w:tc>
        <w:tc>
          <w:tcPr>
            <w:tcW w:w="718" w:type="dxa"/>
            <w:hideMark/>
          </w:tcPr>
          <w:p w14:paraId="5EBE48E4"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0,02</w:t>
            </w:r>
          </w:p>
        </w:tc>
        <w:tc>
          <w:tcPr>
            <w:tcW w:w="979" w:type="dxa"/>
            <w:hideMark/>
          </w:tcPr>
          <w:p w14:paraId="44FF2C98"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0,04</w:t>
            </w:r>
          </w:p>
        </w:tc>
        <w:tc>
          <w:tcPr>
            <w:tcW w:w="1009" w:type="dxa"/>
            <w:hideMark/>
          </w:tcPr>
          <w:p w14:paraId="0C5E8DE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0,09</w:t>
            </w:r>
          </w:p>
        </w:tc>
        <w:tc>
          <w:tcPr>
            <w:tcW w:w="1224" w:type="dxa"/>
            <w:hideMark/>
          </w:tcPr>
          <w:p w14:paraId="2277743F"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0,1</w:t>
            </w:r>
          </w:p>
        </w:tc>
        <w:tc>
          <w:tcPr>
            <w:tcW w:w="949" w:type="dxa"/>
            <w:hideMark/>
          </w:tcPr>
          <w:p w14:paraId="5BB362BC"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0,16</w:t>
            </w:r>
          </w:p>
        </w:tc>
        <w:tc>
          <w:tcPr>
            <w:tcW w:w="949" w:type="dxa"/>
            <w:hideMark/>
          </w:tcPr>
          <w:p w14:paraId="0BDFBBF0"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0,7</w:t>
            </w:r>
          </w:p>
        </w:tc>
      </w:tr>
      <w:tr w:rsidR="00413F1F" w:rsidRPr="00413F1F" w14:paraId="7FB18203"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3ACB94CA" w14:textId="77777777" w:rsidR="00413F1F" w:rsidRPr="00413F1F" w:rsidRDefault="00413F1F" w:rsidP="00413F1F">
            <w:pPr>
              <w:rPr>
                <w:szCs w:val="18"/>
                <w:lang w:val="en-ZA"/>
              </w:rPr>
            </w:pPr>
            <w:r w:rsidRPr="00413F1F">
              <w:rPr>
                <w:szCs w:val="18"/>
                <w:lang w:val="en-ZA"/>
              </w:rPr>
              <w:t>C</w:t>
            </w:r>
          </w:p>
        </w:tc>
        <w:tc>
          <w:tcPr>
            <w:tcW w:w="718" w:type="dxa"/>
            <w:hideMark/>
          </w:tcPr>
          <w:p w14:paraId="2F17EF83"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0,97</w:t>
            </w:r>
          </w:p>
        </w:tc>
        <w:tc>
          <w:tcPr>
            <w:tcW w:w="979" w:type="dxa"/>
            <w:hideMark/>
          </w:tcPr>
          <w:p w14:paraId="444C3E2B"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0.48</w:t>
            </w:r>
          </w:p>
        </w:tc>
        <w:tc>
          <w:tcPr>
            <w:tcW w:w="1009" w:type="dxa"/>
            <w:hideMark/>
          </w:tcPr>
          <w:p w14:paraId="3BF9DFB2"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53.9</w:t>
            </w:r>
          </w:p>
        </w:tc>
        <w:tc>
          <w:tcPr>
            <w:tcW w:w="1224" w:type="dxa"/>
            <w:hideMark/>
          </w:tcPr>
          <w:p w14:paraId="7C0794F7"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41,25</w:t>
            </w:r>
          </w:p>
        </w:tc>
        <w:tc>
          <w:tcPr>
            <w:tcW w:w="949" w:type="dxa"/>
            <w:hideMark/>
          </w:tcPr>
          <w:p w14:paraId="49EAB7BF"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21,79</w:t>
            </w:r>
          </w:p>
        </w:tc>
        <w:tc>
          <w:tcPr>
            <w:tcW w:w="949" w:type="dxa"/>
            <w:hideMark/>
          </w:tcPr>
          <w:p w14:paraId="4C980981"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42,64</w:t>
            </w:r>
          </w:p>
        </w:tc>
      </w:tr>
      <w:tr w:rsidR="00413F1F" w:rsidRPr="00413F1F" w14:paraId="243C9C2B"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57D5995C" w14:textId="77777777" w:rsidR="00413F1F" w:rsidRPr="00413F1F" w:rsidRDefault="00413F1F" w:rsidP="00413F1F">
            <w:pPr>
              <w:rPr>
                <w:szCs w:val="18"/>
                <w:lang w:val="en-ZA"/>
              </w:rPr>
            </w:pPr>
            <w:r w:rsidRPr="00413F1F">
              <w:rPr>
                <w:szCs w:val="18"/>
                <w:lang w:val="en-ZA"/>
              </w:rPr>
              <w:t>H</w:t>
            </w:r>
          </w:p>
        </w:tc>
        <w:tc>
          <w:tcPr>
            <w:tcW w:w="718" w:type="dxa"/>
            <w:hideMark/>
          </w:tcPr>
          <w:p w14:paraId="38694A65"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0,28</w:t>
            </w:r>
          </w:p>
        </w:tc>
        <w:tc>
          <w:tcPr>
            <w:tcW w:w="979" w:type="dxa"/>
            <w:hideMark/>
          </w:tcPr>
          <w:p w14:paraId="3A57D4B7"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0.44</w:t>
            </w:r>
          </w:p>
        </w:tc>
        <w:tc>
          <w:tcPr>
            <w:tcW w:w="1009" w:type="dxa"/>
            <w:hideMark/>
          </w:tcPr>
          <w:p w14:paraId="56884A05"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3,09</w:t>
            </w:r>
          </w:p>
        </w:tc>
        <w:tc>
          <w:tcPr>
            <w:tcW w:w="1224" w:type="dxa"/>
            <w:hideMark/>
          </w:tcPr>
          <w:p w14:paraId="458C7DFA"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2,62</w:t>
            </w:r>
          </w:p>
        </w:tc>
        <w:tc>
          <w:tcPr>
            <w:tcW w:w="949" w:type="dxa"/>
            <w:hideMark/>
          </w:tcPr>
          <w:p w14:paraId="39C9C9B2"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2,87</w:t>
            </w:r>
          </w:p>
        </w:tc>
        <w:tc>
          <w:tcPr>
            <w:tcW w:w="949" w:type="dxa"/>
            <w:hideMark/>
          </w:tcPr>
          <w:p w14:paraId="0D4B7E65"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6,49</w:t>
            </w:r>
          </w:p>
        </w:tc>
      </w:tr>
      <w:tr w:rsidR="00413F1F" w:rsidRPr="00413F1F" w14:paraId="5BE32356" w14:textId="77777777" w:rsidTr="00B5201F">
        <w:trPr>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443FEF4B" w14:textId="77777777" w:rsidR="00413F1F" w:rsidRPr="00413F1F" w:rsidRDefault="00413F1F" w:rsidP="00413F1F">
            <w:pPr>
              <w:rPr>
                <w:szCs w:val="18"/>
                <w:lang w:val="en-ZA"/>
              </w:rPr>
            </w:pPr>
            <w:r w:rsidRPr="00413F1F">
              <w:rPr>
                <w:szCs w:val="18"/>
                <w:lang w:val="en-ZA"/>
              </w:rPr>
              <w:t>N</w:t>
            </w:r>
          </w:p>
        </w:tc>
        <w:tc>
          <w:tcPr>
            <w:tcW w:w="718" w:type="dxa"/>
            <w:hideMark/>
          </w:tcPr>
          <w:p w14:paraId="63CBE9A2"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0.05</w:t>
            </w:r>
          </w:p>
        </w:tc>
        <w:tc>
          <w:tcPr>
            <w:tcW w:w="979" w:type="dxa"/>
            <w:hideMark/>
          </w:tcPr>
          <w:p w14:paraId="20CEE071"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w:t>
            </w:r>
          </w:p>
        </w:tc>
        <w:tc>
          <w:tcPr>
            <w:tcW w:w="1009" w:type="dxa"/>
            <w:hideMark/>
          </w:tcPr>
          <w:p w14:paraId="3B851ACE"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1,45</w:t>
            </w:r>
          </w:p>
        </w:tc>
        <w:tc>
          <w:tcPr>
            <w:tcW w:w="1224" w:type="dxa"/>
            <w:hideMark/>
          </w:tcPr>
          <w:p w14:paraId="7C621CCF"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1,13</w:t>
            </w:r>
          </w:p>
        </w:tc>
        <w:tc>
          <w:tcPr>
            <w:tcW w:w="949" w:type="dxa"/>
            <w:hideMark/>
          </w:tcPr>
          <w:p w14:paraId="5AF83872"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1,05</w:t>
            </w:r>
          </w:p>
        </w:tc>
        <w:tc>
          <w:tcPr>
            <w:tcW w:w="949" w:type="dxa"/>
            <w:hideMark/>
          </w:tcPr>
          <w:p w14:paraId="7F9A4201"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r w:rsidRPr="00413F1F">
              <w:rPr>
                <w:szCs w:val="18"/>
                <w:lang w:val="en-ZA"/>
              </w:rPr>
              <w:t>3,61</w:t>
            </w:r>
          </w:p>
        </w:tc>
      </w:tr>
      <w:tr w:rsidR="00413F1F" w:rsidRPr="00413F1F" w14:paraId="3079382D" w14:textId="77777777" w:rsidTr="00B5201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31" w:type="dxa"/>
            <w:hideMark/>
          </w:tcPr>
          <w:p w14:paraId="33CF8790" w14:textId="77777777" w:rsidR="00413F1F" w:rsidRPr="00413F1F" w:rsidRDefault="00413F1F" w:rsidP="00413F1F">
            <w:pPr>
              <w:rPr>
                <w:szCs w:val="18"/>
                <w:lang w:val="en-ZA"/>
              </w:rPr>
            </w:pPr>
            <w:r w:rsidRPr="00413F1F">
              <w:rPr>
                <w:szCs w:val="18"/>
                <w:lang w:val="en-ZA"/>
              </w:rPr>
              <w:t>S</w:t>
            </w:r>
          </w:p>
        </w:tc>
        <w:tc>
          <w:tcPr>
            <w:tcW w:w="718" w:type="dxa"/>
            <w:hideMark/>
          </w:tcPr>
          <w:p w14:paraId="3B9079AD"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w:t>
            </w:r>
          </w:p>
        </w:tc>
        <w:tc>
          <w:tcPr>
            <w:tcW w:w="979" w:type="dxa"/>
            <w:hideMark/>
          </w:tcPr>
          <w:p w14:paraId="3098BDF0"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w:t>
            </w:r>
          </w:p>
        </w:tc>
        <w:tc>
          <w:tcPr>
            <w:tcW w:w="1009" w:type="dxa"/>
            <w:hideMark/>
          </w:tcPr>
          <w:p w14:paraId="6EBB5CBA"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1,19</w:t>
            </w:r>
          </w:p>
        </w:tc>
        <w:tc>
          <w:tcPr>
            <w:tcW w:w="1224" w:type="dxa"/>
            <w:hideMark/>
          </w:tcPr>
          <w:p w14:paraId="24E142C9"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1,43</w:t>
            </w:r>
          </w:p>
        </w:tc>
        <w:tc>
          <w:tcPr>
            <w:tcW w:w="949" w:type="dxa"/>
            <w:hideMark/>
          </w:tcPr>
          <w:p w14:paraId="70CBCC31"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0,21</w:t>
            </w:r>
          </w:p>
        </w:tc>
        <w:tc>
          <w:tcPr>
            <w:tcW w:w="949" w:type="dxa"/>
            <w:hideMark/>
          </w:tcPr>
          <w:p w14:paraId="55657653" w14:textId="77777777" w:rsidR="00413F1F" w:rsidRPr="00413F1F" w:rsidRDefault="00413F1F" w:rsidP="00413F1F">
            <w:pPr>
              <w:cnfStyle w:val="000000100000" w:firstRow="0" w:lastRow="0" w:firstColumn="0" w:lastColumn="0" w:oddVBand="0" w:evenVBand="0" w:oddHBand="1" w:evenHBand="0" w:firstRowFirstColumn="0" w:firstRowLastColumn="0" w:lastRowFirstColumn="0" w:lastRowLastColumn="0"/>
              <w:rPr>
                <w:szCs w:val="18"/>
                <w:lang w:val="en-ZA"/>
              </w:rPr>
            </w:pPr>
            <w:r w:rsidRPr="00413F1F">
              <w:rPr>
                <w:szCs w:val="18"/>
                <w:lang w:val="en-ZA"/>
              </w:rPr>
              <w:t>0,67</w:t>
            </w:r>
          </w:p>
        </w:tc>
      </w:tr>
      <w:tr w:rsidR="00413F1F" w:rsidRPr="00413F1F" w14:paraId="3D2A9C47" w14:textId="77777777" w:rsidTr="00B5201F">
        <w:trPr>
          <w:trHeight w:val="30"/>
        </w:trPr>
        <w:tc>
          <w:tcPr>
            <w:cnfStyle w:val="001000000000" w:firstRow="0" w:lastRow="0" w:firstColumn="1" w:lastColumn="0" w:oddVBand="0" w:evenVBand="0" w:oddHBand="0" w:evenHBand="0" w:firstRowFirstColumn="0" w:firstRowLastColumn="0" w:lastRowFirstColumn="0" w:lastRowLastColumn="0"/>
            <w:tcW w:w="1331" w:type="dxa"/>
          </w:tcPr>
          <w:p w14:paraId="356CF103" w14:textId="77777777" w:rsidR="00413F1F" w:rsidRPr="00413F1F" w:rsidRDefault="00413F1F" w:rsidP="00413F1F">
            <w:pPr>
              <w:rPr>
                <w:szCs w:val="18"/>
                <w:lang w:val="en-ZA"/>
              </w:rPr>
            </w:pPr>
          </w:p>
          <w:p w14:paraId="2F66D1B0" w14:textId="77777777" w:rsidR="00413F1F" w:rsidRPr="00413F1F" w:rsidRDefault="00413F1F" w:rsidP="00413F1F">
            <w:pPr>
              <w:rPr>
                <w:szCs w:val="18"/>
                <w:lang w:val="en-ZA"/>
              </w:rPr>
            </w:pPr>
          </w:p>
        </w:tc>
        <w:tc>
          <w:tcPr>
            <w:tcW w:w="718" w:type="dxa"/>
          </w:tcPr>
          <w:p w14:paraId="16871F5D"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p>
        </w:tc>
        <w:tc>
          <w:tcPr>
            <w:tcW w:w="979" w:type="dxa"/>
          </w:tcPr>
          <w:p w14:paraId="58CADEC4"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p>
        </w:tc>
        <w:tc>
          <w:tcPr>
            <w:tcW w:w="1009" w:type="dxa"/>
          </w:tcPr>
          <w:p w14:paraId="79D0F6F1"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p>
        </w:tc>
        <w:tc>
          <w:tcPr>
            <w:tcW w:w="1224" w:type="dxa"/>
          </w:tcPr>
          <w:p w14:paraId="609E7169"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p>
        </w:tc>
        <w:tc>
          <w:tcPr>
            <w:tcW w:w="949" w:type="dxa"/>
          </w:tcPr>
          <w:p w14:paraId="3971BEB5"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p>
        </w:tc>
        <w:tc>
          <w:tcPr>
            <w:tcW w:w="949" w:type="dxa"/>
          </w:tcPr>
          <w:p w14:paraId="5BADFF5E" w14:textId="77777777" w:rsidR="00413F1F" w:rsidRPr="00413F1F" w:rsidRDefault="00413F1F" w:rsidP="00413F1F">
            <w:pPr>
              <w:cnfStyle w:val="000000000000" w:firstRow="0" w:lastRow="0" w:firstColumn="0" w:lastColumn="0" w:oddVBand="0" w:evenVBand="0" w:oddHBand="0" w:evenHBand="0" w:firstRowFirstColumn="0" w:firstRowLastColumn="0" w:lastRowFirstColumn="0" w:lastRowLastColumn="0"/>
              <w:rPr>
                <w:szCs w:val="18"/>
                <w:lang w:val="en-ZA"/>
              </w:rPr>
            </w:pPr>
          </w:p>
        </w:tc>
      </w:tr>
    </w:tbl>
    <w:p w14:paraId="243552B4" w14:textId="476EF723" w:rsidR="005B2F9A" w:rsidRDefault="005B2F9A" w:rsidP="005B2F9A"/>
    <w:p w14:paraId="7382C781" w14:textId="432E1074" w:rsidR="00600535" w:rsidRDefault="000D3E5F" w:rsidP="005B2F9A">
      <w:pPr>
        <w:pStyle w:val="CETheadingx"/>
        <w:numPr>
          <w:ilvl w:val="0"/>
          <w:numId w:val="0"/>
        </w:numPr>
      </w:pPr>
      <w:r>
        <w:rPr>
          <w:noProof/>
        </w:rPr>
        <mc:AlternateContent>
          <mc:Choice Requires="wps">
            <w:drawing>
              <wp:anchor distT="0" distB="0" distL="114300" distR="114300" simplePos="0" relativeHeight="251661312" behindDoc="0" locked="0" layoutInCell="1" allowOverlap="1" wp14:anchorId="24EFE2D2" wp14:editId="72A65D97">
                <wp:simplePos x="0" y="0"/>
                <wp:positionH relativeFrom="margin">
                  <wp:align>right</wp:align>
                </wp:positionH>
                <wp:positionV relativeFrom="paragraph">
                  <wp:posOffset>332105</wp:posOffset>
                </wp:positionV>
                <wp:extent cx="1409700" cy="3693319"/>
                <wp:effectExtent l="0" t="0" r="0" b="0"/>
                <wp:wrapNone/>
                <wp:docPr id="8" name="TextBox 7">
                  <a:extLst xmlns:a="http://schemas.openxmlformats.org/drawingml/2006/main">
                    <a:ext uri="{FF2B5EF4-FFF2-40B4-BE49-F238E27FC236}">
                      <a16:creationId xmlns:a16="http://schemas.microsoft.com/office/drawing/2014/main" id="{92C06BB0-A3F6-40FD-BFD6-2CD11B74186E}"/>
                    </a:ext>
                  </a:extLst>
                </wp:docPr>
                <wp:cNvGraphicFramePr/>
                <a:graphic xmlns:a="http://schemas.openxmlformats.org/drawingml/2006/main">
                  <a:graphicData uri="http://schemas.microsoft.com/office/word/2010/wordprocessingShape">
                    <wps:wsp>
                      <wps:cNvSpPr txBox="1"/>
                      <wps:spPr>
                        <a:xfrm>
                          <a:off x="0" y="0"/>
                          <a:ext cx="1409700" cy="3693319"/>
                        </a:xfrm>
                        <a:prstGeom prst="rect">
                          <a:avLst/>
                        </a:prstGeom>
                        <a:noFill/>
                      </wps:spPr>
                      <wps:txbx>
                        <w:txbxContent>
                          <w:p w14:paraId="3EE9D653"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CWT – Coal Waste Tailings</w:t>
                            </w:r>
                          </w:p>
                          <w:p w14:paraId="2BCFF21D"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CWS – Coal Waste Slurry</w:t>
                            </w:r>
                          </w:p>
                          <w:p w14:paraId="638812B5"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 xml:space="preserve">SS – Stockpile Soil </w:t>
                            </w:r>
                          </w:p>
                          <w:p w14:paraId="7642913A"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MR – Malt Residue</w:t>
                            </w:r>
                          </w:p>
                          <w:p w14:paraId="72CA585A"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 xml:space="preserve">C – Compost </w:t>
                            </w:r>
                          </w:p>
                        </w:txbxContent>
                      </wps:txbx>
                      <wps:bodyPr wrap="square" rtlCol="0">
                        <a:spAutoFit/>
                      </wps:bodyPr>
                    </wps:wsp>
                  </a:graphicData>
                </a:graphic>
                <wp14:sizeRelH relativeFrom="margin">
                  <wp14:pctWidth>0</wp14:pctWidth>
                </wp14:sizeRelH>
              </wp:anchor>
            </w:drawing>
          </mc:Choice>
          <mc:Fallback>
            <w:pict>
              <v:shapetype w14:anchorId="24EFE2D2" id="_x0000_t202" coordsize="21600,21600" o:spt="202" path="m,l,21600r21600,l21600,xe">
                <v:stroke joinstyle="miter"/>
                <v:path gradientshapeok="t" o:connecttype="rect"/>
              </v:shapetype>
              <v:shape id="TextBox 7" o:spid="_x0000_s1026" type="#_x0000_t202" style="position:absolute;margin-left:59.8pt;margin-top:26.15pt;width:111pt;height:290.8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" filled="f" stroked="f">
                <v:textbox style="mso-fit-shape-to-text:t">
                  <w:txbxContent>
                    <w:p w14:paraId="3EE9D653"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CWT – Coal Waste Tailings</w:t>
                      </w:r>
                    </w:p>
                    <w:p w14:paraId="2BCFF21D"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CWS – Coal Waste Slurry</w:t>
                      </w:r>
                    </w:p>
                    <w:p w14:paraId="638812B5"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 xml:space="preserve">SS – Stockpile Soil </w:t>
                      </w:r>
                    </w:p>
                    <w:p w14:paraId="7642913A"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MR – Malt Residue</w:t>
                      </w:r>
                    </w:p>
                    <w:p w14:paraId="72CA585A" w14:textId="77777777" w:rsidR="000D3E5F" w:rsidRPr="000D3E5F" w:rsidRDefault="000D3E5F" w:rsidP="000D3E5F">
                      <w:pPr>
                        <w:rPr>
                          <w:rFonts w:asciiTheme="minorHAnsi" w:hAnsi="Calibri" w:cstheme="minorBidi"/>
                          <w:color w:val="000000" w:themeColor="text1"/>
                          <w:kern w:val="24"/>
                          <w:szCs w:val="18"/>
                        </w:rPr>
                      </w:pPr>
                      <w:r w:rsidRPr="000D3E5F">
                        <w:rPr>
                          <w:rFonts w:asciiTheme="minorHAnsi" w:hAnsi="Calibri" w:cstheme="minorBidi"/>
                          <w:color w:val="000000" w:themeColor="text1"/>
                          <w:kern w:val="24"/>
                          <w:szCs w:val="18"/>
                        </w:rPr>
                        <w:t xml:space="preserve">C – Compost </w:t>
                      </w:r>
                    </w:p>
                  </w:txbxContent>
                </v:textbox>
                <w10:wrap anchorx="margin"/>
              </v:shape>
            </w:pict>
          </mc:Fallback>
        </mc:AlternateContent>
      </w:r>
      <w:r w:rsidR="005B2F9A">
        <w:rPr>
          <w:noProof/>
        </w:rPr>
        <w:drawing>
          <wp:inline distT="0" distB="0" distL="0" distR="0" wp14:anchorId="3DF5CC73" wp14:editId="3759646E">
            <wp:extent cx="3934705" cy="2270760"/>
            <wp:effectExtent l="0" t="0" r="8890" b="0"/>
            <wp:docPr id="7" name="Content Placeholder 6">
              <a:extLst xmlns:a="http://schemas.openxmlformats.org/drawingml/2006/main">
                <a:ext uri="{FF2B5EF4-FFF2-40B4-BE49-F238E27FC236}">
                  <a16:creationId xmlns:a16="http://schemas.microsoft.com/office/drawing/2014/main" id="{13DB6729-13A9-4847-8CF1-5BA1462E8B7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13DB6729-13A9-4847-8CF1-5BA1462E8B71}"/>
                        </a:ext>
                      </a:extLst>
                    </pic:cNvPr>
                    <pic:cNvPicPr>
                      <a:picLocks noGrp="1" noChangeAspect="1"/>
                    </pic:cNvPicPr>
                  </pic:nvPicPr>
                  <pic:blipFill>
                    <a:blip r:embed="rId15"/>
                    <a:stretch>
                      <a:fillRect/>
                    </a:stretch>
                  </pic:blipFill>
                  <pic:spPr>
                    <a:xfrm>
                      <a:off x="0" y="0"/>
                      <a:ext cx="4010733" cy="2314636"/>
                    </a:xfrm>
                    <a:prstGeom prst="rect">
                      <a:avLst/>
                    </a:prstGeom>
                  </pic:spPr>
                </pic:pic>
              </a:graphicData>
            </a:graphic>
          </wp:inline>
        </w:drawing>
      </w:r>
      <w:r w:rsidRPr="000D3E5F">
        <w:rPr>
          <w:noProof/>
        </w:rPr>
        <w:t xml:space="preserve"> </w:t>
      </w:r>
    </w:p>
    <w:p w14:paraId="7B2CA322" w14:textId="6F1705F1" w:rsidR="00600535" w:rsidRPr="005B2F9A" w:rsidRDefault="005B2F9A" w:rsidP="00600535">
      <w:pPr>
        <w:pStyle w:val="CETBodytext"/>
        <w:rPr>
          <w:i/>
          <w:iCs/>
          <w:lang w:val="en-GB"/>
        </w:rPr>
      </w:pPr>
      <w:r w:rsidRPr="005B2F9A">
        <w:rPr>
          <w:i/>
          <w:iCs/>
        </w:rPr>
        <w:t>Figure 3: Seedling emergence test</w:t>
      </w:r>
    </w:p>
    <w:p w14:paraId="68D26B83" w14:textId="08B9C2FD" w:rsidR="00600535" w:rsidRPr="005B2F9A" w:rsidRDefault="00600535" w:rsidP="005B2F9A">
      <w:pPr>
        <w:pStyle w:val="CETHeading1"/>
        <w:numPr>
          <w:ilvl w:val="1"/>
          <w:numId w:val="24"/>
        </w:numPr>
        <w:rPr>
          <w:lang w:val="en-GB"/>
        </w:rPr>
      </w:pPr>
      <w:r w:rsidRPr="005B2F9A">
        <w:rPr>
          <w:lang w:val="en-GB"/>
        </w:rPr>
        <w:t>Conclusions</w:t>
      </w:r>
    </w:p>
    <w:p w14:paraId="636E5CA1" w14:textId="74F53EB4" w:rsidR="000D3E5F" w:rsidRPr="004D3327" w:rsidRDefault="005B2F9A" w:rsidP="005B2F9A">
      <w:pPr>
        <w:pStyle w:val="CETBodytext"/>
      </w:pPr>
      <w:r>
        <w:rPr>
          <w:lang w:val="en-GB"/>
        </w:rPr>
        <w:t xml:space="preserve">The study confirms that </w:t>
      </w:r>
      <w:proofErr w:type="spellStart"/>
      <w:r>
        <w:t>technosols</w:t>
      </w:r>
      <w:proofErr w:type="spellEnd"/>
      <w:r>
        <w:t xml:space="preserve"> derived from parent material can be </w:t>
      </w:r>
      <w:r w:rsidR="009234E6">
        <w:t>utilized</w:t>
      </w:r>
      <w:r>
        <w:t xml:space="preserve"> successfully in early development of germination and survival in bioremediation and mine site rehabilitation processes. These amendments</w:t>
      </w:r>
      <w:r w:rsidR="00A430B6">
        <w:t xml:space="preserve"> CWT/C (5%)</w:t>
      </w:r>
      <w:r w:rsidR="000D3E5F">
        <w:t>, CWT/MR (5%) and CWT/SS/C</w:t>
      </w:r>
      <w:r>
        <w:t xml:space="preserve"> demonstrated their ability to maintain chemical and physical conditions suitable for introduction of new microbial and plant population</w:t>
      </w:r>
      <w:r w:rsidR="000D3E5F">
        <w:t xml:space="preserve"> with a survival rate of above 60%</w:t>
      </w:r>
      <w:r>
        <w:t>.</w:t>
      </w:r>
      <w:r w:rsidR="006837F9">
        <w:t xml:space="preserve"> </w:t>
      </w:r>
      <w:proofErr w:type="spellStart"/>
      <w:r w:rsidR="006837F9">
        <w:t>Technosols</w:t>
      </w:r>
      <w:proofErr w:type="spellEnd"/>
      <w:r w:rsidR="006837F9">
        <w:t xml:space="preserve"> and plants parameters was enhanced by high optimum rates of amendments of compost especially with tailings compared to malt residue amended with slurry which displayed </w:t>
      </w:r>
      <w:r w:rsidR="00DA3F30">
        <w:t>inferior effect because of acidic conditions.</w:t>
      </w:r>
      <w:r w:rsidR="006837F9">
        <w:t xml:space="preserve"> </w:t>
      </w:r>
      <w:r w:rsidR="000D3E5F" w:rsidRPr="000D3E5F">
        <w:rPr>
          <w:lang w:val="en-GB"/>
        </w:rPr>
        <w:t>Despite being a man-made soil</w:t>
      </w:r>
      <w:r w:rsidR="000D3E5F">
        <w:rPr>
          <w:lang w:val="en-GB"/>
        </w:rPr>
        <w:t xml:space="preserve">, </w:t>
      </w:r>
      <w:r w:rsidR="000D3E5F">
        <w:t>t</w:t>
      </w:r>
      <w:r>
        <w:t xml:space="preserve">his approach provides a comprehensive industrial ecology strategy that drastically improves mine site rehabilitation outcomes in </w:t>
      </w:r>
      <w:r w:rsidR="00131258">
        <w:t>a relatively</w:t>
      </w:r>
      <w:r>
        <w:t xml:space="preserve"> short period.</w:t>
      </w:r>
      <w:r w:rsidR="00A430B6">
        <w:t xml:space="preserve"> </w:t>
      </w:r>
      <w:r w:rsidR="00D24F81">
        <w:t xml:space="preserve">The study indicated that </w:t>
      </w:r>
      <w:proofErr w:type="spellStart"/>
      <w:r w:rsidR="00D24F81">
        <w:t>technosols</w:t>
      </w:r>
      <w:proofErr w:type="spellEnd"/>
      <w:r w:rsidR="00D24F81">
        <w:t xml:space="preserve"> provide safe destination for waste management thereby improving mine rehabilitation with proven operational effective benefits. </w:t>
      </w:r>
    </w:p>
    <w:p w14:paraId="4F21941D" w14:textId="77777777" w:rsidR="00806E8F" w:rsidRDefault="00806E8F" w:rsidP="00600535">
      <w:pPr>
        <w:pStyle w:val="CETAcknowledgementstitle"/>
      </w:pPr>
    </w:p>
    <w:p w14:paraId="459D05E6" w14:textId="2B96B16E" w:rsidR="00600535" w:rsidRPr="00B57B36" w:rsidRDefault="00600535" w:rsidP="00600535">
      <w:pPr>
        <w:pStyle w:val="CETAcknowledgementstitle"/>
      </w:pPr>
      <w:r w:rsidRPr="00B57B36">
        <w:t>Acknowledgments</w:t>
      </w:r>
    </w:p>
    <w:p w14:paraId="234A8C2D" w14:textId="517AC4AB" w:rsidR="00981C62" w:rsidRPr="00981C62" w:rsidRDefault="00981C62" w:rsidP="00981C62">
      <w:pPr>
        <w:rPr>
          <w:bCs/>
          <w:lang w:val="en-US"/>
        </w:rPr>
      </w:pPr>
      <w:r w:rsidRPr="00981C62">
        <w:t>The study</w:t>
      </w:r>
      <w:r w:rsidRPr="00981C62">
        <w:rPr>
          <w:bCs/>
          <w:lang w:val="en-US"/>
        </w:rPr>
        <w:t xml:space="preserve"> was funded by the National Research Foundation (NRF) through Grant No’s. SRUG2204072544 and EQP180503325881 and Rand Water Company, through Grant No. RW01413/18 awarded to Prof E.M.N. Chirwa, and The NRF Thuthuka Fund Grant No. TTK18024324064 awarded to Prof S.M. </w:t>
      </w:r>
      <w:proofErr w:type="spellStart"/>
      <w:r w:rsidRPr="00981C62">
        <w:rPr>
          <w:bCs/>
          <w:lang w:val="en-US"/>
        </w:rPr>
        <w:t>Tichapondwa</w:t>
      </w:r>
      <w:proofErr w:type="spellEnd"/>
      <w:r w:rsidRPr="00981C62">
        <w:rPr>
          <w:bCs/>
          <w:lang w:val="en-US"/>
        </w:rPr>
        <w:t xml:space="preserve"> at the University of Pretoria.</w:t>
      </w:r>
    </w:p>
    <w:p w14:paraId="33F8138F" w14:textId="7DF06E6A" w:rsidR="00600535" w:rsidRPr="00B57B36" w:rsidRDefault="00600535" w:rsidP="00600535">
      <w:pPr>
        <w:pStyle w:val="CETBodytext"/>
        <w:rPr>
          <w:lang w:val="en-GB"/>
        </w:rPr>
      </w:pPr>
    </w:p>
    <w:p w14:paraId="03507984" w14:textId="512ED33B" w:rsidR="00600535" w:rsidRPr="00B57B36" w:rsidRDefault="00600535" w:rsidP="00981C62">
      <w:pPr>
        <w:pStyle w:val="CETReference"/>
      </w:pPr>
      <w:r w:rsidRPr="00B57B36">
        <w:t>References</w:t>
      </w:r>
    </w:p>
    <w:p w14:paraId="428B022A" w14:textId="77777777" w:rsidR="00E65B91" w:rsidRDefault="00E65B91" w:rsidP="00600535">
      <w:pPr>
        <w:pStyle w:val="CETReferencetext"/>
      </w:pPr>
    </w:p>
    <w:p w14:paraId="21BFAC11" w14:textId="5ACFCE0C" w:rsidR="00981C62" w:rsidRDefault="00981C62" w:rsidP="00981C62">
      <w:pPr>
        <w:pStyle w:val="CETReferencetext"/>
        <w:rPr>
          <w:lang w:val="en-ZA"/>
        </w:rPr>
      </w:pPr>
      <w:bookmarkStart w:id="3" w:name="_Hlk162375362"/>
      <w:r w:rsidRPr="00981C62">
        <w:rPr>
          <w:lang w:val="en-ZA"/>
        </w:rPr>
        <w:t>Bateman, A.M., Erickson, T.E., Merritt, D.J.</w:t>
      </w:r>
      <w:r w:rsidR="00131258">
        <w:rPr>
          <w:lang w:val="en-ZA"/>
        </w:rPr>
        <w:t>,</w:t>
      </w:r>
      <w:r w:rsidRPr="00981C62">
        <w:rPr>
          <w:lang w:val="en-ZA"/>
        </w:rPr>
        <w:t xml:space="preserve"> Muñoz-Rojas, M.</w:t>
      </w:r>
      <w:r w:rsidR="00131258">
        <w:rPr>
          <w:lang w:val="en-ZA"/>
        </w:rPr>
        <w:t>,</w:t>
      </w:r>
      <w:r w:rsidRPr="00981C62">
        <w:rPr>
          <w:lang w:val="en-ZA"/>
        </w:rPr>
        <w:t xml:space="preserve"> 2019</w:t>
      </w:r>
      <w:r w:rsidR="00CD064D">
        <w:rPr>
          <w:lang w:val="en-ZA"/>
        </w:rPr>
        <w:t>.</w:t>
      </w:r>
      <w:r w:rsidRPr="00981C62">
        <w:rPr>
          <w:lang w:val="en-ZA"/>
        </w:rPr>
        <w:t xml:space="preserve"> Inorganic soil amendments alter seedling performance of native plant species in post-mining arid zone rehabilitation. Journal of Environmental Management, 241: 179-186. </w:t>
      </w:r>
    </w:p>
    <w:bookmarkEnd w:id="3"/>
    <w:p w14:paraId="300F9300" w14:textId="0ECEFA39" w:rsidR="003A33D7" w:rsidRPr="00981C62" w:rsidRDefault="003A33D7" w:rsidP="003A33D7">
      <w:pPr>
        <w:pStyle w:val="CETReferencetext"/>
        <w:rPr>
          <w:lang w:val="en-ZA"/>
        </w:rPr>
      </w:pPr>
      <w:r w:rsidRPr="003A33D7">
        <w:rPr>
          <w:lang w:val="en-ZA"/>
        </w:rPr>
        <w:t>D</w:t>
      </w:r>
      <w:r>
        <w:rPr>
          <w:lang w:val="en-ZA"/>
        </w:rPr>
        <w:t xml:space="preserve">aniell, A, &amp; Van Deventer, P.W, 2018. </w:t>
      </w:r>
      <w:r w:rsidRPr="003A33D7">
        <w:rPr>
          <w:lang w:val="en-ZA"/>
        </w:rPr>
        <w:t>National Inventory Discard and Duff Coal. Summary report, Energy: 1-31, accessed 18.12.2023.</w:t>
      </w:r>
    </w:p>
    <w:p w14:paraId="0C049EFE" w14:textId="07941355" w:rsidR="00981C62" w:rsidRPr="00981C62" w:rsidRDefault="00981C62" w:rsidP="00DB2F8B">
      <w:pPr>
        <w:pStyle w:val="CETReferencetext"/>
        <w:rPr>
          <w:lang w:val="en-ZA"/>
        </w:rPr>
      </w:pPr>
      <w:r w:rsidRPr="00981C62">
        <w:rPr>
          <w:lang w:val="en-ZA"/>
        </w:rPr>
        <w:t>Department of Mineral and Energy (South Africa)</w:t>
      </w:r>
      <w:r w:rsidR="00131258">
        <w:rPr>
          <w:lang w:val="en-ZA"/>
        </w:rPr>
        <w:t>,</w:t>
      </w:r>
      <w:r w:rsidRPr="00981C62">
        <w:rPr>
          <w:lang w:val="en-ZA"/>
        </w:rPr>
        <w:t xml:space="preserve"> 2001</w:t>
      </w:r>
      <w:r w:rsidR="00CD064D">
        <w:rPr>
          <w:lang w:val="en-ZA"/>
        </w:rPr>
        <w:t>.</w:t>
      </w:r>
      <w:r w:rsidRPr="00981C62">
        <w:rPr>
          <w:lang w:val="en-ZA"/>
        </w:rPr>
        <w:t xml:space="preserve"> National Inventory Discard and Duff Coal. Summary report, Energy: 1-31,</w:t>
      </w:r>
      <w:r w:rsidR="00514E5B">
        <w:rPr>
          <w:lang w:val="en-ZA"/>
        </w:rPr>
        <w:t xml:space="preserve"> accessed 18.12.2023.</w:t>
      </w:r>
    </w:p>
    <w:p w14:paraId="428A1D20" w14:textId="2A2B67C9" w:rsidR="00981C62" w:rsidRPr="00981C62" w:rsidRDefault="00981C62" w:rsidP="00981C62">
      <w:pPr>
        <w:pStyle w:val="CETReferencetext"/>
        <w:rPr>
          <w:lang w:val="en-ZA"/>
        </w:rPr>
      </w:pPr>
      <w:r w:rsidRPr="00981C62">
        <w:rPr>
          <w:bCs/>
          <w:lang w:val="en-ZA"/>
        </w:rPr>
        <w:t>Ginocchio, R., Arellano, E., Gandarillas, M., Sáez-Navarrete, C., van Ham, M. &amp; Brown, S.</w:t>
      </w:r>
      <w:r w:rsidR="00DB2F8B">
        <w:rPr>
          <w:bCs/>
          <w:lang w:val="en-ZA"/>
        </w:rPr>
        <w:t>,</w:t>
      </w:r>
      <w:r w:rsidRPr="00981C62">
        <w:rPr>
          <w:bCs/>
          <w:lang w:val="en-ZA"/>
        </w:rPr>
        <w:t xml:space="preserve"> 2016</w:t>
      </w:r>
      <w:r w:rsidR="00CD064D">
        <w:rPr>
          <w:bCs/>
          <w:lang w:val="en-ZA"/>
        </w:rPr>
        <w:t>.</w:t>
      </w:r>
      <w:r w:rsidRPr="00981C62">
        <w:rPr>
          <w:bCs/>
          <w:lang w:val="en-ZA"/>
        </w:rPr>
        <w:t xml:space="preserve"> Mixing residues allows multiple benefits beyond proper stabilization of tailings storage facilities at closure. Planning for Closure, 1-11. </w:t>
      </w:r>
    </w:p>
    <w:p w14:paraId="478C2E2A" w14:textId="5A8AC2A9" w:rsidR="00981C62" w:rsidRDefault="00981C62" w:rsidP="00981C62">
      <w:pPr>
        <w:pStyle w:val="CETReferencetext"/>
        <w:rPr>
          <w:lang w:val="en-ZA"/>
        </w:rPr>
      </w:pPr>
      <w:bookmarkStart w:id="4" w:name="_Hlk162374863"/>
      <w:proofErr w:type="spellStart"/>
      <w:r w:rsidRPr="00981C62">
        <w:rPr>
          <w:lang w:val="en-ZA"/>
        </w:rPr>
        <w:t>Gunathunga</w:t>
      </w:r>
      <w:proofErr w:type="spellEnd"/>
      <w:r w:rsidRPr="00981C62">
        <w:rPr>
          <w:lang w:val="en-ZA"/>
        </w:rPr>
        <w:t xml:space="preserve">, S.U., Gagen, E.M., Evans, P.N., Erskine, P.D. &amp; </w:t>
      </w:r>
      <w:proofErr w:type="spellStart"/>
      <w:r w:rsidRPr="00981C62">
        <w:rPr>
          <w:lang w:val="en-ZA"/>
        </w:rPr>
        <w:t>Southan</w:t>
      </w:r>
      <w:proofErr w:type="spellEnd"/>
      <w:r w:rsidRPr="00981C62">
        <w:rPr>
          <w:lang w:val="en-ZA"/>
        </w:rPr>
        <w:t>, G.</w:t>
      </w:r>
      <w:r w:rsidR="0043285E">
        <w:rPr>
          <w:lang w:val="en-ZA"/>
        </w:rPr>
        <w:t>,</w:t>
      </w:r>
      <w:r w:rsidRPr="00981C62">
        <w:rPr>
          <w:lang w:val="en-ZA"/>
        </w:rPr>
        <w:t xml:space="preserve"> </w:t>
      </w:r>
      <w:r w:rsidR="0043285E">
        <w:rPr>
          <w:lang w:val="en-ZA"/>
        </w:rPr>
        <w:t>2023</w:t>
      </w:r>
      <w:r w:rsidR="00CD064D">
        <w:rPr>
          <w:lang w:val="en-ZA"/>
        </w:rPr>
        <w:t>.</w:t>
      </w:r>
      <w:r w:rsidRPr="00981C62">
        <w:rPr>
          <w:lang w:val="en-ZA"/>
        </w:rPr>
        <w:t xml:space="preserve"> </w:t>
      </w:r>
      <w:proofErr w:type="spellStart"/>
      <w:r w:rsidRPr="00981C62">
        <w:rPr>
          <w:lang w:val="en-ZA"/>
        </w:rPr>
        <w:t>Anthropedogenesis</w:t>
      </w:r>
      <w:proofErr w:type="spellEnd"/>
      <w:r w:rsidRPr="00981C62">
        <w:rPr>
          <w:lang w:val="en-ZA"/>
        </w:rPr>
        <w:t xml:space="preserve"> in coal mine overburden; the need for a comprehensive, fundamental biogeochemical approach. Science of the Total Environment, 892, 164515</w:t>
      </w:r>
      <w:r w:rsidR="00514E5B">
        <w:rPr>
          <w:lang w:val="en-ZA"/>
        </w:rPr>
        <w:t>.</w:t>
      </w:r>
    </w:p>
    <w:bookmarkEnd w:id="4"/>
    <w:p w14:paraId="6881EAD7" w14:textId="6CDF0BA6" w:rsidR="0043285E" w:rsidRDefault="00096F83" w:rsidP="0043285E">
      <w:pPr>
        <w:pStyle w:val="CETReferencetext"/>
        <w:rPr>
          <w:lang w:val="en-ZA"/>
        </w:rPr>
      </w:pPr>
      <w:proofErr w:type="spellStart"/>
      <w:r>
        <w:rPr>
          <w:lang w:val="en-ZA"/>
        </w:rPr>
        <w:t>Hussieny</w:t>
      </w:r>
      <w:proofErr w:type="spellEnd"/>
      <w:r>
        <w:rPr>
          <w:lang w:val="en-ZA"/>
        </w:rPr>
        <w:t xml:space="preserve"> M.,</w:t>
      </w:r>
      <w:r w:rsidR="0043285E" w:rsidRPr="0043285E">
        <w:rPr>
          <w:lang w:val="en-ZA"/>
        </w:rPr>
        <w:t xml:space="preserve"> </w:t>
      </w:r>
      <w:proofErr w:type="spellStart"/>
      <w:r>
        <w:rPr>
          <w:lang w:val="en-ZA"/>
        </w:rPr>
        <w:t>Elagroudy</w:t>
      </w:r>
      <w:proofErr w:type="spellEnd"/>
      <w:r w:rsidR="0043285E" w:rsidRPr="0043285E">
        <w:rPr>
          <w:lang w:val="en-ZA"/>
        </w:rPr>
        <w:t xml:space="preserve"> </w:t>
      </w:r>
      <w:r>
        <w:rPr>
          <w:lang w:val="en-ZA"/>
        </w:rPr>
        <w:t>S</w:t>
      </w:r>
      <w:r w:rsidR="0043285E" w:rsidRPr="0043285E">
        <w:rPr>
          <w:lang w:val="en-ZA"/>
        </w:rPr>
        <w:t xml:space="preserve">., </w:t>
      </w:r>
      <w:r>
        <w:rPr>
          <w:lang w:val="en-ZA"/>
        </w:rPr>
        <w:t>Razik</w:t>
      </w:r>
      <w:r w:rsidR="0043285E" w:rsidRPr="0043285E">
        <w:rPr>
          <w:lang w:val="en-ZA"/>
        </w:rPr>
        <w:t xml:space="preserve"> </w:t>
      </w:r>
      <w:r>
        <w:rPr>
          <w:lang w:val="en-ZA"/>
        </w:rPr>
        <w:t>M</w:t>
      </w:r>
      <w:r w:rsidR="0043285E" w:rsidRPr="0043285E">
        <w:rPr>
          <w:lang w:val="en-ZA"/>
        </w:rPr>
        <w:t>.</w:t>
      </w:r>
      <w:r>
        <w:rPr>
          <w:lang w:val="en-ZA"/>
        </w:rPr>
        <w:t>A</w:t>
      </w:r>
      <w:r w:rsidR="0043285E" w:rsidRPr="0043285E">
        <w:rPr>
          <w:lang w:val="en-ZA"/>
        </w:rPr>
        <w:t xml:space="preserve">., </w:t>
      </w:r>
      <w:r>
        <w:rPr>
          <w:lang w:val="en-ZA"/>
        </w:rPr>
        <w:t>Gaber</w:t>
      </w:r>
      <w:r w:rsidR="0043285E" w:rsidRPr="0043285E">
        <w:rPr>
          <w:lang w:val="en-ZA"/>
        </w:rPr>
        <w:t xml:space="preserve"> </w:t>
      </w:r>
      <w:r>
        <w:rPr>
          <w:lang w:val="en-ZA"/>
        </w:rPr>
        <w:t>A</w:t>
      </w:r>
      <w:r w:rsidR="0043285E" w:rsidRPr="0043285E">
        <w:rPr>
          <w:lang w:val="en-ZA"/>
        </w:rPr>
        <w:t>.</w:t>
      </w:r>
      <w:r>
        <w:rPr>
          <w:lang w:val="en-ZA"/>
        </w:rPr>
        <w:t>, Bong C.P.C., Hassim</w:t>
      </w:r>
      <w:r w:rsidR="0043285E" w:rsidRPr="0043285E">
        <w:rPr>
          <w:lang w:val="en-ZA"/>
        </w:rPr>
        <w:t xml:space="preserve"> </w:t>
      </w:r>
      <w:r>
        <w:rPr>
          <w:lang w:val="en-ZA"/>
        </w:rPr>
        <w:t>M.H</w:t>
      </w:r>
      <w:r w:rsidR="0043285E" w:rsidRPr="0043285E">
        <w:rPr>
          <w:lang w:val="en-ZA"/>
        </w:rPr>
        <w:t>.</w:t>
      </w:r>
      <w:r w:rsidR="0043285E">
        <w:rPr>
          <w:lang w:val="en-ZA"/>
        </w:rPr>
        <w:t>,</w:t>
      </w:r>
      <w:r>
        <w:rPr>
          <w:lang w:val="en-ZA"/>
        </w:rPr>
        <w:t xml:space="preserve"> Ho W.S.,</w:t>
      </w:r>
      <w:r w:rsidR="0043285E" w:rsidRPr="0043285E">
        <w:rPr>
          <w:lang w:val="en-ZA"/>
        </w:rPr>
        <w:t xml:space="preserve"> 20</w:t>
      </w:r>
      <w:r w:rsidR="0043285E">
        <w:rPr>
          <w:lang w:val="en-ZA"/>
        </w:rPr>
        <w:t>19</w:t>
      </w:r>
      <w:r w:rsidR="00CD064D">
        <w:rPr>
          <w:lang w:val="en-ZA"/>
        </w:rPr>
        <w:t>.</w:t>
      </w:r>
      <w:r w:rsidR="0043285E" w:rsidRPr="0043285E">
        <w:rPr>
          <w:lang w:val="en-ZA"/>
        </w:rPr>
        <w:t xml:space="preserve"> </w:t>
      </w:r>
      <w:r>
        <w:rPr>
          <w:lang w:val="en-ZA"/>
        </w:rPr>
        <w:t xml:space="preserve">Optimising mixture of agricultural, municipal and industrial solid waste </w:t>
      </w:r>
      <w:proofErr w:type="gramStart"/>
      <w:r>
        <w:rPr>
          <w:lang w:val="en-ZA"/>
        </w:rPr>
        <w:t>for the production of</w:t>
      </w:r>
      <w:proofErr w:type="gramEnd"/>
      <w:r>
        <w:rPr>
          <w:lang w:val="en-ZA"/>
        </w:rPr>
        <w:t xml:space="preserve"> alternative fuel, Chemical Engineering Transactions, 72, 259-264 DOI: 10.3303/CET1972044</w:t>
      </w:r>
    </w:p>
    <w:p w14:paraId="5C821727" w14:textId="05BF0F69" w:rsidR="00C72EA1" w:rsidRDefault="00E95CC2" w:rsidP="00C72EA1">
      <w:pPr>
        <w:pStyle w:val="CETReferencetext"/>
        <w:rPr>
          <w:lang w:val="en-ZA"/>
        </w:rPr>
      </w:pPr>
      <w:r w:rsidRPr="00E95CC2">
        <w:rPr>
          <w:lang w:val="pt-BR"/>
        </w:rPr>
        <w:t>Jordán, M.M., García-Sánchez, E., Almendro-Candel, M.B., Pardo, F., Vincente, A.B., Sanfeliu, T. &amp; Bech, J. 2017</w:t>
      </w:r>
      <w:r w:rsidRPr="00E95CC2">
        <w:rPr>
          <w:lang w:val="en-ZA"/>
        </w:rPr>
        <w:t>.</w:t>
      </w:r>
      <w:r>
        <w:rPr>
          <w:lang w:val="en-ZA"/>
        </w:rPr>
        <w:t xml:space="preserve"> </w:t>
      </w:r>
      <w:proofErr w:type="spellStart"/>
      <w:r>
        <w:rPr>
          <w:lang w:val="en-ZA"/>
        </w:rPr>
        <w:t>Technosols</w:t>
      </w:r>
      <w:proofErr w:type="spellEnd"/>
      <w:r>
        <w:rPr>
          <w:lang w:val="en-ZA"/>
        </w:rPr>
        <w:t xml:space="preserve"> designed for rehabilitation of mining activities using mine spoils and biosolids. Ion mobility and correlations using percolations columns. Catena, 148: 74-80.</w:t>
      </w:r>
      <w:r w:rsidRPr="00E95CC2">
        <w:rPr>
          <w:lang w:val="en-ZA"/>
        </w:rPr>
        <w:t xml:space="preserve"> </w:t>
      </w:r>
    </w:p>
    <w:p w14:paraId="337864A8" w14:textId="4A27E945" w:rsidR="00C72EA1" w:rsidRPr="00981C62" w:rsidRDefault="00C72EA1" w:rsidP="00C72EA1">
      <w:pPr>
        <w:pStyle w:val="CETReferencetext"/>
        <w:rPr>
          <w:lang w:val="en-ZA"/>
        </w:rPr>
      </w:pPr>
      <w:r w:rsidRPr="00C72EA1">
        <w:rPr>
          <w:lang w:val="en-ZA"/>
        </w:rPr>
        <w:t xml:space="preserve">Moreno-Barriga, F., Díaz, V., Acosta, J.A., </w:t>
      </w:r>
      <w:proofErr w:type="spellStart"/>
      <w:r w:rsidRPr="00C72EA1">
        <w:rPr>
          <w:lang w:val="en-ZA"/>
        </w:rPr>
        <w:t>Muňoz</w:t>
      </w:r>
      <w:proofErr w:type="spellEnd"/>
      <w:r w:rsidRPr="00C72EA1">
        <w:rPr>
          <w:lang w:val="en-ZA"/>
        </w:rPr>
        <w:t xml:space="preserve">, M.Á., Faz, Á. &amp; </w:t>
      </w:r>
      <w:proofErr w:type="spellStart"/>
      <w:r w:rsidRPr="00C72EA1">
        <w:rPr>
          <w:lang w:val="en-ZA"/>
        </w:rPr>
        <w:t>Zornoza</w:t>
      </w:r>
      <w:proofErr w:type="spellEnd"/>
      <w:r w:rsidRPr="00C72EA1">
        <w:rPr>
          <w:lang w:val="en-ZA"/>
        </w:rPr>
        <w:t>, R</w:t>
      </w:r>
      <w:r>
        <w:rPr>
          <w:lang w:val="en-ZA"/>
        </w:rPr>
        <w:t>, 2017.</w:t>
      </w:r>
      <w:r w:rsidRPr="00C72EA1">
        <w:rPr>
          <w:lang w:val="en-ZA"/>
        </w:rPr>
        <w:t xml:space="preserve"> Creation of </w:t>
      </w:r>
      <w:proofErr w:type="spellStart"/>
      <w:r w:rsidRPr="00C72EA1">
        <w:rPr>
          <w:lang w:val="en-ZA"/>
        </w:rPr>
        <w:t>technosols</w:t>
      </w:r>
      <w:proofErr w:type="spellEnd"/>
      <w:r w:rsidRPr="00C72EA1">
        <w:rPr>
          <w:lang w:val="en-ZA"/>
        </w:rPr>
        <w:t xml:space="preserve"> to decrease metal availability in pyritic tailings with addition of biochar and marble waste. </w:t>
      </w:r>
      <w:r w:rsidRPr="00C72EA1">
        <w:rPr>
          <w:i/>
          <w:iCs/>
          <w:lang w:val="en-ZA"/>
        </w:rPr>
        <w:t xml:space="preserve">Land Degradation &amp; Development, </w:t>
      </w:r>
      <w:r w:rsidRPr="00C72EA1">
        <w:rPr>
          <w:lang w:val="en-ZA"/>
        </w:rPr>
        <w:t>28: 1943-195</w:t>
      </w:r>
      <w:r>
        <w:rPr>
          <w:lang w:val="en-ZA"/>
        </w:rPr>
        <w:t>1.</w:t>
      </w:r>
    </w:p>
    <w:p w14:paraId="67D3DD6B" w14:textId="72F6C93F" w:rsidR="00981C62" w:rsidRPr="00981C62" w:rsidRDefault="00981C62" w:rsidP="00981C62">
      <w:pPr>
        <w:pStyle w:val="CETReferencetext"/>
        <w:rPr>
          <w:lang w:val="en-ZA"/>
        </w:rPr>
      </w:pPr>
      <w:proofErr w:type="spellStart"/>
      <w:r w:rsidRPr="00981C62">
        <w:rPr>
          <w:lang w:val="en-ZA"/>
        </w:rPr>
        <w:t>Parbhakar</w:t>
      </w:r>
      <w:proofErr w:type="spellEnd"/>
      <w:r w:rsidRPr="00981C62">
        <w:rPr>
          <w:lang w:val="en-ZA"/>
        </w:rPr>
        <w:t xml:space="preserve">-Fox, A. </w:t>
      </w:r>
      <w:proofErr w:type="spellStart"/>
      <w:r w:rsidRPr="00981C62">
        <w:rPr>
          <w:lang w:val="en-ZA"/>
        </w:rPr>
        <w:t>Lottermoser</w:t>
      </w:r>
      <w:proofErr w:type="spellEnd"/>
      <w:r w:rsidRPr="00981C62">
        <w:rPr>
          <w:lang w:val="en-ZA"/>
        </w:rPr>
        <w:t>, B.G</w:t>
      </w:r>
      <w:r w:rsidR="00131258">
        <w:rPr>
          <w:lang w:val="en-ZA"/>
        </w:rPr>
        <w:t>,</w:t>
      </w:r>
      <w:r w:rsidRPr="00981C62">
        <w:rPr>
          <w:lang w:val="en-ZA"/>
        </w:rPr>
        <w:t xml:space="preserve"> 2015</w:t>
      </w:r>
      <w:r w:rsidR="00CD064D">
        <w:rPr>
          <w:lang w:val="en-ZA"/>
        </w:rPr>
        <w:t>.</w:t>
      </w:r>
      <w:r w:rsidRPr="00981C62">
        <w:rPr>
          <w:lang w:val="en-ZA"/>
        </w:rPr>
        <w:t xml:space="preserve"> A critical review of acid rock drainage prediction methods and practices. Minerals Engineering, 82: 107-124. </w:t>
      </w:r>
    </w:p>
    <w:p w14:paraId="45E23BBF" w14:textId="31C1DDBA" w:rsidR="00981C62" w:rsidRDefault="00981C62" w:rsidP="00981C62">
      <w:pPr>
        <w:pStyle w:val="CETReferencetext"/>
        <w:rPr>
          <w:lang w:val="en-ZA"/>
        </w:rPr>
      </w:pPr>
      <w:r w:rsidRPr="00981C62">
        <w:rPr>
          <w:lang w:val="en-ZA"/>
        </w:rPr>
        <w:t xml:space="preserve">Rokia, S., </w:t>
      </w:r>
      <w:proofErr w:type="spellStart"/>
      <w:r w:rsidRPr="00981C62">
        <w:rPr>
          <w:lang w:val="en-ZA"/>
        </w:rPr>
        <w:t>Séré</w:t>
      </w:r>
      <w:proofErr w:type="spellEnd"/>
      <w:r w:rsidRPr="00981C62">
        <w:rPr>
          <w:lang w:val="en-ZA"/>
        </w:rPr>
        <w:t>, G., Schwartz, C., Deeb, M., Fournier, F., Nehls, T., Damas, O., Vidal-Beaudet, L.</w:t>
      </w:r>
      <w:r w:rsidR="00514E5B">
        <w:rPr>
          <w:lang w:val="en-ZA"/>
        </w:rPr>
        <w:t>,</w:t>
      </w:r>
      <w:r w:rsidRPr="00981C62">
        <w:rPr>
          <w:lang w:val="en-ZA"/>
        </w:rPr>
        <w:t xml:space="preserve"> 2014</w:t>
      </w:r>
      <w:r w:rsidR="00CD064D">
        <w:rPr>
          <w:lang w:val="en-ZA"/>
        </w:rPr>
        <w:t>.</w:t>
      </w:r>
      <w:r w:rsidRPr="00981C62">
        <w:rPr>
          <w:lang w:val="en-ZA"/>
        </w:rPr>
        <w:t xml:space="preserve"> Modelling agronomic properties of </w:t>
      </w:r>
      <w:proofErr w:type="spellStart"/>
      <w:r w:rsidRPr="00981C62">
        <w:rPr>
          <w:lang w:val="en-ZA"/>
        </w:rPr>
        <w:t>Technosols</w:t>
      </w:r>
      <w:proofErr w:type="spellEnd"/>
      <w:r w:rsidRPr="00981C62">
        <w:rPr>
          <w:lang w:val="en-ZA"/>
        </w:rPr>
        <w:t xml:space="preserve"> constructed with urban wastes. Waste Management, 34:   2155-2162. </w:t>
      </w:r>
    </w:p>
    <w:p w14:paraId="11F1B403" w14:textId="0FFEC1DD" w:rsidR="00C72EA1" w:rsidRPr="00981C62" w:rsidRDefault="00C72EA1" w:rsidP="00C72EA1">
      <w:pPr>
        <w:pStyle w:val="CETReferencetext"/>
        <w:rPr>
          <w:lang w:val="en-ZA"/>
        </w:rPr>
      </w:pPr>
      <w:r w:rsidRPr="00C72EA1">
        <w:rPr>
          <w:lang w:val="en-ZA"/>
        </w:rPr>
        <w:t>Santini, T.C., &amp; Fey, M.V</w:t>
      </w:r>
      <w:r>
        <w:rPr>
          <w:lang w:val="en-ZA"/>
        </w:rPr>
        <w:t>,</w:t>
      </w:r>
      <w:r w:rsidRPr="00C72EA1">
        <w:rPr>
          <w:lang w:val="en-ZA"/>
        </w:rPr>
        <w:t xml:space="preserve"> 2018. From tailings to soil: long-term effects of amendments on progress and trajectory of soil formation and in situ remediation in bauxite residue. </w:t>
      </w:r>
      <w:r w:rsidRPr="00C72EA1">
        <w:rPr>
          <w:i/>
          <w:iCs/>
          <w:lang w:val="en-ZA"/>
        </w:rPr>
        <w:t>Journal of Soils and Sediments,</w:t>
      </w:r>
      <w:r w:rsidRPr="00C72EA1">
        <w:rPr>
          <w:lang w:val="en-ZA"/>
        </w:rPr>
        <w:t xml:space="preserve">18(5): 1935-1949.  </w:t>
      </w:r>
    </w:p>
    <w:p w14:paraId="131ADB1E" w14:textId="1453A625" w:rsidR="00981C62" w:rsidRPr="00981C62" w:rsidRDefault="00981C62" w:rsidP="00981C62">
      <w:pPr>
        <w:pStyle w:val="CETReferencetext"/>
        <w:rPr>
          <w:lang w:val="en-ZA"/>
        </w:rPr>
      </w:pPr>
      <w:r w:rsidRPr="00981C62">
        <w:rPr>
          <w:lang w:val="en-ZA"/>
        </w:rPr>
        <w:t>Schad, P.</w:t>
      </w:r>
      <w:r w:rsidR="00514E5B">
        <w:rPr>
          <w:lang w:val="en-ZA"/>
        </w:rPr>
        <w:t>,</w:t>
      </w:r>
      <w:r w:rsidRPr="00981C62">
        <w:rPr>
          <w:lang w:val="en-ZA"/>
        </w:rPr>
        <w:t xml:space="preserve"> 2018</w:t>
      </w:r>
      <w:r w:rsidR="00CD064D">
        <w:rPr>
          <w:lang w:val="en-ZA"/>
        </w:rPr>
        <w:t>.</w:t>
      </w:r>
      <w:r w:rsidRPr="00981C62">
        <w:rPr>
          <w:lang w:val="en-ZA"/>
        </w:rPr>
        <w:t xml:space="preserve"> </w:t>
      </w:r>
      <w:proofErr w:type="spellStart"/>
      <w:r w:rsidRPr="00981C62">
        <w:rPr>
          <w:lang w:val="en-ZA"/>
        </w:rPr>
        <w:t>Technosols</w:t>
      </w:r>
      <w:proofErr w:type="spellEnd"/>
      <w:r w:rsidRPr="00981C62">
        <w:rPr>
          <w:lang w:val="en-ZA"/>
        </w:rPr>
        <w:t xml:space="preserve"> in the World Reference Base for Soil Resources – history and definitions. Soil Science and Plant Nutrition</w:t>
      </w:r>
      <w:r w:rsidRPr="00981C62">
        <w:rPr>
          <w:i/>
          <w:iCs/>
          <w:lang w:val="en-ZA"/>
        </w:rPr>
        <w:t xml:space="preserve">, </w:t>
      </w:r>
      <w:r w:rsidRPr="00981C62">
        <w:rPr>
          <w:lang w:val="en-ZA"/>
        </w:rPr>
        <w:t>64(2): 138-144.</w:t>
      </w:r>
    </w:p>
    <w:p w14:paraId="0854C161" w14:textId="77777777" w:rsidR="00981C62" w:rsidRPr="00981C62" w:rsidRDefault="00981C62" w:rsidP="00981C62">
      <w:pPr>
        <w:pStyle w:val="CETReferencetext"/>
        <w:rPr>
          <w:lang w:val="en-ZA"/>
        </w:rPr>
      </w:pPr>
      <w:r w:rsidRPr="00981C62">
        <w:rPr>
          <w:lang w:val="en-ZA"/>
        </w:rPr>
        <w:t xml:space="preserve">Shanmugasundaram, R., Jeyalakshmi, T., </w:t>
      </w:r>
      <w:proofErr w:type="spellStart"/>
      <w:r w:rsidRPr="00981C62">
        <w:rPr>
          <w:lang w:val="en-ZA"/>
        </w:rPr>
        <w:t>Sweatha</w:t>
      </w:r>
      <w:proofErr w:type="spellEnd"/>
      <w:r w:rsidRPr="00981C62">
        <w:rPr>
          <w:lang w:val="en-ZA"/>
        </w:rPr>
        <w:t xml:space="preserve">, S.M., </w:t>
      </w:r>
      <w:proofErr w:type="spellStart"/>
      <w:r w:rsidRPr="00981C62">
        <w:rPr>
          <w:lang w:val="en-ZA"/>
        </w:rPr>
        <w:t>Saravanam</w:t>
      </w:r>
      <w:proofErr w:type="spellEnd"/>
      <w:r w:rsidRPr="00981C62">
        <w:rPr>
          <w:lang w:val="en-ZA"/>
        </w:rPr>
        <w:t xml:space="preserve">, M., </w:t>
      </w:r>
      <w:proofErr w:type="spellStart"/>
      <w:r w:rsidRPr="00981C62">
        <w:rPr>
          <w:lang w:val="en-ZA"/>
        </w:rPr>
        <w:t>Goparaju</w:t>
      </w:r>
      <w:proofErr w:type="spellEnd"/>
      <w:r w:rsidRPr="00981C62">
        <w:rPr>
          <w:lang w:val="en-ZA"/>
        </w:rPr>
        <w:t xml:space="preserve">, A. &amp; Murthy, P.M 2014. Coco peat – An alternative artificial soil ingredient for the earthworm toxicity testing. Journal of Toxicology and Environmental Health Sciences, 6(1): 5-12. </w:t>
      </w:r>
    </w:p>
    <w:p w14:paraId="368B518C" w14:textId="3AA3FDFD" w:rsidR="00981C62" w:rsidRPr="00981C62" w:rsidRDefault="00981C62" w:rsidP="00981C62">
      <w:pPr>
        <w:pStyle w:val="CETReferencetext"/>
        <w:rPr>
          <w:lang w:val="en-ZA"/>
        </w:rPr>
      </w:pPr>
      <w:r w:rsidRPr="00981C62">
        <w:rPr>
          <w:lang w:val="en-ZA"/>
        </w:rPr>
        <w:t>The Non-Affiliated Soil Analyses Work Committee</w:t>
      </w:r>
      <w:r w:rsidR="00131258" w:rsidRPr="00131258">
        <w:rPr>
          <w:lang w:val="en-ZA"/>
        </w:rPr>
        <w:t>,</w:t>
      </w:r>
      <w:r w:rsidRPr="00981C62">
        <w:rPr>
          <w:lang w:val="en-ZA"/>
        </w:rPr>
        <w:t xml:space="preserve"> 1990</w:t>
      </w:r>
      <w:r w:rsidR="00CD064D">
        <w:rPr>
          <w:lang w:val="en-ZA"/>
        </w:rPr>
        <w:t>.</w:t>
      </w:r>
      <w:r w:rsidRPr="00981C62">
        <w:rPr>
          <w:lang w:val="en-ZA"/>
        </w:rPr>
        <w:t xml:space="preserve"> Handbook of standard soil testing</w:t>
      </w:r>
      <w:r w:rsidRPr="00981C62">
        <w:rPr>
          <w:i/>
          <w:iCs/>
          <w:lang w:val="en-ZA"/>
        </w:rPr>
        <w:t xml:space="preserve"> </w:t>
      </w:r>
      <w:r w:rsidRPr="00981C62">
        <w:rPr>
          <w:lang w:val="en-ZA"/>
        </w:rPr>
        <w:t>methods for advisory purposes. Pretoria: Soil Science Society of South Africa.</w:t>
      </w:r>
    </w:p>
    <w:p w14:paraId="19C44140" w14:textId="26A199B4" w:rsidR="00981C62" w:rsidRPr="00981C62" w:rsidRDefault="00981C62" w:rsidP="00981C62">
      <w:pPr>
        <w:pStyle w:val="CETReferencetext"/>
        <w:rPr>
          <w:lang w:val="en-ZA"/>
        </w:rPr>
      </w:pPr>
      <w:r w:rsidRPr="00981C62">
        <w:rPr>
          <w:lang w:val="en-ZA"/>
        </w:rPr>
        <w:t>Wilson, M.J.</w:t>
      </w:r>
      <w:r w:rsidR="00514E5B">
        <w:rPr>
          <w:lang w:val="en-ZA"/>
        </w:rPr>
        <w:t>,</w:t>
      </w:r>
      <w:r w:rsidRPr="00981C62">
        <w:rPr>
          <w:lang w:val="en-ZA"/>
        </w:rPr>
        <w:t xml:space="preserve"> 2020</w:t>
      </w:r>
      <w:r w:rsidR="00514E5B">
        <w:rPr>
          <w:lang w:val="en-ZA"/>
        </w:rPr>
        <w:t>,</w:t>
      </w:r>
      <w:r w:rsidRPr="00981C62">
        <w:rPr>
          <w:lang w:val="en-ZA"/>
        </w:rPr>
        <w:t xml:space="preserve"> Dissolution and formation of quartz in soil environment: a review. </w:t>
      </w:r>
      <w:r w:rsidRPr="00981C62">
        <w:rPr>
          <w:i/>
          <w:iCs/>
          <w:lang w:val="en-ZA"/>
        </w:rPr>
        <w:t>Soil Science Annual,</w:t>
      </w:r>
      <w:r w:rsidRPr="00981C62">
        <w:rPr>
          <w:lang w:val="en-ZA"/>
        </w:rPr>
        <w:t xml:space="preserve"> 71(2), 99-110</w:t>
      </w:r>
      <w:r w:rsidR="00514E5B">
        <w:rPr>
          <w:lang w:val="en-ZA"/>
        </w:rPr>
        <w:t>.</w:t>
      </w:r>
    </w:p>
    <w:p w14:paraId="1908027A" w14:textId="627C316C" w:rsidR="00981C62" w:rsidRPr="00981C62" w:rsidRDefault="00981C62" w:rsidP="00981C62">
      <w:pPr>
        <w:pStyle w:val="CETReferencetext"/>
        <w:rPr>
          <w:lang w:val="en-ZA"/>
        </w:rPr>
      </w:pPr>
      <w:r w:rsidRPr="00981C62">
        <w:rPr>
          <w:lang w:val="en-ZA"/>
        </w:rPr>
        <w:t>Yang, C., Tang Y., Kang, H., Gou, M. &amp; Yu, X.</w:t>
      </w:r>
      <w:r w:rsidR="00514E5B">
        <w:rPr>
          <w:lang w:val="en-ZA"/>
        </w:rPr>
        <w:t>,</w:t>
      </w:r>
      <w:r w:rsidRPr="00981C62">
        <w:rPr>
          <w:lang w:val="en-ZA"/>
        </w:rPr>
        <w:t xml:space="preserve"> 2021</w:t>
      </w:r>
      <w:r w:rsidR="00CD064D">
        <w:rPr>
          <w:lang w:val="en-ZA"/>
        </w:rPr>
        <w:t>.</w:t>
      </w:r>
      <w:r w:rsidRPr="00981C62">
        <w:rPr>
          <w:lang w:val="en-ZA"/>
        </w:rPr>
        <w:t xml:space="preserve"> Occurrence of minerals in coal and its geological controlling factors-significance in evaluation of coal washability. American Chemical Society</w:t>
      </w:r>
      <w:r w:rsidRPr="00981C62">
        <w:rPr>
          <w:i/>
          <w:iCs/>
          <w:lang w:val="en-ZA"/>
        </w:rPr>
        <w:t xml:space="preserve">, </w:t>
      </w:r>
      <w:r w:rsidRPr="00981C62">
        <w:rPr>
          <w:lang w:val="en-ZA"/>
        </w:rPr>
        <w:t>6, 24362-24376.</w:t>
      </w:r>
    </w:p>
    <w:p w14:paraId="639C4A40" w14:textId="77777777" w:rsidR="00981C62" w:rsidRDefault="00981C62" w:rsidP="006B4888">
      <w:pPr>
        <w:pStyle w:val="CETReferencetext"/>
      </w:pPr>
    </w:p>
    <w:p w14:paraId="19C4FC68" w14:textId="77777777" w:rsidR="004628D2" w:rsidRDefault="004628D2" w:rsidP="00FA5F5F">
      <w:pPr>
        <w:pStyle w:val="CETHeading1"/>
        <w:numPr>
          <w:ilvl w:val="0"/>
          <w:numId w:val="0"/>
        </w:numPr>
      </w:pPr>
    </w:p>
    <w:sectPr w:rsidR="004628D2" w:rsidSect="00E370C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7F14" w14:textId="77777777" w:rsidR="00E370C8" w:rsidRDefault="00E370C8" w:rsidP="004F5E36">
      <w:r>
        <w:separator/>
      </w:r>
    </w:p>
  </w:endnote>
  <w:endnote w:type="continuationSeparator" w:id="0">
    <w:p w14:paraId="10DF6696" w14:textId="77777777" w:rsidR="00E370C8" w:rsidRDefault="00E370C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F6F1" w14:textId="77777777" w:rsidR="00E370C8" w:rsidRDefault="00E370C8" w:rsidP="004F5E36">
      <w:r>
        <w:separator/>
      </w:r>
    </w:p>
  </w:footnote>
  <w:footnote w:type="continuationSeparator" w:id="0">
    <w:p w14:paraId="4593D154" w14:textId="77777777" w:rsidR="00E370C8" w:rsidRDefault="00E370C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70C90"/>
    <w:multiLevelType w:val="hybridMultilevel"/>
    <w:tmpl w:val="2DB870F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0375751">
    <w:abstractNumId w:val="11"/>
  </w:num>
  <w:num w:numId="2" w16cid:durableId="1217200749">
    <w:abstractNumId w:val="8"/>
  </w:num>
  <w:num w:numId="3" w16cid:durableId="2125806464">
    <w:abstractNumId w:val="3"/>
  </w:num>
  <w:num w:numId="4" w16cid:durableId="1782260815">
    <w:abstractNumId w:val="2"/>
  </w:num>
  <w:num w:numId="5" w16cid:durableId="703600823">
    <w:abstractNumId w:val="1"/>
  </w:num>
  <w:num w:numId="6" w16cid:durableId="322465560">
    <w:abstractNumId w:val="0"/>
  </w:num>
  <w:num w:numId="7" w16cid:durableId="2129425810">
    <w:abstractNumId w:val="9"/>
  </w:num>
  <w:num w:numId="8" w16cid:durableId="880825861">
    <w:abstractNumId w:val="7"/>
  </w:num>
  <w:num w:numId="9" w16cid:durableId="1371689903">
    <w:abstractNumId w:val="6"/>
  </w:num>
  <w:num w:numId="10" w16cid:durableId="501160276">
    <w:abstractNumId w:val="5"/>
  </w:num>
  <w:num w:numId="11" w16cid:durableId="2054964866">
    <w:abstractNumId w:val="4"/>
  </w:num>
  <w:num w:numId="12" w16cid:durableId="503857611">
    <w:abstractNumId w:val="18"/>
  </w:num>
  <w:num w:numId="13" w16cid:durableId="678889093">
    <w:abstractNumId w:val="13"/>
  </w:num>
  <w:num w:numId="14" w16cid:durableId="1797290006">
    <w:abstractNumId w:val="19"/>
  </w:num>
  <w:num w:numId="15" w16cid:durableId="615911583">
    <w:abstractNumId w:val="21"/>
  </w:num>
  <w:num w:numId="16" w16cid:durableId="638415071">
    <w:abstractNumId w:val="20"/>
  </w:num>
  <w:num w:numId="17" w16cid:durableId="949362447">
    <w:abstractNumId w:val="12"/>
  </w:num>
  <w:num w:numId="18" w16cid:durableId="671298762">
    <w:abstractNumId w:val="13"/>
    <w:lvlOverride w:ilvl="0">
      <w:startOverride w:val="1"/>
    </w:lvlOverride>
  </w:num>
  <w:num w:numId="19" w16cid:durableId="1920630331">
    <w:abstractNumId w:val="17"/>
  </w:num>
  <w:num w:numId="20" w16cid:durableId="930551828">
    <w:abstractNumId w:val="16"/>
  </w:num>
  <w:num w:numId="21" w16cid:durableId="1169366085">
    <w:abstractNumId w:val="15"/>
  </w:num>
  <w:num w:numId="22" w16cid:durableId="2106995225">
    <w:abstractNumId w:val="14"/>
  </w:num>
  <w:num w:numId="23" w16cid:durableId="2049529501">
    <w:abstractNumId w:val="10"/>
  </w:num>
  <w:num w:numId="24" w16cid:durableId="218320571">
    <w:abstractNumId w:val="11"/>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96F83"/>
    <w:rsid w:val="000A03B2"/>
    <w:rsid w:val="000D0268"/>
    <w:rsid w:val="000D34BE"/>
    <w:rsid w:val="000D3E5F"/>
    <w:rsid w:val="000E102F"/>
    <w:rsid w:val="000E36F1"/>
    <w:rsid w:val="000E3A73"/>
    <w:rsid w:val="000E414A"/>
    <w:rsid w:val="000F093C"/>
    <w:rsid w:val="000F787B"/>
    <w:rsid w:val="00102F4A"/>
    <w:rsid w:val="0012091F"/>
    <w:rsid w:val="00126BC2"/>
    <w:rsid w:val="00126E2B"/>
    <w:rsid w:val="001308B6"/>
    <w:rsid w:val="0013121F"/>
    <w:rsid w:val="00131258"/>
    <w:rsid w:val="00131FE6"/>
    <w:rsid w:val="0013263F"/>
    <w:rsid w:val="001331DF"/>
    <w:rsid w:val="00134DE4"/>
    <w:rsid w:val="0014034D"/>
    <w:rsid w:val="00144D16"/>
    <w:rsid w:val="00150E59"/>
    <w:rsid w:val="00152DE3"/>
    <w:rsid w:val="00156F74"/>
    <w:rsid w:val="00160B5B"/>
    <w:rsid w:val="00164CF9"/>
    <w:rsid w:val="001667A6"/>
    <w:rsid w:val="00184AD6"/>
    <w:rsid w:val="001A4AF7"/>
    <w:rsid w:val="001B0349"/>
    <w:rsid w:val="001B1E93"/>
    <w:rsid w:val="001B65C1"/>
    <w:rsid w:val="001C5BC7"/>
    <w:rsid w:val="001C684B"/>
    <w:rsid w:val="001D0CFB"/>
    <w:rsid w:val="001D21AF"/>
    <w:rsid w:val="001D53FC"/>
    <w:rsid w:val="001F42A5"/>
    <w:rsid w:val="001F7B9D"/>
    <w:rsid w:val="00201C93"/>
    <w:rsid w:val="002174B6"/>
    <w:rsid w:val="002224B4"/>
    <w:rsid w:val="002447EF"/>
    <w:rsid w:val="00251550"/>
    <w:rsid w:val="00260DEC"/>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1114E"/>
    <w:rsid w:val="00321CA6"/>
    <w:rsid w:val="00323763"/>
    <w:rsid w:val="00323C5F"/>
    <w:rsid w:val="00334C09"/>
    <w:rsid w:val="0036448B"/>
    <w:rsid w:val="003723D4"/>
    <w:rsid w:val="00381905"/>
    <w:rsid w:val="00384CC8"/>
    <w:rsid w:val="003871FD"/>
    <w:rsid w:val="003A1E30"/>
    <w:rsid w:val="003A2829"/>
    <w:rsid w:val="003A33D7"/>
    <w:rsid w:val="003A6FC6"/>
    <w:rsid w:val="003A7D1C"/>
    <w:rsid w:val="003B304B"/>
    <w:rsid w:val="003B3146"/>
    <w:rsid w:val="003B4AA3"/>
    <w:rsid w:val="003F015E"/>
    <w:rsid w:val="00400414"/>
    <w:rsid w:val="00413F1F"/>
    <w:rsid w:val="0041446B"/>
    <w:rsid w:val="0043285E"/>
    <w:rsid w:val="0044071E"/>
    <w:rsid w:val="0044329C"/>
    <w:rsid w:val="00453E24"/>
    <w:rsid w:val="00457456"/>
    <w:rsid w:val="004577FE"/>
    <w:rsid w:val="00457B9C"/>
    <w:rsid w:val="0046164A"/>
    <w:rsid w:val="004628D2"/>
    <w:rsid w:val="00462DCD"/>
    <w:rsid w:val="004648AD"/>
    <w:rsid w:val="00470339"/>
    <w:rsid w:val="004703A9"/>
    <w:rsid w:val="004760DE"/>
    <w:rsid w:val="004761E9"/>
    <w:rsid w:val="004763D7"/>
    <w:rsid w:val="004A004E"/>
    <w:rsid w:val="004A24CF"/>
    <w:rsid w:val="004B03E9"/>
    <w:rsid w:val="004C3D1D"/>
    <w:rsid w:val="004C3D84"/>
    <w:rsid w:val="004C7913"/>
    <w:rsid w:val="004D3327"/>
    <w:rsid w:val="004E4DD6"/>
    <w:rsid w:val="004F5E36"/>
    <w:rsid w:val="00507B47"/>
    <w:rsid w:val="00507BEF"/>
    <w:rsid w:val="00507CC9"/>
    <w:rsid w:val="005119A5"/>
    <w:rsid w:val="00514E5B"/>
    <w:rsid w:val="00516AAC"/>
    <w:rsid w:val="0052588D"/>
    <w:rsid w:val="005278B7"/>
    <w:rsid w:val="00532016"/>
    <w:rsid w:val="005346C8"/>
    <w:rsid w:val="00534C31"/>
    <w:rsid w:val="00543E7D"/>
    <w:rsid w:val="00547A68"/>
    <w:rsid w:val="005531C9"/>
    <w:rsid w:val="00570C43"/>
    <w:rsid w:val="00585CE8"/>
    <w:rsid w:val="005B2110"/>
    <w:rsid w:val="005B2F9A"/>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837F9"/>
    <w:rsid w:val="00693766"/>
    <w:rsid w:val="006A3281"/>
    <w:rsid w:val="006B4888"/>
    <w:rsid w:val="006C2E45"/>
    <w:rsid w:val="006C359C"/>
    <w:rsid w:val="006C5579"/>
    <w:rsid w:val="006D6E8B"/>
    <w:rsid w:val="006E737D"/>
    <w:rsid w:val="007017CE"/>
    <w:rsid w:val="00713973"/>
    <w:rsid w:val="00720A24"/>
    <w:rsid w:val="00723169"/>
    <w:rsid w:val="00732386"/>
    <w:rsid w:val="0073514D"/>
    <w:rsid w:val="007447F3"/>
    <w:rsid w:val="0075499F"/>
    <w:rsid w:val="007661C8"/>
    <w:rsid w:val="0077098D"/>
    <w:rsid w:val="007931FA"/>
    <w:rsid w:val="00797C5E"/>
    <w:rsid w:val="007A4861"/>
    <w:rsid w:val="007A7BBA"/>
    <w:rsid w:val="007B0C50"/>
    <w:rsid w:val="007B48F9"/>
    <w:rsid w:val="007C1A43"/>
    <w:rsid w:val="007C3CEC"/>
    <w:rsid w:val="007D0951"/>
    <w:rsid w:val="0080013E"/>
    <w:rsid w:val="00806E8F"/>
    <w:rsid w:val="00813288"/>
    <w:rsid w:val="008168FC"/>
    <w:rsid w:val="00830996"/>
    <w:rsid w:val="008345F1"/>
    <w:rsid w:val="00843EAC"/>
    <w:rsid w:val="0084459A"/>
    <w:rsid w:val="00865B07"/>
    <w:rsid w:val="008667EA"/>
    <w:rsid w:val="0087637F"/>
    <w:rsid w:val="00892AD5"/>
    <w:rsid w:val="008A1512"/>
    <w:rsid w:val="008B7C03"/>
    <w:rsid w:val="008C174A"/>
    <w:rsid w:val="008D32B9"/>
    <w:rsid w:val="008D433B"/>
    <w:rsid w:val="008D4A16"/>
    <w:rsid w:val="008E566E"/>
    <w:rsid w:val="008F13D9"/>
    <w:rsid w:val="0090161A"/>
    <w:rsid w:val="00901EB6"/>
    <w:rsid w:val="00904C62"/>
    <w:rsid w:val="00917C12"/>
    <w:rsid w:val="00922BA8"/>
    <w:rsid w:val="009234E6"/>
    <w:rsid w:val="00924DAC"/>
    <w:rsid w:val="00927058"/>
    <w:rsid w:val="0093334F"/>
    <w:rsid w:val="00942750"/>
    <w:rsid w:val="009450CE"/>
    <w:rsid w:val="009459BB"/>
    <w:rsid w:val="00947179"/>
    <w:rsid w:val="0095164B"/>
    <w:rsid w:val="0095199C"/>
    <w:rsid w:val="00954090"/>
    <w:rsid w:val="009573E7"/>
    <w:rsid w:val="00963E05"/>
    <w:rsid w:val="00964844"/>
    <w:rsid w:val="00964A45"/>
    <w:rsid w:val="00967843"/>
    <w:rsid w:val="00967D54"/>
    <w:rsid w:val="00971028"/>
    <w:rsid w:val="00981C62"/>
    <w:rsid w:val="00993B84"/>
    <w:rsid w:val="00996483"/>
    <w:rsid w:val="00996F5A"/>
    <w:rsid w:val="009B041A"/>
    <w:rsid w:val="009B7D29"/>
    <w:rsid w:val="009C37C3"/>
    <w:rsid w:val="009C7C86"/>
    <w:rsid w:val="009D2FF7"/>
    <w:rsid w:val="009E7884"/>
    <w:rsid w:val="009E788A"/>
    <w:rsid w:val="009F0E08"/>
    <w:rsid w:val="00A1763D"/>
    <w:rsid w:val="00A17CEC"/>
    <w:rsid w:val="00A27EF0"/>
    <w:rsid w:val="00A42361"/>
    <w:rsid w:val="00A430B6"/>
    <w:rsid w:val="00A50B20"/>
    <w:rsid w:val="00A51390"/>
    <w:rsid w:val="00A60D13"/>
    <w:rsid w:val="00A71C3A"/>
    <w:rsid w:val="00A7223D"/>
    <w:rsid w:val="00A72745"/>
    <w:rsid w:val="00A76EFC"/>
    <w:rsid w:val="00A87D50"/>
    <w:rsid w:val="00A91010"/>
    <w:rsid w:val="00A91C97"/>
    <w:rsid w:val="00A97F29"/>
    <w:rsid w:val="00AA702E"/>
    <w:rsid w:val="00AA7D26"/>
    <w:rsid w:val="00AB0964"/>
    <w:rsid w:val="00AB11DB"/>
    <w:rsid w:val="00AB5011"/>
    <w:rsid w:val="00AC13F4"/>
    <w:rsid w:val="00AC7368"/>
    <w:rsid w:val="00AD16B9"/>
    <w:rsid w:val="00AE377D"/>
    <w:rsid w:val="00AF0EBA"/>
    <w:rsid w:val="00B00EB0"/>
    <w:rsid w:val="00B011BD"/>
    <w:rsid w:val="00B02C8A"/>
    <w:rsid w:val="00B17FBD"/>
    <w:rsid w:val="00B315A6"/>
    <w:rsid w:val="00B31813"/>
    <w:rsid w:val="00B33365"/>
    <w:rsid w:val="00B57B36"/>
    <w:rsid w:val="00B57E6F"/>
    <w:rsid w:val="00B70479"/>
    <w:rsid w:val="00B8686D"/>
    <w:rsid w:val="00B86B49"/>
    <w:rsid w:val="00B93F69"/>
    <w:rsid w:val="00BB1DDC"/>
    <w:rsid w:val="00BB3515"/>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2EA1"/>
    <w:rsid w:val="00C75407"/>
    <w:rsid w:val="00C77A10"/>
    <w:rsid w:val="00C870A8"/>
    <w:rsid w:val="00C94434"/>
    <w:rsid w:val="00CA0D4A"/>
    <w:rsid w:val="00CA0D75"/>
    <w:rsid w:val="00CA1C95"/>
    <w:rsid w:val="00CA5A9C"/>
    <w:rsid w:val="00CC4C20"/>
    <w:rsid w:val="00CC6416"/>
    <w:rsid w:val="00CD064D"/>
    <w:rsid w:val="00CD3517"/>
    <w:rsid w:val="00CD5FE2"/>
    <w:rsid w:val="00CE7C68"/>
    <w:rsid w:val="00D02B4C"/>
    <w:rsid w:val="00D040C4"/>
    <w:rsid w:val="00D20AD1"/>
    <w:rsid w:val="00D24F81"/>
    <w:rsid w:val="00D341DA"/>
    <w:rsid w:val="00D375A7"/>
    <w:rsid w:val="00D46B7E"/>
    <w:rsid w:val="00D57C84"/>
    <w:rsid w:val="00D6057D"/>
    <w:rsid w:val="00D648EC"/>
    <w:rsid w:val="00D71640"/>
    <w:rsid w:val="00D73518"/>
    <w:rsid w:val="00D836C5"/>
    <w:rsid w:val="00D84576"/>
    <w:rsid w:val="00D9465D"/>
    <w:rsid w:val="00DA1399"/>
    <w:rsid w:val="00DA24C6"/>
    <w:rsid w:val="00DA3F30"/>
    <w:rsid w:val="00DA4D7B"/>
    <w:rsid w:val="00DB2F8B"/>
    <w:rsid w:val="00DB4217"/>
    <w:rsid w:val="00DD271C"/>
    <w:rsid w:val="00DE237D"/>
    <w:rsid w:val="00DE264A"/>
    <w:rsid w:val="00DF5072"/>
    <w:rsid w:val="00E02D18"/>
    <w:rsid w:val="00E041E7"/>
    <w:rsid w:val="00E23CA1"/>
    <w:rsid w:val="00E33DD7"/>
    <w:rsid w:val="00E370C8"/>
    <w:rsid w:val="00E409A8"/>
    <w:rsid w:val="00E50C12"/>
    <w:rsid w:val="00E65B91"/>
    <w:rsid w:val="00E7209D"/>
    <w:rsid w:val="00E72EAD"/>
    <w:rsid w:val="00E77223"/>
    <w:rsid w:val="00E8528B"/>
    <w:rsid w:val="00E85B94"/>
    <w:rsid w:val="00E90A7E"/>
    <w:rsid w:val="00E95CC2"/>
    <w:rsid w:val="00E978D0"/>
    <w:rsid w:val="00EA4613"/>
    <w:rsid w:val="00EA7F91"/>
    <w:rsid w:val="00EB1523"/>
    <w:rsid w:val="00EC0E49"/>
    <w:rsid w:val="00EC101F"/>
    <w:rsid w:val="00EC1D9F"/>
    <w:rsid w:val="00EE0131"/>
    <w:rsid w:val="00EE17B0"/>
    <w:rsid w:val="00EE18DF"/>
    <w:rsid w:val="00EF06D9"/>
    <w:rsid w:val="00F03116"/>
    <w:rsid w:val="00F3049E"/>
    <w:rsid w:val="00F30C64"/>
    <w:rsid w:val="00F32BA2"/>
    <w:rsid w:val="00F32CDB"/>
    <w:rsid w:val="00F512B4"/>
    <w:rsid w:val="00F565FE"/>
    <w:rsid w:val="00F62ADD"/>
    <w:rsid w:val="00F63A70"/>
    <w:rsid w:val="00F63D8C"/>
    <w:rsid w:val="00F7534E"/>
    <w:rsid w:val="00F93EDF"/>
    <w:rsid w:val="00FA1802"/>
    <w:rsid w:val="00FA21D0"/>
    <w:rsid w:val="00FA5F5F"/>
    <w:rsid w:val="00FB730C"/>
    <w:rsid w:val="00FC0F2D"/>
    <w:rsid w:val="00FC2695"/>
    <w:rsid w:val="00FC3E03"/>
    <w:rsid w:val="00FC3FC1"/>
    <w:rsid w:val="00FC5070"/>
    <w:rsid w:val="00FD3D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EE18DF"/>
    <w:rPr>
      <w:color w:val="605E5C"/>
      <w:shd w:val="clear" w:color="auto" w:fill="E1DFDD"/>
    </w:rPr>
  </w:style>
  <w:style w:type="paragraph" w:customStyle="1" w:styleId="TablesLeft">
    <w:name w:val="Tables Left"/>
    <w:basedOn w:val="NoSpacing"/>
    <w:link w:val="TablesLeftChar"/>
    <w:autoRedefine/>
    <w:qFormat/>
    <w:rsid w:val="00FD3D94"/>
    <w:pPr>
      <w:keepNext/>
      <w:tabs>
        <w:tab w:val="clear" w:pos="7100"/>
      </w:tabs>
      <w:jc w:val="left"/>
    </w:pPr>
    <w:rPr>
      <w:rFonts w:asciiTheme="minorHAnsi" w:eastAsiaTheme="minorHAnsi" w:hAnsiTheme="minorHAnsi" w:cstheme="minorBidi"/>
      <w:bCs/>
      <w:color w:val="2E2E2E"/>
      <w:sz w:val="20"/>
      <w:lang w:val="en-ZA"/>
    </w:rPr>
  </w:style>
  <w:style w:type="character" w:customStyle="1" w:styleId="TablesLeftChar">
    <w:name w:val="Tables Left Char"/>
    <w:basedOn w:val="DefaultParagraphFont"/>
    <w:link w:val="TablesLeft"/>
    <w:rsid w:val="00FD3D94"/>
    <w:rPr>
      <w:bCs/>
      <w:color w:val="2E2E2E"/>
      <w:sz w:val="20"/>
      <w:szCs w:val="20"/>
      <w:lang w:val="en-ZA"/>
    </w:rPr>
  </w:style>
  <w:style w:type="character" w:customStyle="1" w:styleId="TablesCentreChar">
    <w:name w:val="Tables Centre Char"/>
    <w:basedOn w:val="DefaultParagraphFont"/>
    <w:link w:val="TablesCentre"/>
    <w:locked/>
    <w:rsid w:val="00FD3D94"/>
    <w:rPr>
      <w:color w:val="2E2E2E"/>
      <w:sz w:val="18"/>
      <w:szCs w:val="18"/>
      <w:lang w:eastAsia="en-ZA"/>
    </w:rPr>
  </w:style>
  <w:style w:type="paragraph" w:customStyle="1" w:styleId="TablesCentre">
    <w:name w:val="Tables Centre"/>
    <w:basedOn w:val="NoSpacing"/>
    <w:link w:val="TablesCentreChar"/>
    <w:autoRedefine/>
    <w:qFormat/>
    <w:rsid w:val="00FD3D94"/>
    <w:pPr>
      <w:keepNext/>
      <w:tabs>
        <w:tab w:val="clear" w:pos="7100"/>
      </w:tabs>
      <w:jc w:val="center"/>
    </w:pPr>
    <w:rPr>
      <w:rFonts w:asciiTheme="minorHAnsi" w:eastAsiaTheme="minorHAnsi" w:hAnsiTheme="minorHAnsi" w:cstheme="minorBidi"/>
      <w:color w:val="2E2E2E"/>
      <w:szCs w:val="18"/>
      <w:lang w:val="it-IT" w:eastAsia="en-ZA"/>
    </w:rPr>
  </w:style>
  <w:style w:type="paragraph" w:styleId="NoSpacing">
    <w:name w:val="No Spacing"/>
    <w:uiPriority w:val="1"/>
    <w:qFormat/>
    <w:rsid w:val="00FD3D94"/>
    <w:pPr>
      <w:tabs>
        <w:tab w:val="right" w:pos="7100"/>
      </w:tabs>
      <w:spacing w:after="0" w:line="240" w:lineRule="auto"/>
      <w:jc w:val="both"/>
    </w:pPr>
    <w:rPr>
      <w:rFonts w:ascii="Arial" w:eastAsia="Times New Roman" w:hAnsi="Arial" w:cs="Times New Roman"/>
      <w:sz w:val="18"/>
      <w:szCs w:val="20"/>
      <w:lang w:val="en-GB"/>
    </w:rPr>
  </w:style>
  <w:style w:type="character" w:styleId="FollowedHyperlink">
    <w:name w:val="FollowedHyperlink"/>
    <w:basedOn w:val="DefaultParagraphFont"/>
    <w:uiPriority w:val="99"/>
    <w:semiHidden/>
    <w:unhideWhenUsed/>
    <w:rsid w:val="0084459A"/>
    <w:rPr>
      <w:color w:val="800080" w:themeColor="followedHyperlink"/>
      <w:u w:val="single"/>
    </w:rPr>
  </w:style>
  <w:style w:type="table" w:styleId="PlainTable2">
    <w:name w:val="Plain Table 2"/>
    <w:basedOn w:val="TableNormal"/>
    <w:uiPriority w:val="42"/>
    <w:rsid w:val="00DE237D"/>
    <w:pPr>
      <w:spacing w:after="0" w:line="240" w:lineRule="auto"/>
    </w:pPr>
    <w:rPr>
      <w:lang w:val="en-Z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13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5989">
      <w:bodyDiv w:val="1"/>
      <w:marLeft w:val="0"/>
      <w:marRight w:val="0"/>
      <w:marTop w:val="0"/>
      <w:marBottom w:val="0"/>
      <w:divBdr>
        <w:top w:val="none" w:sz="0" w:space="0" w:color="auto"/>
        <w:left w:val="none" w:sz="0" w:space="0" w:color="auto"/>
        <w:bottom w:val="none" w:sz="0" w:space="0" w:color="auto"/>
        <w:right w:val="none" w:sz="0" w:space="0" w:color="auto"/>
      </w:divBdr>
    </w:div>
    <w:div w:id="139520245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sv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78FB-B4F8-41C7-A0A3-E3DA65B5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Pages>
  <Words>3467</Words>
  <Characters>19768</Characters>
  <Application>Microsoft Office Word</Application>
  <DocSecurity>0</DocSecurity>
  <Lines>164</Lines>
  <Paragraphs>46</Paragraphs>
  <ScaleCrop>false</ScaleCrop>
  <HeadingPairs>
    <vt:vector size="6" baseType="variant">
      <vt:variant>
        <vt:lpstr>Title</vt:lpstr>
      </vt:variant>
      <vt:variant>
        <vt:i4>1</vt:i4>
      </vt:variant>
      <vt:variant>
        <vt:lpstr>Headings</vt:lpstr>
      </vt:variant>
      <vt:variant>
        <vt:i4>1</vt:i4>
      </vt:variant>
      <vt:variant>
        <vt:lpstr>Titolo</vt:lpstr>
      </vt:variant>
      <vt:variant>
        <vt:i4>1</vt:i4>
      </vt:variant>
    </vt:vector>
  </HeadingPairs>
  <TitlesOfParts>
    <vt:vector size="3" baseType="lpstr">
      <vt:lpstr/>
      <vt:lpstr>The Influence of Different Amendments in Parental Materials in Early Development</vt:lpstr>
      <vt:lpstr/>
    </vt:vector>
  </TitlesOfParts>
  <Company>Dipartimento CMIC - Politecnico di Milano</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Andani Mphinyane</cp:lastModifiedBy>
  <cp:revision>2</cp:revision>
  <cp:lastPrinted>2015-05-12T18:31:00Z</cp:lastPrinted>
  <dcterms:created xsi:type="dcterms:W3CDTF">2024-03-27T22:28:00Z</dcterms:created>
  <dcterms:modified xsi:type="dcterms:W3CDTF">2024-03-27T22:28:00Z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