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869D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A05F02F"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723169">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869D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869DD">
        <w:trPr>
          <w:trHeight w:val="68"/>
          <w:jc w:val="center"/>
        </w:trPr>
        <w:tc>
          <w:tcPr>
            <w:tcW w:w="8782" w:type="dxa"/>
            <w:gridSpan w:val="2"/>
          </w:tcPr>
          <w:p w14:paraId="1D8DD3C9" w14:textId="46661ED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843EAC">
              <w:rPr>
                <w:rFonts w:ascii="Tahoma" w:hAnsi="Tahoma" w:cs="Tahoma"/>
                <w:color w:val="000000"/>
                <w:sz w:val="14"/>
                <w:szCs w:val="14"/>
                <w:shd w:val="clear" w:color="auto" w:fill="FFFFFF"/>
                <w:lang w:val="it-IT"/>
              </w:rPr>
              <w:t>Marco Bravi, Antonio Marzocchella, Giuseppe Caputo</w:t>
            </w:r>
          </w:p>
          <w:p w14:paraId="1B0F1814" w14:textId="62155F0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723169">
              <w:rPr>
                <w:rFonts w:ascii="Tahoma" w:hAnsi="Tahoma" w:cs="Tahoma"/>
                <w:sz w:val="14"/>
                <w:szCs w:val="14"/>
              </w:rPr>
              <w:t>10-6</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3937619" w:rsidR="00E978D0" w:rsidRPr="00A869DD" w:rsidRDefault="00A869DD" w:rsidP="00E978D0">
      <w:pPr>
        <w:pStyle w:val="CETTitle"/>
        <w:rPr>
          <w:rFonts w:cs="Arial"/>
        </w:rPr>
      </w:pPr>
      <w:r w:rsidRPr="00A869DD">
        <w:rPr>
          <w:rFonts w:cs="Arial"/>
          <w:szCs w:val="32"/>
          <w:lang w:val="en-US"/>
        </w:rPr>
        <w:t>Biogas production from mesophilic anaerobic digestion to treat lignocellulosic wastes in mezcal production</w:t>
      </w:r>
    </w:p>
    <w:p w14:paraId="5A931511" w14:textId="1F73D685" w:rsidR="00A869DD" w:rsidRDefault="00A869DD" w:rsidP="00A869DD">
      <w:pPr>
        <w:pStyle w:val="CETAuthors"/>
        <w:rPr>
          <w:sz w:val="22"/>
          <w:lang w:val="es-MX"/>
        </w:rPr>
      </w:pPr>
      <w:r w:rsidRPr="003A7825">
        <w:rPr>
          <w:lang w:val="es-MX"/>
        </w:rPr>
        <w:t>Pope-Cortez J.E.</w:t>
      </w:r>
      <w:r w:rsidR="00434E05">
        <w:rPr>
          <w:vertAlign w:val="superscript"/>
          <w:lang w:val="es-MX"/>
        </w:rPr>
        <w:t>a</w:t>
      </w:r>
      <w:r w:rsidRPr="003A7825">
        <w:rPr>
          <w:lang w:val="es-MX"/>
        </w:rPr>
        <w:t>, Martínez-Roldán, A.J.</w:t>
      </w:r>
      <w:r w:rsidR="00434E05">
        <w:rPr>
          <w:vertAlign w:val="superscript"/>
          <w:lang w:val="es-MX"/>
        </w:rPr>
        <w:t>b</w:t>
      </w:r>
      <w:r w:rsidRPr="003A7825">
        <w:rPr>
          <w:lang w:val="es-MX"/>
        </w:rPr>
        <w:t>, Valencia-Vázquez, R.</w:t>
      </w:r>
      <w:r w:rsidR="00434E05">
        <w:rPr>
          <w:vertAlign w:val="superscript"/>
          <w:lang w:val="es-MX"/>
        </w:rPr>
        <w:t>b</w:t>
      </w:r>
      <w:r w:rsidRPr="003A7825">
        <w:rPr>
          <w:lang w:val="es-MX"/>
        </w:rPr>
        <w:t>, Valle-Cervantes, S.</w:t>
      </w:r>
      <w:r w:rsidR="00434E05">
        <w:rPr>
          <w:vertAlign w:val="superscript"/>
          <w:lang w:val="es-MX"/>
        </w:rPr>
        <w:t>a</w:t>
      </w:r>
      <w:r w:rsidRPr="003A7825">
        <w:rPr>
          <w:lang w:val="es-MX"/>
        </w:rPr>
        <w:t>, Contreras-Hernández, M.G.</w:t>
      </w:r>
      <w:r w:rsidRPr="003A7825">
        <w:rPr>
          <w:vertAlign w:val="superscript"/>
          <w:lang w:val="es-MX"/>
        </w:rPr>
        <w:t xml:space="preserve"> </w:t>
      </w:r>
      <w:r w:rsidR="00434E05">
        <w:rPr>
          <w:vertAlign w:val="superscript"/>
          <w:lang w:val="es-MX"/>
        </w:rPr>
        <w:t>a</w:t>
      </w:r>
      <w:r w:rsidRPr="003A7825">
        <w:rPr>
          <w:lang w:val="es-MX"/>
        </w:rPr>
        <w:t>, Rodríguez-Rosales, M.D.J.</w:t>
      </w:r>
      <w:r w:rsidR="00434E05">
        <w:rPr>
          <w:vertAlign w:val="superscript"/>
          <w:lang w:val="es-MX"/>
        </w:rPr>
        <w:t>a</w:t>
      </w:r>
      <w:r w:rsidRPr="003A7825">
        <w:rPr>
          <w:vertAlign w:val="superscript"/>
          <w:lang w:val="es-MX"/>
        </w:rPr>
        <w:t>*</w:t>
      </w:r>
    </w:p>
    <w:p w14:paraId="579C0BF5" w14:textId="0D71549B" w:rsidR="00A869DD" w:rsidRPr="003A7825" w:rsidRDefault="00434E05" w:rsidP="00A869DD">
      <w:pPr>
        <w:pStyle w:val="CETAddress"/>
        <w:rPr>
          <w:lang w:val="es-MX"/>
        </w:rPr>
      </w:pPr>
      <w:r>
        <w:rPr>
          <w:vertAlign w:val="superscript"/>
          <w:lang w:val="es-MX"/>
        </w:rPr>
        <w:t>a</w:t>
      </w:r>
      <w:r w:rsidR="00A869DD" w:rsidRPr="003A7825">
        <w:rPr>
          <w:lang w:val="es-MX"/>
        </w:rPr>
        <w:t>Tecnológico Nacional de México/Instituto Tecnológico de Durango</w:t>
      </w:r>
      <w:r w:rsidR="00D81DA4">
        <w:rPr>
          <w:lang w:val="es-MX"/>
        </w:rPr>
        <w:t>.</w:t>
      </w:r>
      <w:r w:rsidR="00216E00">
        <w:rPr>
          <w:lang w:val="es-MX"/>
        </w:rPr>
        <w:t xml:space="preserve"> </w:t>
      </w:r>
      <w:r w:rsidR="00D81DA4">
        <w:rPr>
          <w:lang w:val="es-MX"/>
        </w:rPr>
        <w:t>Maestria en Sistemas ambientale.</w:t>
      </w:r>
      <w:r w:rsidR="00216E00">
        <w:rPr>
          <w:lang w:val="es-MX"/>
        </w:rPr>
        <w:t xml:space="preserve"> </w:t>
      </w:r>
      <w:r w:rsidR="00D81DA4">
        <w:rPr>
          <w:lang w:val="es-MX"/>
        </w:rPr>
        <w:t>División de Estudios de Posgrado e Investigación</w:t>
      </w:r>
      <w:r w:rsidR="00A869DD" w:rsidRPr="003A7825">
        <w:rPr>
          <w:lang w:val="es-MX"/>
        </w:rPr>
        <w:t>, México</w:t>
      </w:r>
    </w:p>
    <w:p w14:paraId="1883AD98" w14:textId="30FAA27A" w:rsidR="00A869DD" w:rsidRPr="003A7825" w:rsidRDefault="00434E05" w:rsidP="00A869DD">
      <w:pPr>
        <w:pStyle w:val="CETAddress"/>
        <w:rPr>
          <w:lang w:val="es-MX"/>
        </w:rPr>
      </w:pPr>
      <w:r>
        <w:rPr>
          <w:vertAlign w:val="superscript"/>
          <w:lang w:val="es-MX"/>
        </w:rPr>
        <w:t>b</w:t>
      </w:r>
      <w:r w:rsidR="00A869DD" w:rsidRPr="003A7825">
        <w:rPr>
          <w:lang w:val="es-MX"/>
        </w:rPr>
        <w:t>CONAC</w:t>
      </w:r>
      <w:r w:rsidR="00D81DA4">
        <w:rPr>
          <w:lang w:val="es-MX"/>
        </w:rPr>
        <w:t>H</w:t>
      </w:r>
      <w:r w:rsidR="00A869DD" w:rsidRPr="003A7825">
        <w:rPr>
          <w:lang w:val="es-MX"/>
        </w:rPr>
        <w:t>yT, TecNM, Tecnológico Nacional de México</w:t>
      </w:r>
      <w:r w:rsidR="00D81DA4">
        <w:rPr>
          <w:lang w:val="es-MX"/>
        </w:rPr>
        <w:t>/</w:t>
      </w:r>
      <w:r w:rsidR="00A869DD" w:rsidRPr="003A7825">
        <w:rPr>
          <w:lang w:val="es-MX"/>
        </w:rPr>
        <w:t xml:space="preserve"> IT de Durango</w:t>
      </w:r>
      <w:r w:rsidR="00216E00">
        <w:rPr>
          <w:lang w:val="es-MX"/>
        </w:rPr>
        <w:t>.</w:t>
      </w:r>
      <w:r w:rsidR="00A869DD" w:rsidRPr="003A7825">
        <w:rPr>
          <w:lang w:val="es-MX"/>
        </w:rPr>
        <w:t xml:space="preserve"> </w:t>
      </w:r>
      <w:r w:rsidR="00D81DA4">
        <w:rPr>
          <w:lang w:val="es-MX"/>
        </w:rPr>
        <w:t>Maestria en Sistemas ambientales.</w:t>
      </w:r>
      <w:r w:rsidR="00D81DA4" w:rsidRPr="00D81DA4">
        <w:rPr>
          <w:lang w:val="es-MX"/>
        </w:rPr>
        <w:t xml:space="preserve"> </w:t>
      </w:r>
      <w:r w:rsidR="00D81DA4">
        <w:rPr>
          <w:lang w:val="es-MX"/>
        </w:rPr>
        <w:t>División de Estudios de Posgrado e Investigación</w:t>
      </w:r>
      <w:r w:rsidR="00D81DA4" w:rsidRPr="003A7825">
        <w:rPr>
          <w:lang w:val="es-MX"/>
        </w:rPr>
        <w:t xml:space="preserve">, </w:t>
      </w:r>
      <w:r w:rsidR="00A869DD" w:rsidRPr="003A7825">
        <w:rPr>
          <w:lang w:val="es-MX"/>
        </w:rPr>
        <w:t>México</w:t>
      </w:r>
    </w:p>
    <w:p w14:paraId="73F1267A" w14:textId="30ECEE24" w:rsidR="00B57E6F" w:rsidRPr="00B57B36" w:rsidRDefault="00B62419" w:rsidP="00B57E6F">
      <w:pPr>
        <w:pStyle w:val="CETemail"/>
      </w:pPr>
      <w:r>
        <w:t>mdjoserr@itdurango.edu.mx</w:t>
      </w:r>
    </w:p>
    <w:p w14:paraId="1A23594C" w14:textId="7A70E631" w:rsidR="00DA3E7D" w:rsidRPr="00DA3E7D" w:rsidRDefault="00DA3E7D" w:rsidP="00B62419">
      <w:pPr>
        <w:pStyle w:val="CETHeading1"/>
        <w:numPr>
          <w:ilvl w:val="0"/>
          <w:numId w:val="0"/>
        </w:numPr>
        <w:jc w:val="both"/>
        <w:rPr>
          <w:lang w:val="en-GB"/>
        </w:rPr>
      </w:pPr>
      <w:r w:rsidRPr="00DA3E7D">
        <w:rPr>
          <w:b w:val="0"/>
          <w:sz w:val="18"/>
          <w:lang w:val="en-GB"/>
        </w:rPr>
        <w:t>Vinasse and bagasse are residues from the production of mezcal, an alcoholic beverage. Treating these wastes is very important to avoid the contamination of water bodies and soils by their discharge into the environment. One of the processes to treat this type of waste is anaerobic digestion. In this study, mesophilic anaerobic digestions were carried out with different organic loads and a retention time of 30 days, where bagasse was thermally pretreated to decrease cellulose crystallization and reduce lignin content, which is highly resistant to chemical, biological, and enzymatic degradation, constituting a barrier for cellulose utilization during the process such as enzymatic hydrolysis and subsequent fermentation. The process carried out with a lower bagasse proportion of 5% resulted in a more significant reduction of COD, SSV, and a methane percentage of 70%, 49%, and 63%, respectively, while maintaining a pH between 6 and 7.5 and an alkalinity of 2</w:t>
      </w:r>
      <w:r w:rsidR="00570351">
        <w:rPr>
          <w:b w:val="0"/>
          <w:sz w:val="18"/>
          <w:lang w:val="en-GB"/>
        </w:rPr>
        <w:t>,</w:t>
      </w:r>
      <w:r w:rsidRPr="00DA3E7D">
        <w:rPr>
          <w:b w:val="0"/>
          <w:sz w:val="18"/>
          <w:lang w:val="en-GB"/>
        </w:rPr>
        <w:t>000 mg/L. These results indicate that the process was not inhibited when the content of bagasse was low, reaching the methanogenesis stage in the anaerobic digestion.</w:t>
      </w:r>
    </w:p>
    <w:p w14:paraId="476B2F2E" w14:textId="0D0F2C4E" w:rsidR="00600535" w:rsidRPr="00B57B36" w:rsidRDefault="00600535" w:rsidP="00600535">
      <w:pPr>
        <w:pStyle w:val="CETHeading1"/>
        <w:rPr>
          <w:lang w:val="en-GB"/>
        </w:rPr>
      </w:pPr>
      <w:r w:rsidRPr="00B57B36">
        <w:rPr>
          <w:lang w:val="en-GB"/>
        </w:rPr>
        <w:t>Introduction</w:t>
      </w:r>
    </w:p>
    <w:p w14:paraId="240C8715" w14:textId="013D9983" w:rsidR="00C75FD6" w:rsidRDefault="00C75FD6" w:rsidP="00570351">
      <w:pPr>
        <w:pStyle w:val="CETHeading1"/>
        <w:numPr>
          <w:ilvl w:val="0"/>
          <w:numId w:val="0"/>
        </w:numPr>
        <w:jc w:val="both"/>
        <w:rPr>
          <w:b w:val="0"/>
          <w:sz w:val="18"/>
        </w:rPr>
      </w:pPr>
      <w:r w:rsidRPr="00C75FD6">
        <w:rPr>
          <w:b w:val="0"/>
          <w:sz w:val="18"/>
        </w:rPr>
        <w:t>Currently, the circular economy is of great importance, and it requires the valorization of second-generation raw materials, such as lignocellulosic biomasses. Lignocellulosic biomasses are promising resources for obtaining biofuels; their characteristics influence the energy efficiency of anaerobic digestion and the process operation mode. However, in most cases, it is necessary to apply pretreatments to these lignocellulosic biomasses by physical, chemical, and biological means before being subjected to processes for obtaining biofuels and energy (Yee et al., 2017).</w:t>
      </w:r>
    </w:p>
    <w:p w14:paraId="489803EE" w14:textId="6E3990DD" w:rsidR="002E339B" w:rsidRDefault="002E339B" w:rsidP="00570351">
      <w:pPr>
        <w:pStyle w:val="CETHeading1"/>
        <w:numPr>
          <w:ilvl w:val="0"/>
          <w:numId w:val="0"/>
        </w:numPr>
        <w:jc w:val="both"/>
        <w:rPr>
          <w:b w:val="0"/>
          <w:sz w:val="18"/>
        </w:rPr>
      </w:pPr>
      <w:r w:rsidRPr="002E339B">
        <w:rPr>
          <w:b w:val="0"/>
          <w:sz w:val="18"/>
        </w:rPr>
        <w:t>Mexico is rich in natural resources that are transformed into different products by industry, such as alcoholic beverages like mezcal. These processes generate waste that contaminates water bodies and soils due to the lack of treatment for proper disposal. The agricultural industry contributes most to anthropogenic methane emissions and other gases, producing around 32% of methane worldwide. This industrial sector produces alcoholic beverages. It uses agave plantations and has contributed to being an essential source of economic, social, and ecological benefits for the population. Unfortunately, the lack of management and disposal of waste, such as stalks, bagasse, and vinasse, causes contamination of rivers and soils and deteriorates them due to their low pH. The decomposition of waste, such as stalks and bagasse, generates methane released into the atmosphere and contributes to climate change. Therefore, these environmental and sanitary problems must be solved due to their adverse effects on the communities where these activities are carried out.</w:t>
      </w:r>
    </w:p>
    <w:p w14:paraId="1F2108D6" w14:textId="487B988C" w:rsidR="00DA3E7D" w:rsidRPr="00570351" w:rsidRDefault="00DA3E7D" w:rsidP="00570351">
      <w:pPr>
        <w:pStyle w:val="CETHeading1"/>
        <w:numPr>
          <w:ilvl w:val="0"/>
          <w:numId w:val="0"/>
        </w:numPr>
        <w:jc w:val="both"/>
        <w:rPr>
          <w:b w:val="0"/>
          <w:sz w:val="18"/>
        </w:rPr>
      </w:pPr>
      <w:r w:rsidRPr="00570351">
        <w:rPr>
          <w:b w:val="0"/>
          <w:sz w:val="18"/>
        </w:rPr>
        <w:t xml:space="preserve">Mezcal production units are called "vinatas" in traditional or artisanal technology. The state of Durango, Mexico, is one of the top five agave-based beverage producers in the country, with the municipality of Nombre de Dios </w:t>
      </w:r>
      <w:r w:rsidRPr="00570351">
        <w:rPr>
          <w:b w:val="0"/>
          <w:sz w:val="18"/>
        </w:rPr>
        <w:lastRenderedPageBreak/>
        <w:t>being the most important in this industry. In this state, only wild populations of Agave duranguensis are used, particularly in the municipalities of Nombre de Dios, Súchil, and Durango (Colmenero et al., 2011).</w:t>
      </w:r>
    </w:p>
    <w:p w14:paraId="515CB71C" w14:textId="77777777" w:rsidR="00DA3E7D" w:rsidRPr="00570351" w:rsidRDefault="00DA3E7D" w:rsidP="00570351">
      <w:pPr>
        <w:pStyle w:val="CETHeading1"/>
        <w:numPr>
          <w:ilvl w:val="0"/>
          <w:numId w:val="0"/>
        </w:numPr>
        <w:jc w:val="both"/>
        <w:rPr>
          <w:b w:val="0"/>
          <w:sz w:val="18"/>
        </w:rPr>
      </w:pPr>
      <w:r w:rsidRPr="00570351">
        <w:rPr>
          <w:b w:val="0"/>
          <w:sz w:val="18"/>
        </w:rPr>
        <w:t>All these wastes can be treated through anaerobic digestion to obtain by-products that can be used, such as the case of biogas, which is a type of bioenergy that can replace familiar energy sources, especially in isolated rural areas where access to electricity is limited (Kashyap et al., 2003). Specific bacteria carry out this type of anaerobic fermentation, and in addition to biogas, a stabilized biosolid is obtained (Campos et al., 2012). The substrates that are treated in anaerobic digestion must be prepared in such a way that microorganisms can easily digest them, hence the importance of subjecting the lignocellulosic product of bagasse to pretreatment before the hydrolysis stage to delignify the biomass and increase the accessibility of cellulose, thus improving bioconversion (Abraham, 2020; Yoo, 2020). These pretreatments will help the anaerobic digestion process be carried out in a shorter time; however, operating conditions such as retention time and temperature influence the process.</w:t>
      </w:r>
    </w:p>
    <w:p w14:paraId="179742CA" w14:textId="738800F0" w:rsidR="00DA3E7D" w:rsidRPr="00DA3E7D" w:rsidRDefault="00DA3E7D" w:rsidP="00570351">
      <w:pPr>
        <w:pStyle w:val="CETHeading1"/>
        <w:numPr>
          <w:ilvl w:val="0"/>
          <w:numId w:val="0"/>
        </w:numPr>
        <w:jc w:val="both"/>
      </w:pPr>
      <w:r w:rsidRPr="00570351">
        <w:rPr>
          <w:b w:val="0"/>
          <w:sz w:val="18"/>
        </w:rPr>
        <w:t xml:space="preserve">This research applied a mesophilic anaerobic digestion process to treat vinasse and bagasse of Agave </w:t>
      </w:r>
      <w:proofErr w:type="spellStart"/>
      <w:r w:rsidR="004B0F4B">
        <w:rPr>
          <w:b w:val="0"/>
          <w:sz w:val="18"/>
        </w:rPr>
        <w:t>d</w:t>
      </w:r>
      <w:r w:rsidRPr="00570351">
        <w:rPr>
          <w:b w:val="0"/>
          <w:sz w:val="18"/>
        </w:rPr>
        <w:t>urangensis</w:t>
      </w:r>
      <w:proofErr w:type="spellEnd"/>
      <w:r w:rsidRPr="00570351">
        <w:rPr>
          <w:b w:val="0"/>
          <w:sz w:val="18"/>
        </w:rPr>
        <w:t xml:space="preserve"> from the mezcal industry with an activated sludge inoculum. The bagasse and vinasse residues were pretreated thermally and chemically, respectively. Digestions with a lower organic load of bagasse resulted in higher methane percentages</w:t>
      </w:r>
      <w:r w:rsidRPr="00710C00">
        <w:rPr>
          <w:b w:val="0"/>
          <w:sz w:val="18"/>
        </w:rPr>
        <w:t>.</w:t>
      </w:r>
    </w:p>
    <w:p w14:paraId="344C09EB" w14:textId="6FDE6E2B" w:rsidR="005A4915" w:rsidRDefault="005A4915" w:rsidP="00DA3E7D">
      <w:pPr>
        <w:pStyle w:val="CETHeading1"/>
      </w:pPr>
      <w:r w:rsidRPr="005A4915">
        <w:t xml:space="preserve">Materials </w:t>
      </w:r>
      <w:r w:rsidR="00710C00">
        <w:t>and</w:t>
      </w:r>
      <w:r w:rsidRPr="005A4915">
        <w:t xml:space="preserve"> m</w:t>
      </w:r>
      <w:r w:rsidR="007C1C82">
        <w:t>e</w:t>
      </w:r>
      <w:r w:rsidRPr="005A4915">
        <w:t>t</w:t>
      </w:r>
      <w:r w:rsidR="007C1C82">
        <w:t>h</w:t>
      </w:r>
      <w:r w:rsidRPr="005A4915">
        <w:t>ods</w:t>
      </w:r>
    </w:p>
    <w:p w14:paraId="64255CBA" w14:textId="406C2505" w:rsidR="005A4915" w:rsidRPr="00710C00" w:rsidRDefault="005A4915" w:rsidP="005A4915">
      <w:pPr>
        <w:rPr>
          <w:lang w:val="en-US"/>
        </w:rPr>
      </w:pPr>
      <w:r w:rsidRPr="00710C00">
        <w:rPr>
          <w:lang w:val="en-US"/>
        </w:rPr>
        <w:t>2.1 Materials</w:t>
      </w:r>
    </w:p>
    <w:p w14:paraId="08297E7F" w14:textId="6E8E7323" w:rsidR="007C1C82" w:rsidRDefault="00D977A0" w:rsidP="005A4915">
      <w:pPr>
        <w:rPr>
          <w:lang w:val="es-MX"/>
        </w:rPr>
      </w:pPr>
      <w:r w:rsidRPr="00570351">
        <w:rPr>
          <w:lang w:val="en-US"/>
        </w:rPr>
        <w:t xml:space="preserve">The substrates of vinasse and bagasse of Agave durangensis were sampled from a local winery in Nombre de Dios, Durango. Using a Felisa model, FE-396 autoclave for bagasse pretreatment at a temperature of 120 °C, a mixture of sodium hydroxide, carbonate, and sodium bicarbonate was used for vinasse pretreatment until both pH's of 8 and 9 were reached. It was sampling the activated sludge inoculum from a biological wastewater treatment plant. </w:t>
      </w:r>
      <w:r w:rsidRPr="00D977A0">
        <w:rPr>
          <w:lang w:val="es-MX"/>
        </w:rPr>
        <w:t>Figure 1 shows the substrates used in this research.</w:t>
      </w:r>
    </w:p>
    <w:p w14:paraId="6848C235" w14:textId="77777777" w:rsidR="00D977A0" w:rsidRDefault="00D977A0" w:rsidP="005A4915">
      <w:pPr>
        <w:rPr>
          <w:lang w:val="es-MX"/>
        </w:rPr>
      </w:pPr>
    </w:p>
    <w:p w14:paraId="08633C0B" w14:textId="61459387" w:rsidR="005A4915" w:rsidRDefault="00126BFB" w:rsidP="005A4915">
      <w:pPr>
        <w:rPr>
          <w:lang w:val="es-MX"/>
        </w:rPr>
      </w:pPr>
      <w:r w:rsidRPr="00606CF0">
        <w:rPr>
          <w:noProof/>
          <w:lang w:val="es-MX"/>
        </w:rPr>
        <w:drawing>
          <wp:inline distT="0" distB="0" distL="0" distR="0" wp14:anchorId="3E1F0D01" wp14:editId="4842BB3A">
            <wp:extent cx="1243584" cy="1486235"/>
            <wp:effectExtent l="0" t="0" r="0" b="0"/>
            <wp:docPr id="1865688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88104" name=""/>
                    <pic:cNvPicPr/>
                  </pic:nvPicPr>
                  <pic:blipFill>
                    <a:blip r:embed="rId10"/>
                    <a:stretch>
                      <a:fillRect/>
                    </a:stretch>
                  </pic:blipFill>
                  <pic:spPr>
                    <a:xfrm>
                      <a:off x="0" y="0"/>
                      <a:ext cx="1248620" cy="1492253"/>
                    </a:xfrm>
                    <a:prstGeom prst="rect">
                      <a:avLst/>
                    </a:prstGeom>
                  </pic:spPr>
                </pic:pic>
              </a:graphicData>
            </a:graphic>
          </wp:inline>
        </w:drawing>
      </w:r>
      <w:r w:rsidR="00303371" w:rsidRPr="000E2C26">
        <w:rPr>
          <w:noProof/>
          <w:lang w:val="es-MX"/>
        </w:rPr>
        <w:drawing>
          <wp:inline distT="0" distB="0" distL="0" distR="0" wp14:anchorId="34657DE6" wp14:editId="349BA20B">
            <wp:extent cx="2509113" cy="1138751"/>
            <wp:effectExtent l="0" t="0" r="5715" b="4445"/>
            <wp:docPr id="361469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69604" name=""/>
                    <pic:cNvPicPr/>
                  </pic:nvPicPr>
                  <pic:blipFill>
                    <a:blip r:embed="rId11"/>
                    <a:stretch>
                      <a:fillRect/>
                    </a:stretch>
                  </pic:blipFill>
                  <pic:spPr>
                    <a:xfrm>
                      <a:off x="0" y="0"/>
                      <a:ext cx="2509545" cy="1138947"/>
                    </a:xfrm>
                    <a:prstGeom prst="rect">
                      <a:avLst/>
                    </a:prstGeom>
                  </pic:spPr>
                </pic:pic>
              </a:graphicData>
            </a:graphic>
          </wp:inline>
        </w:drawing>
      </w:r>
      <w:r w:rsidR="00303371">
        <w:rPr>
          <w:noProof/>
          <w14:ligatures w14:val="standardContextual"/>
        </w:rPr>
        <w:drawing>
          <wp:inline distT="0" distB="0" distL="0" distR="0" wp14:anchorId="45398612" wp14:editId="4AD94D2F">
            <wp:extent cx="998460" cy="959703"/>
            <wp:effectExtent l="317" t="0" r="0" b="0"/>
            <wp:docPr id="1595830473" name="Imagen 1" descr="Imagen que contiene interior, tabla, cubierto, lle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30473" name="Imagen 1" descr="Imagen que contiene interior, tabla, cubierto, llenado&#10;&#10;Descripción generada automáticamente"/>
                    <pic:cNvPicPr/>
                  </pic:nvPicPr>
                  <pic:blipFill rotWithShape="1">
                    <a:blip r:embed="rId12">
                      <a:extLst>
                        <a:ext uri="{28A0092B-C50C-407E-A947-70E740481C1C}">
                          <a14:useLocalDpi xmlns:a14="http://schemas.microsoft.com/office/drawing/2010/main" val="0"/>
                        </a:ext>
                      </a:extLst>
                    </a:blip>
                    <a:srcRect l="8188" t="464" r="45016" b="-464"/>
                    <a:stretch/>
                  </pic:blipFill>
                  <pic:spPr bwMode="auto">
                    <a:xfrm rot="5400000">
                      <a:off x="0" y="0"/>
                      <a:ext cx="1009503" cy="970317"/>
                    </a:xfrm>
                    <a:prstGeom prst="rect">
                      <a:avLst/>
                    </a:prstGeom>
                    <a:ln>
                      <a:noFill/>
                    </a:ln>
                    <a:extLst>
                      <a:ext uri="{53640926-AAD7-44D8-BBD7-CCE9431645EC}">
                        <a14:shadowObscured xmlns:a14="http://schemas.microsoft.com/office/drawing/2010/main"/>
                      </a:ext>
                    </a:extLst>
                  </pic:spPr>
                </pic:pic>
              </a:graphicData>
            </a:graphic>
          </wp:inline>
        </w:drawing>
      </w:r>
    </w:p>
    <w:p w14:paraId="151EA59D" w14:textId="67712DF8" w:rsidR="00303371" w:rsidRPr="00303371" w:rsidRDefault="00980636" w:rsidP="00980636">
      <w:pPr>
        <w:pStyle w:val="Prrafodelista"/>
        <w:numPr>
          <w:ilvl w:val="0"/>
          <w:numId w:val="24"/>
        </w:numPr>
        <w:tabs>
          <w:tab w:val="clear" w:pos="7100"/>
        </w:tabs>
        <w:ind w:hanging="1492"/>
        <w:rPr>
          <w:lang w:val="es-MX"/>
        </w:rPr>
      </w:pPr>
      <w:r>
        <w:rPr>
          <w:lang w:val="es-MX"/>
        </w:rPr>
        <w:t xml:space="preserve">      b)</w:t>
      </w:r>
      <w:r>
        <w:rPr>
          <w:lang w:val="es-MX"/>
        </w:rPr>
        <w:tab/>
      </w:r>
      <w:r>
        <w:rPr>
          <w:lang w:val="es-MX"/>
        </w:rPr>
        <w:tab/>
      </w:r>
      <w:r>
        <w:rPr>
          <w:lang w:val="es-MX"/>
        </w:rPr>
        <w:tab/>
      </w:r>
      <w:r>
        <w:rPr>
          <w:lang w:val="es-MX"/>
        </w:rPr>
        <w:tab/>
      </w:r>
      <w:r>
        <w:rPr>
          <w:lang w:val="es-MX"/>
        </w:rPr>
        <w:tab/>
        <w:t xml:space="preserve">     c)</w:t>
      </w:r>
    </w:p>
    <w:p w14:paraId="0D83724A" w14:textId="05933536" w:rsidR="0022186B" w:rsidRDefault="00292B1D" w:rsidP="005A4915">
      <w:pPr>
        <w:rPr>
          <w:i/>
          <w:iCs/>
          <w:lang w:val="en-US"/>
        </w:rPr>
      </w:pPr>
      <w:r w:rsidRPr="00C172BF">
        <w:rPr>
          <w:i/>
          <w:iCs/>
          <w:lang w:val="en-US"/>
        </w:rPr>
        <w:t>Figur</w:t>
      </w:r>
      <w:r w:rsidR="004822B6" w:rsidRPr="00C172BF">
        <w:rPr>
          <w:i/>
          <w:iCs/>
          <w:lang w:val="en-US"/>
        </w:rPr>
        <w:t>e</w:t>
      </w:r>
      <w:r w:rsidRPr="00C172BF">
        <w:rPr>
          <w:i/>
          <w:iCs/>
          <w:lang w:val="en-US"/>
        </w:rPr>
        <w:t xml:space="preserve"> </w:t>
      </w:r>
      <w:r w:rsidR="0037120F" w:rsidRPr="00C172BF">
        <w:rPr>
          <w:i/>
          <w:iCs/>
          <w:lang w:val="en-US"/>
        </w:rPr>
        <w:t>1:</w:t>
      </w:r>
      <w:r w:rsidRPr="00C172BF">
        <w:rPr>
          <w:i/>
          <w:iCs/>
          <w:lang w:val="en-US"/>
        </w:rPr>
        <w:t xml:space="preserve"> </w:t>
      </w:r>
      <w:r w:rsidR="00980636" w:rsidRPr="00C172BF">
        <w:rPr>
          <w:i/>
          <w:iCs/>
          <w:lang w:val="en-US"/>
        </w:rPr>
        <w:t xml:space="preserve">a) </w:t>
      </w:r>
      <w:r w:rsidR="00B764AE" w:rsidRPr="00C172BF">
        <w:rPr>
          <w:i/>
          <w:iCs/>
          <w:lang w:val="en-US"/>
        </w:rPr>
        <w:t>Substra</w:t>
      </w:r>
      <w:r w:rsidR="000A21B1" w:rsidRPr="00C172BF">
        <w:rPr>
          <w:i/>
          <w:iCs/>
          <w:lang w:val="en-US"/>
        </w:rPr>
        <w:t>t</w:t>
      </w:r>
      <w:r w:rsidR="00B764AE" w:rsidRPr="00C172BF">
        <w:rPr>
          <w:i/>
          <w:iCs/>
          <w:lang w:val="en-US"/>
        </w:rPr>
        <w:t>es</w:t>
      </w:r>
      <w:r w:rsidRPr="00C172BF">
        <w:rPr>
          <w:i/>
          <w:iCs/>
          <w:lang w:val="en-US"/>
        </w:rPr>
        <w:t xml:space="preserve"> </w:t>
      </w:r>
      <w:r w:rsidR="00B764AE" w:rsidRPr="00C172BF">
        <w:rPr>
          <w:i/>
          <w:iCs/>
          <w:lang w:val="en-US"/>
        </w:rPr>
        <w:t>of</w:t>
      </w:r>
      <w:r w:rsidRPr="00C172BF">
        <w:rPr>
          <w:i/>
          <w:iCs/>
          <w:lang w:val="en-US"/>
        </w:rPr>
        <w:t xml:space="preserve"> </w:t>
      </w:r>
      <w:r w:rsidR="00126BFB" w:rsidRPr="00C172BF">
        <w:rPr>
          <w:i/>
          <w:iCs/>
          <w:lang w:val="en-US"/>
        </w:rPr>
        <w:t>baga</w:t>
      </w:r>
      <w:r w:rsidR="00B764AE" w:rsidRPr="00C172BF">
        <w:rPr>
          <w:i/>
          <w:iCs/>
          <w:lang w:val="en-US"/>
        </w:rPr>
        <w:t>sse</w:t>
      </w:r>
      <w:r w:rsidR="00126BFB" w:rsidRPr="00C172BF">
        <w:rPr>
          <w:i/>
          <w:iCs/>
          <w:lang w:val="en-US"/>
        </w:rPr>
        <w:t xml:space="preserve">, </w:t>
      </w:r>
      <w:r w:rsidRPr="00C172BF">
        <w:rPr>
          <w:i/>
          <w:iCs/>
          <w:lang w:val="en-US"/>
        </w:rPr>
        <w:t>vina</w:t>
      </w:r>
      <w:r w:rsidR="00B764AE" w:rsidRPr="00C172BF">
        <w:rPr>
          <w:i/>
          <w:iCs/>
          <w:lang w:val="en-US"/>
        </w:rPr>
        <w:t>sse and activated sludge</w:t>
      </w:r>
      <w:r w:rsidR="00980636" w:rsidRPr="00C172BF">
        <w:rPr>
          <w:i/>
          <w:iCs/>
          <w:lang w:val="en-US"/>
        </w:rPr>
        <w:t xml:space="preserve">, </w:t>
      </w:r>
      <w:proofErr w:type="gramStart"/>
      <w:r w:rsidR="00980636" w:rsidRPr="00C172BF">
        <w:rPr>
          <w:i/>
          <w:iCs/>
          <w:lang w:val="en-US"/>
        </w:rPr>
        <w:t>b )</w:t>
      </w:r>
      <w:proofErr w:type="gramEnd"/>
      <w:r w:rsidR="00967CA7" w:rsidRPr="00C172BF">
        <w:rPr>
          <w:i/>
          <w:iCs/>
          <w:lang w:val="en-US"/>
        </w:rPr>
        <w:t xml:space="preserve"> </w:t>
      </w:r>
      <w:r w:rsidR="001D519A" w:rsidRPr="00C172BF">
        <w:rPr>
          <w:i/>
          <w:iCs/>
          <w:lang w:val="en-US"/>
        </w:rPr>
        <w:t>Non and pretreated b</w:t>
      </w:r>
      <w:r w:rsidR="00980636" w:rsidRPr="00C172BF">
        <w:rPr>
          <w:i/>
          <w:iCs/>
          <w:lang w:val="en-US"/>
        </w:rPr>
        <w:t>aga</w:t>
      </w:r>
      <w:r w:rsidR="000A21B1" w:rsidRPr="00C172BF">
        <w:rPr>
          <w:i/>
          <w:iCs/>
          <w:lang w:val="en-US"/>
        </w:rPr>
        <w:t>sse</w:t>
      </w:r>
      <w:r w:rsidR="00980636" w:rsidRPr="00C172BF">
        <w:rPr>
          <w:i/>
          <w:iCs/>
          <w:lang w:val="en-US"/>
        </w:rPr>
        <w:t xml:space="preserve">, c) </w:t>
      </w:r>
      <w:r w:rsidR="001D519A" w:rsidRPr="00C172BF">
        <w:rPr>
          <w:i/>
          <w:iCs/>
          <w:lang w:val="en-US"/>
        </w:rPr>
        <w:t>Non pretreated and pretreated v</w:t>
      </w:r>
      <w:r w:rsidR="00980636" w:rsidRPr="00C172BF">
        <w:rPr>
          <w:i/>
          <w:iCs/>
          <w:lang w:val="en-US"/>
        </w:rPr>
        <w:t>ina</w:t>
      </w:r>
      <w:r w:rsidR="000A21B1" w:rsidRPr="00C172BF">
        <w:rPr>
          <w:i/>
          <w:iCs/>
          <w:lang w:val="en-US"/>
        </w:rPr>
        <w:t>sse</w:t>
      </w:r>
    </w:p>
    <w:p w14:paraId="5D49553B" w14:textId="77777777" w:rsidR="004B0F4B" w:rsidRPr="000A21B1" w:rsidRDefault="004B0F4B" w:rsidP="005A4915">
      <w:pPr>
        <w:rPr>
          <w:lang w:val="en-US"/>
        </w:rPr>
      </w:pPr>
    </w:p>
    <w:p w14:paraId="620317C2" w14:textId="77777777" w:rsidR="005A4915" w:rsidRPr="00570351" w:rsidRDefault="005A4915" w:rsidP="005A4915">
      <w:pPr>
        <w:rPr>
          <w:lang w:val="en-US"/>
        </w:rPr>
      </w:pPr>
      <w:r w:rsidRPr="00570351">
        <w:rPr>
          <w:lang w:val="en-US"/>
        </w:rPr>
        <w:t>2.2 Experimental Setup</w:t>
      </w:r>
    </w:p>
    <w:p w14:paraId="225CE365" w14:textId="77777777" w:rsidR="00B755F8" w:rsidRPr="00570351" w:rsidRDefault="00B755F8" w:rsidP="00B755F8">
      <w:pPr>
        <w:rPr>
          <w:lang w:val="en-US"/>
        </w:rPr>
      </w:pPr>
      <w:r w:rsidRPr="00570351">
        <w:rPr>
          <w:lang w:val="en-US"/>
        </w:rPr>
        <w:t>It carried out laboratory-scale experiments in glass reactors with a capacity of 250 mL and an operating volume of 150 mL. Mixtures of 90% pretreated stillage at pH 8 and 9 were used with 5 and 10% by weight of pretreated bagasse screened through a #40 mesh and 10% activated sludge inoculum. The experiments were carried out at a temperature of 35 °C ±1 and a retention time of 30 days. A Shel Lab model S14 incubator was used for the digestion, and the gas collection was carried out using plastic syringes of 60 mL capacity. A Landtec model 5000 equipment was used for its measurement.</w:t>
      </w:r>
    </w:p>
    <w:p w14:paraId="608C5136" w14:textId="77777777" w:rsidR="00B755F8" w:rsidRPr="00570351" w:rsidRDefault="00B755F8" w:rsidP="00B755F8">
      <w:pPr>
        <w:rPr>
          <w:lang w:val="en-US"/>
        </w:rPr>
      </w:pPr>
      <w:r w:rsidRPr="00570351">
        <w:rPr>
          <w:lang w:val="en-US"/>
        </w:rPr>
        <w:t>During the experiment, the reactors were analyzed every five days until the stabilization of the process was reached, evaluating two types of factors (pH and organic load), each with two levels.</w:t>
      </w:r>
    </w:p>
    <w:p w14:paraId="7D061438" w14:textId="02147550" w:rsidR="007C1C82" w:rsidRPr="00570351" w:rsidRDefault="00B755F8" w:rsidP="00B755F8">
      <w:pPr>
        <w:rPr>
          <w:lang w:val="en-US"/>
        </w:rPr>
      </w:pPr>
      <w:r w:rsidRPr="00570351">
        <w:rPr>
          <w:lang w:val="en-US"/>
        </w:rPr>
        <w:t>Figure 2 shows a run of the anaerobic digestion experiments or biochemical methane tests.</w:t>
      </w:r>
    </w:p>
    <w:p w14:paraId="25BE4065" w14:textId="77777777" w:rsidR="00B755F8" w:rsidRPr="00570351" w:rsidRDefault="00B755F8" w:rsidP="00B755F8">
      <w:pPr>
        <w:rPr>
          <w:lang w:val="en-US"/>
        </w:rPr>
      </w:pPr>
    </w:p>
    <w:p w14:paraId="28F2A955" w14:textId="3B1B5284" w:rsidR="00711E5A" w:rsidRDefault="00711E5A" w:rsidP="005A4915">
      <w:pPr>
        <w:rPr>
          <w:lang w:val="es-MX"/>
        </w:rPr>
      </w:pPr>
      <w:r w:rsidRPr="005A4915">
        <w:rPr>
          <w:noProof/>
          <w:lang w:val="es-MX"/>
        </w:rPr>
        <w:drawing>
          <wp:inline distT="0" distB="0" distL="0" distR="0" wp14:anchorId="22396919" wp14:editId="0F81A114">
            <wp:extent cx="1799235" cy="1428451"/>
            <wp:effectExtent l="0" t="0" r="0" b="635"/>
            <wp:docPr id="426268730" name="Imagen 2" descr="Botella de lic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68730" name="Imagen 2" descr="Botella de licor&#10;&#10;Descripción generada automáticamente con confianza media"/>
                    <pic:cNvPicPr>
                      <a:picLocks noChangeAspect="1" noChangeArrowheads="1"/>
                    </pic:cNvPicPr>
                  </pic:nvPicPr>
                  <pic:blipFill rotWithShape="1">
                    <a:blip r:embed="rId13"/>
                    <a:srcRect l="3035" r="2168"/>
                    <a:stretch/>
                  </pic:blipFill>
                  <pic:spPr bwMode="auto">
                    <a:xfrm>
                      <a:off x="0" y="0"/>
                      <a:ext cx="1799612"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35E4EF5D" w14:textId="626714A5" w:rsidR="00711E5A" w:rsidRPr="00C172BF" w:rsidRDefault="00711E5A" w:rsidP="005A4915">
      <w:pPr>
        <w:rPr>
          <w:i/>
          <w:iCs/>
          <w:lang w:val="es-MX"/>
        </w:rPr>
      </w:pPr>
      <w:bookmarkStart w:id="0" w:name="_Toc150906748"/>
      <w:r w:rsidRPr="00C172BF">
        <w:rPr>
          <w:i/>
          <w:iCs/>
          <w:lang w:val="es-MX"/>
        </w:rPr>
        <w:t>Figur</w:t>
      </w:r>
      <w:r w:rsidR="004822B6" w:rsidRPr="00C172BF">
        <w:rPr>
          <w:i/>
          <w:iCs/>
          <w:lang w:val="es-MX"/>
        </w:rPr>
        <w:t>e</w:t>
      </w:r>
      <w:r w:rsidRPr="00C172BF">
        <w:rPr>
          <w:i/>
          <w:iCs/>
          <w:lang w:val="es-MX"/>
        </w:rPr>
        <w:t xml:space="preserve"> 2: </w:t>
      </w:r>
      <w:bookmarkEnd w:id="0"/>
      <w:r w:rsidR="00C172BF" w:rsidRPr="00C172BF">
        <w:rPr>
          <w:i/>
          <w:iCs/>
          <w:lang w:val="en-US"/>
        </w:rPr>
        <w:t>Anaerobic digestion experiments</w:t>
      </w:r>
    </w:p>
    <w:p w14:paraId="51BC025C" w14:textId="45418542" w:rsidR="005A4915" w:rsidRPr="00B238F1" w:rsidRDefault="007C1C82" w:rsidP="00B238F1">
      <w:pPr>
        <w:pStyle w:val="CETheadingx"/>
        <w:numPr>
          <w:ilvl w:val="2"/>
          <w:numId w:val="25"/>
        </w:numPr>
      </w:pPr>
      <w:r w:rsidRPr="00B238F1">
        <w:t xml:space="preserve">Process </w:t>
      </w:r>
      <w:proofErr w:type="gramStart"/>
      <w:r w:rsidRPr="00B238F1">
        <w:t>kinetics</w:t>
      </w:r>
      <w:proofErr w:type="gramEnd"/>
    </w:p>
    <w:p w14:paraId="141ADDC8" w14:textId="5B822E13" w:rsidR="000C6945" w:rsidRPr="006340C7" w:rsidRDefault="006340C7" w:rsidP="006340C7">
      <w:pPr>
        <w:pStyle w:val="CETHeading1"/>
        <w:numPr>
          <w:ilvl w:val="0"/>
          <w:numId w:val="0"/>
        </w:numPr>
        <w:rPr>
          <w:b w:val="0"/>
          <w:sz w:val="18"/>
        </w:rPr>
      </w:pPr>
      <w:r w:rsidRPr="006340C7">
        <w:rPr>
          <w:b w:val="0"/>
          <w:sz w:val="18"/>
        </w:rPr>
        <w:t>The monitoring and analysis of the biological kinetics of the process was carried out with the parameters of pH, alkalinity, total solids (TS), total volatile solids (TVS), total suspended solids (TSS), volatile suspended solids (VSS), chemical oxygen demand (COD), total volatile acids (TVA), total carbohydrates, reducing sugars, nitrate nitrogen, biogas volume, and % methane.</w:t>
      </w:r>
      <w:r>
        <w:rPr>
          <w:b w:val="0"/>
          <w:sz w:val="18"/>
        </w:rPr>
        <w:t xml:space="preserve"> </w:t>
      </w:r>
      <w:r w:rsidRPr="006340C7">
        <w:rPr>
          <w:b w:val="0"/>
          <w:sz w:val="18"/>
        </w:rPr>
        <w:t>An initial characterization of the vinasse, bagasse, and activated sludge substrates was also carried out. It was analyzing bagasse for lignin, cellulose, and holocellulose.</w:t>
      </w:r>
      <w:r w:rsidR="00FB5301">
        <w:rPr>
          <w:b w:val="0"/>
          <w:sz w:val="18"/>
        </w:rPr>
        <w:t xml:space="preserve"> </w:t>
      </w:r>
      <w:r w:rsidRPr="006340C7">
        <w:rPr>
          <w:b w:val="0"/>
          <w:sz w:val="18"/>
        </w:rPr>
        <w:t>For biogas measurement, collecting a minimum amount of 30 mL was necessary for analysis, so not all bottles were analyzed after five days. In the Landtec Biogas 5000 equipment, analyzed: % methane (CH</w:t>
      </w:r>
      <w:r w:rsidRPr="00B238F1">
        <w:rPr>
          <w:b w:val="0"/>
          <w:sz w:val="18"/>
          <w:vertAlign w:val="subscript"/>
        </w:rPr>
        <w:t>4</w:t>
      </w:r>
      <w:r w:rsidRPr="006340C7">
        <w:rPr>
          <w:b w:val="0"/>
          <w:sz w:val="18"/>
        </w:rPr>
        <w:t>) in volume, carbon dioxide (CO</w:t>
      </w:r>
      <w:r w:rsidRPr="00B238F1">
        <w:rPr>
          <w:b w:val="0"/>
          <w:sz w:val="18"/>
          <w:vertAlign w:val="subscript"/>
        </w:rPr>
        <w:t>2</w:t>
      </w:r>
      <w:r w:rsidRPr="006340C7">
        <w:rPr>
          <w:b w:val="0"/>
          <w:sz w:val="18"/>
        </w:rPr>
        <w:t>), diatomic oxygen (O</w:t>
      </w:r>
      <w:r w:rsidRPr="00B238F1">
        <w:rPr>
          <w:b w:val="0"/>
          <w:sz w:val="18"/>
          <w:vertAlign w:val="subscript"/>
        </w:rPr>
        <w:t>2</w:t>
      </w:r>
      <w:r w:rsidRPr="006340C7">
        <w:rPr>
          <w:b w:val="0"/>
          <w:sz w:val="18"/>
        </w:rPr>
        <w:t>), the balance of other gases that can be found, and concentration in ppm of hydrogen sulfide (H</w:t>
      </w:r>
      <w:r w:rsidRPr="00B238F1">
        <w:rPr>
          <w:b w:val="0"/>
          <w:sz w:val="18"/>
          <w:vertAlign w:val="subscript"/>
        </w:rPr>
        <w:t>2</w:t>
      </w:r>
      <w:r w:rsidRPr="006340C7">
        <w:rPr>
          <w:b w:val="0"/>
          <w:sz w:val="18"/>
        </w:rPr>
        <w:t>S).</w:t>
      </w:r>
    </w:p>
    <w:p w14:paraId="6A2A5FAE" w14:textId="06859B1D" w:rsidR="005A4915" w:rsidRPr="00836F80" w:rsidRDefault="005A4915" w:rsidP="00D51BEF">
      <w:pPr>
        <w:pStyle w:val="CETHeading1"/>
        <w:numPr>
          <w:ilvl w:val="1"/>
          <w:numId w:val="25"/>
        </w:numPr>
      </w:pPr>
      <w:r w:rsidRPr="00836F80">
        <w:t>Results</w:t>
      </w:r>
    </w:p>
    <w:p w14:paraId="5BC9BE15" w14:textId="223A5BB7" w:rsidR="006340C7" w:rsidRPr="00836F80" w:rsidRDefault="006340C7" w:rsidP="005A4915">
      <w:pPr>
        <w:rPr>
          <w:lang w:val="en-US"/>
        </w:rPr>
      </w:pPr>
      <w:r w:rsidRPr="00836F80">
        <w:rPr>
          <w:lang w:val="en-US"/>
        </w:rPr>
        <w:t>Table 1 shows the results of the initial characterization of the stillage, with and without pretreatment, with pretreatment 1 neutralizing the stillage to a pH of 8 and pretreatment 2 neutralizing it to a pH of 9.</w:t>
      </w:r>
    </w:p>
    <w:p w14:paraId="46C511FE" w14:textId="4E05FDEC" w:rsidR="005A4915" w:rsidRPr="009C7AED" w:rsidRDefault="005A4915" w:rsidP="00A96724">
      <w:pPr>
        <w:jc w:val="left"/>
        <w:rPr>
          <w:i/>
          <w:iCs/>
          <w:sz w:val="16"/>
          <w:szCs w:val="18"/>
          <w:lang w:val="en-US"/>
        </w:rPr>
      </w:pPr>
      <w:bookmarkStart w:id="1" w:name="_Toc150906762"/>
      <w:r w:rsidRPr="009C7AED">
        <w:rPr>
          <w:i/>
          <w:iCs/>
          <w:sz w:val="16"/>
          <w:szCs w:val="18"/>
          <w:lang w:val="en-US"/>
        </w:rPr>
        <w:t>Tabl</w:t>
      </w:r>
      <w:r w:rsidR="009C7AED">
        <w:rPr>
          <w:i/>
          <w:iCs/>
          <w:sz w:val="16"/>
          <w:szCs w:val="18"/>
          <w:lang w:val="en-US"/>
        </w:rPr>
        <w:t>e</w:t>
      </w:r>
      <w:r w:rsidRPr="009C7AED">
        <w:rPr>
          <w:i/>
          <w:iCs/>
          <w:sz w:val="16"/>
          <w:szCs w:val="18"/>
          <w:lang w:val="en-US"/>
        </w:rPr>
        <w:t xml:space="preserve"> </w:t>
      </w:r>
      <w:r w:rsidR="0071021B" w:rsidRPr="009C7AED">
        <w:rPr>
          <w:i/>
          <w:iCs/>
          <w:sz w:val="16"/>
          <w:szCs w:val="18"/>
          <w:lang w:val="en-US"/>
        </w:rPr>
        <w:t>1</w:t>
      </w:r>
      <w:r w:rsidR="001C4D37" w:rsidRPr="009C7AED">
        <w:rPr>
          <w:i/>
          <w:iCs/>
          <w:sz w:val="16"/>
          <w:szCs w:val="18"/>
          <w:lang w:val="en-US"/>
        </w:rPr>
        <w:t>:</w:t>
      </w:r>
      <w:r w:rsidRPr="009C7AED">
        <w:rPr>
          <w:i/>
          <w:iCs/>
          <w:sz w:val="16"/>
          <w:szCs w:val="18"/>
          <w:lang w:val="en-US"/>
        </w:rPr>
        <w:t xml:space="preserve"> </w:t>
      </w:r>
      <w:bookmarkEnd w:id="1"/>
      <w:r w:rsidR="000C6945" w:rsidRPr="009C7AED">
        <w:rPr>
          <w:i/>
          <w:iCs/>
          <w:sz w:val="16"/>
          <w:szCs w:val="18"/>
          <w:lang w:val="en-US"/>
        </w:rPr>
        <w:t>Initial characterization of initial stillage without and with pretreatment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246"/>
        <w:gridCol w:w="1164"/>
        <w:gridCol w:w="1135"/>
        <w:gridCol w:w="992"/>
      </w:tblGrid>
      <w:tr w:rsidR="006A0F98" w:rsidRPr="00B57B36" w14:paraId="6E7C8064" w14:textId="77777777" w:rsidTr="00A96724">
        <w:tc>
          <w:tcPr>
            <w:tcW w:w="1276" w:type="dxa"/>
            <w:tcBorders>
              <w:top w:val="single" w:sz="12" w:space="0" w:color="008000"/>
              <w:bottom w:val="single" w:sz="6" w:space="0" w:color="008000"/>
            </w:tcBorders>
            <w:shd w:val="clear" w:color="auto" w:fill="FFFFFF"/>
          </w:tcPr>
          <w:p w14:paraId="13BB8DB1" w14:textId="77777777" w:rsidR="006A0F98" w:rsidRPr="00B57B36" w:rsidRDefault="006A0F98" w:rsidP="00A96724">
            <w:pPr>
              <w:pStyle w:val="CETBodytext"/>
              <w:jc w:val="left"/>
              <w:rPr>
                <w:lang w:val="en-GB"/>
              </w:rPr>
            </w:pPr>
            <w:r>
              <w:rPr>
                <w:lang w:val="en-GB"/>
              </w:rPr>
              <w:t>Parameter</w:t>
            </w:r>
            <w:r w:rsidRPr="00B57B36">
              <w:rPr>
                <w:lang w:val="en-GB"/>
              </w:rPr>
              <w:t xml:space="preserve"> </w:t>
            </w:r>
          </w:p>
        </w:tc>
        <w:tc>
          <w:tcPr>
            <w:tcW w:w="1246" w:type="dxa"/>
            <w:tcBorders>
              <w:top w:val="single" w:sz="12" w:space="0" w:color="008000"/>
              <w:bottom w:val="single" w:sz="6" w:space="0" w:color="008000"/>
            </w:tcBorders>
            <w:shd w:val="clear" w:color="auto" w:fill="FFFFFF"/>
          </w:tcPr>
          <w:p w14:paraId="730D1008" w14:textId="4E047C74" w:rsidR="006A0F98" w:rsidRPr="00E30E13" w:rsidRDefault="006A0F98" w:rsidP="00A96724">
            <w:pPr>
              <w:pStyle w:val="CETBodytext"/>
              <w:jc w:val="left"/>
              <w:rPr>
                <w:lang w:val="en-GB"/>
              </w:rPr>
            </w:pPr>
            <w:r>
              <w:rPr>
                <w:lang w:val="en-GB"/>
              </w:rPr>
              <w:t>Vinasse without pretreatment</w:t>
            </w:r>
          </w:p>
        </w:tc>
        <w:tc>
          <w:tcPr>
            <w:tcW w:w="1164" w:type="dxa"/>
            <w:tcBorders>
              <w:top w:val="single" w:sz="12" w:space="0" w:color="008000"/>
              <w:bottom w:val="single" w:sz="6" w:space="0" w:color="008000"/>
            </w:tcBorders>
            <w:shd w:val="clear" w:color="auto" w:fill="FFFFFF"/>
          </w:tcPr>
          <w:p w14:paraId="29DBA7ED" w14:textId="28DEC0DF" w:rsidR="006A0F98" w:rsidRDefault="006A0F98" w:rsidP="00A96724">
            <w:pPr>
              <w:pStyle w:val="CETBodytext"/>
              <w:jc w:val="left"/>
              <w:rPr>
                <w:lang w:val="en-GB"/>
              </w:rPr>
            </w:pPr>
            <w:r>
              <w:rPr>
                <w:lang w:val="en-GB"/>
              </w:rPr>
              <w:t xml:space="preserve"> Vinasse     pretreatment</w:t>
            </w:r>
          </w:p>
          <w:p w14:paraId="732DEE51" w14:textId="6AC60A82" w:rsidR="006A0F98" w:rsidRPr="00E30E13" w:rsidRDefault="006A0F98" w:rsidP="00A96724">
            <w:pPr>
              <w:pStyle w:val="CETBodytext"/>
              <w:jc w:val="left"/>
              <w:rPr>
                <w:lang w:val="en-GB"/>
              </w:rPr>
            </w:pPr>
            <w:r>
              <w:rPr>
                <w:lang w:val="en-GB"/>
              </w:rPr>
              <w:t>1</w:t>
            </w:r>
          </w:p>
        </w:tc>
        <w:tc>
          <w:tcPr>
            <w:tcW w:w="1135" w:type="dxa"/>
            <w:tcBorders>
              <w:top w:val="single" w:sz="12" w:space="0" w:color="008000"/>
              <w:bottom w:val="single" w:sz="6" w:space="0" w:color="008000"/>
            </w:tcBorders>
            <w:shd w:val="clear" w:color="auto" w:fill="FFFFFF"/>
          </w:tcPr>
          <w:p w14:paraId="1C12486F" w14:textId="4CB25A12" w:rsidR="006A0F98" w:rsidRDefault="006A0F98" w:rsidP="00A96724">
            <w:pPr>
              <w:pStyle w:val="CETBodytext"/>
              <w:jc w:val="left"/>
              <w:rPr>
                <w:lang w:val="en-GB"/>
              </w:rPr>
            </w:pPr>
            <w:r>
              <w:rPr>
                <w:lang w:val="en-GB"/>
              </w:rPr>
              <w:t>Vinasse  pretreatment</w:t>
            </w:r>
          </w:p>
          <w:p w14:paraId="141F96A0" w14:textId="1D0CB964" w:rsidR="006A0F98" w:rsidRPr="00E30E13" w:rsidRDefault="006A0F98" w:rsidP="00A96724">
            <w:pPr>
              <w:pStyle w:val="CETBodytext"/>
              <w:ind w:right="-1"/>
              <w:jc w:val="left"/>
              <w:rPr>
                <w:rFonts w:cs="Arial"/>
                <w:szCs w:val="18"/>
                <w:lang w:val="en-GB"/>
              </w:rPr>
            </w:pPr>
            <w:r>
              <w:rPr>
                <w:lang w:val="en-GB"/>
              </w:rPr>
              <w:t>2</w:t>
            </w:r>
          </w:p>
        </w:tc>
        <w:tc>
          <w:tcPr>
            <w:tcW w:w="992" w:type="dxa"/>
            <w:tcBorders>
              <w:top w:val="single" w:sz="12" w:space="0" w:color="008000"/>
              <w:bottom w:val="single" w:sz="6" w:space="0" w:color="008000"/>
            </w:tcBorders>
            <w:shd w:val="clear" w:color="auto" w:fill="FFFFFF"/>
          </w:tcPr>
          <w:p w14:paraId="5988C1B7" w14:textId="77777777" w:rsidR="006A0F98" w:rsidRPr="00B57B36" w:rsidRDefault="006A0F98" w:rsidP="00A96724">
            <w:pPr>
              <w:pStyle w:val="CETBodytext"/>
              <w:ind w:right="-1"/>
              <w:jc w:val="left"/>
              <w:rPr>
                <w:rFonts w:cs="Arial"/>
                <w:szCs w:val="18"/>
                <w:lang w:val="en-GB"/>
              </w:rPr>
            </w:pPr>
          </w:p>
        </w:tc>
      </w:tr>
      <w:tr w:rsidR="001117F0" w:rsidRPr="00B57B36" w14:paraId="22686CB0" w14:textId="77777777" w:rsidTr="00A96724">
        <w:tc>
          <w:tcPr>
            <w:tcW w:w="1276" w:type="dxa"/>
            <w:shd w:val="clear" w:color="auto" w:fill="FFFFFF"/>
          </w:tcPr>
          <w:p w14:paraId="614113F4" w14:textId="77777777" w:rsidR="001117F0" w:rsidRDefault="001117F0" w:rsidP="00A96724">
            <w:pPr>
              <w:pStyle w:val="CETBodytext"/>
              <w:jc w:val="left"/>
              <w:rPr>
                <w:lang w:val="en-GB"/>
              </w:rPr>
            </w:pPr>
            <w:r>
              <w:rPr>
                <w:lang w:val="en-GB"/>
              </w:rPr>
              <w:t>pH</w:t>
            </w:r>
          </w:p>
          <w:p w14:paraId="41B88FFC" w14:textId="13FCBE9B" w:rsidR="001117F0" w:rsidRPr="00B57B36" w:rsidRDefault="001117F0" w:rsidP="00A96724">
            <w:pPr>
              <w:pStyle w:val="CETBodytext"/>
              <w:jc w:val="left"/>
              <w:rPr>
                <w:lang w:val="en-GB"/>
              </w:rPr>
            </w:pPr>
            <w:r>
              <w:rPr>
                <w:lang w:val="en-GB"/>
              </w:rPr>
              <w:t>Alkalinity</w:t>
            </w:r>
          </w:p>
        </w:tc>
        <w:tc>
          <w:tcPr>
            <w:tcW w:w="1246" w:type="dxa"/>
            <w:shd w:val="clear" w:color="auto" w:fill="FFFFFF"/>
          </w:tcPr>
          <w:p w14:paraId="70D94534" w14:textId="77777777" w:rsidR="001117F0" w:rsidRDefault="001117F0" w:rsidP="00A96724">
            <w:pPr>
              <w:pStyle w:val="CETBodytext"/>
              <w:jc w:val="left"/>
              <w:rPr>
                <w:lang w:val="es-ES_tradnl" w:eastAsia="es-ES"/>
              </w:rPr>
            </w:pPr>
            <w:r>
              <w:rPr>
                <w:lang w:val="es-ES_tradnl" w:eastAsia="es-ES"/>
              </w:rPr>
              <w:t xml:space="preserve">3.5 </w:t>
            </w:r>
            <w:r>
              <w:rPr>
                <w:rFonts w:cs="Arial"/>
                <w:lang w:val="es-ES_tradnl" w:eastAsia="es-ES"/>
              </w:rPr>
              <w:t>± 0</w:t>
            </w:r>
          </w:p>
          <w:p w14:paraId="0B6AA199" w14:textId="5A40BD5F" w:rsidR="001117F0" w:rsidRPr="00B57B36" w:rsidRDefault="001117F0" w:rsidP="00A96724">
            <w:pPr>
              <w:pStyle w:val="CETBodytext"/>
              <w:jc w:val="left"/>
              <w:rPr>
                <w:lang w:val="en-GB"/>
              </w:rPr>
            </w:pPr>
            <w:r>
              <w:rPr>
                <w:lang w:val="es-ES_tradnl" w:eastAsia="es-ES"/>
              </w:rPr>
              <w:t xml:space="preserve">860 </w:t>
            </w:r>
            <w:r>
              <w:rPr>
                <w:rFonts w:cs="Arial"/>
                <w:lang w:val="es-ES_tradnl" w:eastAsia="es-ES"/>
              </w:rPr>
              <w:t>± 44.9</w:t>
            </w:r>
          </w:p>
        </w:tc>
        <w:tc>
          <w:tcPr>
            <w:tcW w:w="1164" w:type="dxa"/>
            <w:shd w:val="clear" w:color="auto" w:fill="FFFFFF"/>
          </w:tcPr>
          <w:p w14:paraId="26645C6B" w14:textId="77777777" w:rsidR="001117F0" w:rsidRDefault="001117F0" w:rsidP="00A96724">
            <w:pPr>
              <w:pStyle w:val="CETBodytext"/>
              <w:jc w:val="left"/>
              <w:rPr>
                <w:lang w:val="en-GB"/>
              </w:rPr>
            </w:pPr>
            <w:r>
              <w:rPr>
                <w:lang w:val="en-GB"/>
              </w:rPr>
              <w:t xml:space="preserve">8 </w:t>
            </w:r>
            <w:r>
              <w:rPr>
                <w:rFonts w:cs="Arial"/>
                <w:lang w:val="es-ES_tradnl" w:eastAsia="es-ES"/>
              </w:rPr>
              <w:t>± 0.01</w:t>
            </w:r>
          </w:p>
          <w:p w14:paraId="10FA45ED" w14:textId="733A3ED3" w:rsidR="001117F0" w:rsidRPr="00B57B36" w:rsidRDefault="001117F0" w:rsidP="00A96724">
            <w:pPr>
              <w:pStyle w:val="CETBodytext"/>
              <w:jc w:val="left"/>
              <w:rPr>
                <w:lang w:val="en-GB"/>
              </w:rPr>
            </w:pPr>
            <w:r>
              <w:rPr>
                <w:lang w:val="en-GB"/>
              </w:rPr>
              <w:t xml:space="preserve">1,020 </w:t>
            </w:r>
            <w:r>
              <w:rPr>
                <w:rFonts w:cs="Arial"/>
                <w:lang w:val="es-ES_tradnl" w:eastAsia="es-ES"/>
              </w:rPr>
              <w:t>± 52.5</w:t>
            </w:r>
          </w:p>
        </w:tc>
        <w:tc>
          <w:tcPr>
            <w:tcW w:w="1135" w:type="dxa"/>
            <w:shd w:val="clear" w:color="auto" w:fill="FFFFFF"/>
          </w:tcPr>
          <w:p w14:paraId="51EC4323" w14:textId="77777777" w:rsidR="001117F0" w:rsidRDefault="001117F0" w:rsidP="00A96724">
            <w:pPr>
              <w:pStyle w:val="CETBodytext"/>
              <w:ind w:right="-1"/>
              <w:jc w:val="left"/>
              <w:rPr>
                <w:rFonts w:cs="Arial"/>
                <w:szCs w:val="18"/>
                <w:lang w:val="en-GB"/>
              </w:rPr>
            </w:pPr>
            <w:r>
              <w:rPr>
                <w:rFonts w:cs="Arial"/>
                <w:szCs w:val="18"/>
                <w:lang w:val="en-GB"/>
              </w:rPr>
              <w:t xml:space="preserve">9.12 </w:t>
            </w:r>
            <w:r>
              <w:rPr>
                <w:rFonts w:cs="Arial"/>
                <w:lang w:val="es-ES_tradnl" w:eastAsia="es-ES"/>
              </w:rPr>
              <w:t>± 0.04</w:t>
            </w:r>
          </w:p>
          <w:p w14:paraId="368A34DD" w14:textId="6FD87851" w:rsidR="001117F0" w:rsidRPr="00B57B36" w:rsidRDefault="001117F0" w:rsidP="00A96724">
            <w:pPr>
              <w:pStyle w:val="CETBodytext"/>
              <w:ind w:right="-1"/>
              <w:jc w:val="left"/>
              <w:rPr>
                <w:rFonts w:cs="Arial"/>
                <w:szCs w:val="18"/>
                <w:lang w:val="en-GB"/>
              </w:rPr>
            </w:pPr>
            <w:r>
              <w:rPr>
                <w:rFonts w:cs="Arial"/>
                <w:szCs w:val="18"/>
                <w:lang w:val="en-GB"/>
              </w:rPr>
              <w:t xml:space="preserve">2,750 </w:t>
            </w:r>
            <w:r>
              <w:rPr>
                <w:rFonts w:cs="Arial"/>
                <w:lang w:val="es-ES_tradnl" w:eastAsia="es-ES"/>
              </w:rPr>
              <w:t>± 47.7</w:t>
            </w:r>
          </w:p>
        </w:tc>
        <w:tc>
          <w:tcPr>
            <w:tcW w:w="992" w:type="dxa"/>
            <w:shd w:val="clear" w:color="auto" w:fill="FFFFFF"/>
          </w:tcPr>
          <w:p w14:paraId="1D716625" w14:textId="77777777" w:rsidR="001117F0" w:rsidRPr="00B57B36" w:rsidRDefault="001117F0" w:rsidP="00A96724">
            <w:pPr>
              <w:pStyle w:val="CETBodytext"/>
              <w:ind w:right="-1"/>
              <w:jc w:val="left"/>
              <w:rPr>
                <w:rFonts w:cs="Arial"/>
                <w:szCs w:val="18"/>
                <w:lang w:val="en-GB"/>
              </w:rPr>
            </w:pPr>
          </w:p>
        </w:tc>
      </w:tr>
      <w:tr w:rsidR="001117F0" w:rsidRPr="00B57B36" w14:paraId="0BFC6777" w14:textId="77777777" w:rsidTr="00A96724">
        <w:tc>
          <w:tcPr>
            <w:tcW w:w="1276" w:type="dxa"/>
            <w:shd w:val="clear" w:color="auto" w:fill="FFFFFF"/>
          </w:tcPr>
          <w:p w14:paraId="2DFE57C7" w14:textId="712EB5A4" w:rsidR="001117F0" w:rsidRDefault="001117F0" w:rsidP="00A96724">
            <w:pPr>
              <w:pStyle w:val="CETBodytext"/>
              <w:jc w:val="left"/>
              <w:rPr>
                <w:lang w:val="en-GB"/>
              </w:rPr>
            </w:pPr>
            <w:r>
              <w:rPr>
                <w:lang w:val="en-GB"/>
              </w:rPr>
              <w:t>COD, mg/L</w:t>
            </w:r>
          </w:p>
        </w:tc>
        <w:tc>
          <w:tcPr>
            <w:tcW w:w="1246" w:type="dxa"/>
            <w:shd w:val="clear" w:color="auto" w:fill="FFFFFF"/>
          </w:tcPr>
          <w:p w14:paraId="117A2C89" w14:textId="58405EA6" w:rsidR="001117F0" w:rsidRDefault="001117F0" w:rsidP="00A96724">
            <w:pPr>
              <w:pStyle w:val="CETBodytext"/>
              <w:jc w:val="left"/>
              <w:rPr>
                <w:lang w:val="es-ES_tradnl" w:eastAsia="es-ES"/>
              </w:rPr>
            </w:pPr>
            <w:r>
              <w:rPr>
                <w:lang w:val="es-ES_tradnl" w:eastAsia="es-ES"/>
              </w:rPr>
              <w:t xml:space="preserve">38,982 </w:t>
            </w:r>
            <w:r>
              <w:rPr>
                <w:rFonts w:cs="Arial"/>
                <w:lang w:val="es-ES_tradnl" w:eastAsia="es-ES"/>
              </w:rPr>
              <w:t>± 165.5</w:t>
            </w:r>
          </w:p>
        </w:tc>
        <w:tc>
          <w:tcPr>
            <w:tcW w:w="1164" w:type="dxa"/>
            <w:shd w:val="clear" w:color="auto" w:fill="FFFFFF"/>
          </w:tcPr>
          <w:p w14:paraId="170B42F0" w14:textId="03725BB2" w:rsidR="001117F0" w:rsidRDefault="001117F0" w:rsidP="00A96724">
            <w:pPr>
              <w:pStyle w:val="CETBodytext"/>
              <w:jc w:val="left"/>
              <w:rPr>
                <w:lang w:val="es-ES_tradnl" w:eastAsia="es-ES"/>
              </w:rPr>
            </w:pPr>
            <w:r>
              <w:rPr>
                <w:lang w:val="es-ES_tradnl" w:eastAsia="es-ES"/>
              </w:rPr>
              <w:t xml:space="preserve">2,064 </w:t>
            </w:r>
            <w:r>
              <w:rPr>
                <w:rFonts w:cs="Arial"/>
                <w:lang w:val="es-ES_tradnl" w:eastAsia="es-ES"/>
              </w:rPr>
              <w:t>± 136.4</w:t>
            </w:r>
          </w:p>
        </w:tc>
        <w:tc>
          <w:tcPr>
            <w:tcW w:w="1135" w:type="dxa"/>
            <w:shd w:val="clear" w:color="auto" w:fill="FFFFFF"/>
          </w:tcPr>
          <w:p w14:paraId="2613A963" w14:textId="567BF68D" w:rsidR="001117F0" w:rsidRDefault="001117F0" w:rsidP="00A96724">
            <w:pPr>
              <w:pStyle w:val="CETBodytext"/>
              <w:ind w:right="-1"/>
              <w:jc w:val="left"/>
              <w:rPr>
                <w:lang w:val="es-ES_tradnl" w:eastAsia="es-ES"/>
              </w:rPr>
            </w:pPr>
            <w:r>
              <w:rPr>
                <w:lang w:val="es-ES_tradnl" w:eastAsia="es-ES"/>
              </w:rPr>
              <w:t xml:space="preserve">3,450 </w:t>
            </w:r>
            <w:r>
              <w:rPr>
                <w:rFonts w:cs="Arial"/>
                <w:lang w:val="es-ES_tradnl" w:eastAsia="es-ES"/>
              </w:rPr>
              <w:t>± 125.6</w:t>
            </w:r>
          </w:p>
        </w:tc>
        <w:tc>
          <w:tcPr>
            <w:tcW w:w="992" w:type="dxa"/>
            <w:shd w:val="clear" w:color="auto" w:fill="FFFFFF"/>
          </w:tcPr>
          <w:p w14:paraId="5B55F748" w14:textId="77777777" w:rsidR="001117F0" w:rsidRPr="00B57B36" w:rsidRDefault="001117F0" w:rsidP="00A96724">
            <w:pPr>
              <w:pStyle w:val="CETBodytext"/>
              <w:ind w:right="-1"/>
              <w:jc w:val="left"/>
              <w:rPr>
                <w:rFonts w:cs="Arial"/>
                <w:szCs w:val="18"/>
                <w:lang w:val="en-GB"/>
              </w:rPr>
            </w:pPr>
          </w:p>
        </w:tc>
      </w:tr>
      <w:tr w:rsidR="001117F0" w:rsidRPr="00B57B36" w14:paraId="46B16914" w14:textId="77777777" w:rsidTr="00A96724">
        <w:tc>
          <w:tcPr>
            <w:tcW w:w="1276" w:type="dxa"/>
            <w:shd w:val="clear" w:color="auto" w:fill="FFFFFF"/>
          </w:tcPr>
          <w:p w14:paraId="1B1E6E36" w14:textId="1B2A2A07" w:rsidR="001117F0" w:rsidRPr="00B57B36" w:rsidRDefault="001117F0" w:rsidP="00A96724">
            <w:pPr>
              <w:pStyle w:val="CETBodytext"/>
              <w:jc w:val="left"/>
              <w:rPr>
                <w:lang w:val="en-GB"/>
              </w:rPr>
            </w:pPr>
            <w:r>
              <w:rPr>
                <w:lang w:val="en-GB"/>
              </w:rPr>
              <w:t>TS, mg/L</w:t>
            </w:r>
          </w:p>
        </w:tc>
        <w:tc>
          <w:tcPr>
            <w:tcW w:w="1246" w:type="dxa"/>
            <w:shd w:val="clear" w:color="auto" w:fill="FFFFFF"/>
          </w:tcPr>
          <w:p w14:paraId="7976D206" w14:textId="7B30833A" w:rsidR="001117F0" w:rsidRPr="00B57B36" w:rsidRDefault="001117F0" w:rsidP="00A96724">
            <w:pPr>
              <w:pStyle w:val="CETBodytext"/>
              <w:jc w:val="left"/>
              <w:rPr>
                <w:lang w:val="en-GB"/>
              </w:rPr>
            </w:pPr>
            <w:r>
              <w:rPr>
                <w:lang w:val="en-GB"/>
              </w:rPr>
              <w:t xml:space="preserve">9,463 </w:t>
            </w:r>
            <w:r>
              <w:rPr>
                <w:rFonts w:cs="Arial"/>
                <w:lang w:val="es-ES_tradnl" w:eastAsia="es-ES"/>
              </w:rPr>
              <w:t>± 75.7</w:t>
            </w:r>
          </w:p>
        </w:tc>
        <w:tc>
          <w:tcPr>
            <w:tcW w:w="1164" w:type="dxa"/>
            <w:shd w:val="clear" w:color="auto" w:fill="FFFFFF"/>
          </w:tcPr>
          <w:p w14:paraId="5E642A29" w14:textId="6F74498A" w:rsidR="001117F0" w:rsidRPr="00B57B36" w:rsidRDefault="001117F0" w:rsidP="00A96724">
            <w:pPr>
              <w:pStyle w:val="CETBodytext"/>
              <w:jc w:val="left"/>
              <w:rPr>
                <w:lang w:val="en-GB"/>
              </w:rPr>
            </w:pPr>
            <w:r>
              <w:rPr>
                <w:lang w:val="en-GB"/>
              </w:rPr>
              <w:t xml:space="preserve">7,012 </w:t>
            </w:r>
            <w:r>
              <w:rPr>
                <w:rFonts w:cs="Arial"/>
                <w:lang w:val="es-ES_tradnl" w:eastAsia="es-ES"/>
              </w:rPr>
              <w:t>± 88.9</w:t>
            </w:r>
          </w:p>
        </w:tc>
        <w:tc>
          <w:tcPr>
            <w:tcW w:w="1135" w:type="dxa"/>
            <w:shd w:val="clear" w:color="auto" w:fill="FFFFFF"/>
          </w:tcPr>
          <w:p w14:paraId="43B25C02" w14:textId="460C4211" w:rsidR="001117F0" w:rsidRPr="00B57B36" w:rsidRDefault="001117F0" w:rsidP="00A96724">
            <w:pPr>
              <w:pStyle w:val="CETBodytext"/>
              <w:ind w:right="-1"/>
              <w:jc w:val="left"/>
              <w:rPr>
                <w:rFonts w:cs="Arial"/>
                <w:szCs w:val="18"/>
                <w:lang w:val="en-GB"/>
              </w:rPr>
            </w:pPr>
            <w:r>
              <w:rPr>
                <w:rFonts w:cs="Arial"/>
                <w:szCs w:val="18"/>
                <w:lang w:val="en-GB"/>
              </w:rPr>
              <w:t xml:space="preserve">6,807 </w:t>
            </w:r>
            <w:r>
              <w:rPr>
                <w:rFonts w:cs="Arial"/>
                <w:lang w:val="es-ES_tradnl" w:eastAsia="es-ES"/>
              </w:rPr>
              <w:t>± 92.5</w:t>
            </w:r>
          </w:p>
        </w:tc>
        <w:tc>
          <w:tcPr>
            <w:tcW w:w="992" w:type="dxa"/>
            <w:shd w:val="clear" w:color="auto" w:fill="FFFFFF"/>
          </w:tcPr>
          <w:p w14:paraId="5AF6BCAF" w14:textId="77777777" w:rsidR="001117F0" w:rsidRPr="00B57B36" w:rsidRDefault="001117F0" w:rsidP="00A96724">
            <w:pPr>
              <w:pStyle w:val="CETBodytext"/>
              <w:ind w:right="-1"/>
              <w:jc w:val="left"/>
              <w:rPr>
                <w:rFonts w:cs="Arial"/>
                <w:szCs w:val="18"/>
                <w:lang w:val="en-GB"/>
              </w:rPr>
            </w:pPr>
          </w:p>
        </w:tc>
      </w:tr>
      <w:tr w:rsidR="001117F0" w:rsidRPr="00B57B36" w14:paraId="64D4DA2E" w14:textId="77777777" w:rsidTr="00A96724">
        <w:tc>
          <w:tcPr>
            <w:tcW w:w="1276" w:type="dxa"/>
            <w:shd w:val="clear" w:color="auto" w:fill="FFFFFF"/>
          </w:tcPr>
          <w:p w14:paraId="6B93BCA4" w14:textId="2FF263BD" w:rsidR="001117F0" w:rsidRDefault="001117F0" w:rsidP="00A96724">
            <w:pPr>
              <w:pStyle w:val="CETBodytext"/>
              <w:ind w:right="-1"/>
              <w:jc w:val="left"/>
              <w:rPr>
                <w:rFonts w:cs="Arial"/>
                <w:szCs w:val="18"/>
                <w:lang w:val="en-GB"/>
              </w:rPr>
            </w:pPr>
            <w:r>
              <w:rPr>
                <w:rFonts w:cs="Arial"/>
                <w:szCs w:val="18"/>
                <w:lang w:val="en-GB"/>
              </w:rPr>
              <w:t>TVS, mg/L</w:t>
            </w:r>
          </w:p>
          <w:p w14:paraId="40D5E201" w14:textId="772AD9CF" w:rsidR="001117F0" w:rsidRDefault="001117F0" w:rsidP="00A96724">
            <w:pPr>
              <w:pStyle w:val="CETBodytext"/>
              <w:ind w:right="-1"/>
              <w:jc w:val="left"/>
              <w:rPr>
                <w:rFonts w:cs="Arial"/>
                <w:szCs w:val="18"/>
                <w:lang w:val="en-GB"/>
              </w:rPr>
            </w:pPr>
            <w:r>
              <w:rPr>
                <w:rFonts w:cs="Arial"/>
                <w:szCs w:val="18"/>
                <w:lang w:val="en-GB"/>
              </w:rPr>
              <w:t>TSS, mg/L</w:t>
            </w:r>
          </w:p>
          <w:p w14:paraId="1F190680" w14:textId="29B0FF34" w:rsidR="001117F0" w:rsidRPr="00B57B36" w:rsidRDefault="001117F0" w:rsidP="00A96724">
            <w:pPr>
              <w:pStyle w:val="CETBodytext"/>
              <w:ind w:right="-1"/>
              <w:jc w:val="left"/>
              <w:rPr>
                <w:rFonts w:cs="Arial"/>
                <w:szCs w:val="18"/>
                <w:lang w:val="en-GB"/>
              </w:rPr>
            </w:pPr>
            <w:r>
              <w:rPr>
                <w:rFonts w:cs="Arial"/>
                <w:szCs w:val="18"/>
                <w:lang w:val="en-GB"/>
              </w:rPr>
              <w:t>VSS, mg/L</w:t>
            </w:r>
          </w:p>
        </w:tc>
        <w:tc>
          <w:tcPr>
            <w:tcW w:w="1246" w:type="dxa"/>
            <w:shd w:val="clear" w:color="auto" w:fill="FFFFFF"/>
          </w:tcPr>
          <w:p w14:paraId="5F4F53A6" w14:textId="77777777" w:rsidR="001117F0" w:rsidRDefault="001117F0" w:rsidP="00A96724">
            <w:pPr>
              <w:pStyle w:val="CETBodytext"/>
              <w:ind w:right="-1"/>
              <w:jc w:val="left"/>
              <w:rPr>
                <w:rFonts w:cs="Arial"/>
                <w:szCs w:val="18"/>
                <w:lang w:val="en-GB"/>
              </w:rPr>
            </w:pPr>
            <w:r>
              <w:rPr>
                <w:rFonts w:cs="Arial"/>
                <w:szCs w:val="18"/>
                <w:lang w:val="en-GB"/>
              </w:rPr>
              <w:t xml:space="preserve">6,810 </w:t>
            </w:r>
            <w:r>
              <w:rPr>
                <w:rFonts w:cs="Arial"/>
                <w:lang w:val="es-ES_tradnl" w:eastAsia="es-ES"/>
              </w:rPr>
              <w:t>± 105.8</w:t>
            </w:r>
          </w:p>
          <w:p w14:paraId="01490078" w14:textId="77777777" w:rsidR="001117F0" w:rsidRDefault="001117F0" w:rsidP="00A96724">
            <w:pPr>
              <w:pStyle w:val="CETBodytext"/>
              <w:ind w:right="-1"/>
              <w:jc w:val="left"/>
              <w:rPr>
                <w:rFonts w:cs="Arial"/>
                <w:szCs w:val="18"/>
                <w:lang w:val="en-GB"/>
              </w:rPr>
            </w:pPr>
            <w:r>
              <w:rPr>
                <w:rFonts w:cs="Arial"/>
                <w:szCs w:val="18"/>
                <w:lang w:val="en-GB"/>
              </w:rPr>
              <w:t xml:space="preserve">315 </w:t>
            </w:r>
            <w:r>
              <w:rPr>
                <w:rFonts w:cs="Arial"/>
                <w:lang w:val="es-ES_tradnl" w:eastAsia="es-ES"/>
              </w:rPr>
              <w:t>± 2.2</w:t>
            </w:r>
          </w:p>
          <w:p w14:paraId="68A3A40E" w14:textId="77777777" w:rsidR="001117F0" w:rsidRDefault="001117F0" w:rsidP="00A96724">
            <w:pPr>
              <w:pStyle w:val="CETBodytext"/>
              <w:ind w:right="-1"/>
              <w:jc w:val="left"/>
              <w:rPr>
                <w:rFonts w:cs="Arial"/>
                <w:szCs w:val="18"/>
                <w:lang w:val="en-GB"/>
              </w:rPr>
            </w:pPr>
            <w:r>
              <w:rPr>
                <w:rFonts w:cs="Arial"/>
                <w:szCs w:val="18"/>
                <w:lang w:val="en-GB"/>
              </w:rPr>
              <w:t xml:space="preserve">295 </w:t>
            </w:r>
            <w:r>
              <w:rPr>
                <w:rFonts w:cs="Arial"/>
                <w:lang w:val="es-ES_tradnl" w:eastAsia="es-ES"/>
              </w:rPr>
              <w:t>± 1.6</w:t>
            </w:r>
          </w:p>
          <w:p w14:paraId="1E1B1500" w14:textId="5C925A82" w:rsidR="001117F0" w:rsidRPr="00B57B36" w:rsidRDefault="001117F0" w:rsidP="00A96724">
            <w:pPr>
              <w:pStyle w:val="CETBodytext"/>
              <w:ind w:right="-1"/>
              <w:jc w:val="left"/>
              <w:rPr>
                <w:rFonts w:cs="Arial"/>
                <w:szCs w:val="18"/>
                <w:lang w:val="en-GB"/>
              </w:rPr>
            </w:pPr>
          </w:p>
        </w:tc>
        <w:tc>
          <w:tcPr>
            <w:tcW w:w="1164" w:type="dxa"/>
            <w:shd w:val="clear" w:color="auto" w:fill="FFFFFF"/>
          </w:tcPr>
          <w:p w14:paraId="7C98898A" w14:textId="77777777" w:rsidR="001117F0" w:rsidRDefault="001117F0" w:rsidP="00A96724">
            <w:pPr>
              <w:pStyle w:val="CETBodytext"/>
              <w:ind w:right="-1"/>
              <w:jc w:val="left"/>
              <w:rPr>
                <w:rFonts w:cs="Arial"/>
                <w:szCs w:val="18"/>
                <w:lang w:val="en-GB"/>
              </w:rPr>
            </w:pPr>
            <w:r>
              <w:rPr>
                <w:rFonts w:cs="Arial"/>
                <w:szCs w:val="18"/>
                <w:lang w:val="en-GB"/>
              </w:rPr>
              <w:t xml:space="preserve">2,660 </w:t>
            </w:r>
            <w:r>
              <w:rPr>
                <w:rFonts w:cs="Arial"/>
                <w:lang w:val="es-ES_tradnl" w:eastAsia="es-ES"/>
              </w:rPr>
              <w:t>± 121.5</w:t>
            </w:r>
          </w:p>
          <w:p w14:paraId="02E1755D" w14:textId="77777777" w:rsidR="001117F0" w:rsidRDefault="001117F0" w:rsidP="00A96724">
            <w:pPr>
              <w:pStyle w:val="CETBodytext"/>
              <w:ind w:right="-1"/>
              <w:jc w:val="left"/>
              <w:rPr>
                <w:rFonts w:cs="Arial"/>
                <w:szCs w:val="18"/>
                <w:lang w:val="en-GB"/>
              </w:rPr>
            </w:pPr>
            <w:r>
              <w:rPr>
                <w:rFonts w:cs="Arial"/>
                <w:szCs w:val="18"/>
                <w:lang w:val="en-GB"/>
              </w:rPr>
              <w:t xml:space="preserve">308 </w:t>
            </w:r>
            <w:r>
              <w:rPr>
                <w:rFonts w:cs="Arial"/>
                <w:lang w:val="es-ES_tradnl" w:eastAsia="es-ES"/>
              </w:rPr>
              <w:t>± 2.5</w:t>
            </w:r>
          </w:p>
          <w:p w14:paraId="100152D5" w14:textId="1E601893" w:rsidR="001117F0" w:rsidRPr="00B57B36" w:rsidRDefault="001117F0" w:rsidP="00A96724">
            <w:pPr>
              <w:pStyle w:val="CETBodytext"/>
              <w:ind w:right="-1"/>
              <w:jc w:val="left"/>
              <w:rPr>
                <w:rFonts w:cs="Arial"/>
                <w:szCs w:val="18"/>
                <w:lang w:val="en-GB"/>
              </w:rPr>
            </w:pPr>
            <w:r>
              <w:rPr>
                <w:rFonts w:cs="Arial"/>
                <w:szCs w:val="18"/>
                <w:lang w:val="en-GB"/>
              </w:rPr>
              <w:t xml:space="preserve">355 </w:t>
            </w:r>
            <w:r>
              <w:rPr>
                <w:rFonts w:cs="Arial"/>
                <w:lang w:val="es-ES_tradnl" w:eastAsia="es-ES"/>
              </w:rPr>
              <w:t>±1.4</w:t>
            </w:r>
          </w:p>
        </w:tc>
        <w:tc>
          <w:tcPr>
            <w:tcW w:w="1135" w:type="dxa"/>
            <w:shd w:val="clear" w:color="auto" w:fill="FFFFFF"/>
          </w:tcPr>
          <w:p w14:paraId="542B0C8A" w14:textId="77777777" w:rsidR="001117F0" w:rsidRDefault="001117F0" w:rsidP="00A96724">
            <w:pPr>
              <w:pStyle w:val="CETBodytext"/>
              <w:ind w:right="-1"/>
              <w:jc w:val="left"/>
              <w:rPr>
                <w:rFonts w:cs="Arial"/>
                <w:szCs w:val="18"/>
                <w:lang w:val="en-GB"/>
              </w:rPr>
            </w:pPr>
            <w:r>
              <w:rPr>
                <w:rFonts w:cs="Arial"/>
                <w:szCs w:val="18"/>
                <w:lang w:val="en-GB"/>
              </w:rPr>
              <w:t xml:space="preserve">4,273 </w:t>
            </w:r>
            <w:r>
              <w:rPr>
                <w:rFonts w:cs="Arial"/>
                <w:lang w:val="es-ES_tradnl" w:eastAsia="es-ES"/>
              </w:rPr>
              <w:t>± 101.7</w:t>
            </w:r>
          </w:p>
          <w:p w14:paraId="128CE194" w14:textId="77777777" w:rsidR="001117F0" w:rsidRDefault="001117F0" w:rsidP="00A96724">
            <w:pPr>
              <w:pStyle w:val="CETBodytext"/>
              <w:ind w:right="-1"/>
              <w:jc w:val="left"/>
              <w:rPr>
                <w:rFonts w:cs="Arial"/>
                <w:szCs w:val="18"/>
                <w:lang w:val="en-GB"/>
              </w:rPr>
            </w:pPr>
            <w:r>
              <w:rPr>
                <w:rFonts w:cs="Arial"/>
                <w:szCs w:val="18"/>
                <w:lang w:val="en-GB"/>
              </w:rPr>
              <w:t xml:space="preserve">302 </w:t>
            </w:r>
            <w:r>
              <w:rPr>
                <w:rFonts w:cs="Arial"/>
                <w:lang w:val="es-ES_tradnl" w:eastAsia="es-ES"/>
              </w:rPr>
              <w:t>± 1.8</w:t>
            </w:r>
          </w:p>
          <w:p w14:paraId="1DD360D7" w14:textId="41B69D44" w:rsidR="001117F0" w:rsidRPr="00B57B36" w:rsidRDefault="001117F0" w:rsidP="00A96724">
            <w:pPr>
              <w:pStyle w:val="CETBodytext"/>
              <w:ind w:right="-1"/>
              <w:jc w:val="left"/>
              <w:rPr>
                <w:rFonts w:cs="Arial"/>
                <w:szCs w:val="18"/>
                <w:lang w:val="en-GB"/>
              </w:rPr>
            </w:pPr>
            <w:r>
              <w:rPr>
                <w:rFonts w:cs="Arial"/>
                <w:szCs w:val="18"/>
                <w:lang w:val="en-GB"/>
              </w:rPr>
              <w:t xml:space="preserve">371 </w:t>
            </w:r>
            <w:r>
              <w:rPr>
                <w:rFonts w:cs="Arial"/>
                <w:lang w:val="es-ES_tradnl" w:eastAsia="es-ES"/>
              </w:rPr>
              <w:t>± 2.01</w:t>
            </w:r>
          </w:p>
        </w:tc>
        <w:tc>
          <w:tcPr>
            <w:tcW w:w="992" w:type="dxa"/>
            <w:shd w:val="clear" w:color="auto" w:fill="FFFFFF"/>
          </w:tcPr>
          <w:p w14:paraId="40324D86" w14:textId="77777777" w:rsidR="001117F0" w:rsidRPr="00B57B36" w:rsidRDefault="001117F0" w:rsidP="00A96724">
            <w:pPr>
              <w:pStyle w:val="CETBodytext"/>
              <w:ind w:right="-1"/>
              <w:jc w:val="left"/>
              <w:rPr>
                <w:rFonts w:cs="Arial"/>
                <w:szCs w:val="18"/>
                <w:lang w:val="en-GB"/>
              </w:rPr>
            </w:pPr>
          </w:p>
        </w:tc>
      </w:tr>
    </w:tbl>
    <w:p w14:paraId="76405159" w14:textId="77777777" w:rsidR="00EF2CBC" w:rsidRDefault="00EF2CBC" w:rsidP="00FB670D">
      <w:pPr>
        <w:jc w:val="center"/>
        <w:rPr>
          <w:i/>
          <w:iCs/>
          <w:sz w:val="16"/>
          <w:szCs w:val="18"/>
          <w:lang w:val="es-MX"/>
        </w:rPr>
      </w:pPr>
    </w:p>
    <w:p w14:paraId="0D8AB49D" w14:textId="02CA3405" w:rsidR="003A282F" w:rsidRPr="00F65832" w:rsidRDefault="003A282F" w:rsidP="005A4915">
      <w:pPr>
        <w:rPr>
          <w:lang w:val="en-US"/>
        </w:rPr>
      </w:pPr>
      <w:r w:rsidRPr="00F65832">
        <w:rPr>
          <w:lang w:val="en-US"/>
        </w:rPr>
        <w:t>Table 1 shows that, by modifying the pH of the stillage, its alkalinity increases, which will help the process withstand the changes that occur during the stages of anaerobic digestion. In addition, the reduction in COD concentration also reduced the organic load of the stillage and could precipitate some organic compounds, causing them to become less soluble. However, these compounds do not decompose or degrade into simpler components; they only change state, going from being dissolved in liquid to solids in sludge. Upon precipitation, the amount of ST and STV decreased in the liquid phase since part of the organic and inorganic matter was converted into precipitated solids. Maintaining TSS and SSV, the organic load in suspended particles is not altered significantly in the neutralization. Table 2 shows the characterization of bagasse without and with thermal pretreatment.</w:t>
      </w:r>
    </w:p>
    <w:p w14:paraId="5C42D254" w14:textId="673DE4F9" w:rsidR="005A4915" w:rsidRPr="009C7AED" w:rsidRDefault="005A4915" w:rsidP="00A96724">
      <w:pPr>
        <w:jc w:val="left"/>
        <w:rPr>
          <w:i/>
          <w:iCs/>
          <w:sz w:val="16"/>
          <w:szCs w:val="18"/>
          <w:lang w:val="en-US"/>
        </w:rPr>
      </w:pPr>
      <w:bookmarkStart w:id="2" w:name="_Toc150906763"/>
      <w:r w:rsidRPr="009C7AED">
        <w:rPr>
          <w:i/>
          <w:iCs/>
          <w:sz w:val="16"/>
          <w:szCs w:val="18"/>
          <w:lang w:val="en-US"/>
        </w:rPr>
        <w:t>Tabl</w:t>
      </w:r>
      <w:r w:rsidR="009C7AED">
        <w:rPr>
          <w:i/>
          <w:iCs/>
          <w:sz w:val="16"/>
          <w:szCs w:val="18"/>
          <w:lang w:val="en-US"/>
        </w:rPr>
        <w:t>e</w:t>
      </w:r>
      <w:r w:rsidRPr="009C7AED">
        <w:rPr>
          <w:i/>
          <w:iCs/>
          <w:sz w:val="16"/>
          <w:szCs w:val="18"/>
          <w:lang w:val="en-US"/>
        </w:rPr>
        <w:t xml:space="preserve"> </w:t>
      </w:r>
      <w:r w:rsidRPr="009C7AED">
        <w:rPr>
          <w:i/>
          <w:iCs/>
          <w:sz w:val="16"/>
          <w:szCs w:val="18"/>
          <w:lang w:val="es-MX"/>
        </w:rPr>
        <w:fldChar w:fldCharType="begin"/>
      </w:r>
      <w:r w:rsidRPr="009C7AED">
        <w:rPr>
          <w:i/>
          <w:iCs/>
          <w:sz w:val="16"/>
          <w:szCs w:val="18"/>
          <w:lang w:val="en-US"/>
        </w:rPr>
        <w:instrText xml:space="preserve"> SEQ Tabla \* ARABIC \s 1 </w:instrText>
      </w:r>
      <w:r w:rsidRPr="009C7AED">
        <w:rPr>
          <w:i/>
          <w:iCs/>
          <w:sz w:val="16"/>
          <w:szCs w:val="18"/>
          <w:lang w:val="es-MX"/>
        </w:rPr>
        <w:fldChar w:fldCharType="separate"/>
      </w:r>
      <w:r w:rsidRPr="009C7AED">
        <w:rPr>
          <w:i/>
          <w:iCs/>
          <w:sz w:val="16"/>
          <w:szCs w:val="18"/>
          <w:lang w:val="en-US"/>
        </w:rPr>
        <w:t>2</w:t>
      </w:r>
      <w:r w:rsidRPr="009C7AED">
        <w:rPr>
          <w:i/>
          <w:iCs/>
          <w:sz w:val="16"/>
          <w:szCs w:val="18"/>
          <w:lang w:val="es-MX"/>
        </w:rPr>
        <w:fldChar w:fldCharType="end"/>
      </w:r>
      <w:r w:rsidR="00BF6341" w:rsidRPr="009C7AED">
        <w:rPr>
          <w:i/>
          <w:iCs/>
          <w:sz w:val="16"/>
          <w:szCs w:val="18"/>
          <w:lang w:val="en-US"/>
        </w:rPr>
        <w:t>:</w:t>
      </w:r>
      <w:r w:rsidRPr="009C7AED">
        <w:rPr>
          <w:i/>
          <w:iCs/>
          <w:sz w:val="16"/>
          <w:szCs w:val="18"/>
          <w:lang w:val="en-US"/>
        </w:rPr>
        <w:t xml:space="preserve"> </w:t>
      </w:r>
      <w:bookmarkEnd w:id="2"/>
      <w:r w:rsidR="000C6945" w:rsidRPr="009C7AED">
        <w:rPr>
          <w:i/>
          <w:iCs/>
          <w:sz w:val="16"/>
          <w:szCs w:val="18"/>
          <w:lang w:val="en-US"/>
        </w:rPr>
        <w:t>Characterization of Bagasse without and with thermal pretreatment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276"/>
        <w:gridCol w:w="1134"/>
      </w:tblGrid>
      <w:tr w:rsidR="00275C61" w:rsidRPr="00B57B36" w14:paraId="291EA0E4" w14:textId="77777777" w:rsidTr="00A96724">
        <w:tc>
          <w:tcPr>
            <w:tcW w:w="1276" w:type="dxa"/>
            <w:tcBorders>
              <w:top w:val="single" w:sz="12" w:space="0" w:color="008000"/>
              <w:bottom w:val="single" w:sz="6" w:space="0" w:color="008000"/>
            </w:tcBorders>
            <w:shd w:val="clear" w:color="auto" w:fill="FFFFFF"/>
          </w:tcPr>
          <w:p w14:paraId="3058F6C9" w14:textId="77777777" w:rsidR="00275C61" w:rsidRPr="00B57B36" w:rsidRDefault="00275C61" w:rsidP="00A96724">
            <w:pPr>
              <w:pStyle w:val="CETBodytext"/>
              <w:jc w:val="left"/>
              <w:rPr>
                <w:lang w:val="en-GB"/>
              </w:rPr>
            </w:pPr>
            <w:r>
              <w:rPr>
                <w:lang w:val="en-GB"/>
              </w:rPr>
              <w:t>Parameter</w:t>
            </w:r>
            <w:r w:rsidRPr="00B57B36">
              <w:rPr>
                <w:lang w:val="en-GB"/>
              </w:rPr>
              <w:t xml:space="preserve"> </w:t>
            </w:r>
          </w:p>
        </w:tc>
        <w:tc>
          <w:tcPr>
            <w:tcW w:w="1276" w:type="dxa"/>
            <w:tcBorders>
              <w:top w:val="single" w:sz="12" w:space="0" w:color="008000"/>
              <w:bottom w:val="single" w:sz="6" w:space="0" w:color="008000"/>
            </w:tcBorders>
            <w:shd w:val="clear" w:color="auto" w:fill="FFFFFF"/>
          </w:tcPr>
          <w:p w14:paraId="054DE769" w14:textId="7D5E795C" w:rsidR="00275C61" w:rsidRPr="00E30E13" w:rsidRDefault="00275C61" w:rsidP="00A96724">
            <w:pPr>
              <w:pStyle w:val="CETBodytext"/>
              <w:jc w:val="left"/>
              <w:rPr>
                <w:lang w:val="en-GB"/>
              </w:rPr>
            </w:pPr>
            <w:r>
              <w:rPr>
                <w:lang w:val="en-GB"/>
              </w:rPr>
              <w:t>Bagasse without pretreatment</w:t>
            </w:r>
          </w:p>
        </w:tc>
        <w:tc>
          <w:tcPr>
            <w:tcW w:w="1134" w:type="dxa"/>
            <w:tcBorders>
              <w:top w:val="single" w:sz="12" w:space="0" w:color="008000"/>
              <w:bottom w:val="single" w:sz="6" w:space="0" w:color="008000"/>
            </w:tcBorders>
            <w:shd w:val="clear" w:color="auto" w:fill="FFFFFF"/>
          </w:tcPr>
          <w:p w14:paraId="18B36A82" w14:textId="3C6BA8CD" w:rsidR="00275C61" w:rsidRPr="00E30E13" w:rsidRDefault="001D728E" w:rsidP="00A96724">
            <w:pPr>
              <w:pStyle w:val="CETBodytext"/>
              <w:jc w:val="left"/>
              <w:rPr>
                <w:lang w:val="en-GB"/>
              </w:rPr>
            </w:pPr>
            <w:r>
              <w:rPr>
                <w:lang w:val="en-GB"/>
              </w:rPr>
              <w:t>Bagasse with pretreatment</w:t>
            </w:r>
          </w:p>
          <w:p w14:paraId="3609BC04" w14:textId="7E19DED1" w:rsidR="00275C61" w:rsidRPr="00E30E13" w:rsidRDefault="00275C61" w:rsidP="00A96724">
            <w:pPr>
              <w:pStyle w:val="CETBodytext"/>
              <w:jc w:val="left"/>
              <w:rPr>
                <w:lang w:val="en-GB"/>
              </w:rPr>
            </w:pPr>
          </w:p>
        </w:tc>
      </w:tr>
      <w:tr w:rsidR="001117F0" w:rsidRPr="00B57B36" w14:paraId="532771DD" w14:textId="77777777" w:rsidTr="00A96724">
        <w:tc>
          <w:tcPr>
            <w:tcW w:w="1276" w:type="dxa"/>
            <w:shd w:val="clear" w:color="auto" w:fill="FFFFFF"/>
          </w:tcPr>
          <w:p w14:paraId="170F0B58" w14:textId="21B105CE" w:rsidR="001117F0" w:rsidRDefault="001117F0" w:rsidP="00A96724">
            <w:pPr>
              <w:pStyle w:val="CETBodytext"/>
              <w:jc w:val="left"/>
              <w:rPr>
                <w:lang w:val="en-GB"/>
              </w:rPr>
            </w:pPr>
            <w:r>
              <w:rPr>
                <w:lang w:val="en-GB"/>
              </w:rPr>
              <w:t>Lignine</w:t>
            </w:r>
          </w:p>
          <w:p w14:paraId="3732F182" w14:textId="32082997" w:rsidR="001117F0" w:rsidRPr="00B57B36" w:rsidRDefault="001117F0" w:rsidP="00A96724">
            <w:pPr>
              <w:pStyle w:val="CETBodytext"/>
              <w:jc w:val="left"/>
              <w:rPr>
                <w:lang w:val="en-GB"/>
              </w:rPr>
            </w:pPr>
            <w:r>
              <w:rPr>
                <w:lang w:val="en-GB"/>
              </w:rPr>
              <w:t>Celulose</w:t>
            </w:r>
          </w:p>
        </w:tc>
        <w:tc>
          <w:tcPr>
            <w:tcW w:w="1276" w:type="dxa"/>
            <w:shd w:val="clear" w:color="auto" w:fill="FFFFFF"/>
          </w:tcPr>
          <w:p w14:paraId="5D24D5F3" w14:textId="77777777" w:rsidR="001117F0" w:rsidRDefault="001117F0" w:rsidP="00A96724">
            <w:pPr>
              <w:pStyle w:val="CETBodytext"/>
              <w:jc w:val="left"/>
              <w:rPr>
                <w:lang w:val="en-GB"/>
              </w:rPr>
            </w:pPr>
            <w:r>
              <w:rPr>
                <w:lang w:val="en-GB"/>
              </w:rPr>
              <w:t xml:space="preserve">32.44 </w:t>
            </w:r>
            <w:r>
              <w:rPr>
                <w:rFonts w:cs="Arial"/>
                <w:lang w:val="es-ES_tradnl" w:eastAsia="es-ES"/>
              </w:rPr>
              <w:t>± 0.02</w:t>
            </w:r>
          </w:p>
          <w:p w14:paraId="004DA669" w14:textId="6930A590" w:rsidR="001117F0" w:rsidRPr="00B57B36" w:rsidRDefault="001117F0" w:rsidP="00A96724">
            <w:pPr>
              <w:pStyle w:val="CETBodytext"/>
              <w:jc w:val="left"/>
              <w:rPr>
                <w:lang w:val="en-GB"/>
              </w:rPr>
            </w:pPr>
            <w:r>
              <w:rPr>
                <w:lang w:val="en-GB"/>
              </w:rPr>
              <w:t xml:space="preserve">66.65 </w:t>
            </w:r>
            <w:r>
              <w:rPr>
                <w:rFonts w:cs="Arial"/>
                <w:lang w:val="es-ES_tradnl" w:eastAsia="es-ES"/>
              </w:rPr>
              <w:t>± 0.3</w:t>
            </w:r>
          </w:p>
        </w:tc>
        <w:tc>
          <w:tcPr>
            <w:tcW w:w="1134" w:type="dxa"/>
            <w:shd w:val="clear" w:color="auto" w:fill="FFFFFF"/>
          </w:tcPr>
          <w:p w14:paraId="33F5D2C6" w14:textId="77777777" w:rsidR="001117F0" w:rsidRDefault="001117F0" w:rsidP="00A96724">
            <w:pPr>
              <w:pStyle w:val="CETBodytext"/>
              <w:jc w:val="left"/>
              <w:rPr>
                <w:lang w:val="es-ES_tradnl" w:eastAsia="es-ES"/>
              </w:rPr>
            </w:pPr>
            <w:r>
              <w:rPr>
                <w:lang w:val="es-ES_tradnl" w:eastAsia="es-ES"/>
              </w:rPr>
              <w:t xml:space="preserve">27.3 </w:t>
            </w:r>
            <w:r>
              <w:rPr>
                <w:rFonts w:cs="Arial"/>
                <w:lang w:val="es-ES_tradnl" w:eastAsia="es-ES"/>
              </w:rPr>
              <w:t>± 0.05</w:t>
            </w:r>
          </w:p>
          <w:p w14:paraId="158424F1" w14:textId="78A3C666" w:rsidR="001117F0" w:rsidRPr="00B57B36" w:rsidRDefault="001117F0" w:rsidP="00A96724">
            <w:pPr>
              <w:pStyle w:val="CETBodytext"/>
              <w:jc w:val="left"/>
              <w:rPr>
                <w:lang w:val="en-GB"/>
              </w:rPr>
            </w:pPr>
            <w:r>
              <w:rPr>
                <w:lang w:val="en-GB"/>
              </w:rPr>
              <w:t xml:space="preserve">58.05 </w:t>
            </w:r>
            <w:r>
              <w:rPr>
                <w:rFonts w:cs="Arial"/>
                <w:lang w:val="es-ES_tradnl" w:eastAsia="es-ES"/>
              </w:rPr>
              <w:t>± 0.1</w:t>
            </w:r>
          </w:p>
        </w:tc>
      </w:tr>
      <w:tr w:rsidR="001117F0" w:rsidRPr="00B57B36" w14:paraId="1EAAB463" w14:textId="77777777" w:rsidTr="00A96724">
        <w:tc>
          <w:tcPr>
            <w:tcW w:w="1276" w:type="dxa"/>
            <w:shd w:val="clear" w:color="auto" w:fill="FFFFFF"/>
          </w:tcPr>
          <w:p w14:paraId="2B481A68" w14:textId="4012F32F" w:rsidR="001117F0" w:rsidRPr="00B57B36" w:rsidRDefault="001117F0" w:rsidP="00A96724">
            <w:pPr>
              <w:pStyle w:val="CETBodytext"/>
              <w:jc w:val="left"/>
              <w:rPr>
                <w:lang w:val="en-GB"/>
              </w:rPr>
            </w:pPr>
            <w:r>
              <w:rPr>
                <w:lang w:val="en-GB"/>
              </w:rPr>
              <w:t>Holocelullose</w:t>
            </w:r>
          </w:p>
        </w:tc>
        <w:tc>
          <w:tcPr>
            <w:tcW w:w="1276" w:type="dxa"/>
            <w:shd w:val="clear" w:color="auto" w:fill="FFFFFF"/>
          </w:tcPr>
          <w:p w14:paraId="0829C992" w14:textId="03706B4C" w:rsidR="001117F0" w:rsidRPr="00B57B36" w:rsidRDefault="001117F0" w:rsidP="00A96724">
            <w:pPr>
              <w:pStyle w:val="CETBodytext"/>
              <w:jc w:val="left"/>
              <w:rPr>
                <w:lang w:val="en-GB"/>
              </w:rPr>
            </w:pPr>
            <w:r>
              <w:rPr>
                <w:lang w:val="en-GB"/>
              </w:rPr>
              <w:t xml:space="preserve">67.15 </w:t>
            </w:r>
            <w:r>
              <w:rPr>
                <w:rFonts w:cs="Arial"/>
                <w:lang w:val="es-ES_tradnl" w:eastAsia="es-ES"/>
              </w:rPr>
              <w:t>± 0.01</w:t>
            </w:r>
          </w:p>
        </w:tc>
        <w:tc>
          <w:tcPr>
            <w:tcW w:w="1134" w:type="dxa"/>
            <w:shd w:val="clear" w:color="auto" w:fill="FFFFFF"/>
          </w:tcPr>
          <w:p w14:paraId="4626ABF2" w14:textId="0B86724D" w:rsidR="001117F0" w:rsidRPr="00B57B36" w:rsidRDefault="001117F0" w:rsidP="00A96724">
            <w:pPr>
              <w:pStyle w:val="CETBodytext"/>
              <w:jc w:val="left"/>
              <w:rPr>
                <w:lang w:val="en-GB"/>
              </w:rPr>
            </w:pPr>
            <w:r>
              <w:rPr>
                <w:lang w:val="en-GB"/>
              </w:rPr>
              <w:t xml:space="preserve">80.61 </w:t>
            </w:r>
            <w:r>
              <w:rPr>
                <w:rFonts w:cs="Arial"/>
                <w:lang w:val="es-ES_tradnl" w:eastAsia="es-ES"/>
              </w:rPr>
              <w:t>± 0.02</w:t>
            </w:r>
          </w:p>
        </w:tc>
      </w:tr>
    </w:tbl>
    <w:p w14:paraId="4B6D8565" w14:textId="372495A8" w:rsidR="00B505EB" w:rsidRPr="00876DDD" w:rsidRDefault="00B505EB" w:rsidP="00B505EB">
      <w:pPr>
        <w:rPr>
          <w:color w:val="0E101A"/>
          <w:szCs w:val="18"/>
          <w:lang w:val="en-US"/>
        </w:rPr>
      </w:pPr>
      <w:r w:rsidRPr="00876DDD">
        <w:rPr>
          <w:color w:val="0E101A"/>
          <w:szCs w:val="18"/>
          <w:lang w:val="en-US"/>
        </w:rPr>
        <w:t xml:space="preserve">Based on the data in Table 2, it is evident that the percentages of cellulose and hemicellulose in </w:t>
      </w:r>
      <w:r w:rsidR="00876DDD">
        <w:rPr>
          <w:color w:val="0E101A"/>
          <w:szCs w:val="18"/>
          <w:lang w:val="en-US"/>
        </w:rPr>
        <w:t>A</w:t>
      </w:r>
      <w:r w:rsidRPr="00876DDD">
        <w:rPr>
          <w:color w:val="0E101A"/>
          <w:szCs w:val="18"/>
          <w:lang w:val="en-US"/>
        </w:rPr>
        <w:t xml:space="preserve">gave </w:t>
      </w:r>
      <w:proofErr w:type="spellStart"/>
      <w:r w:rsidRPr="007947C3">
        <w:rPr>
          <w:color w:val="0E101A"/>
          <w:szCs w:val="18"/>
          <w:lang w:val="en-US"/>
        </w:rPr>
        <w:t>durangensis</w:t>
      </w:r>
      <w:proofErr w:type="spellEnd"/>
      <w:r w:rsidRPr="00876DDD">
        <w:rPr>
          <w:color w:val="0E101A"/>
          <w:szCs w:val="18"/>
          <w:lang w:val="en-US"/>
        </w:rPr>
        <w:t xml:space="preserve"> are higher than those of </w:t>
      </w:r>
      <w:r w:rsidR="00876DDD">
        <w:rPr>
          <w:color w:val="0E101A"/>
          <w:szCs w:val="18"/>
          <w:lang w:val="en-US"/>
        </w:rPr>
        <w:t>A</w:t>
      </w:r>
      <w:r w:rsidRPr="00876DDD">
        <w:rPr>
          <w:color w:val="0E101A"/>
          <w:szCs w:val="18"/>
          <w:lang w:val="en-US"/>
        </w:rPr>
        <w:t xml:space="preserve">gave </w:t>
      </w:r>
      <w:proofErr w:type="spellStart"/>
      <w:r w:rsidRPr="007947C3">
        <w:rPr>
          <w:color w:val="0E101A"/>
          <w:szCs w:val="18"/>
          <w:lang w:val="en-US"/>
        </w:rPr>
        <w:t>tequilana</w:t>
      </w:r>
      <w:proofErr w:type="spellEnd"/>
      <w:r w:rsidRPr="00876DDD">
        <w:rPr>
          <w:color w:val="0E101A"/>
          <w:szCs w:val="18"/>
          <w:lang w:val="en-US"/>
        </w:rPr>
        <w:t xml:space="preserve">. This phenomenon could be closely linked to the specific environmental conditions each species develops. It is possible that habitat variations, including differences in soil, climate, and water availability, contribute significantly to the chemical composition of the plants. </w:t>
      </w:r>
    </w:p>
    <w:p w14:paraId="28F54736" w14:textId="2B2342E6" w:rsidR="002E339B" w:rsidRPr="00876DDD" w:rsidRDefault="00B505EB" w:rsidP="00B505EB">
      <w:pPr>
        <w:rPr>
          <w:color w:val="0E101A"/>
          <w:szCs w:val="18"/>
          <w:lang w:val="en-US"/>
        </w:rPr>
      </w:pPr>
      <w:r w:rsidRPr="00876DDD">
        <w:rPr>
          <w:color w:val="0E101A"/>
          <w:szCs w:val="18"/>
          <w:lang w:val="en-US"/>
        </w:rPr>
        <w:t xml:space="preserve">According to the data obtained from the organic compounds of agave </w:t>
      </w:r>
      <w:proofErr w:type="spellStart"/>
      <w:r w:rsidRPr="007947C3">
        <w:rPr>
          <w:color w:val="0E101A"/>
          <w:szCs w:val="18"/>
          <w:lang w:val="en-US"/>
        </w:rPr>
        <w:t>durangensis</w:t>
      </w:r>
      <w:proofErr w:type="spellEnd"/>
      <w:r w:rsidRPr="00876DDD">
        <w:rPr>
          <w:color w:val="0E101A"/>
          <w:szCs w:val="18"/>
          <w:lang w:val="en-US"/>
        </w:rPr>
        <w:t xml:space="preserve"> and compared with previous research on </w:t>
      </w:r>
      <w:r w:rsidR="00876DDD">
        <w:rPr>
          <w:color w:val="0E101A"/>
          <w:szCs w:val="18"/>
          <w:lang w:val="en-US"/>
        </w:rPr>
        <w:t>A</w:t>
      </w:r>
      <w:r w:rsidRPr="00876DDD">
        <w:rPr>
          <w:color w:val="0E101A"/>
          <w:szCs w:val="18"/>
          <w:lang w:val="en-US"/>
        </w:rPr>
        <w:t xml:space="preserve">gave </w:t>
      </w:r>
      <w:proofErr w:type="spellStart"/>
      <w:r w:rsidRPr="007947C3">
        <w:rPr>
          <w:color w:val="0E101A"/>
          <w:szCs w:val="18"/>
          <w:lang w:val="en-US"/>
        </w:rPr>
        <w:t>tequilana</w:t>
      </w:r>
      <w:proofErr w:type="spellEnd"/>
      <w:r w:rsidRPr="00876DDD">
        <w:rPr>
          <w:color w:val="0E101A"/>
          <w:szCs w:val="18"/>
          <w:lang w:val="en-US"/>
        </w:rPr>
        <w:t xml:space="preserve">, </w:t>
      </w:r>
      <w:r w:rsidR="00876DDD">
        <w:rPr>
          <w:color w:val="0E101A"/>
          <w:szCs w:val="18"/>
          <w:lang w:val="en-US"/>
        </w:rPr>
        <w:t>A</w:t>
      </w:r>
      <w:r w:rsidRPr="00876DDD">
        <w:rPr>
          <w:color w:val="0E101A"/>
          <w:szCs w:val="18"/>
          <w:lang w:val="en-US"/>
        </w:rPr>
        <w:t xml:space="preserve">gave </w:t>
      </w:r>
      <w:proofErr w:type="spellStart"/>
      <w:r w:rsidRPr="007947C3">
        <w:rPr>
          <w:color w:val="0E101A"/>
          <w:szCs w:val="18"/>
          <w:lang w:val="en-US"/>
        </w:rPr>
        <w:t>durangensis</w:t>
      </w:r>
      <w:proofErr w:type="spellEnd"/>
      <w:r w:rsidRPr="00876DDD">
        <w:rPr>
          <w:color w:val="0E101A"/>
          <w:szCs w:val="18"/>
          <w:lang w:val="en-US"/>
        </w:rPr>
        <w:t xml:space="preserve"> has a higher percentage of cellulose and hemicellulose. This finding suggests a greater availability of carbon sources for the anaerobic system. In addition, other studies (Contreras-Hernández et al., 2018) have reported the presence of flavonoids, which are related to the presence of lignin. These compounds probably affect the system that facilitates the development of microorganisms in the anaerobic digestion process. </w:t>
      </w:r>
    </w:p>
    <w:p w14:paraId="03A293C6" w14:textId="6B524708" w:rsidR="003A282F" w:rsidRPr="00F65832" w:rsidRDefault="003A282F" w:rsidP="00B505EB">
      <w:pPr>
        <w:rPr>
          <w:lang w:val="en-US"/>
        </w:rPr>
      </w:pPr>
      <w:r w:rsidRPr="00F65832">
        <w:rPr>
          <w:lang w:val="en-US"/>
        </w:rPr>
        <w:t xml:space="preserve">The results obtained show that the thermal pretreatment is influential since a reduction of 11.84% of lignin was obtained, thus facilitating the anaerobic digestion </w:t>
      </w:r>
      <w:proofErr w:type="gramStart"/>
      <w:r w:rsidRPr="00F65832">
        <w:rPr>
          <w:lang w:val="en-US"/>
        </w:rPr>
        <w:t>process</w:t>
      </w:r>
      <w:proofErr w:type="gramEnd"/>
      <w:r w:rsidRPr="00F65832">
        <w:rPr>
          <w:lang w:val="en-US"/>
        </w:rPr>
        <w:t xml:space="preserve"> and giving the possibility of increasing methane production in the anaerobic digestion process.</w:t>
      </w:r>
    </w:p>
    <w:p w14:paraId="13418525" w14:textId="0F0BD6E5" w:rsidR="00F544B3" w:rsidRPr="00F65832" w:rsidRDefault="003A282F" w:rsidP="003A282F">
      <w:pPr>
        <w:rPr>
          <w:lang w:val="en-US"/>
        </w:rPr>
      </w:pPr>
      <w:r w:rsidRPr="00F65832">
        <w:rPr>
          <w:lang w:val="en-US"/>
        </w:rPr>
        <w:t>Figures 3, 4, 5, and 6 show the results of the behavior of solids during anaerobic digestion for pH's of 8 and 9 and at 5 and 10% bagasse.</w:t>
      </w:r>
    </w:p>
    <w:tbl>
      <w:tblPr>
        <w:tblStyle w:val="Tablaconcuadrcula"/>
        <w:tblW w:w="87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4558"/>
      </w:tblGrid>
      <w:tr w:rsidR="00811C82" w:rsidRPr="008A6D33" w14:paraId="184330E1" w14:textId="77777777" w:rsidTr="008063EA">
        <w:trPr>
          <w:trHeight w:val="3315"/>
          <w:jc w:val="center"/>
        </w:trPr>
        <w:tc>
          <w:tcPr>
            <w:tcW w:w="4216" w:type="dxa"/>
            <w:vAlign w:val="center"/>
          </w:tcPr>
          <w:p w14:paraId="420B5745" w14:textId="77777777" w:rsidR="00811C82" w:rsidRDefault="00811C82" w:rsidP="00811C82">
            <w:pPr>
              <w:keepNext/>
              <w:spacing w:after="160" w:line="259" w:lineRule="auto"/>
              <w:jc w:val="center"/>
            </w:pPr>
            <w:r w:rsidRPr="00BF669B">
              <w:rPr>
                <w:noProof/>
              </w:rPr>
              <w:drawing>
                <wp:inline distT="0" distB="0" distL="0" distR="0" wp14:anchorId="05F57F6F" wp14:editId="5B67C45D">
                  <wp:extent cx="2547419" cy="1494806"/>
                  <wp:effectExtent l="0" t="0" r="5715" b="0"/>
                  <wp:docPr id="1197479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79724" name="Imagen 1"/>
                          <pic:cNvPicPr/>
                        </pic:nvPicPr>
                        <pic:blipFill>
                          <a:blip r:embed="rId14"/>
                          <a:stretch>
                            <a:fillRect/>
                          </a:stretch>
                        </pic:blipFill>
                        <pic:spPr>
                          <a:xfrm>
                            <a:off x="0" y="0"/>
                            <a:ext cx="2547419" cy="1494806"/>
                          </a:xfrm>
                          <a:prstGeom prst="rect">
                            <a:avLst/>
                          </a:prstGeom>
                        </pic:spPr>
                      </pic:pic>
                    </a:graphicData>
                  </a:graphic>
                </wp:inline>
              </w:drawing>
            </w:r>
          </w:p>
          <w:p w14:paraId="481FC5D6" w14:textId="0B26BD95" w:rsidR="00811C82" w:rsidRPr="009C7AED" w:rsidRDefault="00811C82" w:rsidP="00811C82">
            <w:pPr>
              <w:jc w:val="center"/>
              <w:rPr>
                <w:i/>
                <w:iCs/>
                <w:noProof/>
                <w:sz w:val="16"/>
                <w:szCs w:val="14"/>
                <w:lang w:val="en-US"/>
              </w:rPr>
            </w:pPr>
            <w:r w:rsidRPr="009C7AED">
              <w:rPr>
                <w:i/>
                <w:iCs/>
                <w:lang w:val="en-US"/>
              </w:rPr>
              <w:t>Figur</w:t>
            </w:r>
            <w:r w:rsidR="006522FF" w:rsidRPr="009C7AED">
              <w:rPr>
                <w:i/>
                <w:iCs/>
                <w:lang w:val="en-US"/>
              </w:rPr>
              <w:t xml:space="preserve">e </w:t>
            </w:r>
            <w:r w:rsidR="00E83E5F" w:rsidRPr="009C7AED">
              <w:rPr>
                <w:i/>
                <w:iCs/>
                <w:lang w:val="en-US"/>
              </w:rPr>
              <w:t xml:space="preserve">3: </w:t>
            </w:r>
            <w:r w:rsidR="00F3461B" w:rsidRPr="009C7AED">
              <w:rPr>
                <w:i/>
                <w:iCs/>
                <w:lang w:val="en-US"/>
              </w:rPr>
              <w:t>Solids Biological Kinetics (5% bagasse and pH 8)</w:t>
            </w:r>
          </w:p>
          <w:p w14:paraId="6EAC41A6" w14:textId="441A5A69" w:rsidR="00811C82" w:rsidRPr="00F65832" w:rsidRDefault="00811C82">
            <w:pPr>
              <w:jc w:val="center"/>
              <w:rPr>
                <w:lang w:val="en-US"/>
              </w:rPr>
            </w:pPr>
          </w:p>
        </w:tc>
        <w:tc>
          <w:tcPr>
            <w:tcW w:w="4551" w:type="dxa"/>
            <w:vAlign w:val="center"/>
          </w:tcPr>
          <w:p w14:paraId="615F76D6" w14:textId="77777777" w:rsidR="00811C82" w:rsidRPr="00F65832" w:rsidRDefault="00811C82">
            <w:pPr>
              <w:jc w:val="center"/>
              <w:rPr>
                <w:lang w:val="en-US"/>
              </w:rPr>
            </w:pPr>
          </w:p>
          <w:p w14:paraId="16D8695E" w14:textId="77777777" w:rsidR="00811C82" w:rsidRDefault="00811C82" w:rsidP="00811C82">
            <w:pPr>
              <w:jc w:val="center"/>
            </w:pPr>
            <w:r w:rsidRPr="00BF669B">
              <w:rPr>
                <w:noProof/>
              </w:rPr>
              <w:drawing>
                <wp:inline distT="0" distB="0" distL="0" distR="0" wp14:anchorId="79678A54" wp14:editId="3DC48ADB">
                  <wp:extent cx="2759151" cy="1519357"/>
                  <wp:effectExtent l="0" t="0" r="3175" b="5080"/>
                  <wp:docPr id="1946500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00710" name="Imagen 1"/>
                          <pic:cNvPicPr/>
                        </pic:nvPicPr>
                        <pic:blipFill>
                          <a:blip r:embed="rId15"/>
                          <a:stretch>
                            <a:fillRect/>
                          </a:stretch>
                        </pic:blipFill>
                        <pic:spPr>
                          <a:xfrm>
                            <a:off x="0" y="0"/>
                            <a:ext cx="2759151" cy="1519357"/>
                          </a:xfrm>
                          <a:prstGeom prst="rect">
                            <a:avLst/>
                          </a:prstGeom>
                        </pic:spPr>
                      </pic:pic>
                    </a:graphicData>
                  </a:graphic>
                </wp:inline>
              </w:drawing>
            </w:r>
          </w:p>
          <w:p w14:paraId="074EE9AF" w14:textId="07652149" w:rsidR="00811C82" w:rsidRPr="009C7AED" w:rsidRDefault="00811C82" w:rsidP="00811C82">
            <w:pPr>
              <w:jc w:val="center"/>
              <w:rPr>
                <w:i/>
                <w:iCs/>
                <w:lang w:val="en-US"/>
              </w:rPr>
            </w:pPr>
            <w:bookmarkStart w:id="3" w:name="_Toc150906751"/>
            <w:r w:rsidRPr="009C7AED">
              <w:rPr>
                <w:i/>
                <w:iCs/>
                <w:lang w:val="en-US"/>
              </w:rPr>
              <w:t>Figur</w:t>
            </w:r>
            <w:r w:rsidR="006522FF" w:rsidRPr="009C7AED">
              <w:rPr>
                <w:i/>
                <w:iCs/>
                <w:lang w:val="en-US"/>
              </w:rPr>
              <w:t>e</w:t>
            </w:r>
            <w:r w:rsidRPr="009C7AED">
              <w:rPr>
                <w:i/>
                <w:iCs/>
                <w:lang w:val="en-US"/>
              </w:rPr>
              <w:t xml:space="preserve"> </w:t>
            </w:r>
            <w:r w:rsidRPr="009C7AED">
              <w:rPr>
                <w:i/>
                <w:iCs/>
              </w:rPr>
              <w:fldChar w:fldCharType="begin"/>
            </w:r>
            <w:r w:rsidRPr="009C7AED">
              <w:rPr>
                <w:i/>
                <w:iCs/>
                <w:lang w:val="en-US"/>
              </w:rPr>
              <w:instrText xml:space="preserve"> STYLEREF 1 \s </w:instrText>
            </w:r>
            <w:r w:rsidRPr="009C7AED">
              <w:rPr>
                <w:i/>
                <w:iCs/>
              </w:rPr>
              <w:fldChar w:fldCharType="separate"/>
            </w:r>
            <w:r w:rsidRPr="009C7AED">
              <w:rPr>
                <w:i/>
                <w:iCs/>
                <w:lang w:val="en-US"/>
              </w:rPr>
              <w:t>4</w:t>
            </w:r>
            <w:r w:rsidRPr="009C7AED">
              <w:rPr>
                <w:i/>
                <w:iCs/>
              </w:rPr>
              <w:fldChar w:fldCharType="end"/>
            </w:r>
            <w:r w:rsidR="00E83E5F" w:rsidRPr="009C7AED">
              <w:rPr>
                <w:i/>
                <w:iCs/>
                <w:lang w:val="en-US"/>
              </w:rPr>
              <w:t>:</w:t>
            </w:r>
            <w:r w:rsidRPr="009C7AED">
              <w:rPr>
                <w:i/>
                <w:iCs/>
                <w:lang w:val="en-US"/>
              </w:rPr>
              <w:t xml:space="preserve"> </w:t>
            </w:r>
            <w:r w:rsidR="00F3461B" w:rsidRPr="009C7AED">
              <w:rPr>
                <w:i/>
                <w:iCs/>
                <w:lang w:val="en-US"/>
              </w:rPr>
              <w:t>Solids Biological Kinetics (10% bagasse and pH 8)</w:t>
            </w:r>
            <w:bookmarkEnd w:id="3"/>
          </w:p>
          <w:p w14:paraId="2100016B" w14:textId="33888162" w:rsidR="00811C82" w:rsidRPr="00F65832" w:rsidRDefault="00811C82">
            <w:pPr>
              <w:jc w:val="center"/>
              <w:rPr>
                <w:lang w:val="en-US"/>
              </w:rPr>
            </w:pPr>
          </w:p>
        </w:tc>
      </w:tr>
    </w:tbl>
    <w:p w14:paraId="4C3BD6D7" w14:textId="6F0B0A61" w:rsidR="00FE7397" w:rsidRPr="00F65832" w:rsidRDefault="003A282F" w:rsidP="00FE7397">
      <w:pPr>
        <w:rPr>
          <w:lang w:val="en-US"/>
        </w:rPr>
      </w:pPr>
      <w:r w:rsidRPr="00F65832">
        <w:rPr>
          <w:lang w:val="en-US"/>
        </w:rPr>
        <w:t>Observing all the experiments, reductions in solids can be seen; however, at a lower load of 5% bagasse and a pH of 9, the reduction is more significant, in this case 43%. The measurement of solids indicates biological activity and degradation of organic matter since the reduction of solids indicates the production of biogas with high methane content, depending on the initial characterization of the digested substrates.</w:t>
      </w:r>
    </w:p>
    <w:tbl>
      <w:tblPr>
        <w:tblStyle w:val="Tablaconcuadrcula"/>
        <w:tblW w:w="8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395"/>
      </w:tblGrid>
      <w:tr w:rsidR="00811C82" w:rsidRPr="008A6D33" w14:paraId="0225F3ED" w14:textId="77777777">
        <w:trPr>
          <w:trHeight w:val="3315"/>
          <w:jc w:val="center"/>
        </w:trPr>
        <w:tc>
          <w:tcPr>
            <w:tcW w:w="3996" w:type="dxa"/>
            <w:vAlign w:val="center"/>
          </w:tcPr>
          <w:p w14:paraId="416F9B7A" w14:textId="77777777" w:rsidR="00811C82" w:rsidRPr="00F65832" w:rsidRDefault="00811C82">
            <w:pPr>
              <w:jc w:val="center"/>
              <w:rPr>
                <w:lang w:val="en-US"/>
              </w:rPr>
            </w:pPr>
          </w:p>
          <w:p w14:paraId="592A3672" w14:textId="77777777" w:rsidR="00811C82" w:rsidRDefault="00811C82" w:rsidP="00811C82">
            <w:pPr>
              <w:keepNext/>
              <w:spacing w:after="160" w:line="259" w:lineRule="auto"/>
              <w:jc w:val="center"/>
            </w:pPr>
            <w:r w:rsidRPr="00BF669B">
              <w:rPr>
                <w:noProof/>
              </w:rPr>
              <w:drawing>
                <wp:inline distT="0" distB="0" distL="0" distR="0" wp14:anchorId="60B71724" wp14:editId="5289853E">
                  <wp:extent cx="2577608" cy="1380166"/>
                  <wp:effectExtent l="0" t="0" r="0" b="0"/>
                  <wp:docPr id="16828659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65939" name="Imagen 1"/>
                          <pic:cNvPicPr/>
                        </pic:nvPicPr>
                        <pic:blipFill>
                          <a:blip r:embed="rId16"/>
                          <a:stretch>
                            <a:fillRect/>
                          </a:stretch>
                        </pic:blipFill>
                        <pic:spPr>
                          <a:xfrm>
                            <a:off x="0" y="0"/>
                            <a:ext cx="2577608" cy="1380166"/>
                          </a:xfrm>
                          <a:prstGeom prst="rect">
                            <a:avLst/>
                          </a:prstGeom>
                        </pic:spPr>
                      </pic:pic>
                    </a:graphicData>
                  </a:graphic>
                </wp:inline>
              </w:drawing>
            </w:r>
          </w:p>
          <w:p w14:paraId="4377A9BA" w14:textId="0E00EE51" w:rsidR="00811C82" w:rsidRPr="00CE6931" w:rsidRDefault="00811C82" w:rsidP="00811C82">
            <w:pPr>
              <w:pStyle w:val="CETReferencetext"/>
              <w:jc w:val="center"/>
              <w:rPr>
                <w:i/>
                <w:iCs/>
                <w:sz w:val="32"/>
                <w:szCs w:val="28"/>
                <w:lang w:val="en-US"/>
              </w:rPr>
            </w:pPr>
            <w:bookmarkStart w:id="4" w:name="_Toc150906752"/>
            <w:r w:rsidRPr="00CE6931">
              <w:rPr>
                <w:i/>
                <w:iCs/>
                <w:lang w:val="en-US"/>
              </w:rPr>
              <w:t>Figur</w:t>
            </w:r>
            <w:r w:rsidR="006522FF" w:rsidRPr="00CE6931">
              <w:rPr>
                <w:i/>
                <w:iCs/>
                <w:lang w:val="en-US"/>
              </w:rPr>
              <w:t>e</w:t>
            </w:r>
            <w:r w:rsidR="00E83E5F" w:rsidRPr="00CE6931">
              <w:rPr>
                <w:i/>
                <w:iCs/>
                <w:lang w:val="en-US"/>
              </w:rPr>
              <w:t xml:space="preserve"> 5:</w:t>
            </w:r>
            <w:r w:rsidRPr="00CE6931">
              <w:rPr>
                <w:i/>
                <w:iCs/>
                <w:lang w:val="en-US"/>
              </w:rPr>
              <w:t xml:space="preserve">  </w:t>
            </w:r>
            <w:r w:rsidR="00F3461B" w:rsidRPr="00CE6931">
              <w:rPr>
                <w:i/>
                <w:iCs/>
                <w:lang w:val="en-US"/>
              </w:rPr>
              <w:t>Solids Biological Kinetics (5% bagasse and pH 9)</w:t>
            </w:r>
            <w:bookmarkEnd w:id="4"/>
          </w:p>
          <w:p w14:paraId="02DB6568" w14:textId="77777777" w:rsidR="00811C82" w:rsidRPr="00F65832" w:rsidRDefault="00811C82">
            <w:pPr>
              <w:jc w:val="center"/>
              <w:rPr>
                <w:lang w:val="en-US"/>
              </w:rPr>
            </w:pPr>
          </w:p>
        </w:tc>
        <w:tc>
          <w:tcPr>
            <w:tcW w:w="4674" w:type="dxa"/>
            <w:vAlign w:val="center"/>
          </w:tcPr>
          <w:p w14:paraId="35CDF52A" w14:textId="77777777" w:rsidR="00811C82" w:rsidRPr="00F65832" w:rsidRDefault="00811C82">
            <w:pPr>
              <w:jc w:val="center"/>
              <w:rPr>
                <w:lang w:val="en-US"/>
              </w:rPr>
            </w:pPr>
          </w:p>
          <w:p w14:paraId="51F74EBC" w14:textId="77777777" w:rsidR="00811C82" w:rsidRDefault="00811C82" w:rsidP="00811C82">
            <w:pPr>
              <w:keepNext/>
              <w:spacing w:after="160" w:line="259" w:lineRule="auto"/>
              <w:jc w:val="center"/>
            </w:pPr>
            <w:r w:rsidRPr="00BF669B">
              <w:rPr>
                <w:noProof/>
              </w:rPr>
              <w:drawing>
                <wp:inline distT="0" distB="0" distL="0" distR="0" wp14:anchorId="356B10AD" wp14:editId="3FD92232">
                  <wp:extent cx="2550596" cy="1400469"/>
                  <wp:effectExtent l="0" t="0" r="2540" b="9525"/>
                  <wp:docPr id="1899521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21579" name="Imagen 1"/>
                          <pic:cNvPicPr/>
                        </pic:nvPicPr>
                        <pic:blipFill>
                          <a:blip r:embed="rId17"/>
                          <a:stretch>
                            <a:fillRect/>
                          </a:stretch>
                        </pic:blipFill>
                        <pic:spPr>
                          <a:xfrm>
                            <a:off x="0" y="0"/>
                            <a:ext cx="2550596" cy="1400469"/>
                          </a:xfrm>
                          <a:prstGeom prst="rect">
                            <a:avLst/>
                          </a:prstGeom>
                        </pic:spPr>
                      </pic:pic>
                    </a:graphicData>
                  </a:graphic>
                </wp:inline>
              </w:drawing>
            </w:r>
          </w:p>
          <w:p w14:paraId="17947577" w14:textId="65B19156" w:rsidR="00811C82" w:rsidRPr="009C7AED" w:rsidRDefault="00811C82" w:rsidP="00811C82">
            <w:pPr>
              <w:pStyle w:val="CETReferencetext"/>
              <w:jc w:val="center"/>
              <w:rPr>
                <w:i/>
                <w:iCs/>
                <w:sz w:val="32"/>
                <w:szCs w:val="28"/>
                <w:lang w:val="en-US"/>
              </w:rPr>
            </w:pPr>
            <w:bookmarkStart w:id="5" w:name="_Toc150906753"/>
            <w:r w:rsidRPr="009C7AED">
              <w:rPr>
                <w:i/>
                <w:iCs/>
                <w:lang w:val="en-US"/>
              </w:rPr>
              <w:t>Figur</w:t>
            </w:r>
            <w:r w:rsidR="006522FF" w:rsidRPr="009C7AED">
              <w:rPr>
                <w:i/>
                <w:iCs/>
                <w:lang w:val="en-US"/>
              </w:rPr>
              <w:t>e</w:t>
            </w:r>
            <w:r w:rsidR="00D6715D" w:rsidRPr="009C7AED">
              <w:rPr>
                <w:i/>
                <w:iCs/>
                <w:lang w:val="en-US"/>
              </w:rPr>
              <w:t xml:space="preserve"> 6:</w:t>
            </w:r>
            <w:r w:rsidRPr="009C7AED">
              <w:rPr>
                <w:i/>
                <w:iCs/>
                <w:lang w:val="en-US"/>
              </w:rPr>
              <w:t xml:space="preserve"> </w:t>
            </w:r>
            <w:r w:rsidR="00F3461B" w:rsidRPr="009C7AED">
              <w:rPr>
                <w:i/>
                <w:iCs/>
                <w:lang w:val="en-US"/>
              </w:rPr>
              <w:t>Solids Biological Kinetics (10% bagasse and pH 9)</w:t>
            </w:r>
            <w:bookmarkEnd w:id="5"/>
          </w:p>
          <w:p w14:paraId="4E49D966" w14:textId="77777777" w:rsidR="00811C82" w:rsidRPr="00F65832" w:rsidRDefault="00811C82">
            <w:pPr>
              <w:jc w:val="center"/>
              <w:rPr>
                <w:lang w:val="en-US"/>
              </w:rPr>
            </w:pPr>
          </w:p>
        </w:tc>
      </w:tr>
    </w:tbl>
    <w:p w14:paraId="4375386F" w14:textId="77777777" w:rsidR="0011253C" w:rsidRDefault="0011253C" w:rsidP="003B0F01">
      <w:pPr>
        <w:pStyle w:val="CETTabletitle"/>
        <w:rPr>
          <w:i w:val="0"/>
          <w:lang w:val="en-US"/>
        </w:rPr>
      </w:pPr>
      <w:r w:rsidRPr="0011253C">
        <w:rPr>
          <w:i w:val="0"/>
          <w:lang w:val="en-US"/>
        </w:rPr>
        <w:t>Table 3 shows the solids reduction at different pH conditions and % bagasse during the anaerobic digestion. The highest reductions in solids occurred at pH 9 and 5% bagasse. In the ANOVA analysis, the p-value for pH was 0.024, and for bagasse percentage, it was 0.034. Both values are below 0.05 and, therefore, significant.</w:t>
      </w:r>
    </w:p>
    <w:p w14:paraId="55DAA74C" w14:textId="7EF6C0E5" w:rsidR="003A282F" w:rsidRPr="00CE6931" w:rsidRDefault="003A282F" w:rsidP="003B0F01">
      <w:pPr>
        <w:pStyle w:val="CETTabletitle"/>
        <w:rPr>
          <w:iCs/>
          <w:lang w:val="en-US"/>
        </w:rPr>
      </w:pPr>
      <w:r w:rsidRPr="00CE6931">
        <w:rPr>
          <w:iCs/>
          <w:lang w:val="en-US"/>
        </w:rPr>
        <w:t xml:space="preserve">Table 3: </w:t>
      </w:r>
      <w:r w:rsidR="00DD2F49" w:rsidRPr="00CE6931">
        <w:rPr>
          <w:iCs/>
          <w:lang w:val="en-US"/>
        </w:rPr>
        <w:t xml:space="preserve">Results of solids reduction during </w:t>
      </w:r>
      <w:r w:rsidR="0011253C">
        <w:rPr>
          <w:iCs/>
          <w:lang w:val="en-US"/>
        </w:rPr>
        <w:t xml:space="preserve">the </w:t>
      </w:r>
      <w:r w:rsidR="00DD2F49" w:rsidRPr="00CE6931">
        <w:rPr>
          <w:iCs/>
          <w:lang w:val="en-US"/>
        </w:rPr>
        <w:t>anaerobic digestion process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418"/>
        <w:gridCol w:w="1134"/>
        <w:gridCol w:w="1134"/>
        <w:gridCol w:w="850"/>
      </w:tblGrid>
      <w:tr w:rsidR="003B0F01" w:rsidRPr="00B57B36" w14:paraId="476F772B" w14:textId="77777777" w:rsidTr="00450F35">
        <w:tc>
          <w:tcPr>
            <w:tcW w:w="1134" w:type="dxa"/>
            <w:tcBorders>
              <w:top w:val="single" w:sz="12" w:space="0" w:color="008000"/>
              <w:bottom w:val="single" w:sz="6" w:space="0" w:color="008000"/>
            </w:tcBorders>
            <w:shd w:val="clear" w:color="auto" w:fill="FFFFFF"/>
          </w:tcPr>
          <w:p w14:paraId="3FBA6148" w14:textId="5B882E42" w:rsidR="003B0F01" w:rsidRPr="00B57B36" w:rsidRDefault="003B0F01" w:rsidP="008B68C3">
            <w:pPr>
              <w:pStyle w:val="CETBodytext"/>
              <w:rPr>
                <w:lang w:val="en-GB"/>
              </w:rPr>
            </w:pPr>
            <w:r>
              <w:rPr>
                <w:lang w:val="en-GB"/>
              </w:rPr>
              <w:t>Parameter</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32F334FF" w14:textId="77777777" w:rsidR="003B0F01" w:rsidRPr="00E30E13" w:rsidRDefault="003B0F01" w:rsidP="008B68C3">
            <w:pPr>
              <w:pStyle w:val="CETBodytext"/>
              <w:rPr>
                <w:lang w:val="en-GB"/>
              </w:rPr>
            </w:pPr>
            <w:r w:rsidRPr="00E30E13">
              <w:rPr>
                <w:lang w:val="en-GB"/>
              </w:rPr>
              <w:t>pH 8</w:t>
            </w:r>
          </w:p>
          <w:p w14:paraId="6C32CC9D" w14:textId="207E6B03" w:rsidR="00E30E13" w:rsidRPr="00E30E13" w:rsidRDefault="00E30E13" w:rsidP="008B68C3">
            <w:pPr>
              <w:pStyle w:val="CETBodytext"/>
              <w:rPr>
                <w:lang w:val="en-GB"/>
              </w:rPr>
            </w:pPr>
            <w:r w:rsidRPr="00E30E13">
              <w:rPr>
                <w:szCs w:val="18"/>
                <w:lang w:val="es-ES_tradnl" w:eastAsia="es-ES"/>
              </w:rPr>
              <w:t>5% bagasse</w:t>
            </w:r>
          </w:p>
        </w:tc>
        <w:tc>
          <w:tcPr>
            <w:tcW w:w="1418" w:type="dxa"/>
            <w:tcBorders>
              <w:top w:val="single" w:sz="12" w:space="0" w:color="008000"/>
              <w:bottom w:val="single" w:sz="6" w:space="0" w:color="008000"/>
            </w:tcBorders>
            <w:shd w:val="clear" w:color="auto" w:fill="FFFFFF"/>
          </w:tcPr>
          <w:p w14:paraId="47707A5C" w14:textId="77777777" w:rsidR="003B0F01" w:rsidRPr="00E30E13" w:rsidRDefault="003B0F01" w:rsidP="008B68C3">
            <w:pPr>
              <w:pStyle w:val="CETBodytext"/>
              <w:rPr>
                <w:lang w:val="en-GB"/>
              </w:rPr>
            </w:pPr>
            <w:r w:rsidRPr="00E30E13">
              <w:rPr>
                <w:lang w:val="en-GB"/>
              </w:rPr>
              <w:t>pH 8</w:t>
            </w:r>
          </w:p>
          <w:p w14:paraId="73E08B7B" w14:textId="6188369C" w:rsidR="00E30E13" w:rsidRPr="00E30E13" w:rsidRDefault="00E30E13" w:rsidP="008B68C3">
            <w:pPr>
              <w:pStyle w:val="CETBodytext"/>
              <w:rPr>
                <w:lang w:val="en-GB"/>
              </w:rPr>
            </w:pPr>
            <w:r>
              <w:rPr>
                <w:szCs w:val="18"/>
                <w:lang w:val="es-ES_tradnl" w:eastAsia="es-ES"/>
              </w:rPr>
              <w:t xml:space="preserve">10 </w:t>
            </w:r>
            <w:r w:rsidRPr="00E30E13">
              <w:rPr>
                <w:szCs w:val="18"/>
                <w:lang w:val="es-ES_tradnl" w:eastAsia="es-ES"/>
              </w:rPr>
              <w:t>% baga</w:t>
            </w:r>
            <w:r>
              <w:rPr>
                <w:szCs w:val="18"/>
                <w:lang w:val="es-ES_tradnl" w:eastAsia="es-ES"/>
              </w:rPr>
              <w:t>sse</w:t>
            </w:r>
          </w:p>
        </w:tc>
        <w:tc>
          <w:tcPr>
            <w:tcW w:w="1134" w:type="dxa"/>
            <w:tcBorders>
              <w:top w:val="single" w:sz="12" w:space="0" w:color="008000"/>
              <w:bottom w:val="single" w:sz="6" w:space="0" w:color="008000"/>
            </w:tcBorders>
            <w:shd w:val="clear" w:color="auto" w:fill="FFFFFF"/>
          </w:tcPr>
          <w:p w14:paraId="08C58838" w14:textId="77777777" w:rsidR="003B0F01" w:rsidRPr="00E30E13" w:rsidRDefault="004823C0" w:rsidP="008B68C3">
            <w:pPr>
              <w:pStyle w:val="CETBodytext"/>
              <w:ind w:right="-1"/>
              <w:rPr>
                <w:rFonts w:cs="Arial"/>
                <w:szCs w:val="18"/>
                <w:lang w:val="en-GB"/>
              </w:rPr>
            </w:pPr>
            <w:r w:rsidRPr="00E30E13">
              <w:rPr>
                <w:rFonts w:cs="Arial"/>
                <w:szCs w:val="18"/>
                <w:lang w:val="en-GB"/>
              </w:rPr>
              <w:t>pH 9</w:t>
            </w:r>
          </w:p>
          <w:p w14:paraId="5BF814E9" w14:textId="2836D014" w:rsidR="00E30E13" w:rsidRPr="00E30E13" w:rsidRDefault="00E30E13" w:rsidP="008B68C3">
            <w:pPr>
              <w:pStyle w:val="CETBodytext"/>
              <w:ind w:right="-1"/>
              <w:rPr>
                <w:rFonts w:cs="Arial"/>
                <w:szCs w:val="18"/>
                <w:lang w:val="en-GB"/>
              </w:rPr>
            </w:pPr>
            <w:r w:rsidRPr="00E30E13">
              <w:rPr>
                <w:szCs w:val="18"/>
                <w:lang w:val="es-ES_tradnl" w:eastAsia="es-ES"/>
              </w:rPr>
              <w:t>5% baga</w:t>
            </w:r>
            <w:r w:rsidR="007D56C2">
              <w:rPr>
                <w:szCs w:val="18"/>
                <w:lang w:val="es-ES_tradnl" w:eastAsia="es-ES"/>
              </w:rPr>
              <w:t>sse</w:t>
            </w:r>
          </w:p>
        </w:tc>
        <w:tc>
          <w:tcPr>
            <w:tcW w:w="1134" w:type="dxa"/>
            <w:tcBorders>
              <w:top w:val="single" w:sz="12" w:space="0" w:color="008000"/>
              <w:bottom w:val="single" w:sz="6" w:space="0" w:color="008000"/>
            </w:tcBorders>
            <w:shd w:val="clear" w:color="auto" w:fill="FFFFFF"/>
          </w:tcPr>
          <w:p w14:paraId="5B33A9D9" w14:textId="77777777" w:rsidR="003B0F01" w:rsidRPr="00E30E13" w:rsidRDefault="004823C0" w:rsidP="008B68C3">
            <w:pPr>
              <w:pStyle w:val="CETBodytext"/>
              <w:ind w:right="-1"/>
              <w:rPr>
                <w:rFonts w:cs="Arial"/>
                <w:szCs w:val="18"/>
                <w:lang w:val="en-GB"/>
              </w:rPr>
            </w:pPr>
            <w:r w:rsidRPr="00E30E13">
              <w:rPr>
                <w:rFonts w:cs="Arial"/>
                <w:szCs w:val="18"/>
                <w:lang w:val="en-GB"/>
              </w:rPr>
              <w:t>pH 9</w:t>
            </w:r>
          </w:p>
          <w:p w14:paraId="0853F5FB" w14:textId="03098AA9" w:rsidR="00E30E13" w:rsidRPr="00E30E13" w:rsidRDefault="00450F35" w:rsidP="008B68C3">
            <w:pPr>
              <w:pStyle w:val="CETBodytext"/>
              <w:ind w:right="-1"/>
              <w:rPr>
                <w:rFonts w:cs="Arial"/>
                <w:szCs w:val="18"/>
                <w:lang w:val="en-GB"/>
              </w:rPr>
            </w:pPr>
            <w:r>
              <w:rPr>
                <w:szCs w:val="18"/>
                <w:lang w:val="es-ES_tradnl" w:eastAsia="es-ES"/>
              </w:rPr>
              <w:t>10</w:t>
            </w:r>
            <w:r w:rsidR="00E30E13" w:rsidRPr="00E30E13">
              <w:rPr>
                <w:szCs w:val="18"/>
                <w:lang w:val="es-ES_tradnl" w:eastAsia="es-ES"/>
              </w:rPr>
              <w:t>% baga</w:t>
            </w:r>
            <w:r w:rsidR="007D56C2">
              <w:rPr>
                <w:szCs w:val="18"/>
                <w:lang w:val="es-ES_tradnl" w:eastAsia="es-ES"/>
              </w:rPr>
              <w:t>sse</w:t>
            </w:r>
          </w:p>
        </w:tc>
        <w:tc>
          <w:tcPr>
            <w:tcW w:w="850" w:type="dxa"/>
            <w:tcBorders>
              <w:top w:val="single" w:sz="12" w:space="0" w:color="008000"/>
              <w:bottom w:val="single" w:sz="6" w:space="0" w:color="008000"/>
            </w:tcBorders>
            <w:shd w:val="clear" w:color="auto" w:fill="FFFFFF"/>
          </w:tcPr>
          <w:p w14:paraId="1810613F" w14:textId="77777777" w:rsidR="003B0F01" w:rsidRPr="00B57B36" w:rsidRDefault="003B0F01" w:rsidP="008B68C3">
            <w:pPr>
              <w:pStyle w:val="CETBodytext"/>
              <w:ind w:right="-1"/>
              <w:rPr>
                <w:rFonts w:cs="Arial"/>
                <w:szCs w:val="18"/>
                <w:lang w:val="en-GB"/>
              </w:rPr>
            </w:pPr>
          </w:p>
        </w:tc>
      </w:tr>
      <w:tr w:rsidR="001117F0" w:rsidRPr="00B57B36" w14:paraId="2CFCF12B" w14:textId="77777777" w:rsidTr="00450F35">
        <w:tc>
          <w:tcPr>
            <w:tcW w:w="1134" w:type="dxa"/>
            <w:shd w:val="clear" w:color="auto" w:fill="FFFFFF"/>
          </w:tcPr>
          <w:p w14:paraId="2CA06527" w14:textId="4C7E858F" w:rsidR="001117F0" w:rsidRDefault="001117F0" w:rsidP="001117F0">
            <w:pPr>
              <w:pStyle w:val="CETBodytext"/>
              <w:rPr>
                <w:lang w:val="en-GB"/>
              </w:rPr>
            </w:pPr>
            <w:r>
              <w:rPr>
                <w:lang w:val="en-GB"/>
              </w:rPr>
              <w:t>TS</w:t>
            </w:r>
            <w:r w:rsidR="00996FB5">
              <w:rPr>
                <w:lang w:val="en-GB"/>
              </w:rPr>
              <w:t>, %</w:t>
            </w:r>
          </w:p>
          <w:p w14:paraId="1A3B78D3" w14:textId="1B53BCC9" w:rsidR="001117F0" w:rsidRPr="00B57B36" w:rsidRDefault="001117F0" w:rsidP="001117F0">
            <w:pPr>
              <w:pStyle w:val="CETBodytext"/>
              <w:rPr>
                <w:lang w:val="en-GB"/>
              </w:rPr>
            </w:pPr>
            <w:r>
              <w:rPr>
                <w:lang w:val="en-GB"/>
              </w:rPr>
              <w:t>TVS</w:t>
            </w:r>
            <w:r w:rsidR="00996FB5">
              <w:rPr>
                <w:lang w:val="en-GB"/>
              </w:rPr>
              <w:t>, %</w:t>
            </w:r>
          </w:p>
        </w:tc>
        <w:tc>
          <w:tcPr>
            <w:tcW w:w="1134" w:type="dxa"/>
            <w:shd w:val="clear" w:color="auto" w:fill="FFFFFF"/>
          </w:tcPr>
          <w:p w14:paraId="2E29D11B" w14:textId="77777777" w:rsidR="001117F0" w:rsidRDefault="001117F0" w:rsidP="001117F0">
            <w:pPr>
              <w:pStyle w:val="CETBodytext"/>
              <w:rPr>
                <w:lang w:val="es-ES_tradnl" w:eastAsia="es-ES"/>
              </w:rPr>
            </w:pPr>
            <w:r>
              <w:rPr>
                <w:lang w:val="es-ES_tradnl" w:eastAsia="es-ES"/>
              </w:rPr>
              <w:t xml:space="preserve">33.8 </w:t>
            </w:r>
            <w:r>
              <w:rPr>
                <w:rFonts w:cs="Arial"/>
                <w:lang w:val="es-ES_tradnl" w:eastAsia="es-ES"/>
              </w:rPr>
              <w:t>± 1.2</w:t>
            </w:r>
          </w:p>
          <w:p w14:paraId="76970613" w14:textId="1547D2E0" w:rsidR="001117F0" w:rsidRPr="00B57B36" w:rsidRDefault="001117F0" w:rsidP="001117F0">
            <w:pPr>
              <w:pStyle w:val="CETBodytext"/>
              <w:rPr>
                <w:lang w:val="en-GB"/>
              </w:rPr>
            </w:pPr>
            <w:r>
              <w:rPr>
                <w:lang w:val="es-ES_tradnl" w:eastAsia="es-ES"/>
              </w:rPr>
              <w:t xml:space="preserve">38.2 </w:t>
            </w:r>
            <w:r>
              <w:rPr>
                <w:rFonts w:cs="Arial"/>
                <w:lang w:val="es-ES_tradnl" w:eastAsia="es-ES"/>
              </w:rPr>
              <w:t>± 0.9</w:t>
            </w:r>
          </w:p>
        </w:tc>
        <w:tc>
          <w:tcPr>
            <w:tcW w:w="1418" w:type="dxa"/>
            <w:shd w:val="clear" w:color="auto" w:fill="FFFFFF"/>
          </w:tcPr>
          <w:p w14:paraId="446ABCE2" w14:textId="77777777" w:rsidR="001117F0" w:rsidRDefault="001117F0" w:rsidP="001117F0">
            <w:pPr>
              <w:pStyle w:val="CETBodytext"/>
              <w:rPr>
                <w:lang w:val="es-ES_tradnl" w:eastAsia="es-ES"/>
              </w:rPr>
            </w:pPr>
            <w:r>
              <w:rPr>
                <w:lang w:val="es-ES_tradnl" w:eastAsia="es-ES"/>
              </w:rPr>
              <w:t xml:space="preserve">27.3 </w:t>
            </w:r>
            <w:r>
              <w:rPr>
                <w:rFonts w:cs="Arial"/>
                <w:lang w:val="es-ES_tradnl" w:eastAsia="es-ES"/>
              </w:rPr>
              <w:t>± 0.5</w:t>
            </w:r>
          </w:p>
          <w:p w14:paraId="1AD0F56D" w14:textId="4DDCF973" w:rsidR="001117F0" w:rsidRPr="00B57B36" w:rsidRDefault="001117F0" w:rsidP="001117F0">
            <w:pPr>
              <w:pStyle w:val="CETBodytext"/>
              <w:rPr>
                <w:lang w:val="en-GB"/>
              </w:rPr>
            </w:pPr>
            <w:r>
              <w:rPr>
                <w:lang w:val="en-GB"/>
              </w:rPr>
              <w:t xml:space="preserve">34.2 </w:t>
            </w:r>
            <w:r>
              <w:rPr>
                <w:rFonts w:cs="Arial"/>
                <w:lang w:val="es-ES_tradnl" w:eastAsia="es-ES"/>
              </w:rPr>
              <w:t>± 1.0</w:t>
            </w:r>
          </w:p>
        </w:tc>
        <w:tc>
          <w:tcPr>
            <w:tcW w:w="1134" w:type="dxa"/>
            <w:shd w:val="clear" w:color="auto" w:fill="FFFFFF"/>
          </w:tcPr>
          <w:p w14:paraId="7B92A966" w14:textId="77777777" w:rsidR="001117F0" w:rsidRDefault="001117F0" w:rsidP="001117F0">
            <w:pPr>
              <w:pStyle w:val="CETBodytext"/>
              <w:ind w:right="-1"/>
              <w:rPr>
                <w:lang w:val="es-ES_tradnl" w:eastAsia="es-ES"/>
              </w:rPr>
            </w:pPr>
            <w:r>
              <w:rPr>
                <w:lang w:val="es-ES_tradnl" w:eastAsia="es-ES"/>
              </w:rPr>
              <w:t xml:space="preserve">50.1 </w:t>
            </w:r>
            <w:r>
              <w:rPr>
                <w:rFonts w:cs="Arial"/>
                <w:lang w:val="es-ES_tradnl" w:eastAsia="es-ES"/>
              </w:rPr>
              <w:t>± 0.9</w:t>
            </w:r>
          </w:p>
          <w:p w14:paraId="5D4AF5A1" w14:textId="4479BAEC" w:rsidR="001117F0" w:rsidRPr="00B57B36" w:rsidRDefault="001117F0" w:rsidP="001117F0">
            <w:pPr>
              <w:pStyle w:val="CETBodytext"/>
              <w:ind w:right="-1"/>
              <w:rPr>
                <w:rFonts w:cs="Arial"/>
                <w:szCs w:val="18"/>
                <w:lang w:val="en-GB"/>
              </w:rPr>
            </w:pPr>
            <w:r>
              <w:rPr>
                <w:lang w:val="en-GB"/>
              </w:rPr>
              <w:t xml:space="preserve">39.9 </w:t>
            </w:r>
            <w:r>
              <w:rPr>
                <w:rFonts w:cs="Arial"/>
                <w:lang w:val="es-ES_tradnl" w:eastAsia="es-ES"/>
              </w:rPr>
              <w:t>± 0.5</w:t>
            </w:r>
          </w:p>
        </w:tc>
        <w:tc>
          <w:tcPr>
            <w:tcW w:w="1134" w:type="dxa"/>
            <w:shd w:val="clear" w:color="auto" w:fill="FFFFFF"/>
          </w:tcPr>
          <w:p w14:paraId="08BF0038" w14:textId="77777777" w:rsidR="001117F0" w:rsidRDefault="001117F0" w:rsidP="001117F0">
            <w:pPr>
              <w:pStyle w:val="CETBodytext"/>
              <w:ind w:right="-1"/>
              <w:rPr>
                <w:lang w:val="es-ES_tradnl" w:eastAsia="es-ES"/>
              </w:rPr>
            </w:pPr>
            <w:r>
              <w:rPr>
                <w:lang w:val="es-ES_tradnl" w:eastAsia="es-ES"/>
              </w:rPr>
              <w:t xml:space="preserve">1.28 </w:t>
            </w:r>
            <w:r>
              <w:rPr>
                <w:rFonts w:cs="Arial"/>
                <w:lang w:val="es-ES_tradnl" w:eastAsia="es-ES"/>
              </w:rPr>
              <w:t>± 1.0</w:t>
            </w:r>
          </w:p>
          <w:p w14:paraId="5D640713" w14:textId="22782529" w:rsidR="001117F0" w:rsidRPr="00B57B36" w:rsidRDefault="001117F0" w:rsidP="001117F0">
            <w:pPr>
              <w:pStyle w:val="CETBodytext"/>
              <w:ind w:right="-1"/>
              <w:rPr>
                <w:rFonts w:cs="Arial"/>
                <w:szCs w:val="18"/>
                <w:lang w:val="en-GB"/>
              </w:rPr>
            </w:pPr>
            <w:r>
              <w:rPr>
                <w:lang w:val="en-GB"/>
              </w:rPr>
              <w:t xml:space="preserve">2.66 </w:t>
            </w:r>
            <w:r>
              <w:rPr>
                <w:rFonts w:cs="Arial"/>
                <w:lang w:val="es-ES_tradnl" w:eastAsia="es-ES"/>
              </w:rPr>
              <w:t>± 0.7</w:t>
            </w:r>
          </w:p>
        </w:tc>
        <w:tc>
          <w:tcPr>
            <w:tcW w:w="850" w:type="dxa"/>
            <w:shd w:val="clear" w:color="auto" w:fill="FFFFFF"/>
          </w:tcPr>
          <w:p w14:paraId="617051BF" w14:textId="77777777" w:rsidR="001117F0" w:rsidRPr="00B57B36" w:rsidRDefault="001117F0" w:rsidP="001117F0">
            <w:pPr>
              <w:pStyle w:val="CETBodytext"/>
              <w:ind w:right="-1"/>
              <w:rPr>
                <w:rFonts w:cs="Arial"/>
                <w:szCs w:val="18"/>
                <w:lang w:val="en-GB"/>
              </w:rPr>
            </w:pPr>
          </w:p>
        </w:tc>
      </w:tr>
      <w:tr w:rsidR="001117F0" w:rsidRPr="00B57B36" w14:paraId="034CAD7B" w14:textId="77777777" w:rsidTr="00450F35">
        <w:tc>
          <w:tcPr>
            <w:tcW w:w="1134" w:type="dxa"/>
            <w:shd w:val="clear" w:color="auto" w:fill="FFFFFF"/>
          </w:tcPr>
          <w:p w14:paraId="59F58DAF" w14:textId="6BF2DE7C" w:rsidR="001117F0" w:rsidRPr="00B57B36" w:rsidRDefault="001117F0" w:rsidP="001117F0">
            <w:pPr>
              <w:pStyle w:val="CETBodytext"/>
              <w:rPr>
                <w:lang w:val="en-GB"/>
              </w:rPr>
            </w:pPr>
            <w:r>
              <w:rPr>
                <w:lang w:val="en-GB"/>
              </w:rPr>
              <w:t>TSS</w:t>
            </w:r>
            <w:r w:rsidR="00996FB5">
              <w:rPr>
                <w:lang w:val="en-GB"/>
              </w:rPr>
              <w:t>, %</w:t>
            </w:r>
          </w:p>
        </w:tc>
        <w:tc>
          <w:tcPr>
            <w:tcW w:w="1134" w:type="dxa"/>
            <w:shd w:val="clear" w:color="auto" w:fill="FFFFFF"/>
          </w:tcPr>
          <w:p w14:paraId="3C495DB9" w14:textId="1C58EB4C" w:rsidR="001117F0" w:rsidRPr="00B57B36" w:rsidRDefault="001117F0" w:rsidP="001117F0">
            <w:pPr>
              <w:pStyle w:val="CETBodytext"/>
              <w:rPr>
                <w:lang w:val="en-GB"/>
              </w:rPr>
            </w:pPr>
            <w:r>
              <w:rPr>
                <w:lang w:val="es-ES_tradnl" w:eastAsia="es-ES"/>
              </w:rPr>
              <w:t xml:space="preserve">30.7 </w:t>
            </w:r>
            <w:r>
              <w:rPr>
                <w:rFonts w:cs="Arial"/>
                <w:lang w:val="es-ES_tradnl" w:eastAsia="es-ES"/>
              </w:rPr>
              <w:t>± 0.01</w:t>
            </w:r>
          </w:p>
        </w:tc>
        <w:tc>
          <w:tcPr>
            <w:tcW w:w="1418" w:type="dxa"/>
            <w:shd w:val="clear" w:color="auto" w:fill="FFFFFF"/>
          </w:tcPr>
          <w:p w14:paraId="659D524E" w14:textId="450DDEB2" w:rsidR="001117F0" w:rsidRPr="00B57B36" w:rsidRDefault="001117F0" w:rsidP="001117F0">
            <w:pPr>
              <w:pStyle w:val="CETBodytext"/>
              <w:rPr>
                <w:lang w:val="en-GB"/>
              </w:rPr>
            </w:pPr>
            <w:r>
              <w:rPr>
                <w:lang w:val="en-GB"/>
              </w:rPr>
              <w:t xml:space="preserve">26.9 </w:t>
            </w:r>
            <w:r>
              <w:rPr>
                <w:rFonts w:cs="Arial"/>
                <w:lang w:val="es-ES_tradnl" w:eastAsia="es-ES"/>
              </w:rPr>
              <w:t>± 0.03</w:t>
            </w:r>
          </w:p>
        </w:tc>
        <w:tc>
          <w:tcPr>
            <w:tcW w:w="1134" w:type="dxa"/>
            <w:shd w:val="clear" w:color="auto" w:fill="FFFFFF"/>
          </w:tcPr>
          <w:p w14:paraId="573A0D5C" w14:textId="6CBBE772" w:rsidR="001117F0" w:rsidRPr="00B57B36" w:rsidRDefault="001117F0" w:rsidP="001117F0">
            <w:pPr>
              <w:pStyle w:val="CETBodytext"/>
              <w:ind w:right="-1"/>
              <w:rPr>
                <w:rFonts w:cs="Arial"/>
                <w:szCs w:val="18"/>
                <w:lang w:val="en-GB"/>
              </w:rPr>
            </w:pPr>
            <w:r>
              <w:rPr>
                <w:rFonts w:cs="Arial"/>
                <w:szCs w:val="18"/>
                <w:lang w:val="en-GB"/>
              </w:rPr>
              <w:t xml:space="preserve">53.5 </w:t>
            </w:r>
            <w:r>
              <w:rPr>
                <w:rFonts w:cs="Arial"/>
                <w:lang w:val="es-ES_tradnl" w:eastAsia="es-ES"/>
              </w:rPr>
              <w:t>± 0.03</w:t>
            </w:r>
          </w:p>
        </w:tc>
        <w:tc>
          <w:tcPr>
            <w:tcW w:w="1134" w:type="dxa"/>
            <w:shd w:val="clear" w:color="auto" w:fill="FFFFFF"/>
          </w:tcPr>
          <w:p w14:paraId="5F6B5AD8" w14:textId="5EAAFA7D" w:rsidR="001117F0" w:rsidRPr="00B57B36" w:rsidRDefault="001117F0" w:rsidP="001117F0">
            <w:pPr>
              <w:pStyle w:val="CETBodytext"/>
              <w:ind w:right="-1"/>
              <w:rPr>
                <w:rFonts w:cs="Arial"/>
                <w:szCs w:val="18"/>
                <w:lang w:val="en-GB"/>
              </w:rPr>
            </w:pPr>
            <w:r>
              <w:rPr>
                <w:lang w:val="es-ES_tradnl" w:eastAsia="es-ES"/>
              </w:rPr>
              <w:t xml:space="preserve">27.75 </w:t>
            </w:r>
            <w:r>
              <w:rPr>
                <w:rFonts w:cs="Arial"/>
                <w:lang w:val="es-ES_tradnl" w:eastAsia="es-ES"/>
              </w:rPr>
              <w:t>± 0.02</w:t>
            </w:r>
          </w:p>
        </w:tc>
        <w:tc>
          <w:tcPr>
            <w:tcW w:w="850" w:type="dxa"/>
            <w:shd w:val="clear" w:color="auto" w:fill="FFFFFF"/>
          </w:tcPr>
          <w:p w14:paraId="3488E883" w14:textId="77777777" w:rsidR="001117F0" w:rsidRPr="00B57B36" w:rsidRDefault="001117F0" w:rsidP="001117F0">
            <w:pPr>
              <w:pStyle w:val="CETBodytext"/>
              <w:ind w:right="-1"/>
              <w:rPr>
                <w:rFonts w:cs="Arial"/>
                <w:szCs w:val="18"/>
                <w:lang w:val="en-GB"/>
              </w:rPr>
            </w:pPr>
          </w:p>
        </w:tc>
      </w:tr>
      <w:tr w:rsidR="001117F0" w:rsidRPr="00B57B36" w14:paraId="14D88AAB" w14:textId="77777777" w:rsidTr="00450F35">
        <w:tc>
          <w:tcPr>
            <w:tcW w:w="1134" w:type="dxa"/>
            <w:shd w:val="clear" w:color="auto" w:fill="FFFFFF"/>
          </w:tcPr>
          <w:p w14:paraId="7EBCBDDB" w14:textId="76A3F00B" w:rsidR="001117F0" w:rsidRPr="00B57B36" w:rsidRDefault="001117F0" w:rsidP="001117F0">
            <w:pPr>
              <w:pStyle w:val="CETBodytext"/>
              <w:ind w:right="-1"/>
              <w:rPr>
                <w:rFonts w:cs="Arial"/>
                <w:szCs w:val="18"/>
                <w:lang w:val="en-GB"/>
              </w:rPr>
            </w:pPr>
            <w:r>
              <w:rPr>
                <w:rFonts w:cs="Arial"/>
                <w:szCs w:val="18"/>
                <w:lang w:val="en-GB"/>
              </w:rPr>
              <w:t>VSS</w:t>
            </w:r>
            <w:r w:rsidR="00996FB5">
              <w:rPr>
                <w:rFonts w:cs="Arial"/>
                <w:szCs w:val="18"/>
                <w:lang w:val="en-GB"/>
              </w:rPr>
              <w:t xml:space="preserve">, % </w:t>
            </w:r>
          </w:p>
        </w:tc>
        <w:tc>
          <w:tcPr>
            <w:tcW w:w="1134" w:type="dxa"/>
            <w:shd w:val="clear" w:color="auto" w:fill="FFFFFF"/>
          </w:tcPr>
          <w:p w14:paraId="29CC8674" w14:textId="3C3E3FBF" w:rsidR="001117F0" w:rsidRPr="00B57B36" w:rsidRDefault="001117F0" w:rsidP="001117F0">
            <w:pPr>
              <w:pStyle w:val="CETBodytext"/>
              <w:ind w:right="-1"/>
              <w:rPr>
                <w:rFonts w:cs="Arial"/>
                <w:szCs w:val="18"/>
                <w:lang w:val="en-GB"/>
              </w:rPr>
            </w:pPr>
            <w:r>
              <w:rPr>
                <w:lang w:val="es-ES_tradnl" w:eastAsia="es-ES"/>
              </w:rPr>
              <w:t xml:space="preserve">35.2 </w:t>
            </w:r>
            <w:r>
              <w:rPr>
                <w:rFonts w:cs="Arial"/>
                <w:lang w:val="es-ES_tradnl" w:eastAsia="es-ES"/>
              </w:rPr>
              <w:t>± 0.01</w:t>
            </w:r>
          </w:p>
        </w:tc>
        <w:tc>
          <w:tcPr>
            <w:tcW w:w="1418" w:type="dxa"/>
            <w:shd w:val="clear" w:color="auto" w:fill="FFFFFF"/>
          </w:tcPr>
          <w:p w14:paraId="264EC86A" w14:textId="64D21F7B" w:rsidR="001117F0" w:rsidRPr="00B57B36" w:rsidRDefault="001117F0" w:rsidP="001117F0">
            <w:pPr>
              <w:pStyle w:val="CETBodytext"/>
              <w:ind w:right="-1"/>
              <w:rPr>
                <w:rFonts w:cs="Arial"/>
                <w:szCs w:val="18"/>
                <w:lang w:val="en-GB"/>
              </w:rPr>
            </w:pPr>
            <w:r>
              <w:rPr>
                <w:rFonts w:cs="Arial"/>
                <w:szCs w:val="18"/>
                <w:lang w:val="en-GB"/>
              </w:rPr>
              <w:t xml:space="preserve">38.7 </w:t>
            </w:r>
            <w:r>
              <w:rPr>
                <w:rFonts w:cs="Arial"/>
                <w:lang w:val="es-ES_tradnl" w:eastAsia="es-ES"/>
              </w:rPr>
              <w:t>± 0.04</w:t>
            </w:r>
          </w:p>
        </w:tc>
        <w:tc>
          <w:tcPr>
            <w:tcW w:w="1134" w:type="dxa"/>
            <w:shd w:val="clear" w:color="auto" w:fill="FFFFFF"/>
          </w:tcPr>
          <w:p w14:paraId="722093A6" w14:textId="06D750AA" w:rsidR="001117F0" w:rsidRPr="00B57B36" w:rsidRDefault="001117F0" w:rsidP="001117F0">
            <w:pPr>
              <w:pStyle w:val="CETBodytext"/>
              <w:ind w:right="-1"/>
              <w:rPr>
                <w:rFonts w:cs="Arial"/>
                <w:szCs w:val="18"/>
                <w:lang w:val="en-GB"/>
              </w:rPr>
            </w:pPr>
            <w:r>
              <w:rPr>
                <w:lang w:val="es-ES_tradnl" w:eastAsia="es-ES"/>
              </w:rPr>
              <w:t xml:space="preserve">43.3 </w:t>
            </w:r>
            <w:r>
              <w:rPr>
                <w:rFonts w:cs="Arial"/>
                <w:lang w:val="es-ES_tradnl" w:eastAsia="es-ES"/>
              </w:rPr>
              <w:t>± 0.02</w:t>
            </w:r>
          </w:p>
        </w:tc>
        <w:tc>
          <w:tcPr>
            <w:tcW w:w="1134" w:type="dxa"/>
            <w:shd w:val="clear" w:color="auto" w:fill="FFFFFF"/>
          </w:tcPr>
          <w:p w14:paraId="376B4DCB" w14:textId="26A08567" w:rsidR="001117F0" w:rsidRPr="00B57B36" w:rsidRDefault="001117F0" w:rsidP="001117F0">
            <w:pPr>
              <w:pStyle w:val="CETBodytext"/>
              <w:ind w:right="-1"/>
              <w:rPr>
                <w:rFonts w:cs="Arial"/>
                <w:szCs w:val="18"/>
                <w:lang w:val="en-GB"/>
              </w:rPr>
            </w:pPr>
            <w:r>
              <w:rPr>
                <w:lang w:val="es-ES_tradnl" w:eastAsia="es-ES"/>
              </w:rPr>
              <w:t xml:space="preserve">32.68 </w:t>
            </w:r>
            <w:r>
              <w:rPr>
                <w:rFonts w:cs="Arial"/>
                <w:lang w:val="es-ES_tradnl" w:eastAsia="es-ES"/>
              </w:rPr>
              <w:t>± 0.01</w:t>
            </w:r>
          </w:p>
        </w:tc>
        <w:tc>
          <w:tcPr>
            <w:tcW w:w="850" w:type="dxa"/>
            <w:shd w:val="clear" w:color="auto" w:fill="FFFFFF"/>
          </w:tcPr>
          <w:p w14:paraId="2A9442EF" w14:textId="77777777" w:rsidR="001117F0" w:rsidRPr="00B57B36" w:rsidRDefault="001117F0" w:rsidP="001117F0">
            <w:pPr>
              <w:pStyle w:val="CETBodytext"/>
              <w:ind w:right="-1"/>
              <w:rPr>
                <w:rFonts w:cs="Arial"/>
                <w:szCs w:val="18"/>
                <w:lang w:val="en-GB"/>
              </w:rPr>
            </w:pPr>
          </w:p>
        </w:tc>
      </w:tr>
    </w:tbl>
    <w:p w14:paraId="32819E1E" w14:textId="77777777" w:rsidR="003B0F01" w:rsidRPr="003B0F01" w:rsidRDefault="003B0F01" w:rsidP="003B0F01">
      <w:pPr>
        <w:rPr>
          <w:iCs/>
          <w:lang w:val="es-MX"/>
        </w:rPr>
      </w:pPr>
    </w:p>
    <w:p w14:paraId="30EF8823" w14:textId="77777777" w:rsidR="007109AF" w:rsidRPr="00F65832" w:rsidRDefault="007109AF" w:rsidP="00EA3317">
      <w:pPr>
        <w:keepNext/>
        <w:spacing w:after="160" w:line="259" w:lineRule="auto"/>
        <w:rPr>
          <w:lang w:val="en-US"/>
        </w:rPr>
      </w:pPr>
      <w:r w:rsidRPr="00F65832">
        <w:rPr>
          <w:lang w:val="en-US"/>
        </w:rPr>
        <w:t>Figure 7 shows the behavior of the chemical oxygen demand of the experiments. Observing that COD was reduced in all the experiments, obtaining a higher COD removal of 73% with 5% bagasse and a pH of 9.</w:t>
      </w:r>
    </w:p>
    <w:p w14:paraId="27929C70" w14:textId="63AE4DE7" w:rsidR="00173A98" w:rsidRDefault="00782DB6" w:rsidP="00173A98">
      <w:pPr>
        <w:keepNext/>
        <w:spacing w:after="160" w:line="259" w:lineRule="auto"/>
        <w:jc w:val="center"/>
      </w:pPr>
      <w:r w:rsidRPr="00782DB6">
        <w:rPr>
          <w:noProof/>
        </w:rPr>
        <w:drawing>
          <wp:inline distT="0" distB="0" distL="0" distR="0" wp14:anchorId="58242A9A" wp14:editId="61D4F19C">
            <wp:extent cx="2724150" cy="1762686"/>
            <wp:effectExtent l="0" t="0" r="0" b="9525"/>
            <wp:docPr id="1970560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60724" name="Imagen 1"/>
                    <pic:cNvPicPr/>
                  </pic:nvPicPr>
                  <pic:blipFill>
                    <a:blip r:embed="rId18"/>
                    <a:stretch>
                      <a:fillRect/>
                    </a:stretch>
                  </pic:blipFill>
                  <pic:spPr>
                    <a:xfrm>
                      <a:off x="0" y="0"/>
                      <a:ext cx="2728511" cy="1765508"/>
                    </a:xfrm>
                    <a:prstGeom prst="rect">
                      <a:avLst/>
                    </a:prstGeom>
                  </pic:spPr>
                </pic:pic>
              </a:graphicData>
            </a:graphic>
          </wp:inline>
        </w:drawing>
      </w:r>
    </w:p>
    <w:p w14:paraId="6C6B95EB" w14:textId="0F0E1A0B" w:rsidR="00DD2F49" w:rsidRPr="00CE6931" w:rsidRDefault="00173A98" w:rsidP="00DD2F49">
      <w:pPr>
        <w:pStyle w:val="CETReferencetext"/>
        <w:jc w:val="center"/>
        <w:rPr>
          <w:i/>
          <w:iCs/>
          <w:lang w:val="en-US"/>
        </w:rPr>
      </w:pPr>
      <w:bookmarkStart w:id="6" w:name="_Toc150906754"/>
      <w:r w:rsidRPr="00CE6931">
        <w:rPr>
          <w:i/>
          <w:iCs/>
          <w:lang w:val="en-US"/>
        </w:rPr>
        <w:t>Figur</w:t>
      </w:r>
      <w:r w:rsidR="00B93431" w:rsidRPr="00CE6931">
        <w:rPr>
          <w:i/>
          <w:iCs/>
          <w:lang w:val="en-US"/>
        </w:rPr>
        <w:t>e</w:t>
      </w:r>
      <w:r w:rsidRPr="00CE6931">
        <w:rPr>
          <w:i/>
          <w:iCs/>
          <w:lang w:val="en-US"/>
        </w:rPr>
        <w:t xml:space="preserve"> </w:t>
      </w:r>
      <w:r w:rsidR="001075B1" w:rsidRPr="00CE6931">
        <w:rPr>
          <w:i/>
          <w:iCs/>
          <w:lang w:val="en-US"/>
        </w:rPr>
        <w:t>7:</w:t>
      </w:r>
      <w:r w:rsidRPr="00CE6931">
        <w:rPr>
          <w:i/>
          <w:iCs/>
          <w:lang w:val="en-US"/>
        </w:rPr>
        <w:t xml:space="preserve"> </w:t>
      </w:r>
      <w:bookmarkEnd w:id="6"/>
      <w:r w:rsidR="00DD2F49" w:rsidRPr="00CE6931">
        <w:rPr>
          <w:i/>
          <w:iCs/>
          <w:lang w:val="en-US"/>
        </w:rPr>
        <w:t>COD behavior during anaerobic digestion experiments</w:t>
      </w:r>
    </w:p>
    <w:p w14:paraId="2F138CC9" w14:textId="77777777" w:rsidR="0011253C" w:rsidRDefault="0011253C" w:rsidP="00EA3317">
      <w:pPr>
        <w:pStyle w:val="CETReferencetext"/>
        <w:ind w:left="0" w:firstLine="0"/>
        <w:rPr>
          <w:lang w:val="en-US"/>
        </w:rPr>
      </w:pPr>
    </w:p>
    <w:p w14:paraId="39D7204A" w14:textId="37FE3A69" w:rsidR="00173A98" w:rsidRPr="00F65832" w:rsidRDefault="007109AF" w:rsidP="00EA3317">
      <w:pPr>
        <w:pStyle w:val="CETReferencetext"/>
        <w:ind w:left="0" w:firstLine="0"/>
        <w:rPr>
          <w:lang w:val="en-US"/>
        </w:rPr>
      </w:pPr>
      <w:r w:rsidRPr="00F65832">
        <w:rPr>
          <w:lang w:val="en-US"/>
        </w:rPr>
        <w:t>Figures 8 and 9 show the alkalinity and pH of the anaerobic digestion process. Observing that the alkalinity and pH increased during the anaerobic digestion process helped to continue the digestion stages and not inhibit the process. Alkalinities remained above 2,000 mg/L and pH above 6, indicating activity of the methanogenic microorganisms, which is usually in the pH range of 6.5 and 8. Sufficient alkalinity in an anaerobic digester provides buffer capacity and stability to the system.</w:t>
      </w:r>
    </w:p>
    <w:tbl>
      <w:tblPr>
        <w:tblStyle w:val="Tablaconcuadrcula"/>
        <w:tblW w:w="87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361"/>
      </w:tblGrid>
      <w:tr w:rsidR="00811C82" w:rsidRPr="008A6D33" w14:paraId="66E8B940" w14:textId="77777777" w:rsidTr="00795595">
        <w:trPr>
          <w:trHeight w:val="3315"/>
          <w:jc w:val="center"/>
        </w:trPr>
        <w:tc>
          <w:tcPr>
            <w:tcW w:w="4643" w:type="dxa"/>
            <w:vAlign w:val="center"/>
          </w:tcPr>
          <w:p w14:paraId="798265D4" w14:textId="77777777" w:rsidR="00811C82" w:rsidRPr="00F65832" w:rsidRDefault="00811C82">
            <w:pPr>
              <w:jc w:val="center"/>
              <w:rPr>
                <w:lang w:val="en-US"/>
              </w:rPr>
            </w:pPr>
          </w:p>
          <w:p w14:paraId="22EB6BE1" w14:textId="77777777" w:rsidR="00811C82" w:rsidRPr="00590D92" w:rsidRDefault="00811C82" w:rsidP="00811C82">
            <w:pPr>
              <w:keepNext/>
              <w:spacing w:after="160" w:line="259" w:lineRule="auto"/>
              <w:jc w:val="center"/>
              <w:rPr>
                <w:sz w:val="28"/>
                <w:szCs w:val="24"/>
              </w:rPr>
            </w:pPr>
            <w:r w:rsidRPr="00782DB6">
              <w:rPr>
                <w:noProof/>
                <w:sz w:val="28"/>
                <w:szCs w:val="24"/>
              </w:rPr>
              <w:drawing>
                <wp:inline distT="0" distB="0" distL="0" distR="0" wp14:anchorId="7194F901" wp14:editId="08FA3257">
                  <wp:extent cx="2623228" cy="1454419"/>
                  <wp:effectExtent l="0" t="0" r="5715" b="0"/>
                  <wp:docPr id="1294949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49927" name="Imagen 1"/>
                          <pic:cNvPicPr/>
                        </pic:nvPicPr>
                        <pic:blipFill>
                          <a:blip r:embed="rId19"/>
                          <a:stretch>
                            <a:fillRect/>
                          </a:stretch>
                        </pic:blipFill>
                        <pic:spPr>
                          <a:xfrm>
                            <a:off x="0" y="0"/>
                            <a:ext cx="2623228" cy="1454419"/>
                          </a:xfrm>
                          <a:prstGeom prst="rect">
                            <a:avLst/>
                          </a:prstGeom>
                        </pic:spPr>
                      </pic:pic>
                    </a:graphicData>
                  </a:graphic>
                </wp:inline>
              </w:drawing>
            </w:r>
          </w:p>
          <w:p w14:paraId="3C966B08" w14:textId="0389B514" w:rsidR="00811C82" w:rsidRPr="00CE6931" w:rsidRDefault="00811C82" w:rsidP="00811C82">
            <w:pPr>
              <w:pStyle w:val="CETReferencetext"/>
              <w:jc w:val="center"/>
              <w:rPr>
                <w:i/>
                <w:iCs/>
                <w:lang w:val="en-US"/>
              </w:rPr>
            </w:pPr>
            <w:r w:rsidRPr="00CE6931">
              <w:rPr>
                <w:i/>
                <w:iCs/>
                <w:lang w:val="en-US"/>
              </w:rPr>
              <w:t>Figur</w:t>
            </w:r>
            <w:r w:rsidR="00B93431" w:rsidRPr="00CE6931">
              <w:rPr>
                <w:i/>
                <w:iCs/>
                <w:lang w:val="en-US"/>
              </w:rPr>
              <w:t>e</w:t>
            </w:r>
            <w:r w:rsidRPr="00CE6931">
              <w:rPr>
                <w:i/>
                <w:iCs/>
                <w:lang w:val="en-US"/>
              </w:rPr>
              <w:t xml:space="preserve"> </w:t>
            </w:r>
            <w:r w:rsidR="00E85596" w:rsidRPr="00CE6931">
              <w:rPr>
                <w:i/>
                <w:iCs/>
                <w:lang w:val="en-US"/>
              </w:rPr>
              <w:t>8:</w:t>
            </w:r>
            <w:r w:rsidRPr="00CE6931">
              <w:rPr>
                <w:i/>
                <w:iCs/>
                <w:lang w:val="en-US"/>
              </w:rPr>
              <w:t xml:space="preserve"> </w:t>
            </w:r>
            <w:r w:rsidR="00DD2F49" w:rsidRPr="00CE6931">
              <w:rPr>
                <w:i/>
                <w:iCs/>
                <w:lang w:val="en-US"/>
              </w:rPr>
              <w:t xml:space="preserve">Alkalinity during </w:t>
            </w:r>
            <w:r w:rsidR="0011253C">
              <w:rPr>
                <w:i/>
                <w:iCs/>
                <w:lang w:val="en-US"/>
              </w:rPr>
              <w:t xml:space="preserve">the </w:t>
            </w:r>
            <w:r w:rsidR="00DD2F49" w:rsidRPr="00CE6931">
              <w:rPr>
                <w:i/>
                <w:iCs/>
                <w:lang w:val="en-US"/>
              </w:rPr>
              <w:t>anaerobic digestion process</w:t>
            </w:r>
          </w:p>
          <w:p w14:paraId="2355D907" w14:textId="139A563F" w:rsidR="00811C82" w:rsidRPr="00F65832" w:rsidRDefault="00811C82">
            <w:pPr>
              <w:jc w:val="center"/>
              <w:rPr>
                <w:lang w:val="en-US"/>
              </w:rPr>
            </w:pPr>
          </w:p>
        </w:tc>
        <w:tc>
          <w:tcPr>
            <w:tcW w:w="4144" w:type="dxa"/>
            <w:vAlign w:val="center"/>
          </w:tcPr>
          <w:p w14:paraId="2F7393BF" w14:textId="77777777" w:rsidR="00811C82" w:rsidRPr="00F65832" w:rsidRDefault="00811C82">
            <w:pPr>
              <w:jc w:val="center"/>
              <w:rPr>
                <w:lang w:val="en-US"/>
              </w:rPr>
            </w:pPr>
          </w:p>
          <w:p w14:paraId="5F9FEBCC" w14:textId="447EB666" w:rsidR="00811C82" w:rsidRPr="00590D92" w:rsidRDefault="008B412F" w:rsidP="00811C82">
            <w:pPr>
              <w:keepNext/>
              <w:spacing w:after="160" w:line="259" w:lineRule="auto"/>
              <w:jc w:val="center"/>
              <w:rPr>
                <w:sz w:val="28"/>
                <w:szCs w:val="24"/>
              </w:rPr>
            </w:pPr>
            <w:r w:rsidRPr="00A249D7">
              <w:rPr>
                <w:noProof/>
                <w:sz w:val="28"/>
                <w:szCs w:val="24"/>
              </w:rPr>
              <w:drawing>
                <wp:inline distT="0" distB="0" distL="0" distR="0" wp14:anchorId="4C2846BD" wp14:editId="50DF38F8">
                  <wp:extent cx="2632075" cy="1460162"/>
                  <wp:effectExtent l="0" t="0" r="0" b="6985"/>
                  <wp:docPr id="1354795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5217" name="Imagen 1"/>
                          <pic:cNvPicPr/>
                        </pic:nvPicPr>
                        <pic:blipFill>
                          <a:blip r:embed="rId20"/>
                          <a:stretch>
                            <a:fillRect/>
                          </a:stretch>
                        </pic:blipFill>
                        <pic:spPr>
                          <a:xfrm>
                            <a:off x="0" y="0"/>
                            <a:ext cx="2638357" cy="1463647"/>
                          </a:xfrm>
                          <a:prstGeom prst="rect">
                            <a:avLst/>
                          </a:prstGeom>
                        </pic:spPr>
                      </pic:pic>
                    </a:graphicData>
                  </a:graphic>
                </wp:inline>
              </w:drawing>
            </w:r>
          </w:p>
          <w:p w14:paraId="1525CEB3" w14:textId="6614689D" w:rsidR="00811C82" w:rsidRPr="00CE6931" w:rsidRDefault="00811C82" w:rsidP="00811C82">
            <w:pPr>
              <w:pStyle w:val="CETReferencetext"/>
              <w:jc w:val="center"/>
              <w:rPr>
                <w:i/>
                <w:iCs/>
                <w:lang w:val="en-US"/>
              </w:rPr>
            </w:pPr>
            <w:r w:rsidRPr="00CE6931">
              <w:rPr>
                <w:i/>
                <w:iCs/>
                <w:lang w:val="en-US"/>
              </w:rPr>
              <w:t>Figur</w:t>
            </w:r>
            <w:r w:rsidR="00B93431" w:rsidRPr="00CE6931">
              <w:rPr>
                <w:i/>
                <w:iCs/>
                <w:lang w:val="en-US"/>
              </w:rPr>
              <w:t>e</w:t>
            </w:r>
            <w:r w:rsidRPr="00CE6931">
              <w:rPr>
                <w:i/>
                <w:iCs/>
                <w:lang w:val="en-US"/>
              </w:rPr>
              <w:t xml:space="preserve"> </w:t>
            </w:r>
            <w:r w:rsidR="00E85596" w:rsidRPr="00CE6931">
              <w:rPr>
                <w:i/>
                <w:iCs/>
                <w:lang w:val="en-US"/>
              </w:rPr>
              <w:t>9:</w:t>
            </w:r>
            <w:r w:rsidRPr="00CE6931">
              <w:rPr>
                <w:i/>
                <w:iCs/>
                <w:lang w:val="en-US"/>
              </w:rPr>
              <w:t xml:space="preserve"> </w:t>
            </w:r>
            <w:r w:rsidR="00DD2F49" w:rsidRPr="00CE6931">
              <w:rPr>
                <w:i/>
                <w:iCs/>
                <w:lang w:val="en-US"/>
              </w:rPr>
              <w:t xml:space="preserve">pH during </w:t>
            </w:r>
            <w:r w:rsidR="0011253C">
              <w:rPr>
                <w:i/>
                <w:iCs/>
                <w:lang w:val="en-US"/>
              </w:rPr>
              <w:t xml:space="preserve">the </w:t>
            </w:r>
            <w:r w:rsidR="00DD2F49" w:rsidRPr="00CE6931">
              <w:rPr>
                <w:i/>
                <w:iCs/>
                <w:lang w:val="en-US"/>
              </w:rPr>
              <w:t>anaerobic digestion process</w:t>
            </w:r>
          </w:p>
          <w:p w14:paraId="61A736A8" w14:textId="25A254E7" w:rsidR="00811C82" w:rsidRPr="00F65832" w:rsidRDefault="00811C82">
            <w:pPr>
              <w:jc w:val="center"/>
              <w:rPr>
                <w:lang w:val="en-US"/>
              </w:rPr>
            </w:pPr>
          </w:p>
        </w:tc>
      </w:tr>
    </w:tbl>
    <w:p w14:paraId="156D3943" w14:textId="77777777" w:rsidR="007109AF" w:rsidRPr="00F65832" w:rsidRDefault="007109AF" w:rsidP="00EA3317">
      <w:pPr>
        <w:keepNext/>
        <w:spacing w:before="240"/>
        <w:rPr>
          <w:lang w:val="en-US" w:eastAsia="es-ES"/>
        </w:rPr>
      </w:pPr>
      <w:r w:rsidRPr="00F65832">
        <w:rPr>
          <w:lang w:val="en-US" w:eastAsia="es-ES"/>
        </w:rPr>
        <w:t>Figure 10 shows methane production in the anaerobic digestion processes, where more than 68 % of methane is observed on day 25 at conditions of 5 % and 10 % bagasse at pH 8. However, on day 30, the experiment at pH 9 with 5 % bagasse produced more than 60 % methane. The results indicate the feasibility of producing biogas, specifically methane gas, from mezcal industry wastes subjected to pretreatment and with the addition of activated sludge as inoculum.</w:t>
      </w:r>
    </w:p>
    <w:p w14:paraId="1282B08F" w14:textId="2C06A178" w:rsidR="00173A98" w:rsidRDefault="00782DB6" w:rsidP="00782DB6">
      <w:pPr>
        <w:keepNext/>
        <w:spacing w:before="240"/>
        <w:jc w:val="center"/>
      </w:pPr>
      <w:r w:rsidRPr="00782DB6">
        <w:rPr>
          <w:noProof/>
        </w:rPr>
        <w:drawing>
          <wp:inline distT="0" distB="0" distL="0" distR="0" wp14:anchorId="55B53E12" wp14:editId="1379D4DA">
            <wp:extent cx="3608665" cy="1895768"/>
            <wp:effectExtent l="0" t="0" r="0" b="0"/>
            <wp:docPr id="379950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50590" name="Imagen 1"/>
                    <pic:cNvPicPr/>
                  </pic:nvPicPr>
                  <pic:blipFill>
                    <a:blip r:embed="rId21"/>
                    <a:stretch>
                      <a:fillRect/>
                    </a:stretch>
                  </pic:blipFill>
                  <pic:spPr>
                    <a:xfrm>
                      <a:off x="0" y="0"/>
                      <a:ext cx="3608665" cy="1895768"/>
                    </a:xfrm>
                    <a:prstGeom prst="rect">
                      <a:avLst/>
                    </a:prstGeom>
                  </pic:spPr>
                </pic:pic>
              </a:graphicData>
            </a:graphic>
          </wp:inline>
        </w:drawing>
      </w:r>
    </w:p>
    <w:p w14:paraId="3ABC0C1B" w14:textId="13DDC917" w:rsidR="00173A98" w:rsidRPr="00CE6931" w:rsidRDefault="00173A98" w:rsidP="00782DB6">
      <w:pPr>
        <w:pStyle w:val="CETReferencetext"/>
        <w:jc w:val="center"/>
        <w:rPr>
          <w:i/>
          <w:iCs/>
          <w:noProof/>
          <w:lang w:val="en-US"/>
        </w:rPr>
      </w:pPr>
      <w:bookmarkStart w:id="7" w:name="_Toc150906761"/>
      <w:r w:rsidRPr="00CE6931">
        <w:rPr>
          <w:i/>
          <w:iCs/>
          <w:lang w:val="en-US"/>
        </w:rPr>
        <w:t>Figur</w:t>
      </w:r>
      <w:r w:rsidR="00B93431" w:rsidRPr="00CE6931">
        <w:rPr>
          <w:i/>
          <w:iCs/>
          <w:lang w:val="en-US"/>
        </w:rPr>
        <w:t>e</w:t>
      </w:r>
      <w:r w:rsidRPr="00CE6931">
        <w:rPr>
          <w:i/>
          <w:iCs/>
          <w:lang w:val="en-US"/>
        </w:rPr>
        <w:t xml:space="preserve"> </w:t>
      </w:r>
      <w:r w:rsidR="004C640E" w:rsidRPr="00CE6931">
        <w:rPr>
          <w:i/>
          <w:iCs/>
          <w:lang w:val="en-US"/>
        </w:rPr>
        <w:t>10:</w:t>
      </w:r>
      <w:r w:rsidRPr="00CE6931">
        <w:rPr>
          <w:i/>
          <w:iCs/>
          <w:lang w:val="en-US"/>
        </w:rPr>
        <w:t xml:space="preserve"> </w:t>
      </w:r>
      <w:bookmarkEnd w:id="7"/>
      <w:r w:rsidR="00DD2F49" w:rsidRPr="00CE6931">
        <w:rPr>
          <w:i/>
          <w:iCs/>
          <w:lang w:val="en-US"/>
        </w:rPr>
        <w:t>Methane production in anaerobic digestion experiments</w:t>
      </w:r>
    </w:p>
    <w:p w14:paraId="28264FE9" w14:textId="6DDFEA8C" w:rsidR="002B18EB" w:rsidRDefault="002B18EB" w:rsidP="002B18EB">
      <w:pPr>
        <w:pStyle w:val="CETHeading1"/>
        <w:rPr>
          <w:noProof/>
        </w:rPr>
      </w:pPr>
      <w:r>
        <w:rPr>
          <w:noProof/>
        </w:rPr>
        <w:t>Conclusions</w:t>
      </w:r>
    </w:p>
    <w:p w14:paraId="5B3378C8" w14:textId="180D6BE1" w:rsidR="00362E63" w:rsidRDefault="00F3461B" w:rsidP="00362E63">
      <w:pPr>
        <w:pStyle w:val="Ttulo1"/>
        <w:numPr>
          <w:ilvl w:val="0"/>
          <w:numId w:val="0"/>
        </w:numPr>
        <w:spacing w:before="0" w:after="0"/>
        <w:rPr>
          <w:b w:val="0"/>
          <w:bCs/>
          <w:color w:val="0E101A"/>
          <w:sz w:val="18"/>
          <w:szCs w:val="18"/>
        </w:rPr>
      </w:pPr>
      <w:r w:rsidRPr="00F3461B">
        <w:rPr>
          <w:b w:val="0"/>
          <w:bCs/>
          <w:color w:val="0E101A"/>
          <w:sz w:val="18"/>
          <w:szCs w:val="18"/>
        </w:rPr>
        <w:t xml:space="preserve">All experiments generated biogas and methane during the anaerobic digestion. However, the highest production on day 25 were the experiments at pH of 8 and organic loads of 5% and 10% bagasse, reaching a production of over 60% methane and a reduction of 35.2 and 38.7% in volatile suspended solids (VSS), respectively. However, considerable methane production was also observed in the experiment with pH nine conditions with an organic load of 5%, obtaining over 60% methane production and a 43.3% reduction in volatile suspended solids (VSS) after 30 days. Indicating that the anaerobic digestion process was not inhibited because the pH and alkalinities were maintained in the ranges of 6 and 8 pH and alkalinities above 2,000 mg/L. The production of Total Volatile Acids remained in the range of </w:t>
      </w:r>
      <w:r w:rsidR="00362E63" w:rsidRPr="008D10DF">
        <w:rPr>
          <w:rStyle w:val="CETBodytextCarattere"/>
          <w:b w:val="0"/>
          <w:bCs/>
        </w:rPr>
        <w:t>1704 y 748.8 mg/L</w:t>
      </w:r>
      <w:r w:rsidRPr="00362E63">
        <w:rPr>
          <w:rStyle w:val="CETBodytextCarattere"/>
          <w:b w:val="0"/>
          <w:bCs/>
        </w:rPr>
        <w:t xml:space="preserve"> </w:t>
      </w:r>
      <w:r w:rsidRPr="00F3461B">
        <w:rPr>
          <w:b w:val="0"/>
          <w:bCs/>
          <w:color w:val="0E101A"/>
          <w:sz w:val="18"/>
          <w:szCs w:val="18"/>
        </w:rPr>
        <w:t>Indicating that at a retention time of 30 days at a mesophilic temperature of 35°C, the production of these acids did not inhibit the process. The structure of bagasse before and after pretreatment is essential to conclude that pretreatment modified the lignin structure, which resulted in higher biogas generation during anaerobic digestion. However, these studies were not performed. This study concludes that anaerobic digestion can treat this waste type to obtain methane as biofuel.</w:t>
      </w:r>
    </w:p>
    <w:p w14:paraId="2D55347A" w14:textId="77777777" w:rsidR="008D10DF" w:rsidRPr="00B57B36" w:rsidRDefault="008D10DF" w:rsidP="008D10DF">
      <w:pPr>
        <w:pStyle w:val="CETReference"/>
      </w:pPr>
      <w:r w:rsidRPr="00B57B36">
        <w:t>References</w:t>
      </w:r>
    </w:p>
    <w:p w14:paraId="7A53BF5B" w14:textId="0E3B1952" w:rsidR="00362E63" w:rsidRPr="00496932" w:rsidRDefault="00362E63" w:rsidP="00362E63">
      <w:pPr>
        <w:pStyle w:val="CETReferencetext"/>
      </w:pPr>
      <w:r w:rsidRPr="00496932">
        <w:t>Abraham A., Mathewa A. K., Parka H., Choia O., Sindhub R., Parameswaranb B., Pandeyc A., Parkd J. H., Sanga, B., 2020, Pretreatment strategies for enhanced biogas production from lignocellulosic biomass, Bioresource Technology, 301,12272.</w:t>
      </w:r>
    </w:p>
    <w:p w14:paraId="79E0ED88" w14:textId="77777777" w:rsidR="00362E63" w:rsidRDefault="00362E63" w:rsidP="00362E63">
      <w:pPr>
        <w:pStyle w:val="CETReferencetext"/>
        <w:rPr>
          <w:noProof/>
          <w:lang w:val="es-ES"/>
        </w:rPr>
      </w:pPr>
      <w:r>
        <w:rPr>
          <w:noProof/>
          <w:lang w:val="es-ES"/>
        </w:rPr>
        <w:t>Campos E., Flotats X., Castells X. E., 2012, Tratamiento y valorización energética de residuos, Díaz de Santos (Ed.), Madrid, España.</w:t>
      </w:r>
    </w:p>
    <w:p w14:paraId="450574C4" w14:textId="77777777" w:rsidR="00362E63" w:rsidRDefault="00362E63" w:rsidP="00362E63">
      <w:pPr>
        <w:pStyle w:val="CETReferencetext"/>
        <w:rPr>
          <w:noProof/>
          <w:lang w:val="es-ES"/>
        </w:rPr>
      </w:pPr>
      <w:r>
        <w:rPr>
          <w:noProof/>
          <w:lang w:val="es-ES"/>
        </w:rPr>
        <w:t xml:space="preserve">Colmenero Robles, A., Rosas Medina, I., Vázquez Sánchez, E., 2011, Algunas Consideraciones del Mezcal En el Municipio de Nombre de Dios, Durango, México, </w:t>
      </w:r>
      <w:r w:rsidRPr="00502103">
        <w:rPr>
          <w:noProof/>
          <w:lang w:val="es-ES"/>
        </w:rPr>
        <w:t>Vidsupra, Volúmen 3 No. 2, 48-52.</w:t>
      </w:r>
    </w:p>
    <w:p w14:paraId="7D5D4E81" w14:textId="77777777" w:rsidR="00362E63" w:rsidRDefault="00362E63" w:rsidP="00362E63">
      <w:pPr>
        <w:pStyle w:val="CETReferencetext"/>
        <w:rPr>
          <w:noProof/>
          <w:lang w:val="es-ES"/>
        </w:rPr>
      </w:pPr>
      <w:r w:rsidRPr="00496932">
        <w:rPr>
          <w:noProof/>
          <w:lang w:val="es-ES"/>
        </w:rPr>
        <w:t>DOF, 2017, NOM-070-SCFI-2016</w:t>
      </w:r>
      <w:r>
        <w:rPr>
          <w:noProof/>
          <w:lang w:val="es-ES"/>
        </w:rPr>
        <w:t>:</w:t>
      </w:r>
      <w:r w:rsidRPr="00496932">
        <w:rPr>
          <w:noProof/>
          <w:lang w:val="es-ES"/>
        </w:rPr>
        <w:t xml:space="preserve"> Bebidas alcohólicas-Mezcal-Especificaciones</w:t>
      </w:r>
      <w:r>
        <w:rPr>
          <w:noProof/>
          <w:lang w:val="es-ES"/>
        </w:rPr>
        <w:t xml:space="preserve">, </w:t>
      </w:r>
      <w:r w:rsidRPr="00496932">
        <w:rPr>
          <w:noProof/>
          <w:lang w:val="es-ES"/>
        </w:rPr>
        <w:t>SEGOB</w:t>
      </w:r>
      <w:r>
        <w:rPr>
          <w:noProof/>
          <w:lang w:val="es-ES"/>
        </w:rPr>
        <w:t>, Ciudad de México, México</w:t>
      </w:r>
      <w:r w:rsidRPr="00496932">
        <w:rPr>
          <w:noProof/>
          <w:lang w:val="es-ES"/>
        </w:rPr>
        <w:t>.</w:t>
      </w:r>
    </w:p>
    <w:p w14:paraId="17B945DD" w14:textId="3CB94776" w:rsidR="00062C0A" w:rsidRPr="00CE1B55" w:rsidRDefault="00062C0A" w:rsidP="00362E63">
      <w:pPr>
        <w:pStyle w:val="CETReferencetext"/>
        <w:rPr>
          <w:noProof/>
          <w:lang w:val="en-US"/>
        </w:rPr>
      </w:pPr>
      <w:r>
        <w:rPr>
          <w:noProof/>
          <w:lang w:val="es-ES"/>
        </w:rPr>
        <w:t>Conteras-Hernández, M. G., Aréchiga-Carvajal, E. T., Moreno-Jiménez, M. R., González-Herrera, S.M., López-Miranda, J., Prado-Barragán, L.A., Rutiaga_quiñones, O. M.</w:t>
      </w:r>
      <w:r w:rsidR="002F63B4">
        <w:rPr>
          <w:noProof/>
          <w:lang w:val="es-ES"/>
        </w:rPr>
        <w:t>,</w:t>
      </w:r>
      <w:r>
        <w:rPr>
          <w:noProof/>
          <w:lang w:val="es-ES"/>
        </w:rPr>
        <w:t xml:space="preserve"> 2018. </w:t>
      </w:r>
      <w:r w:rsidRPr="00CE1B55">
        <w:rPr>
          <w:color w:val="0E101A"/>
          <w:szCs w:val="18"/>
          <w:lang w:val="en-US"/>
        </w:rPr>
        <w:t>Enzymatic potential of native fungal stains of agave residues.</w:t>
      </w:r>
      <w:r w:rsidR="00CE1B55">
        <w:rPr>
          <w:color w:val="0E101A"/>
          <w:szCs w:val="18"/>
          <w:lang w:val="en-US"/>
        </w:rPr>
        <w:t xml:space="preserve"> Bio</w:t>
      </w:r>
      <w:r w:rsidR="00E76C17">
        <w:rPr>
          <w:color w:val="0E101A"/>
          <w:szCs w:val="18"/>
          <w:lang w:val="en-US"/>
        </w:rPr>
        <w:t>R</w:t>
      </w:r>
      <w:r w:rsidR="00CE1B55">
        <w:rPr>
          <w:color w:val="0E101A"/>
          <w:szCs w:val="18"/>
          <w:lang w:val="en-US"/>
        </w:rPr>
        <w:t>esosurces</w:t>
      </w:r>
      <w:r w:rsidR="00E76C17">
        <w:rPr>
          <w:color w:val="0E101A"/>
          <w:szCs w:val="18"/>
          <w:lang w:val="en-US"/>
        </w:rPr>
        <w:t xml:space="preserve"> 13(1), 569-585.</w:t>
      </w:r>
    </w:p>
    <w:p w14:paraId="7F9999C1" w14:textId="77777777" w:rsidR="00362E63" w:rsidRPr="00496932" w:rsidRDefault="00362E63" w:rsidP="00362E63">
      <w:pPr>
        <w:pStyle w:val="CETReferencetext"/>
      </w:pPr>
      <w:r w:rsidRPr="00496932">
        <w:t>Kashyap D. R., Dadhich K. S., Sharma S. K.</w:t>
      </w:r>
      <w:r>
        <w:t xml:space="preserve">, </w:t>
      </w:r>
      <w:r w:rsidRPr="00496932">
        <w:t>2003</w:t>
      </w:r>
      <w:r>
        <w:t>,</w:t>
      </w:r>
      <w:r w:rsidRPr="00496932">
        <w:t xml:space="preserve"> Biomethanation under psychrophilic conditions: a review</w:t>
      </w:r>
      <w:r>
        <w:t>,</w:t>
      </w:r>
      <w:r w:rsidRPr="00496932">
        <w:t> Bioresource technology, 87(2), 147–153</w:t>
      </w:r>
      <w:r>
        <w:t>.</w:t>
      </w:r>
    </w:p>
    <w:p w14:paraId="42AC7AB9" w14:textId="77777777" w:rsidR="00362E63" w:rsidRPr="00F65832" w:rsidRDefault="00362E63" w:rsidP="00362E63">
      <w:pPr>
        <w:pStyle w:val="CETReferencetext"/>
        <w:rPr>
          <w:noProof/>
          <w:lang w:val="es-MX"/>
        </w:rPr>
      </w:pPr>
      <w:r>
        <w:rPr>
          <w:noProof/>
          <w:lang w:val="es-ES"/>
        </w:rPr>
        <w:t xml:space="preserve">López, J. d., 2018, El mezcal como patrimonio social: de indicaciones geográficas genéricas a denominaciones de origen </w:t>
      </w:r>
      <w:r w:rsidRPr="00496932">
        <w:rPr>
          <w:noProof/>
          <w:lang w:val="es-ES"/>
        </w:rPr>
        <w:t xml:space="preserve">regionales, </w:t>
      </w:r>
      <w:r w:rsidRPr="00F65832">
        <w:rPr>
          <w:noProof/>
          <w:lang w:val="es-MX"/>
        </w:rPr>
        <w:t>Em Questão, vol. 24, 2, 404-433.</w:t>
      </w:r>
    </w:p>
    <w:p w14:paraId="32FC5BF7" w14:textId="677DE206" w:rsidR="00362E63" w:rsidRDefault="00362E63" w:rsidP="00362E63">
      <w:pPr>
        <w:pStyle w:val="CETReferencetext"/>
        <w:rPr>
          <w:noProof/>
          <w:lang w:val="es-ES"/>
        </w:rPr>
      </w:pPr>
      <w:r w:rsidRPr="00F65832">
        <w:rPr>
          <w:lang w:val="en-US"/>
        </w:rPr>
        <w:t xml:space="preserve">Patinvoh, R.J., Osadolor, O.A., Chandolias, K., Horváth, I.S., Taherzadeh, M.J., 2017, </w:t>
      </w:r>
      <w:r>
        <w:t xml:space="preserve">Innovative pretreatment strategies for biogas production, </w:t>
      </w:r>
      <w:proofErr w:type="spellStart"/>
      <w:r>
        <w:t>Bioresour</w:t>
      </w:r>
      <w:proofErr w:type="spellEnd"/>
      <w:r>
        <w:t xml:space="preserve">, </w:t>
      </w:r>
      <w:proofErr w:type="spellStart"/>
      <w:r>
        <w:t>Technol</w:t>
      </w:r>
      <w:proofErr w:type="spellEnd"/>
      <w:r>
        <w:t>, 224, 13–24.</w:t>
      </w:r>
    </w:p>
    <w:p w14:paraId="5F96D1CF" w14:textId="77777777" w:rsidR="00FB5301" w:rsidRDefault="00362E63" w:rsidP="00FB5301">
      <w:pPr>
        <w:pStyle w:val="CETReferencetext"/>
      </w:pPr>
      <w:r>
        <w:t>Saini, J.K., Saini, R., Tewari, L., 2015, Lignocellulosic agriculture wastes as biomass feedstocks for second-generation bioethanol production: concepts and recent developments, 3 Biotech, 5, 337–353.</w:t>
      </w:r>
      <w:bookmarkStart w:id="8" w:name="_Hlk161692726"/>
    </w:p>
    <w:p w14:paraId="445AE0F4" w14:textId="227E3A7F" w:rsidR="00876DDD" w:rsidRDefault="00876DDD" w:rsidP="00FB5301">
      <w:pPr>
        <w:pStyle w:val="CETReferencetext"/>
        <w:rPr>
          <w:lang w:val="en-US"/>
        </w:rPr>
      </w:pPr>
      <w:r w:rsidRPr="0006033D">
        <w:rPr>
          <w:lang w:val="en-US"/>
        </w:rPr>
        <w:t xml:space="preserve">Yee Van Fan, Chew Tin Lee, Jiří Jaromír </w:t>
      </w:r>
      <w:proofErr w:type="spellStart"/>
      <w:r w:rsidRPr="0006033D">
        <w:rPr>
          <w:lang w:val="en-US"/>
        </w:rPr>
        <w:t>Klemeš</w:t>
      </w:r>
      <w:proofErr w:type="spellEnd"/>
      <w:r w:rsidRPr="0006033D">
        <w:rPr>
          <w:lang w:val="en-US"/>
        </w:rPr>
        <w:t xml:space="preserve">. </w:t>
      </w:r>
      <w:r>
        <w:rPr>
          <w:lang w:val="en-US"/>
        </w:rPr>
        <w:t xml:space="preserve">2017. </w:t>
      </w:r>
      <w:r w:rsidRPr="0006033D">
        <w:rPr>
          <w:lang w:val="en-US"/>
        </w:rPr>
        <w:t>Challenges for Energy Efficiency Improvement Anaerobic Digestion (AD)</w:t>
      </w:r>
      <w:r>
        <w:rPr>
          <w:lang w:val="en-US"/>
        </w:rPr>
        <w:t>. Chemical Engineering Transactions. 61, 105-110.</w:t>
      </w:r>
    </w:p>
    <w:bookmarkEnd w:id="8"/>
    <w:p w14:paraId="49817D06" w14:textId="629C510D" w:rsidR="00BF669B" w:rsidRDefault="00362E63" w:rsidP="0011253C">
      <w:pPr>
        <w:pStyle w:val="CETReferencetext"/>
      </w:pPr>
      <w:r w:rsidRPr="00F65832">
        <w:rPr>
          <w:lang w:val="en-US"/>
        </w:rPr>
        <w:t xml:space="preserve">Yoo, C. G., 2020, </w:t>
      </w:r>
      <w:r w:rsidRPr="005B5DC0">
        <w:rPr>
          <w:lang w:val="en-US"/>
        </w:rPr>
        <w:t>The critical role of lignin in lignocellulosic biomass conversion and recent pretreatment strategies: a comprehensive review</w:t>
      </w:r>
      <w:r>
        <w:rPr>
          <w:lang w:val="en-US"/>
        </w:rPr>
        <w:t>,</w:t>
      </w:r>
      <w:r w:rsidRPr="005B5DC0">
        <w:rPr>
          <w:lang w:val="en-US"/>
        </w:rPr>
        <w:t xml:space="preserve"> </w:t>
      </w:r>
      <w:r>
        <w:t xml:space="preserve">Bioresource Technology, 301, 1-10. </w:t>
      </w:r>
    </w:p>
    <w:p w14:paraId="4D2B5037" w14:textId="77777777" w:rsidR="004B0F4B" w:rsidRPr="00876DDD" w:rsidRDefault="004B0F4B" w:rsidP="0011253C">
      <w:pPr>
        <w:pStyle w:val="CETReferencetext"/>
        <w:rPr>
          <w:noProof/>
          <w:lang w:val="en-US"/>
        </w:rPr>
      </w:pPr>
    </w:p>
    <w:sectPr w:rsidR="004B0F4B" w:rsidRPr="00876DDD" w:rsidSect="007D516A">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C7057" w14:textId="77777777" w:rsidR="007D516A" w:rsidRDefault="007D516A" w:rsidP="004F5E36">
      <w:r>
        <w:separator/>
      </w:r>
    </w:p>
  </w:endnote>
  <w:endnote w:type="continuationSeparator" w:id="0">
    <w:p w14:paraId="73579069" w14:textId="77777777" w:rsidR="007D516A" w:rsidRDefault="007D516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05BE9" w14:textId="77777777" w:rsidR="007D516A" w:rsidRDefault="007D516A" w:rsidP="004F5E36">
      <w:r>
        <w:separator/>
      </w:r>
    </w:p>
  </w:footnote>
  <w:footnote w:type="continuationSeparator" w:id="0">
    <w:p w14:paraId="5C58EB85" w14:textId="77777777" w:rsidR="007D516A" w:rsidRDefault="007D516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FCD53A7"/>
    <w:multiLevelType w:val="hybridMultilevel"/>
    <w:tmpl w:val="B88EC83C"/>
    <w:lvl w:ilvl="0" w:tplc="03DA12C6">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2438217E"/>
    <w:multiLevelType w:val="multilevel"/>
    <w:tmpl w:val="A5EE036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E517CED"/>
    <w:multiLevelType w:val="hybridMultilevel"/>
    <w:tmpl w:val="A1EC834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1329599527">
    <w:abstractNumId w:val="16"/>
  </w:num>
  <w:num w:numId="24" w16cid:durableId="1862233225">
    <w:abstractNumId w:val="10"/>
  </w:num>
  <w:num w:numId="25" w16cid:durableId="280918649">
    <w:abstractNumId w:val="11"/>
    <w:lvlOverride w:ilvl="0">
      <w:startOverride w:val="1"/>
    </w:lvlOverride>
    <w:lvlOverride w:ilvl="1">
      <w:startOverride w:val="2"/>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FC6"/>
    <w:rsid w:val="00016788"/>
    <w:rsid w:val="0003148D"/>
    <w:rsid w:val="00031EEC"/>
    <w:rsid w:val="0004668C"/>
    <w:rsid w:val="00051566"/>
    <w:rsid w:val="000562A9"/>
    <w:rsid w:val="00062A9A"/>
    <w:rsid w:val="00062C0A"/>
    <w:rsid w:val="000647CC"/>
    <w:rsid w:val="00065058"/>
    <w:rsid w:val="00083E85"/>
    <w:rsid w:val="00086C39"/>
    <w:rsid w:val="000A03B2"/>
    <w:rsid w:val="000A21B1"/>
    <w:rsid w:val="000B3CC3"/>
    <w:rsid w:val="000B5BCF"/>
    <w:rsid w:val="000C6945"/>
    <w:rsid w:val="000D0268"/>
    <w:rsid w:val="000D34BE"/>
    <w:rsid w:val="000D73A1"/>
    <w:rsid w:val="000E102F"/>
    <w:rsid w:val="000E36F1"/>
    <w:rsid w:val="000E3A73"/>
    <w:rsid w:val="000E414A"/>
    <w:rsid w:val="000E6857"/>
    <w:rsid w:val="000F093C"/>
    <w:rsid w:val="000F787B"/>
    <w:rsid w:val="001075B1"/>
    <w:rsid w:val="001117F0"/>
    <w:rsid w:val="0011253C"/>
    <w:rsid w:val="00113426"/>
    <w:rsid w:val="0012091F"/>
    <w:rsid w:val="00126BC2"/>
    <w:rsid w:val="00126BFB"/>
    <w:rsid w:val="001308B6"/>
    <w:rsid w:val="0013121F"/>
    <w:rsid w:val="00131FE6"/>
    <w:rsid w:val="0013263F"/>
    <w:rsid w:val="001331DF"/>
    <w:rsid w:val="00134DE4"/>
    <w:rsid w:val="0014034D"/>
    <w:rsid w:val="00144D16"/>
    <w:rsid w:val="00150E59"/>
    <w:rsid w:val="00152DE3"/>
    <w:rsid w:val="00156F74"/>
    <w:rsid w:val="001624BE"/>
    <w:rsid w:val="00164CF9"/>
    <w:rsid w:val="00166649"/>
    <w:rsid w:val="001667A6"/>
    <w:rsid w:val="00173A98"/>
    <w:rsid w:val="00184AD6"/>
    <w:rsid w:val="00184C1C"/>
    <w:rsid w:val="00187F44"/>
    <w:rsid w:val="001A34CF"/>
    <w:rsid w:val="001A4AF7"/>
    <w:rsid w:val="001A69CE"/>
    <w:rsid w:val="001B0349"/>
    <w:rsid w:val="001B03A7"/>
    <w:rsid w:val="001B0F44"/>
    <w:rsid w:val="001B1E93"/>
    <w:rsid w:val="001B2971"/>
    <w:rsid w:val="001B65C1"/>
    <w:rsid w:val="001C4D37"/>
    <w:rsid w:val="001C684B"/>
    <w:rsid w:val="001C7E7B"/>
    <w:rsid w:val="001D0CFB"/>
    <w:rsid w:val="001D21AF"/>
    <w:rsid w:val="001D519A"/>
    <w:rsid w:val="001D53FC"/>
    <w:rsid w:val="001D728E"/>
    <w:rsid w:val="001E0E6A"/>
    <w:rsid w:val="001F42A5"/>
    <w:rsid w:val="001F7B9D"/>
    <w:rsid w:val="00201C93"/>
    <w:rsid w:val="00212034"/>
    <w:rsid w:val="00216E00"/>
    <w:rsid w:val="0022186B"/>
    <w:rsid w:val="002224B4"/>
    <w:rsid w:val="00230EBD"/>
    <w:rsid w:val="00231CBF"/>
    <w:rsid w:val="002447EF"/>
    <w:rsid w:val="00251550"/>
    <w:rsid w:val="00263B05"/>
    <w:rsid w:val="0027221A"/>
    <w:rsid w:val="00274B85"/>
    <w:rsid w:val="00275B61"/>
    <w:rsid w:val="00275C61"/>
    <w:rsid w:val="00280FAF"/>
    <w:rsid w:val="00282656"/>
    <w:rsid w:val="00290CDE"/>
    <w:rsid w:val="00292B1D"/>
    <w:rsid w:val="00296B83"/>
    <w:rsid w:val="002A1A26"/>
    <w:rsid w:val="002B18EB"/>
    <w:rsid w:val="002B4015"/>
    <w:rsid w:val="002B76BE"/>
    <w:rsid w:val="002B78CE"/>
    <w:rsid w:val="002C2FB6"/>
    <w:rsid w:val="002E339B"/>
    <w:rsid w:val="002E5FA7"/>
    <w:rsid w:val="002F3309"/>
    <w:rsid w:val="002F63B4"/>
    <w:rsid w:val="003008CE"/>
    <w:rsid w:val="003009B7"/>
    <w:rsid w:val="00300E56"/>
    <w:rsid w:val="0030152C"/>
    <w:rsid w:val="00303371"/>
    <w:rsid w:val="0030469C"/>
    <w:rsid w:val="00310450"/>
    <w:rsid w:val="003130FB"/>
    <w:rsid w:val="003147F4"/>
    <w:rsid w:val="003200B5"/>
    <w:rsid w:val="00321CA6"/>
    <w:rsid w:val="00323763"/>
    <w:rsid w:val="00323C5F"/>
    <w:rsid w:val="00327A78"/>
    <w:rsid w:val="00334C09"/>
    <w:rsid w:val="00362E63"/>
    <w:rsid w:val="0037120F"/>
    <w:rsid w:val="003723D4"/>
    <w:rsid w:val="003741B4"/>
    <w:rsid w:val="00381905"/>
    <w:rsid w:val="00384CC8"/>
    <w:rsid w:val="003871FD"/>
    <w:rsid w:val="003A1E30"/>
    <w:rsid w:val="003A2829"/>
    <w:rsid w:val="003A282F"/>
    <w:rsid w:val="003A6FC6"/>
    <w:rsid w:val="003A7825"/>
    <w:rsid w:val="003A7D1C"/>
    <w:rsid w:val="003B0F01"/>
    <w:rsid w:val="003B304B"/>
    <w:rsid w:val="003B3146"/>
    <w:rsid w:val="003C2CEC"/>
    <w:rsid w:val="003D0543"/>
    <w:rsid w:val="003E0CC8"/>
    <w:rsid w:val="003E4E07"/>
    <w:rsid w:val="003F015E"/>
    <w:rsid w:val="00400414"/>
    <w:rsid w:val="0041446B"/>
    <w:rsid w:val="00421035"/>
    <w:rsid w:val="00434E05"/>
    <w:rsid w:val="0044071E"/>
    <w:rsid w:val="0044329C"/>
    <w:rsid w:val="00450F35"/>
    <w:rsid w:val="00453E24"/>
    <w:rsid w:val="00457456"/>
    <w:rsid w:val="004577FE"/>
    <w:rsid w:val="00457B9C"/>
    <w:rsid w:val="0046164A"/>
    <w:rsid w:val="004628D2"/>
    <w:rsid w:val="00462DCD"/>
    <w:rsid w:val="0046474D"/>
    <w:rsid w:val="004648AD"/>
    <w:rsid w:val="004703A9"/>
    <w:rsid w:val="0047073B"/>
    <w:rsid w:val="004760DE"/>
    <w:rsid w:val="004761E9"/>
    <w:rsid w:val="004763D7"/>
    <w:rsid w:val="004822B6"/>
    <w:rsid w:val="004823C0"/>
    <w:rsid w:val="0049273B"/>
    <w:rsid w:val="004A004E"/>
    <w:rsid w:val="004A24CF"/>
    <w:rsid w:val="004B008C"/>
    <w:rsid w:val="004B0F4B"/>
    <w:rsid w:val="004B7318"/>
    <w:rsid w:val="004C3D1D"/>
    <w:rsid w:val="004C3D84"/>
    <w:rsid w:val="004C640E"/>
    <w:rsid w:val="004C7913"/>
    <w:rsid w:val="004D0E76"/>
    <w:rsid w:val="004D4746"/>
    <w:rsid w:val="004E4DD6"/>
    <w:rsid w:val="004E5556"/>
    <w:rsid w:val="004F5E36"/>
    <w:rsid w:val="00507B47"/>
    <w:rsid w:val="00507BEF"/>
    <w:rsid w:val="00507CC9"/>
    <w:rsid w:val="0051178E"/>
    <w:rsid w:val="005119A5"/>
    <w:rsid w:val="00516AAC"/>
    <w:rsid w:val="00526674"/>
    <w:rsid w:val="005278B7"/>
    <w:rsid w:val="00527F3D"/>
    <w:rsid w:val="00531F27"/>
    <w:rsid w:val="00532016"/>
    <w:rsid w:val="00532666"/>
    <w:rsid w:val="005346C8"/>
    <w:rsid w:val="00543E7D"/>
    <w:rsid w:val="00547A68"/>
    <w:rsid w:val="005531C9"/>
    <w:rsid w:val="00562DE3"/>
    <w:rsid w:val="00570351"/>
    <w:rsid w:val="00570C43"/>
    <w:rsid w:val="00596704"/>
    <w:rsid w:val="005A4915"/>
    <w:rsid w:val="005B2110"/>
    <w:rsid w:val="005B61E6"/>
    <w:rsid w:val="005C77E1"/>
    <w:rsid w:val="005D668A"/>
    <w:rsid w:val="005D6A2F"/>
    <w:rsid w:val="005E1A82"/>
    <w:rsid w:val="005E2E6E"/>
    <w:rsid w:val="005E34E9"/>
    <w:rsid w:val="005E794C"/>
    <w:rsid w:val="005F0A28"/>
    <w:rsid w:val="005F0E5E"/>
    <w:rsid w:val="005F7994"/>
    <w:rsid w:val="00600535"/>
    <w:rsid w:val="00610CD6"/>
    <w:rsid w:val="00611A5B"/>
    <w:rsid w:val="00611C5B"/>
    <w:rsid w:val="00620DEE"/>
    <w:rsid w:val="00621F92"/>
    <w:rsid w:val="0062280A"/>
    <w:rsid w:val="00625639"/>
    <w:rsid w:val="00630019"/>
    <w:rsid w:val="00631B33"/>
    <w:rsid w:val="006340C7"/>
    <w:rsid w:val="00641367"/>
    <w:rsid w:val="0064184D"/>
    <w:rsid w:val="006422CC"/>
    <w:rsid w:val="0064693F"/>
    <w:rsid w:val="006522FF"/>
    <w:rsid w:val="00660E3E"/>
    <w:rsid w:val="00660F49"/>
    <w:rsid w:val="00662E74"/>
    <w:rsid w:val="00680C23"/>
    <w:rsid w:val="00682EBE"/>
    <w:rsid w:val="006830B2"/>
    <w:rsid w:val="00692A23"/>
    <w:rsid w:val="00693766"/>
    <w:rsid w:val="006A0F98"/>
    <w:rsid w:val="006A3281"/>
    <w:rsid w:val="006B4888"/>
    <w:rsid w:val="006B4964"/>
    <w:rsid w:val="006B5D50"/>
    <w:rsid w:val="006C2E45"/>
    <w:rsid w:val="006C359C"/>
    <w:rsid w:val="006C518B"/>
    <w:rsid w:val="006C5579"/>
    <w:rsid w:val="006D6E8B"/>
    <w:rsid w:val="006E737D"/>
    <w:rsid w:val="006F19EC"/>
    <w:rsid w:val="00705CCD"/>
    <w:rsid w:val="0071021B"/>
    <w:rsid w:val="007109AF"/>
    <w:rsid w:val="00710C00"/>
    <w:rsid w:val="00711E5A"/>
    <w:rsid w:val="00713973"/>
    <w:rsid w:val="00720A24"/>
    <w:rsid w:val="00723169"/>
    <w:rsid w:val="00732386"/>
    <w:rsid w:val="0073514D"/>
    <w:rsid w:val="007447F3"/>
    <w:rsid w:val="0075499F"/>
    <w:rsid w:val="0075517D"/>
    <w:rsid w:val="007661C8"/>
    <w:rsid w:val="0077098D"/>
    <w:rsid w:val="00782DB6"/>
    <w:rsid w:val="00792C08"/>
    <w:rsid w:val="007931FA"/>
    <w:rsid w:val="007947C3"/>
    <w:rsid w:val="00795595"/>
    <w:rsid w:val="00797C5E"/>
    <w:rsid w:val="007A08E0"/>
    <w:rsid w:val="007A0A3D"/>
    <w:rsid w:val="007A1B80"/>
    <w:rsid w:val="007A4861"/>
    <w:rsid w:val="007A7BBA"/>
    <w:rsid w:val="007B0C50"/>
    <w:rsid w:val="007B48F9"/>
    <w:rsid w:val="007C1A43"/>
    <w:rsid w:val="007C1C82"/>
    <w:rsid w:val="007C2F73"/>
    <w:rsid w:val="007C3AF7"/>
    <w:rsid w:val="007D0951"/>
    <w:rsid w:val="007D260A"/>
    <w:rsid w:val="007D2B67"/>
    <w:rsid w:val="007D516A"/>
    <w:rsid w:val="007D56C2"/>
    <w:rsid w:val="007D7606"/>
    <w:rsid w:val="0080013E"/>
    <w:rsid w:val="008043D4"/>
    <w:rsid w:val="008063EA"/>
    <w:rsid w:val="00811C82"/>
    <w:rsid w:val="00813288"/>
    <w:rsid w:val="008168FC"/>
    <w:rsid w:val="008226FD"/>
    <w:rsid w:val="008252F6"/>
    <w:rsid w:val="00830996"/>
    <w:rsid w:val="008345F1"/>
    <w:rsid w:val="008365A3"/>
    <w:rsid w:val="00836F80"/>
    <w:rsid w:val="00843EAC"/>
    <w:rsid w:val="00865B07"/>
    <w:rsid w:val="008667EA"/>
    <w:rsid w:val="00874DDD"/>
    <w:rsid w:val="0087637F"/>
    <w:rsid w:val="00876DDD"/>
    <w:rsid w:val="00881B4B"/>
    <w:rsid w:val="0088431E"/>
    <w:rsid w:val="008911FA"/>
    <w:rsid w:val="00892AD5"/>
    <w:rsid w:val="008A1512"/>
    <w:rsid w:val="008A6D33"/>
    <w:rsid w:val="008B2084"/>
    <w:rsid w:val="008B412F"/>
    <w:rsid w:val="008B4D08"/>
    <w:rsid w:val="008B7C03"/>
    <w:rsid w:val="008C5F0E"/>
    <w:rsid w:val="008D0559"/>
    <w:rsid w:val="008D10DF"/>
    <w:rsid w:val="008D32B9"/>
    <w:rsid w:val="008D433B"/>
    <w:rsid w:val="008D4A16"/>
    <w:rsid w:val="008E566E"/>
    <w:rsid w:val="008F10F2"/>
    <w:rsid w:val="00900C09"/>
    <w:rsid w:val="0090161A"/>
    <w:rsid w:val="00901EB6"/>
    <w:rsid w:val="00903E11"/>
    <w:rsid w:val="00904C62"/>
    <w:rsid w:val="0091441B"/>
    <w:rsid w:val="00917C12"/>
    <w:rsid w:val="00922BA8"/>
    <w:rsid w:val="00924DAC"/>
    <w:rsid w:val="00925D66"/>
    <w:rsid w:val="00927058"/>
    <w:rsid w:val="00931BF9"/>
    <w:rsid w:val="00933A3B"/>
    <w:rsid w:val="00942750"/>
    <w:rsid w:val="009450CE"/>
    <w:rsid w:val="009459BB"/>
    <w:rsid w:val="00947179"/>
    <w:rsid w:val="0095164B"/>
    <w:rsid w:val="00954090"/>
    <w:rsid w:val="009573E7"/>
    <w:rsid w:val="0096345F"/>
    <w:rsid w:val="00963E05"/>
    <w:rsid w:val="00964A45"/>
    <w:rsid w:val="00967843"/>
    <w:rsid w:val="00967CA7"/>
    <w:rsid w:val="00967D54"/>
    <w:rsid w:val="00971028"/>
    <w:rsid w:val="00980636"/>
    <w:rsid w:val="00993B84"/>
    <w:rsid w:val="00996483"/>
    <w:rsid w:val="00996F5A"/>
    <w:rsid w:val="00996FB5"/>
    <w:rsid w:val="009B041A"/>
    <w:rsid w:val="009B3354"/>
    <w:rsid w:val="009C37C3"/>
    <w:rsid w:val="009C71C5"/>
    <w:rsid w:val="009C7AED"/>
    <w:rsid w:val="009C7C86"/>
    <w:rsid w:val="009D2FF7"/>
    <w:rsid w:val="009E32D2"/>
    <w:rsid w:val="009E7884"/>
    <w:rsid w:val="009E788A"/>
    <w:rsid w:val="009F0E08"/>
    <w:rsid w:val="009F56BE"/>
    <w:rsid w:val="009F7E1B"/>
    <w:rsid w:val="00A0446F"/>
    <w:rsid w:val="00A1763D"/>
    <w:rsid w:val="00A17CEC"/>
    <w:rsid w:val="00A26C3B"/>
    <w:rsid w:val="00A27EF0"/>
    <w:rsid w:val="00A3645A"/>
    <w:rsid w:val="00A41F66"/>
    <w:rsid w:val="00A42361"/>
    <w:rsid w:val="00A43A72"/>
    <w:rsid w:val="00A50B20"/>
    <w:rsid w:val="00A51390"/>
    <w:rsid w:val="00A60D13"/>
    <w:rsid w:val="00A71039"/>
    <w:rsid w:val="00A7223D"/>
    <w:rsid w:val="00A72745"/>
    <w:rsid w:val="00A76EFC"/>
    <w:rsid w:val="00A869DD"/>
    <w:rsid w:val="00A87D50"/>
    <w:rsid w:val="00A91010"/>
    <w:rsid w:val="00A93095"/>
    <w:rsid w:val="00A96724"/>
    <w:rsid w:val="00A97F29"/>
    <w:rsid w:val="00AA26A2"/>
    <w:rsid w:val="00AA702E"/>
    <w:rsid w:val="00AA7D26"/>
    <w:rsid w:val="00AB0964"/>
    <w:rsid w:val="00AB5011"/>
    <w:rsid w:val="00AC1D2B"/>
    <w:rsid w:val="00AC7368"/>
    <w:rsid w:val="00AD16B9"/>
    <w:rsid w:val="00AD6847"/>
    <w:rsid w:val="00AE377D"/>
    <w:rsid w:val="00AF0EBA"/>
    <w:rsid w:val="00AF1F05"/>
    <w:rsid w:val="00B02C8A"/>
    <w:rsid w:val="00B06962"/>
    <w:rsid w:val="00B17FBD"/>
    <w:rsid w:val="00B238F1"/>
    <w:rsid w:val="00B315A6"/>
    <w:rsid w:val="00B31813"/>
    <w:rsid w:val="00B33365"/>
    <w:rsid w:val="00B505EB"/>
    <w:rsid w:val="00B53522"/>
    <w:rsid w:val="00B57B36"/>
    <w:rsid w:val="00B57E6F"/>
    <w:rsid w:val="00B61A7D"/>
    <w:rsid w:val="00B62419"/>
    <w:rsid w:val="00B73212"/>
    <w:rsid w:val="00B755F8"/>
    <w:rsid w:val="00B764AE"/>
    <w:rsid w:val="00B8686D"/>
    <w:rsid w:val="00B93431"/>
    <w:rsid w:val="00B93F69"/>
    <w:rsid w:val="00BB1DDC"/>
    <w:rsid w:val="00BB4539"/>
    <w:rsid w:val="00BB6308"/>
    <w:rsid w:val="00BC30C9"/>
    <w:rsid w:val="00BC549F"/>
    <w:rsid w:val="00BC721B"/>
    <w:rsid w:val="00BD077D"/>
    <w:rsid w:val="00BE3E58"/>
    <w:rsid w:val="00BF6341"/>
    <w:rsid w:val="00BF669B"/>
    <w:rsid w:val="00C00334"/>
    <w:rsid w:val="00C01616"/>
    <w:rsid w:val="00C0162B"/>
    <w:rsid w:val="00C068ED"/>
    <w:rsid w:val="00C113D4"/>
    <w:rsid w:val="00C172BF"/>
    <w:rsid w:val="00C2277B"/>
    <w:rsid w:val="00C22E0C"/>
    <w:rsid w:val="00C323F1"/>
    <w:rsid w:val="00C345B1"/>
    <w:rsid w:val="00C40142"/>
    <w:rsid w:val="00C52C3C"/>
    <w:rsid w:val="00C57182"/>
    <w:rsid w:val="00C57863"/>
    <w:rsid w:val="00C640AF"/>
    <w:rsid w:val="00C655FD"/>
    <w:rsid w:val="00C73A5E"/>
    <w:rsid w:val="00C75407"/>
    <w:rsid w:val="00C75FD6"/>
    <w:rsid w:val="00C870A8"/>
    <w:rsid w:val="00C87DD8"/>
    <w:rsid w:val="00C91D8E"/>
    <w:rsid w:val="00C94434"/>
    <w:rsid w:val="00CA0094"/>
    <w:rsid w:val="00CA0D4A"/>
    <w:rsid w:val="00CA0D75"/>
    <w:rsid w:val="00CA1C95"/>
    <w:rsid w:val="00CA27EF"/>
    <w:rsid w:val="00CA5A9C"/>
    <w:rsid w:val="00CB39DD"/>
    <w:rsid w:val="00CC4C20"/>
    <w:rsid w:val="00CD3517"/>
    <w:rsid w:val="00CD5FE2"/>
    <w:rsid w:val="00CE1B55"/>
    <w:rsid w:val="00CE6931"/>
    <w:rsid w:val="00CE6FE0"/>
    <w:rsid w:val="00CE7C68"/>
    <w:rsid w:val="00D00E3F"/>
    <w:rsid w:val="00D02B4C"/>
    <w:rsid w:val="00D040C4"/>
    <w:rsid w:val="00D20AD1"/>
    <w:rsid w:val="00D44A3B"/>
    <w:rsid w:val="00D46B61"/>
    <w:rsid w:val="00D46B7E"/>
    <w:rsid w:val="00D51BEF"/>
    <w:rsid w:val="00D53493"/>
    <w:rsid w:val="00D57C84"/>
    <w:rsid w:val="00D6057D"/>
    <w:rsid w:val="00D60C13"/>
    <w:rsid w:val="00D648EC"/>
    <w:rsid w:val="00D6715D"/>
    <w:rsid w:val="00D71640"/>
    <w:rsid w:val="00D81DA4"/>
    <w:rsid w:val="00D836C5"/>
    <w:rsid w:val="00D84576"/>
    <w:rsid w:val="00D977A0"/>
    <w:rsid w:val="00DA1399"/>
    <w:rsid w:val="00DA24C6"/>
    <w:rsid w:val="00DA3E7D"/>
    <w:rsid w:val="00DA4D7B"/>
    <w:rsid w:val="00DB00BB"/>
    <w:rsid w:val="00DC305E"/>
    <w:rsid w:val="00DD271C"/>
    <w:rsid w:val="00DD2F49"/>
    <w:rsid w:val="00DD49A4"/>
    <w:rsid w:val="00DD5238"/>
    <w:rsid w:val="00DE264A"/>
    <w:rsid w:val="00DF479C"/>
    <w:rsid w:val="00DF5072"/>
    <w:rsid w:val="00E02D18"/>
    <w:rsid w:val="00E041E7"/>
    <w:rsid w:val="00E05251"/>
    <w:rsid w:val="00E11066"/>
    <w:rsid w:val="00E23CA1"/>
    <w:rsid w:val="00E30E13"/>
    <w:rsid w:val="00E33DD7"/>
    <w:rsid w:val="00E4089E"/>
    <w:rsid w:val="00E409A8"/>
    <w:rsid w:val="00E50C12"/>
    <w:rsid w:val="00E55C05"/>
    <w:rsid w:val="00E55F9E"/>
    <w:rsid w:val="00E65B91"/>
    <w:rsid w:val="00E7209D"/>
    <w:rsid w:val="00E72EAD"/>
    <w:rsid w:val="00E76C17"/>
    <w:rsid w:val="00E77223"/>
    <w:rsid w:val="00E83E5F"/>
    <w:rsid w:val="00E8528B"/>
    <w:rsid w:val="00E85596"/>
    <w:rsid w:val="00E85B94"/>
    <w:rsid w:val="00E978D0"/>
    <w:rsid w:val="00EA3317"/>
    <w:rsid w:val="00EA4613"/>
    <w:rsid w:val="00EA7F91"/>
    <w:rsid w:val="00EB0882"/>
    <w:rsid w:val="00EB1523"/>
    <w:rsid w:val="00EC0E49"/>
    <w:rsid w:val="00EC101F"/>
    <w:rsid w:val="00EC1D9F"/>
    <w:rsid w:val="00EE0131"/>
    <w:rsid w:val="00EE0F1B"/>
    <w:rsid w:val="00EE121B"/>
    <w:rsid w:val="00EE17B0"/>
    <w:rsid w:val="00EF06D9"/>
    <w:rsid w:val="00EF2CBC"/>
    <w:rsid w:val="00F11D28"/>
    <w:rsid w:val="00F13023"/>
    <w:rsid w:val="00F24B49"/>
    <w:rsid w:val="00F3049E"/>
    <w:rsid w:val="00F30C64"/>
    <w:rsid w:val="00F32BA2"/>
    <w:rsid w:val="00F32CDB"/>
    <w:rsid w:val="00F3461B"/>
    <w:rsid w:val="00F40C93"/>
    <w:rsid w:val="00F544B3"/>
    <w:rsid w:val="00F565FE"/>
    <w:rsid w:val="00F63A70"/>
    <w:rsid w:val="00F63D8C"/>
    <w:rsid w:val="00F65832"/>
    <w:rsid w:val="00F7439B"/>
    <w:rsid w:val="00F7534E"/>
    <w:rsid w:val="00F80BCF"/>
    <w:rsid w:val="00F80D9E"/>
    <w:rsid w:val="00F86310"/>
    <w:rsid w:val="00F93EDF"/>
    <w:rsid w:val="00FA1802"/>
    <w:rsid w:val="00FA21D0"/>
    <w:rsid w:val="00FA5F5F"/>
    <w:rsid w:val="00FA776F"/>
    <w:rsid w:val="00FB5301"/>
    <w:rsid w:val="00FB670D"/>
    <w:rsid w:val="00FB730C"/>
    <w:rsid w:val="00FC2695"/>
    <w:rsid w:val="00FC3E03"/>
    <w:rsid w:val="00FC3FC1"/>
    <w:rsid w:val="00FE739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5:docId w15:val="{44CCC57F-E16B-4A58-983D-AB65EB79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qFormat/>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238F1"/>
    <w:pPr>
      <w:keepNext/>
      <w:numPr>
        <w:ilvl w:val="2"/>
        <w:numId w:val="1"/>
      </w:numPr>
      <w:suppressAutoHyphens/>
      <w:spacing w:before="120" w:after="120" w:line="240" w:lineRule="auto"/>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238F1"/>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Prrafodelista">
    <w:name w:val="List Paragraph"/>
    <w:basedOn w:val="Normal"/>
    <w:uiPriority w:val="34"/>
    <w:qFormat/>
    <w:rsid w:val="00280FAF"/>
    <w:pPr>
      <w:ind w:left="720"/>
      <w:contextualSpacing/>
    </w:pPr>
  </w:style>
  <w:style w:type="table" w:styleId="Tablanormal5">
    <w:name w:val="Plain Table 5"/>
    <w:basedOn w:val="Tablanormal"/>
    <w:uiPriority w:val="45"/>
    <w:rsid w:val="00FB67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ypena">
    <w:name w:val="oypena"/>
    <w:basedOn w:val="Fuentedeprrafopredeter"/>
    <w:rsid w:val="002B1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288392">
      <w:bodyDiv w:val="1"/>
      <w:marLeft w:val="0"/>
      <w:marRight w:val="0"/>
      <w:marTop w:val="0"/>
      <w:marBottom w:val="0"/>
      <w:divBdr>
        <w:top w:val="none" w:sz="0" w:space="0" w:color="auto"/>
        <w:left w:val="none" w:sz="0" w:space="0" w:color="auto"/>
        <w:bottom w:val="none" w:sz="0" w:space="0" w:color="auto"/>
        <w:right w:val="none" w:sz="0" w:space="0" w:color="auto"/>
      </w:divBdr>
    </w:div>
    <w:div w:id="92329658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33021">
      <w:bodyDiv w:val="1"/>
      <w:marLeft w:val="0"/>
      <w:marRight w:val="0"/>
      <w:marTop w:val="0"/>
      <w:marBottom w:val="0"/>
      <w:divBdr>
        <w:top w:val="none" w:sz="0" w:space="0" w:color="auto"/>
        <w:left w:val="none" w:sz="0" w:space="0" w:color="auto"/>
        <w:bottom w:val="none" w:sz="0" w:space="0" w:color="auto"/>
        <w:right w:val="none" w:sz="0" w:space="0" w:color="auto"/>
      </w:divBdr>
    </w:div>
    <w:div w:id="1029331346">
      <w:bodyDiv w:val="1"/>
      <w:marLeft w:val="0"/>
      <w:marRight w:val="0"/>
      <w:marTop w:val="0"/>
      <w:marBottom w:val="0"/>
      <w:divBdr>
        <w:top w:val="none" w:sz="0" w:space="0" w:color="auto"/>
        <w:left w:val="none" w:sz="0" w:space="0" w:color="auto"/>
        <w:bottom w:val="none" w:sz="0" w:space="0" w:color="auto"/>
        <w:right w:val="none" w:sz="0" w:space="0" w:color="auto"/>
      </w:divBdr>
    </w:div>
    <w:div w:id="1186479919">
      <w:bodyDiv w:val="1"/>
      <w:marLeft w:val="0"/>
      <w:marRight w:val="0"/>
      <w:marTop w:val="0"/>
      <w:marBottom w:val="0"/>
      <w:divBdr>
        <w:top w:val="none" w:sz="0" w:space="0" w:color="auto"/>
        <w:left w:val="none" w:sz="0" w:space="0" w:color="auto"/>
        <w:bottom w:val="none" w:sz="0" w:space="0" w:color="auto"/>
        <w:right w:val="none" w:sz="0" w:space="0" w:color="auto"/>
      </w:divBdr>
    </w:div>
    <w:div w:id="1232155574">
      <w:bodyDiv w:val="1"/>
      <w:marLeft w:val="0"/>
      <w:marRight w:val="0"/>
      <w:marTop w:val="0"/>
      <w:marBottom w:val="0"/>
      <w:divBdr>
        <w:top w:val="none" w:sz="0" w:space="0" w:color="auto"/>
        <w:left w:val="none" w:sz="0" w:space="0" w:color="auto"/>
        <w:bottom w:val="none" w:sz="0" w:space="0" w:color="auto"/>
        <w:right w:val="none" w:sz="0" w:space="0" w:color="auto"/>
      </w:divBdr>
    </w:div>
    <w:div w:id="136316421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0951136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3602">
      <w:bodyDiv w:val="1"/>
      <w:marLeft w:val="0"/>
      <w:marRight w:val="0"/>
      <w:marTop w:val="0"/>
      <w:marBottom w:val="0"/>
      <w:divBdr>
        <w:top w:val="none" w:sz="0" w:space="0" w:color="auto"/>
        <w:left w:val="none" w:sz="0" w:space="0" w:color="auto"/>
        <w:bottom w:val="none" w:sz="0" w:space="0" w:color="auto"/>
        <w:right w:val="none" w:sz="0" w:space="0" w:color="auto"/>
      </w:divBdr>
    </w:div>
    <w:div w:id="2024427858">
      <w:bodyDiv w:val="1"/>
      <w:marLeft w:val="0"/>
      <w:marRight w:val="0"/>
      <w:marTop w:val="0"/>
      <w:marBottom w:val="0"/>
      <w:divBdr>
        <w:top w:val="none" w:sz="0" w:space="0" w:color="auto"/>
        <w:left w:val="none" w:sz="0" w:space="0" w:color="auto"/>
        <w:bottom w:val="none" w:sz="0" w:space="0" w:color="auto"/>
        <w:right w:val="none" w:sz="0" w:space="0" w:color="auto"/>
      </w:divBdr>
    </w:div>
    <w:div w:id="2027949332">
      <w:bodyDiv w:val="1"/>
      <w:marLeft w:val="0"/>
      <w:marRight w:val="0"/>
      <w:marTop w:val="0"/>
      <w:marBottom w:val="0"/>
      <w:divBdr>
        <w:top w:val="none" w:sz="0" w:space="0" w:color="auto"/>
        <w:left w:val="none" w:sz="0" w:space="0" w:color="auto"/>
        <w:bottom w:val="none" w:sz="0" w:space="0" w:color="auto"/>
        <w:right w:val="none" w:sz="0" w:space="0" w:color="auto"/>
      </w:divBdr>
    </w:div>
    <w:div w:id="2046177264">
      <w:bodyDiv w:val="1"/>
      <w:marLeft w:val="0"/>
      <w:marRight w:val="0"/>
      <w:marTop w:val="0"/>
      <w:marBottom w:val="0"/>
      <w:divBdr>
        <w:top w:val="none" w:sz="0" w:space="0" w:color="auto"/>
        <w:left w:val="none" w:sz="0" w:space="0" w:color="auto"/>
        <w:bottom w:val="none" w:sz="0" w:space="0" w:color="auto"/>
        <w:right w:val="none" w:sz="0" w:space="0" w:color="auto"/>
      </w:divBdr>
    </w:div>
    <w:div w:id="209631828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DOF17</b:Tag>
    <b:SourceType>Book</b:SourceType>
    <b:Guid>{D3C0B2E6-7357-4398-AA56-A29074676EDA}</b:Guid>
    <b:Author>
      <b:Author>
        <b:NameList>
          <b:Person>
            <b:Last>DOF</b:Last>
          </b:Person>
        </b:NameList>
      </b:Author>
    </b:Author>
    <b:Title>NOM-070-SCFI-2016, Bebidas alcohólicas-Mezcal-Especificaciones.</b:Title>
    <b:Year>2017</b:Year>
    <b:City>Ciudad de México</b:City>
    <b:Publisher>SEGOB</b:Publisher>
    <b:RefOrder>4</b:RefOrder>
  </b:Source>
  <b:Source>
    <b:Tag>Jos18</b:Tag>
    <b:SourceType>JournalArticle</b:SourceType>
    <b:Guid>{A6D28C82-E9CC-4D75-9BB9-F667485A51D3}</b:Guid>
    <b:Author>
      <b:Author>
        <b:NameList>
          <b:Person>
            <b:Last>López</b:Last>
            <b:First>José</b:First>
            <b:Middle>de Jesús Hernández</b:Middle>
          </b:Person>
        </b:NameList>
      </b:Author>
    </b:Author>
    <b:Title>El mezcal como patrimonio social: de indicaciones geográficas genéricas a denominaciones de origen regionales</b:Title>
    <b:JournalName>Em Questão, vol. 24, núm. 2</b:JournalName>
    <b:Year>2018</b:Year>
    <b:Pages>404-433</b:Pages>
    <b:RefOrder>5</b:RefOrder>
  </b:Source>
  <b:Source>
    <b:Tag>Pro21</b:Tag>
    <b:SourceType>InternetSite</b:SourceType>
    <b:Guid>{567FFE23-15B6-42C8-8715-F040BD418B80}</b:Guid>
    <b:Title>"Las emisiones de metano están acelerando el cambio climático. ¿Cómo podemos reducirlas?"</b:Title>
    <b:Year>2021</b:Year>
    <b:Author>
      <b:Author>
        <b:NameList>
          <b:Person>
            <b:Last>(PNUMA)</b:Last>
            <b:First>Programa</b:First>
            <b:Middle>de las Naciones Unidas para el Medio Ambiente</b:Middle>
          </b:Person>
        </b:NameList>
      </b:Author>
    </b:Author>
    <b:Month>Agosto</b:Month>
    <b:Day>20</b:Day>
    <b:URL>https://www.unep.org/es/noticias-y-reportajes/reportajes/las-emisiones-de-metano-estan-acelerando-el-cambio-climatico-como</b:URL>
    <b:RefOrder>3</b:RefOrder>
  </b:Source>
  <b:Source>
    <b:Tag>Cam12</b:Tag>
    <b:SourceType>Book</b:SourceType>
    <b:Guid>{52300A82-105B-4CC9-970B-F7B5B9DD0FD9}</b:Guid>
    <b:Title>TRATAMIENTO Y VALORIZACIÓN ENERGÉTICA DE RESIDUOS</b:Title>
    <b:Year>2012</b:Year>
    <b:Pages>618-</b:Pages>
    <b:Author>
      <b:Author>
        <b:NameList>
          <b:Person>
            <b:Last>Campos</b:Last>
            <b:First>Elena</b:First>
          </b:Person>
          <b:Person>
            <b:Last>Flotats</b:Last>
            <b:First>Xavier</b:First>
          </b:Person>
          <b:Person>
            <b:Last>Castells</b:Last>
            <b:Middle>Elias</b:Middle>
            <b:First>Xavier</b:First>
          </b:Person>
        </b:NameList>
      </b:Author>
    </b:Author>
    <b:City>Madrid, España.</b:City>
    <b:Publisher>Díaz de Santos</b:Publisher>
    <b:RefOrder>2</b:RefOrder>
  </b:Source>
  <b:Source>
    <b:Tag>Col15</b:Tag>
    <b:SourceType>JournalArticle</b:SourceType>
    <b:Guid>{42E902F2-5A6B-4C3F-8062-CF2522633352}</b:Guid>
    <b:Title>ALGUNAS CONSIDERACIONES DEL MEZCAL EN EL MUNICIPIO DE NOMBRE DE DIOS, DURANGO, MÉXICO.</b:Title>
    <b:JournalName>Vidsupra, Volúmen 3 No. 2</b:JournalName>
    <b:Year>2011</b:Year>
    <b:Pages>48-52</b:Pages>
    <b:Author>
      <b:Author>
        <b:NameList>
          <b:Person>
            <b:Last>Colmenero et al.</b:Last>
          </b:Person>
        </b:NameList>
      </b:Author>
    </b:Author>
    <b:RefOrder>1</b:RefOrder>
  </b:Source>
</b:Sources>
</file>

<file path=customXml/itemProps1.xml><?xml version="1.0" encoding="utf-8"?>
<ds:datastoreItem xmlns:ds="http://schemas.openxmlformats.org/officeDocument/2006/customXml" ds:itemID="{3A14A6A8-54DB-470E-91DA-7341020F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2686</Words>
  <Characters>14778</Characters>
  <Application>Microsoft Office Word</Application>
  <DocSecurity>0</DocSecurity>
  <Lines>123</Lines>
  <Paragraphs>34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Josefina Rodriguez</cp:lastModifiedBy>
  <cp:revision>9</cp:revision>
  <cp:lastPrinted>2015-05-12T18:31:00Z</cp:lastPrinted>
  <dcterms:created xsi:type="dcterms:W3CDTF">2024-03-19T05:36:00Z</dcterms:created>
  <dcterms:modified xsi:type="dcterms:W3CDTF">2024-03-19T06:14:00Z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612d2cf9169055b0cef92b21840f49180f1d7100e97ea0ccbd9328bb2e4cb034</vt:lpwstr>
  </property>
</Properties>
</file>