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auto"/>
        </w:tblBorders>
        <w:tblLook w:val="01E0"/>
      </w:tblPr>
      <w:tblGrid>
        <w:gridCol w:w="6946"/>
        <w:gridCol w:w="1843"/>
      </w:tblGrid>
      <w:tr w:rsidR="000A03B2" w:rsidRPr="00B57B36" w:rsidTr="00DE264A">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rsidTr="00DE264A">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rsidTr="00DE264A">
        <w:trPr>
          <w:trHeight w:val="68"/>
          <w:jc w:val="center"/>
        </w:trPr>
        <w:tc>
          <w:tcPr>
            <w:tcW w:w="8789" w:type="dxa"/>
            <w:gridSpan w:val="2"/>
          </w:tcPr>
          <w:p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rsidR="00E978D0" w:rsidRPr="00B57B36" w:rsidRDefault="00BC16E3" w:rsidP="00E978D0">
      <w:pPr>
        <w:pStyle w:val="CETTitle"/>
      </w:pPr>
      <w:r>
        <w:t>Production Of Photocatalytic Membranes By Supercritical Phase Inversion For The Removal Of Antibiotics From Waste-Water</w:t>
      </w:r>
    </w:p>
    <w:p w:rsidR="00B57E6F" w:rsidRPr="00016C64" w:rsidRDefault="00BC16E3" w:rsidP="00B57E6F">
      <w:pPr>
        <w:pStyle w:val="CETAuthors"/>
        <w:rPr>
          <w:lang w:val="es-MX"/>
        </w:rPr>
      </w:pPr>
      <w:r w:rsidRPr="00016C64">
        <w:rPr>
          <w:lang w:val="es-MX"/>
        </w:rPr>
        <w:t>Mariangela Guastaferro</w:t>
      </w:r>
      <w:r w:rsidR="00B57E6F" w:rsidRPr="00016C64">
        <w:rPr>
          <w:vertAlign w:val="superscript"/>
          <w:lang w:val="es-MX"/>
        </w:rPr>
        <w:t>a</w:t>
      </w:r>
      <w:r w:rsidR="00B57E6F" w:rsidRPr="00016C64">
        <w:rPr>
          <w:lang w:val="es-MX"/>
        </w:rPr>
        <w:t xml:space="preserve">, </w:t>
      </w:r>
      <w:r w:rsidRPr="00016C64">
        <w:rPr>
          <w:lang w:val="es-MX"/>
        </w:rPr>
        <w:t>Vincenzo Vaiano</w:t>
      </w:r>
      <w:r w:rsidR="00B57E6F" w:rsidRPr="00016C64">
        <w:rPr>
          <w:vertAlign w:val="superscript"/>
          <w:lang w:val="es-MX"/>
        </w:rPr>
        <w:t>b,</w:t>
      </w:r>
      <w:r w:rsidR="00B57E6F" w:rsidRPr="00016C64">
        <w:rPr>
          <w:lang w:val="es-MX"/>
        </w:rPr>
        <w:t xml:space="preserve">*, </w:t>
      </w:r>
      <w:r w:rsidR="00541970" w:rsidRPr="00016C64">
        <w:rPr>
          <w:lang w:val="es-MX"/>
        </w:rPr>
        <w:t>Lucia Baldino</w:t>
      </w:r>
      <w:r w:rsidR="00541970" w:rsidRPr="00016C64">
        <w:rPr>
          <w:vertAlign w:val="superscript"/>
          <w:lang w:val="es-MX"/>
        </w:rPr>
        <w:t>b</w:t>
      </w:r>
      <w:r w:rsidR="00541970" w:rsidRPr="00016C64">
        <w:rPr>
          <w:lang w:val="es-MX"/>
        </w:rPr>
        <w:t>, Stefano Cardea</w:t>
      </w:r>
      <w:r w:rsidR="00541970" w:rsidRPr="00016C64">
        <w:rPr>
          <w:vertAlign w:val="superscript"/>
          <w:lang w:val="es-MX"/>
        </w:rPr>
        <w:t>b</w:t>
      </w:r>
      <w:r w:rsidR="00541970" w:rsidRPr="00016C64">
        <w:rPr>
          <w:lang w:val="es-MX"/>
        </w:rPr>
        <w:t>, Ernesto Reverchon</w:t>
      </w:r>
      <w:r w:rsidR="00541970" w:rsidRPr="00016C64">
        <w:rPr>
          <w:vertAlign w:val="superscript"/>
          <w:lang w:val="es-MX"/>
        </w:rPr>
        <w:t>b</w:t>
      </w:r>
    </w:p>
    <w:p w:rsidR="00B57E6F" w:rsidRPr="00B57B36" w:rsidRDefault="00B57E6F" w:rsidP="00541970">
      <w:pPr>
        <w:pStyle w:val="CETAddress"/>
      </w:pPr>
      <w:r w:rsidRPr="00B57B36">
        <w:rPr>
          <w:vertAlign w:val="superscript"/>
        </w:rPr>
        <w:t>a</w:t>
      </w:r>
      <w:r w:rsidR="00541970">
        <w:t>Department of Civil and Industrial Engineering, University of Pisa, Lungarno Pacinotti 43, 56126 Pisa, Italy.</w:t>
      </w:r>
      <w:r w:rsidRPr="00B57B36">
        <w:t xml:space="preserve"> </w:t>
      </w:r>
    </w:p>
    <w:p w:rsidR="00B57E6F" w:rsidRPr="00B57B36" w:rsidRDefault="00B57E6F" w:rsidP="00B57E6F">
      <w:pPr>
        <w:pStyle w:val="CETAddress"/>
      </w:pPr>
      <w:r w:rsidRPr="00B57B36">
        <w:rPr>
          <w:vertAlign w:val="superscript"/>
        </w:rPr>
        <w:t>b</w:t>
      </w:r>
      <w:r w:rsidR="00541970">
        <w:rPr>
          <w:vertAlign w:val="superscript"/>
        </w:rPr>
        <w:t xml:space="preserve"> </w:t>
      </w:r>
      <w:r w:rsidR="00541970">
        <w:t>Department of Industrial Engfineering, University of Salerno, Via Giovanni Paolo II, 84084, Fisciano (SA), Italy.</w:t>
      </w:r>
      <w:r w:rsidRPr="00B57B36">
        <w:t xml:space="preserve"> </w:t>
      </w:r>
    </w:p>
    <w:p w:rsidR="00B57E6F" w:rsidRPr="00B57B36" w:rsidRDefault="004125A7" w:rsidP="00B57E6F">
      <w:pPr>
        <w:pStyle w:val="CETemail"/>
      </w:pPr>
      <w:r>
        <w:t>Corresponding author:*</w:t>
      </w:r>
      <w:r w:rsidR="00541970">
        <w:t>vvaiano</w:t>
      </w:r>
      <w:r w:rsidR="00B57E6F" w:rsidRPr="00B57B36">
        <w:t>@</w:t>
      </w:r>
      <w:r w:rsidR="00541970">
        <w:t>unisa.it</w:t>
      </w:r>
    </w:p>
    <w:p w:rsidR="00541970" w:rsidRPr="00541970" w:rsidRDefault="00541970" w:rsidP="00541970">
      <w:pPr>
        <w:rPr>
          <w:rFonts w:cs="Arial"/>
          <w:szCs w:val="18"/>
        </w:rPr>
      </w:pPr>
      <w:r w:rsidRPr="00541970">
        <w:rPr>
          <w:rFonts w:cs="Arial"/>
          <w:szCs w:val="18"/>
        </w:rPr>
        <w:t>In recent years, scientific research has faced the numerous problems deriving from the presence of active ingredients in surface and groundwater. Traditional removal methods, such as adsorption and bioremediation, have several disadvantages; thus, in this work, membranes based on cellulose acetate loaded with Fe-N-TiO</w:t>
      </w:r>
      <w:r w:rsidRPr="00541970">
        <w:rPr>
          <w:rFonts w:cs="Arial"/>
          <w:szCs w:val="18"/>
          <w:vertAlign w:val="subscript"/>
        </w:rPr>
        <w:t>2</w:t>
      </w:r>
      <w:r w:rsidRPr="00541970">
        <w:rPr>
          <w:rFonts w:cs="Arial"/>
          <w:szCs w:val="18"/>
        </w:rPr>
        <w:t>, were tested for the photocatalytic degradation of Ceftriaxone Sodium from aqueous solution. The immobilization of the photocatalyst allows to overcome the limits of the photocatalytic process in suspension, which requires expensive and time-consuming post-treatments. Membranes were obtained by supercritical CO</w:t>
      </w:r>
      <w:r w:rsidRPr="00541970">
        <w:rPr>
          <w:rFonts w:cs="Arial"/>
          <w:szCs w:val="18"/>
          <w:vertAlign w:val="subscript"/>
        </w:rPr>
        <w:t>2</w:t>
      </w:r>
      <w:r w:rsidRPr="00541970">
        <w:rPr>
          <w:rFonts w:cs="Arial"/>
          <w:szCs w:val="18"/>
        </w:rPr>
        <w:t xml:space="preserve"> phase inversion process and were subjected to characterizations such as EDX, TGA, FT-IR, Raman spectroscopy and, subsequently, tested in adsorption tests in the dark and in the presence of visible light, to evaluate their photocatalytic activity. The variations in the concentration of the antibiotic, during the tests conducted, were monitored by HPLC chromatographic analysis. Samples with 10% and 30% by weight of Fe-N-TiO</w:t>
      </w:r>
      <w:r w:rsidRPr="00541970">
        <w:rPr>
          <w:rFonts w:cs="Arial"/>
          <w:szCs w:val="18"/>
          <w:vertAlign w:val="subscript"/>
        </w:rPr>
        <w:t>2</w:t>
      </w:r>
      <w:r w:rsidRPr="00541970">
        <w:rPr>
          <w:rFonts w:cs="Arial"/>
          <w:szCs w:val="18"/>
        </w:rPr>
        <w:t xml:space="preserve"> demonstrated relatively low adsorption efficiencies of the target contaminant, respectively equal to 22% and 18% in 180 minutes, for reasons related both to the morphology of the samples products, which changes from cellular to finger-like as the photocatalyst load increases, and to the quality of the dispersion. The membrane loaded with 20% by weight of Fe-N-TiO</w:t>
      </w:r>
      <w:r w:rsidRPr="00541970">
        <w:rPr>
          <w:rFonts w:cs="Arial"/>
          <w:szCs w:val="18"/>
          <w:vertAlign w:val="subscript"/>
        </w:rPr>
        <w:t>2</w:t>
      </w:r>
      <w:r w:rsidRPr="00541970">
        <w:rPr>
          <w:rFonts w:cs="Arial"/>
          <w:szCs w:val="18"/>
        </w:rPr>
        <w:t xml:space="preserve"> allowed a degradation of the model pollutant of 35% in 180 minutes; moreover, the reusability of the membranes was verified. The photocatalytic tests showed that the photocatalytic efficiency was highly correlated to the dispersion of the photocatalyst nanoparticles and to its loading in the polymeric membranes.</w:t>
      </w:r>
    </w:p>
    <w:p w:rsidR="00600535" w:rsidRPr="00B57B36" w:rsidRDefault="00600535" w:rsidP="00600535">
      <w:pPr>
        <w:pStyle w:val="CETHeading1"/>
        <w:rPr>
          <w:lang w:val="en-GB"/>
        </w:rPr>
      </w:pPr>
      <w:r w:rsidRPr="00B57B36">
        <w:rPr>
          <w:lang w:val="en-GB"/>
        </w:rPr>
        <w:t>Introduction</w:t>
      </w:r>
    </w:p>
    <w:p w:rsidR="00541970" w:rsidRPr="00DE5DCA" w:rsidRDefault="00541970" w:rsidP="00DE5DCA">
      <w:pPr>
        <w:rPr>
          <w:rFonts w:cs="Arial"/>
          <w:szCs w:val="18"/>
        </w:rPr>
      </w:pPr>
      <w:r w:rsidRPr="00DE5DCA">
        <w:rPr>
          <w:rFonts w:cs="Arial"/>
          <w:szCs w:val="18"/>
        </w:rPr>
        <w:t>Pharmaceutical substances, a significant group of new environmental pollutants, have sparked heightened concerns due to their widespread presence in surface waters and wastewaters. Antibiotics and anti-inflammatory drugs are commonly found among these contaminants, and their removal rate through traditional treatments remains notably low (</w:t>
      </w:r>
      <w:proofErr w:type="spellStart"/>
      <w:r w:rsidR="00672D0B" w:rsidRPr="00672D0B">
        <w:fldChar w:fldCharType="begin"/>
      </w:r>
      <w:r w:rsidR="00016C64">
        <w:instrText>HYPERLINK "https://doi.org/10.1016/j.carbpol.2019.03.042" \t "_blank" \o "Persistent link using digital object identifier"</w:instrText>
      </w:r>
      <w:r w:rsidR="00672D0B" w:rsidRPr="00672D0B">
        <w:fldChar w:fldCharType="separate"/>
      </w:r>
      <w:r w:rsidR="00C139F5" w:rsidRPr="00DE5DCA">
        <w:rPr>
          <w:rFonts w:cs="Arial"/>
          <w:szCs w:val="18"/>
        </w:rPr>
        <w:t>Raicopol</w:t>
      </w:r>
      <w:proofErr w:type="spellEnd"/>
      <w:r w:rsidR="00672D0B">
        <w:rPr>
          <w:rFonts w:cs="Arial"/>
          <w:szCs w:val="18"/>
        </w:rPr>
        <w:fldChar w:fldCharType="end"/>
      </w:r>
      <w:r w:rsidR="00C139F5" w:rsidRPr="00DE5DCA">
        <w:rPr>
          <w:rFonts w:cs="Arial"/>
          <w:szCs w:val="18"/>
        </w:rPr>
        <w:t xml:space="preserve"> et al., 2019</w:t>
      </w:r>
      <w:r w:rsidRPr="00DE5DCA">
        <w:rPr>
          <w:rFonts w:cs="Arial"/>
          <w:szCs w:val="18"/>
        </w:rPr>
        <w:t xml:space="preserve">). Polymer </w:t>
      </w:r>
      <w:hyperlink r:id="rId10" w:tooltip="Learn more about membrane technology from ScienceDirect's AI-generated Topic Pages" w:history="1">
        <w:r w:rsidRPr="00DE5DCA">
          <w:rPr>
            <w:rFonts w:cs="Arial"/>
            <w:szCs w:val="18"/>
          </w:rPr>
          <w:t>membrane technology</w:t>
        </w:r>
      </w:hyperlink>
      <w:r w:rsidRPr="00DE5DCA">
        <w:rPr>
          <w:rFonts w:cs="Arial"/>
          <w:szCs w:val="18"/>
        </w:rPr>
        <w:t xml:space="preserve"> is considered a promising method for the removal of pharmaceutical contaminants from wastewater (</w:t>
      </w:r>
      <w:hyperlink r:id="rId11" w:history="1">
        <w:r w:rsidR="00757949" w:rsidRPr="00DE5DCA">
          <w:rPr>
            <w:rFonts w:cs="Arial"/>
            <w:szCs w:val="18"/>
          </w:rPr>
          <w:t>Wang</w:t>
        </w:r>
      </w:hyperlink>
      <w:r w:rsidR="00757949" w:rsidRPr="00DE5DCA">
        <w:rPr>
          <w:rFonts w:cs="Arial"/>
          <w:szCs w:val="18"/>
        </w:rPr>
        <w:t xml:space="preserve"> et al., 2018</w:t>
      </w:r>
      <w:r w:rsidRPr="00DE5DCA">
        <w:rPr>
          <w:rFonts w:cs="Arial"/>
          <w:szCs w:val="18"/>
        </w:rPr>
        <w:t xml:space="preserve">). </w:t>
      </w:r>
      <w:r w:rsidR="004D6957">
        <w:rPr>
          <w:rFonts w:cs="Arial"/>
          <w:szCs w:val="18"/>
        </w:rPr>
        <w:t>Indeed</w:t>
      </w:r>
      <w:r w:rsidR="004125A7">
        <w:rPr>
          <w:rFonts w:cs="Arial"/>
          <w:szCs w:val="18"/>
        </w:rPr>
        <w:t>, this process provides</w:t>
      </w:r>
      <w:r w:rsidRPr="00DE5DCA">
        <w:rPr>
          <w:rFonts w:cs="Arial"/>
          <w:szCs w:val="18"/>
        </w:rPr>
        <w:t xml:space="preserve"> membrane </w:t>
      </w:r>
      <w:r w:rsidR="004D6957">
        <w:rPr>
          <w:rFonts w:cs="Arial"/>
          <w:szCs w:val="18"/>
        </w:rPr>
        <w:t>having</w:t>
      </w:r>
      <w:r w:rsidRPr="00DE5DCA">
        <w:rPr>
          <w:rFonts w:cs="Arial"/>
          <w:szCs w:val="18"/>
        </w:rPr>
        <w:t xml:space="preserve"> high removal efficiency at a lower energy cost. Although cellulose acetate (CA) is a widely used polymer for crafting porous polymeric membranes, it has certain drawbacks, including low water permeability and poor mechanical properties. (</w:t>
      </w:r>
      <w:hyperlink r:id="rId12" w:tgtFrame="_blank" w:tooltip="Persistent link using digital object identifier" w:history="1">
        <w:r w:rsidR="00E3401E" w:rsidRPr="00DE5DCA">
          <w:rPr>
            <w:rFonts w:cs="Arial"/>
            <w:szCs w:val="18"/>
          </w:rPr>
          <w:t>El</w:t>
        </w:r>
      </w:hyperlink>
      <w:r w:rsidR="00E3401E" w:rsidRPr="00DE5DCA">
        <w:rPr>
          <w:rFonts w:cs="Arial"/>
          <w:szCs w:val="18"/>
        </w:rPr>
        <w:t xml:space="preserve"> </w:t>
      </w:r>
      <w:proofErr w:type="spellStart"/>
      <w:r w:rsidR="00E3401E" w:rsidRPr="00DE5DCA">
        <w:rPr>
          <w:rFonts w:cs="Arial"/>
          <w:szCs w:val="18"/>
        </w:rPr>
        <w:t>Gendy</w:t>
      </w:r>
      <w:proofErr w:type="spellEnd"/>
      <w:r w:rsidR="00E3401E" w:rsidRPr="00DE5DCA">
        <w:rPr>
          <w:rFonts w:cs="Arial"/>
          <w:szCs w:val="18"/>
        </w:rPr>
        <w:t xml:space="preserve"> et al., 2017</w:t>
      </w:r>
      <w:r w:rsidRPr="00DE5DCA">
        <w:rPr>
          <w:rFonts w:cs="Arial"/>
          <w:szCs w:val="18"/>
        </w:rPr>
        <w:t>). Additives enhance pore quantity, area, the membrane's hydrophilic nature, and boost water permeability, thereby increasing water flow while preventing swelling (</w:t>
      </w:r>
      <w:hyperlink r:id="rId13" w:tgtFrame="_blank" w:tooltip="Persistent link using digital object identifier" w:history="1">
        <w:r w:rsidR="002F3705" w:rsidRPr="00DE5DCA">
          <w:rPr>
            <w:rFonts w:cs="Arial"/>
            <w:szCs w:val="18"/>
          </w:rPr>
          <w:t>Simone</w:t>
        </w:r>
      </w:hyperlink>
      <w:r w:rsidR="002F3705" w:rsidRPr="00DE5DCA">
        <w:rPr>
          <w:rFonts w:cs="Arial"/>
          <w:szCs w:val="18"/>
        </w:rPr>
        <w:t xml:space="preserve"> et al., 2010</w:t>
      </w:r>
      <w:r w:rsidRPr="00DE5DCA">
        <w:rPr>
          <w:rFonts w:cs="Arial"/>
          <w:szCs w:val="18"/>
        </w:rPr>
        <w:t>). Nano-titanium dioxide (TiO</w:t>
      </w:r>
      <w:r w:rsidRPr="00DE5DCA">
        <w:rPr>
          <w:rFonts w:cs="Arial"/>
          <w:szCs w:val="18"/>
          <w:vertAlign w:val="subscript"/>
        </w:rPr>
        <w:t>2</w:t>
      </w:r>
      <w:r w:rsidRPr="00DE5DCA">
        <w:rPr>
          <w:rFonts w:cs="Arial"/>
          <w:szCs w:val="18"/>
        </w:rPr>
        <w:t xml:space="preserve">) has emerged as best candidate for </w:t>
      </w:r>
      <w:r w:rsidR="00385629">
        <w:rPr>
          <w:rFonts w:cs="Arial"/>
          <w:szCs w:val="18"/>
        </w:rPr>
        <w:t>producing</w:t>
      </w:r>
      <w:r w:rsidR="00385629" w:rsidRPr="00DE5DCA">
        <w:rPr>
          <w:rFonts w:cs="Arial"/>
          <w:szCs w:val="18"/>
        </w:rPr>
        <w:t xml:space="preserve"> </w:t>
      </w:r>
      <w:proofErr w:type="spellStart"/>
      <w:r w:rsidRPr="00DE5DCA">
        <w:rPr>
          <w:rFonts w:cs="Arial"/>
          <w:szCs w:val="18"/>
        </w:rPr>
        <w:t>nano</w:t>
      </w:r>
      <w:proofErr w:type="spellEnd"/>
      <w:r w:rsidRPr="00DE5DCA">
        <w:rPr>
          <w:rFonts w:cs="Arial"/>
          <w:szCs w:val="18"/>
        </w:rPr>
        <w:t>-composite membranes in wastewater treatment due to its photocatalytic nature and hydrophilic properties. TiO</w:t>
      </w:r>
      <w:r w:rsidRPr="00DE5DCA">
        <w:rPr>
          <w:rFonts w:cs="Arial"/>
          <w:szCs w:val="18"/>
          <w:vertAlign w:val="subscript"/>
        </w:rPr>
        <w:t>2</w:t>
      </w:r>
      <w:r w:rsidRPr="00DE5DCA">
        <w:rPr>
          <w:rFonts w:cs="Arial"/>
          <w:szCs w:val="18"/>
        </w:rPr>
        <w:t xml:space="preserve"> nanomaterial is frequently used in membrane production owing to its antifouling properties, hydrophilicity, and long-term stability. Additionally, TiO</w:t>
      </w:r>
      <w:r w:rsidRPr="00DE5DCA">
        <w:rPr>
          <w:rFonts w:cs="Arial"/>
          <w:szCs w:val="18"/>
          <w:vertAlign w:val="subscript"/>
        </w:rPr>
        <w:t>2</w:t>
      </w:r>
      <w:r w:rsidRPr="00DE5DCA">
        <w:rPr>
          <w:rFonts w:cs="Arial"/>
          <w:szCs w:val="18"/>
        </w:rPr>
        <w:t xml:space="preserve"> nanoparticles have been identified as beneficial hydrophilic additives for </w:t>
      </w:r>
      <w:r w:rsidR="00385629">
        <w:rPr>
          <w:rFonts w:cs="Arial"/>
          <w:szCs w:val="18"/>
        </w:rPr>
        <w:t>reinforcing</w:t>
      </w:r>
      <w:r w:rsidR="00385629" w:rsidRPr="00DE5DCA">
        <w:rPr>
          <w:rFonts w:cs="Arial"/>
          <w:szCs w:val="18"/>
        </w:rPr>
        <w:t xml:space="preserve"> </w:t>
      </w:r>
      <w:r w:rsidRPr="00DE5DCA">
        <w:rPr>
          <w:rFonts w:cs="Arial"/>
          <w:szCs w:val="18"/>
        </w:rPr>
        <w:t>the mechanical attributes of polymeric membranes (</w:t>
      </w:r>
      <w:proofErr w:type="spellStart"/>
      <w:r w:rsidR="0003622C" w:rsidRPr="0003622C">
        <w:t>Aljawrneh</w:t>
      </w:r>
      <w:proofErr w:type="spellEnd"/>
      <w:r w:rsidR="0003622C">
        <w:t xml:space="preserve"> et al., 2022</w:t>
      </w:r>
      <w:r w:rsidRPr="00DE5DCA">
        <w:rPr>
          <w:rFonts w:cs="Arial"/>
          <w:szCs w:val="18"/>
        </w:rPr>
        <w:t xml:space="preserve">). </w:t>
      </w:r>
      <w:hyperlink r:id="rId14" w:anchor="auth-B_-Aljawrneh-Aff1" w:history="1">
        <w:proofErr w:type="spellStart"/>
        <w:r w:rsidRPr="00DE5DCA">
          <w:rPr>
            <w:rFonts w:cs="Arial"/>
            <w:szCs w:val="18"/>
          </w:rPr>
          <w:t>Aljawrneh</w:t>
        </w:r>
        <w:proofErr w:type="spellEnd"/>
      </w:hyperlink>
      <w:r w:rsidRPr="00DE5DCA">
        <w:rPr>
          <w:rFonts w:cs="Arial"/>
          <w:szCs w:val="18"/>
        </w:rPr>
        <w:t xml:space="preserve"> et al. (2022) processed cellulose acetate membranes treated </w:t>
      </w:r>
      <w:r w:rsidRPr="00DE5DCA">
        <w:rPr>
          <w:rFonts w:cs="Arial"/>
          <w:szCs w:val="18"/>
        </w:rPr>
        <w:lastRenderedPageBreak/>
        <w:t xml:space="preserve">with titanium dioxide and cerium dioxide </w:t>
      </w:r>
      <w:r w:rsidR="006E50AD">
        <w:rPr>
          <w:rFonts w:cs="Arial"/>
          <w:szCs w:val="18"/>
        </w:rPr>
        <w:t>(C</w:t>
      </w:r>
      <w:r w:rsidR="0030555E">
        <w:rPr>
          <w:rFonts w:cs="Arial"/>
          <w:szCs w:val="18"/>
        </w:rPr>
        <w:t>eO</w:t>
      </w:r>
      <w:r w:rsidR="00672D0B" w:rsidRPr="00672D0B">
        <w:rPr>
          <w:rFonts w:cs="Arial"/>
          <w:szCs w:val="18"/>
          <w:vertAlign w:val="subscript"/>
        </w:rPr>
        <w:t>2</w:t>
      </w:r>
      <w:r w:rsidR="006E50AD">
        <w:rPr>
          <w:rFonts w:cs="Arial"/>
          <w:szCs w:val="18"/>
        </w:rPr>
        <w:t xml:space="preserve">) </w:t>
      </w:r>
      <w:r w:rsidRPr="00DE5DCA">
        <w:rPr>
          <w:rFonts w:cs="Arial"/>
          <w:szCs w:val="18"/>
        </w:rPr>
        <w:t>nanoparticles to enhance membrane photocatalytic activity. The nanocomposite membranes were synthesized using the phase inversion method and were tested for photocatalytic degradation of Methylene Blue (MB) by exposing the membrane/MB dye combination to UV illumination for different exposure times (up to 120 minutes). The SEM cross-sectional images revealed the presence of closed and not interconnected pores. The highest photocatalytic degradation activity was observed for CA–TiO</w:t>
      </w:r>
      <w:r w:rsidRPr="00DE5DCA">
        <w:rPr>
          <w:rFonts w:cs="Arial"/>
          <w:szCs w:val="18"/>
          <w:vertAlign w:val="subscript"/>
        </w:rPr>
        <w:t>2</w:t>
      </w:r>
      <w:r w:rsidRPr="00DE5DCA">
        <w:rPr>
          <w:rFonts w:cs="Arial"/>
          <w:szCs w:val="18"/>
        </w:rPr>
        <w:t xml:space="preserve"> membrane with the photocatalytic activity of 64.0%. Meanwhile, the lowest activity was observed for CA–CeO</w:t>
      </w:r>
      <w:r w:rsidRPr="00DE5DCA">
        <w:rPr>
          <w:rFonts w:cs="Arial"/>
          <w:szCs w:val="18"/>
          <w:vertAlign w:val="subscript"/>
        </w:rPr>
        <w:t>2</w:t>
      </w:r>
      <w:r w:rsidRPr="00DE5DCA">
        <w:rPr>
          <w:rFonts w:cs="Arial"/>
          <w:szCs w:val="18"/>
        </w:rPr>
        <w:t xml:space="preserve"> membrane (7.0%). Peixoto et al. (2020) synthesized cellulose acetate/silica/titania (CA/SiO</w:t>
      </w:r>
      <w:r w:rsidRPr="00DE5DCA">
        <w:rPr>
          <w:rFonts w:cs="Arial"/>
          <w:szCs w:val="18"/>
          <w:vertAlign w:val="subscript"/>
        </w:rPr>
        <w:t>2</w:t>
      </w:r>
      <w:r w:rsidRPr="00DE5DCA">
        <w:rPr>
          <w:rFonts w:cs="Arial"/>
          <w:szCs w:val="18"/>
        </w:rPr>
        <w:t>/TiO</w:t>
      </w:r>
      <w:r w:rsidR="002F3705" w:rsidRPr="00DE5DCA">
        <w:rPr>
          <w:rFonts w:cs="Arial"/>
          <w:szCs w:val="18"/>
          <w:vertAlign w:val="subscript"/>
        </w:rPr>
        <w:t>2</w:t>
      </w:r>
      <w:r w:rsidRPr="00DE5DCA">
        <w:rPr>
          <w:rFonts w:cs="Arial"/>
          <w:szCs w:val="18"/>
        </w:rPr>
        <w:t>) and cellulose acetate/titania (CA/TiO</w:t>
      </w:r>
      <w:r w:rsidRPr="00DE5DCA">
        <w:rPr>
          <w:rFonts w:cs="Arial"/>
          <w:szCs w:val="18"/>
          <w:vertAlign w:val="subscript"/>
        </w:rPr>
        <w:t>2</w:t>
      </w:r>
      <w:r w:rsidRPr="00DE5DCA">
        <w:rPr>
          <w:rFonts w:cs="Arial"/>
          <w:szCs w:val="18"/>
        </w:rPr>
        <w:t>)</w:t>
      </w:r>
      <w:r w:rsidR="0030555E">
        <w:rPr>
          <w:rFonts w:cs="Arial"/>
          <w:szCs w:val="18"/>
        </w:rPr>
        <w:t xml:space="preserve"> based membranes</w:t>
      </w:r>
      <w:r w:rsidRPr="00DE5DCA">
        <w:rPr>
          <w:rFonts w:cs="Arial"/>
          <w:szCs w:val="18"/>
        </w:rPr>
        <w:t xml:space="preserve">, by the coupling of sol-gel technology and a modified version of the phase inversion technique. SEM micrographs confirmed the integral asymmetric structure of all membranes and permeation experiments revealed that the introduction of titania in the membranes did not improve the water permeation when compared to the pristine membrane. Mousa et al. (2023) prepared cellulose acetate membranes loaded with zinc oxide and </w:t>
      </w:r>
      <w:r w:rsidR="00EE0DFD">
        <w:rPr>
          <w:rFonts w:cs="Arial"/>
          <w:szCs w:val="18"/>
        </w:rPr>
        <w:t>TiO</w:t>
      </w:r>
      <w:r w:rsidR="00672D0B" w:rsidRPr="00672D0B">
        <w:rPr>
          <w:rFonts w:cs="Arial"/>
          <w:szCs w:val="18"/>
          <w:vertAlign w:val="subscript"/>
        </w:rPr>
        <w:t>2</w:t>
      </w:r>
      <w:r w:rsidR="00EE0DFD" w:rsidRPr="00DE5DCA">
        <w:rPr>
          <w:rFonts w:cs="Arial"/>
          <w:szCs w:val="18"/>
        </w:rPr>
        <w:t xml:space="preserve"> </w:t>
      </w:r>
      <w:proofErr w:type="spellStart"/>
      <w:r w:rsidRPr="00DE5DCA">
        <w:rPr>
          <w:rFonts w:cs="Arial"/>
          <w:szCs w:val="18"/>
        </w:rPr>
        <w:t>nanoparticles</w:t>
      </w:r>
      <w:proofErr w:type="spellEnd"/>
      <w:r w:rsidRPr="00DE5DCA">
        <w:rPr>
          <w:rFonts w:cs="Arial"/>
          <w:szCs w:val="18"/>
        </w:rPr>
        <w:t xml:space="preserve"> and they were tested for water disinfection from living organisms. Nanofibers were produced using the electrospinning method processing a solution flow rate of 1 </w:t>
      </w:r>
      <w:proofErr w:type="spellStart"/>
      <w:r w:rsidRPr="00DE5DCA">
        <w:rPr>
          <w:rFonts w:cs="Arial"/>
          <w:szCs w:val="18"/>
        </w:rPr>
        <w:t>mL</w:t>
      </w:r>
      <w:proofErr w:type="spellEnd"/>
      <w:r w:rsidRPr="00DE5DCA">
        <w:rPr>
          <w:rFonts w:cs="Arial"/>
          <w:szCs w:val="18"/>
        </w:rPr>
        <w:t>/h and the</w:t>
      </w:r>
      <w:r w:rsidR="00EE0DFD">
        <w:rPr>
          <w:rFonts w:cs="Arial"/>
          <w:szCs w:val="18"/>
        </w:rPr>
        <w:t>y</w:t>
      </w:r>
      <w:r w:rsidRPr="00DE5DCA">
        <w:rPr>
          <w:rFonts w:cs="Arial"/>
          <w:szCs w:val="18"/>
        </w:rPr>
        <w:t xml:space="preserve"> showed a dye (MB) removal percentage of almost 20% during photocatalyst process. </w:t>
      </w:r>
    </w:p>
    <w:p w:rsidR="00541970" w:rsidRPr="005C5617" w:rsidRDefault="00541970" w:rsidP="005C5617">
      <w:pPr>
        <w:rPr>
          <w:rFonts w:cs="Arial"/>
          <w:szCs w:val="18"/>
        </w:rPr>
      </w:pPr>
      <w:r w:rsidRPr="005C5617">
        <w:rPr>
          <w:rFonts w:cs="Arial"/>
          <w:szCs w:val="18"/>
        </w:rPr>
        <w:t>Therefore, the aim of this work was to develop CA membranes loaded with Fe-N doped TiO</w:t>
      </w:r>
      <w:r w:rsidR="002F3705" w:rsidRPr="005C5617">
        <w:rPr>
          <w:rFonts w:cs="Arial"/>
          <w:szCs w:val="18"/>
          <w:vertAlign w:val="subscript"/>
        </w:rPr>
        <w:t>2</w:t>
      </w:r>
      <w:r w:rsidRPr="005C5617">
        <w:rPr>
          <w:rFonts w:cs="Arial"/>
          <w:szCs w:val="18"/>
        </w:rPr>
        <w:t xml:space="preserve"> </w:t>
      </w:r>
      <w:proofErr w:type="spellStart"/>
      <w:r w:rsidRPr="005C5617">
        <w:rPr>
          <w:rFonts w:cs="Arial"/>
          <w:szCs w:val="18"/>
        </w:rPr>
        <w:t>nanoparticles</w:t>
      </w:r>
      <w:proofErr w:type="spellEnd"/>
      <w:r w:rsidRPr="005C5617">
        <w:rPr>
          <w:rFonts w:cs="Arial"/>
          <w:szCs w:val="18"/>
        </w:rPr>
        <w:t xml:space="preserve"> by SC-CO</w:t>
      </w:r>
      <w:r w:rsidR="002F3705" w:rsidRPr="005C5617">
        <w:rPr>
          <w:rFonts w:cs="Arial"/>
          <w:szCs w:val="18"/>
          <w:vertAlign w:val="subscript"/>
        </w:rPr>
        <w:t>2</w:t>
      </w:r>
      <w:r w:rsidR="00496C73">
        <w:rPr>
          <w:rFonts w:cs="Arial"/>
          <w:szCs w:val="18"/>
        </w:rPr>
        <w:t xml:space="preserve"> </w:t>
      </w:r>
      <w:r w:rsidRPr="005C5617">
        <w:rPr>
          <w:rFonts w:cs="Arial"/>
          <w:szCs w:val="18"/>
        </w:rPr>
        <w:t>assisted phase inversion with the aim of providing an opened and interconnected polymeric structure, characterized by a good Fe-N-TiO</w:t>
      </w:r>
      <w:r w:rsidR="002F3705" w:rsidRPr="005C5617">
        <w:rPr>
          <w:rFonts w:cs="Arial"/>
          <w:szCs w:val="18"/>
          <w:vertAlign w:val="subscript"/>
        </w:rPr>
        <w:t>2</w:t>
      </w:r>
      <w:r w:rsidRPr="005C5617">
        <w:rPr>
          <w:rFonts w:cs="Arial"/>
          <w:szCs w:val="18"/>
        </w:rPr>
        <w:t xml:space="preserve"> dispersion to remove a model antibiotic (i.e., ceftriaxone sodium) from an aqueous solution. </w:t>
      </w:r>
      <w:r w:rsidR="000F52AB">
        <w:rPr>
          <w:rFonts w:cs="Arial"/>
          <w:szCs w:val="18"/>
        </w:rPr>
        <w:t>Indeed,</w:t>
      </w:r>
      <w:r w:rsidR="000F52AB" w:rsidRPr="000F52AB">
        <w:rPr>
          <w:rFonts w:cs="Arial"/>
          <w:szCs w:val="18"/>
        </w:rPr>
        <w:t xml:space="preserve"> </w:t>
      </w:r>
      <w:r w:rsidR="000F52AB" w:rsidRPr="005C5617">
        <w:rPr>
          <w:rFonts w:cs="Arial"/>
          <w:szCs w:val="18"/>
        </w:rPr>
        <w:t>SC-CO</w:t>
      </w:r>
      <w:r w:rsidR="000F52AB" w:rsidRPr="005C5617">
        <w:rPr>
          <w:rFonts w:cs="Arial"/>
          <w:szCs w:val="18"/>
          <w:vertAlign w:val="subscript"/>
        </w:rPr>
        <w:t>2</w:t>
      </w:r>
      <w:r w:rsidR="000F52AB" w:rsidRPr="005C5617">
        <w:rPr>
          <w:rFonts w:cs="Arial"/>
          <w:szCs w:val="18"/>
        </w:rPr>
        <w:t>-assisted phase inversion</w:t>
      </w:r>
      <w:r w:rsidR="000F52AB">
        <w:rPr>
          <w:rFonts w:cs="Arial"/>
          <w:szCs w:val="18"/>
        </w:rPr>
        <w:t xml:space="preserve"> process had already showed the capability of generating loaded membranes with high performances for several applications </w:t>
      </w:r>
      <w:r w:rsidR="00CD696F">
        <w:rPr>
          <w:rFonts w:cs="Arial"/>
          <w:szCs w:val="18"/>
        </w:rPr>
        <w:t>(Baldino et al., 2023; Cardea et al., 2019)</w:t>
      </w:r>
      <w:r w:rsidR="000F52AB">
        <w:rPr>
          <w:rFonts w:cs="Arial"/>
          <w:szCs w:val="18"/>
        </w:rPr>
        <w:t xml:space="preserve">. </w:t>
      </w:r>
      <w:r w:rsidR="0008083B">
        <w:rPr>
          <w:rFonts w:cs="Arial"/>
          <w:szCs w:val="18"/>
        </w:rPr>
        <w:t>Indeed, t</w:t>
      </w:r>
      <w:r w:rsidR="0008083B" w:rsidRPr="0008083B">
        <w:rPr>
          <w:rFonts w:cs="Arial"/>
          <w:szCs w:val="18"/>
        </w:rPr>
        <w:t xml:space="preserve">he interaction between the solvent </w:t>
      </w:r>
      <w:r w:rsidR="0008083B">
        <w:rPr>
          <w:rFonts w:cs="Arial"/>
          <w:szCs w:val="18"/>
        </w:rPr>
        <w:t xml:space="preserve">in which polymer and </w:t>
      </w:r>
      <w:proofErr w:type="spellStart"/>
      <w:r w:rsidR="0008083B">
        <w:rPr>
          <w:rFonts w:cs="Arial"/>
          <w:szCs w:val="18"/>
        </w:rPr>
        <w:t>nanocatalyst</w:t>
      </w:r>
      <w:proofErr w:type="spellEnd"/>
      <w:r w:rsidR="0008083B">
        <w:rPr>
          <w:rFonts w:cs="Arial"/>
          <w:szCs w:val="18"/>
        </w:rPr>
        <w:t xml:space="preserve"> are suspended </w:t>
      </w:r>
      <w:r w:rsidR="0008083B" w:rsidRPr="0008083B">
        <w:rPr>
          <w:rFonts w:cs="Arial"/>
          <w:szCs w:val="18"/>
        </w:rPr>
        <w:t xml:space="preserve">and non-solvent </w:t>
      </w:r>
      <w:r w:rsidR="0008083B">
        <w:rPr>
          <w:rFonts w:cs="Arial"/>
          <w:szCs w:val="18"/>
        </w:rPr>
        <w:t>(SC-CO</w:t>
      </w:r>
      <w:r w:rsidR="00672D0B" w:rsidRPr="00672D0B">
        <w:rPr>
          <w:rFonts w:cs="Arial"/>
          <w:szCs w:val="18"/>
          <w:vertAlign w:val="subscript"/>
        </w:rPr>
        <w:t>2</w:t>
      </w:r>
      <w:r w:rsidR="0008083B">
        <w:rPr>
          <w:rFonts w:cs="Arial"/>
          <w:szCs w:val="18"/>
        </w:rPr>
        <w:t xml:space="preserve">) </w:t>
      </w:r>
      <w:r w:rsidR="0008083B" w:rsidRPr="0008083B">
        <w:rPr>
          <w:rFonts w:cs="Arial"/>
          <w:szCs w:val="18"/>
        </w:rPr>
        <w:t>triggers a phase transition, leading to polymer precipitation and the formation of porous interconnected structures. Replacing the liquid non-solvent with SC-CO</w:t>
      </w:r>
      <w:r w:rsidR="00672D0B" w:rsidRPr="00672D0B">
        <w:rPr>
          <w:rFonts w:cs="Arial"/>
          <w:szCs w:val="18"/>
          <w:vertAlign w:val="subscript"/>
        </w:rPr>
        <w:t>2</w:t>
      </w:r>
      <w:r w:rsidR="0008083B" w:rsidRPr="0008083B">
        <w:rPr>
          <w:rFonts w:cs="Arial"/>
          <w:szCs w:val="18"/>
        </w:rPr>
        <w:t xml:space="preserve"> offers numerous </w:t>
      </w:r>
      <w:r w:rsidR="0008083B">
        <w:rPr>
          <w:rFonts w:cs="Arial"/>
          <w:szCs w:val="18"/>
        </w:rPr>
        <w:t>advantages, in particular,</w:t>
      </w:r>
      <w:r w:rsidR="0008083B" w:rsidRPr="0008083B">
        <w:rPr>
          <w:rFonts w:cs="Arial"/>
          <w:szCs w:val="18"/>
        </w:rPr>
        <w:t xml:space="preserve"> SC-CO</w:t>
      </w:r>
      <w:r w:rsidR="00672D0B" w:rsidRPr="00672D0B">
        <w:rPr>
          <w:rFonts w:cs="Arial"/>
          <w:szCs w:val="18"/>
          <w:vertAlign w:val="subscript"/>
        </w:rPr>
        <w:t>2</w:t>
      </w:r>
      <w:r w:rsidR="0008083B" w:rsidRPr="0008083B">
        <w:rPr>
          <w:rFonts w:cs="Arial"/>
          <w:szCs w:val="18"/>
        </w:rPr>
        <w:t xml:space="preserve"> can dry the structure without causing collapse</w:t>
      </w:r>
      <w:r w:rsidR="0008083B">
        <w:rPr>
          <w:rFonts w:cs="Arial"/>
          <w:szCs w:val="18"/>
        </w:rPr>
        <w:t xml:space="preserve"> of polymeric matrix</w:t>
      </w:r>
      <w:r w:rsidR="0008083B" w:rsidRPr="0008083B">
        <w:rPr>
          <w:rFonts w:cs="Arial"/>
          <w:szCs w:val="18"/>
        </w:rPr>
        <w:t xml:space="preserve">, </w:t>
      </w:r>
      <w:r w:rsidR="0008083B">
        <w:rPr>
          <w:rFonts w:cs="Arial"/>
          <w:szCs w:val="18"/>
        </w:rPr>
        <w:t>since</w:t>
      </w:r>
      <w:r w:rsidR="0008083B" w:rsidRPr="0008083B">
        <w:rPr>
          <w:rFonts w:cs="Arial"/>
          <w:szCs w:val="18"/>
        </w:rPr>
        <w:t xml:space="preserve"> </w:t>
      </w:r>
      <w:r w:rsidR="0008083B">
        <w:rPr>
          <w:rFonts w:cs="Arial"/>
          <w:szCs w:val="18"/>
        </w:rPr>
        <w:t>it</w:t>
      </w:r>
      <w:r w:rsidR="0008083B" w:rsidRPr="0008083B">
        <w:rPr>
          <w:rFonts w:cs="Arial"/>
          <w:szCs w:val="18"/>
        </w:rPr>
        <w:t xml:space="preserve"> lacks </w:t>
      </w:r>
      <w:r w:rsidR="0008083B">
        <w:rPr>
          <w:rFonts w:cs="Arial"/>
          <w:szCs w:val="18"/>
        </w:rPr>
        <w:t>the</w:t>
      </w:r>
      <w:r w:rsidR="0008083B" w:rsidRPr="0008083B">
        <w:rPr>
          <w:rFonts w:cs="Arial"/>
          <w:szCs w:val="18"/>
        </w:rPr>
        <w:t xml:space="preserve"> liquid-liquid interface. Moreover, its versatility enables easy modulation of structure morphology and cell size by adjusting operational conditions. This process eliminates the need for additional post-treatments and simplifies the recovery of the organic solvent.</w:t>
      </w:r>
      <w:r w:rsidR="0008083B">
        <w:rPr>
          <w:rFonts w:cs="Arial"/>
          <w:szCs w:val="18"/>
        </w:rPr>
        <w:t xml:space="preserve"> </w:t>
      </w:r>
      <w:r w:rsidRPr="005C5617">
        <w:rPr>
          <w:rFonts w:cs="Arial"/>
          <w:szCs w:val="18"/>
        </w:rPr>
        <w:t>The experiments will be carried out to find the loading of Fe-N-TiO</w:t>
      </w:r>
      <w:r w:rsidR="002F3705" w:rsidRPr="005C5617">
        <w:rPr>
          <w:rFonts w:cs="Arial"/>
          <w:szCs w:val="18"/>
          <w:vertAlign w:val="subscript"/>
        </w:rPr>
        <w:t>2</w:t>
      </w:r>
      <w:r w:rsidRPr="005C5617">
        <w:rPr>
          <w:rFonts w:cs="Arial"/>
          <w:szCs w:val="18"/>
        </w:rPr>
        <w:t xml:space="preserve"> nanoparticles that can guarantee the best catalyst dispersion in the polymeric support, the best adsorption-photocatalytic efficiency of the active membranes, and their reusability.</w:t>
      </w:r>
    </w:p>
    <w:p w:rsidR="00453E24" w:rsidRDefault="00541970" w:rsidP="00541970">
      <w:pPr>
        <w:pStyle w:val="CETHeading1"/>
        <w:numPr>
          <w:ilvl w:val="0"/>
          <w:numId w:val="0"/>
        </w:numPr>
      </w:pPr>
      <w:r>
        <w:t>2. Materials and Methods</w:t>
      </w:r>
    </w:p>
    <w:p w:rsidR="00541970" w:rsidRPr="00E9637D" w:rsidRDefault="00672D0B" w:rsidP="00541970">
      <w:pPr>
        <w:rPr>
          <w:rFonts w:cs="Arial"/>
          <w:szCs w:val="18"/>
        </w:rPr>
      </w:pPr>
      <w:r w:rsidRPr="00672D0B">
        <w:rPr>
          <w:rStyle w:val="CETBodytextCarattere"/>
        </w:rPr>
        <w:t>Cellulose acetate (CA, DA=2.44), acetone (purity &gt; 99.5%), Ceftriaxone Sodium (CFX), Commercial TiO</w:t>
      </w:r>
      <w:r w:rsidRPr="00672D0B">
        <w:rPr>
          <w:rStyle w:val="CETBodytextCarattere"/>
          <w:vertAlign w:val="subscript"/>
        </w:rPr>
        <w:t>2</w:t>
      </w:r>
      <w:r w:rsidRPr="00672D0B">
        <w:rPr>
          <w:rStyle w:val="CETBodytextCarattere"/>
        </w:rPr>
        <w:t xml:space="preserve"> nanoparticles (PC 500), CO</w:t>
      </w:r>
      <w:r w:rsidRPr="00672D0B">
        <w:rPr>
          <w:rStyle w:val="CETBodytextCarattere"/>
          <w:vertAlign w:val="subscript"/>
        </w:rPr>
        <w:t>2</w:t>
      </w:r>
      <w:r w:rsidRPr="00672D0B">
        <w:rPr>
          <w:rStyle w:val="CETBodytextCarattere"/>
        </w:rPr>
        <w:t xml:space="preserve"> (99.9% purity) were supplied by Sigma-Aldrich (Milan, Italy), Millenium Inorganic Chemicals (Stallingborough, UK), and Morlando Group Srl (</w:t>
      </w:r>
      <w:proofErr w:type="spellStart"/>
      <w:r w:rsidRPr="00672D0B">
        <w:rPr>
          <w:rStyle w:val="CETBodytextCarattere"/>
        </w:rPr>
        <w:t>Sant’Antimo</w:t>
      </w:r>
      <w:proofErr w:type="spellEnd"/>
      <w:r w:rsidRPr="00672D0B">
        <w:rPr>
          <w:rStyle w:val="CETBodytextCarattere"/>
        </w:rPr>
        <w:t>, Naples, Italy) respectively. Fe-N doped TiO</w:t>
      </w:r>
      <w:r w:rsidRPr="00672D0B">
        <w:rPr>
          <w:rStyle w:val="CETBodytextCarattere"/>
          <w:vertAlign w:val="subscript"/>
        </w:rPr>
        <w:t>2</w:t>
      </w:r>
      <w:r w:rsidRPr="00672D0B">
        <w:rPr>
          <w:rStyle w:val="CETBodytextCarattere"/>
        </w:rPr>
        <w:t xml:space="preserve"> were synthesized by sol-gel technique.</w:t>
      </w:r>
      <w:r w:rsidR="00541970" w:rsidRPr="00E9637D">
        <w:rPr>
          <w:rFonts w:cs="Arial"/>
          <w:szCs w:val="18"/>
        </w:rPr>
        <w:t xml:space="preserve"> CO</w:t>
      </w:r>
      <w:r w:rsidR="00541970" w:rsidRPr="007E78AF">
        <w:rPr>
          <w:rFonts w:cs="Arial"/>
          <w:szCs w:val="18"/>
          <w:vertAlign w:val="subscript"/>
        </w:rPr>
        <w:t>2</w:t>
      </w:r>
      <w:r w:rsidR="00541970" w:rsidRPr="00E9637D">
        <w:rPr>
          <w:rFonts w:cs="Arial"/>
          <w:szCs w:val="18"/>
        </w:rPr>
        <w:t xml:space="preserve"> (99.9% purity) was supplied by Morlando Group Srl (</w:t>
      </w:r>
      <w:proofErr w:type="spellStart"/>
      <w:r w:rsidR="00541970" w:rsidRPr="00E9637D">
        <w:rPr>
          <w:rFonts w:cs="Arial"/>
          <w:szCs w:val="18"/>
        </w:rPr>
        <w:t>Sant’Antimo</w:t>
      </w:r>
      <w:proofErr w:type="spellEnd"/>
      <w:r w:rsidR="00541970" w:rsidRPr="00E9637D">
        <w:rPr>
          <w:rFonts w:cs="Arial"/>
          <w:szCs w:val="18"/>
        </w:rPr>
        <w:t xml:space="preserve">, Naples, Italy). </w:t>
      </w:r>
    </w:p>
    <w:p w:rsidR="00541970" w:rsidRPr="00E9637D" w:rsidRDefault="00541970" w:rsidP="00541970">
      <w:pPr>
        <w:rPr>
          <w:rFonts w:cs="Arial"/>
          <w:szCs w:val="18"/>
        </w:rPr>
      </w:pPr>
      <w:r w:rsidRPr="00E9637D">
        <w:rPr>
          <w:rFonts w:cs="Arial"/>
          <w:szCs w:val="18"/>
        </w:rPr>
        <w:t>CA-based membranes were prepared by stabilizing 20 wt% of polymer in 10 mL of acetone. Fe-N-TiO</w:t>
      </w:r>
      <w:r w:rsidRPr="00D94BF9">
        <w:rPr>
          <w:rFonts w:cs="Arial"/>
          <w:szCs w:val="18"/>
          <w:vertAlign w:val="subscript"/>
        </w:rPr>
        <w:t>2</w:t>
      </w:r>
      <w:r w:rsidRPr="00E9637D">
        <w:rPr>
          <w:rFonts w:cs="Arial"/>
          <w:szCs w:val="18"/>
        </w:rPr>
        <w:t xml:space="preserve"> nanoparticles, at different </w:t>
      </w:r>
      <w:r w:rsidR="00282377">
        <w:rPr>
          <w:rFonts w:cs="Arial"/>
          <w:szCs w:val="18"/>
        </w:rPr>
        <w:t>percentage of</w:t>
      </w:r>
      <w:r w:rsidR="003D0A91">
        <w:rPr>
          <w:rFonts w:cs="Arial"/>
          <w:szCs w:val="18"/>
        </w:rPr>
        <w:t xml:space="preserve"> </w:t>
      </w:r>
      <w:r w:rsidR="003D0A91" w:rsidRPr="00E9637D">
        <w:rPr>
          <w:rFonts w:cs="Arial"/>
          <w:szCs w:val="18"/>
        </w:rPr>
        <w:t>Fe-N-TiO</w:t>
      </w:r>
      <w:r w:rsidR="003D0A91" w:rsidRPr="00D94BF9">
        <w:rPr>
          <w:rFonts w:cs="Arial"/>
          <w:szCs w:val="18"/>
          <w:vertAlign w:val="subscript"/>
        </w:rPr>
        <w:t>2</w:t>
      </w:r>
      <w:r w:rsidR="003D0A91">
        <w:rPr>
          <w:rFonts w:cs="Arial"/>
          <w:szCs w:val="18"/>
        </w:rPr>
        <w:t>/polymer</w:t>
      </w:r>
      <w:r w:rsidRPr="00E9637D">
        <w:rPr>
          <w:rFonts w:cs="Arial"/>
          <w:szCs w:val="18"/>
        </w:rPr>
        <w:t xml:space="preserve"> by weight (10%, 20%, and 30%), were suspended in the polymeric solution and stirred at 100 rpm and 50 °C. The SC-CO</w:t>
      </w:r>
      <w:r w:rsidRPr="006A7312">
        <w:rPr>
          <w:rFonts w:cs="Arial"/>
          <w:szCs w:val="18"/>
          <w:vertAlign w:val="subscript"/>
        </w:rPr>
        <w:t>2</w:t>
      </w:r>
      <w:r w:rsidRPr="00E9637D">
        <w:rPr>
          <w:rFonts w:cs="Arial"/>
          <w:szCs w:val="18"/>
        </w:rPr>
        <w:t xml:space="preserve"> assisted phase inversion process was </w:t>
      </w:r>
      <w:r w:rsidR="00282377">
        <w:rPr>
          <w:rFonts w:cs="Arial"/>
          <w:szCs w:val="18"/>
        </w:rPr>
        <w:t>performed</w:t>
      </w:r>
      <w:r w:rsidR="00282377" w:rsidRPr="00E9637D">
        <w:rPr>
          <w:rFonts w:cs="Arial"/>
          <w:szCs w:val="18"/>
        </w:rPr>
        <w:t xml:space="preserve"> </w:t>
      </w:r>
      <w:r w:rsidRPr="00E9637D">
        <w:rPr>
          <w:rFonts w:cs="Arial"/>
          <w:szCs w:val="18"/>
        </w:rPr>
        <w:t>u</w:t>
      </w:r>
      <w:r w:rsidR="00282377">
        <w:rPr>
          <w:rFonts w:cs="Arial"/>
          <w:szCs w:val="18"/>
        </w:rPr>
        <w:t>s</w:t>
      </w:r>
      <w:r w:rsidRPr="00E9637D">
        <w:rPr>
          <w:rFonts w:cs="Arial"/>
          <w:szCs w:val="18"/>
        </w:rPr>
        <w:t xml:space="preserve">ing a 316 stainless-steel cylindrical high-pressure vessel with an internal volume of 200 </w:t>
      </w:r>
      <w:proofErr w:type="spellStart"/>
      <w:r w:rsidRPr="00E9637D">
        <w:rPr>
          <w:rFonts w:cs="Arial"/>
          <w:szCs w:val="18"/>
        </w:rPr>
        <w:t>mL.</w:t>
      </w:r>
      <w:proofErr w:type="spellEnd"/>
      <w:r w:rsidRPr="00E9637D">
        <w:rPr>
          <w:rFonts w:cs="Arial"/>
          <w:szCs w:val="18"/>
        </w:rPr>
        <w:t xml:space="preserve"> This setup included a high-pressure pump (mod. LDB1, Lewa, Leonberg, Germany) responsible for delivering liquid CO</w:t>
      </w:r>
      <w:r w:rsidR="002F3705" w:rsidRPr="002F3705">
        <w:rPr>
          <w:rFonts w:cs="Arial"/>
          <w:szCs w:val="18"/>
          <w:vertAlign w:val="subscript"/>
        </w:rPr>
        <w:t>2</w:t>
      </w:r>
      <w:r w:rsidRPr="00E9637D">
        <w:rPr>
          <w:rFonts w:cs="Arial"/>
          <w:szCs w:val="18"/>
        </w:rPr>
        <w:t xml:space="preserve">. Pressure (set at 200 bar) within the vessel was monitored using a test gauge (mod. MP1, OMET, Lecco, Italy) and adjusted via a </w:t>
      </w:r>
      <w:proofErr w:type="spellStart"/>
      <w:r w:rsidR="00282377" w:rsidRPr="00E9637D">
        <w:rPr>
          <w:rFonts w:cs="Arial"/>
          <w:szCs w:val="18"/>
        </w:rPr>
        <w:t>micrometering</w:t>
      </w:r>
      <w:proofErr w:type="spellEnd"/>
      <w:r w:rsidRPr="00E9637D">
        <w:rPr>
          <w:rFonts w:cs="Arial"/>
          <w:szCs w:val="18"/>
        </w:rPr>
        <w:t xml:space="preserve"> valve (mod. 1335G4Y, Hoke, Spartanburg, SC, USA). </w:t>
      </w:r>
      <w:r w:rsidR="00282377">
        <w:rPr>
          <w:rFonts w:cs="Arial"/>
          <w:szCs w:val="18"/>
        </w:rPr>
        <w:t>Process temperature was kept fixed at 35 °C</w:t>
      </w:r>
      <w:r w:rsidRPr="00E9637D">
        <w:rPr>
          <w:rFonts w:cs="Arial"/>
          <w:szCs w:val="18"/>
        </w:rPr>
        <w:t xml:space="preserve">. At the vessel's exit point, a </w:t>
      </w:r>
      <w:proofErr w:type="spellStart"/>
      <w:r w:rsidRPr="00E9637D">
        <w:rPr>
          <w:rFonts w:cs="Arial"/>
          <w:szCs w:val="18"/>
        </w:rPr>
        <w:t>rotameter</w:t>
      </w:r>
      <w:proofErr w:type="spellEnd"/>
      <w:r w:rsidRPr="00E9637D">
        <w:rPr>
          <w:rFonts w:cs="Arial"/>
          <w:szCs w:val="18"/>
        </w:rPr>
        <w:t xml:space="preserve"> was employed to measure the CO</w:t>
      </w:r>
      <w:r w:rsidR="002F3705" w:rsidRPr="002F3705">
        <w:rPr>
          <w:rFonts w:cs="Arial"/>
          <w:szCs w:val="18"/>
          <w:vertAlign w:val="subscript"/>
        </w:rPr>
        <w:t>2</w:t>
      </w:r>
      <w:r w:rsidRPr="00E9637D">
        <w:rPr>
          <w:rFonts w:cs="Arial"/>
          <w:szCs w:val="18"/>
        </w:rPr>
        <w:t xml:space="preserve"> flow rate. The processes lasted 4 hours and the depressurization step required 30 minutes.</w:t>
      </w:r>
    </w:p>
    <w:p w:rsidR="00541970" w:rsidRPr="00E9637D" w:rsidRDefault="00541970" w:rsidP="00541970">
      <w:pPr>
        <w:rPr>
          <w:rFonts w:cs="Arial"/>
          <w:szCs w:val="18"/>
        </w:rPr>
      </w:pPr>
      <w:r w:rsidRPr="00E9637D">
        <w:rPr>
          <w:rFonts w:cs="Arial"/>
          <w:szCs w:val="18"/>
        </w:rPr>
        <w:t xml:space="preserve">The membrane samples underwent cryo-fracturing using liquid nitrogen (SOL, Milan, Italy), followed by sputter coating with gold (Agar Auto Sputter Coater mod. 108 A, Stansted, UK) at 30 mA for 120 seconds. Subsequently, their morphology was examined using a field emission scanning electron microscope (FE-SEM, mod. LEO 1525, Carl </w:t>
      </w:r>
      <w:proofErr w:type="spellStart"/>
      <w:r w:rsidRPr="00E9637D">
        <w:rPr>
          <w:rFonts w:cs="Arial"/>
          <w:szCs w:val="18"/>
        </w:rPr>
        <w:t>Zeiss</w:t>
      </w:r>
      <w:proofErr w:type="spellEnd"/>
      <w:r w:rsidRPr="00E9637D">
        <w:rPr>
          <w:rFonts w:cs="Arial"/>
          <w:szCs w:val="18"/>
        </w:rPr>
        <w:t xml:space="preserve"> SMT AG, </w:t>
      </w:r>
      <w:proofErr w:type="spellStart"/>
      <w:r w:rsidRPr="00E9637D">
        <w:rPr>
          <w:rFonts w:cs="Arial"/>
          <w:szCs w:val="18"/>
        </w:rPr>
        <w:t>Oberkochen</w:t>
      </w:r>
      <w:proofErr w:type="spellEnd"/>
      <w:r w:rsidRPr="00E9637D">
        <w:rPr>
          <w:rFonts w:cs="Arial"/>
          <w:szCs w:val="18"/>
        </w:rPr>
        <w:t>, Germany).</w:t>
      </w:r>
    </w:p>
    <w:p w:rsidR="00541970" w:rsidRPr="00E9637D" w:rsidRDefault="006864F9" w:rsidP="00541970">
      <w:pPr>
        <w:rPr>
          <w:rFonts w:cs="Arial"/>
          <w:szCs w:val="18"/>
        </w:rPr>
      </w:pPr>
      <w:r>
        <w:rPr>
          <w:rFonts w:cs="Arial"/>
          <w:szCs w:val="18"/>
        </w:rPr>
        <w:t>A</w:t>
      </w:r>
      <w:r w:rsidR="00541970" w:rsidRPr="00E9637D">
        <w:rPr>
          <w:rFonts w:cs="Arial"/>
          <w:szCs w:val="18"/>
        </w:rPr>
        <w:t>n energy-dispersive X-ray spectroscopy (EDX, mod. INCA Energy 350, Oxford Instruments) analysis was performed</w:t>
      </w:r>
      <w:r w:rsidRPr="006864F9">
        <w:rPr>
          <w:rFonts w:cs="Arial"/>
          <w:szCs w:val="18"/>
        </w:rPr>
        <w:t xml:space="preserve"> </w:t>
      </w:r>
      <w:r>
        <w:rPr>
          <w:rFonts w:cs="Arial"/>
          <w:szCs w:val="18"/>
        </w:rPr>
        <w:t>t</w:t>
      </w:r>
      <w:r w:rsidRPr="00E9637D">
        <w:rPr>
          <w:rFonts w:cs="Arial"/>
          <w:szCs w:val="18"/>
        </w:rPr>
        <w:t xml:space="preserve">o </w:t>
      </w:r>
      <w:r>
        <w:rPr>
          <w:rFonts w:cs="Arial"/>
          <w:szCs w:val="18"/>
        </w:rPr>
        <w:t>identify</w:t>
      </w:r>
      <w:r w:rsidRPr="00E9637D">
        <w:rPr>
          <w:rFonts w:cs="Arial"/>
          <w:szCs w:val="18"/>
        </w:rPr>
        <w:t xml:space="preserve"> Fe-N-TiO</w:t>
      </w:r>
      <w:r w:rsidRPr="006A7312">
        <w:rPr>
          <w:rFonts w:cs="Arial"/>
          <w:szCs w:val="18"/>
          <w:vertAlign w:val="subscript"/>
        </w:rPr>
        <w:t>2</w:t>
      </w:r>
      <w:r w:rsidRPr="00E9637D">
        <w:rPr>
          <w:rFonts w:cs="Arial"/>
          <w:szCs w:val="18"/>
        </w:rPr>
        <w:t xml:space="preserve"> </w:t>
      </w:r>
      <w:r>
        <w:rPr>
          <w:rFonts w:cs="Arial"/>
          <w:szCs w:val="18"/>
        </w:rPr>
        <w:t xml:space="preserve">clusters and their </w:t>
      </w:r>
      <w:r w:rsidRPr="00E9637D">
        <w:rPr>
          <w:rFonts w:cs="Arial"/>
          <w:szCs w:val="18"/>
        </w:rPr>
        <w:t>distribution in the polymeric support</w:t>
      </w:r>
      <w:r w:rsidR="00541970" w:rsidRPr="00E9637D">
        <w:rPr>
          <w:rFonts w:cs="Arial"/>
          <w:szCs w:val="18"/>
        </w:rPr>
        <w:t xml:space="preserve">. </w:t>
      </w:r>
    </w:p>
    <w:p w:rsidR="00541970" w:rsidRPr="00E9637D" w:rsidRDefault="00541970" w:rsidP="00541970">
      <w:pPr>
        <w:rPr>
          <w:rFonts w:cs="Arial"/>
          <w:szCs w:val="18"/>
        </w:rPr>
      </w:pPr>
      <w:r w:rsidRPr="00E9637D">
        <w:rPr>
          <w:rFonts w:cs="Arial"/>
          <w:szCs w:val="18"/>
        </w:rPr>
        <w:t xml:space="preserve">Tests for both adsorption and photocatalysis were conducted using an initial concentration of 50 mg/L of CFX in a 50 mL aqueous solution. The experiments were performed within a </w:t>
      </w:r>
      <w:proofErr w:type="spellStart"/>
      <w:r w:rsidRPr="00E9637D">
        <w:rPr>
          <w:rFonts w:cs="Arial"/>
          <w:szCs w:val="18"/>
        </w:rPr>
        <w:t>pyrex</w:t>
      </w:r>
      <w:proofErr w:type="spellEnd"/>
      <w:r w:rsidRPr="00E9637D">
        <w:rPr>
          <w:rFonts w:cs="Arial"/>
          <w:szCs w:val="18"/>
        </w:rPr>
        <w:t xml:space="preserve"> cylindrical </w:t>
      </w:r>
      <w:proofErr w:type="spellStart"/>
      <w:r w:rsidRPr="00E9637D">
        <w:rPr>
          <w:rFonts w:cs="Arial"/>
          <w:szCs w:val="18"/>
        </w:rPr>
        <w:t>photoreactor</w:t>
      </w:r>
      <w:proofErr w:type="spellEnd"/>
      <w:r w:rsidRPr="00E9637D">
        <w:rPr>
          <w:rFonts w:cs="Arial"/>
          <w:szCs w:val="18"/>
        </w:rPr>
        <w:t xml:space="preserve">, measuring 2.6 cm in internal diameter and 9 cm in height. </w:t>
      </w:r>
      <w:r w:rsidR="00991475" w:rsidRPr="00991475">
        <w:rPr>
          <w:rFonts w:cs="Arial"/>
          <w:szCs w:val="18"/>
        </w:rPr>
        <w:t xml:space="preserve">Adsorption and photocatalysis tests were conducted using CFX aqueous solution, initial concentration of 50 mg/L, in </w:t>
      </w:r>
      <w:proofErr w:type="spellStart"/>
      <w:r w:rsidR="00991475" w:rsidRPr="00991475">
        <w:rPr>
          <w:rFonts w:cs="Arial"/>
          <w:szCs w:val="18"/>
        </w:rPr>
        <w:t>pyrex</w:t>
      </w:r>
      <w:proofErr w:type="spellEnd"/>
      <w:r w:rsidR="00991475" w:rsidRPr="00991475">
        <w:rPr>
          <w:rFonts w:cs="Arial"/>
          <w:szCs w:val="18"/>
        </w:rPr>
        <w:t xml:space="preserve"> cylindrical reactor (2.6 cm X 9 cm). Light irradiation was provided by two lamps (Philips), with nominal power 8 W and emission range of wavelength 400-700 nm, put at 4 cm upper the surface of reactor</w:t>
      </w:r>
      <w:r w:rsidR="0064119D">
        <w:rPr>
          <w:rFonts w:cs="Arial"/>
          <w:szCs w:val="18"/>
        </w:rPr>
        <w:t xml:space="preserve"> (Figure 1)</w:t>
      </w:r>
      <w:r w:rsidRPr="00E9637D">
        <w:rPr>
          <w:rFonts w:cs="Arial"/>
          <w:szCs w:val="18"/>
        </w:rPr>
        <w:t xml:space="preserve">. The overall reaction time lasted 180 minutes, conducted both in dark and light conditions. Analysis of the residual CFX concentration was carried out by </w:t>
      </w:r>
      <w:r w:rsidRPr="00E9637D">
        <w:rPr>
          <w:rFonts w:cs="Arial"/>
          <w:szCs w:val="18"/>
        </w:rPr>
        <w:lastRenderedPageBreak/>
        <w:t>measuring its absorption at 270 nm using High-Pressure Liquid Chromatography (HPLC, Evolution 201, Thermo Scientific Fischer, Milan, Italy).</w:t>
      </w:r>
      <w:r w:rsidR="00991475" w:rsidRPr="00991475">
        <w:t xml:space="preserve"> </w:t>
      </w:r>
      <w:r w:rsidR="001B4436" w:rsidRPr="00E9637D">
        <w:rPr>
          <w:rFonts w:cs="Arial"/>
          <w:szCs w:val="18"/>
          <w:lang w:val="en-US"/>
        </w:rPr>
        <w:t>A reusability test was performed after drying at room temperature of the 20wt% Fe-N-TiO</w:t>
      </w:r>
      <w:r w:rsidR="001B4436" w:rsidRPr="00E9637D">
        <w:rPr>
          <w:rFonts w:cs="Arial"/>
          <w:szCs w:val="18"/>
          <w:vertAlign w:val="subscript"/>
          <w:lang w:val="en-US"/>
        </w:rPr>
        <w:t>2</w:t>
      </w:r>
      <w:r w:rsidR="001B4436">
        <w:rPr>
          <w:rFonts w:cs="Arial"/>
          <w:szCs w:val="18"/>
          <w:lang w:val="en-US"/>
        </w:rPr>
        <w:t>/</w:t>
      </w:r>
      <w:r w:rsidR="001B4436" w:rsidRPr="00E9637D">
        <w:rPr>
          <w:rFonts w:cs="Arial"/>
          <w:szCs w:val="18"/>
          <w:lang w:val="en-US"/>
        </w:rPr>
        <w:t>CA membrane recovered from the treated aqueous solution at the end of the adsorption/photocatalytic process and reused without regeneration step among the different cycles.</w:t>
      </w:r>
    </w:p>
    <w:p w:rsidR="00600535" w:rsidRPr="00B57B36" w:rsidRDefault="007C136B" w:rsidP="00BD077D">
      <w:pPr>
        <w:pStyle w:val="CETCaption"/>
      </w:pPr>
      <w:r w:rsidRPr="007C136B">
        <w:rPr>
          <w:noProof/>
          <w:lang w:val="it-IT" w:eastAsia="it-IT"/>
        </w:rPr>
        <w:drawing>
          <wp:inline distT="0" distB="0" distL="0" distR="0">
            <wp:extent cx="3192780" cy="1672678"/>
            <wp:effectExtent l="0" t="0" r="7620" b="3810"/>
            <wp:docPr id="509217354" name="Immagine 1" descr="Immagine che contiene schermata, Rettango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17354" name="Immagine 1" descr="Immagine che contiene schermata, Rettangolo, design&#10;&#10;Descrizione generata automaticamente"/>
                    <pic:cNvPicPr/>
                  </pic:nvPicPr>
                  <pic:blipFill>
                    <a:blip r:embed="rId15"/>
                    <a:stretch>
                      <a:fillRect/>
                    </a:stretch>
                  </pic:blipFill>
                  <pic:spPr>
                    <a:xfrm>
                      <a:off x="0" y="0"/>
                      <a:ext cx="3197413" cy="1675105"/>
                    </a:xfrm>
                    <a:prstGeom prst="rect">
                      <a:avLst/>
                    </a:prstGeom>
                  </pic:spPr>
                </pic:pic>
              </a:graphicData>
            </a:graphic>
          </wp:inline>
        </w:drawing>
      </w:r>
    </w:p>
    <w:p w:rsidR="00600535" w:rsidRPr="00BD077D" w:rsidRDefault="007C136B" w:rsidP="00BD077D">
      <w:pPr>
        <w:pStyle w:val="CETCaption"/>
      </w:pPr>
      <w:r w:rsidRPr="00E9637D">
        <w:rPr>
          <w:rFonts w:cs="Arial"/>
          <w:bCs/>
          <w:szCs w:val="18"/>
          <w:lang w:val="en-US"/>
        </w:rPr>
        <w:t xml:space="preserve">Figure </w:t>
      </w:r>
      <w:r w:rsidR="00672D0B" w:rsidRPr="00E9637D">
        <w:rPr>
          <w:rFonts w:cs="Arial"/>
          <w:bCs/>
          <w:iCs/>
          <w:szCs w:val="18"/>
        </w:rPr>
        <w:fldChar w:fldCharType="begin"/>
      </w:r>
      <w:r w:rsidRPr="00E9637D">
        <w:rPr>
          <w:rFonts w:cs="Arial"/>
          <w:bCs/>
          <w:szCs w:val="18"/>
          <w:lang w:val="en-US"/>
        </w:rPr>
        <w:instrText xml:space="preserve"> SEQ Figure \* ARABIC </w:instrText>
      </w:r>
      <w:r w:rsidR="00672D0B" w:rsidRPr="00E9637D">
        <w:rPr>
          <w:rFonts w:cs="Arial"/>
          <w:bCs/>
          <w:iCs/>
          <w:szCs w:val="18"/>
        </w:rPr>
        <w:fldChar w:fldCharType="separate"/>
      </w:r>
      <w:r w:rsidRPr="00E9637D">
        <w:rPr>
          <w:rFonts w:cs="Arial"/>
          <w:bCs/>
          <w:noProof/>
          <w:szCs w:val="18"/>
          <w:lang w:val="en-US"/>
        </w:rPr>
        <w:t>1</w:t>
      </w:r>
      <w:r w:rsidR="00672D0B" w:rsidRPr="00E9637D">
        <w:rPr>
          <w:rFonts w:cs="Arial"/>
          <w:bCs/>
          <w:iCs/>
          <w:szCs w:val="18"/>
        </w:rPr>
        <w:fldChar w:fldCharType="end"/>
      </w:r>
      <w:r w:rsidRPr="00E9637D">
        <w:rPr>
          <w:rFonts w:cs="Arial"/>
          <w:bCs/>
          <w:szCs w:val="18"/>
          <w:lang w:val="en-US"/>
        </w:rPr>
        <w:t>.</w:t>
      </w:r>
      <w:r w:rsidRPr="00E9637D">
        <w:rPr>
          <w:rFonts w:cs="Arial"/>
          <w:szCs w:val="18"/>
          <w:lang w:val="en-US"/>
        </w:rPr>
        <w:t xml:space="preserve"> Set-up employed for adsorption and photocatalytic tests</w:t>
      </w:r>
      <w:r w:rsidR="00F7534E" w:rsidRPr="00BD077D">
        <w:t xml:space="preserve"> </w:t>
      </w:r>
    </w:p>
    <w:p w:rsidR="00600535" w:rsidRPr="00B57B36" w:rsidRDefault="007C136B" w:rsidP="007C136B">
      <w:pPr>
        <w:pStyle w:val="CETHeading1"/>
        <w:numPr>
          <w:ilvl w:val="0"/>
          <w:numId w:val="0"/>
        </w:numPr>
        <w:rPr>
          <w:lang w:val="en-GB"/>
        </w:rPr>
      </w:pPr>
      <w:r>
        <w:rPr>
          <w:lang w:val="en-GB"/>
        </w:rPr>
        <w:t>3. Results and Discussion</w:t>
      </w:r>
    </w:p>
    <w:p w:rsidR="007C136B" w:rsidRPr="00E9637D" w:rsidRDefault="007C136B" w:rsidP="007C136B">
      <w:pPr>
        <w:rPr>
          <w:rFonts w:cs="Arial"/>
          <w:szCs w:val="18"/>
          <w:lang w:val="en-US"/>
        </w:rPr>
      </w:pPr>
      <w:r w:rsidRPr="00E9637D">
        <w:rPr>
          <w:rFonts w:cs="Arial"/>
          <w:szCs w:val="18"/>
          <w:lang w:val="en-US"/>
        </w:rPr>
        <w:t xml:space="preserve">In Figure 2, SEM images of 20wt% CA </w:t>
      </w:r>
      <w:r w:rsidR="006A7312">
        <w:rPr>
          <w:rFonts w:cs="Arial"/>
          <w:szCs w:val="18"/>
          <w:lang w:val="en-US"/>
        </w:rPr>
        <w:t>pure</w:t>
      </w:r>
      <w:r w:rsidRPr="00E9637D">
        <w:rPr>
          <w:rFonts w:cs="Arial"/>
          <w:szCs w:val="18"/>
          <w:lang w:val="en-US"/>
        </w:rPr>
        <w:t xml:space="preserve"> membranes (Figure 2a) and 30wt% Fe-N-TiO</w:t>
      </w:r>
      <w:r w:rsidRPr="006A7312">
        <w:rPr>
          <w:rFonts w:cs="Arial"/>
          <w:szCs w:val="18"/>
          <w:vertAlign w:val="subscript"/>
          <w:lang w:val="en-US"/>
        </w:rPr>
        <w:t>2</w:t>
      </w:r>
      <w:r w:rsidRPr="00E9637D">
        <w:rPr>
          <w:rFonts w:cs="Arial"/>
          <w:szCs w:val="18"/>
          <w:lang w:val="en-US"/>
        </w:rPr>
        <w:t xml:space="preserve"> loaded CA membranes (Figure 2b) are reported. Moreover, in Figure 2c a</w:t>
      </w:r>
      <w:r w:rsidR="006A7312">
        <w:rPr>
          <w:rFonts w:cs="Arial"/>
          <w:szCs w:val="18"/>
          <w:lang w:val="en-US"/>
        </w:rPr>
        <w:t>n higher</w:t>
      </w:r>
      <w:r w:rsidRPr="00E9637D">
        <w:rPr>
          <w:rFonts w:cs="Arial"/>
          <w:szCs w:val="18"/>
          <w:lang w:val="en-US"/>
        </w:rPr>
        <w:t xml:space="preserve"> magnification of pore walls is shown.</w:t>
      </w:r>
    </w:p>
    <w:p w:rsidR="007C136B" w:rsidRDefault="007C136B" w:rsidP="007C136B">
      <w:pPr>
        <w:keepNext/>
        <w:rPr>
          <w:rFonts w:cs="Arial"/>
          <w:szCs w:val="18"/>
          <w:lang w:val="en-US"/>
        </w:rPr>
      </w:pPr>
      <w:r w:rsidRPr="00E9637D">
        <w:rPr>
          <w:rFonts w:cs="Arial"/>
          <w:noProof/>
          <w:szCs w:val="18"/>
          <w:lang w:val="it-IT" w:eastAsia="it-IT"/>
        </w:rPr>
        <w:drawing>
          <wp:inline distT="0" distB="0" distL="0" distR="0">
            <wp:extent cx="1899325" cy="1440000"/>
            <wp:effectExtent l="0" t="0" r="5715" b="8255"/>
            <wp:docPr id="8696565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9325" cy="1440000"/>
                    </a:xfrm>
                    <a:prstGeom prst="rect">
                      <a:avLst/>
                    </a:prstGeom>
                    <a:noFill/>
                  </pic:spPr>
                </pic:pic>
              </a:graphicData>
            </a:graphic>
          </wp:inline>
        </w:drawing>
      </w:r>
      <w:r w:rsidRPr="00E9637D">
        <w:rPr>
          <w:rFonts w:cs="Arial"/>
          <w:noProof/>
          <w:szCs w:val="18"/>
          <w:lang w:val="it-IT" w:eastAsia="it-IT"/>
        </w:rPr>
        <w:drawing>
          <wp:inline distT="0" distB="0" distL="0" distR="0">
            <wp:extent cx="1896551" cy="1440000"/>
            <wp:effectExtent l="0" t="0" r="8890" b="8255"/>
            <wp:docPr id="204353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551" cy="1440000"/>
                    </a:xfrm>
                    <a:prstGeom prst="rect">
                      <a:avLst/>
                    </a:prstGeom>
                    <a:noFill/>
                  </pic:spPr>
                </pic:pic>
              </a:graphicData>
            </a:graphic>
          </wp:inline>
        </w:drawing>
      </w:r>
    </w:p>
    <w:p w:rsidR="007C136B" w:rsidRPr="007C136B" w:rsidRDefault="007C136B" w:rsidP="007C136B">
      <w:pPr>
        <w:keepNext/>
        <w:rPr>
          <w:rFonts w:cs="Arial"/>
          <w:b/>
          <w:bCs/>
          <w:szCs w:val="18"/>
          <w:lang w:val="en-US"/>
        </w:rPr>
      </w:pPr>
      <w:r w:rsidRPr="007C136B">
        <w:rPr>
          <w:rFonts w:cs="Arial"/>
          <w:b/>
          <w:szCs w:val="18"/>
          <w:lang w:val="en-US"/>
        </w:rPr>
        <w:t>(a)                                                        (b)</w:t>
      </w:r>
      <w:r w:rsidRPr="007C136B">
        <w:rPr>
          <w:rFonts w:cs="Arial"/>
          <w:b/>
          <w:szCs w:val="18"/>
          <w:lang w:val="en-US"/>
        </w:rPr>
        <w:tab/>
      </w:r>
      <w:r w:rsidRPr="007C136B">
        <w:rPr>
          <w:rFonts w:cs="Arial"/>
          <w:b/>
          <w:szCs w:val="18"/>
          <w:lang w:val="en-US"/>
        </w:rPr>
        <w:tab/>
      </w:r>
    </w:p>
    <w:p w:rsidR="007C136B" w:rsidRPr="007C136B" w:rsidRDefault="007C136B" w:rsidP="007C136B">
      <w:pPr>
        <w:jc w:val="left"/>
        <w:rPr>
          <w:rFonts w:cs="Arial"/>
          <w:b/>
          <w:bCs/>
          <w:szCs w:val="18"/>
          <w:lang w:val="en-US"/>
        </w:rPr>
      </w:pPr>
      <w:r w:rsidRPr="00E9637D">
        <w:rPr>
          <w:noProof/>
          <w:lang w:val="it-IT" w:eastAsia="it-IT"/>
        </w:rPr>
        <w:drawing>
          <wp:inline distT="0" distB="0" distL="0" distR="0">
            <wp:extent cx="1846231" cy="1440180"/>
            <wp:effectExtent l="0" t="0" r="1905" b="7620"/>
            <wp:docPr id="132335815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2175" cy="1444817"/>
                    </a:xfrm>
                    <a:prstGeom prst="rect">
                      <a:avLst/>
                    </a:prstGeom>
                    <a:noFill/>
                  </pic:spPr>
                </pic:pic>
              </a:graphicData>
            </a:graphic>
          </wp:inline>
        </w:drawing>
      </w:r>
    </w:p>
    <w:p w:rsidR="007C136B" w:rsidRPr="007C136B" w:rsidRDefault="007C136B" w:rsidP="007C136B">
      <w:pPr>
        <w:jc w:val="left"/>
        <w:rPr>
          <w:rFonts w:cs="Arial"/>
          <w:b/>
          <w:bCs/>
          <w:szCs w:val="18"/>
          <w:lang w:val="en-US"/>
        </w:rPr>
      </w:pPr>
      <w:r w:rsidRPr="007C136B">
        <w:rPr>
          <w:rFonts w:cs="Arial"/>
          <w:b/>
          <w:bCs/>
          <w:szCs w:val="18"/>
          <w:lang w:val="en-US"/>
        </w:rPr>
        <w:t>(c)</w:t>
      </w:r>
    </w:p>
    <w:p w:rsidR="007C136B" w:rsidRPr="007C136B" w:rsidRDefault="007C136B" w:rsidP="007C136B">
      <w:pPr>
        <w:pStyle w:val="CETCaption"/>
        <w:rPr>
          <w:rFonts w:cs="Arial"/>
          <w:bCs/>
          <w:szCs w:val="18"/>
          <w:lang w:val="en-US"/>
        </w:rPr>
      </w:pPr>
      <w:r w:rsidRPr="007C136B">
        <w:rPr>
          <w:rFonts w:cs="Arial"/>
          <w:bCs/>
          <w:szCs w:val="18"/>
          <w:lang w:val="en-US"/>
        </w:rPr>
        <w:t xml:space="preserve">Figure </w:t>
      </w:r>
      <w:r w:rsidR="00672D0B" w:rsidRPr="007C136B">
        <w:rPr>
          <w:rFonts w:cs="Arial"/>
          <w:bCs/>
          <w:szCs w:val="18"/>
          <w:lang w:val="en-US"/>
        </w:rPr>
        <w:fldChar w:fldCharType="begin"/>
      </w:r>
      <w:r w:rsidRPr="007C136B">
        <w:rPr>
          <w:rFonts w:cs="Arial"/>
          <w:bCs/>
          <w:szCs w:val="18"/>
          <w:lang w:val="en-US"/>
        </w:rPr>
        <w:instrText xml:space="preserve"> SEQ Figure \* ARABIC </w:instrText>
      </w:r>
      <w:r w:rsidR="00672D0B" w:rsidRPr="007C136B">
        <w:rPr>
          <w:rFonts w:cs="Arial"/>
          <w:bCs/>
          <w:szCs w:val="18"/>
          <w:lang w:val="en-US"/>
        </w:rPr>
        <w:fldChar w:fldCharType="separate"/>
      </w:r>
      <w:r w:rsidRPr="007C136B">
        <w:rPr>
          <w:rFonts w:cs="Arial"/>
          <w:bCs/>
          <w:szCs w:val="18"/>
          <w:lang w:val="en-US"/>
        </w:rPr>
        <w:t>2</w:t>
      </w:r>
      <w:r w:rsidR="00672D0B" w:rsidRPr="007C136B">
        <w:rPr>
          <w:rFonts w:cs="Arial"/>
          <w:bCs/>
          <w:szCs w:val="18"/>
          <w:lang w:val="en-US"/>
        </w:rPr>
        <w:fldChar w:fldCharType="end"/>
      </w:r>
      <w:r w:rsidRPr="007C136B">
        <w:rPr>
          <w:rFonts w:cs="Arial"/>
          <w:bCs/>
          <w:szCs w:val="18"/>
          <w:lang w:val="en-US"/>
        </w:rPr>
        <w:t>. SEM images of pure 20wt% CA membranes (a), 30wt% Fe-N-TiO</w:t>
      </w:r>
      <w:r w:rsidRPr="006A7312">
        <w:rPr>
          <w:rFonts w:cs="Arial"/>
          <w:bCs/>
          <w:szCs w:val="18"/>
          <w:vertAlign w:val="subscript"/>
          <w:lang w:val="en-US"/>
        </w:rPr>
        <w:t>2</w:t>
      </w:r>
      <w:r w:rsidRPr="007C136B">
        <w:rPr>
          <w:rFonts w:cs="Arial"/>
          <w:bCs/>
          <w:szCs w:val="18"/>
          <w:lang w:val="en-US"/>
        </w:rPr>
        <w:t xml:space="preserve"> loaded CA membranes (b) and zoom of inner pores present in b (c).</w:t>
      </w:r>
    </w:p>
    <w:p w:rsidR="007C136B" w:rsidRPr="00E9637D" w:rsidRDefault="007C136B" w:rsidP="007C136B">
      <w:pPr>
        <w:rPr>
          <w:rFonts w:cs="Arial"/>
          <w:szCs w:val="18"/>
          <w:lang w:val="en-US"/>
        </w:rPr>
      </w:pPr>
      <w:r w:rsidRPr="00E9637D">
        <w:rPr>
          <w:rFonts w:cs="Arial"/>
          <w:szCs w:val="18"/>
          <w:lang w:val="en-US"/>
        </w:rPr>
        <w:t>The SEM images revealed that, unlike the pure CA membrane (represented in figure 2a) characterized by a homogenous cellular structure, the loaded membranes exhibited macro-voids upon the increase of Fe-N-TiO</w:t>
      </w:r>
      <w:r w:rsidRPr="00E9637D">
        <w:rPr>
          <w:rFonts w:cs="Arial"/>
          <w:szCs w:val="18"/>
          <w:vertAlign w:val="subscript"/>
          <w:lang w:val="en-US"/>
        </w:rPr>
        <w:t>2</w:t>
      </w:r>
      <w:r w:rsidRPr="00E9637D">
        <w:rPr>
          <w:rFonts w:cs="Arial"/>
          <w:szCs w:val="18"/>
          <w:lang w:val="en-US"/>
        </w:rPr>
        <w:t xml:space="preserve"> loading. This presence of macro-voids became noticeable as the percentage of photocatalyst relative to polymer increased up to 30wt%, forming a finger-like morphology (as shown in figure 2b). One possible explanation for this phenomenon is the thermodynamic instability occurring within the polymer-poor phase due to the introduction of TiO</w:t>
      </w:r>
      <w:r w:rsidRPr="00E9637D">
        <w:rPr>
          <w:rFonts w:cs="Arial"/>
          <w:szCs w:val="18"/>
          <w:vertAlign w:val="subscript"/>
          <w:lang w:val="en-US"/>
        </w:rPr>
        <w:t>2</w:t>
      </w:r>
      <w:r w:rsidRPr="00E9637D">
        <w:rPr>
          <w:rFonts w:cs="Arial"/>
          <w:szCs w:val="18"/>
          <w:lang w:val="en-US"/>
        </w:rPr>
        <w:t xml:space="preserve">-based nanoparticles. The photocatalytic nanoparticles acted as highly hydrophilic additives, promoting a fast L-L </w:t>
      </w:r>
      <w:proofErr w:type="spellStart"/>
      <w:r w:rsidRPr="00E9637D">
        <w:rPr>
          <w:rFonts w:cs="Arial"/>
          <w:szCs w:val="18"/>
          <w:lang w:val="en-US"/>
        </w:rPr>
        <w:t>demixing</w:t>
      </w:r>
      <w:proofErr w:type="spellEnd"/>
      <w:r w:rsidRPr="00E9637D">
        <w:rPr>
          <w:rFonts w:cs="Arial"/>
          <w:szCs w:val="18"/>
          <w:lang w:val="en-US"/>
        </w:rPr>
        <w:t xml:space="preserve"> in the starting solutions and consequently leading to the formation of macro-voids in the produced membranes (entering in the spinodal region of equilibrium diagram). </w:t>
      </w:r>
      <w:r w:rsidRPr="00E9637D">
        <w:rPr>
          <w:rFonts w:cs="Arial"/>
          <w:szCs w:val="18"/>
          <w:lang w:val="en-US"/>
        </w:rPr>
        <w:lastRenderedPageBreak/>
        <w:t>Furthermore, the inorganic particles interposed themselves among the polymer chains, enlarging the free volume fraction of the solution, that enhanced void formation (</w:t>
      </w:r>
      <w:r w:rsidR="00C80238" w:rsidRPr="00C80238">
        <w:rPr>
          <w:rFonts w:cs="Arial"/>
          <w:szCs w:val="18"/>
          <w:lang w:val="en-US"/>
        </w:rPr>
        <w:t>Guastaferro</w:t>
      </w:r>
      <w:r w:rsidR="00C80238" w:rsidRPr="00C80238">
        <w:t xml:space="preserve"> et al., 2022</w:t>
      </w:r>
      <w:r w:rsidRPr="00E9637D">
        <w:rPr>
          <w:rFonts w:cs="Arial"/>
          <w:szCs w:val="18"/>
          <w:lang w:val="en-US"/>
        </w:rPr>
        <w:t>).</w:t>
      </w:r>
    </w:p>
    <w:p w:rsidR="007C136B" w:rsidRPr="00E9637D" w:rsidRDefault="007C136B" w:rsidP="007C136B">
      <w:pPr>
        <w:rPr>
          <w:rFonts w:cs="Arial"/>
          <w:szCs w:val="18"/>
          <w:lang w:val="en-US"/>
        </w:rPr>
      </w:pPr>
      <w:r w:rsidRPr="00E9637D">
        <w:rPr>
          <w:rFonts w:cs="Arial"/>
          <w:szCs w:val="18"/>
          <w:lang w:val="en-US"/>
        </w:rPr>
        <w:t>In Figure 3 EDX maps are reported to figure out how Fe-N-TiO</w:t>
      </w:r>
      <w:r w:rsidRPr="00E9637D">
        <w:rPr>
          <w:rFonts w:cs="Arial"/>
          <w:szCs w:val="18"/>
          <w:vertAlign w:val="subscript"/>
          <w:lang w:val="en-US"/>
        </w:rPr>
        <w:t>2</w:t>
      </w:r>
      <w:r w:rsidRPr="00E9637D">
        <w:rPr>
          <w:rFonts w:cs="Arial"/>
          <w:szCs w:val="18"/>
          <w:lang w:val="en-US"/>
        </w:rPr>
        <w:t xml:space="preserve"> nanoparticles were distributed in the membranes section. </w:t>
      </w:r>
    </w:p>
    <w:p w:rsidR="007C136B" w:rsidRDefault="007C136B" w:rsidP="000F5697">
      <w:pPr>
        <w:rPr>
          <w:rFonts w:cs="Arial"/>
          <w:b/>
          <w:bCs/>
          <w:szCs w:val="18"/>
          <w:lang w:val="en-US"/>
        </w:rPr>
      </w:pPr>
      <w:r w:rsidRPr="00E9637D">
        <w:rPr>
          <w:rFonts w:cs="Arial"/>
          <w:b/>
          <w:bCs/>
          <w:noProof/>
          <w:szCs w:val="18"/>
          <w:lang w:val="it-IT" w:eastAsia="it-IT"/>
        </w:rPr>
        <w:drawing>
          <wp:inline distT="0" distB="0" distL="0" distR="0">
            <wp:extent cx="1887379" cy="1440000"/>
            <wp:effectExtent l="0" t="0" r="0" b="8255"/>
            <wp:docPr id="9528357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7379" cy="1440000"/>
                    </a:xfrm>
                    <a:prstGeom prst="rect">
                      <a:avLst/>
                    </a:prstGeom>
                    <a:noFill/>
                  </pic:spPr>
                </pic:pic>
              </a:graphicData>
            </a:graphic>
          </wp:inline>
        </w:drawing>
      </w:r>
      <w:r w:rsidRPr="00E9637D">
        <w:rPr>
          <w:rFonts w:cs="Arial"/>
          <w:b/>
          <w:bCs/>
          <w:szCs w:val="18"/>
          <w:lang w:val="en-US"/>
        </w:rPr>
        <w:t xml:space="preserve"> </w:t>
      </w:r>
      <w:r w:rsidRPr="00E9637D">
        <w:rPr>
          <w:rFonts w:cs="Arial"/>
          <w:b/>
          <w:bCs/>
          <w:noProof/>
          <w:szCs w:val="18"/>
          <w:lang w:val="it-IT" w:eastAsia="it-IT"/>
        </w:rPr>
        <w:drawing>
          <wp:inline distT="0" distB="0" distL="0" distR="0">
            <wp:extent cx="1883142" cy="1440000"/>
            <wp:effectExtent l="0" t="0" r="3175" b="8255"/>
            <wp:docPr id="143915715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3142" cy="1440000"/>
                    </a:xfrm>
                    <a:prstGeom prst="rect">
                      <a:avLst/>
                    </a:prstGeom>
                    <a:noFill/>
                  </pic:spPr>
                </pic:pic>
              </a:graphicData>
            </a:graphic>
          </wp:inline>
        </w:drawing>
      </w:r>
    </w:p>
    <w:p w:rsidR="000F5697" w:rsidRPr="007C136B" w:rsidRDefault="000F5697" w:rsidP="000F5697">
      <w:pPr>
        <w:keepNext/>
        <w:rPr>
          <w:rFonts w:cs="Arial"/>
          <w:b/>
          <w:bCs/>
          <w:szCs w:val="18"/>
          <w:lang w:val="en-US"/>
        </w:rPr>
      </w:pPr>
      <w:r w:rsidRPr="007C136B">
        <w:rPr>
          <w:rFonts w:cs="Arial"/>
          <w:b/>
          <w:szCs w:val="18"/>
          <w:lang w:val="en-US"/>
        </w:rPr>
        <w:t>(a)                                                        (b)</w:t>
      </w:r>
      <w:r w:rsidRPr="007C136B">
        <w:rPr>
          <w:rFonts w:cs="Arial"/>
          <w:b/>
          <w:szCs w:val="18"/>
          <w:lang w:val="en-US"/>
        </w:rPr>
        <w:tab/>
      </w:r>
      <w:r w:rsidRPr="007C136B">
        <w:rPr>
          <w:rFonts w:cs="Arial"/>
          <w:b/>
          <w:szCs w:val="18"/>
          <w:lang w:val="en-US"/>
        </w:rPr>
        <w:tab/>
      </w:r>
    </w:p>
    <w:p w:rsidR="007C136B" w:rsidRDefault="007C136B" w:rsidP="000F5697">
      <w:pPr>
        <w:keepNext/>
        <w:rPr>
          <w:rFonts w:cs="Arial"/>
          <w:szCs w:val="18"/>
        </w:rPr>
      </w:pPr>
      <w:r w:rsidRPr="00E9637D">
        <w:rPr>
          <w:rFonts w:cs="Arial"/>
          <w:b/>
          <w:bCs/>
          <w:noProof/>
          <w:szCs w:val="18"/>
          <w:lang w:val="it-IT" w:eastAsia="it-IT"/>
        </w:rPr>
        <w:drawing>
          <wp:inline distT="0" distB="0" distL="0" distR="0">
            <wp:extent cx="1879329" cy="1440000"/>
            <wp:effectExtent l="0" t="0" r="6985" b="8255"/>
            <wp:docPr id="65438846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9329" cy="1440000"/>
                    </a:xfrm>
                    <a:prstGeom prst="rect">
                      <a:avLst/>
                    </a:prstGeom>
                    <a:noFill/>
                  </pic:spPr>
                </pic:pic>
              </a:graphicData>
            </a:graphic>
          </wp:inline>
        </w:drawing>
      </w:r>
    </w:p>
    <w:p w:rsidR="000F5697" w:rsidRPr="007C136B" w:rsidRDefault="000F5697" w:rsidP="000F5697">
      <w:pPr>
        <w:jc w:val="left"/>
        <w:rPr>
          <w:rFonts w:cs="Arial"/>
          <w:b/>
          <w:bCs/>
          <w:szCs w:val="18"/>
          <w:lang w:val="en-US"/>
        </w:rPr>
      </w:pPr>
      <w:r w:rsidRPr="007C136B">
        <w:rPr>
          <w:rFonts w:cs="Arial"/>
          <w:b/>
          <w:bCs/>
          <w:szCs w:val="18"/>
          <w:lang w:val="en-US"/>
        </w:rPr>
        <w:t>(c)</w:t>
      </w:r>
    </w:p>
    <w:p w:rsidR="007C136B" w:rsidRPr="007C136B" w:rsidRDefault="007C136B" w:rsidP="007C136B">
      <w:pPr>
        <w:pStyle w:val="CETCaption"/>
        <w:rPr>
          <w:rFonts w:cs="Arial"/>
          <w:bCs/>
          <w:szCs w:val="18"/>
          <w:lang w:val="en-US"/>
        </w:rPr>
      </w:pPr>
      <w:r w:rsidRPr="007C136B">
        <w:rPr>
          <w:rFonts w:cs="Arial"/>
          <w:bCs/>
          <w:szCs w:val="18"/>
          <w:lang w:val="en-US"/>
        </w:rPr>
        <w:t xml:space="preserve">Figure </w:t>
      </w:r>
      <w:r w:rsidR="00672D0B" w:rsidRPr="007C136B">
        <w:rPr>
          <w:rFonts w:cs="Arial"/>
          <w:bCs/>
          <w:szCs w:val="18"/>
          <w:lang w:val="en-US"/>
        </w:rPr>
        <w:fldChar w:fldCharType="begin"/>
      </w:r>
      <w:r w:rsidRPr="007C136B">
        <w:rPr>
          <w:rFonts w:cs="Arial"/>
          <w:bCs/>
          <w:szCs w:val="18"/>
          <w:lang w:val="en-US"/>
        </w:rPr>
        <w:instrText xml:space="preserve"> SEQ Figure \* ARABIC </w:instrText>
      </w:r>
      <w:r w:rsidR="00672D0B" w:rsidRPr="007C136B">
        <w:rPr>
          <w:rFonts w:cs="Arial"/>
          <w:bCs/>
          <w:szCs w:val="18"/>
          <w:lang w:val="en-US"/>
        </w:rPr>
        <w:fldChar w:fldCharType="separate"/>
      </w:r>
      <w:r w:rsidRPr="007C136B">
        <w:rPr>
          <w:rFonts w:cs="Arial"/>
          <w:bCs/>
          <w:szCs w:val="18"/>
          <w:lang w:val="en-US"/>
        </w:rPr>
        <w:t>3</w:t>
      </w:r>
      <w:r w:rsidR="00672D0B" w:rsidRPr="007C136B">
        <w:rPr>
          <w:rFonts w:cs="Arial"/>
          <w:bCs/>
          <w:szCs w:val="18"/>
          <w:lang w:val="en-US"/>
        </w:rPr>
        <w:fldChar w:fldCharType="end"/>
      </w:r>
      <w:r w:rsidRPr="007C136B">
        <w:rPr>
          <w:rFonts w:cs="Arial"/>
          <w:bCs/>
          <w:szCs w:val="18"/>
          <w:lang w:val="en-US"/>
        </w:rPr>
        <w:t>. EDX analysis of 10wt% Fe-N-</w:t>
      </w:r>
      <w:proofErr w:type="spellStart"/>
      <w:r w:rsidRPr="007C136B">
        <w:rPr>
          <w:rFonts w:cs="Arial"/>
          <w:bCs/>
          <w:szCs w:val="18"/>
          <w:lang w:val="en-US"/>
        </w:rPr>
        <w:t>TiO</w:t>
      </w:r>
      <w:proofErr w:type="spellEnd"/>
      <w:r w:rsidR="002F3705" w:rsidRPr="002F3705">
        <w:rPr>
          <w:rFonts w:cs="Arial"/>
          <w:szCs w:val="18"/>
          <w:vertAlign w:val="subscript"/>
        </w:rPr>
        <w:t>2</w:t>
      </w:r>
      <w:r w:rsidRPr="007C136B">
        <w:rPr>
          <w:rFonts w:cs="Arial"/>
          <w:bCs/>
          <w:szCs w:val="18"/>
          <w:lang w:val="en-US"/>
        </w:rPr>
        <w:t xml:space="preserve"> loaded CA membranes (a), 20wt% Fe-N-</w:t>
      </w:r>
      <w:proofErr w:type="spellStart"/>
      <w:r w:rsidRPr="007C136B">
        <w:rPr>
          <w:rFonts w:cs="Arial"/>
          <w:bCs/>
          <w:szCs w:val="18"/>
          <w:lang w:val="en-US"/>
        </w:rPr>
        <w:t>TiO</w:t>
      </w:r>
      <w:proofErr w:type="spellEnd"/>
      <w:r w:rsidR="002F3705" w:rsidRPr="002F3705">
        <w:rPr>
          <w:rFonts w:cs="Arial"/>
          <w:szCs w:val="18"/>
          <w:vertAlign w:val="subscript"/>
        </w:rPr>
        <w:t>2</w:t>
      </w:r>
      <w:r w:rsidRPr="007C136B">
        <w:rPr>
          <w:rFonts w:cs="Arial"/>
          <w:bCs/>
          <w:szCs w:val="18"/>
          <w:lang w:val="en-US"/>
        </w:rPr>
        <w:t xml:space="preserve"> loaded CA membranes (b) and 30wt% Fe-N-</w:t>
      </w:r>
      <w:proofErr w:type="spellStart"/>
      <w:r w:rsidRPr="007C136B">
        <w:rPr>
          <w:rFonts w:cs="Arial"/>
          <w:bCs/>
          <w:szCs w:val="18"/>
          <w:lang w:val="en-US"/>
        </w:rPr>
        <w:t>TiO</w:t>
      </w:r>
      <w:proofErr w:type="spellEnd"/>
      <w:r w:rsidR="002F3705" w:rsidRPr="002F3705">
        <w:rPr>
          <w:rFonts w:cs="Arial"/>
          <w:szCs w:val="18"/>
          <w:vertAlign w:val="subscript"/>
        </w:rPr>
        <w:t>2</w:t>
      </w:r>
      <w:r w:rsidRPr="007C136B">
        <w:rPr>
          <w:rFonts w:cs="Arial"/>
          <w:bCs/>
          <w:szCs w:val="18"/>
          <w:lang w:val="en-US"/>
        </w:rPr>
        <w:t xml:space="preserve"> loaded CA membranes (c).</w:t>
      </w:r>
    </w:p>
    <w:p w:rsidR="007C136B" w:rsidRPr="00E9637D" w:rsidRDefault="007C136B" w:rsidP="007C136B">
      <w:pPr>
        <w:rPr>
          <w:rFonts w:cs="Arial"/>
          <w:szCs w:val="18"/>
          <w:lang w:val="en-US"/>
        </w:rPr>
      </w:pPr>
      <w:r w:rsidRPr="00E9637D">
        <w:rPr>
          <w:rFonts w:cs="Arial"/>
          <w:szCs w:val="18"/>
          <w:lang w:val="en-US"/>
        </w:rPr>
        <w:t xml:space="preserve">These results showed that in </w:t>
      </w:r>
      <w:hyperlink r:id="rId22" w:anchor="fig_body_display_materials-15-08894-f003" w:history="1">
        <w:r w:rsidRPr="00C479C4">
          <w:t>Figure 3</w:t>
        </w:r>
      </w:hyperlink>
      <w:r w:rsidRPr="00E9637D">
        <w:rPr>
          <w:rFonts w:cs="Arial"/>
          <w:szCs w:val="18"/>
          <w:lang w:val="en-US"/>
        </w:rPr>
        <w:t>a (10wt% Fe-N-TiO</w:t>
      </w:r>
      <w:r w:rsidRPr="00C479C4">
        <w:rPr>
          <w:rFonts w:cs="Arial"/>
          <w:szCs w:val="18"/>
          <w:vertAlign w:val="subscript"/>
          <w:lang w:val="en-US"/>
        </w:rPr>
        <w:t>2</w:t>
      </w:r>
      <w:r w:rsidR="00520BE2">
        <w:rPr>
          <w:rFonts w:cs="Arial"/>
          <w:szCs w:val="18"/>
          <w:lang w:val="en-US"/>
        </w:rPr>
        <w:t>/</w:t>
      </w:r>
      <w:r w:rsidRPr="00E9637D">
        <w:rPr>
          <w:rFonts w:cs="Arial"/>
          <w:szCs w:val="18"/>
          <w:lang w:val="en-US"/>
        </w:rPr>
        <w:t>CA membranes), it is possible to identify only a few amounts of Ti</w:t>
      </w:r>
      <w:r w:rsidR="00D46FC0">
        <w:rPr>
          <w:rFonts w:cs="Arial"/>
          <w:szCs w:val="18"/>
          <w:lang w:val="en-US"/>
        </w:rPr>
        <w:t xml:space="preserve"> (detectable as violet spots)</w:t>
      </w:r>
      <w:r w:rsidRPr="00E9637D">
        <w:rPr>
          <w:rFonts w:cs="Arial"/>
          <w:szCs w:val="18"/>
          <w:lang w:val="en-US"/>
        </w:rPr>
        <w:t xml:space="preserve">, whereas a uniform dispersion of Fe, N and Ti elements in the entire section can be detected in </w:t>
      </w:r>
      <w:hyperlink r:id="rId23" w:anchor="fig_body_display_materials-15-08894-f003" w:history="1">
        <w:r w:rsidRPr="00C479C4">
          <w:t>Figure 3</w:t>
        </w:r>
      </w:hyperlink>
      <w:r w:rsidRPr="00E9637D">
        <w:rPr>
          <w:rFonts w:cs="Arial"/>
          <w:szCs w:val="18"/>
          <w:lang w:val="en-US"/>
        </w:rPr>
        <w:t>b (20wt% Fe-N-TiO</w:t>
      </w:r>
      <w:r w:rsidRPr="00C479C4">
        <w:rPr>
          <w:rFonts w:cs="Arial"/>
          <w:szCs w:val="18"/>
          <w:vertAlign w:val="subscript"/>
          <w:lang w:val="en-US"/>
        </w:rPr>
        <w:t>2</w:t>
      </w:r>
      <w:r w:rsidR="00520BE2">
        <w:rPr>
          <w:rFonts w:cs="Arial"/>
          <w:szCs w:val="18"/>
          <w:lang w:val="en-US"/>
        </w:rPr>
        <w:t>/</w:t>
      </w:r>
      <w:r w:rsidRPr="00E9637D">
        <w:rPr>
          <w:rFonts w:cs="Arial"/>
          <w:szCs w:val="18"/>
          <w:lang w:val="en-US"/>
        </w:rPr>
        <w:t xml:space="preserve">CA membranes). Clusters of micrometric dimensions can be observed in </w:t>
      </w:r>
      <w:hyperlink r:id="rId24" w:anchor="fig_body_display_materials-15-08894-f003" w:history="1">
        <w:r w:rsidRPr="00C479C4">
          <w:t>Figure 3</w:t>
        </w:r>
      </w:hyperlink>
      <w:r w:rsidRPr="00E9637D">
        <w:rPr>
          <w:rFonts w:cs="Arial"/>
          <w:szCs w:val="18"/>
          <w:lang w:val="en-US"/>
        </w:rPr>
        <w:t>c (30wt% Fe-N-TiO</w:t>
      </w:r>
      <w:r w:rsidRPr="00E9637D">
        <w:rPr>
          <w:rFonts w:cs="Arial"/>
          <w:szCs w:val="18"/>
          <w:vertAlign w:val="subscript"/>
          <w:lang w:val="en-US"/>
        </w:rPr>
        <w:t>2</w:t>
      </w:r>
      <w:r w:rsidR="00520BE2">
        <w:rPr>
          <w:rFonts w:cs="Arial"/>
          <w:szCs w:val="18"/>
          <w:lang w:val="en-US"/>
        </w:rPr>
        <w:t>/</w:t>
      </w:r>
      <w:r w:rsidRPr="00E9637D">
        <w:rPr>
          <w:rFonts w:cs="Arial"/>
          <w:szCs w:val="18"/>
          <w:lang w:val="en-US"/>
        </w:rPr>
        <w:t>CA membranes).</w:t>
      </w:r>
    </w:p>
    <w:p w:rsidR="007C136B" w:rsidRPr="00E9637D" w:rsidRDefault="007C136B" w:rsidP="007C136B">
      <w:pPr>
        <w:rPr>
          <w:rFonts w:cs="Arial"/>
          <w:szCs w:val="18"/>
          <w:lang w:val="en-US"/>
        </w:rPr>
      </w:pPr>
      <w:r w:rsidRPr="00E9637D">
        <w:rPr>
          <w:rFonts w:cs="Arial"/>
          <w:szCs w:val="18"/>
          <w:lang w:val="en-US"/>
        </w:rPr>
        <w:t>Figure 4 shows the curves related to CFX adsorption using Fe-N-TiO</w:t>
      </w:r>
      <w:r w:rsidRPr="00B2305E">
        <w:rPr>
          <w:rFonts w:cs="Arial"/>
          <w:szCs w:val="18"/>
          <w:vertAlign w:val="subscript"/>
          <w:lang w:val="en-US"/>
        </w:rPr>
        <w:t>2</w:t>
      </w:r>
      <w:r w:rsidR="0064119D">
        <w:rPr>
          <w:rFonts w:cs="Arial"/>
          <w:szCs w:val="18"/>
          <w:lang w:val="en-US"/>
        </w:rPr>
        <w:t>/</w:t>
      </w:r>
      <w:r w:rsidRPr="00E9637D">
        <w:rPr>
          <w:rFonts w:cs="Arial"/>
          <w:szCs w:val="18"/>
          <w:lang w:val="en-US"/>
        </w:rPr>
        <w:t>CA-based membranes</w:t>
      </w:r>
      <w:r w:rsidR="00EA051D">
        <w:rPr>
          <w:rFonts w:cs="Arial"/>
          <w:szCs w:val="18"/>
          <w:lang w:val="en-US"/>
        </w:rPr>
        <w:t xml:space="preserve">; </w:t>
      </w:r>
      <w:r w:rsidR="00F461C6">
        <w:rPr>
          <w:rFonts w:cs="Arial"/>
          <w:szCs w:val="18"/>
          <w:lang w:val="en-US"/>
        </w:rPr>
        <w:t>th</w:t>
      </w:r>
      <w:r w:rsidRPr="00E9637D">
        <w:rPr>
          <w:rFonts w:cs="Arial"/>
          <w:szCs w:val="18"/>
          <w:lang w:val="en-US"/>
        </w:rPr>
        <w:t xml:space="preserve">e </w:t>
      </w:r>
      <w:r w:rsidR="00F461C6">
        <w:rPr>
          <w:rFonts w:cs="Arial"/>
          <w:szCs w:val="18"/>
          <w:lang w:val="en-US"/>
        </w:rPr>
        <w:t xml:space="preserve">adsorption </w:t>
      </w:r>
      <w:r w:rsidRPr="00E9637D">
        <w:rPr>
          <w:rFonts w:cs="Arial"/>
          <w:szCs w:val="18"/>
          <w:lang w:val="en-US"/>
        </w:rPr>
        <w:t>test</w:t>
      </w:r>
      <w:r w:rsidR="00F461C6">
        <w:rPr>
          <w:rFonts w:cs="Arial"/>
          <w:szCs w:val="18"/>
          <w:lang w:val="en-US"/>
        </w:rPr>
        <w:t>s</w:t>
      </w:r>
      <w:r w:rsidRPr="00E9637D">
        <w:rPr>
          <w:rFonts w:cs="Arial"/>
          <w:szCs w:val="18"/>
          <w:lang w:val="en-US"/>
        </w:rPr>
        <w:t xml:space="preserve"> were carried out either in the absence of light (Figure 4a) and after</w:t>
      </w:r>
      <w:r w:rsidR="0064119D">
        <w:rPr>
          <w:rFonts w:cs="Arial"/>
          <w:szCs w:val="18"/>
          <w:lang w:val="en-US"/>
        </w:rPr>
        <w:t xml:space="preserve"> </w:t>
      </w:r>
      <w:r w:rsidRPr="00E9637D">
        <w:rPr>
          <w:rFonts w:cs="Arial"/>
          <w:szCs w:val="18"/>
          <w:lang w:val="en-US"/>
        </w:rPr>
        <w:t>light exposure</w:t>
      </w:r>
      <w:r w:rsidR="0064119D">
        <w:rPr>
          <w:rFonts w:cs="Arial"/>
          <w:szCs w:val="18"/>
          <w:lang w:val="en-US"/>
        </w:rPr>
        <w:t xml:space="preserve"> with a wavelength value ranging from 400 up to 700 nm as reported in Section 2</w:t>
      </w:r>
      <w:r w:rsidRPr="00E9637D">
        <w:rPr>
          <w:rFonts w:cs="Arial"/>
          <w:szCs w:val="18"/>
          <w:lang w:val="en-US"/>
        </w:rPr>
        <w:t xml:space="preserve"> (Figure 4b).</w:t>
      </w:r>
    </w:p>
    <w:p w:rsidR="007C136B" w:rsidRPr="00E9637D" w:rsidRDefault="007C136B" w:rsidP="000F5697">
      <w:pPr>
        <w:keepNext/>
        <w:jc w:val="left"/>
        <w:rPr>
          <w:rFonts w:cs="Arial"/>
          <w:szCs w:val="18"/>
        </w:rPr>
      </w:pPr>
      <w:r w:rsidRPr="00E9637D">
        <w:rPr>
          <w:rFonts w:cs="Arial"/>
          <w:szCs w:val="18"/>
          <w:lang w:val="en-US"/>
        </w:rPr>
        <w:t xml:space="preserve"> </w:t>
      </w:r>
      <w:r w:rsidRPr="00E9637D">
        <w:rPr>
          <w:rFonts w:cs="Arial"/>
          <w:noProof/>
          <w:szCs w:val="18"/>
          <w:lang w:val="it-IT" w:eastAsia="it-IT"/>
        </w:rPr>
        <w:drawing>
          <wp:inline distT="0" distB="0" distL="0" distR="0">
            <wp:extent cx="2119395" cy="2160000"/>
            <wp:effectExtent l="0" t="0" r="0" b="0"/>
            <wp:docPr id="123581019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9395" cy="2160000"/>
                    </a:xfrm>
                    <a:prstGeom prst="rect">
                      <a:avLst/>
                    </a:prstGeom>
                    <a:noFill/>
                  </pic:spPr>
                </pic:pic>
              </a:graphicData>
            </a:graphic>
          </wp:inline>
        </w:drawing>
      </w:r>
      <w:r w:rsidRPr="00E9637D">
        <w:rPr>
          <w:rFonts w:cs="Arial"/>
          <w:szCs w:val="18"/>
        </w:rPr>
        <w:t xml:space="preserve">  </w:t>
      </w:r>
      <w:r w:rsidRPr="00E9637D">
        <w:rPr>
          <w:rFonts w:cs="Arial"/>
          <w:noProof/>
          <w:szCs w:val="18"/>
          <w:lang w:val="it-IT" w:eastAsia="it-IT"/>
        </w:rPr>
        <w:drawing>
          <wp:inline distT="0" distB="0" distL="0" distR="0">
            <wp:extent cx="2111089" cy="2160000"/>
            <wp:effectExtent l="0" t="0" r="3810" b="0"/>
            <wp:docPr id="114959814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1089" cy="2160000"/>
                    </a:xfrm>
                    <a:prstGeom prst="rect">
                      <a:avLst/>
                    </a:prstGeom>
                    <a:noFill/>
                  </pic:spPr>
                </pic:pic>
              </a:graphicData>
            </a:graphic>
          </wp:inline>
        </w:drawing>
      </w:r>
    </w:p>
    <w:p w:rsidR="007C136B" w:rsidRPr="000F5697" w:rsidRDefault="000F5697" w:rsidP="000F5697">
      <w:pPr>
        <w:tabs>
          <w:tab w:val="clear" w:pos="7100"/>
        </w:tabs>
        <w:spacing w:after="160" w:line="259" w:lineRule="auto"/>
        <w:jc w:val="left"/>
        <w:rPr>
          <w:rFonts w:cs="Arial"/>
          <w:b/>
          <w:szCs w:val="18"/>
        </w:rPr>
      </w:pPr>
      <w:r w:rsidRPr="000F5697">
        <w:rPr>
          <w:rFonts w:cs="Arial"/>
          <w:b/>
          <w:szCs w:val="18"/>
        </w:rPr>
        <w:t>(a)</w:t>
      </w:r>
      <w:r w:rsidR="007C136B" w:rsidRPr="000F5697">
        <w:rPr>
          <w:rFonts w:cs="Arial"/>
          <w:b/>
          <w:szCs w:val="18"/>
        </w:rPr>
        <w:tab/>
      </w:r>
      <w:r w:rsidR="007C136B" w:rsidRPr="000F5697">
        <w:rPr>
          <w:rFonts w:cs="Arial"/>
          <w:b/>
          <w:szCs w:val="18"/>
        </w:rPr>
        <w:tab/>
      </w:r>
      <w:r w:rsidR="007C136B" w:rsidRPr="000F5697">
        <w:rPr>
          <w:rFonts w:cs="Arial"/>
          <w:b/>
          <w:szCs w:val="18"/>
        </w:rPr>
        <w:tab/>
      </w:r>
      <w:r w:rsidR="007C136B" w:rsidRPr="000F5697">
        <w:rPr>
          <w:rFonts w:cs="Arial"/>
          <w:b/>
          <w:szCs w:val="18"/>
        </w:rPr>
        <w:tab/>
      </w:r>
      <w:r w:rsidR="007C136B" w:rsidRPr="000F5697">
        <w:rPr>
          <w:rFonts w:cs="Arial"/>
          <w:b/>
          <w:szCs w:val="18"/>
        </w:rPr>
        <w:tab/>
      </w:r>
      <w:r>
        <w:rPr>
          <w:rFonts w:cs="Arial"/>
          <w:b/>
          <w:szCs w:val="18"/>
        </w:rPr>
        <w:t xml:space="preserve">  </w:t>
      </w:r>
      <w:r w:rsidR="007C136B" w:rsidRPr="000F5697">
        <w:rPr>
          <w:rFonts w:cs="Arial"/>
          <w:b/>
          <w:szCs w:val="18"/>
        </w:rPr>
        <w:t xml:space="preserve"> (b)</w:t>
      </w:r>
    </w:p>
    <w:p w:rsidR="007C136B" w:rsidRPr="007C136B" w:rsidRDefault="007C136B" w:rsidP="007C136B">
      <w:pPr>
        <w:pStyle w:val="CETCaption"/>
        <w:rPr>
          <w:rFonts w:cs="Arial"/>
          <w:bCs/>
          <w:szCs w:val="18"/>
          <w:lang w:val="en-US"/>
        </w:rPr>
      </w:pPr>
      <w:r w:rsidRPr="007C136B">
        <w:rPr>
          <w:rFonts w:cs="Arial"/>
          <w:bCs/>
          <w:szCs w:val="18"/>
          <w:lang w:val="en-US"/>
        </w:rPr>
        <w:t xml:space="preserve">Figure </w:t>
      </w:r>
      <w:r w:rsidR="00672D0B" w:rsidRPr="007C136B">
        <w:rPr>
          <w:rFonts w:cs="Arial"/>
          <w:bCs/>
          <w:szCs w:val="18"/>
          <w:lang w:val="en-US"/>
        </w:rPr>
        <w:fldChar w:fldCharType="begin"/>
      </w:r>
      <w:r w:rsidRPr="007C136B">
        <w:rPr>
          <w:rFonts w:cs="Arial"/>
          <w:bCs/>
          <w:szCs w:val="18"/>
          <w:lang w:val="en-US"/>
        </w:rPr>
        <w:instrText xml:space="preserve"> SEQ Figure \* ARABIC </w:instrText>
      </w:r>
      <w:r w:rsidR="00672D0B" w:rsidRPr="007C136B">
        <w:rPr>
          <w:rFonts w:cs="Arial"/>
          <w:bCs/>
          <w:szCs w:val="18"/>
          <w:lang w:val="en-US"/>
        </w:rPr>
        <w:fldChar w:fldCharType="separate"/>
      </w:r>
      <w:r w:rsidRPr="007C136B">
        <w:rPr>
          <w:rFonts w:cs="Arial"/>
          <w:bCs/>
          <w:szCs w:val="18"/>
          <w:lang w:val="en-US"/>
        </w:rPr>
        <w:t>4</w:t>
      </w:r>
      <w:r w:rsidR="00672D0B" w:rsidRPr="007C136B">
        <w:rPr>
          <w:rFonts w:cs="Arial"/>
          <w:bCs/>
          <w:szCs w:val="18"/>
          <w:lang w:val="en-US"/>
        </w:rPr>
        <w:fldChar w:fldCharType="end"/>
      </w:r>
      <w:r w:rsidRPr="007C136B">
        <w:rPr>
          <w:rFonts w:cs="Arial"/>
          <w:bCs/>
          <w:szCs w:val="18"/>
          <w:lang w:val="en-US"/>
        </w:rPr>
        <w:t>. Adsorption curves of CFX related to 20wt% Fe-N-</w:t>
      </w:r>
      <w:proofErr w:type="spellStart"/>
      <w:r w:rsidRPr="007C136B">
        <w:rPr>
          <w:rFonts w:cs="Arial"/>
          <w:bCs/>
          <w:szCs w:val="18"/>
          <w:lang w:val="en-US"/>
        </w:rPr>
        <w:t>TiO</w:t>
      </w:r>
      <w:proofErr w:type="spellEnd"/>
      <w:r w:rsidR="002F3705" w:rsidRPr="002F3705">
        <w:rPr>
          <w:rFonts w:cs="Arial"/>
          <w:szCs w:val="18"/>
          <w:vertAlign w:val="subscript"/>
        </w:rPr>
        <w:t>2</w:t>
      </w:r>
      <w:r w:rsidRPr="007C136B">
        <w:rPr>
          <w:rFonts w:cs="Arial"/>
          <w:bCs/>
          <w:szCs w:val="18"/>
          <w:lang w:val="en-US"/>
        </w:rPr>
        <w:t xml:space="preserve"> loaded CA membranes in dark conditions (a) and after Vis light exposure (b).</w:t>
      </w:r>
    </w:p>
    <w:p w:rsidR="007C136B" w:rsidRPr="007C136B" w:rsidRDefault="007C136B" w:rsidP="007C136B">
      <w:pPr>
        <w:pStyle w:val="Didascalia"/>
        <w:rPr>
          <w:rFonts w:cs="Arial"/>
          <w:b w:val="0"/>
          <w:i/>
          <w:iCs/>
          <w:color w:val="auto"/>
          <w:lang w:val="en-US"/>
        </w:rPr>
      </w:pPr>
      <w:r w:rsidRPr="007C136B">
        <w:rPr>
          <w:rFonts w:cs="Arial"/>
          <w:b w:val="0"/>
          <w:color w:val="auto"/>
          <w:lang w:val="en-US"/>
        </w:rPr>
        <w:lastRenderedPageBreak/>
        <w:t xml:space="preserve">Figure 4a showed that the removal efficiency of CFX </w:t>
      </w:r>
      <w:r w:rsidR="0064119D">
        <w:rPr>
          <w:rFonts w:cs="Arial"/>
          <w:b w:val="0"/>
          <w:color w:val="auto"/>
          <w:lang w:val="en-US"/>
        </w:rPr>
        <w:t>was</w:t>
      </w:r>
      <w:r w:rsidRPr="007C136B">
        <w:rPr>
          <w:rFonts w:cs="Arial"/>
          <w:b w:val="0"/>
          <w:color w:val="auto"/>
          <w:lang w:val="en-US"/>
        </w:rPr>
        <w:t xml:space="preserve"> low when adsorption tests were carried out in the absence of light. However, 20wt% Fe-N-TiO</w:t>
      </w:r>
      <w:r w:rsidRPr="007C136B">
        <w:rPr>
          <w:rFonts w:cs="Arial"/>
          <w:b w:val="0"/>
          <w:color w:val="auto"/>
          <w:vertAlign w:val="subscript"/>
          <w:lang w:val="en-US"/>
        </w:rPr>
        <w:t>2</w:t>
      </w:r>
      <w:r w:rsidR="00D45A0E">
        <w:rPr>
          <w:rFonts w:cs="Arial"/>
          <w:b w:val="0"/>
          <w:color w:val="auto"/>
          <w:lang w:val="en-US"/>
        </w:rPr>
        <w:t>/</w:t>
      </w:r>
      <w:r w:rsidRPr="007C136B">
        <w:rPr>
          <w:rFonts w:cs="Arial"/>
          <w:b w:val="0"/>
          <w:color w:val="auto"/>
          <w:lang w:val="en-US"/>
        </w:rPr>
        <w:t>CA membrane exhibits higher adsorption rates compared to 10wt% and 30wt% Fe-N-</w:t>
      </w:r>
      <w:proofErr w:type="spellStart"/>
      <w:r w:rsidRPr="007C136B">
        <w:rPr>
          <w:rFonts w:cs="Arial"/>
          <w:b w:val="0"/>
          <w:color w:val="auto"/>
          <w:lang w:val="en-US"/>
        </w:rPr>
        <w:t>TiO</w:t>
      </w:r>
      <w:proofErr w:type="spellEnd"/>
      <w:r w:rsidR="002F3705" w:rsidRPr="00563CAC">
        <w:rPr>
          <w:rFonts w:cs="Arial"/>
          <w:color w:val="auto"/>
          <w:vertAlign w:val="subscript"/>
        </w:rPr>
        <w:t>2</w:t>
      </w:r>
      <w:r w:rsidR="00D45A0E">
        <w:rPr>
          <w:rFonts w:cs="Arial"/>
          <w:b w:val="0"/>
          <w:color w:val="auto"/>
          <w:lang w:val="en-US"/>
        </w:rPr>
        <w:t>/</w:t>
      </w:r>
      <w:r w:rsidRPr="007C136B">
        <w:rPr>
          <w:rFonts w:cs="Arial"/>
          <w:b w:val="0"/>
          <w:color w:val="auto"/>
          <w:lang w:val="en-US"/>
        </w:rPr>
        <w:t>CA membranes. This result could be possibly attributed to a better and more uniform dispersion of the nanometer-scale photocatalyst</w:t>
      </w:r>
      <w:r w:rsidR="009B7E08">
        <w:rPr>
          <w:rFonts w:cs="Arial"/>
          <w:b w:val="0"/>
          <w:color w:val="auto"/>
          <w:lang w:val="en-US"/>
        </w:rPr>
        <w:t xml:space="preserve"> (i.e., Fe-N-TiO</w:t>
      </w:r>
      <w:r w:rsidR="00672D0B" w:rsidRPr="00672D0B">
        <w:rPr>
          <w:rFonts w:cs="Arial"/>
          <w:b w:val="0"/>
          <w:color w:val="auto"/>
          <w:vertAlign w:val="subscript"/>
          <w:lang w:val="en-US"/>
        </w:rPr>
        <w:t>2</w:t>
      </w:r>
      <w:r w:rsidR="009B7E08">
        <w:rPr>
          <w:rFonts w:cs="Arial"/>
          <w:b w:val="0"/>
          <w:color w:val="auto"/>
          <w:lang w:val="en-US"/>
        </w:rPr>
        <w:t>)</w:t>
      </w:r>
      <w:r w:rsidRPr="007C136B">
        <w:rPr>
          <w:rFonts w:cs="Arial"/>
          <w:b w:val="0"/>
          <w:color w:val="auto"/>
          <w:lang w:val="en-US"/>
        </w:rPr>
        <w:t>. This dispersion was also confirmed by EDX maps (Figure 3b). Indeed, improved dispersion tends to enhance the membrane's hydrophilic properties, thereby enhancing wettability and facilitating the diffusion of CFX within the porous structure until it reaches the active sites of Fe-N-TiO</w:t>
      </w:r>
      <w:r w:rsidRPr="007C136B">
        <w:rPr>
          <w:rFonts w:cs="Arial"/>
          <w:b w:val="0"/>
          <w:color w:val="auto"/>
          <w:vertAlign w:val="subscript"/>
          <w:lang w:val="en-US"/>
        </w:rPr>
        <w:t>2</w:t>
      </w:r>
      <w:r w:rsidRPr="007C136B">
        <w:rPr>
          <w:rFonts w:cs="Arial"/>
          <w:b w:val="0"/>
          <w:color w:val="auto"/>
          <w:lang w:val="en-US"/>
        </w:rPr>
        <w:t xml:space="preserve">. </w:t>
      </w:r>
      <w:r w:rsidR="00D45A0E">
        <w:rPr>
          <w:rFonts w:cs="Arial"/>
          <w:b w:val="0"/>
          <w:color w:val="auto"/>
          <w:lang w:val="en-US"/>
        </w:rPr>
        <w:t>T</w:t>
      </w:r>
      <w:r w:rsidRPr="007C136B">
        <w:rPr>
          <w:rFonts w:cs="Arial"/>
          <w:b w:val="0"/>
          <w:color w:val="auto"/>
          <w:lang w:val="en-US"/>
        </w:rPr>
        <w:t>he membranes showed higher efficiency upon light exposure (Figure 4b), excluding 30wt% Fe-N-TiO</w:t>
      </w:r>
      <w:r w:rsidRPr="007C136B">
        <w:rPr>
          <w:rFonts w:cs="Arial"/>
          <w:b w:val="0"/>
          <w:color w:val="auto"/>
          <w:vertAlign w:val="subscript"/>
          <w:lang w:val="en-US"/>
        </w:rPr>
        <w:t>2</w:t>
      </w:r>
      <w:r w:rsidR="00D45A0E">
        <w:rPr>
          <w:rFonts w:cs="Arial"/>
          <w:b w:val="0"/>
          <w:color w:val="auto"/>
          <w:lang w:val="en-US"/>
        </w:rPr>
        <w:t>/</w:t>
      </w:r>
      <w:r w:rsidRPr="007C136B">
        <w:rPr>
          <w:rFonts w:cs="Arial"/>
          <w:b w:val="0"/>
          <w:color w:val="auto"/>
          <w:lang w:val="en-US"/>
        </w:rPr>
        <w:t xml:space="preserve">CA membranes. This result could be explained considering clusters formation (Figure 3c), that reduced the number of available active sites due to a reduced catalyst specific surface area. </w:t>
      </w:r>
    </w:p>
    <w:p w:rsidR="007C136B" w:rsidRPr="00E9637D" w:rsidRDefault="007C136B" w:rsidP="007C136B">
      <w:pPr>
        <w:rPr>
          <w:rFonts w:cs="Arial"/>
          <w:szCs w:val="18"/>
          <w:lang w:val="en-US"/>
        </w:rPr>
      </w:pPr>
      <w:r w:rsidRPr="007C136B">
        <w:rPr>
          <w:rFonts w:cs="Arial"/>
          <w:szCs w:val="18"/>
          <w:lang w:val="en-US"/>
        </w:rPr>
        <w:t>Figure</w:t>
      </w:r>
      <w:r w:rsidRPr="00E9637D">
        <w:rPr>
          <w:rFonts w:cs="Arial"/>
          <w:szCs w:val="18"/>
          <w:lang w:val="en-US"/>
        </w:rPr>
        <w:t xml:space="preserve"> 5 reports the last three cycles of </w:t>
      </w:r>
      <w:r w:rsidR="00866301">
        <w:rPr>
          <w:rFonts w:cs="Arial"/>
          <w:szCs w:val="18"/>
          <w:lang w:val="en-US"/>
        </w:rPr>
        <w:t xml:space="preserve">reusability test </w:t>
      </w:r>
      <w:r w:rsidR="001B4436">
        <w:rPr>
          <w:rFonts w:cs="Arial"/>
          <w:szCs w:val="18"/>
          <w:lang w:val="en-US"/>
        </w:rPr>
        <w:t xml:space="preserve">using </w:t>
      </w:r>
      <w:r w:rsidR="001B4436" w:rsidRPr="00E9637D">
        <w:rPr>
          <w:rFonts w:cs="Arial"/>
          <w:szCs w:val="18"/>
          <w:lang w:val="en-US"/>
        </w:rPr>
        <w:t>20wt% Fe-N-TiO</w:t>
      </w:r>
      <w:r w:rsidR="001B4436" w:rsidRPr="00E9637D">
        <w:rPr>
          <w:rFonts w:cs="Arial"/>
          <w:szCs w:val="18"/>
          <w:vertAlign w:val="subscript"/>
          <w:lang w:val="en-US"/>
        </w:rPr>
        <w:t>2</w:t>
      </w:r>
      <w:r w:rsidR="001B4436">
        <w:rPr>
          <w:rFonts w:cs="Arial"/>
          <w:szCs w:val="18"/>
          <w:lang w:val="en-US"/>
        </w:rPr>
        <w:t>/</w:t>
      </w:r>
      <w:r w:rsidR="001B4436" w:rsidRPr="00E9637D">
        <w:rPr>
          <w:rFonts w:cs="Arial"/>
          <w:szCs w:val="18"/>
          <w:lang w:val="en-US"/>
        </w:rPr>
        <w:t xml:space="preserve">CA membrane </w:t>
      </w:r>
      <w:r w:rsidR="001B4436">
        <w:rPr>
          <w:rFonts w:cs="Arial"/>
          <w:szCs w:val="18"/>
          <w:lang w:val="en-US"/>
        </w:rPr>
        <w:t xml:space="preserve">to continue the </w:t>
      </w:r>
      <w:r w:rsidRPr="00E9637D">
        <w:rPr>
          <w:rFonts w:cs="Arial"/>
          <w:szCs w:val="18"/>
          <w:lang w:val="en-US"/>
        </w:rPr>
        <w:t>CFX adsorption upon light exposure on the same membrane.</w:t>
      </w:r>
    </w:p>
    <w:p w:rsidR="007C136B" w:rsidRPr="00E9637D" w:rsidRDefault="007C136B" w:rsidP="007C136B">
      <w:pPr>
        <w:keepNext/>
        <w:jc w:val="center"/>
        <w:rPr>
          <w:rFonts w:cs="Arial"/>
          <w:szCs w:val="18"/>
          <w:lang w:val="en-US"/>
        </w:rPr>
      </w:pPr>
    </w:p>
    <w:p w:rsidR="007C136B" w:rsidRPr="00E9637D" w:rsidRDefault="00672D0B" w:rsidP="00351157">
      <w:pPr>
        <w:keepNext/>
        <w:jc w:val="left"/>
        <w:rPr>
          <w:rFonts w:cs="Arial"/>
          <w:szCs w:val="18"/>
        </w:rPr>
      </w:pPr>
      <w:r w:rsidRPr="00672D0B">
        <w:rPr>
          <w:rFonts w:cs="Arial"/>
          <w:noProof/>
          <w:szCs w:val="18"/>
        </w:rPr>
      </w:r>
      <w:r>
        <w:rPr>
          <w:rFonts w:cs="Arial"/>
          <w:noProof/>
          <w:szCs w:val="18"/>
        </w:rPr>
        <w:pict>
          <v:group id="Gruppo 6" o:spid="_x0000_s2050" style="width:232.7pt;height:231.6pt;mso-position-horizontal-relative:char;mso-position-vertical-relative:line" coordorigin="30566,19583" coordsize="29554,29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2053" type="#_x0000_t75" alt="Immagine che contiene grafico&#10;&#10;Descrizione generata automaticamente" style="position:absolute;left:31320;top:19583;width:28800;height:29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">
              <v:imagedata r:id="rId27" o:title="Immagine che contiene grafico&#10;&#10;Descrizione generata automaticamente" croptop="7996f" cropbottom="24510f" cropleft="6386f" cropright="13225f"/>
            </v:shape>
            <v:shapetype id="_x0000_t202" coordsize="21600,21600" o:spt="202" path="m,l,21600r21600,l21600,xe">
              <v:stroke joinstyle="miter"/>
              <v:path gradientshapeok="t" o:connecttype="rect"/>
            </v:shapetype>
            <v:shape id="CasellaDiTesto 4" o:spid="_x0000_s2052" type="#_x0000_t202" style="position:absolute;left:39959;top:46525;width:18719;height:2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" fillcolor="white [3212]" stroked="f">
              <v:textbox style="mso-fit-shape-to-text:t">
                <w:txbxContent>
                  <w:p w:rsidR="00016C64" w:rsidRDefault="00016C64" w:rsidP="00016C64">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 xml:space="preserve">Reusability cycles </w:t>
                    </w:r>
                  </w:p>
                </w:txbxContent>
              </v:textbox>
            </v:shape>
            <v:shape id="CasellaDiTesto 5" o:spid="_x0000_s2051" type="#_x0000_t202" style="position:absolute;left:24543;top:29543;width:14871;height:282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" fillcolor="white [3212]" stroked="f">
              <v:textbox style="mso-fit-shape-to-text:t">
                <w:txbxContent>
                  <w:p w:rsidR="00016C64" w:rsidRDefault="00016C64" w:rsidP="00016C64">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CFX removal, mg</w:t>
                    </w:r>
                    <w:r>
                      <w:rPr>
                        <w:rFonts w:asciiTheme="minorHAnsi" w:hAnsi="Calibri" w:cstheme="minorBidi"/>
                        <w:b/>
                        <w:bCs/>
                        <w:color w:val="000000" w:themeColor="text1"/>
                        <w:kern w:val="24"/>
                        <w:position w:val="-6"/>
                        <w:vertAlign w:val="subscript"/>
                      </w:rPr>
                      <w:t>CFX</w:t>
                    </w:r>
                    <w:r>
                      <w:rPr>
                        <w:rFonts w:asciiTheme="minorHAnsi" w:hAnsi="Calibri" w:cstheme="minorBidi"/>
                        <w:b/>
                        <w:bCs/>
                        <w:color w:val="000000" w:themeColor="text1"/>
                        <w:kern w:val="24"/>
                      </w:rPr>
                      <w:t>/g</w:t>
                    </w:r>
                    <w:r>
                      <w:rPr>
                        <w:rFonts w:asciiTheme="minorHAnsi" w:hAnsi="Calibri" w:cstheme="minorBidi"/>
                        <w:b/>
                        <w:bCs/>
                        <w:color w:val="000000" w:themeColor="text1"/>
                        <w:kern w:val="24"/>
                        <w:position w:val="-6"/>
                        <w:vertAlign w:val="subscript"/>
                      </w:rPr>
                      <w:t>memb</w:t>
                    </w:r>
                  </w:p>
                </w:txbxContent>
              </v:textbox>
            </v:shape>
            <w10:wrap type="none"/>
            <w10:anchorlock/>
          </v:group>
        </w:pict>
      </w:r>
    </w:p>
    <w:p w:rsidR="007C136B" w:rsidRPr="007C136B" w:rsidRDefault="007C136B" w:rsidP="007C136B">
      <w:pPr>
        <w:pStyle w:val="CETCaption"/>
        <w:rPr>
          <w:rFonts w:cs="Arial"/>
          <w:bCs/>
          <w:szCs w:val="18"/>
          <w:lang w:val="en-US"/>
        </w:rPr>
      </w:pPr>
      <w:r w:rsidRPr="007C136B">
        <w:rPr>
          <w:rFonts w:cs="Arial"/>
          <w:bCs/>
          <w:szCs w:val="18"/>
          <w:lang w:val="en-US"/>
        </w:rPr>
        <w:t xml:space="preserve">Figure </w:t>
      </w:r>
      <w:r w:rsidR="00672D0B" w:rsidRPr="007C136B">
        <w:rPr>
          <w:rFonts w:cs="Arial"/>
          <w:bCs/>
          <w:szCs w:val="18"/>
          <w:lang w:val="en-US"/>
        </w:rPr>
        <w:fldChar w:fldCharType="begin"/>
      </w:r>
      <w:r w:rsidRPr="007C136B">
        <w:rPr>
          <w:rFonts w:cs="Arial"/>
          <w:bCs/>
          <w:szCs w:val="18"/>
          <w:lang w:val="en-US"/>
        </w:rPr>
        <w:instrText xml:space="preserve"> SEQ Figure \* ARABIC </w:instrText>
      </w:r>
      <w:r w:rsidR="00672D0B" w:rsidRPr="007C136B">
        <w:rPr>
          <w:rFonts w:cs="Arial"/>
          <w:bCs/>
          <w:szCs w:val="18"/>
          <w:lang w:val="en-US"/>
        </w:rPr>
        <w:fldChar w:fldCharType="separate"/>
      </w:r>
      <w:r w:rsidRPr="007C136B">
        <w:rPr>
          <w:rFonts w:cs="Arial"/>
          <w:bCs/>
          <w:szCs w:val="18"/>
          <w:lang w:val="en-US"/>
        </w:rPr>
        <w:t>5</w:t>
      </w:r>
      <w:r w:rsidR="00672D0B" w:rsidRPr="007C136B">
        <w:rPr>
          <w:rFonts w:cs="Arial"/>
          <w:bCs/>
          <w:szCs w:val="18"/>
          <w:lang w:val="en-US"/>
        </w:rPr>
        <w:fldChar w:fldCharType="end"/>
      </w:r>
      <w:r w:rsidRPr="007C136B">
        <w:rPr>
          <w:rFonts w:cs="Arial"/>
          <w:bCs/>
          <w:szCs w:val="18"/>
          <w:lang w:val="en-US"/>
        </w:rPr>
        <w:t>. Reusability test (up to five adsorption cycles) of 20wt% Fe-N-</w:t>
      </w:r>
      <w:proofErr w:type="spellStart"/>
      <w:r w:rsidRPr="007C136B">
        <w:rPr>
          <w:rFonts w:cs="Arial"/>
          <w:bCs/>
          <w:szCs w:val="18"/>
          <w:lang w:val="en-US"/>
        </w:rPr>
        <w:t>TiO</w:t>
      </w:r>
      <w:proofErr w:type="spellEnd"/>
      <w:r w:rsidR="002F3705" w:rsidRPr="002F3705">
        <w:rPr>
          <w:rFonts w:cs="Arial"/>
          <w:szCs w:val="18"/>
          <w:vertAlign w:val="subscript"/>
        </w:rPr>
        <w:t>2</w:t>
      </w:r>
      <w:r w:rsidRPr="007C136B">
        <w:rPr>
          <w:rFonts w:cs="Arial"/>
          <w:bCs/>
          <w:szCs w:val="18"/>
          <w:lang w:val="en-US"/>
        </w:rPr>
        <w:t xml:space="preserve"> loaded CA membranes.</w:t>
      </w:r>
    </w:p>
    <w:p w:rsidR="007C136B" w:rsidRDefault="007C136B" w:rsidP="007C136B">
      <w:pPr>
        <w:rPr>
          <w:rFonts w:cs="Arial"/>
          <w:szCs w:val="18"/>
          <w:lang w:val="en-US"/>
        </w:rPr>
      </w:pPr>
      <w:r w:rsidRPr="00E9637D">
        <w:rPr>
          <w:rFonts w:cs="Arial"/>
          <w:szCs w:val="18"/>
          <w:lang w:val="en-US"/>
        </w:rPr>
        <w:t>After five consecutive cycles in the presence of visible light, the membrane continued to adsorb CFX. This result underlines that CA-loaded membranes continued its catalytic activity even after several photodegradative tests: adsorption kinetics related to the four regeneration cycles show mostly the same trend as the kinetics of the first photocatalytic test, demonstrating that the membrane is able to degrade the adsorbed CFX in an efficient manner even for repeated cycles; Moreover, due to the visible light irradiation, the membrane showed a good regeneration capacity at each cycle. This result showed that the photocatalytic oxidation process was able to degrade the adsorbed CFX molecules, preserving, at the same time, the original efficiency of the membrane.</w:t>
      </w:r>
    </w:p>
    <w:p w:rsidR="007C136B" w:rsidRPr="00B57B36" w:rsidRDefault="007C136B" w:rsidP="007C136B">
      <w:pPr>
        <w:pStyle w:val="CETHeading1"/>
        <w:numPr>
          <w:ilvl w:val="0"/>
          <w:numId w:val="0"/>
        </w:numPr>
        <w:rPr>
          <w:lang w:val="en-GB"/>
        </w:rPr>
      </w:pPr>
      <w:r>
        <w:rPr>
          <w:lang w:val="en-GB"/>
        </w:rPr>
        <w:t>4. Conclusions</w:t>
      </w:r>
    </w:p>
    <w:p w:rsidR="000F5697" w:rsidRPr="00541970" w:rsidRDefault="001B4436" w:rsidP="000F5697">
      <w:pPr>
        <w:rPr>
          <w:rFonts w:cs="Arial"/>
          <w:szCs w:val="18"/>
        </w:rPr>
      </w:pPr>
      <w:r>
        <w:rPr>
          <w:rFonts w:cs="Arial"/>
          <w:szCs w:val="18"/>
        </w:rPr>
        <w:t>T</w:t>
      </w:r>
      <w:r w:rsidR="000F5697" w:rsidRPr="00541970">
        <w:rPr>
          <w:rFonts w:cs="Arial"/>
          <w:szCs w:val="18"/>
        </w:rPr>
        <w:t>he membrane loaded with 20% by weight of Fe-N-TiO</w:t>
      </w:r>
      <w:r w:rsidR="000F5697" w:rsidRPr="00541970">
        <w:rPr>
          <w:rFonts w:cs="Arial"/>
          <w:szCs w:val="18"/>
          <w:vertAlign w:val="subscript"/>
        </w:rPr>
        <w:t>2</w:t>
      </w:r>
      <w:r w:rsidR="000F5697" w:rsidRPr="00541970">
        <w:rPr>
          <w:rFonts w:cs="Arial"/>
          <w:szCs w:val="18"/>
        </w:rPr>
        <w:t xml:space="preserve"> allowed a degradation of the model pollutant of 35% in 180 minutes; moreover, the reusability of the membranes was verified. The photocatalytic tests showed that the photocatalytic efficiency was highly correlated to the dispersion of the photocatalyst nanoparticles and to its loading in the polymeric membranes.</w:t>
      </w:r>
      <w:r w:rsidR="00563CAC">
        <w:rPr>
          <w:rFonts w:cs="Arial"/>
          <w:szCs w:val="18"/>
        </w:rPr>
        <w:t xml:space="preserve"> In next future, new experiments will be performed to find the key parameters to increase the degradation of the pollutant and other pollutants will be tested with this system.</w:t>
      </w:r>
    </w:p>
    <w:p w:rsidR="007C136B" w:rsidRPr="000F5697" w:rsidRDefault="007C136B" w:rsidP="007C136B">
      <w:pPr>
        <w:rPr>
          <w:rFonts w:cs="Arial"/>
          <w:szCs w:val="18"/>
        </w:rPr>
      </w:pPr>
    </w:p>
    <w:p w:rsidR="00600535" w:rsidRPr="00B57B36" w:rsidRDefault="00600535" w:rsidP="00600535">
      <w:pPr>
        <w:pStyle w:val="CETReference"/>
      </w:pPr>
      <w:r w:rsidRPr="00B57B36">
        <w:t>References</w:t>
      </w:r>
    </w:p>
    <w:p w:rsidR="00553C55" w:rsidRDefault="00553C55" w:rsidP="006B4888">
      <w:pPr>
        <w:pStyle w:val="CETReferencetext"/>
        <w:rPr>
          <w:lang w:val="en-US"/>
        </w:rPr>
      </w:pPr>
      <w:proofErr w:type="spellStart"/>
      <w:r w:rsidRPr="00553C55">
        <w:rPr>
          <w:lang w:val="en-US"/>
        </w:rPr>
        <w:t>Aljawrneh</w:t>
      </w:r>
      <w:proofErr w:type="spellEnd"/>
      <w:r w:rsidRPr="00553C55">
        <w:rPr>
          <w:lang w:val="en-US"/>
        </w:rPr>
        <w:t xml:space="preserve"> B., Alsaad A., </w:t>
      </w:r>
      <w:proofErr w:type="spellStart"/>
      <w:r w:rsidRPr="00553C55">
        <w:rPr>
          <w:lang w:val="en-US"/>
        </w:rPr>
        <w:t>Albiss</w:t>
      </w:r>
      <w:proofErr w:type="spellEnd"/>
      <w:r w:rsidRPr="00553C55">
        <w:rPr>
          <w:lang w:val="en-US"/>
        </w:rPr>
        <w:t xml:space="preserve"> B., </w:t>
      </w:r>
      <w:proofErr w:type="spellStart"/>
      <w:r w:rsidRPr="00553C55">
        <w:rPr>
          <w:lang w:val="en-US"/>
        </w:rPr>
        <w:t>Alrousan</w:t>
      </w:r>
      <w:proofErr w:type="spellEnd"/>
      <w:r w:rsidRPr="00553C55">
        <w:rPr>
          <w:lang w:val="en-US"/>
        </w:rPr>
        <w:t xml:space="preserve"> S., </w:t>
      </w:r>
      <w:proofErr w:type="spellStart"/>
      <w:r w:rsidRPr="00553C55">
        <w:rPr>
          <w:lang w:val="en-US"/>
        </w:rPr>
        <w:t>Alshanableh</w:t>
      </w:r>
      <w:proofErr w:type="spellEnd"/>
      <w:r w:rsidRPr="00553C55">
        <w:rPr>
          <w:lang w:val="en-US"/>
        </w:rPr>
        <w:t xml:space="preserve"> A.</w:t>
      </w:r>
      <w:r>
        <w:rPr>
          <w:lang w:val="en-US"/>
        </w:rPr>
        <w:t>,</w:t>
      </w:r>
      <w:r w:rsidRPr="00553C55">
        <w:rPr>
          <w:lang w:val="en-US"/>
        </w:rPr>
        <w:t xml:space="preserve"> Mutlaq S.</w:t>
      </w:r>
      <w:r>
        <w:rPr>
          <w:lang w:val="en-US"/>
        </w:rPr>
        <w:t xml:space="preserve">, 2022, </w:t>
      </w:r>
      <w:r w:rsidRPr="00553C55">
        <w:rPr>
          <w:lang w:val="en-US"/>
        </w:rPr>
        <w:t>Cellulose acetate membranes treated with titanium dioxide and cerium dioxide nanoparticles and their nanocomposites for enhanced photocatalytic degradation activity of methylene blue</w:t>
      </w:r>
      <w:r>
        <w:rPr>
          <w:lang w:val="en-US"/>
        </w:rPr>
        <w:t xml:space="preserve">, </w:t>
      </w:r>
      <w:r w:rsidRPr="00553C55">
        <w:rPr>
          <w:lang w:val="en-US"/>
        </w:rPr>
        <w:t>Journal of Materials Science: Materials in Electronics</w:t>
      </w:r>
      <w:r>
        <w:rPr>
          <w:lang w:val="en-US"/>
        </w:rPr>
        <w:t xml:space="preserve">, </w:t>
      </w:r>
      <w:r w:rsidRPr="00553C55">
        <w:rPr>
          <w:lang w:val="en-US"/>
        </w:rPr>
        <w:t>33, 11420–11433</w:t>
      </w:r>
      <w:r>
        <w:rPr>
          <w:lang w:val="en-US"/>
        </w:rPr>
        <w:t>.</w:t>
      </w:r>
    </w:p>
    <w:p w:rsidR="00B513C1" w:rsidRDefault="00B513C1" w:rsidP="006B4888">
      <w:pPr>
        <w:pStyle w:val="CETReferencetext"/>
        <w:rPr>
          <w:lang w:val="en-US"/>
        </w:rPr>
      </w:pPr>
      <w:r w:rsidRPr="00B513C1">
        <w:rPr>
          <w:lang w:val="en-US"/>
        </w:rPr>
        <w:lastRenderedPageBreak/>
        <w:t>Baldino L., Gonzalez-</w:t>
      </w:r>
      <w:proofErr w:type="spellStart"/>
      <w:r w:rsidRPr="00B513C1">
        <w:rPr>
          <w:lang w:val="en-US"/>
        </w:rPr>
        <w:t>Garcinuno</w:t>
      </w:r>
      <w:proofErr w:type="spellEnd"/>
      <w:r w:rsidRPr="00B513C1">
        <w:rPr>
          <w:lang w:val="en-US"/>
        </w:rPr>
        <w:t xml:space="preserve"> A., Tabernero A., Cardea S., Martin Del Valle E., Reverchon E., 2023, Production of Cellulose Acetate Membranes Loaded with Quercetin by Supercritical CO</w:t>
      </w:r>
      <w:r w:rsidRPr="00B513C1">
        <w:rPr>
          <w:vertAlign w:val="subscript"/>
          <w:lang w:val="en-US"/>
        </w:rPr>
        <w:t xml:space="preserve">2 </w:t>
      </w:r>
      <w:r w:rsidRPr="00B513C1">
        <w:rPr>
          <w:lang w:val="en-US"/>
        </w:rPr>
        <w:t>Phase Inversion</w:t>
      </w:r>
      <w:r>
        <w:rPr>
          <w:lang w:val="en-US"/>
        </w:rPr>
        <w:t xml:space="preserve">, </w:t>
      </w:r>
      <w:r w:rsidRPr="00B513C1">
        <w:rPr>
          <w:lang w:val="en-US"/>
        </w:rPr>
        <w:t>Chemical Engineering Transactions</w:t>
      </w:r>
      <w:r>
        <w:rPr>
          <w:lang w:val="en-US"/>
        </w:rPr>
        <w:t>, 100, 475-480.</w:t>
      </w:r>
    </w:p>
    <w:p w:rsidR="00B513C1" w:rsidRPr="00B513C1" w:rsidRDefault="005A3DE4" w:rsidP="006B4888">
      <w:pPr>
        <w:pStyle w:val="CETReferencetext"/>
        <w:rPr>
          <w:lang w:val="en-US"/>
        </w:rPr>
      </w:pPr>
      <w:r w:rsidRPr="00B513C1">
        <w:rPr>
          <w:lang w:val="en-US"/>
        </w:rPr>
        <w:t>Cardea S.,</w:t>
      </w:r>
      <w:r w:rsidRPr="005A3DE4">
        <w:rPr>
          <w:lang w:val="en-US"/>
        </w:rPr>
        <w:t xml:space="preserve"> </w:t>
      </w:r>
      <w:r w:rsidRPr="00B513C1">
        <w:rPr>
          <w:lang w:val="en-US"/>
        </w:rPr>
        <w:t>Baldino L.,</w:t>
      </w:r>
      <w:r w:rsidRPr="005A3DE4">
        <w:rPr>
          <w:lang w:val="en-US"/>
        </w:rPr>
        <w:t xml:space="preserve"> </w:t>
      </w:r>
      <w:r w:rsidRPr="00B513C1">
        <w:rPr>
          <w:lang w:val="en-US"/>
        </w:rPr>
        <w:t xml:space="preserve">Reverchon E., </w:t>
      </w:r>
      <w:r>
        <w:rPr>
          <w:lang w:val="en-US"/>
        </w:rPr>
        <w:t>2019</w:t>
      </w:r>
      <w:r w:rsidRPr="00B513C1">
        <w:rPr>
          <w:lang w:val="en-US"/>
        </w:rPr>
        <w:t>,</w:t>
      </w:r>
      <w:r>
        <w:rPr>
          <w:lang w:val="en-US"/>
        </w:rPr>
        <w:t xml:space="preserve"> </w:t>
      </w:r>
      <w:r w:rsidRPr="005A3DE4">
        <w:rPr>
          <w:lang w:val="en-US"/>
        </w:rPr>
        <w:t>Production of PVDF-HFP Nanostructured Membranes for Water Purification by Supercritical Phase Inversion</w:t>
      </w:r>
      <w:r>
        <w:rPr>
          <w:lang w:val="en-US"/>
        </w:rPr>
        <w:t xml:space="preserve">, </w:t>
      </w:r>
      <w:r w:rsidRPr="00B513C1">
        <w:rPr>
          <w:lang w:val="en-US"/>
        </w:rPr>
        <w:t>Chemical Engineering Transactions</w:t>
      </w:r>
      <w:r>
        <w:rPr>
          <w:lang w:val="en-US"/>
        </w:rPr>
        <w:t xml:space="preserve">, 73, </w:t>
      </w:r>
      <w:r w:rsidR="006C117E">
        <w:rPr>
          <w:lang w:val="en-US"/>
        </w:rPr>
        <w:t>1-6</w:t>
      </w:r>
      <w:r>
        <w:rPr>
          <w:lang w:val="en-US"/>
        </w:rPr>
        <w:t>.</w:t>
      </w:r>
    </w:p>
    <w:p w:rsidR="00E3401E" w:rsidRDefault="00E3401E" w:rsidP="006B4888">
      <w:pPr>
        <w:pStyle w:val="CETReferencetext"/>
        <w:rPr>
          <w:lang w:val="en-US"/>
        </w:rPr>
      </w:pPr>
      <w:r w:rsidRPr="006B22C6">
        <w:rPr>
          <w:lang w:val="en-US"/>
        </w:rPr>
        <w:t>El-Gendi A., Abdallah H., Amin A., Amin S. K., 2017,</w:t>
      </w:r>
      <w:r w:rsidR="006B22C6" w:rsidRPr="006B22C6">
        <w:rPr>
          <w:lang w:val="en-US"/>
        </w:rPr>
        <w:t xml:space="preserve"> Investigation of polyvinylchloride and cellulose acetate blend membranes for desalination</w:t>
      </w:r>
      <w:r w:rsidR="006B22C6">
        <w:rPr>
          <w:lang w:val="en-US"/>
        </w:rPr>
        <w:t xml:space="preserve">, </w:t>
      </w:r>
      <w:r w:rsidR="006B22C6" w:rsidRPr="006B22C6">
        <w:rPr>
          <w:lang w:val="en-US"/>
        </w:rPr>
        <w:t>Journal of Molecular Structure</w:t>
      </w:r>
      <w:r w:rsidR="006B22C6">
        <w:rPr>
          <w:lang w:val="en-US"/>
        </w:rPr>
        <w:t xml:space="preserve">, </w:t>
      </w:r>
      <w:r w:rsidR="006B22C6" w:rsidRPr="006B22C6">
        <w:rPr>
          <w:lang w:val="en-US"/>
        </w:rPr>
        <w:t>1146, 14-22</w:t>
      </w:r>
      <w:r w:rsidR="006B22C6">
        <w:rPr>
          <w:lang w:val="en-US"/>
        </w:rPr>
        <w:t>.</w:t>
      </w:r>
    </w:p>
    <w:p w:rsidR="000944BB" w:rsidRPr="000944BB" w:rsidRDefault="000944BB" w:rsidP="000944BB">
      <w:pPr>
        <w:pStyle w:val="CETReferencetext"/>
        <w:rPr>
          <w:lang w:val="en-US"/>
        </w:rPr>
      </w:pPr>
      <w:r w:rsidRPr="000944BB">
        <w:rPr>
          <w:lang w:val="en-US"/>
        </w:rPr>
        <w:t>Guastaferro M., Baldino L., Vaiano V., Cardea S., Reverchon E.,</w:t>
      </w:r>
      <w:r w:rsidRPr="000944BB">
        <w:t xml:space="preserve"> </w:t>
      </w:r>
      <w:r>
        <w:t xml:space="preserve">2022, </w:t>
      </w:r>
      <w:r w:rsidRPr="000944BB">
        <w:rPr>
          <w:lang w:val="en-US"/>
        </w:rPr>
        <w:t>Supercritical Phase Inversion to Produce Photocatalytic Active PVDF-coHFP_TiO</w:t>
      </w:r>
      <w:r w:rsidRPr="006248C2">
        <w:rPr>
          <w:vertAlign w:val="subscript"/>
          <w:lang w:val="en-US"/>
        </w:rPr>
        <w:t>2</w:t>
      </w:r>
      <w:r w:rsidRPr="000944BB">
        <w:rPr>
          <w:lang w:val="en-US"/>
        </w:rPr>
        <w:t xml:space="preserve"> Composites for the Degradation of Sudan Blue II Dye</w:t>
      </w:r>
      <w:r>
        <w:rPr>
          <w:lang w:val="en-US"/>
        </w:rPr>
        <w:t xml:space="preserve">, </w:t>
      </w:r>
      <w:r w:rsidRPr="000944BB">
        <w:rPr>
          <w:lang w:val="en-US"/>
        </w:rPr>
        <w:t>Materials, 15(24), 8894</w:t>
      </w:r>
      <w:r>
        <w:rPr>
          <w:lang w:val="en-US"/>
        </w:rPr>
        <w:t>-8909.</w:t>
      </w:r>
    </w:p>
    <w:p w:rsidR="00A47320" w:rsidRPr="00A47320" w:rsidRDefault="00A47320" w:rsidP="006B4888">
      <w:pPr>
        <w:pStyle w:val="CETReferencetext"/>
        <w:rPr>
          <w:lang w:val="en-US"/>
        </w:rPr>
      </w:pPr>
      <w:r w:rsidRPr="00A47320">
        <w:rPr>
          <w:lang w:val="en-US"/>
        </w:rPr>
        <w:t xml:space="preserve">Mousa S. A., Abdallah </w:t>
      </w:r>
      <w:r>
        <w:rPr>
          <w:lang w:val="en-US"/>
        </w:rPr>
        <w:t xml:space="preserve">H., </w:t>
      </w:r>
      <w:r w:rsidRPr="00A47320">
        <w:rPr>
          <w:lang w:val="en-US"/>
        </w:rPr>
        <w:t xml:space="preserve">Khairy </w:t>
      </w:r>
      <w:r>
        <w:rPr>
          <w:lang w:val="en-US"/>
        </w:rPr>
        <w:t>S</w:t>
      </w:r>
      <w:r w:rsidRPr="00A47320">
        <w:rPr>
          <w:lang w:val="en-US"/>
        </w:rPr>
        <w:t>. A.</w:t>
      </w:r>
      <w:r>
        <w:rPr>
          <w:lang w:val="en-US"/>
        </w:rPr>
        <w:t xml:space="preserve">, 2023, </w:t>
      </w:r>
      <w:r w:rsidR="00B73270" w:rsidRPr="00B73270">
        <w:rPr>
          <w:lang w:val="en-US"/>
        </w:rPr>
        <w:t xml:space="preserve">Low-cost photocatalytic membrane modified with green </w:t>
      </w:r>
      <w:proofErr w:type="spellStart"/>
      <w:r w:rsidR="00B73270" w:rsidRPr="00B73270">
        <w:rPr>
          <w:lang w:val="en-US"/>
        </w:rPr>
        <w:t>heterojunction</w:t>
      </w:r>
      <w:proofErr w:type="spellEnd"/>
      <w:r w:rsidR="00B73270" w:rsidRPr="00B73270">
        <w:rPr>
          <w:lang w:val="en-US"/>
        </w:rPr>
        <w:t xml:space="preserve"> TiO</w:t>
      </w:r>
      <w:r w:rsidR="00B73270" w:rsidRPr="00B73270">
        <w:rPr>
          <w:vertAlign w:val="subscript"/>
          <w:lang w:val="en-US"/>
        </w:rPr>
        <w:t>2</w:t>
      </w:r>
      <w:r w:rsidR="00B73270" w:rsidRPr="00B73270">
        <w:rPr>
          <w:lang w:val="en-US"/>
        </w:rPr>
        <w:t>/</w:t>
      </w:r>
      <w:proofErr w:type="spellStart"/>
      <w:r w:rsidR="00B73270" w:rsidRPr="00B73270">
        <w:rPr>
          <w:lang w:val="en-US"/>
        </w:rPr>
        <w:t>ZnO</w:t>
      </w:r>
      <w:proofErr w:type="spellEnd"/>
      <w:r w:rsidR="00B73270" w:rsidRPr="00B73270">
        <w:rPr>
          <w:lang w:val="en-US"/>
        </w:rPr>
        <w:t xml:space="preserve"> </w:t>
      </w:r>
      <w:proofErr w:type="spellStart"/>
      <w:r w:rsidR="00B73270" w:rsidRPr="00B73270">
        <w:rPr>
          <w:lang w:val="en-US"/>
        </w:rPr>
        <w:t>nanoparticles</w:t>
      </w:r>
      <w:proofErr w:type="spellEnd"/>
      <w:r w:rsidR="00B73270" w:rsidRPr="00B73270">
        <w:rPr>
          <w:lang w:val="en-US"/>
        </w:rPr>
        <w:t xml:space="preserve"> prepared from waste</w:t>
      </w:r>
      <w:r w:rsidR="00B73270">
        <w:rPr>
          <w:lang w:val="en-US"/>
        </w:rPr>
        <w:t xml:space="preserve">, </w:t>
      </w:r>
      <w:r w:rsidR="00B73270" w:rsidRPr="00B73270">
        <w:rPr>
          <w:lang w:val="en-US"/>
        </w:rPr>
        <w:t>Scientific Reports</w:t>
      </w:r>
      <w:r w:rsidR="00B73270">
        <w:rPr>
          <w:lang w:val="en-US"/>
        </w:rPr>
        <w:t xml:space="preserve">, </w:t>
      </w:r>
      <w:r w:rsidR="00B73270" w:rsidRPr="00B73270">
        <w:rPr>
          <w:lang w:val="en-US"/>
        </w:rPr>
        <w:t>13, 22150</w:t>
      </w:r>
      <w:r w:rsidR="00B73270">
        <w:rPr>
          <w:lang w:val="en-US"/>
        </w:rPr>
        <w:t>.</w:t>
      </w:r>
    </w:p>
    <w:p w:rsidR="005C5617" w:rsidRPr="005C5617" w:rsidRDefault="005C5617" w:rsidP="005C5617">
      <w:pPr>
        <w:pStyle w:val="CETReferencetext"/>
        <w:rPr>
          <w:lang w:val="en-US"/>
        </w:rPr>
      </w:pPr>
      <w:r w:rsidRPr="005C5617">
        <w:rPr>
          <w:lang w:val="en-US"/>
        </w:rPr>
        <w:t>Peixoto I., Faria M., Gonçalves M. C., 2020, Synthesis and Characterization of Novel Integral Asymmetric Monophasic Cellulose–Acetate/Silica/Titania and Cellulose–Acetate/Titania Membranes</w:t>
      </w:r>
      <w:r>
        <w:rPr>
          <w:lang w:val="en-US"/>
        </w:rPr>
        <w:t xml:space="preserve">, </w:t>
      </w:r>
      <w:r w:rsidRPr="005C5617">
        <w:rPr>
          <w:lang w:val="en-US"/>
        </w:rPr>
        <w:t>Membranes, 10(9), 195</w:t>
      </w:r>
      <w:r>
        <w:rPr>
          <w:lang w:val="en-US"/>
        </w:rPr>
        <w:t>-221.</w:t>
      </w:r>
    </w:p>
    <w:p w:rsidR="00C139F5" w:rsidRPr="005C5617" w:rsidRDefault="00C139F5" w:rsidP="006B4888">
      <w:pPr>
        <w:pStyle w:val="CETReferencetext"/>
        <w:rPr>
          <w:lang w:val="pt-PT"/>
        </w:rPr>
      </w:pPr>
      <w:r w:rsidRPr="005C5617">
        <w:rPr>
          <w:lang w:val="pt-PT"/>
        </w:rPr>
        <w:t>Raicopol M.D., Andronescu C., Voicu S.I., Vasile E., Pandele A.M., 2019, Cellulose acetate/layered double hydroxide adsorptive membranes for efficient removal of pharmaceutical environmental contaminants, Carbohydrate Polymers, 214, 204-212.</w:t>
      </w:r>
    </w:p>
    <w:p w:rsidR="00AE3748" w:rsidRPr="00AE3748" w:rsidRDefault="00AE3748" w:rsidP="006B4888">
      <w:pPr>
        <w:pStyle w:val="CETReferencetext"/>
        <w:rPr>
          <w:lang w:val="en-US"/>
        </w:rPr>
      </w:pPr>
      <w:r w:rsidRPr="00AE3748">
        <w:rPr>
          <w:lang w:val="en-US"/>
        </w:rPr>
        <w:t xml:space="preserve">Simone S., </w:t>
      </w:r>
      <w:proofErr w:type="spellStart"/>
      <w:r w:rsidRPr="00AE3748">
        <w:rPr>
          <w:lang w:val="en-US"/>
        </w:rPr>
        <w:t>Figoli</w:t>
      </w:r>
      <w:proofErr w:type="spellEnd"/>
      <w:r w:rsidRPr="00AE3748">
        <w:rPr>
          <w:lang w:val="en-US"/>
        </w:rPr>
        <w:t xml:space="preserve"> A., </w:t>
      </w:r>
      <w:proofErr w:type="spellStart"/>
      <w:r w:rsidRPr="00AE3748">
        <w:rPr>
          <w:lang w:val="en-US"/>
        </w:rPr>
        <w:t>Criscuoli</w:t>
      </w:r>
      <w:proofErr w:type="spellEnd"/>
      <w:r w:rsidRPr="00AE3748">
        <w:rPr>
          <w:lang w:val="en-US"/>
        </w:rPr>
        <w:t xml:space="preserve"> A., Carnevale M.C., Rosselli A., </w:t>
      </w:r>
      <w:proofErr w:type="spellStart"/>
      <w:r w:rsidRPr="00AE3748">
        <w:rPr>
          <w:lang w:val="en-US"/>
        </w:rPr>
        <w:t>Drioli</w:t>
      </w:r>
      <w:proofErr w:type="spellEnd"/>
      <w:r w:rsidRPr="00AE3748">
        <w:rPr>
          <w:lang w:val="en-US"/>
        </w:rPr>
        <w:t xml:space="preserve"> E., 2010, Preparation of hollow fibe</w:t>
      </w:r>
      <w:r>
        <w:rPr>
          <w:lang w:val="en-US"/>
        </w:rPr>
        <w:t>r</w:t>
      </w:r>
      <w:r w:rsidRPr="00AE3748">
        <w:rPr>
          <w:lang w:val="en-US"/>
        </w:rPr>
        <w:t xml:space="preserve"> membranes from PVDF/PVP blends and their application in VMD</w:t>
      </w:r>
      <w:r>
        <w:rPr>
          <w:lang w:val="en-US"/>
        </w:rPr>
        <w:t xml:space="preserve">, </w:t>
      </w:r>
      <w:r w:rsidRPr="00AE3748">
        <w:rPr>
          <w:lang w:val="en-US"/>
        </w:rPr>
        <w:t>Journal of Membrane Science</w:t>
      </w:r>
      <w:r>
        <w:rPr>
          <w:lang w:val="en-US"/>
        </w:rPr>
        <w:t xml:space="preserve">, </w:t>
      </w:r>
      <w:r w:rsidRPr="00AE3748">
        <w:rPr>
          <w:lang w:val="en-US"/>
        </w:rPr>
        <w:t>364, 219-232</w:t>
      </w:r>
      <w:r>
        <w:rPr>
          <w:lang w:val="en-US"/>
        </w:rPr>
        <w:t>.</w:t>
      </w:r>
    </w:p>
    <w:p w:rsidR="00757949" w:rsidRDefault="00757949" w:rsidP="00757949">
      <w:pPr>
        <w:pStyle w:val="CETReferencetext"/>
        <w:rPr>
          <w:lang w:val="en-US"/>
        </w:rPr>
      </w:pPr>
      <w:r w:rsidRPr="00757949">
        <w:rPr>
          <w:lang w:val="en-US"/>
        </w:rPr>
        <w:t xml:space="preserve">Wang </w:t>
      </w:r>
      <w:r>
        <w:rPr>
          <w:lang w:val="en-US"/>
        </w:rPr>
        <w:t xml:space="preserve">Y., </w:t>
      </w:r>
      <w:r w:rsidRPr="00757949">
        <w:rPr>
          <w:lang w:val="en-US"/>
        </w:rPr>
        <w:t xml:space="preserve">Wang </w:t>
      </w:r>
      <w:r>
        <w:rPr>
          <w:lang w:val="en-US"/>
        </w:rPr>
        <w:t xml:space="preserve">X., </w:t>
      </w:r>
      <w:r w:rsidRPr="00757949">
        <w:rPr>
          <w:lang w:val="en-US"/>
        </w:rPr>
        <w:t xml:space="preserve">Li </w:t>
      </w:r>
      <w:r>
        <w:rPr>
          <w:lang w:val="en-US"/>
        </w:rPr>
        <w:t xml:space="preserve">M., </w:t>
      </w:r>
      <w:r w:rsidRPr="00757949">
        <w:rPr>
          <w:lang w:val="en-US"/>
        </w:rPr>
        <w:t xml:space="preserve">Dong </w:t>
      </w:r>
      <w:r>
        <w:rPr>
          <w:lang w:val="en-US"/>
        </w:rPr>
        <w:t>J.</w:t>
      </w:r>
      <w:r w:rsidRPr="00757949">
        <w:rPr>
          <w:lang w:val="en-US"/>
        </w:rPr>
        <w:t xml:space="preserve">, Sun </w:t>
      </w:r>
      <w:r>
        <w:rPr>
          <w:lang w:val="en-US"/>
        </w:rPr>
        <w:t>C.,</w:t>
      </w:r>
      <w:r w:rsidRPr="00757949">
        <w:rPr>
          <w:lang w:val="en-US"/>
        </w:rPr>
        <w:t xml:space="preserve"> Chen </w:t>
      </w:r>
      <w:r>
        <w:rPr>
          <w:lang w:val="en-US"/>
        </w:rPr>
        <w:t xml:space="preserve">G., 2018, </w:t>
      </w:r>
      <w:r w:rsidRPr="00757949">
        <w:rPr>
          <w:lang w:val="en-US"/>
        </w:rPr>
        <w:t>Removal of Pharmaceutical and Personal Care Products (PPCPs) from Municipal Waste Water with Integrated Membrane Systems, MBR-RO/NF</w:t>
      </w:r>
      <w:r>
        <w:rPr>
          <w:lang w:val="en-US"/>
        </w:rPr>
        <w:t xml:space="preserve">, </w:t>
      </w:r>
      <w:r w:rsidRPr="00757949">
        <w:rPr>
          <w:lang w:val="en-US"/>
        </w:rPr>
        <w:t>Int. J. Environ. Res. Public Health</w:t>
      </w:r>
      <w:r>
        <w:rPr>
          <w:lang w:val="en-US"/>
        </w:rPr>
        <w:t>,</w:t>
      </w:r>
      <w:r w:rsidRPr="00757949">
        <w:rPr>
          <w:lang w:val="en-US"/>
        </w:rPr>
        <w:t xml:space="preserve"> 15(2), 269</w:t>
      </w:r>
      <w:r>
        <w:rPr>
          <w:lang w:val="en-US"/>
        </w:rPr>
        <w:t>-281.</w:t>
      </w:r>
    </w:p>
    <w:p w:rsidR="00C139F5" w:rsidRPr="00C139F5" w:rsidRDefault="00C139F5" w:rsidP="006B4888">
      <w:pPr>
        <w:pStyle w:val="CETReferencetext"/>
        <w:rPr>
          <w:lang w:val="en-US"/>
        </w:rPr>
      </w:pPr>
    </w:p>
    <w:p w:rsidR="00C139F5" w:rsidRPr="00C139F5" w:rsidRDefault="00C139F5" w:rsidP="006B4888">
      <w:pPr>
        <w:pStyle w:val="CETReferencetext"/>
        <w:rPr>
          <w:lang w:val="en-US"/>
        </w:rPr>
      </w:pPr>
    </w:p>
    <w:p w:rsidR="00C52C3C" w:rsidRDefault="00C52C3C" w:rsidP="00E65B91">
      <w:pPr>
        <w:pStyle w:val="CETReferencetext"/>
      </w:pPr>
    </w:p>
    <w:p w:rsidR="00C52C3C" w:rsidRDefault="00C52C3C" w:rsidP="00E65B91">
      <w:pPr>
        <w:pStyle w:val="CETReferencetext"/>
      </w:pPr>
    </w:p>
    <w:p w:rsidR="00C52C3C" w:rsidRDefault="00C52C3C" w:rsidP="00E65B91">
      <w:pPr>
        <w:pStyle w:val="CETReferencetext"/>
      </w:pPr>
    </w:p>
    <w:p w:rsidR="00C52C3C" w:rsidRDefault="00C52C3C" w:rsidP="00E65B91">
      <w:pPr>
        <w:pStyle w:val="CETReferencetext"/>
      </w:pPr>
    </w:p>
    <w:p w:rsidR="006B4888" w:rsidRPr="000D56D6" w:rsidRDefault="006B4888" w:rsidP="006B4888">
      <w:pPr>
        <w:pStyle w:val="CETReferencetext"/>
      </w:pPr>
    </w:p>
    <w:p w:rsidR="004628D2" w:rsidRDefault="004628D2" w:rsidP="00FA5F5F">
      <w:pPr>
        <w:pStyle w:val="CETHeading1"/>
        <w:numPr>
          <w:ilvl w:val="0"/>
          <w:numId w:val="0"/>
        </w:numPr>
      </w:pPr>
    </w:p>
    <w:sectPr w:rsidR="004628D2" w:rsidSect="00283E35">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900" w:rsidRDefault="00EC1900" w:rsidP="004F5E36">
      <w:r>
        <w:separator/>
      </w:r>
    </w:p>
  </w:endnote>
  <w:endnote w:type="continuationSeparator" w:id="0">
    <w:p w:rsidR="00EC1900" w:rsidRDefault="00EC1900"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900" w:rsidRDefault="00EC1900" w:rsidP="004F5E36">
      <w:r>
        <w:separator/>
      </w:r>
    </w:p>
  </w:footnote>
  <w:footnote w:type="continuationSeparator" w:id="0">
    <w:p w:rsidR="00EC1900" w:rsidRDefault="00EC1900" w:rsidP="004F5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6494E2E"/>
    <w:multiLevelType w:val="hybridMultilevel"/>
    <w:tmpl w:val="9FDE9AFE"/>
    <w:lvl w:ilvl="0" w:tplc="54780568">
      <w:start w:val="1"/>
      <w:numFmt w:val="lowerLetter"/>
      <w:lvlText w:val="(%1)"/>
      <w:lvlJc w:val="left"/>
      <w:pPr>
        <w:ind w:left="3312" w:hanging="360"/>
      </w:pPr>
      <w:rPr>
        <w:rFonts w:hint="default"/>
      </w:rPr>
    </w:lvl>
    <w:lvl w:ilvl="1" w:tplc="04100019" w:tentative="1">
      <w:start w:val="1"/>
      <w:numFmt w:val="lowerLetter"/>
      <w:lvlText w:val="%2."/>
      <w:lvlJc w:val="left"/>
      <w:pPr>
        <w:ind w:left="4032" w:hanging="360"/>
      </w:pPr>
    </w:lvl>
    <w:lvl w:ilvl="2" w:tplc="0410001B" w:tentative="1">
      <w:start w:val="1"/>
      <w:numFmt w:val="lowerRoman"/>
      <w:lvlText w:val="%3."/>
      <w:lvlJc w:val="right"/>
      <w:pPr>
        <w:ind w:left="4752" w:hanging="180"/>
      </w:pPr>
    </w:lvl>
    <w:lvl w:ilvl="3" w:tplc="0410000F" w:tentative="1">
      <w:start w:val="1"/>
      <w:numFmt w:val="decimal"/>
      <w:lvlText w:val="%4."/>
      <w:lvlJc w:val="left"/>
      <w:pPr>
        <w:ind w:left="5472" w:hanging="360"/>
      </w:pPr>
    </w:lvl>
    <w:lvl w:ilvl="4" w:tplc="04100019" w:tentative="1">
      <w:start w:val="1"/>
      <w:numFmt w:val="lowerLetter"/>
      <w:lvlText w:val="%5."/>
      <w:lvlJc w:val="left"/>
      <w:pPr>
        <w:ind w:left="6192" w:hanging="360"/>
      </w:pPr>
    </w:lvl>
    <w:lvl w:ilvl="5" w:tplc="0410001B" w:tentative="1">
      <w:start w:val="1"/>
      <w:numFmt w:val="lowerRoman"/>
      <w:lvlText w:val="%6."/>
      <w:lvlJc w:val="right"/>
      <w:pPr>
        <w:ind w:left="6912" w:hanging="180"/>
      </w:pPr>
    </w:lvl>
    <w:lvl w:ilvl="6" w:tplc="0410000F" w:tentative="1">
      <w:start w:val="1"/>
      <w:numFmt w:val="decimal"/>
      <w:lvlText w:val="%7."/>
      <w:lvlJc w:val="left"/>
      <w:pPr>
        <w:ind w:left="7632" w:hanging="360"/>
      </w:pPr>
    </w:lvl>
    <w:lvl w:ilvl="7" w:tplc="04100019" w:tentative="1">
      <w:start w:val="1"/>
      <w:numFmt w:val="lowerLetter"/>
      <w:lvlText w:val="%8."/>
      <w:lvlJc w:val="left"/>
      <w:pPr>
        <w:ind w:left="8352" w:hanging="360"/>
      </w:pPr>
    </w:lvl>
    <w:lvl w:ilvl="8" w:tplc="0410001B" w:tentative="1">
      <w:start w:val="1"/>
      <w:numFmt w:val="lowerRoman"/>
      <w:lvlText w:val="%9."/>
      <w:lvlJc w:val="right"/>
      <w:pPr>
        <w:ind w:left="9072" w:hanging="180"/>
      </w:pPr>
    </w:lvl>
  </w:abstractNum>
  <w:abstractNum w:abstractNumId="11">
    <w:nsid w:val="20DE295A"/>
    <w:multiLevelType w:val="hybridMultilevel"/>
    <w:tmpl w:val="13E0E9D2"/>
    <w:lvl w:ilvl="0" w:tplc="7C1005F0">
      <w:start w:val="1"/>
      <w:numFmt w:val="lowerLetter"/>
      <w:lvlText w:val="(%1)"/>
      <w:lvlJc w:val="left"/>
      <w:pPr>
        <w:ind w:left="3672" w:hanging="360"/>
      </w:pPr>
      <w:rPr>
        <w:rFonts w:hint="default"/>
      </w:rPr>
    </w:lvl>
    <w:lvl w:ilvl="1" w:tplc="04100019" w:tentative="1">
      <w:start w:val="1"/>
      <w:numFmt w:val="lowerLetter"/>
      <w:lvlText w:val="%2."/>
      <w:lvlJc w:val="left"/>
      <w:pPr>
        <w:ind w:left="4392" w:hanging="360"/>
      </w:pPr>
    </w:lvl>
    <w:lvl w:ilvl="2" w:tplc="0410001B" w:tentative="1">
      <w:start w:val="1"/>
      <w:numFmt w:val="lowerRoman"/>
      <w:lvlText w:val="%3."/>
      <w:lvlJc w:val="right"/>
      <w:pPr>
        <w:ind w:left="5112" w:hanging="180"/>
      </w:pPr>
    </w:lvl>
    <w:lvl w:ilvl="3" w:tplc="0410000F" w:tentative="1">
      <w:start w:val="1"/>
      <w:numFmt w:val="decimal"/>
      <w:lvlText w:val="%4."/>
      <w:lvlJc w:val="left"/>
      <w:pPr>
        <w:ind w:left="5832" w:hanging="360"/>
      </w:pPr>
    </w:lvl>
    <w:lvl w:ilvl="4" w:tplc="04100019" w:tentative="1">
      <w:start w:val="1"/>
      <w:numFmt w:val="lowerLetter"/>
      <w:lvlText w:val="%5."/>
      <w:lvlJc w:val="left"/>
      <w:pPr>
        <w:ind w:left="6552" w:hanging="360"/>
      </w:pPr>
    </w:lvl>
    <w:lvl w:ilvl="5" w:tplc="0410001B" w:tentative="1">
      <w:start w:val="1"/>
      <w:numFmt w:val="lowerRoman"/>
      <w:lvlText w:val="%6."/>
      <w:lvlJc w:val="right"/>
      <w:pPr>
        <w:ind w:left="7272" w:hanging="180"/>
      </w:pPr>
    </w:lvl>
    <w:lvl w:ilvl="6" w:tplc="0410000F" w:tentative="1">
      <w:start w:val="1"/>
      <w:numFmt w:val="decimal"/>
      <w:lvlText w:val="%7."/>
      <w:lvlJc w:val="left"/>
      <w:pPr>
        <w:ind w:left="7992" w:hanging="360"/>
      </w:pPr>
    </w:lvl>
    <w:lvl w:ilvl="7" w:tplc="04100019" w:tentative="1">
      <w:start w:val="1"/>
      <w:numFmt w:val="lowerLetter"/>
      <w:lvlText w:val="%8."/>
      <w:lvlJc w:val="left"/>
      <w:pPr>
        <w:ind w:left="8712" w:hanging="360"/>
      </w:pPr>
    </w:lvl>
    <w:lvl w:ilvl="8" w:tplc="0410001B" w:tentative="1">
      <w:start w:val="1"/>
      <w:numFmt w:val="lowerRoman"/>
      <w:lvlText w:val="%9."/>
      <w:lvlJc w:val="right"/>
      <w:pPr>
        <w:ind w:left="9432" w:hanging="180"/>
      </w:pPr>
    </w:lvl>
  </w:abstractNum>
  <w:abstractNum w:abstractNumId="12">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FBE7424"/>
    <w:multiLevelType w:val="hybridMultilevel"/>
    <w:tmpl w:val="3502E3EC"/>
    <w:lvl w:ilvl="0" w:tplc="7AF69388">
      <w:start w:val="1"/>
      <w:numFmt w:val="lowerLetter"/>
      <w:lvlText w:val="(%1)"/>
      <w:lvlJc w:val="left"/>
      <w:pPr>
        <w:ind w:left="3612" w:hanging="360"/>
      </w:pPr>
      <w:rPr>
        <w:rFonts w:hint="default"/>
      </w:rPr>
    </w:lvl>
    <w:lvl w:ilvl="1" w:tplc="04100019" w:tentative="1">
      <w:start w:val="1"/>
      <w:numFmt w:val="lowerLetter"/>
      <w:lvlText w:val="%2."/>
      <w:lvlJc w:val="left"/>
      <w:pPr>
        <w:ind w:left="4332" w:hanging="360"/>
      </w:pPr>
    </w:lvl>
    <w:lvl w:ilvl="2" w:tplc="0410001B" w:tentative="1">
      <w:start w:val="1"/>
      <w:numFmt w:val="lowerRoman"/>
      <w:lvlText w:val="%3."/>
      <w:lvlJc w:val="right"/>
      <w:pPr>
        <w:ind w:left="5052" w:hanging="180"/>
      </w:pPr>
    </w:lvl>
    <w:lvl w:ilvl="3" w:tplc="0410000F" w:tentative="1">
      <w:start w:val="1"/>
      <w:numFmt w:val="decimal"/>
      <w:lvlText w:val="%4."/>
      <w:lvlJc w:val="left"/>
      <w:pPr>
        <w:ind w:left="5772" w:hanging="360"/>
      </w:pPr>
    </w:lvl>
    <w:lvl w:ilvl="4" w:tplc="04100019" w:tentative="1">
      <w:start w:val="1"/>
      <w:numFmt w:val="lowerLetter"/>
      <w:lvlText w:val="%5."/>
      <w:lvlJc w:val="left"/>
      <w:pPr>
        <w:ind w:left="6492" w:hanging="360"/>
      </w:pPr>
    </w:lvl>
    <w:lvl w:ilvl="5" w:tplc="0410001B" w:tentative="1">
      <w:start w:val="1"/>
      <w:numFmt w:val="lowerRoman"/>
      <w:lvlText w:val="%6."/>
      <w:lvlJc w:val="right"/>
      <w:pPr>
        <w:ind w:left="7212" w:hanging="180"/>
      </w:pPr>
    </w:lvl>
    <w:lvl w:ilvl="6" w:tplc="0410000F" w:tentative="1">
      <w:start w:val="1"/>
      <w:numFmt w:val="decimal"/>
      <w:lvlText w:val="%7."/>
      <w:lvlJc w:val="left"/>
      <w:pPr>
        <w:ind w:left="7932" w:hanging="360"/>
      </w:pPr>
    </w:lvl>
    <w:lvl w:ilvl="7" w:tplc="04100019" w:tentative="1">
      <w:start w:val="1"/>
      <w:numFmt w:val="lowerLetter"/>
      <w:lvlText w:val="%8."/>
      <w:lvlJc w:val="left"/>
      <w:pPr>
        <w:ind w:left="8652" w:hanging="360"/>
      </w:pPr>
    </w:lvl>
    <w:lvl w:ilvl="8" w:tplc="0410001B" w:tentative="1">
      <w:start w:val="1"/>
      <w:numFmt w:val="lowerRoman"/>
      <w:lvlText w:val="%9."/>
      <w:lvlJc w:val="right"/>
      <w:pPr>
        <w:ind w:left="9372" w:hanging="180"/>
      </w:pPr>
    </w:lvl>
  </w:abstractNum>
  <w:abstractNum w:abstractNumId="18">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2686DD9"/>
    <w:multiLevelType w:val="hybridMultilevel"/>
    <w:tmpl w:val="EAA8B8F4"/>
    <w:lvl w:ilvl="0" w:tplc="FE5472DC">
      <w:start w:val="1"/>
      <w:numFmt w:val="lowerLetter"/>
      <w:lvlText w:val="(%1)"/>
      <w:lvlJc w:val="left"/>
      <w:pPr>
        <w:ind w:left="3192" w:hanging="360"/>
      </w:pPr>
      <w:rPr>
        <w:rFonts w:hint="default"/>
      </w:rPr>
    </w:lvl>
    <w:lvl w:ilvl="1" w:tplc="04100019" w:tentative="1">
      <w:start w:val="1"/>
      <w:numFmt w:val="lowerLetter"/>
      <w:lvlText w:val="%2."/>
      <w:lvlJc w:val="left"/>
      <w:pPr>
        <w:ind w:left="3912" w:hanging="360"/>
      </w:pPr>
    </w:lvl>
    <w:lvl w:ilvl="2" w:tplc="0410001B" w:tentative="1">
      <w:start w:val="1"/>
      <w:numFmt w:val="lowerRoman"/>
      <w:lvlText w:val="%3."/>
      <w:lvlJc w:val="right"/>
      <w:pPr>
        <w:ind w:left="4632" w:hanging="180"/>
      </w:pPr>
    </w:lvl>
    <w:lvl w:ilvl="3" w:tplc="0410000F" w:tentative="1">
      <w:start w:val="1"/>
      <w:numFmt w:val="decimal"/>
      <w:lvlText w:val="%4."/>
      <w:lvlJc w:val="left"/>
      <w:pPr>
        <w:ind w:left="5352" w:hanging="360"/>
      </w:pPr>
    </w:lvl>
    <w:lvl w:ilvl="4" w:tplc="04100019" w:tentative="1">
      <w:start w:val="1"/>
      <w:numFmt w:val="lowerLetter"/>
      <w:lvlText w:val="%5."/>
      <w:lvlJc w:val="left"/>
      <w:pPr>
        <w:ind w:left="6072" w:hanging="360"/>
      </w:pPr>
    </w:lvl>
    <w:lvl w:ilvl="5" w:tplc="0410001B" w:tentative="1">
      <w:start w:val="1"/>
      <w:numFmt w:val="lowerRoman"/>
      <w:lvlText w:val="%6."/>
      <w:lvlJc w:val="right"/>
      <w:pPr>
        <w:ind w:left="6792" w:hanging="180"/>
      </w:pPr>
    </w:lvl>
    <w:lvl w:ilvl="6" w:tplc="0410000F" w:tentative="1">
      <w:start w:val="1"/>
      <w:numFmt w:val="decimal"/>
      <w:lvlText w:val="%7."/>
      <w:lvlJc w:val="left"/>
      <w:pPr>
        <w:ind w:left="7512" w:hanging="360"/>
      </w:pPr>
    </w:lvl>
    <w:lvl w:ilvl="7" w:tplc="04100019" w:tentative="1">
      <w:start w:val="1"/>
      <w:numFmt w:val="lowerLetter"/>
      <w:lvlText w:val="%8."/>
      <w:lvlJc w:val="left"/>
      <w:pPr>
        <w:ind w:left="8232" w:hanging="360"/>
      </w:pPr>
    </w:lvl>
    <w:lvl w:ilvl="8" w:tplc="0410001B" w:tentative="1">
      <w:start w:val="1"/>
      <w:numFmt w:val="lowerRoman"/>
      <w:lvlText w:val="%9."/>
      <w:lvlJc w:val="right"/>
      <w:pPr>
        <w:ind w:left="8952" w:hanging="180"/>
      </w:pPr>
    </w:lvl>
  </w:abstractNum>
  <w:abstractNum w:abstractNumId="23">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4"/>
  </w:num>
  <w:num w:numId="16">
    <w:abstractNumId w:val="23"/>
  </w:num>
  <w:num w:numId="17">
    <w:abstractNumId w:val="13"/>
  </w:num>
  <w:num w:numId="18">
    <w:abstractNumId w:val="14"/>
    <w:lvlOverride w:ilvl="0">
      <w:startOverride w:val="1"/>
    </w:lvlOverride>
  </w:num>
  <w:num w:numId="19">
    <w:abstractNumId w:val="19"/>
  </w:num>
  <w:num w:numId="20">
    <w:abstractNumId w:val="18"/>
  </w:num>
  <w:num w:numId="21">
    <w:abstractNumId w:val="16"/>
  </w:num>
  <w:num w:numId="22">
    <w:abstractNumId w:val="15"/>
  </w:num>
  <w:num w:numId="23">
    <w:abstractNumId w:val="22"/>
  </w:num>
  <w:num w:numId="24">
    <w:abstractNumId w:val="17"/>
  </w:num>
  <w:num w:numId="25">
    <w:abstractNumId w:val="11"/>
  </w:num>
  <w:num w:numId="2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ngela Guastaferro">
    <w15:presenceInfo w15:providerId="AD" w15:userId="S::a058573@unipi.it::1976bad9-ba37-4ea4-a9a3-de421e7d6be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1001"/>
  <w:documentProtection w:edit="forms" w:enforcement="0"/>
  <w:styleLockTheme/>
  <w:styleLockQFSet/>
  <w:defaultTabStop w:val="708"/>
  <w:hyphenationZone w:val="283"/>
  <w:clickAndTypeStyle w:val="CETBodytext"/>
  <w:characterSpacingControl w:val="doNotCompress"/>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C64"/>
    <w:rsid w:val="0003148D"/>
    <w:rsid w:val="00031EEC"/>
    <w:rsid w:val="0003622C"/>
    <w:rsid w:val="00051566"/>
    <w:rsid w:val="00054288"/>
    <w:rsid w:val="000562A9"/>
    <w:rsid w:val="00062A9A"/>
    <w:rsid w:val="00065058"/>
    <w:rsid w:val="0008083B"/>
    <w:rsid w:val="00086C39"/>
    <w:rsid w:val="000944BB"/>
    <w:rsid w:val="000A03B2"/>
    <w:rsid w:val="000D0268"/>
    <w:rsid w:val="000D34BE"/>
    <w:rsid w:val="000E102F"/>
    <w:rsid w:val="000E36F1"/>
    <w:rsid w:val="000E3A73"/>
    <w:rsid w:val="000E414A"/>
    <w:rsid w:val="000F093C"/>
    <w:rsid w:val="000F52AB"/>
    <w:rsid w:val="000F5697"/>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93FD1"/>
    <w:rsid w:val="001A4AF7"/>
    <w:rsid w:val="001B0349"/>
    <w:rsid w:val="001B1E93"/>
    <w:rsid w:val="001B4436"/>
    <w:rsid w:val="001B65C1"/>
    <w:rsid w:val="001C684B"/>
    <w:rsid w:val="001D0CFB"/>
    <w:rsid w:val="001D21AF"/>
    <w:rsid w:val="001D32C4"/>
    <w:rsid w:val="001D53FC"/>
    <w:rsid w:val="001F42A5"/>
    <w:rsid w:val="001F7B9D"/>
    <w:rsid w:val="00201C93"/>
    <w:rsid w:val="002068F0"/>
    <w:rsid w:val="002224B4"/>
    <w:rsid w:val="002447EF"/>
    <w:rsid w:val="00251550"/>
    <w:rsid w:val="00263B05"/>
    <w:rsid w:val="0027221A"/>
    <w:rsid w:val="00275B61"/>
    <w:rsid w:val="00280FAF"/>
    <w:rsid w:val="00282377"/>
    <w:rsid w:val="00282656"/>
    <w:rsid w:val="00283E35"/>
    <w:rsid w:val="00296B83"/>
    <w:rsid w:val="002B4015"/>
    <w:rsid w:val="002B78CE"/>
    <w:rsid w:val="002C2FB6"/>
    <w:rsid w:val="002E55DE"/>
    <w:rsid w:val="002E5FA7"/>
    <w:rsid w:val="002F3309"/>
    <w:rsid w:val="002F3705"/>
    <w:rsid w:val="003008CE"/>
    <w:rsid w:val="003009B7"/>
    <w:rsid w:val="00300E56"/>
    <w:rsid w:val="0030152C"/>
    <w:rsid w:val="0030469C"/>
    <w:rsid w:val="0030555E"/>
    <w:rsid w:val="00321CA6"/>
    <w:rsid w:val="00323763"/>
    <w:rsid w:val="00323C5F"/>
    <w:rsid w:val="00334C09"/>
    <w:rsid w:val="00351157"/>
    <w:rsid w:val="003723D4"/>
    <w:rsid w:val="00381905"/>
    <w:rsid w:val="00384CC8"/>
    <w:rsid w:val="00385629"/>
    <w:rsid w:val="003871FD"/>
    <w:rsid w:val="003A1E30"/>
    <w:rsid w:val="003A2829"/>
    <w:rsid w:val="003A7D1C"/>
    <w:rsid w:val="003B304B"/>
    <w:rsid w:val="003B3146"/>
    <w:rsid w:val="003D0A91"/>
    <w:rsid w:val="003F015E"/>
    <w:rsid w:val="00400414"/>
    <w:rsid w:val="004125A7"/>
    <w:rsid w:val="0041446B"/>
    <w:rsid w:val="0044071E"/>
    <w:rsid w:val="0044329C"/>
    <w:rsid w:val="00453E24"/>
    <w:rsid w:val="00457456"/>
    <w:rsid w:val="004577FE"/>
    <w:rsid w:val="00457B9C"/>
    <w:rsid w:val="0046164A"/>
    <w:rsid w:val="004628D2"/>
    <w:rsid w:val="00462DCD"/>
    <w:rsid w:val="004646B9"/>
    <w:rsid w:val="004648AD"/>
    <w:rsid w:val="004703A9"/>
    <w:rsid w:val="004760DE"/>
    <w:rsid w:val="004763D7"/>
    <w:rsid w:val="00496C73"/>
    <w:rsid w:val="004A004E"/>
    <w:rsid w:val="004A24CF"/>
    <w:rsid w:val="004B4ADB"/>
    <w:rsid w:val="004C3D1D"/>
    <w:rsid w:val="004C3D84"/>
    <w:rsid w:val="004C7913"/>
    <w:rsid w:val="004D1D02"/>
    <w:rsid w:val="004D6957"/>
    <w:rsid w:val="004E4DD6"/>
    <w:rsid w:val="004F5E36"/>
    <w:rsid w:val="00507B47"/>
    <w:rsid w:val="00507BEF"/>
    <w:rsid w:val="00507CC9"/>
    <w:rsid w:val="005119A5"/>
    <w:rsid w:val="00520BE2"/>
    <w:rsid w:val="005278B7"/>
    <w:rsid w:val="00532016"/>
    <w:rsid w:val="005346C8"/>
    <w:rsid w:val="00541970"/>
    <w:rsid w:val="00543E7D"/>
    <w:rsid w:val="00547A68"/>
    <w:rsid w:val="005531C9"/>
    <w:rsid w:val="00553C55"/>
    <w:rsid w:val="00557E00"/>
    <w:rsid w:val="00563CAC"/>
    <w:rsid w:val="00570C43"/>
    <w:rsid w:val="005A3DE4"/>
    <w:rsid w:val="005B2110"/>
    <w:rsid w:val="005B61E6"/>
    <w:rsid w:val="005C5617"/>
    <w:rsid w:val="005C77E1"/>
    <w:rsid w:val="005D668A"/>
    <w:rsid w:val="005D6A2F"/>
    <w:rsid w:val="005E1A82"/>
    <w:rsid w:val="005E794C"/>
    <w:rsid w:val="005F0A28"/>
    <w:rsid w:val="005F0E5E"/>
    <w:rsid w:val="00600535"/>
    <w:rsid w:val="00610CD6"/>
    <w:rsid w:val="00620DEE"/>
    <w:rsid w:val="00621F92"/>
    <w:rsid w:val="0062280A"/>
    <w:rsid w:val="006248C2"/>
    <w:rsid w:val="00625639"/>
    <w:rsid w:val="00631B33"/>
    <w:rsid w:val="0064119D"/>
    <w:rsid w:val="0064184D"/>
    <w:rsid w:val="006422CC"/>
    <w:rsid w:val="00645E96"/>
    <w:rsid w:val="00660E3E"/>
    <w:rsid w:val="00662E74"/>
    <w:rsid w:val="00672D0B"/>
    <w:rsid w:val="00680C23"/>
    <w:rsid w:val="006864F9"/>
    <w:rsid w:val="00693766"/>
    <w:rsid w:val="006A3281"/>
    <w:rsid w:val="006A7312"/>
    <w:rsid w:val="006B22C6"/>
    <w:rsid w:val="006B3021"/>
    <w:rsid w:val="006B4888"/>
    <w:rsid w:val="006C117E"/>
    <w:rsid w:val="006C2E45"/>
    <w:rsid w:val="006C359C"/>
    <w:rsid w:val="006C5579"/>
    <w:rsid w:val="006D6E8B"/>
    <w:rsid w:val="006E50AD"/>
    <w:rsid w:val="006E737D"/>
    <w:rsid w:val="00707DD1"/>
    <w:rsid w:val="00713973"/>
    <w:rsid w:val="00720A24"/>
    <w:rsid w:val="00732386"/>
    <w:rsid w:val="0073514D"/>
    <w:rsid w:val="007447F3"/>
    <w:rsid w:val="0075499F"/>
    <w:rsid w:val="00757949"/>
    <w:rsid w:val="007661C8"/>
    <w:rsid w:val="0077098D"/>
    <w:rsid w:val="007931FA"/>
    <w:rsid w:val="007A4861"/>
    <w:rsid w:val="007A7BBA"/>
    <w:rsid w:val="007B0C50"/>
    <w:rsid w:val="007B48F9"/>
    <w:rsid w:val="007C136B"/>
    <w:rsid w:val="007C1A43"/>
    <w:rsid w:val="007D0951"/>
    <w:rsid w:val="007D79FE"/>
    <w:rsid w:val="007E78AF"/>
    <w:rsid w:val="0080013E"/>
    <w:rsid w:val="00813288"/>
    <w:rsid w:val="008168FC"/>
    <w:rsid w:val="00830996"/>
    <w:rsid w:val="008345F1"/>
    <w:rsid w:val="00865B07"/>
    <w:rsid w:val="00866301"/>
    <w:rsid w:val="00866691"/>
    <w:rsid w:val="008667EA"/>
    <w:rsid w:val="0087637F"/>
    <w:rsid w:val="00892AD5"/>
    <w:rsid w:val="00897E07"/>
    <w:rsid w:val="008A1512"/>
    <w:rsid w:val="008C0BD3"/>
    <w:rsid w:val="008D32B9"/>
    <w:rsid w:val="008D433B"/>
    <w:rsid w:val="008D4A16"/>
    <w:rsid w:val="008E566E"/>
    <w:rsid w:val="0090161A"/>
    <w:rsid w:val="00901EB6"/>
    <w:rsid w:val="00904C62"/>
    <w:rsid w:val="00910D97"/>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1475"/>
    <w:rsid w:val="00993B84"/>
    <w:rsid w:val="00996483"/>
    <w:rsid w:val="00996F5A"/>
    <w:rsid w:val="009B041A"/>
    <w:rsid w:val="009B0C26"/>
    <w:rsid w:val="009B7E08"/>
    <w:rsid w:val="009C37C3"/>
    <w:rsid w:val="009C7C86"/>
    <w:rsid w:val="009D2FF7"/>
    <w:rsid w:val="009E7884"/>
    <w:rsid w:val="009E788A"/>
    <w:rsid w:val="009F0E08"/>
    <w:rsid w:val="00A1763D"/>
    <w:rsid w:val="00A17CEC"/>
    <w:rsid w:val="00A27EF0"/>
    <w:rsid w:val="00A42361"/>
    <w:rsid w:val="00A47320"/>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48"/>
    <w:rsid w:val="00AE377D"/>
    <w:rsid w:val="00AF0EBA"/>
    <w:rsid w:val="00AF3D67"/>
    <w:rsid w:val="00B02C8A"/>
    <w:rsid w:val="00B17FBD"/>
    <w:rsid w:val="00B2305E"/>
    <w:rsid w:val="00B315A6"/>
    <w:rsid w:val="00B31813"/>
    <w:rsid w:val="00B33365"/>
    <w:rsid w:val="00B513C1"/>
    <w:rsid w:val="00B57B36"/>
    <w:rsid w:val="00B57E6F"/>
    <w:rsid w:val="00B73270"/>
    <w:rsid w:val="00B8686D"/>
    <w:rsid w:val="00B93F69"/>
    <w:rsid w:val="00BB1DDC"/>
    <w:rsid w:val="00BC16E3"/>
    <w:rsid w:val="00BC30C9"/>
    <w:rsid w:val="00BD077D"/>
    <w:rsid w:val="00BE3E58"/>
    <w:rsid w:val="00C01616"/>
    <w:rsid w:val="00C0162B"/>
    <w:rsid w:val="00C068ED"/>
    <w:rsid w:val="00C139F5"/>
    <w:rsid w:val="00C22E0C"/>
    <w:rsid w:val="00C345B1"/>
    <w:rsid w:val="00C40142"/>
    <w:rsid w:val="00C479C4"/>
    <w:rsid w:val="00C52C3C"/>
    <w:rsid w:val="00C57182"/>
    <w:rsid w:val="00C57863"/>
    <w:rsid w:val="00C636F8"/>
    <w:rsid w:val="00C640AF"/>
    <w:rsid w:val="00C655FD"/>
    <w:rsid w:val="00C75407"/>
    <w:rsid w:val="00C80238"/>
    <w:rsid w:val="00C841C6"/>
    <w:rsid w:val="00C870A8"/>
    <w:rsid w:val="00C94434"/>
    <w:rsid w:val="00CA0D75"/>
    <w:rsid w:val="00CA1C95"/>
    <w:rsid w:val="00CA5A9C"/>
    <w:rsid w:val="00CB4070"/>
    <w:rsid w:val="00CC1933"/>
    <w:rsid w:val="00CC4C20"/>
    <w:rsid w:val="00CC6F9B"/>
    <w:rsid w:val="00CD3517"/>
    <w:rsid w:val="00CD5FE2"/>
    <w:rsid w:val="00CD696F"/>
    <w:rsid w:val="00CE7C68"/>
    <w:rsid w:val="00D02B4C"/>
    <w:rsid w:val="00D040C4"/>
    <w:rsid w:val="00D20AD1"/>
    <w:rsid w:val="00D2582C"/>
    <w:rsid w:val="00D45A0E"/>
    <w:rsid w:val="00D46B7E"/>
    <w:rsid w:val="00D46FC0"/>
    <w:rsid w:val="00D57C84"/>
    <w:rsid w:val="00D6057D"/>
    <w:rsid w:val="00D61EAD"/>
    <w:rsid w:val="00D71640"/>
    <w:rsid w:val="00D836C5"/>
    <w:rsid w:val="00D84576"/>
    <w:rsid w:val="00D84E65"/>
    <w:rsid w:val="00D94BF9"/>
    <w:rsid w:val="00DA1399"/>
    <w:rsid w:val="00DA24C6"/>
    <w:rsid w:val="00DA4D7B"/>
    <w:rsid w:val="00DD271C"/>
    <w:rsid w:val="00DE264A"/>
    <w:rsid w:val="00DE5DCA"/>
    <w:rsid w:val="00DF5072"/>
    <w:rsid w:val="00E02D18"/>
    <w:rsid w:val="00E041E7"/>
    <w:rsid w:val="00E07FE5"/>
    <w:rsid w:val="00E23CA1"/>
    <w:rsid w:val="00E3401E"/>
    <w:rsid w:val="00E409A8"/>
    <w:rsid w:val="00E50C12"/>
    <w:rsid w:val="00E65B91"/>
    <w:rsid w:val="00E7209D"/>
    <w:rsid w:val="00E72EAD"/>
    <w:rsid w:val="00E77223"/>
    <w:rsid w:val="00E8528B"/>
    <w:rsid w:val="00E85B94"/>
    <w:rsid w:val="00E978D0"/>
    <w:rsid w:val="00EA051D"/>
    <w:rsid w:val="00EA4613"/>
    <w:rsid w:val="00EA7F91"/>
    <w:rsid w:val="00EB1523"/>
    <w:rsid w:val="00EC0E49"/>
    <w:rsid w:val="00EC101F"/>
    <w:rsid w:val="00EC1900"/>
    <w:rsid w:val="00EC1D9F"/>
    <w:rsid w:val="00EE0131"/>
    <w:rsid w:val="00EE0DFD"/>
    <w:rsid w:val="00EE17B0"/>
    <w:rsid w:val="00EF06D9"/>
    <w:rsid w:val="00F3049E"/>
    <w:rsid w:val="00F30C64"/>
    <w:rsid w:val="00F32BA2"/>
    <w:rsid w:val="00F32CDB"/>
    <w:rsid w:val="00F461C6"/>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deltesto">
    <w:name w:val="Body Text"/>
    <w:basedOn w:val="Normale"/>
    <w:link w:val="CorpodeltestoCarattere"/>
    <w:uiPriority w:val="99"/>
    <w:semiHidden/>
    <w:unhideWhenUsed/>
    <w:rsid w:val="0003148D"/>
    <w:pPr>
      <w:spacing w:after="120"/>
    </w:pPr>
  </w:style>
  <w:style w:type="character" w:customStyle="1" w:styleId="CorpodeltestoCarattere">
    <w:name w:val="Corpo del testo Carattere"/>
    <w:basedOn w:val="Carpredefinitoparagrafo"/>
    <w:link w:val="Corpodel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del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del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Collegamentovisitato">
    <w:name w:val="FollowedHyperlink"/>
    <w:basedOn w:val="Carpredefinitoparagrafo"/>
    <w:uiPriority w:val="99"/>
    <w:semiHidden/>
    <w:unhideWhenUsed/>
    <w:rsid w:val="00C80238"/>
    <w:rPr>
      <w:color w:val="800080" w:themeColor="followedHyperlink"/>
      <w:u w:val="single"/>
    </w:rPr>
  </w:style>
  <w:style w:type="paragraph" w:styleId="Revisione">
    <w:name w:val="Revision"/>
    <w:hidden/>
    <w:uiPriority w:val="99"/>
    <w:semiHidden/>
    <w:rsid w:val="004125A7"/>
    <w:pPr>
      <w:spacing w:after="0" w:line="240" w:lineRule="auto"/>
    </w:pPr>
    <w:rPr>
      <w:rFonts w:ascii="Arial" w:eastAsia="Times New Roman" w:hAnsi="Arial" w:cs="Times New Roman"/>
      <w:sz w:val="18"/>
      <w:szCs w:val="20"/>
      <w:lang w:val="en-GB"/>
    </w:rPr>
  </w:style>
</w:styles>
</file>

<file path=word/webSettings.xml><?xml version="1.0" encoding="utf-8"?>
<w:webSettings xmlns:r="http://schemas.openxmlformats.org/officeDocument/2006/relationships" xmlns:w="http://schemas.openxmlformats.org/wordprocessingml/2006/main">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memsci.2010.08.013"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oi.org/10.1016/j.molstruc.2017.05.122"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ijerph15020269" TargetMode="External"/><Relationship Id="rId24" Type="http://schemas.openxmlformats.org/officeDocument/2006/relationships/hyperlink" Target="https://www.mdpi.com/1996-1944/15/24/8894"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dpi.com/1996-1944/15/24/8894" TargetMode="External"/><Relationship Id="rId28" Type="http://schemas.openxmlformats.org/officeDocument/2006/relationships/fontTable" Target="fontTable.xml"/><Relationship Id="rId10" Type="http://schemas.openxmlformats.org/officeDocument/2006/relationships/hyperlink" Target="https://www.sciencedirect.com/topics/biochemistry-genetics-and-molecular-biology/membrane-technology"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nk.springer.com/article/10.1007/s10854-022-08115-x" TargetMode="External"/><Relationship Id="rId22" Type="http://schemas.openxmlformats.org/officeDocument/2006/relationships/hyperlink" Target="https://www.mdpi.com/1996-1944/15/24/8894" TargetMode="External"/><Relationship Id="rId27" Type="http://schemas.openxmlformats.org/officeDocument/2006/relationships/image" Target="media/image12.jpeg"/><Relationship Id="rId30"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33328-C0BB-4DA5-9FA8-81B7940D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2828</Words>
  <Characters>16124</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Stefano</cp:lastModifiedBy>
  <cp:revision>39</cp:revision>
  <cp:lastPrinted>2015-05-12T18:31:00Z</cp:lastPrinted>
  <dcterms:created xsi:type="dcterms:W3CDTF">2024-02-26T21:16:00Z</dcterms:created>
  <dcterms:modified xsi:type="dcterms:W3CDTF">2024-04-11T08:55:00Z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