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C80A69">
        <w:trPr>
          <w:trHeight w:val="852"/>
          <w:jc w:val="center"/>
        </w:trPr>
        <w:tc>
          <w:tcPr>
            <w:tcW w:w="6940" w:type="dxa"/>
            <w:vMerge w:val="restart"/>
            <w:tcBorders>
              <w:right w:val="single" w:sz="4" w:space="0" w:color="auto"/>
            </w:tcBorders>
          </w:tcPr>
          <w:p w14:paraId="38C3D2BA" w14:textId="498B242A" w:rsidR="000A03B2" w:rsidRPr="00B57B36" w:rsidRDefault="005D11B5" w:rsidP="00DE264A">
            <w:pPr>
              <w:tabs>
                <w:tab w:val="left" w:pos="-108"/>
              </w:tabs>
              <w:ind w:left="-108"/>
              <w:jc w:val="left"/>
              <w:rPr>
                <w:rFonts w:cs="Arial"/>
                <w:b/>
                <w:bCs/>
                <w:i/>
                <w:iCs/>
                <w:color w:val="000066"/>
                <w:sz w:val="12"/>
                <w:szCs w:val="12"/>
                <w:lang w:eastAsia="it-IT"/>
              </w:rPr>
            </w:pPr>
            <w:r>
              <w:rPr>
                <w:rFonts w:ascii="AdvP6960" w:hAnsi="AdvP6960" w:cs="AdvP6960"/>
                <w:color w:val="241F20"/>
                <w:szCs w:val="18"/>
                <w:lang w:eastAsia="it-IT"/>
              </w:rPr>
              <w:t>v</w:t>
            </w:r>
            <w:r w:rsidR="000A03B2"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000A03B2" w:rsidRPr="00B57B36">
              <w:rPr>
                <w:rFonts w:ascii="AdvP6960" w:hAnsi="AdvP6960" w:cs="AdvP6960"/>
                <w:color w:val="241F20"/>
                <w:szCs w:val="18"/>
                <w:lang w:eastAsia="it-IT"/>
              </w:rPr>
              <w:t xml:space="preserve"> </w:t>
            </w:r>
            <w:r w:rsidR="000A03B2" w:rsidRPr="00B57B36">
              <w:rPr>
                <w:rFonts w:cs="Arial"/>
                <w:b/>
                <w:bCs/>
                <w:i/>
                <w:iCs/>
                <w:color w:val="000066"/>
                <w:sz w:val="24"/>
                <w:szCs w:val="24"/>
                <w:lang w:eastAsia="it-IT"/>
              </w:rPr>
              <w:t>CHEMICAL ENGINEERING</w:t>
            </w:r>
            <w:r w:rsidR="000A03B2" w:rsidRPr="00B57B36">
              <w:rPr>
                <w:rFonts w:cs="Arial"/>
                <w:b/>
                <w:bCs/>
                <w:i/>
                <w:iCs/>
                <w:color w:val="0033FF"/>
                <w:sz w:val="24"/>
                <w:szCs w:val="24"/>
                <w:lang w:eastAsia="it-IT"/>
              </w:rPr>
              <w:t xml:space="preserve"> </w:t>
            </w:r>
            <w:r w:rsidR="000A03B2" w:rsidRPr="00B57B36">
              <w:rPr>
                <w:rFonts w:cs="Arial"/>
                <w:b/>
                <w:bCs/>
                <w:i/>
                <w:iCs/>
                <w:color w:val="666666"/>
                <w:sz w:val="24"/>
                <w:szCs w:val="24"/>
                <w:lang w:eastAsia="it-IT"/>
              </w:rPr>
              <w:t>TRANSACTIONS</w:t>
            </w:r>
            <w:r w:rsidR="000A03B2" w:rsidRPr="00B57B36">
              <w:rPr>
                <w:color w:val="333333"/>
                <w:sz w:val="24"/>
                <w:szCs w:val="24"/>
                <w:lang w:eastAsia="it-IT"/>
              </w:rPr>
              <w:t xml:space="preserve"> </w:t>
            </w:r>
            <w:r w:rsidR="000A03B2" w:rsidRPr="00B57B36">
              <w:rPr>
                <w:rFonts w:cs="Arial"/>
                <w:b/>
                <w:bCs/>
                <w:i/>
                <w:iCs/>
                <w:color w:val="000066"/>
                <w:sz w:val="27"/>
                <w:szCs w:val="27"/>
                <w:lang w:eastAsia="it-IT"/>
              </w:rPr>
              <w:br/>
            </w:r>
          </w:p>
          <w:p w14:paraId="4B780582" w14:textId="3A05F02F"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proofErr w:type="gramStart"/>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723169">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C80A69">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C80A69">
        <w:trPr>
          <w:trHeight w:val="68"/>
          <w:jc w:val="center"/>
        </w:trPr>
        <w:tc>
          <w:tcPr>
            <w:tcW w:w="8782" w:type="dxa"/>
            <w:gridSpan w:val="2"/>
          </w:tcPr>
          <w:p w14:paraId="1D8DD3C9" w14:textId="46661ED6" w:rsidR="00AA7D26" w:rsidRPr="003A6FC6"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843EAC">
              <w:rPr>
                <w:rFonts w:ascii="Tahoma" w:hAnsi="Tahoma" w:cs="Tahoma"/>
                <w:color w:val="000000"/>
                <w:sz w:val="14"/>
                <w:szCs w:val="14"/>
                <w:shd w:val="clear" w:color="auto" w:fill="FFFFFF"/>
                <w:lang w:val="it-IT"/>
              </w:rPr>
              <w:t xml:space="preserve">Marco Bravi, Antonio </w:t>
            </w:r>
            <w:proofErr w:type="spellStart"/>
            <w:r w:rsidR="00843EAC">
              <w:rPr>
                <w:rFonts w:ascii="Tahoma" w:hAnsi="Tahoma" w:cs="Tahoma"/>
                <w:color w:val="000000"/>
                <w:sz w:val="14"/>
                <w:szCs w:val="14"/>
                <w:shd w:val="clear" w:color="auto" w:fill="FFFFFF"/>
                <w:lang w:val="it-IT"/>
              </w:rPr>
              <w:t>Marzocchella</w:t>
            </w:r>
            <w:proofErr w:type="spellEnd"/>
            <w:r w:rsidR="00843EAC">
              <w:rPr>
                <w:rFonts w:ascii="Tahoma" w:hAnsi="Tahoma" w:cs="Tahoma"/>
                <w:color w:val="000000"/>
                <w:sz w:val="14"/>
                <w:szCs w:val="14"/>
                <w:shd w:val="clear" w:color="auto" w:fill="FFFFFF"/>
                <w:lang w:val="it-IT"/>
              </w:rPr>
              <w:t>, Giuseppe Caputo</w:t>
            </w:r>
          </w:p>
          <w:p w14:paraId="1B0F1814" w14:textId="62155F0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723169">
              <w:rPr>
                <w:rFonts w:ascii="Tahoma" w:hAnsi="Tahoma" w:cs="Tahoma"/>
                <w:sz w:val="14"/>
                <w:szCs w:val="14"/>
              </w:rPr>
              <w:t>10-6</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3A83B004" w:rsidR="00E978D0" w:rsidRPr="00B57B36" w:rsidRDefault="00C80A69" w:rsidP="00E978D0">
      <w:pPr>
        <w:pStyle w:val="CETTitle"/>
      </w:pPr>
      <w:r w:rsidRPr="00C80A69">
        <w:t>Simulation of the purification process of waste cooking oil as a feedstock for biodiesel production</w:t>
      </w:r>
      <w:r w:rsidR="00624EAD">
        <w:t>.</w:t>
      </w:r>
    </w:p>
    <w:p w14:paraId="0488FED2" w14:textId="078BEF6E" w:rsidR="00B57E6F" w:rsidRPr="00CC364C" w:rsidRDefault="00CC364C" w:rsidP="00B57E6F">
      <w:pPr>
        <w:pStyle w:val="CETAuthors"/>
        <w:rPr>
          <w:lang w:val="es-MX"/>
        </w:rPr>
      </w:pPr>
      <w:r w:rsidRPr="00CC364C">
        <w:rPr>
          <w:lang w:val="es-MX"/>
        </w:rPr>
        <w:t>Miguel A. Guerrero-Muñoz</w:t>
      </w:r>
      <w:r w:rsidR="00B57E6F" w:rsidRPr="00CC364C">
        <w:rPr>
          <w:lang w:val="es-MX"/>
        </w:rPr>
        <w:t>,</w:t>
      </w:r>
      <w:r w:rsidRPr="00CC364C">
        <w:rPr>
          <w:lang w:val="es-MX"/>
        </w:rPr>
        <w:t xml:space="preserve"> Karla E. Mares-Molina, José J. Tovar-Negrete, Salvador Hernández, Fabricio O. Barroso-Muñoz</w:t>
      </w:r>
      <w:r w:rsidR="00B23DB7">
        <w:rPr>
          <w:vertAlign w:val="superscript"/>
          <w:lang w:val="es-MX"/>
        </w:rPr>
        <w:t xml:space="preserve"> </w:t>
      </w:r>
      <w:r w:rsidRPr="00CC364C">
        <w:rPr>
          <w:lang w:val="es-MX"/>
        </w:rPr>
        <w:t>*</w:t>
      </w:r>
    </w:p>
    <w:p w14:paraId="6B2D21B3" w14:textId="10F08A58" w:rsidR="00B57E6F" w:rsidRPr="004F7761" w:rsidRDefault="00B23DB7" w:rsidP="00B23DB7">
      <w:pPr>
        <w:pStyle w:val="CETAddress"/>
        <w:jc w:val="both"/>
        <w:rPr>
          <w:lang w:val="es-MX"/>
        </w:rPr>
      </w:pPr>
      <w:r w:rsidRPr="004F7761">
        <w:rPr>
          <w:lang w:val="es-MX"/>
        </w:rPr>
        <w:t xml:space="preserve">Department of Chemical Engineering, DCNE, Universidad de Guanajuato, Noria Alta, s/n, Col. Noria Alta, Guanajuato, </w:t>
      </w:r>
      <w:r w:rsidR="00DB179B" w:rsidRPr="004F7761">
        <w:rPr>
          <w:lang w:val="es-MX"/>
        </w:rPr>
        <w:t xml:space="preserve">Gto., </w:t>
      </w:r>
      <w:r w:rsidRPr="004F7761">
        <w:rPr>
          <w:lang w:val="es-MX"/>
        </w:rPr>
        <w:t>CP. 36050, México</w:t>
      </w:r>
      <w:r w:rsidR="00EA5408" w:rsidRPr="004F7761">
        <w:rPr>
          <w:lang w:val="es-MX"/>
        </w:rPr>
        <w:t>.</w:t>
      </w:r>
    </w:p>
    <w:p w14:paraId="73F1267A" w14:textId="26515CEE" w:rsidR="00B57E6F" w:rsidRPr="004F7761" w:rsidRDefault="00CC364C" w:rsidP="00B57E6F">
      <w:pPr>
        <w:pStyle w:val="CETemail"/>
        <w:rPr>
          <w:lang w:val="es-MX"/>
        </w:rPr>
      </w:pPr>
      <w:r w:rsidRPr="004F7761">
        <w:rPr>
          <w:lang w:val="es-MX"/>
        </w:rPr>
        <w:t>faobamu</w:t>
      </w:r>
      <w:r w:rsidR="00B57E6F" w:rsidRPr="004F7761">
        <w:rPr>
          <w:lang w:val="es-MX"/>
        </w:rPr>
        <w:t>@</w:t>
      </w:r>
      <w:r w:rsidRPr="004F7761">
        <w:rPr>
          <w:lang w:val="es-MX"/>
        </w:rPr>
        <w:t>ugto.mx</w:t>
      </w:r>
    </w:p>
    <w:p w14:paraId="6893AF25" w14:textId="747E8D61" w:rsidR="00600535" w:rsidRPr="00976024" w:rsidRDefault="00835161" w:rsidP="00600535">
      <w:pPr>
        <w:pStyle w:val="CETBodytext"/>
      </w:pPr>
      <w:r w:rsidRPr="00835161">
        <w:t xml:space="preserve">In the present work, the </w:t>
      </w:r>
      <w:r w:rsidR="00624EAD">
        <w:t xml:space="preserve">simulation of the purification </w:t>
      </w:r>
      <w:r w:rsidRPr="00835161">
        <w:t xml:space="preserve">process </w:t>
      </w:r>
      <w:r w:rsidR="00624EAD">
        <w:t>of waste</w:t>
      </w:r>
      <w:r w:rsidRPr="00835161">
        <w:t xml:space="preserve"> cooking oil</w:t>
      </w:r>
      <w:r w:rsidR="00B615DB">
        <w:t xml:space="preserve"> (WCO)</w:t>
      </w:r>
      <w:r w:rsidR="00624EAD">
        <w:t xml:space="preserve"> as feedstock for biodiesel production</w:t>
      </w:r>
      <w:r w:rsidRPr="00835161">
        <w:t xml:space="preserve"> was simulated using Aspen Plus</w:t>
      </w:r>
      <w:r w:rsidR="00624EAD">
        <w:t xml:space="preserve"> </w:t>
      </w:r>
      <w:r w:rsidR="00624EAD" w:rsidRPr="00624A05">
        <w:rPr>
          <w:vertAlign w:val="superscript"/>
        </w:rPr>
        <w:t>TM</w:t>
      </w:r>
      <w:r w:rsidR="00624EAD">
        <w:t xml:space="preserve"> V11.0</w:t>
      </w:r>
      <w:r w:rsidRPr="00835161">
        <w:t>. The process was simulated considering the compositions of the waste</w:t>
      </w:r>
      <w:r w:rsidR="00AF764B">
        <w:t xml:space="preserve"> cooking</w:t>
      </w:r>
      <w:r w:rsidRPr="00835161">
        <w:t xml:space="preserve"> oils in the central region of Mexico, specifically in the center of the state of Guanajuato. The </w:t>
      </w:r>
      <w:r w:rsidR="00EF7705" w:rsidRPr="00835161">
        <w:t>equipment</w:t>
      </w:r>
      <w:r w:rsidRPr="00835161">
        <w:t xml:space="preserve"> necessary to separate the ash and organic food waste </w:t>
      </w:r>
      <w:r w:rsidR="007E22FE">
        <w:t>were</w:t>
      </w:r>
      <w:r w:rsidRPr="00835161">
        <w:t xml:space="preserve"> considered in the process simulation. It is necessary to consider that waste cooking oil contains a large amount of free fatty acids, which could cause saponification in the case of using the basic route to produce biodiesel. Kinetic model and thermodynamics model were taken from literature. </w:t>
      </w:r>
      <w:r w:rsidR="00A32BF0">
        <w:t xml:space="preserve">As initial part of the process simulation a decanter was included. </w:t>
      </w:r>
      <w:r w:rsidRPr="00835161">
        <w:t>Therefore, the process was simulated to reduce the amount of free fatty acids</w:t>
      </w:r>
      <w:r w:rsidR="00A32BF0">
        <w:t xml:space="preserve"> and remotion or ashes and water from waste cooking oil</w:t>
      </w:r>
      <w:r w:rsidRPr="00835161">
        <w:t xml:space="preserve">. Finally, the purified oil contains, less than 1% by weight of free fatty acids, which makes it ideal for producing biodiesel by basic transesterification or any other route for biodiesel production. These results were consistent with the experimental results reported in the literature. </w:t>
      </w:r>
    </w:p>
    <w:p w14:paraId="476B2F2E" w14:textId="77777777" w:rsidR="00600535" w:rsidRPr="00B57B36" w:rsidRDefault="00600535" w:rsidP="00600535">
      <w:pPr>
        <w:pStyle w:val="CETHeading1"/>
        <w:rPr>
          <w:lang w:val="en-GB"/>
        </w:rPr>
      </w:pPr>
      <w:r w:rsidRPr="00B57B36">
        <w:rPr>
          <w:lang w:val="en-GB"/>
        </w:rPr>
        <w:t>Introduction</w:t>
      </w:r>
    </w:p>
    <w:p w14:paraId="357DF892" w14:textId="6AB04770" w:rsidR="00EF3CA6" w:rsidRDefault="00BF3A35" w:rsidP="00EF3CA6">
      <w:pPr>
        <w:pStyle w:val="CETBodytext"/>
        <w:rPr>
          <w:lang w:eastAsia="es-MX"/>
        </w:rPr>
      </w:pPr>
      <w:r w:rsidRPr="00BF3A35">
        <w:t>Biodiesel, a mixture of fatty methyl/ethyl esters derived from plant/animal triglycerides through transesterification with an alcohol, is a fuel that is under a great deal of consideration. It has been assessed that biodiesel yields 93% more energy than that invested in its production, and relative to fossil fuels, greenhouse gases are reduced 41% by biodiesel production and combustion while less air pollutants are released per net energy gain. Although these benefits are very attractive, the current biodiesel final cost is prohibitively high without governmental subsidies</w:t>
      </w:r>
      <w:r>
        <w:t xml:space="preserve"> </w:t>
      </w:r>
      <w:r w:rsidR="00F46236">
        <w:fldChar w:fldCharType="begin"/>
      </w:r>
      <w:r w:rsidR="00F46236">
        <w:instrText xml:space="preserve"> ADDIN EN.CITE &lt;EndNote&gt;&lt;Cite&gt;&lt;Author&gt;Cossio-Vargas&lt;/Author&gt;&lt;Year&gt;2011&lt;/Year&gt;&lt;RecNum&gt;58&lt;/RecNum&gt;&lt;DisplayText&gt;(Cossio-Vargas et al. 2011)&lt;/DisplayText&gt;&lt;record&gt;&lt;rec-number&gt;58&lt;/rec-number&gt;&lt;foreign-keys&gt;&lt;key app="EN" db-id="vtw0azt0nfwd07esewv5x9rr9zf0r0wwt5zf" timestamp="1645481645" guid="b174fd32-0fb8-4ddb-852b-a4e172440a3e"&gt;58&lt;/key&gt;&lt;/foreign-keys&gt;&lt;ref-type name="Journal Article"&gt;17&lt;/ref-type&gt;&lt;contributors&gt;&lt;authors&gt;&lt;author&gt;Cossio-Vargas, E.&lt;/author&gt;&lt;author&gt;Hernandez, S.&lt;/author&gt;&lt;author&gt;Segovia-Hernandez, J. G.&lt;/author&gt;&lt;author&gt;Cano-Rodriguez, M. I.&lt;/author&gt;&lt;/authors&gt;&lt;/contributors&gt;&lt;titles&gt;&lt;title&gt;Simulation study of the production of biodiesel using feedstock mixtures of fatty acids in complex reactive distillation columns&lt;/title&gt;&lt;secondary-title&gt;Energy&lt;/secondary-title&gt;&lt;/titles&gt;&lt;periodical&gt;&lt;full-title&gt;Energy&lt;/full-title&gt;&lt;/periodical&gt;&lt;pages&gt;6289-6297&lt;/pages&gt;&lt;volume&gt;36&lt;/volume&gt;&lt;number&gt;11&lt;/number&gt;&lt;keywords&gt;&lt;keyword&gt;Mixtures of fatty acids&lt;/keyword&gt;&lt;keyword&gt;Reactive distillation&lt;/keyword&gt;&lt;keyword&gt;Biodiesel&lt;/keyword&gt;&lt;keyword&gt;Thermally coupled distillation&lt;/keyword&gt;&lt;/keywords&gt;&lt;dates&gt;&lt;year&gt;2011&lt;/year&gt;&lt;pub-dates&gt;&lt;date&gt;2011/11/01/&lt;/date&gt;&lt;/pub-dates&gt;&lt;/dates&gt;&lt;isbn&gt;0360-5442&lt;/isbn&gt;&lt;urls&gt;&lt;related-urls&gt;&lt;url&gt;http://www.sciencedirect.com/science/article/pii/S0360544211006645&lt;/url&gt;&lt;/related-urls&gt;&lt;/urls&gt;&lt;electronic-resource-num&gt;https://doi.org/10.1016/j.energy.2011.10.005&lt;/electronic-resource-num&gt;&lt;/record&gt;&lt;/Cite&gt;&lt;/EndNote&gt;</w:instrText>
      </w:r>
      <w:r w:rsidR="00F46236">
        <w:fldChar w:fldCharType="separate"/>
      </w:r>
      <w:r w:rsidR="00F46236">
        <w:rPr>
          <w:noProof/>
        </w:rPr>
        <w:t>(Cossio-Vargas et al. 2011)</w:t>
      </w:r>
      <w:r w:rsidR="00F46236">
        <w:fldChar w:fldCharType="end"/>
      </w:r>
      <w:r w:rsidRPr="00BF3A35">
        <w:t>.</w:t>
      </w:r>
      <w:r>
        <w:t xml:space="preserve"> </w:t>
      </w:r>
      <w:r w:rsidR="00EF3CA6" w:rsidRPr="00EF3CA6">
        <w:t>Fossil</w:t>
      </w:r>
      <w:r w:rsidR="00EF3CA6" w:rsidRPr="00EF3CA6">
        <w:rPr>
          <w:lang w:eastAsia="es-MX"/>
        </w:rPr>
        <w:t xml:space="preserve"> fuels currently cover 82% of the world's population's energy needs. In addition, greenhouse gas emissions increased by 5.7% in 2021. Maintaining this energy model will lead to the depletion of the few reserves available in a few years. For this reason, several alternatives have been proposed, among them biofuels, which in 2021 had an increase in global production of 4.1% and their consumption increased by 7.6% (British Petroleum, 2022), making them a promising source for the substitution of fossil fuels. However, biofuel production in Mexico has not exceeded 500 BEP/d and its consumption has grown from 2000 to 4000 BEP/d in the last 10 years. Biodiesel is defined as a mixture of long-chain </w:t>
      </w:r>
      <w:proofErr w:type="spellStart"/>
      <w:r w:rsidR="00EF3CA6" w:rsidRPr="00EF3CA6">
        <w:rPr>
          <w:lang w:eastAsia="es-MX"/>
        </w:rPr>
        <w:t>monoalkyl</w:t>
      </w:r>
      <w:proofErr w:type="spellEnd"/>
      <w:r w:rsidR="00EF3CA6" w:rsidRPr="00EF3CA6">
        <w:rPr>
          <w:lang w:eastAsia="es-MX"/>
        </w:rPr>
        <w:t xml:space="preserve"> esters of fatty acids from catalytic transesterification with short-chain alcohols, such as methanol and ethanol. It is considered as a potential substitute for conventional diesel</w:t>
      </w:r>
      <w:r w:rsidR="00D90B67">
        <w:rPr>
          <w:lang w:eastAsia="es-MX"/>
        </w:rPr>
        <w:t xml:space="preserve"> </w:t>
      </w:r>
      <w:r w:rsidR="00D90B67">
        <w:rPr>
          <w:lang w:eastAsia="es-MX"/>
        </w:rPr>
        <w:fldChar w:fldCharType="begin"/>
      </w:r>
      <w:r w:rsidR="00D90B67">
        <w:rPr>
          <w:lang w:eastAsia="es-MX"/>
        </w:rPr>
        <w:instrText xml:space="preserve"> ADDIN EN.CITE &lt;EndNote&gt;&lt;Cite&gt;&lt;Author&gt;Osorio-Canul&lt;/Author&gt;&lt;Year&gt;2019&lt;/Year&gt;&lt;RecNum&gt;334&lt;/RecNum&gt;&lt;DisplayText&gt;(Osorio-Canul et al. 2019)&lt;/DisplayText&gt;&lt;record&gt;&lt;rec-number&gt;334&lt;/rec-number&gt;&lt;foreign-keys&gt;&lt;key app="EN" db-id="vtw0azt0nfwd07esewv5x9rr9zf0r0wwt5zf" timestamp="1704918201" guid="73025254-bef2-4931-a8d9-2a79c147a127"&gt;334&lt;/key&gt;&lt;/foreign-keys&gt;&lt;ref-type name="Journal Article"&gt;17&lt;/ref-type&gt;&lt;contributors&gt;&lt;authors&gt;&lt;author&gt;Osorio-Canul, Marvin&lt;/author&gt;&lt;author&gt;García-Magallanes, Gabriel&lt;/author&gt;&lt;author&gt;Herrera-Lugo, Angélica&lt;/author&gt;&lt;author&gt;Novelo-Moo, Thelma&lt;/author&gt;&lt;/authors&gt;&lt;/contributors&gt;&lt;titles&gt;&lt;title&gt;Propuesta de producción de biodiésel mediante aceite vegetal usado&lt;/title&gt;&lt;secondary-title&gt;Revista de Energías Renovables&lt;/secondary-title&gt;&lt;/titles&gt;&lt;dates&gt;&lt;year&gt;2019&lt;/year&gt;&lt;/dates&gt;&lt;urls&gt;&lt;/urls&gt;&lt;/record&gt;&lt;/Cite&gt;&lt;/EndNote&gt;</w:instrText>
      </w:r>
      <w:r w:rsidR="00D90B67">
        <w:rPr>
          <w:lang w:eastAsia="es-MX"/>
        </w:rPr>
        <w:fldChar w:fldCharType="separate"/>
      </w:r>
      <w:r w:rsidR="00D90B67">
        <w:rPr>
          <w:noProof/>
          <w:lang w:eastAsia="es-MX"/>
        </w:rPr>
        <w:t>(Osorio-Canul et al. 2019)</w:t>
      </w:r>
      <w:r w:rsidR="00D90B67">
        <w:rPr>
          <w:lang w:eastAsia="es-MX"/>
        </w:rPr>
        <w:fldChar w:fldCharType="end"/>
      </w:r>
      <w:r w:rsidR="00447B52" w:rsidRPr="00447B52">
        <w:rPr>
          <w:lang w:eastAsia="es-MX"/>
        </w:rPr>
        <w:t>.</w:t>
      </w:r>
      <w:r w:rsidR="00EF3CA6">
        <w:rPr>
          <w:lang w:eastAsia="es-MX"/>
        </w:rPr>
        <w:t xml:space="preserve"> </w:t>
      </w:r>
      <w:r w:rsidR="00EF3CA6" w:rsidRPr="00EF3CA6">
        <w:rPr>
          <w:lang w:eastAsia="es-MX"/>
        </w:rPr>
        <w:t xml:space="preserve">The most widely used method to produce biodiesel is transesterification, which can be basic, acidic, or enzymatic. In general, to produce biodiesel, the oil is mixed with alcohol in a certain ratio and the catalyst is added inside a reactor at a certain temperature. </w:t>
      </w:r>
      <w:r w:rsidR="001378CA">
        <w:rPr>
          <w:lang w:eastAsia="es-MX"/>
        </w:rPr>
        <w:t>As it was mentioned, when basic catalytic route for producing biodiesel is used, the amount of free fatty acid is relevant to avoid saponification. Therefore, it is import</w:t>
      </w:r>
      <w:r w:rsidR="000F6FE1">
        <w:rPr>
          <w:lang w:eastAsia="es-MX"/>
        </w:rPr>
        <w:t>ant</w:t>
      </w:r>
      <w:r w:rsidR="001378CA">
        <w:rPr>
          <w:lang w:eastAsia="es-MX"/>
        </w:rPr>
        <w:t xml:space="preserve"> to reduce free fatty acid</w:t>
      </w:r>
      <w:r w:rsidR="00693D5D">
        <w:rPr>
          <w:lang w:eastAsia="es-MX"/>
        </w:rPr>
        <w:t>. Their concentration</w:t>
      </w:r>
      <w:r w:rsidR="001378CA">
        <w:rPr>
          <w:lang w:eastAsia="es-MX"/>
        </w:rPr>
        <w:t xml:space="preserve"> must be less than 1 </w:t>
      </w:r>
      <w:proofErr w:type="spellStart"/>
      <w:r w:rsidR="001378CA">
        <w:rPr>
          <w:lang w:eastAsia="es-MX"/>
        </w:rPr>
        <w:t>wt</w:t>
      </w:r>
      <w:proofErr w:type="spellEnd"/>
      <w:r w:rsidR="001378CA">
        <w:rPr>
          <w:lang w:eastAsia="es-MX"/>
        </w:rPr>
        <w:t xml:space="preserve">%.  </w:t>
      </w:r>
      <w:r w:rsidR="00050BC5">
        <w:rPr>
          <w:lang w:eastAsia="es-MX"/>
        </w:rPr>
        <w:t>Further, t</w:t>
      </w:r>
      <w:r w:rsidR="00EF3CA6" w:rsidRPr="00EF3CA6">
        <w:rPr>
          <w:lang w:eastAsia="es-MX"/>
        </w:rPr>
        <w:t xml:space="preserve">he alcohol is then recovered and recirculated into the process. At the end of the reaction, the mixture undergoes liquid-liquid extraction with glycerol to separate the biodiesel. </w:t>
      </w:r>
    </w:p>
    <w:p w14:paraId="4CB9F211" w14:textId="77777777" w:rsidR="00154BBC" w:rsidRPr="00EF3CA6" w:rsidRDefault="00154BBC" w:rsidP="00EF3CA6">
      <w:pPr>
        <w:pStyle w:val="CETBodytext"/>
        <w:rPr>
          <w:lang w:eastAsia="es-MX"/>
        </w:rPr>
      </w:pPr>
    </w:p>
    <w:p w14:paraId="3552694D" w14:textId="04CBFE5E" w:rsidR="00EF3CA6" w:rsidRDefault="00154BBC" w:rsidP="00154BBC">
      <w:pPr>
        <w:pStyle w:val="CETheadingx"/>
        <w:rPr>
          <w:lang w:eastAsia="es-MX"/>
        </w:rPr>
      </w:pPr>
      <w:r>
        <w:rPr>
          <w:lang w:eastAsia="es-MX"/>
        </w:rPr>
        <w:lastRenderedPageBreak/>
        <w:t>Catalyst</w:t>
      </w:r>
    </w:p>
    <w:p w14:paraId="3019760A" w14:textId="1D332AD4" w:rsidR="001A3D8D" w:rsidRDefault="00050829" w:rsidP="001A3D8D">
      <w:pPr>
        <w:pStyle w:val="CETBodytext"/>
      </w:pPr>
      <w:r>
        <w:t xml:space="preserve">As it was mentioned before, it is required a catalyst. It </w:t>
      </w:r>
      <w:r w:rsidR="00BE62EC">
        <w:t>can be</w:t>
      </w:r>
      <w:r w:rsidRPr="00EF3CA6">
        <w:rPr>
          <w:lang w:eastAsia="es-MX"/>
        </w:rPr>
        <w:t xml:space="preserve"> basic, acidic, or enzymatic</w:t>
      </w:r>
      <w:r>
        <w:rPr>
          <w:lang w:eastAsia="es-MX"/>
        </w:rPr>
        <w:t>.</w:t>
      </w:r>
      <w:r>
        <w:t xml:space="preserve"> </w:t>
      </w:r>
      <w:r w:rsidR="001A3D8D">
        <w:t>Using a catalyst in the transesterification reaction helps the alcohol to better dissolve with the oil phase</w:t>
      </w:r>
      <w:r>
        <w:t xml:space="preserve">. Something relevant is that </w:t>
      </w:r>
      <w:r w:rsidR="001A3D8D">
        <w:t>the oil (especially if residual), to be used in biodiesel production, must have a free fatty acid (FFA) content below 1% by weight to avoid saponification when using an alkaline catalyst to achieve high yield and purity</w:t>
      </w:r>
      <w:r w:rsidR="00B615DB">
        <w:t>.</w:t>
      </w:r>
      <w:r w:rsidR="001A3D8D">
        <w:t xml:space="preserve"> </w:t>
      </w:r>
      <w:r w:rsidR="00684C1F">
        <w:t>It is well known that waste cooking oil have a free fatty acid content higher than 1%</w:t>
      </w:r>
      <w:r w:rsidR="00422EBA">
        <w:t xml:space="preserve"> </w:t>
      </w:r>
      <w:r w:rsidR="00432DEC">
        <w:fldChar w:fldCharType="begin"/>
      </w:r>
      <w:r w:rsidR="00432DEC">
        <w:instrText xml:space="preserve"> ADDIN EN.CITE &lt;EndNote&gt;&lt;Cite&gt;&lt;Author&gt;Grosmann&lt;/Author&gt;&lt;Year&gt;2022&lt;/Year&gt;&lt;RecNum&gt;336&lt;/RecNum&gt;&lt;DisplayText&gt;(Grosmann et al. 2022)&lt;/DisplayText&gt;&lt;record&gt;&lt;rec-number&gt;336&lt;/rec-number&gt;&lt;foreign-keys&gt;&lt;key app="EN" db-id="vtw0azt0nfwd07esewv5x9rr9zf0r0wwt5zf" timestamp="1705245959" guid="da2d766c-018a-4e07-ba06-e12bfcbd63e0"&gt;336&lt;/key&gt;&lt;/foreign-keys&gt;&lt;ref-type name="Journal Article"&gt;17&lt;/ref-type&gt;&lt;contributors&gt;&lt;authors&gt;&lt;author&gt;Grosmann, Mikkel T.&lt;/author&gt;&lt;author&gt;Andrade, Thalles A.&lt;/author&gt;&lt;author&gt;Bitonto, Luigi di&lt;/author&gt;&lt;author&gt;Pastore, Carlo&lt;/author&gt;&lt;author&gt;Corazza, Marcos L.&lt;/author&gt;&lt;author&gt;Tronci, Stefania&lt;/author&gt;&lt;author&gt;Errico, Massimiliano&lt;/author&gt;&lt;/authors&gt;&lt;/contributors&gt;&lt;titles&gt;&lt;title&gt;Hydrated metal salt pretreatment and alkali catalyzed reactive distillation: A two-step production of waste cooking oil biodiesel&lt;/title&gt;&lt;secondary-title&gt;Chemical Engineering and Processing - Process Intensification&lt;/secondary-title&gt;&lt;/titles&gt;&lt;periodical&gt;&lt;full-title&gt;Chemical Engineering and Processing - Process Intensification&lt;/full-title&gt;&lt;/periodical&gt;&lt;pages&gt;108980&lt;/pages&gt;&lt;volume&gt;176&lt;/volume&gt;&lt;keywords&gt;&lt;keyword&gt;Biodiesel&lt;/keyword&gt;&lt;keyword&gt;Waste cooking oil&lt;/keyword&gt;&lt;keyword&gt;Pretreatment&lt;/keyword&gt;&lt;keyword&gt;Reactive distillation&lt;/keyword&gt;&lt;keyword&gt;Kinetics&lt;/keyword&gt;&lt;/keywords&gt;&lt;dates&gt;&lt;year&gt;2022&lt;/year&gt;&lt;pub-dates&gt;&lt;date&gt;2022/06/01/&lt;/date&gt;&lt;/pub-dates&gt;&lt;/dates&gt;&lt;isbn&gt;0255-2701&lt;/isbn&gt;&lt;urls&gt;&lt;related-urls&gt;&lt;url&gt;https://www.sciencedirect.com/science/article/pii/S0255270122001921&lt;/url&gt;&lt;/related-urls&gt;&lt;/urls&gt;&lt;electronic-resource-num&gt;https://doi.org/10.1016/j.cep.2022.108980&lt;/electronic-resource-num&gt;&lt;/record&gt;&lt;/Cite&gt;&lt;/EndNote&gt;</w:instrText>
      </w:r>
      <w:r w:rsidR="00432DEC">
        <w:fldChar w:fldCharType="separate"/>
      </w:r>
      <w:r w:rsidR="00432DEC">
        <w:rPr>
          <w:noProof/>
        </w:rPr>
        <w:t>(Grosmann et al. 2022)</w:t>
      </w:r>
      <w:r w:rsidR="00432DEC">
        <w:fldChar w:fldCharType="end"/>
      </w:r>
      <w:r w:rsidR="00684C1F">
        <w:t>.</w:t>
      </w:r>
    </w:p>
    <w:p w14:paraId="5BD23A51" w14:textId="4CD34488" w:rsidR="001A3D8D" w:rsidRDefault="001A3D8D" w:rsidP="001A3D8D">
      <w:pPr>
        <w:pStyle w:val="CETBodytext"/>
      </w:pPr>
      <w:r>
        <w:t xml:space="preserve">The acid catalytic process avoids saponification even though the oil used contains a large amount of FFA. However, a separation and purification step </w:t>
      </w:r>
      <w:r w:rsidR="00FB262B">
        <w:t>are</w:t>
      </w:r>
      <w:r>
        <w:t xml:space="preserve"> required, the reaction time is </w:t>
      </w:r>
      <w:r w:rsidR="0069404C">
        <w:t>longer,</w:t>
      </w:r>
      <w:r>
        <w:t xml:space="preserve"> and the temperature required is higher.</w:t>
      </w:r>
    </w:p>
    <w:p w14:paraId="2B1429B7" w14:textId="1AABBD07" w:rsidR="001A3D8D" w:rsidRDefault="001A3D8D" w:rsidP="001A3D8D">
      <w:pPr>
        <w:pStyle w:val="CETBodytext"/>
      </w:pPr>
      <w:r>
        <w:t xml:space="preserve">An alternative is to have a pretreatment stage (esterification) using an acid catalyst that converts the FFA into esters. In this way, transesterification can be carried out using a base to convert triglycerides to esters, without the risk of forming soap in the process. The disadvantage is that it can be costly as it requires separation of the catalyst, purification of the methyl esters, </w:t>
      </w:r>
      <w:r w:rsidR="00FB262B">
        <w:t>corrosion,</w:t>
      </w:r>
      <w:r>
        <w:t xml:space="preserve"> and high energy consumption </w:t>
      </w:r>
      <w:r w:rsidR="0069404C">
        <w:fldChar w:fldCharType="begin"/>
      </w:r>
      <w:r w:rsidR="0069404C">
        <w:instrText xml:space="preserve"> ADDIN EN.CITE &lt;EndNote&gt;&lt;Cite&gt;&lt;Author&gt;Elias&lt;/Author&gt;&lt;Year&gt;2020&lt;/Year&gt;&lt;RecNum&gt;337&lt;/RecNum&gt;&lt;DisplayText&gt;(Elias et al. 2020)&lt;/DisplayText&gt;&lt;record&gt;&lt;rec-number&gt;337&lt;/rec-number&gt;&lt;foreign-keys&gt;&lt;key app="EN" db-id="vtw0azt0nfwd07esewv5x9rr9zf0r0wwt5zf" timestamp="1705246140" guid="e621a5d2-9684-4b09-b24b-b0e4daf6b57d"&gt;337&lt;/key&gt;&lt;/foreign-keys&gt;&lt;ref-type name="Electronic Article"&gt;43&lt;/ref-type&gt;&lt;contributors&gt;&lt;authors&gt;&lt;author&gt;Elias, Samya&lt;/author&gt;&lt;author&gt;Rabiu, Ademola M.&lt;/author&gt;&lt;author&gt;Okeleye, Benjamin I.&lt;/author&gt;&lt;author&gt;Okudoh, Vincent&lt;/author&gt;&lt;author&gt;Oyekola, Oluwaseun&lt;/author&gt;&lt;/authors&gt;&lt;/contributors&gt;&lt;titles&gt;&lt;title&gt;Bifunctional Heterogeneous Catalyst for Biodiesel Production from Waste Vegetable Oil&lt;/title&gt;&lt;secondary-title&gt;Applied Sciences&lt;/secondary-title&gt;&lt;/titles&gt;&lt;volume&gt;10&lt;/volume&gt;&lt;number&gt;9&lt;/number&gt;&lt;keywords&gt;&lt;keyword&gt;CaO/Al2O3&lt;/keyword&gt;&lt;keyword&gt;biodiesel&lt;/keyword&gt;&lt;keyword&gt;waste palm oil&lt;/keyword&gt;&lt;keyword&gt;waste sunflower oil&lt;/keyword&gt;&lt;/keywords&gt;&lt;dates&gt;&lt;year&gt;2020&lt;/year&gt;&lt;/dates&gt;&lt;isbn&gt;2076-3417&lt;/isbn&gt;&lt;urls&gt;&lt;/urls&gt;&lt;electronic-resource-num&gt;10.3390/app10093153&lt;/electronic-resource-num&gt;&lt;/record&gt;&lt;/Cite&gt;&lt;/EndNote&gt;</w:instrText>
      </w:r>
      <w:r w:rsidR="0069404C">
        <w:fldChar w:fldCharType="separate"/>
      </w:r>
      <w:r w:rsidR="0069404C">
        <w:rPr>
          <w:noProof/>
        </w:rPr>
        <w:t>(Elias et al. 2020)</w:t>
      </w:r>
      <w:r w:rsidR="0069404C">
        <w:fldChar w:fldCharType="end"/>
      </w:r>
      <w:r>
        <w:t>.</w:t>
      </w:r>
      <w:r w:rsidR="004B4DBF">
        <w:t xml:space="preserve"> </w:t>
      </w:r>
    </w:p>
    <w:p w14:paraId="02323162" w14:textId="77777777" w:rsidR="00154BBC" w:rsidRDefault="00154BBC" w:rsidP="00B35C1E">
      <w:pPr>
        <w:pStyle w:val="CETBodytext"/>
      </w:pPr>
    </w:p>
    <w:p w14:paraId="1F2B577A" w14:textId="4237656C" w:rsidR="00154BBC" w:rsidRPr="00B35C1E" w:rsidRDefault="00154BBC" w:rsidP="00154BBC">
      <w:pPr>
        <w:pStyle w:val="CETheadingx"/>
      </w:pPr>
      <w:r>
        <w:t>Environmental and economic issues</w:t>
      </w:r>
    </w:p>
    <w:p w14:paraId="1334D1B2" w14:textId="05831C6C" w:rsidR="00E01778" w:rsidRPr="00B35C1E" w:rsidRDefault="00725370" w:rsidP="00B35C1E">
      <w:pPr>
        <w:pStyle w:val="CETBodytext"/>
      </w:pPr>
      <w:r>
        <w:t xml:space="preserve">Although WCO is also used in the manufacture of soaps and in the oleochemical industry, it still is a relevant raw material for biodiesel production </w:t>
      </w:r>
      <w:r w:rsidRPr="00B35C1E">
        <w:fldChar w:fldCharType="begin"/>
      </w:r>
      <w:r w:rsidRPr="00B35C1E">
        <w:instrText xml:space="preserve"> ADDIN EN.CITE &lt;EndNote&gt;&lt;Cite&gt;&lt;Author&gt;Sheinbaum-Pardo&lt;/Author&gt;&lt;Year&gt;2013&lt;/Year&gt;&lt;RecNum&gt;326&lt;/RecNum&gt;&lt;DisplayText&gt;(Sheinbaum-Pardo et al. 2013)&lt;/DisplayText&gt;&lt;record&gt;&lt;rec-number&gt;326&lt;/rec-number&gt;&lt;foreign-keys&gt;&lt;key app="EN" db-id="vtw0azt0nfwd07esewv5x9rr9zf0r0wwt5zf" timestamp="1702574899" guid="79a58df2-1284-4882-8cf7-2a3451a427e3"&gt;326&lt;/key&gt;&lt;/foreign-keys&gt;&lt;ref-type name="Journal Article"&gt;17&lt;/ref-type&gt;&lt;contributors&gt;&lt;authors&gt;&lt;author&gt;Sheinbaum-Pardo, Claudia&lt;/author&gt;&lt;author&gt;Calderón-Irazoque, Andrea&lt;/author&gt;&lt;author&gt;Ramírez-Suárez, Mariana&lt;/author&gt;&lt;/authors&gt;&lt;/contributors&gt;&lt;titles&gt;&lt;title&gt;Potential of biodiesel from waste cooking oil in Mexico&lt;/title&gt;&lt;secondary-title&gt;Biomass and Bioenergy&lt;/secondary-title&gt;&lt;/titles&gt;&lt;periodical&gt;&lt;full-title&gt;Biomass and Bioenergy&lt;/full-title&gt;&lt;/periodical&gt;&lt;pages&gt;230-238&lt;/pages&gt;&lt;volume&gt;56&lt;/volume&gt;&lt;keywords&gt;&lt;keyword&gt;Waste cooking oil&lt;/keyword&gt;&lt;keyword&gt;Biodiesel&lt;/keyword&gt;&lt;keyword&gt;Mexico&lt;/keyword&gt;&lt;keyword&gt;CO emissions&lt;/keyword&gt;&lt;/keywords&gt;&lt;dates&gt;&lt;year&gt;2013&lt;/year&gt;&lt;pub-dates&gt;&lt;date&gt;2013/09/01/&lt;/date&gt;&lt;/pub-dates&gt;&lt;/dates&gt;&lt;isbn&gt;0961-9534&lt;/isbn&gt;&lt;urls&gt;&lt;related-urls&gt;&lt;url&gt;https://www.sciencedirect.com/science/article/pii/S0961953413002365&lt;/url&gt;&lt;/related-urls&gt;&lt;/urls&gt;&lt;electronic-resource-num&gt;https://doi.org/10.1016/j.biombioe.2013.05.008&lt;/electronic-resource-num&gt;&lt;/record&gt;&lt;/Cite&gt;&lt;/EndNote&gt;</w:instrText>
      </w:r>
      <w:r w:rsidRPr="00B35C1E">
        <w:fldChar w:fldCharType="separate"/>
      </w:r>
      <w:r w:rsidRPr="00B35C1E">
        <w:t>(Sheinbaum-Pardo et al. 2013)</w:t>
      </w:r>
      <w:r w:rsidRPr="00B35C1E">
        <w:fldChar w:fldCharType="end"/>
      </w:r>
      <w:r>
        <w:t>.</w:t>
      </w:r>
      <w:r w:rsidR="0063498F">
        <w:t xml:space="preserve"> </w:t>
      </w:r>
      <w:r w:rsidR="00E01778" w:rsidRPr="00B35C1E">
        <w:t>Many studies report that the properties of biodiesel are comparable to those of petroleum diesel, which makes it to be considered as an alternative energy source. Waste cooking oil is one of the most viable sources for biodiesel production. In addition to being economical, it reduces the costs associated with its disposal as waste.</w:t>
      </w:r>
      <w:r w:rsidR="00075C18">
        <w:t xml:space="preserve"> </w:t>
      </w:r>
      <w:r w:rsidR="00075C18" w:rsidRPr="00EF3CA6">
        <w:rPr>
          <w:lang w:eastAsia="es-MX"/>
        </w:rPr>
        <w:t>According to several studies, the yield when using ACU is like that obtained with virgin oil (higher than 90%)</w:t>
      </w:r>
      <w:r w:rsidR="00E01778" w:rsidRPr="00B35C1E">
        <w:t xml:space="preserve"> The large amount of water and free fatty acids in used cooking oil makes the production of biodiesel using this feedstock difficult. </w:t>
      </w:r>
    </w:p>
    <w:p w14:paraId="5ED26C71" w14:textId="3A41B830" w:rsidR="00D90B67" w:rsidRDefault="00E01778" w:rsidP="00600535">
      <w:pPr>
        <w:pStyle w:val="CETBodytext"/>
      </w:pPr>
      <w:r w:rsidRPr="00B35C1E">
        <w:t xml:space="preserve">Approximately 70-80% of the cost of biodiesel production is associated with the cost of the raw material, which could be reduced by up to 60-70% if waste cooking oil is used. </w:t>
      </w:r>
      <w:r w:rsidR="00D90B67">
        <w:t xml:space="preserve">It is important to mention that in Mexico, there is not a </w:t>
      </w:r>
      <w:r w:rsidR="00715C6B">
        <w:t>specific regulation</w:t>
      </w:r>
      <w:r w:rsidR="00D90B67">
        <w:t xml:space="preserve"> for disposal of the wa</w:t>
      </w:r>
      <w:r w:rsidR="00715C6B">
        <w:t>s</w:t>
      </w:r>
      <w:r w:rsidR="00D90B67">
        <w:t xml:space="preserve">te cooking oil. </w:t>
      </w:r>
      <w:r w:rsidR="004022F5">
        <w:t>Therefore, t</w:t>
      </w:r>
      <w:r w:rsidRPr="00B35C1E">
        <w:t xml:space="preserve">here is a latent environmental problem regarding the disposal of waste cooking oil, since in many cases this oil is disposed of directly into the sewage system. This degrades water quality and causes serious health problems. The use of this oil as feedstock for biodiesel production, could help mitigate water contamination, as well as reduce the blockage of drainage systems. In this way it could help to decrease the disposal process of this waste raw material, and partially help to satisfy the world's energy demand. </w:t>
      </w:r>
    </w:p>
    <w:p w14:paraId="3ADBF1B1" w14:textId="086B9005" w:rsidR="00E3704F" w:rsidRDefault="00B41918" w:rsidP="00E3704F">
      <w:pPr>
        <w:pStyle w:val="CETHeading1"/>
      </w:pPr>
      <w:r>
        <w:t>Metho</w:t>
      </w:r>
      <w:r w:rsidR="00DC63CF">
        <w:t>do</w:t>
      </w:r>
      <w:r>
        <w:t>logy</w:t>
      </w:r>
      <w:r w:rsidR="00E3704F">
        <w:t xml:space="preserve"> </w:t>
      </w:r>
    </w:p>
    <w:p w14:paraId="4FEBB3FA" w14:textId="55C170C7" w:rsidR="00E3704F" w:rsidRPr="00481947" w:rsidRDefault="00E3704F" w:rsidP="00462819">
      <w:pPr>
        <w:pStyle w:val="CETheadingx"/>
      </w:pPr>
      <w:r>
        <w:t>Raw material composition</w:t>
      </w:r>
    </w:p>
    <w:p w14:paraId="06AD86FB" w14:textId="006562F1" w:rsidR="00E3704F" w:rsidRPr="00E3704F" w:rsidRDefault="00E3704F" w:rsidP="00462819">
      <w:pPr>
        <w:pStyle w:val="CETBodytext"/>
      </w:pPr>
      <w:r>
        <w:t xml:space="preserve">The process simulation software </w:t>
      </w:r>
      <w:r w:rsidRPr="00E3704F">
        <w:t xml:space="preserve">ASPEN Plus V10.0 software was used to simulate the used cooking oil purification process. As mentioned above, the objective of this work was to simulate the process to provide a possible solution to the disposal and use of this waste in the central region of Mexico, specifically in the state of Guanajuato. The main oils used in the region were investigated, as well as the final composition of the oil after it is used for cooking. One liter of </w:t>
      </w:r>
      <w:r>
        <w:t>WCO</w:t>
      </w:r>
      <w:r w:rsidRPr="00E3704F">
        <w:t xml:space="preserve"> is 85% oil, 10% water and 5% organic matter</w:t>
      </w:r>
      <w:r w:rsidR="00AA2ADF">
        <w:t xml:space="preserve"> and its composition is reported </w:t>
      </w:r>
      <w:r w:rsidR="00715C28">
        <w:t>in</w:t>
      </w:r>
      <w:r w:rsidR="00AA2ADF">
        <w:t xml:space="preserve"> Table 1</w:t>
      </w:r>
      <w:r w:rsidR="00715C28">
        <w:t xml:space="preserve">. </w:t>
      </w:r>
      <w:r w:rsidRPr="00E3704F">
        <w:t xml:space="preserve">The ash derived from the cooking processes was also </w:t>
      </w:r>
      <w:r w:rsidR="00715C28">
        <w:t>included. Usually, this residual component it is no</w:t>
      </w:r>
      <w:r w:rsidR="00481947">
        <w:t>t</w:t>
      </w:r>
      <w:r w:rsidR="00715C28">
        <w:t xml:space="preserve"> included in some similar simulation.</w:t>
      </w:r>
    </w:p>
    <w:p w14:paraId="1B844547" w14:textId="77777777" w:rsidR="0017743C" w:rsidRDefault="0017743C" w:rsidP="0017743C">
      <w:pPr>
        <w:pStyle w:val="CETTabletitle"/>
        <w:rPr>
          <w:lang w:val="es-MX"/>
        </w:rPr>
      </w:pPr>
      <w:r w:rsidRPr="0042036A">
        <w:rPr>
          <w:lang w:val="es-MX"/>
        </w:rPr>
        <w:t>Tabl</w:t>
      </w:r>
      <w:r>
        <w:rPr>
          <w:lang w:val="es-MX"/>
        </w:rPr>
        <w:t>e</w:t>
      </w:r>
      <w:r w:rsidRPr="0042036A">
        <w:rPr>
          <w:lang w:val="es-MX"/>
        </w:rPr>
        <w:t xml:space="preserve"> </w:t>
      </w:r>
      <w:r>
        <w:rPr>
          <w:lang w:val="es-MX"/>
        </w:rPr>
        <w:t>1</w:t>
      </w:r>
      <w:r w:rsidRPr="0042036A">
        <w:rPr>
          <w:lang w:val="es-MX"/>
        </w:rPr>
        <w:t xml:space="preserve">. </w:t>
      </w:r>
      <w:r>
        <w:rPr>
          <w:lang w:val="es-MX"/>
        </w:rPr>
        <w:t>Composition of</w:t>
      </w:r>
      <w:r w:rsidRPr="0042036A">
        <w:rPr>
          <w:lang w:val="es-MX"/>
        </w:rPr>
        <w:t xml:space="preserve"> </w:t>
      </w:r>
      <w:r>
        <w:rPr>
          <w:lang w:val="es-MX"/>
        </w:rPr>
        <w:t>WCO.</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tblGrid>
      <w:tr w:rsidR="0017743C" w:rsidRPr="00B57B36" w14:paraId="51175D2A" w14:textId="77777777" w:rsidTr="00BA77D5">
        <w:tc>
          <w:tcPr>
            <w:tcW w:w="1134" w:type="dxa"/>
            <w:tcBorders>
              <w:top w:val="single" w:sz="12" w:space="0" w:color="008000"/>
              <w:bottom w:val="single" w:sz="6" w:space="0" w:color="008000"/>
            </w:tcBorders>
            <w:shd w:val="clear" w:color="auto" w:fill="FFFFFF"/>
          </w:tcPr>
          <w:p w14:paraId="3C627695" w14:textId="77777777" w:rsidR="0017743C" w:rsidRPr="00B57B36" w:rsidRDefault="0017743C" w:rsidP="00BA77D5">
            <w:pPr>
              <w:pStyle w:val="CETBodytext"/>
              <w:rPr>
                <w:lang w:val="en-GB"/>
              </w:rPr>
            </w:pPr>
            <w:r>
              <w:rPr>
                <w:lang w:val="en-GB"/>
              </w:rPr>
              <w:t>Component</w:t>
            </w:r>
          </w:p>
        </w:tc>
        <w:tc>
          <w:tcPr>
            <w:tcW w:w="1134" w:type="dxa"/>
            <w:tcBorders>
              <w:top w:val="single" w:sz="12" w:space="0" w:color="008000"/>
              <w:bottom w:val="single" w:sz="6" w:space="0" w:color="008000"/>
            </w:tcBorders>
            <w:shd w:val="clear" w:color="auto" w:fill="FFFFFF"/>
          </w:tcPr>
          <w:p w14:paraId="286BF80A" w14:textId="77777777" w:rsidR="0017743C" w:rsidRPr="00B57B36" w:rsidRDefault="0017743C" w:rsidP="00BA77D5">
            <w:pPr>
              <w:pStyle w:val="CETBodytext"/>
              <w:rPr>
                <w:lang w:val="en-GB"/>
              </w:rPr>
            </w:pPr>
            <w:r>
              <w:rPr>
                <w:lang w:val="en-GB"/>
              </w:rPr>
              <w:t xml:space="preserve">Mass Fraction </w:t>
            </w:r>
          </w:p>
        </w:tc>
      </w:tr>
      <w:tr w:rsidR="0017743C" w:rsidRPr="00B57B36" w14:paraId="713B1403" w14:textId="77777777" w:rsidTr="00BA77D5">
        <w:tc>
          <w:tcPr>
            <w:tcW w:w="1134" w:type="dxa"/>
            <w:shd w:val="clear" w:color="auto" w:fill="FFFFFF"/>
          </w:tcPr>
          <w:p w14:paraId="085E03AE" w14:textId="0FC47C4B" w:rsidR="0017743C" w:rsidRPr="00B57B36" w:rsidRDefault="0017743C" w:rsidP="00BA77D5">
            <w:pPr>
              <w:pStyle w:val="CETBodytext"/>
              <w:rPr>
                <w:lang w:val="en-GB"/>
              </w:rPr>
            </w:pPr>
            <w:r>
              <w:rPr>
                <w:lang w:val="en-GB"/>
              </w:rPr>
              <w:t>Triole</w:t>
            </w:r>
            <w:r w:rsidR="001E6599">
              <w:rPr>
                <w:lang w:val="en-GB"/>
              </w:rPr>
              <w:t>in</w:t>
            </w:r>
          </w:p>
        </w:tc>
        <w:tc>
          <w:tcPr>
            <w:tcW w:w="1134" w:type="dxa"/>
            <w:shd w:val="clear" w:color="auto" w:fill="FFFFFF"/>
          </w:tcPr>
          <w:p w14:paraId="19BFE183" w14:textId="77777777" w:rsidR="0017743C" w:rsidRPr="00B57B36" w:rsidRDefault="0017743C" w:rsidP="00BA77D5">
            <w:pPr>
              <w:pStyle w:val="CETBodytext"/>
              <w:rPr>
                <w:lang w:val="en-GB"/>
              </w:rPr>
            </w:pPr>
            <w:r>
              <w:rPr>
                <w:lang w:val="en-GB"/>
              </w:rPr>
              <w:t>0.7184</w:t>
            </w:r>
          </w:p>
        </w:tc>
      </w:tr>
      <w:tr w:rsidR="0017743C" w:rsidRPr="00B57B36" w14:paraId="38350335" w14:textId="77777777" w:rsidTr="00BA77D5">
        <w:tc>
          <w:tcPr>
            <w:tcW w:w="1134" w:type="dxa"/>
            <w:shd w:val="clear" w:color="auto" w:fill="FFFFFF"/>
          </w:tcPr>
          <w:p w14:paraId="027BA47D" w14:textId="0D26C12F" w:rsidR="0017743C" w:rsidRPr="00B57B36" w:rsidRDefault="0017743C" w:rsidP="00BA77D5">
            <w:pPr>
              <w:pStyle w:val="CETBodytext"/>
              <w:ind w:right="-1"/>
              <w:rPr>
                <w:rFonts w:cs="Arial"/>
                <w:szCs w:val="18"/>
                <w:lang w:val="en-GB"/>
              </w:rPr>
            </w:pPr>
            <w:r>
              <w:rPr>
                <w:rFonts w:cs="Arial"/>
                <w:szCs w:val="18"/>
                <w:lang w:val="en-GB"/>
              </w:rPr>
              <w:t>Diole</w:t>
            </w:r>
            <w:r w:rsidR="001E6599">
              <w:rPr>
                <w:rFonts w:cs="Arial"/>
                <w:szCs w:val="18"/>
                <w:lang w:val="en-GB"/>
              </w:rPr>
              <w:t>in</w:t>
            </w:r>
          </w:p>
        </w:tc>
        <w:tc>
          <w:tcPr>
            <w:tcW w:w="1134" w:type="dxa"/>
            <w:shd w:val="clear" w:color="auto" w:fill="FFFFFF"/>
          </w:tcPr>
          <w:p w14:paraId="5C620A61" w14:textId="77777777" w:rsidR="0017743C" w:rsidRPr="00B57B36" w:rsidRDefault="0017743C" w:rsidP="00BA77D5">
            <w:pPr>
              <w:pStyle w:val="CETBodytext"/>
              <w:ind w:right="-1"/>
              <w:rPr>
                <w:rFonts w:cs="Arial"/>
                <w:szCs w:val="18"/>
                <w:lang w:val="en-GB"/>
              </w:rPr>
            </w:pPr>
            <w:r>
              <w:rPr>
                <w:rFonts w:cs="Arial"/>
                <w:szCs w:val="18"/>
                <w:lang w:val="en-GB"/>
              </w:rPr>
              <w:t>0.0309</w:t>
            </w:r>
          </w:p>
        </w:tc>
      </w:tr>
      <w:tr w:rsidR="0017743C" w:rsidRPr="00B57B36" w14:paraId="66A71C5A" w14:textId="77777777" w:rsidTr="00BA77D5">
        <w:tc>
          <w:tcPr>
            <w:tcW w:w="1134" w:type="dxa"/>
            <w:shd w:val="clear" w:color="auto" w:fill="FFFFFF"/>
          </w:tcPr>
          <w:p w14:paraId="64C8DC2C" w14:textId="748A0D05" w:rsidR="0017743C" w:rsidRDefault="0017743C" w:rsidP="00BA77D5">
            <w:pPr>
              <w:pStyle w:val="CETBodytext"/>
              <w:ind w:right="-1"/>
              <w:rPr>
                <w:rFonts w:cs="Arial"/>
                <w:szCs w:val="18"/>
                <w:lang w:val="en-GB"/>
              </w:rPr>
            </w:pPr>
            <w:proofErr w:type="spellStart"/>
            <w:r>
              <w:rPr>
                <w:rFonts w:cs="Arial"/>
                <w:szCs w:val="18"/>
                <w:lang w:val="en-GB"/>
              </w:rPr>
              <w:t>Monole</w:t>
            </w:r>
            <w:r w:rsidR="001E6599">
              <w:rPr>
                <w:rFonts w:cs="Arial"/>
                <w:szCs w:val="18"/>
                <w:lang w:val="en-GB"/>
              </w:rPr>
              <w:t>in</w:t>
            </w:r>
            <w:proofErr w:type="spellEnd"/>
          </w:p>
        </w:tc>
        <w:tc>
          <w:tcPr>
            <w:tcW w:w="1134" w:type="dxa"/>
            <w:shd w:val="clear" w:color="auto" w:fill="FFFFFF"/>
          </w:tcPr>
          <w:p w14:paraId="08B36E9C" w14:textId="77777777" w:rsidR="0017743C" w:rsidRDefault="0017743C" w:rsidP="00BA77D5">
            <w:pPr>
              <w:pStyle w:val="CETBodytext"/>
              <w:ind w:right="-1"/>
              <w:rPr>
                <w:rFonts w:cs="Arial"/>
                <w:szCs w:val="18"/>
                <w:lang w:val="en-GB"/>
              </w:rPr>
            </w:pPr>
            <w:r>
              <w:rPr>
                <w:rFonts w:cs="Arial"/>
                <w:szCs w:val="18"/>
                <w:lang w:val="en-GB"/>
              </w:rPr>
              <w:t>0.0063</w:t>
            </w:r>
          </w:p>
        </w:tc>
      </w:tr>
      <w:tr w:rsidR="0017743C" w:rsidRPr="00B57B36" w14:paraId="1E203F9E" w14:textId="77777777" w:rsidTr="00BA77D5">
        <w:tc>
          <w:tcPr>
            <w:tcW w:w="1134" w:type="dxa"/>
            <w:shd w:val="clear" w:color="auto" w:fill="FFFFFF"/>
          </w:tcPr>
          <w:p w14:paraId="33F7A60D" w14:textId="77777777" w:rsidR="0017743C" w:rsidRDefault="0017743C" w:rsidP="00BA77D5">
            <w:pPr>
              <w:pStyle w:val="CETBodytext"/>
              <w:ind w:right="-1"/>
              <w:rPr>
                <w:rFonts w:cs="Arial"/>
                <w:szCs w:val="18"/>
                <w:lang w:val="en-GB"/>
              </w:rPr>
            </w:pPr>
            <w:r>
              <w:rPr>
                <w:rFonts w:cs="Arial"/>
                <w:szCs w:val="18"/>
                <w:lang w:val="en-GB"/>
              </w:rPr>
              <w:t>Oleic Acid</w:t>
            </w:r>
          </w:p>
        </w:tc>
        <w:tc>
          <w:tcPr>
            <w:tcW w:w="1134" w:type="dxa"/>
            <w:shd w:val="clear" w:color="auto" w:fill="FFFFFF"/>
          </w:tcPr>
          <w:p w14:paraId="3EAA1624" w14:textId="77777777" w:rsidR="0017743C" w:rsidRDefault="0017743C" w:rsidP="00BA77D5">
            <w:pPr>
              <w:pStyle w:val="CETBodytext"/>
              <w:ind w:right="-1"/>
              <w:rPr>
                <w:rFonts w:cs="Arial"/>
                <w:szCs w:val="18"/>
                <w:lang w:val="en-GB"/>
              </w:rPr>
            </w:pPr>
            <w:r>
              <w:rPr>
                <w:rFonts w:cs="Arial"/>
                <w:szCs w:val="18"/>
                <w:lang w:val="en-GB"/>
              </w:rPr>
              <w:t>0.0801</w:t>
            </w:r>
          </w:p>
        </w:tc>
      </w:tr>
      <w:tr w:rsidR="0017743C" w:rsidRPr="00B57B36" w14:paraId="4CD24B7D" w14:textId="77777777" w:rsidTr="00BA77D5">
        <w:tc>
          <w:tcPr>
            <w:tcW w:w="1134" w:type="dxa"/>
            <w:shd w:val="clear" w:color="auto" w:fill="FFFFFF"/>
          </w:tcPr>
          <w:p w14:paraId="56355063" w14:textId="77777777" w:rsidR="0017743C" w:rsidRDefault="0017743C" w:rsidP="00BA77D5">
            <w:pPr>
              <w:pStyle w:val="CETBodytext"/>
              <w:ind w:right="-1"/>
              <w:rPr>
                <w:rFonts w:cs="Arial"/>
                <w:szCs w:val="18"/>
                <w:lang w:val="en-GB"/>
              </w:rPr>
            </w:pPr>
            <w:r>
              <w:rPr>
                <w:rFonts w:cs="Arial"/>
                <w:szCs w:val="18"/>
                <w:lang w:val="en-GB"/>
              </w:rPr>
              <w:t>Linoleic Acid</w:t>
            </w:r>
          </w:p>
        </w:tc>
        <w:tc>
          <w:tcPr>
            <w:tcW w:w="1134" w:type="dxa"/>
            <w:shd w:val="clear" w:color="auto" w:fill="FFFFFF"/>
            <w:vAlign w:val="center"/>
          </w:tcPr>
          <w:p w14:paraId="5659C473" w14:textId="77777777" w:rsidR="0017743C" w:rsidRDefault="0017743C" w:rsidP="00BA77D5">
            <w:pPr>
              <w:pStyle w:val="CETBodytext"/>
              <w:ind w:right="-1"/>
              <w:rPr>
                <w:rFonts w:cs="Arial"/>
                <w:szCs w:val="18"/>
                <w:lang w:val="en-GB"/>
              </w:rPr>
            </w:pPr>
            <w:r>
              <w:t>0.0325</w:t>
            </w:r>
          </w:p>
        </w:tc>
      </w:tr>
      <w:tr w:rsidR="0017743C" w:rsidRPr="00B57B36" w14:paraId="0779F0C2" w14:textId="77777777" w:rsidTr="00BA77D5">
        <w:tc>
          <w:tcPr>
            <w:tcW w:w="1134" w:type="dxa"/>
            <w:shd w:val="clear" w:color="auto" w:fill="FFFFFF"/>
          </w:tcPr>
          <w:p w14:paraId="3AA6E0D6" w14:textId="77777777" w:rsidR="0017743C" w:rsidRDefault="0017743C" w:rsidP="00BA77D5">
            <w:pPr>
              <w:pStyle w:val="CETBodytext"/>
              <w:ind w:right="-1"/>
              <w:rPr>
                <w:rFonts w:cs="Arial"/>
                <w:szCs w:val="18"/>
                <w:lang w:val="en-GB"/>
              </w:rPr>
            </w:pPr>
            <w:r>
              <w:rPr>
                <w:rFonts w:cs="Arial"/>
                <w:szCs w:val="18"/>
                <w:lang w:val="en-GB"/>
              </w:rPr>
              <w:t>Palmitic Acid</w:t>
            </w:r>
          </w:p>
        </w:tc>
        <w:tc>
          <w:tcPr>
            <w:tcW w:w="1134" w:type="dxa"/>
            <w:shd w:val="clear" w:color="auto" w:fill="FFFFFF"/>
            <w:vAlign w:val="center"/>
          </w:tcPr>
          <w:p w14:paraId="2F0C5732" w14:textId="77777777" w:rsidR="0017743C" w:rsidRDefault="0017743C" w:rsidP="00BA77D5">
            <w:pPr>
              <w:pStyle w:val="CETBodytext"/>
              <w:ind w:right="-1"/>
              <w:rPr>
                <w:rFonts w:cs="Arial"/>
                <w:szCs w:val="18"/>
                <w:lang w:val="en-GB"/>
              </w:rPr>
            </w:pPr>
            <w:r>
              <w:t>0.0119</w:t>
            </w:r>
          </w:p>
        </w:tc>
      </w:tr>
      <w:tr w:rsidR="0017743C" w:rsidRPr="00B57B36" w14:paraId="34495C9D" w14:textId="77777777" w:rsidTr="00BA77D5">
        <w:tc>
          <w:tcPr>
            <w:tcW w:w="1134" w:type="dxa"/>
            <w:shd w:val="clear" w:color="auto" w:fill="FFFFFF"/>
          </w:tcPr>
          <w:p w14:paraId="6C1602EA" w14:textId="77777777" w:rsidR="0017743C" w:rsidRDefault="0017743C" w:rsidP="00BA77D5">
            <w:pPr>
              <w:pStyle w:val="CETBodytext"/>
              <w:ind w:right="-1"/>
              <w:rPr>
                <w:rFonts w:cs="Arial"/>
                <w:szCs w:val="18"/>
                <w:lang w:val="en-GB"/>
              </w:rPr>
            </w:pPr>
            <w:proofErr w:type="spellStart"/>
            <w:r>
              <w:rPr>
                <w:rFonts w:cs="Arial"/>
                <w:szCs w:val="18"/>
                <w:lang w:val="en-GB"/>
              </w:rPr>
              <w:t>Esteric</w:t>
            </w:r>
            <w:proofErr w:type="spellEnd"/>
            <w:r>
              <w:rPr>
                <w:rFonts w:cs="Arial"/>
                <w:szCs w:val="18"/>
                <w:lang w:val="en-GB"/>
              </w:rPr>
              <w:t xml:space="preserve"> Acid</w:t>
            </w:r>
          </w:p>
        </w:tc>
        <w:tc>
          <w:tcPr>
            <w:tcW w:w="1134" w:type="dxa"/>
            <w:shd w:val="clear" w:color="auto" w:fill="FFFFFF"/>
            <w:vAlign w:val="center"/>
          </w:tcPr>
          <w:p w14:paraId="237AACF1" w14:textId="77777777" w:rsidR="0017743C" w:rsidRDefault="0017743C" w:rsidP="00BA77D5">
            <w:pPr>
              <w:pStyle w:val="CETBodytext"/>
              <w:ind w:right="-1"/>
              <w:rPr>
                <w:rFonts w:cs="Arial"/>
                <w:szCs w:val="18"/>
                <w:lang w:val="en-GB"/>
              </w:rPr>
            </w:pPr>
            <w:r>
              <w:t>0.009</w:t>
            </w:r>
          </w:p>
        </w:tc>
      </w:tr>
      <w:tr w:rsidR="0017743C" w:rsidRPr="00B57B36" w14:paraId="1E8F5EFD" w14:textId="77777777" w:rsidTr="00BA77D5">
        <w:tc>
          <w:tcPr>
            <w:tcW w:w="1134" w:type="dxa"/>
            <w:shd w:val="clear" w:color="auto" w:fill="FFFFFF"/>
          </w:tcPr>
          <w:p w14:paraId="7D72BC50" w14:textId="77777777" w:rsidR="0017743C" w:rsidRDefault="0017743C" w:rsidP="00BA77D5">
            <w:pPr>
              <w:pStyle w:val="CETBodytext"/>
              <w:ind w:right="-1"/>
              <w:rPr>
                <w:rFonts w:cs="Arial"/>
                <w:szCs w:val="18"/>
                <w:lang w:val="en-GB"/>
              </w:rPr>
            </w:pPr>
            <w:r>
              <w:rPr>
                <w:rFonts w:cs="Arial"/>
                <w:szCs w:val="18"/>
                <w:lang w:val="en-GB"/>
              </w:rPr>
              <w:t>Water</w:t>
            </w:r>
          </w:p>
        </w:tc>
        <w:tc>
          <w:tcPr>
            <w:tcW w:w="1134" w:type="dxa"/>
            <w:shd w:val="clear" w:color="auto" w:fill="FFFFFF"/>
            <w:vAlign w:val="center"/>
          </w:tcPr>
          <w:p w14:paraId="35AF3BA1" w14:textId="77777777" w:rsidR="0017743C" w:rsidRDefault="0017743C" w:rsidP="00BA77D5">
            <w:pPr>
              <w:pStyle w:val="CETBodytext"/>
              <w:ind w:right="-1"/>
              <w:rPr>
                <w:rFonts w:cs="Arial"/>
                <w:szCs w:val="18"/>
                <w:lang w:val="en-GB"/>
              </w:rPr>
            </w:pPr>
            <w:r>
              <w:t>0.11</w:t>
            </w:r>
          </w:p>
        </w:tc>
      </w:tr>
      <w:tr w:rsidR="0017743C" w:rsidRPr="00B57B36" w14:paraId="725CAE55" w14:textId="77777777" w:rsidTr="00BA77D5">
        <w:tc>
          <w:tcPr>
            <w:tcW w:w="1134" w:type="dxa"/>
            <w:shd w:val="clear" w:color="auto" w:fill="FFFFFF"/>
          </w:tcPr>
          <w:p w14:paraId="7D3BDF08" w14:textId="77777777" w:rsidR="0017743C" w:rsidRDefault="0017743C" w:rsidP="00BA77D5">
            <w:pPr>
              <w:pStyle w:val="CETBodytext"/>
              <w:ind w:right="-1"/>
              <w:rPr>
                <w:rFonts w:cs="Arial"/>
                <w:szCs w:val="18"/>
                <w:lang w:val="en-GB"/>
              </w:rPr>
            </w:pPr>
            <w:r>
              <w:rPr>
                <w:rFonts w:cs="Arial"/>
                <w:szCs w:val="18"/>
                <w:lang w:val="en-GB"/>
              </w:rPr>
              <w:t>Ash</w:t>
            </w:r>
          </w:p>
        </w:tc>
        <w:tc>
          <w:tcPr>
            <w:tcW w:w="1134" w:type="dxa"/>
            <w:shd w:val="clear" w:color="auto" w:fill="FFFFFF"/>
            <w:vAlign w:val="center"/>
          </w:tcPr>
          <w:p w14:paraId="7CE82EE9" w14:textId="77777777" w:rsidR="0017743C" w:rsidRDefault="0017743C" w:rsidP="00BA77D5">
            <w:pPr>
              <w:pStyle w:val="CETBodytext"/>
              <w:ind w:right="-1"/>
              <w:rPr>
                <w:rFonts w:cs="Arial"/>
                <w:szCs w:val="18"/>
                <w:lang w:val="en-GB"/>
              </w:rPr>
            </w:pPr>
            <w:r>
              <w:t>0.0009</w:t>
            </w:r>
          </w:p>
        </w:tc>
      </w:tr>
    </w:tbl>
    <w:p w14:paraId="288E71A2" w14:textId="4984AE86" w:rsidR="0017743C" w:rsidRPr="009E26DA" w:rsidRDefault="009E26DA" w:rsidP="00462819">
      <w:pPr>
        <w:pStyle w:val="CETBodytext"/>
      </w:pPr>
      <w:r w:rsidRPr="009149F0">
        <w:t xml:space="preserve">The procedure to carry out the simulation mainly involves the definition of the chemical components </w:t>
      </w:r>
      <w:r>
        <w:t>required</w:t>
      </w:r>
      <w:r w:rsidRPr="009149F0">
        <w:t xml:space="preserve"> in the </w:t>
      </w:r>
      <w:r>
        <w:t xml:space="preserve">chemical </w:t>
      </w:r>
      <w:r w:rsidRPr="009149F0">
        <w:t xml:space="preserve">process to be simulated, the </w:t>
      </w:r>
      <w:r>
        <w:t>suitable</w:t>
      </w:r>
      <w:r w:rsidRPr="009149F0">
        <w:t xml:space="preserve"> choice of the thermodynamic model</w:t>
      </w:r>
      <w:r>
        <w:t xml:space="preserve"> and choosing </w:t>
      </w:r>
      <w:r w:rsidRPr="009149F0">
        <w:t>the required operating units and their operating conditions.</w:t>
      </w:r>
    </w:p>
    <w:p w14:paraId="1260927F" w14:textId="69ACF63E" w:rsidR="002C1DF6" w:rsidRDefault="00A66BF8" w:rsidP="00462819">
      <w:pPr>
        <w:pStyle w:val="CETBodytext"/>
      </w:pPr>
      <w:r w:rsidRPr="00DB56DD">
        <w:lastRenderedPageBreak/>
        <w:t xml:space="preserve">Information of most components </w:t>
      </w:r>
      <w:r>
        <w:t xml:space="preserve">such </w:t>
      </w:r>
      <w:r w:rsidRPr="00DB56DD">
        <w:t xml:space="preserve">as </w:t>
      </w:r>
      <w:r>
        <w:t xml:space="preserve">water, glycerol, methanol, oleic acid was included in the Aspen library. However, other components such as ash, triolein, diolein and monoolein, calcium carbonate and </w:t>
      </w:r>
      <w:r w:rsidRPr="00DB56DD">
        <w:t xml:space="preserve">sodium </w:t>
      </w:r>
      <w:r w:rsidR="004B59A6" w:rsidRPr="00DB56DD">
        <w:t xml:space="preserve">hydroxide </w:t>
      </w:r>
      <w:r w:rsidR="004B59A6">
        <w:t>as</w:t>
      </w:r>
      <w:r w:rsidR="00646EFF">
        <w:t xml:space="preserve"> well as their properties </w:t>
      </w:r>
      <w:r>
        <w:t>were defined using the corresponding tool included in ASPEN Plus V10.</w:t>
      </w:r>
    </w:p>
    <w:p w14:paraId="1E7545EE" w14:textId="36657BA8" w:rsidR="00920793" w:rsidRPr="00FE0116" w:rsidRDefault="001F47F1" w:rsidP="00462819">
      <w:pPr>
        <w:pStyle w:val="CETheadingx"/>
      </w:pPr>
      <w:r>
        <w:t>Thermodynamic</w:t>
      </w:r>
      <w:r w:rsidR="00920793">
        <w:t xml:space="preserve"> model</w:t>
      </w:r>
    </w:p>
    <w:p w14:paraId="4E625ABD" w14:textId="31B0ABCC" w:rsidR="001D6FDE" w:rsidRDefault="0022630F" w:rsidP="00462819">
      <w:pPr>
        <w:pStyle w:val="CETBodytext"/>
        <w:rPr>
          <w:lang w:val="es-MX"/>
        </w:rPr>
      </w:pPr>
      <w:r w:rsidRPr="005D11B5">
        <w:t>Because the presence of methanol and glycerol which are highly polar components, t</w:t>
      </w:r>
      <w:r w:rsidR="00040CB8" w:rsidRPr="005D11B5">
        <w:t>he thermodynamic model used was UNIFAC-Dortmund, due to its ability to properly represent the lipid mixture, ELV and ELL equilibria of methanol-biodiesel and methanol-glycerol blends, as well as to predict the solubility of water in biodiesel.</w:t>
      </w:r>
      <w:r w:rsidR="00A954E4" w:rsidRPr="005D11B5">
        <w:t xml:space="preserve"> </w:t>
      </w:r>
      <w:r w:rsidR="00CE7809">
        <w:rPr>
          <w:lang w:val="es-MX"/>
        </w:rPr>
        <w:fldChar w:fldCharType="begin"/>
      </w:r>
      <w:r w:rsidR="00CE7809" w:rsidRPr="005D11B5">
        <w:instrText xml:space="preserve"> ADDIN EN.CITE &lt;EndNote&gt;&lt;Cite&gt;&lt;Author&gt;Zhang&lt;/Author&gt;&lt;Year&gt;2003&lt;/Year&gt;&lt;RecNum&gt;97&lt;/RecNum&gt;&lt;DisplayText&gt;(Zhang et al. 2003)&lt;/DisplayText&gt;&lt;record&gt;&lt;rec-number&gt;97&lt;/rec-number&gt;&lt;foreign-keys&gt;&lt;key app="EN" db-id="vtw0azt0nfwd07esewv5x9rr9zf0r0wwt5zf" timestamp="1645481729" guid="faeb23b0-dcad-4188-8341-bb4b0b1978aa"&gt;97&lt;/key&gt;&lt;/foreign-keys&gt;&lt;ref-type name="Journal Article"&gt;17&lt;/ref-type&gt;&lt;contributors&gt;&lt;authors&gt;&lt;author&gt;Zhang, Y.&lt;/author&gt;&lt;author&gt;Dubé, M. A.&lt;/author&gt;&lt;author&gt;McLean, D. D.&lt;/author&gt;&lt;author&gt;Kates, M.&lt;/author&gt;&lt;/authors&gt;&lt;/contributors&gt;&lt;titles&gt;&lt;title&gt;Biodiesel production from waste cooking oil: 1. Process design and technological assessment&lt;/title&gt;&lt;secondary-title&gt;Bioresource Technology&lt;/secondary-title&gt;&lt;/titles&gt;&lt;periodical&gt;&lt;full-title&gt;Bioresource Technology&lt;/full-title&gt;&lt;/periodical&gt;&lt;pages&gt;1-16&lt;/pages&gt;&lt;volume&gt;89&lt;/volume&gt;&lt;number&gt;1&lt;/number&gt;&lt;keywords&gt;&lt;keyword&gt;Biodiesel&lt;/keyword&gt;&lt;keyword&gt;Waste cooking oil&lt;/keyword&gt;&lt;keyword&gt;Transesterification of triacylglycerols&lt;/keyword&gt;&lt;keyword&gt;Process design&lt;/keyword&gt;&lt;/keywords&gt;&lt;dates&gt;&lt;year&gt;2003&lt;/year&gt;&lt;pub-dates&gt;&lt;date&gt;2003/08/01/&lt;/date&gt;&lt;/pub-dates&gt;&lt;/dates&gt;&lt;isbn&gt;0960-8524&lt;/isbn&gt;&lt;urls&gt;&lt;related-urls&gt;&lt;url&gt;http://www.sciencedirect.com/science/article/pii/S0960852403000403&lt;/url&gt;&lt;/related-urls&gt;&lt;/urls&gt;&lt;electronic-resource-num&gt;https://doi.org/10.1016/S0960-8524(03)00040-3&lt;/electronic-resource-num&gt;&lt;/record&gt;&lt;/Cite&gt;&lt;/EndNote&gt;</w:instrText>
      </w:r>
      <w:r w:rsidR="00CE7809">
        <w:rPr>
          <w:lang w:val="es-MX"/>
        </w:rPr>
        <w:fldChar w:fldCharType="separate"/>
      </w:r>
      <w:r w:rsidR="00CE7809">
        <w:rPr>
          <w:noProof/>
          <w:lang w:val="es-MX"/>
        </w:rPr>
        <w:t>(Zhang et al. 2003)</w:t>
      </w:r>
      <w:r w:rsidR="00CE7809">
        <w:rPr>
          <w:lang w:val="es-MX"/>
        </w:rPr>
        <w:fldChar w:fldCharType="end"/>
      </w:r>
      <w:r w:rsidR="001D6FDE">
        <w:rPr>
          <w:lang w:val="es-MX"/>
        </w:rPr>
        <w:t xml:space="preserve">. </w:t>
      </w:r>
    </w:p>
    <w:p w14:paraId="70DD7C4D" w14:textId="71435912" w:rsidR="008B4B82" w:rsidRDefault="0022630F" w:rsidP="0022630F">
      <w:pPr>
        <w:pStyle w:val="CETheadingx"/>
      </w:pPr>
      <w:r>
        <w:t>Process Simulation</w:t>
      </w:r>
    </w:p>
    <w:p w14:paraId="4F0A765C" w14:textId="20E562CB" w:rsidR="0022630F" w:rsidRDefault="00D63293" w:rsidP="00462819">
      <w:pPr>
        <w:pStyle w:val="CETBodytext"/>
      </w:pPr>
      <w:r w:rsidRPr="00D63293">
        <w:t>The simulated process includes rea</w:t>
      </w:r>
      <w:r>
        <w:t xml:space="preserve">ctors, extraction and distillation columns, </w:t>
      </w:r>
      <w:r w:rsidR="001F42B8">
        <w:t>pumps,</w:t>
      </w:r>
      <w:r>
        <w:t xml:space="preserve"> and heat exchangers. </w:t>
      </w:r>
      <w:r w:rsidR="003D6A7D">
        <w:t xml:space="preserve">The process simulated involves only the esterification of the FFA </w:t>
      </w:r>
      <w:r w:rsidR="008C6705">
        <w:t xml:space="preserve">(Equation 1) </w:t>
      </w:r>
      <w:r w:rsidR="003D6A7D">
        <w:t xml:space="preserve">for being used as oil for producing biodiesel as well neutralization reactor. </w:t>
      </w:r>
      <w:r w:rsidR="00600F04">
        <w:t>Regarding</w:t>
      </w:r>
      <w:r w:rsidR="00E84BB8">
        <w:t xml:space="preserve"> the </w:t>
      </w:r>
      <w:r w:rsidR="00CE1307">
        <w:t>esterification</w:t>
      </w:r>
      <w:r w:rsidR="00E84BB8">
        <w:t xml:space="preserve"> reaction, </w:t>
      </w:r>
      <w:r w:rsidR="00CE1307">
        <w:t xml:space="preserve">the corresponding </w:t>
      </w:r>
      <w:r w:rsidR="00E84BB8">
        <w:t>k</w:t>
      </w:r>
      <w:r>
        <w:t xml:space="preserve">inetic information is shown in Table </w:t>
      </w:r>
      <w:r w:rsidR="009F535B">
        <w:t>2</w:t>
      </w:r>
      <w:r w:rsidR="002F2E1F">
        <w:t xml:space="preserve"> </w:t>
      </w:r>
      <w:r w:rsidR="002F7C3F">
        <w:fldChar w:fldCharType="begin"/>
      </w:r>
      <w:r w:rsidR="002F7C3F">
        <w:instrText xml:space="preserve"> ADDIN EN.CITE &lt;EndNote&gt;&lt;Cite&gt;&lt;Author&gt;Jansri&lt;/Author&gt;&lt;Year&gt;2011&lt;/Year&gt;&lt;RecNum&gt;257&lt;/RecNum&gt;&lt;DisplayText&gt;(Jansri et al. 2011)&lt;/DisplayText&gt;&lt;record&gt;&lt;rec-number&gt;257&lt;/rec-number&gt;&lt;foreign-keys&gt;&lt;key app="EN" db-id="vtw0azt0nfwd07esewv5x9rr9zf0r0wwt5zf" timestamp="1647274724" guid="83c70246-596a-4f45-acfc-cc2b78f31c3f"&gt;257&lt;/key&gt;&lt;/foreign-keys&gt;&lt;ref-type name="Journal Article"&gt;17&lt;/ref-type&gt;&lt;contributors&gt;&lt;authors&gt;&lt;author&gt;Jansri, Surachai&lt;/author&gt;&lt;author&gt;Ratanawilai, Sukritthira B.&lt;/author&gt;&lt;author&gt;Allen, Michael L.&lt;/author&gt;&lt;author&gt;Prateepchaikul, Gumpon&lt;/author&gt;&lt;/authors&gt;&lt;/contributors&gt;&lt;titles&gt;&lt;title&gt;Kinetics of methyl ester production from mixed crude palm oil by using acid-alkali catalyst&lt;/title&gt;&lt;secondary-title&gt;Fuel Processing Technology&lt;/secondary-title&gt;&lt;/titles&gt;&lt;periodical&gt;&lt;full-title&gt;Fuel Processing Technology&lt;/full-title&gt;&lt;/periodical&gt;&lt;pages&gt;1543-1548&lt;/pages&gt;&lt;volume&gt;92&lt;/volume&gt;&lt;number&gt;8&lt;/number&gt;&lt;keywords&gt;&lt;keyword&gt;Biodiesel&lt;/keyword&gt;&lt;keyword&gt;Free fatty acid&lt;/keyword&gt;&lt;keyword&gt;Kinetics&lt;/keyword&gt;&lt;keyword&gt;Methyl ester&lt;/keyword&gt;&lt;keyword&gt;Palm oil&lt;/keyword&gt;&lt;keyword&gt;Two-stage process&lt;/keyword&gt;&lt;/keywords&gt;&lt;dates&gt;&lt;year&gt;2011&lt;/year&gt;&lt;pub-dates&gt;&lt;date&gt;2011/08/01/&lt;/date&gt;&lt;/pub-dates&gt;&lt;/dates&gt;&lt;isbn&gt;0378-3820&lt;/isbn&gt;&lt;urls&gt;&lt;related-urls&gt;&lt;url&gt;https://www.sciencedirect.com/science/article/pii/S0378382011001093&lt;/url&gt;&lt;/related-urls&gt;&lt;/urls&gt;&lt;electronic-resource-num&gt;https://doi.org/10.1016/j.fuproc.2011.03.017&lt;/electronic-resource-num&gt;&lt;/record&gt;&lt;/Cite&gt;&lt;/EndNote&gt;</w:instrText>
      </w:r>
      <w:r w:rsidR="002F7C3F">
        <w:fldChar w:fldCharType="separate"/>
      </w:r>
      <w:r w:rsidR="002F7C3F">
        <w:rPr>
          <w:noProof/>
        </w:rPr>
        <w:t>(Jansri et al. 2011)</w:t>
      </w:r>
      <w:r w:rsidR="002F7C3F">
        <w:fldChar w:fldCharType="end"/>
      </w:r>
      <w:r w:rsidR="00E84BB8">
        <w:t>.</w:t>
      </w:r>
      <w:r w:rsidR="003D6A7D">
        <w:t xml:space="preserve"> </w:t>
      </w:r>
    </w:p>
    <w:p w14:paraId="7D134159" w14:textId="77777777" w:rsidR="008C6705" w:rsidRDefault="008C6705" w:rsidP="00462819">
      <w:pPr>
        <w:pStyle w:val="CETBodytext"/>
      </w:pPr>
    </w:p>
    <w:tbl>
      <w:tblPr>
        <w:tblW w:w="5000" w:type="pct"/>
        <w:tblLook w:val="04A0" w:firstRow="1" w:lastRow="0" w:firstColumn="1" w:lastColumn="0" w:noHBand="0" w:noVBand="1"/>
      </w:tblPr>
      <w:tblGrid>
        <w:gridCol w:w="7989"/>
        <w:gridCol w:w="798"/>
      </w:tblGrid>
      <w:tr w:rsidR="008C6705" w:rsidRPr="00B57B36" w14:paraId="5189BC23" w14:textId="77777777" w:rsidTr="00683250">
        <w:tc>
          <w:tcPr>
            <w:tcW w:w="8188" w:type="dxa"/>
            <w:shd w:val="clear" w:color="auto" w:fill="auto"/>
            <w:vAlign w:val="center"/>
          </w:tcPr>
          <w:p w14:paraId="77832709" w14:textId="65A7A3BB" w:rsidR="008C6705" w:rsidRPr="00B57B36" w:rsidRDefault="008C6705" w:rsidP="00683250">
            <w:pPr>
              <w:pStyle w:val="CETEquation"/>
            </w:pPr>
            <w:r>
              <w:rPr>
                <w:noProof/>
              </w:rPr>
              <w:drawing>
                <wp:inline distT="0" distB="0" distL="0" distR="0" wp14:anchorId="5DA26BD4" wp14:editId="180E87BC">
                  <wp:extent cx="2304825" cy="224790"/>
                  <wp:effectExtent l="0" t="0" r="0" b="3810"/>
                  <wp:docPr id="19494602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460245" name="Imagen 1949460245"/>
                          <pic:cNvPicPr/>
                        </pic:nvPicPr>
                        <pic:blipFill>
                          <a:blip r:embed="rId10"/>
                          <a:stretch>
                            <a:fillRect/>
                          </a:stretch>
                        </pic:blipFill>
                        <pic:spPr>
                          <a:xfrm>
                            <a:off x="0" y="0"/>
                            <a:ext cx="2692014" cy="262553"/>
                          </a:xfrm>
                          <a:prstGeom prst="rect">
                            <a:avLst/>
                          </a:prstGeom>
                        </pic:spPr>
                      </pic:pic>
                    </a:graphicData>
                  </a:graphic>
                </wp:inline>
              </w:drawing>
            </w:r>
          </w:p>
        </w:tc>
        <w:tc>
          <w:tcPr>
            <w:tcW w:w="815" w:type="dxa"/>
            <w:shd w:val="clear" w:color="auto" w:fill="auto"/>
            <w:vAlign w:val="center"/>
          </w:tcPr>
          <w:p w14:paraId="7D7D78A1" w14:textId="77777777" w:rsidR="008C6705" w:rsidRPr="00B57B36" w:rsidRDefault="008C6705" w:rsidP="00683250">
            <w:pPr>
              <w:pStyle w:val="CETEquation"/>
              <w:jc w:val="right"/>
            </w:pPr>
            <w:r w:rsidRPr="00B57B36">
              <w:t>(1)</w:t>
            </w:r>
          </w:p>
        </w:tc>
      </w:tr>
    </w:tbl>
    <w:p w14:paraId="45A8CB11" w14:textId="77777777" w:rsidR="008C6705" w:rsidRDefault="008C6705" w:rsidP="00462819">
      <w:pPr>
        <w:pStyle w:val="CETBodytext"/>
      </w:pPr>
    </w:p>
    <w:p w14:paraId="56F5CA4B" w14:textId="05F52737" w:rsidR="001F42B8" w:rsidRPr="003D6A7D" w:rsidRDefault="001F42B8" w:rsidP="001F42B8">
      <w:pPr>
        <w:pStyle w:val="CETTabletitle"/>
        <w:rPr>
          <w:lang w:val="en-US"/>
        </w:rPr>
      </w:pPr>
      <w:r w:rsidRPr="001F42B8">
        <w:rPr>
          <w:lang w:val="en-US"/>
        </w:rPr>
        <w:t xml:space="preserve">Table 2. </w:t>
      </w:r>
      <w:r w:rsidRPr="003D6A7D">
        <w:rPr>
          <w:lang w:val="en-US"/>
        </w:rPr>
        <w:t xml:space="preserve">Kinetics </w:t>
      </w:r>
      <w:r w:rsidR="000F2D04" w:rsidRPr="003D6A7D">
        <w:rPr>
          <w:lang w:val="en-US"/>
        </w:rPr>
        <w:t>parameters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tblGrid>
      <w:tr w:rsidR="001F42B8" w:rsidRPr="00B57B36" w14:paraId="0EACBC22" w14:textId="77777777" w:rsidTr="00BA77D5">
        <w:tc>
          <w:tcPr>
            <w:tcW w:w="1134" w:type="dxa"/>
            <w:tcBorders>
              <w:top w:val="single" w:sz="12" w:space="0" w:color="008000"/>
              <w:bottom w:val="single" w:sz="6" w:space="0" w:color="008000"/>
            </w:tcBorders>
            <w:shd w:val="clear" w:color="auto" w:fill="FFFFFF"/>
          </w:tcPr>
          <w:p w14:paraId="2E5E744B" w14:textId="77777777" w:rsidR="001F42B8" w:rsidRPr="00B57B36" w:rsidRDefault="001F42B8" w:rsidP="00BA77D5">
            <w:pPr>
              <w:pStyle w:val="CETBodytext"/>
              <w:rPr>
                <w:lang w:val="en-GB"/>
              </w:rPr>
            </w:pPr>
            <w:r>
              <w:rPr>
                <w:lang w:val="en-GB"/>
              </w:rPr>
              <w:t>Reaction</w:t>
            </w:r>
            <w:r w:rsidRPr="00B57B36">
              <w:rPr>
                <w:lang w:val="en-GB"/>
              </w:rPr>
              <w:t xml:space="preserve"> </w:t>
            </w:r>
          </w:p>
        </w:tc>
        <w:tc>
          <w:tcPr>
            <w:tcW w:w="1134" w:type="dxa"/>
            <w:tcBorders>
              <w:top w:val="single" w:sz="12" w:space="0" w:color="008000"/>
              <w:bottom w:val="single" w:sz="6" w:space="0" w:color="008000"/>
            </w:tcBorders>
            <w:shd w:val="clear" w:color="auto" w:fill="FFFFFF"/>
          </w:tcPr>
          <w:p w14:paraId="78A01AF0" w14:textId="77777777" w:rsidR="001F42B8" w:rsidRPr="00B57B36" w:rsidRDefault="001F42B8" w:rsidP="00BA77D5">
            <w:pPr>
              <w:pStyle w:val="CETBodytext"/>
              <w:rPr>
                <w:lang w:val="en-GB"/>
              </w:rPr>
            </w:pPr>
            <w:r>
              <w:rPr>
                <w:lang w:val="en-GB"/>
              </w:rPr>
              <w:t>K (l/mol min)</w:t>
            </w:r>
          </w:p>
        </w:tc>
        <w:tc>
          <w:tcPr>
            <w:tcW w:w="1134" w:type="dxa"/>
            <w:tcBorders>
              <w:top w:val="single" w:sz="12" w:space="0" w:color="008000"/>
              <w:bottom w:val="single" w:sz="6" w:space="0" w:color="008000"/>
            </w:tcBorders>
            <w:shd w:val="clear" w:color="auto" w:fill="FFFFFF"/>
          </w:tcPr>
          <w:p w14:paraId="31366425" w14:textId="77777777" w:rsidR="001F42B8" w:rsidRPr="00B57B36" w:rsidRDefault="001F42B8" w:rsidP="00BA77D5">
            <w:pPr>
              <w:pStyle w:val="CETBodytext"/>
              <w:rPr>
                <w:lang w:val="en-GB"/>
              </w:rPr>
            </w:pPr>
            <w:proofErr w:type="spellStart"/>
            <w:r>
              <w:rPr>
                <w:lang w:val="en-GB"/>
              </w:rPr>
              <w:t>Ea</w:t>
            </w:r>
            <w:proofErr w:type="spellEnd"/>
            <w:r>
              <w:rPr>
                <w:lang w:val="en-GB"/>
              </w:rPr>
              <w:t xml:space="preserve"> (</w:t>
            </w:r>
            <w:proofErr w:type="spellStart"/>
            <w:r>
              <w:rPr>
                <w:lang w:val="en-GB"/>
              </w:rPr>
              <w:t>cal</w:t>
            </w:r>
            <w:proofErr w:type="spellEnd"/>
            <w:r>
              <w:rPr>
                <w:lang w:val="en-GB"/>
              </w:rPr>
              <w:t>/mol)</w:t>
            </w:r>
          </w:p>
        </w:tc>
      </w:tr>
      <w:tr w:rsidR="001F42B8" w:rsidRPr="00B57B36" w14:paraId="22C38281" w14:textId="77777777" w:rsidTr="00BA77D5">
        <w:tc>
          <w:tcPr>
            <w:tcW w:w="1134" w:type="dxa"/>
            <w:shd w:val="clear" w:color="auto" w:fill="FFFFFF"/>
          </w:tcPr>
          <w:p w14:paraId="13BA0BEB" w14:textId="77777777" w:rsidR="001F42B8" w:rsidRPr="00B57B36" w:rsidRDefault="001F42B8" w:rsidP="00BA77D5">
            <w:pPr>
              <w:pStyle w:val="CETBodytext"/>
              <w:rPr>
                <w:lang w:val="en-GB"/>
              </w:rPr>
            </w:pPr>
            <w:r>
              <w:rPr>
                <w:lang w:val="en-GB"/>
              </w:rPr>
              <w:t>Direct</w:t>
            </w:r>
          </w:p>
        </w:tc>
        <w:tc>
          <w:tcPr>
            <w:tcW w:w="1134" w:type="dxa"/>
            <w:shd w:val="clear" w:color="auto" w:fill="FFFFFF"/>
          </w:tcPr>
          <w:p w14:paraId="6367E640" w14:textId="77777777" w:rsidR="001F42B8" w:rsidRPr="00B57B36" w:rsidRDefault="001F42B8" w:rsidP="00BA77D5">
            <w:pPr>
              <w:pStyle w:val="CETBodytext"/>
              <w:rPr>
                <w:lang w:val="en-GB"/>
              </w:rPr>
            </w:pPr>
            <w:r>
              <w:rPr>
                <w:lang w:val="en-GB"/>
              </w:rPr>
              <w:t>1.34</w:t>
            </w:r>
          </w:p>
        </w:tc>
        <w:tc>
          <w:tcPr>
            <w:tcW w:w="1134" w:type="dxa"/>
            <w:shd w:val="clear" w:color="auto" w:fill="FFFFFF"/>
          </w:tcPr>
          <w:p w14:paraId="23F901B7" w14:textId="77777777" w:rsidR="001F42B8" w:rsidRPr="00B57B36" w:rsidRDefault="001F42B8" w:rsidP="00BA77D5">
            <w:pPr>
              <w:pStyle w:val="CETBodytext"/>
              <w:rPr>
                <w:lang w:val="en-GB"/>
              </w:rPr>
            </w:pPr>
            <w:r>
              <w:rPr>
                <w:lang w:val="en-GB"/>
              </w:rPr>
              <w:t>17997</w:t>
            </w:r>
          </w:p>
        </w:tc>
      </w:tr>
      <w:tr w:rsidR="001F42B8" w:rsidRPr="00B57B36" w14:paraId="24D22706" w14:textId="77777777" w:rsidTr="00BA77D5">
        <w:tc>
          <w:tcPr>
            <w:tcW w:w="1134" w:type="dxa"/>
            <w:shd w:val="clear" w:color="auto" w:fill="FFFFFF"/>
          </w:tcPr>
          <w:p w14:paraId="41724B1B" w14:textId="77777777" w:rsidR="001F42B8" w:rsidRPr="00B57B36" w:rsidRDefault="001F42B8" w:rsidP="00BA77D5">
            <w:pPr>
              <w:pStyle w:val="CETBodytext"/>
              <w:ind w:right="-1"/>
              <w:rPr>
                <w:rFonts w:cs="Arial"/>
                <w:szCs w:val="18"/>
                <w:lang w:val="en-GB"/>
              </w:rPr>
            </w:pPr>
            <w:r>
              <w:rPr>
                <w:rFonts w:cs="Arial"/>
                <w:szCs w:val="18"/>
                <w:lang w:val="en-GB"/>
              </w:rPr>
              <w:t>Reverse</w:t>
            </w:r>
          </w:p>
        </w:tc>
        <w:tc>
          <w:tcPr>
            <w:tcW w:w="1134" w:type="dxa"/>
            <w:shd w:val="clear" w:color="auto" w:fill="FFFFFF"/>
          </w:tcPr>
          <w:p w14:paraId="58B82625" w14:textId="77777777" w:rsidR="001F42B8" w:rsidRPr="00B57B36" w:rsidRDefault="001F42B8" w:rsidP="00BA77D5">
            <w:pPr>
              <w:pStyle w:val="CETBodytext"/>
              <w:ind w:right="-1"/>
              <w:rPr>
                <w:rFonts w:cs="Arial"/>
                <w:szCs w:val="18"/>
                <w:lang w:val="en-GB"/>
              </w:rPr>
            </w:pPr>
            <w:r>
              <w:rPr>
                <w:rFonts w:cs="Arial"/>
                <w:szCs w:val="18"/>
                <w:lang w:val="en-GB"/>
              </w:rPr>
              <w:t>0.682</w:t>
            </w:r>
          </w:p>
        </w:tc>
        <w:tc>
          <w:tcPr>
            <w:tcW w:w="1134" w:type="dxa"/>
            <w:shd w:val="clear" w:color="auto" w:fill="FFFFFF"/>
          </w:tcPr>
          <w:p w14:paraId="2B9C4364" w14:textId="77777777" w:rsidR="001F42B8" w:rsidRPr="00B57B36" w:rsidRDefault="001F42B8" w:rsidP="00BA77D5">
            <w:pPr>
              <w:pStyle w:val="CETBodytext"/>
              <w:ind w:right="-1"/>
              <w:rPr>
                <w:rFonts w:cs="Arial"/>
                <w:szCs w:val="18"/>
                <w:lang w:val="en-GB"/>
              </w:rPr>
            </w:pPr>
            <w:r>
              <w:rPr>
                <w:rFonts w:cs="Arial"/>
                <w:szCs w:val="18"/>
                <w:lang w:val="en-GB"/>
              </w:rPr>
              <w:t>129</w:t>
            </w:r>
          </w:p>
        </w:tc>
      </w:tr>
    </w:tbl>
    <w:p w14:paraId="6569871E" w14:textId="77777777" w:rsidR="001F42B8" w:rsidRDefault="001F42B8" w:rsidP="0022630F">
      <w:pPr>
        <w:pStyle w:val="CETBodytext"/>
      </w:pPr>
    </w:p>
    <w:p w14:paraId="63BEA72D" w14:textId="45714337" w:rsidR="00682C98" w:rsidRDefault="00682C98" w:rsidP="00682C98">
      <w:pPr>
        <w:pStyle w:val="CETHeadingxx"/>
      </w:pPr>
      <w:r>
        <w:t>Remotion of ash and water</w:t>
      </w:r>
    </w:p>
    <w:p w14:paraId="5AC9A547" w14:textId="77777777" w:rsidR="00682C98" w:rsidRDefault="00682C98" w:rsidP="0022630F">
      <w:pPr>
        <w:pStyle w:val="CETBodytext"/>
      </w:pPr>
    </w:p>
    <w:p w14:paraId="0B57069D" w14:textId="738D77A6" w:rsidR="00682C98" w:rsidRDefault="00093D3D" w:rsidP="0022630F">
      <w:pPr>
        <w:pStyle w:val="CETBodytext"/>
      </w:pPr>
      <w:r>
        <w:t xml:space="preserve">The process flowsheet is shown in </w:t>
      </w:r>
      <w:r w:rsidR="0022630F" w:rsidRPr="0022630F">
        <w:t xml:space="preserve">Figure </w:t>
      </w:r>
      <w:r w:rsidR="0000591C">
        <w:t>1</w:t>
      </w:r>
      <w:r>
        <w:t>.</w:t>
      </w:r>
      <w:r w:rsidR="0022630F" w:rsidRPr="0022630F">
        <w:t xml:space="preserve"> </w:t>
      </w:r>
      <w:r>
        <w:t>It is relevant to mention that waste cooking oil contains ashes</w:t>
      </w:r>
      <w:r w:rsidR="00132765">
        <w:t xml:space="preserve"> (food residues)</w:t>
      </w:r>
      <w:r>
        <w:t xml:space="preserve"> produced during the frying food process. Therefore, it is important to remove them before the WCO be introduced to the purification process</w:t>
      </w:r>
      <w:r w:rsidR="006224CA">
        <w:t xml:space="preserve"> for avoiding consequent operational problems</w:t>
      </w:r>
      <w:r>
        <w:t xml:space="preserve">.   </w:t>
      </w:r>
      <w:r w:rsidR="006224CA">
        <w:t xml:space="preserve">The purification process starts feeding </w:t>
      </w:r>
      <w:r w:rsidR="0022630F" w:rsidRPr="0022630F">
        <w:t xml:space="preserve">1000 kg/h of </w:t>
      </w:r>
      <w:r w:rsidR="00476999">
        <w:t>WCO</w:t>
      </w:r>
      <w:r w:rsidR="0022630F" w:rsidRPr="0022630F">
        <w:t xml:space="preserve"> </w:t>
      </w:r>
      <w:r w:rsidR="000943FC">
        <w:t>to a</w:t>
      </w:r>
      <w:r w:rsidR="0022630F" w:rsidRPr="0022630F">
        <w:t xml:space="preserve"> decanter </w:t>
      </w:r>
      <w:r w:rsidR="00AE3508">
        <w:t>to</w:t>
      </w:r>
      <w:r w:rsidR="0022630F" w:rsidRPr="0022630F">
        <w:t xml:space="preserve"> remove water and ash from the oil. </w:t>
      </w:r>
      <w:r w:rsidR="00255BBC">
        <w:t xml:space="preserve">Water and ashes removed from decanter as secondary stream is sent to disposal procedure. </w:t>
      </w:r>
      <w:r w:rsidR="009E26DA">
        <w:t xml:space="preserve">As it was mentioned previously, it is no usual that </w:t>
      </w:r>
      <w:r w:rsidR="009E26DA" w:rsidRPr="00E3704F">
        <w:t xml:space="preserve">ash derived from the cooking processes </w:t>
      </w:r>
      <w:r w:rsidR="009E26DA">
        <w:t>remotion of ash and water be included as part of process simulation. However, the authors consider important to simulate this part of the process as well the equipment used for remotion.</w:t>
      </w:r>
    </w:p>
    <w:p w14:paraId="66B19A9B" w14:textId="3BE24C14" w:rsidR="00CE39CF" w:rsidRDefault="00255BBC" w:rsidP="0022630F">
      <w:pPr>
        <w:pStyle w:val="CETBodytext"/>
      </w:pPr>
      <w:r>
        <w:t>While</w:t>
      </w:r>
      <w:r w:rsidR="0022630F" w:rsidRPr="0022630F">
        <w:t xml:space="preserve"> oil stream free of these two components (A-ACID</w:t>
      </w:r>
      <w:r w:rsidR="00F01AC0">
        <w:t>2</w:t>
      </w:r>
      <w:r w:rsidR="0022630F" w:rsidRPr="0022630F">
        <w:t xml:space="preserve">) </w:t>
      </w:r>
      <w:r w:rsidR="003D357A">
        <w:t>is</w:t>
      </w:r>
      <w:r w:rsidR="0022630F" w:rsidRPr="0022630F">
        <w:t xml:space="preserve"> </w:t>
      </w:r>
      <w:r w:rsidR="00F01AC0">
        <w:t>sent</w:t>
      </w:r>
      <w:r w:rsidR="0022630F" w:rsidRPr="0022630F">
        <w:t xml:space="preserve"> to an esterification reactor (R-ESTER) operating at 60 </w:t>
      </w:r>
      <w:r w:rsidR="0022630F" w:rsidRPr="0022630F">
        <w:rPr>
          <w:rFonts w:ascii="Cambria Math" w:hAnsi="Cambria Math" w:cs="Cambria Math"/>
        </w:rPr>
        <w:t>℃</w:t>
      </w:r>
      <w:r w:rsidR="0022630F" w:rsidRPr="0022630F">
        <w:t xml:space="preserve"> and 1 atm. </w:t>
      </w:r>
      <w:r w:rsidR="00CE39CF">
        <w:t>Also, a second stream o</w:t>
      </w:r>
      <w:r w:rsidR="00087082">
        <w:t>f</w:t>
      </w:r>
      <w:r w:rsidR="00CE39CF">
        <w:t xml:space="preserve"> methanol and sulfuric acid is fed to this reactor </w:t>
      </w:r>
      <w:r w:rsidR="006C2D13">
        <w:t>to</w:t>
      </w:r>
      <w:r w:rsidR="00CE39CF">
        <w:t xml:space="preserve"> carry out the esterification process. </w:t>
      </w:r>
    </w:p>
    <w:p w14:paraId="2C39A072" w14:textId="730A4573" w:rsidR="00095D14" w:rsidRDefault="002C1DF6" w:rsidP="0022630F">
      <w:pPr>
        <w:pStyle w:val="CETBodytext"/>
      </w:pPr>
      <w:r>
        <w:t xml:space="preserve">The esterification reaction was carried out according to kinetic data shown in Table </w:t>
      </w:r>
      <w:r w:rsidR="00600F04">
        <w:t>2</w:t>
      </w:r>
      <w:r>
        <w:t xml:space="preserve">. </w:t>
      </w:r>
    </w:p>
    <w:p w14:paraId="0A1CCA4F" w14:textId="77777777" w:rsidR="00095D14" w:rsidRDefault="00095D14" w:rsidP="0022630F">
      <w:pPr>
        <w:pStyle w:val="CETBodytext"/>
      </w:pPr>
    </w:p>
    <w:p w14:paraId="040B358C" w14:textId="3B455F21" w:rsidR="00095D14" w:rsidRDefault="00095D14" w:rsidP="0022630F">
      <w:pPr>
        <w:pStyle w:val="CETBodytext"/>
      </w:pPr>
      <w:r>
        <w:rPr>
          <w:noProof/>
        </w:rPr>
        <w:drawing>
          <wp:inline distT="0" distB="0" distL="0" distR="0" wp14:anchorId="6F5F4D7A" wp14:editId="0BEFD289">
            <wp:extent cx="3994706" cy="1661165"/>
            <wp:effectExtent l="0" t="0" r="6350" b="2540"/>
            <wp:docPr id="11553043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304393" name="Imagen 1155304393"/>
                    <pic:cNvPicPr/>
                  </pic:nvPicPr>
                  <pic:blipFill>
                    <a:blip r:embed="rId11"/>
                    <a:stretch>
                      <a:fillRect/>
                    </a:stretch>
                  </pic:blipFill>
                  <pic:spPr>
                    <a:xfrm>
                      <a:off x="0" y="0"/>
                      <a:ext cx="4014461" cy="1669380"/>
                    </a:xfrm>
                    <a:prstGeom prst="rect">
                      <a:avLst/>
                    </a:prstGeom>
                  </pic:spPr>
                </pic:pic>
              </a:graphicData>
            </a:graphic>
          </wp:inline>
        </w:drawing>
      </w:r>
    </w:p>
    <w:p w14:paraId="3FE9593B" w14:textId="623E53C9" w:rsidR="00095D14" w:rsidRPr="00067BDF" w:rsidRDefault="00095D14" w:rsidP="00067BDF">
      <w:pPr>
        <w:pStyle w:val="CETCaption"/>
        <w:rPr>
          <w:lang w:val="en-US"/>
        </w:rPr>
      </w:pPr>
      <w:r w:rsidRPr="002C1DF6">
        <w:rPr>
          <w:lang w:val="en-US"/>
        </w:rPr>
        <w:t>Figure 1. Purification process of WCO flowsheet</w:t>
      </w:r>
      <w:r w:rsidR="00595BDC">
        <w:rPr>
          <w:lang w:val="en-US"/>
        </w:rPr>
        <w:t xml:space="preserve"> (esterification process)</w:t>
      </w:r>
    </w:p>
    <w:p w14:paraId="3E2FD1C7" w14:textId="77777777" w:rsidR="00840C23" w:rsidRDefault="00840C23" w:rsidP="00840C23">
      <w:pPr>
        <w:pStyle w:val="CETHeadingxx"/>
      </w:pPr>
      <w:r>
        <w:lastRenderedPageBreak/>
        <w:t>Oil purification and neutralization steps</w:t>
      </w:r>
    </w:p>
    <w:p w14:paraId="76D400CE" w14:textId="77777777" w:rsidR="00840C23" w:rsidRDefault="00840C23" w:rsidP="00FF4F2B">
      <w:pPr>
        <w:pStyle w:val="CETBodytext"/>
      </w:pPr>
    </w:p>
    <w:p w14:paraId="273D0052" w14:textId="75914180" w:rsidR="00FF4F2B" w:rsidRDefault="00FF4F2B" w:rsidP="00FF4F2B">
      <w:pPr>
        <w:pStyle w:val="CETBodytext"/>
      </w:pPr>
      <w:r>
        <w:t>It is important to emphasize that the next operation equipment is very important, because</w:t>
      </w:r>
      <w:r w:rsidRPr="00FF4F2B">
        <w:t xml:space="preserve"> </w:t>
      </w:r>
      <w:r>
        <w:t xml:space="preserve">the outlet stream from the esterification reactor was fed to </w:t>
      </w:r>
      <w:r w:rsidRPr="0022630F">
        <w:t>a 6-stage liquid-liquid extraction column (E-1)</w:t>
      </w:r>
      <w:r>
        <w:t>. This extraction column was designed to</w:t>
      </w:r>
      <w:r w:rsidRPr="0022630F">
        <w:t xml:space="preserve"> operating 45°C and 5 atm, </w:t>
      </w:r>
      <w:r>
        <w:t>using</w:t>
      </w:r>
      <w:r w:rsidRPr="0022630F">
        <w:t xml:space="preserve"> glycerol as </w:t>
      </w:r>
      <w:r w:rsidR="00840C23">
        <w:t>entrainer</w:t>
      </w:r>
      <w:r w:rsidRPr="0022630F">
        <w:t xml:space="preserve"> with a flow rate of 120 kg/h. </w:t>
      </w:r>
    </w:p>
    <w:p w14:paraId="27C00A20" w14:textId="4E5D081D" w:rsidR="00205FA8" w:rsidRDefault="00F45FAE" w:rsidP="0022630F">
      <w:pPr>
        <w:pStyle w:val="CETBodytext"/>
      </w:pPr>
      <w:r>
        <w:t xml:space="preserve">From the dome of the extraction column, an outlet stream with a composition of FFA less than 1% </w:t>
      </w:r>
      <w:r w:rsidR="000E5488">
        <w:t>by weight</w:t>
      </w:r>
      <w:r>
        <w:t xml:space="preserve"> is</w:t>
      </w:r>
      <w:r w:rsidR="0022630F" w:rsidRPr="0022630F">
        <w:t xml:space="preserve"> ready to undergo a subsequent transesterification reaction</w:t>
      </w:r>
      <w:r>
        <w:t xml:space="preserve">. Now, this oil is ready to be used to produce biodiesel by </w:t>
      </w:r>
      <w:r w:rsidR="000E5488">
        <w:t xml:space="preserve">basic catalytic process. </w:t>
      </w:r>
      <w:r w:rsidR="0022630F" w:rsidRPr="0022630F">
        <w:t xml:space="preserve"> </w:t>
      </w:r>
      <w:r w:rsidR="00B1629C">
        <w:t>However, bottom stream must be processed for separating methanol, glycerol, etc.</w:t>
      </w:r>
    </w:p>
    <w:p w14:paraId="2B3DD916" w14:textId="77777777" w:rsidR="00CC10F4" w:rsidRDefault="00CC10F4" w:rsidP="00840C23">
      <w:pPr>
        <w:pStyle w:val="CETHeadingxx"/>
      </w:pPr>
    </w:p>
    <w:p w14:paraId="43B6382D" w14:textId="061D4071" w:rsidR="00840C23" w:rsidRDefault="00840C23" w:rsidP="00840C23">
      <w:pPr>
        <w:pStyle w:val="CETHeadingxx"/>
      </w:pPr>
      <w:r>
        <w:t xml:space="preserve">Methanol recuperation </w:t>
      </w:r>
    </w:p>
    <w:p w14:paraId="7D92CC40" w14:textId="2CCCB060" w:rsidR="005562D7" w:rsidRDefault="00205FA8" w:rsidP="0022630F">
      <w:pPr>
        <w:pStyle w:val="CETBodytext"/>
      </w:pPr>
      <w:r>
        <w:t xml:space="preserve">However, from the bottom of the extraction column, a stream </w:t>
      </w:r>
      <w:r w:rsidR="00793AD4" w:rsidRPr="0022630F">
        <w:t xml:space="preserve">(M-MS3) </w:t>
      </w:r>
      <w:r>
        <w:t>containing glycerol</w:t>
      </w:r>
      <w:r w:rsidR="00793AD4">
        <w:t xml:space="preserve"> and</w:t>
      </w:r>
      <w:r>
        <w:t xml:space="preserve"> catalyst </w:t>
      </w:r>
      <w:r w:rsidR="00793AD4">
        <w:t xml:space="preserve">mainly, </w:t>
      </w:r>
      <w:r w:rsidR="0022630F" w:rsidRPr="0022630F">
        <w:t>passes through a neutralization reactor (R-NEU</w:t>
      </w:r>
      <w:r w:rsidR="00793AD4">
        <w:t>) Figure 2</w:t>
      </w:r>
      <w:r w:rsidR="00595BDC">
        <w:t xml:space="preserve">. </w:t>
      </w:r>
      <w:r w:rsidR="00D47D0C">
        <w:t xml:space="preserve">For simulating </w:t>
      </w:r>
      <w:r w:rsidR="003F7BBA">
        <w:t>neutralization</w:t>
      </w:r>
      <w:r w:rsidR="00D47D0C">
        <w:t xml:space="preserve"> reaction, a </w:t>
      </w:r>
      <w:proofErr w:type="spellStart"/>
      <w:r w:rsidR="00D47D0C">
        <w:t>RStoic</w:t>
      </w:r>
      <w:proofErr w:type="spellEnd"/>
      <w:r w:rsidR="00D47D0C">
        <w:t xml:space="preserve"> </w:t>
      </w:r>
      <w:r w:rsidR="004007DC">
        <w:t xml:space="preserve">reactor module in ASPEN </w:t>
      </w:r>
      <w:r w:rsidR="00D47D0C">
        <w:t>was used, considering the stoichiometry of the neutralization reaction</w:t>
      </w:r>
      <w:r w:rsidR="004B59A6">
        <w:t>.</w:t>
      </w:r>
      <w:r w:rsidR="00FA297B">
        <w:t xml:space="preserve"> </w:t>
      </w:r>
      <w:r w:rsidR="004B59A6">
        <w:t xml:space="preserve">It </w:t>
      </w:r>
      <w:r w:rsidR="00FA297B">
        <w:t>is</w:t>
      </w:r>
      <w:r w:rsidR="004B59A6">
        <w:t xml:space="preserve"> important to mention that </w:t>
      </w:r>
      <w:proofErr w:type="spellStart"/>
      <w:r w:rsidR="004B59A6">
        <w:t>RStoic</w:t>
      </w:r>
      <w:proofErr w:type="spellEnd"/>
      <w:r w:rsidR="004B59A6">
        <w:t xml:space="preserve"> module </w:t>
      </w:r>
      <w:r w:rsidR="00FA297B">
        <w:t xml:space="preserve">is </w:t>
      </w:r>
      <w:r w:rsidR="00FA297B" w:rsidRPr="00FA297B">
        <w:t>a stoichiometric reactor, which reacts according to the</w:t>
      </w:r>
      <w:r w:rsidR="00FA297B">
        <w:t xml:space="preserve"> </w:t>
      </w:r>
      <w:r w:rsidR="00FA297B" w:rsidRPr="00FA297B">
        <w:t>measurement relationship in the chemical reaction equation</w:t>
      </w:r>
      <w:r w:rsidR="00FA297B">
        <w:t xml:space="preserve"> </w:t>
      </w:r>
      <w:r w:rsidR="00FA297B" w:rsidRPr="00FA297B">
        <w:t>to obtain the material balance of the reactor</w:t>
      </w:r>
      <w:r w:rsidR="00FA297B">
        <w:t>.</w:t>
      </w:r>
      <w:r w:rsidR="00D47D0C">
        <w:t xml:space="preserve"> </w:t>
      </w:r>
      <w:r w:rsidR="005562D7">
        <w:t xml:space="preserve">The neutralization reaction is representing in Equation </w:t>
      </w:r>
      <w:r w:rsidR="008C6705">
        <w:t>2</w:t>
      </w:r>
      <w:r w:rsidR="005562D7">
        <w:t>.</w:t>
      </w:r>
    </w:p>
    <w:p w14:paraId="777BF367" w14:textId="77777777" w:rsidR="005562D7" w:rsidRDefault="005562D7" w:rsidP="0022630F">
      <w:pPr>
        <w:pStyle w:val="CETBodytext"/>
      </w:pPr>
    </w:p>
    <w:tbl>
      <w:tblPr>
        <w:tblW w:w="5000" w:type="pct"/>
        <w:tblLook w:val="04A0" w:firstRow="1" w:lastRow="0" w:firstColumn="1" w:lastColumn="0" w:noHBand="0" w:noVBand="1"/>
      </w:tblPr>
      <w:tblGrid>
        <w:gridCol w:w="7987"/>
        <w:gridCol w:w="800"/>
      </w:tblGrid>
      <w:tr w:rsidR="00D47D0C" w:rsidRPr="00B57B36" w14:paraId="064AF565" w14:textId="77777777" w:rsidTr="00683250">
        <w:tc>
          <w:tcPr>
            <w:tcW w:w="8188" w:type="dxa"/>
            <w:shd w:val="clear" w:color="auto" w:fill="auto"/>
            <w:vAlign w:val="center"/>
          </w:tcPr>
          <w:p w14:paraId="7238DE53" w14:textId="5FF138DC" w:rsidR="005562D7" w:rsidRPr="00B57B36" w:rsidRDefault="00D47D0C" w:rsidP="00683250">
            <w:pPr>
              <w:pStyle w:val="CETEquation"/>
            </w:pPr>
            <w:r>
              <w:rPr>
                <w:noProof/>
              </w:rPr>
              <w:drawing>
                <wp:inline distT="0" distB="0" distL="0" distR="0" wp14:anchorId="3F457E09" wp14:editId="31D1E34E">
                  <wp:extent cx="1756437" cy="178902"/>
                  <wp:effectExtent l="0" t="0" r="0" b="0"/>
                  <wp:docPr id="1245639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63970" name="Imagen 124563970"/>
                          <pic:cNvPicPr/>
                        </pic:nvPicPr>
                        <pic:blipFill>
                          <a:blip r:embed="rId12"/>
                          <a:stretch>
                            <a:fillRect/>
                          </a:stretch>
                        </pic:blipFill>
                        <pic:spPr>
                          <a:xfrm>
                            <a:off x="0" y="0"/>
                            <a:ext cx="2207696" cy="224865"/>
                          </a:xfrm>
                          <a:prstGeom prst="rect">
                            <a:avLst/>
                          </a:prstGeom>
                        </pic:spPr>
                      </pic:pic>
                    </a:graphicData>
                  </a:graphic>
                </wp:inline>
              </w:drawing>
            </w:r>
          </w:p>
        </w:tc>
        <w:tc>
          <w:tcPr>
            <w:tcW w:w="815" w:type="dxa"/>
            <w:shd w:val="clear" w:color="auto" w:fill="auto"/>
            <w:vAlign w:val="center"/>
          </w:tcPr>
          <w:p w14:paraId="0AB614DC" w14:textId="77777777" w:rsidR="005562D7" w:rsidRPr="00B57B36" w:rsidRDefault="005562D7" w:rsidP="00683250">
            <w:pPr>
              <w:pStyle w:val="CETEquation"/>
              <w:jc w:val="right"/>
            </w:pPr>
            <w:r w:rsidRPr="00B57B36">
              <w:t>(1)</w:t>
            </w:r>
          </w:p>
        </w:tc>
      </w:tr>
    </w:tbl>
    <w:p w14:paraId="55A6640A" w14:textId="77777777" w:rsidR="00D47D0C" w:rsidRDefault="00D47D0C" w:rsidP="0022630F">
      <w:pPr>
        <w:pStyle w:val="CETBodytext"/>
      </w:pPr>
    </w:p>
    <w:p w14:paraId="4144E783" w14:textId="6935A95B" w:rsidR="00844B99" w:rsidRDefault="0022630F" w:rsidP="0022630F">
      <w:pPr>
        <w:pStyle w:val="CETBodytext"/>
      </w:pPr>
      <w:r w:rsidRPr="0022630F">
        <w:t>The stream leaving the reactor (PRO-NEU) is fed to a filter (FILTER) to remove the salt produced in the neutralization</w:t>
      </w:r>
      <w:r w:rsidR="00AE38A3">
        <w:t xml:space="preserve"> reaction. </w:t>
      </w:r>
      <w:r w:rsidRPr="0022630F">
        <w:t xml:space="preserve"> </w:t>
      </w:r>
    </w:p>
    <w:p w14:paraId="0FA10543" w14:textId="08E8D5CE" w:rsidR="00432E63" w:rsidRPr="00595BDC" w:rsidRDefault="00844B99" w:rsidP="00462819">
      <w:pPr>
        <w:pStyle w:val="CETBodytext"/>
      </w:pPr>
      <w:r>
        <w:t>T</w:t>
      </w:r>
      <w:r w:rsidR="0022630F" w:rsidRPr="0022630F">
        <w:t xml:space="preserve">he liquid stream (LIQ-1) </w:t>
      </w:r>
      <w:r>
        <w:t xml:space="preserve">from filter </w:t>
      </w:r>
      <w:r w:rsidR="0022630F" w:rsidRPr="0022630F">
        <w:t>is fed to a distillation column operating with 25 stages to recover as much methanol as possible and recirculated to the esterification reactor.</w:t>
      </w:r>
    </w:p>
    <w:p w14:paraId="3F61F612" w14:textId="552514EB" w:rsidR="00595BDC" w:rsidRPr="00AE38A3" w:rsidRDefault="0000591C" w:rsidP="00AE38A3">
      <w:pPr>
        <w:pStyle w:val="CETBodytext"/>
        <w:jc w:val="left"/>
        <w:rPr>
          <w:lang w:val="es-MX"/>
        </w:rPr>
      </w:pPr>
      <w:r>
        <w:rPr>
          <w:noProof/>
          <w:lang w:val="es-MX"/>
        </w:rPr>
        <w:drawing>
          <wp:inline distT="0" distB="0" distL="0" distR="0" wp14:anchorId="7D8ECA58" wp14:editId="0E2C5C41">
            <wp:extent cx="5536966" cy="2209165"/>
            <wp:effectExtent l="0" t="0" r="635" b="635"/>
            <wp:docPr id="5499964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996402" name="Imagen 549996402"/>
                    <pic:cNvPicPr/>
                  </pic:nvPicPr>
                  <pic:blipFill rotWithShape="1">
                    <a:blip r:embed="rId13"/>
                    <a:srcRect l="1413" r="801"/>
                    <a:stretch/>
                  </pic:blipFill>
                  <pic:spPr bwMode="auto">
                    <a:xfrm>
                      <a:off x="0" y="0"/>
                      <a:ext cx="5560889" cy="2218710"/>
                    </a:xfrm>
                    <a:prstGeom prst="rect">
                      <a:avLst/>
                    </a:prstGeom>
                    <a:ln>
                      <a:noFill/>
                    </a:ln>
                    <a:extLst>
                      <a:ext uri="{53640926-AAD7-44D8-BBD7-CCE9431645EC}">
                        <a14:shadowObscured xmlns:a14="http://schemas.microsoft.com/office/drawing/2010/main"/>
                      </a:ext>
                    </a:extLst>
                  </pic:spPr>
                </pic:pic>
              </a:graphicData>
            </a:graphic>
          </wp:inline>
        </w:drawing>
      </w:r>
    </w:p>
    <w:p w14:paraId="0BC1C540" w14:textId="5A3DCB46" w:rsidR="00462819" w:rsidRPr="002C1DF6" w:rsidRDefault="00462819" w:rsidP="00BF3A35">
      <w:pPr>
        <w:pStyle w:val="CETCaption"/>
        <w:rPr>
          <w:lang w:val="en-US"/>
        </w:rPr>
      </w:pPr>
      <w:r w:rsidRPr="002C1DF6">
        <w:rPr>
          <w:lang w:val="en-US"/>
        </w:rPr>
        <w:t>Figur</w:t>
      </w:r>
      <w:r w:rsidR="0022630F" w:rsidRPr="002C1DF6">
        <w:rPr>
          <w:lang w:val="en-US"/>
        </w:rPr>
        <w:t>e</w:t>
      </w:r>
      <w:r w:rsidRPr="002C1DF6">
        <w:rPr>
          <w:lang w:val="en-US"/>
        </w:rPr>
        <w:t xml:space="preserve"> </w:t>
      </w:r>
      <w:r w:rsidR="00095D14">
        <w:rPr>
          <w:lang w:val="en-US"/>
        </w:rPr>
        <w:t>2</w:t>
      </w:r>
      <w:r w:rsidRPr="002C1DF6">
        <w:rPr>
          <w:lang w:val="en-US"/>
        </w:rPr>
        <w:t xml:space="preserve">. </w:t>
      </w:r>
      <w:r w:rsidR="00CB79FB" w:rsidRPr="002C1DF6">
        <w:rPr>
          <w:lang w:val="en-US"/>
        </w:rPr>
        <w:t>Purification process of WCO flowsheet</w:t>
      </w:r>
      <w:r w:rsidR="00595BDC">
        <w:rPr>
          <w:lang w:val="en-US"/>
        </w:rPr>
        <w:t xml:space="preserve"> (including methanol recuperation)</w:t>
      </w:r>
    </w:p>
    <w:p w14:paraId="5741900F" w14:textId="7AD499C8" w:rsidR="00453E24" w:rsidRDefault="003E7536" w:rsidP="00453E24">
      <w:pPr>
        <w:pStyle w:val="CETHeading1"/>
      </w:pPr>
      <w:r>
        <w:t>Results</w:t>
      </w:r>
    </w:p>
    <w:p w14:paraId="58C91ECD" w14:textId="6F011628" w:rsidR="007A09F3" w:rsidRPr="007A09F3" w:rsidRDefault="007A09F3" w:rsidP="007A09F3">
      <w:pPr>
        <w:pStyle w:val="CETHeadingxx"/>
      </w:pPr>
      <w:r w:rsidRPr="007A09F3">
        <w:t>Remotion of a</w:t>
      </w:r>
      <w:r>
        <w:t>sh and water</w:t>
      </w:r>
    </w:p>
    <w:p w14:paraId="4577856B" w14:textId="01AE015F" w:rsidR="00D252A7" w:rsidRDefault="00BC7C21" w:rsidP="00B437D1">
      <w:pPr>
        <w:pStyle w:val="CETBodytext"/>
      </w:pPr>
      <w:r>
        <w:t>According to</w:t>
      </w:r>
      <w:r w:rsidR="00B437D1" w:rsidRPr="00B437D1">
        <w:t xml:space="preserve"> </w:t>
      </w:r>
      <w:r w:rsidR="007A09F3">
        <w:t xml:space="preserve">simulation, </w:t>
      </w:r>
      <w:r w:rsidR="007A09F3" w:rsidRPr="00B437D1">
        <w:t>at</w:t>
      </w:r>
      <w:r w:rsidR="00D41B4A">
        <w:t xml:space="preserve"> the beginning of the simulated process, </w:t>
      </w:r>
      <w:r w:rsidR="00FA3F24">
        <w:t xml:space="preserve">it was possible to </w:t>
      </w:r>
      <w:r w:rsidR="00B437D1" w:rsidRPr="00B437D1">
        <w:t>eliminat</w:t>
      </w:r>
      <w:r w:rsidR="00FA3F24">
        <w:t>e</w:t>
      </w:r>
      <w:r w:rsidR="00B437D1" w:rsidRPr="00B437D1">
        <w:t xml:space="preserve"> all the ash</w:t>
      </w:r>
      <w:r w:rsidR="0054447F">
        <w:t>es</w:t>
      </w:r>
      <w:r w:rsidR="00B437D1" w:rsidRPr="00B437D1">
        <w:t xml:space="preserve"> contained in the </w:t>
      </w:r>
      <w:r w:rsidR="00FA3F24">
        <w:t>WCO before esterification stage</w:t>
      </w:r>
      <w:r w:rsidR="007A74A9">
        <w:t xml:space="preserve"> using a decanter</w:t>
      </w:r>
      <w:r w:rsidR="00B437D1" w:rsidRPr="00B437D1">
        <w:t>.</w:t>
      </w:r>
      <w:r w:rsidR="007A09F3">
        <w:t xml:space="preserve"> It can be seen in Table 3. </w:t>
      </w:r>
    </w:p>
    <w:p w14:paraId="4535315E" w14:textId="77777777" w:rsidR="007A74A9" w:rsidRPr="003D6A7D" w:rsidRDefault="007A74A9" w:rsidP="007A74A9">
      <w:pPr>
        <w:pStyle w:val="CETTabletitle"/>
        <w:rPr>
          <w:lang w:val="en-US"/>
        </w:rPr>
      </w:pPr>
      <w:r w:rsidRPr="001F42B8">
        <w:rPr>
          <w:lang w:val="en-US"/>
        </w:rPr>
        <w:t xml:space="preserve">Table </w:t>
      </w:r>
      <w:r>
        <w:rPr>
          <w:lang w:val="en-US"/>
        </w:rPr>
        <w:t>3</w:t>
      </w:r>
      <w:r w:rsidRPr="001F42B8">
        <w:rPr>
          <w:lang w:val="en-US"/>
        </w:rPr>
        <w:t xml:space="preserve">. </w:t>
      </w:r>
      <w:r>
        <w:rPr>
          <w:lang w:val="en-US"/>
        </w:rPr>
        <w:t>Stream composition for remotion of ash and water.</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708"/>
        <w:gridCol w:w="1134"/>
      </w:tblGrid>
      <w:tr w:rsidR="0054447F" w:rsidRPr="00B57B36" w14:paraId="3D59CD72" w14:textId="77777777" w:rsidTr="00683250">
        <w:tc>
          <w:tcPr>
            <w:tcW w:w="1560" w:type="dxa"/>
            <w:tcBorders>
              <w:top w:val="single" w:sz="12" w:space="0" w:color="008000"/>
              <w:bottom w:val="single" w:sz="6" w:space="0" w:color="008000"/>
            </w:tcBorders>
            <w:shd w:val="clear" w:color="auto" w:fill="FFFFFF"/>
          </w:tcPr>
          <w:p w14:paraId="24B3B44C" w14:textId="77777777" w:rsidR="0054447F" w:rsidRPr="00B57B36" w:rsidRDefault="0054447F" w:rsidP="00683250">
            <w:pPr>
              <w:pStyle w:val="CETBodytext"/>
              <w:rPr>
                <w:lang w:val="en-GB"/>
              </w:rPr>
            </w:pPr>
            <w:r>
              <w:rPr>
                <w:lang w:val="en-GB"/>
              </w:rPr>
              <w:t>Component</w:t>
            </w:r>
            <w:r w:rsidRPr="00B57B36">
              <w:rPr>
                <w:lang w:val="en-GB"/>
              </w:rPr>
              <w:t xml:space="preserve"> </w:t>
            </w:r>
            <w:r>
              <w:t>(kg/h)</w:t>
            </w:r>
          </w:p>
        </w:tc>
        <w:tc>
          <w:tcPr>
            <w:tcW w:w="708" w:type="dxa"/>
            <w:tcBorders>
              <w:top w:val="single" w:sz="12" w:space="0" w:color="008000"/>
              <w:bottom w:val="single" w:sz="6" w:space="0" w:color="008000"/>
            </w:tcBorders>
            <w:shd w:val="clear" w:color="auto" w:fill="FFFFFF"/>
          </w:tcPr>
          <w:p w14:paraId="1D189696" w14:textId="77777777" w:rsidR="0054447F" w:rsidRPr="00B57B36" w:rsidRDefault="0054447F" w:rsidP="00683250">
            <w:pPr>
              <w:pStyle w:val="CETBodytext"/>
              <w:rPr>
                <w:lang w:val="en-GB"/>
              </w:rPr>
            </w:pPr>
            <w:r>
              <w:t>WCO</w:t>
            </w:r>
            <w:r w:rsidRPr="00D008E7">
              <w:t>-2</w:t>
            </w:r>
            <w:r>
              <w:t xml:space="preserve"> </w:t>
            </w:r>
          </w:p>
        </w:tc>
        <w:tc>
          <w:tcPr>
            <w:tcW w:w="1134" w:type="dxa"/>
            <w:tcBorders>
              <w:top w:val="single" w:sz="12" w:space="0" w:color="008000"/>
              <w:bottom w:val="single" w:sz="6" w:space="0" w:color="008000"/>
            </w:tcBorders>
            <w:shd w:val="clear" w:color="auto" w:fill="FFFFFF"/>
          </w:tcPr>
          <w:p w14:paraId="5355BD33" w14:textId="77777777" w:rsidR="0054447F" w:rsidRPr="00B57B36" w:rsidRDefault="0054447F" w:rsidP="00683250">
            <w:pPr>
              <w:pStyle w:val="CETBodytext"/>
              <w:rPr>
                <w:lang w:val="en-GB"/>
              </w:rPr>
            </w:pPr>
            <w:r w:rsidRPr="00D008E7">
              <w:t>A-ACID2</w:t>
            </w:r>
          </w:p>
        </w:tc>
      </w:tr>
      <w:tr w:rsidR="0054447F" w:rsidRPr="00B57B36" w14:paraId="441E2D10" w14:textId="77777777" w:rsidTr="00683250">
        <w:tc>
          <w:tcPr>
            <w:tcW w:w="1560" w:type="dxa"/>
            <w:shd w:val="clear" w:color="auto" w:fill="FFFFFF"/>
            <w:vAlign w:val="center"/>
          </w:tcPr>
          <w:p w14:paraId="392B6615" w14:textId="77777777" w:rsidR="0054447F" w:rsidRPr="007A09F3" w:rsidRDefault="0054447F" w:rsidP="00683250">
            <w:pPr>
              <w:pStyle w:val="CETBodytext"/>
              <w:rPr>
                <w:szCs w:val="18"/>
                <w:lang w:val="en-GB"/>
              </w:rPr>
            </w:pPr>
            <w:r>
              <w:rPr>
                <w:szCs w:val="18"/>
                <w:lang w:eastAsia="es-MX"/>
              </w:rPr>
              <w:t>Water</w:t>
            </w:r>
          </w:p>
        </w:tc>
        <w:tc>
          <w:tcPr>
            <w:tcW w:w="708" w:type="dxa"/>
            <w:shd w:val="clear" w:color="auto" w:fill="FFFFFF"/>
            <w:vAlign w:val="center"/>
          </w:tcPr>
          <w:p w14:paraId="50F7FB09" w14:textId="77777777" w:rsidR="0054447F" w:rsidRPr="007A09F3" w:rsidRDefault="0054447F" w:rsidP="00683250">
            <w:pPr>
              <w:pStyle w:val="CETBodytext"/>
              <w:rPr>
                <w:szCs w:val="18"/>
                <w:lang w:val="en-GB"/>
              </w:rPr>
            </w:pPr>
            <w:r w:rsidRPr="007A09F3">
              <w:rPr>
                <w:szCs w:val="18"/>
                <w:lang w:eastAsia="es-MX"/>
              </w:rPr>
              <w:t>110.00</w:t>
            </w:r>
          </w:p>
        </w:tc>
        <w:tc>
          <w:tcPr>
            <w:tcW w:w="1134" w:type="dxa"/>
            <w:shd w:val="clear" w:color="auto" w:fill="FFFFFF"/>
            <w:vAlign w:val="center"/>
          </w:tcPr>
          <w:p w14:paraId="54666614" w14:textId="77777777" w:rsidR="0054447F" w:rsidRPr="007A09F3" w:rsidRDefault="0054447F" w:rsidP="00683250">
            <w:pPr>
              <w:pStyle w:val="CETBodytext"/>
              <w:rPr>
                <w:szCs w:val="18"/>
                <w:lang w:val="en-GB"/>
              </w:rPr>
            </w:pPr>
            <w:r w:rsidRPr="007A09F3">
              <w:rPr>
                <w:szCs w:val="18"/>
                <w:lang w:eastAsia="es-MX"/>
              </w:rPr>
              <w:t>1.68</w:t>
            </w:r>
          </w:p>
        </w:tc>
      </w:tr>
      <w:tr w:rsidR="0054447F" w:rsidRPr="00B57B36" w14:paraId="001D595F" w14:textId="77777777" w:rsidTr="00683250">
        <w:tc>
          <w:tcPr>
            <w:tcW w:w="1560" w:type="dxa"/>
            <w:shd w:val="clear" w:color="auto" w:fill="FFFFFF"/>
            <w:vAlign w:val="center"/>
          </w:tcPr>
          <w:p w14:paraId="54B3A10B" w14:textId="77777777" w:rsidR="0054447F" w:rsidRPr="007A09F3" w:rsidRDefault="0054447F" w:rsidP="00683250">
            <w:pPr>
              <w:pStyle w:val="CETBodytext"/>
              <w:rPr>
                <w:szCs w:val="18"/>
                <w:lang w:val="en-GB"/>
              </w:rPr>
            </w:pPr>
            <w:r>
              <w:rPr>
                <w:szCs w:val="18"/>
                <w:lang w:eastAsia="es-MX"/>
              </w:rPr>
              <w:t>Ash</w:t>
            </w:r>
          </w:p>
        </w:tc>
        <w:tc>
          <w:tcPr>
            <w:tcW w:w="708" w:type="dxa"/>
            <w:shd w:val="clear" w:color="auto" w:fill="FFFFFF"/>
            <w:vAlign w:val="center"/>
          </w:tcPr>
          <w:p w14:paraId="0A3601DC" w14:textId="77777777" w:rsidR="0054447F" w:rsidRPr="007A09F3" w:rsidRDefault="0054447F" w:rsidP="00683250">
            <w:pPr>
              <w:pStyle w:val="CETBodytext"/>
              <w:rPr>
                <w:szCs w:val="18"/>
                <w:lang w:val="en-GB"/>
              </w:rPr>
            </w:pPr>
            <w:r w:rsidRPr="007A09F3">
              <w:rPr>
                <w:szCs w:val="18"/>
                <w:lang w:eastAsia="es-MX"/>
              </w:rPr>
              <w:t>0.90</w:t>
            </w:r>
          </w:p>
        </w:tc>
        <w:tc>
          <w:tcPr>
            <w:tcW w:w="1134" w:type="dxa"/>
            <w:shd w:val="clear" w:color="auto" w:fill="FFFFFF"/>
            <w:vAlign w:val="center"/>
          </w:tcPr>
          <w:p w14:paraId="54F206C0" w14:textId="77777777" w:rsidR="0054447F" w:rsidRPr="007A09F3" w:rsidRDefault="0054447F" w:rsidP="00683250">
            <w:pPr>
              <w:pStyle w:val="CETBodytext"/>
              <w:rPr>
                <w:szCs w:val="18"/>
                <w:lang w:val="en-GB"/>
              </w:rPr>
            </w:pPr>
            <w:r w:rsidRPr="007A09F3">
              <w:rPr>
                <w:szCs w:val="18"/>
                <w:lang w:eastAsia="es-MX"/>
              </w:rPr>
              <w:t>0.00</w:t>
            </w:r>
          </w:p>
        </w:tc>
      </w:tr>
    </w:tbl>
    <w:p w14:paraId="68ACB8AA" w14:textId="77777777" w:rsidR="007A74A9" w:rsidRDefault="007A74A9" w:rsidP="00B437D1">
      <w:pPr>
        <w:pStyle w:val="CETBodytext"/>
      </w:pPr>
    </w:p>
    <w:p w14:paraId="4FAAA7AE" w14:textId="77777777" w:rsidR="00D252A7" w:rsidRDefault="00D252A7" w:rsidP="00D252A7">
      <w:pPr>
        <w:pStyle w:val="CETHeadingxx"/>
      </w:pPr>
      <w:r>
        <w:lastRenderedPageBreak/>
        <w:t xml:space="preserve">Oil purification and neutralization </w:t>
      </w:r>
      <w:proofErr w:type="gramStart"/>
      <w:r>
        <w:t>steps</w:t>
      </w:r>
      <w:proofErr w:type="gramEnd"/>
    </w:p>
    <w:p w14:paraId="6DD09655" w14:textId="50C1BDB7" w:rsidR="00E225F5" w:rsidRPr="00E47DBE" w:rsidRDefault="00D252A7" w:rsidP="00E47DBE">
      <w:pPr>
        <w:pStyle w:val="CETBodytext"/>
      </w:pPr>
      <w:r>
        <w:t>The streams from extraction column M-MS3 and PURE OIL are shown in Table 4.</w:t>
      </w:r>
      <w:r w:rsidR="00A32BF0">
        <w:t xml:space="preserve"> </w:t>
      </w:r>
    </w:p>
    <w:p w14:paraId="14C0ED62" w14:textId="67AECDDB" w:rsidR="007A09F3" w:rsidRDefault="00E225F5" w:rsidP="00E225F5">
      <w:pPr>
        <w:pStyle w:val="CETTabletitle"/>
      </w:pPr>
      <w:r>
        <w:t>Table 4. Stream composition for purification of WCO process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1134"/>
        <w:gridCol w:w="1134"/>
        <w:gridCol w:w="1134"/>
      </w:tblGrid>
      <w:tr w:rsidR="00E225F5" w:rsidRPr="00B57B36" w14:paraId="78750E33" w14:textId="77777777" w:rsidTr="00BA77D5">
        <w:tc>
          <w:tcPr>
            <w:tcW w:w="1560" w:type="dxa"/>
            <w:tcBorders>
              <w:top w:val="single" w:sz="12" w:space="0" w:color="008000"/>
              <w:bottom w:val="single" w:sz="6" w:space="0" w:color="008000"/>
            </w:tcBorders>
            <w:shd w:val="clear" w:color="auto" w:fill="FFFFFF"/>
          </w:tcPr>
          <w:p w14:paraId="3063A802" w14:textId="77777777" w:rsidR="00E225F5" w:rsidRPr="00B57B36" w:rsidRDefault="00E225F5" w:rsidP="00BA77D5">
            <w:pPr>
              <w:pStyle w:val="CETBodytext"/>
              <w:rPr>
                <w:lang w:val="en-GB"/>
              </w:rPr>
            </w:pPr>
            <w:r>
              <w:rPr>
                <w:lang w:val="en-GB"/>
              </w:rPr>
              <w:t>Component</w:t>
            </w:r>
            <w:r w:rsidRPr="00B57B36">
              <w:rPr>
                <w:lang w:val="en-GB"/>
              </w:rPr>
              <w:t xml:space="preserve"> </w:t>
            </w:r>
            <w:r>
              <w:t>(kg/h)</w:t>
            </w:r>
          </w:p>
        </w:tc>
        <w:tc>
          <w:tcPr>
            <w:tcW w:w="1134" w:type="dxa"/>
            <w:tcBorders>
              <w:top w:val="single" w:sz="12" w:space="0" w:color="008000"/>
              <w:bottom w:val="single" w:sz="6" w:space="0" w:color="008000"/>
            </w:tcBorders>
            <w:shd w:val="clear" w:color="auto" w:fill="FFFFFF"/>
          </w:tcPr>
          <w:p w14:paraId="698325AF" w14:textId="77777777" w:rsidR="00E225F5" w:rsidRDefault="00E225F5" w:rsidP="00BA77D5">
            <w:pPr>
              <w:pStyle w:val="CETBodytext"/>
              <w:rPr>
                <w:lang w:val="en-GB"/>
              </w:rPr>
            </w:pPr>
            <w:r>
              <w:rPr>
                <w:lang w:val="en-GB"/>
              </w:rPr>
              <w:t>A-ESTER</w:t>
            </w:r>
          </w:p>
        </w:tc>
        <w:tc>
          <w:tcPr>
            <w:tcW w:w="1134" w:type="dxa"/>
            <w:tcBorders>
              <w:top w:val="single" w:sz="12" w:space="0" w:color="008000"/>
              <w:bottom w:val="single" w:sz="6" w:space="0" w:color="008000"/>
            </w:tcBorders>
            <w:shd w:val="clear" w:color="auto" w:fill="FFFFFF"/>
          </w:tcPr>
          <w:p w14:paraId="6749920C" w14:textId="77777777" w:rsidR="00E225F5" w:rsidRDefault="00E225F5" w:rsidP="00BA77D5">
            <w:pPr>
              <w:pStyle w:val="CETBodytext"/>
              <w:rPr>
                <w:lang w:val="en-GB"/>
              </w:rPr>
            </w:pPr>
            <w:r>
              <w:rPr>
                <w:lang w:val="en-GB"/>
              </w:rPr>
              <w:t>PURE OIL</w:t>
            </w:r>
          </w:p>
        </w:tc>
        <w:tc>
          <w:tcPr>
            <w:tcW w:w="1134" w:type="dxa"/>
            <w:tcBorders>
              <w:top w:val="single" w:sz="12" w:space="0" w:color="008000"/>
              <w:bottom w:val="single" w:sz="6" w:space="0" w:color="008000"/>
            </w:tcBorders>
            <w:shd w:val="clear" w:color="auto" w:fill="FFFFFF"/>
          </w:tcPr>
          <w:p w14:paraId="0C74D0A5" w14:textId="77777777" w:rsidR="00E225F5" w:rsidRDefault="00E225F5" w:rsidP="00BA77D5">
            <w:pPr>
              <w:pStyle w:val="CETBodytext"/>
              <w:rPr>
                <w:lang w:val="en-GB"/>
              </w:rPr>
            </w:pPr>
            <w:r>
              <w:rPr>
                <w:lang w:val="en-GB"/>
              </w:rPr>
              <w:t>PRO-NEU</w:t>
            </w:r>
          </w:p>
        </w:tc>
      </w:tr>
      <w:tr w:rsidR="00E225F5" w:rsidRPr="00B57B36" w14:paraId="4957AE7A" w14:textId="77777777" w:rsidTr="00BA77D5">
        <w:tc>
          <w:tcPr>
            <w:tcW w:w="1560" w:type="dxa"/>
            <w:shd w:val="clear" w:color="auto" w:fill="FFFFFF"/>
            <w:vAlign w:val="center"/>
          </w:tcPr>
          <w:p w14:paraId="3DAEA693" w14:textId="77777777" w:rsidR="00E225F5" w:rsidRPr="007A09F3" w:rsidRDefault="00E225F5" w:rsidP="00BA77D5">
            <w:pPr>
              <w:pStyle w:val="CETBodytext"/>
              <w:rPr>
                <w:szCs w:val="18"/>
                <w:lang w:val="en-GB"/>
              </w:rPr>
            </w:pPr>
            <w:r w:rsidRPr="007A09F3">
              <w:rPr>
                <w:szCs w:val="18"/>
                <w:lang w:eastAsia="es-MX"/>
              </w:rPr>
              <w:t>Triolei</w:t>
            </w:r>
            <w:r>
              <w:rPr>
                <w:szCs w:val="18"/>
                <w:lang w:eastAsia="es-MX"/>
              </w:rPr>
              <w:t>n</w:t>
            </w:r>
          </w:p>
        </w:tc>
        <w:tc>
          <w:tcPr>
            <w:tcW w:w="1134" w:type="dxa"/>
            <w:shd w:val="clear" w:color="auto" w:fill="FFFFFF"/>
            <w:vAlign w:val="center"/>
          </w:tcPr>
          <w:p w14:paraId="15981041" w14:textId="77777777" w:rsidR="00E225F5" w:rsidRPr="007A09F3" w:rsidRDefault="00E225F5" w:rsidP="00BA77D5">
            <w:pPr>
              <w:pStyle w:val="CETBodytext"/>
              <w:rPr>
                <w:szCs w:val="18"/>
                <w:lang w:val="en-GB"/>
              </w:rPr>
            </w:pPr>
            <w:r w:rsidRPr="007A09F3">
              <w:rPr>
                <w:szCs w:val="18"/>
                <w:lang w:eastAsia="es-MX"/>
              </w:rPr>
              <w:t>718.40</w:t>
            </w:r>
          </w:p>
        </w:tc>
        <w:tc>
          <w:tcPr>
            <w:tcW w:w="1134" w:type="dxa"/>
            <w:shd w:val="clear" w:color="auto" w:fill="FFFFFF"/>
            <w:vAlign w:val="center"/>
          </w:tcPr>
          <w:p w14:paraId="05B45CD1" w14:textId="77777777" w:rsidR="00E225F5" w:rsidRPr="00427185" w:rsidRDefault="00E225F5" w:rsidP="00F2201D">
            <w:pPr>
              <w:pStyle w:val="CETBodytext"/>
              <w:jc w:val="left"/>
              <w:rPr>
                <w:szCs w:val="18"/>
                <w:lang w:eastAsia="es-MX"/>
              </w:rPr>
            </w:pPr>
            <w:r w:rsidRPr="00427185">
              <w:rPr>
                <w:szCs w:val="18"/>
                <w:lang w:eastAsia="es-MX"/>
              </w:rPr>
              <w:t>718.40</w:t>
            </w:r>
          </w:p>
        </w:tc>
        <w:tc>
          <w:tcPr>
            <w:tcW w:w="1134" w:type="dxa"/>
            <w:shd w:val="clear" w:color="auto" w:fill="FFFFFF"/>
            <w:vAlign w:val="center"/>
          </w:tcPr>
          <w:p w14:paraId="7359712D" w14:textId="77777777" w:rsidR="00E225F5" w:rsidRPr="00427185" w:rsidRDefault="00E225F5" w:rsidP="00BA77D5">
            <w:pPr>
              <w:pStyle w:val="CETBodytext"/>
              <w:rPr>
                <w:szCs w:val="18"/>
                <w:lang w:eastAsia="es-MX"/>
              </w:rPr>
            </w:pPr>
            <w:r w:rsidRPr="00427185">
              <w:rPr>
                <w:szCs w:val="18"/>
                <w:lang w:eastAsia="es-MX"/>
              </w:rPr>
              <w:t>0.00</w:t>
            </w:r>
          </w:p>
        </w:tc>
      </w:tr>
      <w:tr w:rsidR="00E225F5" w:rsidRPr="00B57B36" w14:paraId="57492377" w14:textId="77777777" w:rsidTr="00BA77D5">
        <w:tc>
          <w:tcPr>
            <w:tcW w:w="1560" w:type="dxa"/>
            <w:shd w:val="clear" w:color="auto" w:fill="FFFFFF"/>
            <w:vAlign w:val="center"/>
          </w:tcPr>
          <w:p w14:paraId="43CD6426" w14:textId="77777777" w:rsidR="00E225F5" w:rsidRPr="007A09F3" w:rsidRDefault="00E225F5" w:rsidP="00BA77D5">
            <w:pPr>
              <w:pStyle w:val="CETBodytext"/>
              <w:rPr>
                <w:szCs w:val="18"/>
                <w:lang w:val="en-GB"/>
              </w:rPr>
            </w:pPr>
            <w:r w:rsidRPr="007A09F3">
              <w:rPr>
                <w:szCs w:val="18"/>
                <w:lang w:eastAsia="es-MX"/>
              </w:rPr>
              <w:t>Diolein</w:t>
            </w:r>
          </w:p>
        </w:tc>
        <w:tc>
          <w:tcPr>
            <w:tcW w:w="1134" w:type="dxa"/>
            <w:shd w:val="clear" w:color="auto" w:fill="FFFFFF"/>
            <w:vAlign w:val="center"/>
          </w:tcPr>
          <w:p w14:paraId="2F986236" w14:textId="77777777" w:rsidR="00E225F5" w:rsidRPr="007A09F3" w:rsidRDefault="00E225F5" w:rsidP="00BA77D5">
            <w:pPr>
              <w:pStyle w:val="CETBodytext"/>
              <w:rPr>
                <w:szCs w:val="18"/>
                <w:lang w:val="en-GB"/>
              </w:rPr>
            </w:pPr>
            <w:r w:rsidRPr="007A09F3">
              <w:rPr>
                <w:szCs w:val="18"/>
                <w:lang w:eastAsia="es-MX"/>
              </w:rPr>
              <w:t>30.90</w:t>
            </w:r>
          </w:p>
        </w:tc>
        <w:tc>
          <w:tcPr>
            <w:tcW w:w="1134" w:type="dxa"/>
            <w:shd w:val="clear" w:color="auto" w:fill="FFFFFF"/>
            <w:vAlign w:val="center"/>
          </w:tcPr>
          <w:p w14:paraId="03FC7FFF" w14:textId="77777777" w:rsidR="00E225F5" w:rsidRPr="00427185" w:rsidRDefault="00E225F5" w:rsidP="00BA77D5">
            <w:pPr>
              <w:pStyle w:val="CETBodytext"/>
              <w:rPr>
                <w:szCs w:val="18"/>
                <w:lang w:eastAsia="es-MX"/>
              </w:rPr>
            </w:pPr>
            <w:r w:rsidRPr="00427185">
              <w:rPr>
                <w:szCs w:val="18"/>
                <w:lang w:eastAsia="es-MX"/>
              </w:rPr>
              <w:t>30.90</w:t>
            </w:r>
          </w:p>
        </w:tc>
        <w:tc>
          <w:tcPr>
            <w:tcW w:w="1134" w:type="dxa"/>
            <w:shd w:val="clear" w:color="auto" w:fill="FFFFFF"/>
            <w:vAlign w:val="center"/>
          </w:tcPr>
          <w:p w14:paraId="08C70CF7" w14:textId="77777777" w:rsidR="00E225F5" w:rsidRPr="00427185" w:rsidRDefault="00E225F5" w:rsidP="00BA77D5">
            <w:pPr>
              <w:pStyle w:val="CETBodytext"/>
              <w:rPr>
                <w:szCs w:val="18"/>
                <w:lang w:eastAsia="es-MX"/>
              </w:rPr>
            </w:pPr>
            <w:r w:rsidRPr="00427185">
              <w:rPr>
                <w:szCs w:val="18"/>
                <w:lang w:eastAsia="es-MX"/>
              </w:rPr>
              <w:t>0.00</w:t>
            </w:r>
          </w:p>
        </w:tc>
      </w:tr>
      <w:tr w:rsidR="00E225F5" w:rsidRPr="00B57B36" w14:paraId="3A605AE3" w14:textId="77777777" w:rsidTr="00BA77D5">
        <w:tc>
          <w:tcPr>
            <w:tcW w:w="1560" w:type="dxa"/>
            <w:shd w:val="clear" w:color="auto" w:fill="FFFFFF"/>
            <w:vAlign w:val="center"/>
          </w:tcPr>
          <w:p w14:paraId="2BE26DDD" w14:textId="77777777" w:rsidR="00E225F5" w:rsidRPr="007A09F3" w:rsidRDefault="00E225F5" w:rsidP="00BA77D5">
            <w:pPr>
              <w:pStyle w:val="CETBodytext"/>
              <w:rPr>
                <w:szCs w:val="18"/>
                <w:lang w:val="en-GB"/>
              </w:rPr>
            </w:pPr>
            <w:r w:rsidRPr="007A09F3">
              <w:rPr>
                <w:szCs w:val="18"/>
                <w:lang w:eastAsia="es-MX"/>
              </w:rPr>
              <w:t>Mono</w:t>
            </w:r>
            <w:r>
              <w:rPr>
                <w:szCs w:val="18"/>
                <w:lang w:eastAsia="es-MX"/>
              </w:rPr>
              <w:t>olein</w:t>
            </w:r>
          </w:p>
        </w:tc>
        <w:tc>
          <w:tcPr>
            <w:tcW w:w="1134" w:type="dxa"/>
            <w:shd w:val="clear" w:color="auto" w:fill="FFFFFF"/>
            <w:vAlign w:val="center"/>
          </w:tcPr>
          <w:p w14:paraId="37D25FC5" w14:textId="77777777" w:rsidR="00E225F5" w:rsidRPr="007A09F3" w:rsidRDefault="00E225F5" w:rsidP="00BA77D5">
            <w:pPr>
              <w:pStyle w:val="CETBodytext"/>
              <w:rPr>
                <w:szCs w:val="18"/>
                <w:lang w:val="en-GB"/>
              </w:rPr>
            </w:pPr>
            <w:r w:rsidRPr="007A09F3">
              <w:rPr>
                <w:szCs w:val="18"/>
                <w:lang w:eastAsia="es-MX"/>
              </w:rPr>
              <w:t>6.30</w:t>
            </w:r>
          </w:p>
        </w:tc>
        <w:tc>
          <w:tcPr>
            <w:tcW w:w="1134" w:type="dxa"/>
            <w:shd w:val="clear" w:color="auto" w:fill="FFFFFF"/>
            <w:vAlign w:val="center"/>
          </w:tcPr>
          <w:p w14:paraId="1CB0D9F1" w14:textId="77777777" w:rsidR="00E225F5" w:rsidRPr="00427185" w:rsidRDefault="00E225F5" w:rsidP="00BA77D5">
            <w:pPr>
              <w:pStyle w:val="CETBodytext"/>
              <w:rPr>
                <w:szCs w:val="18"/>
                <w:lang w:eastAsia="es-MX"/>
              </w:rPr>
            </w:pPr>
            <w:r w:rsidRPr="00427185">
              <w:rPr>
                <w:szCs w:val="18"/>
                <w:lang w:eastAsia="es-MX"/>
              </w:rPr>
              <w:t>5.84</w:t>
            </w:r>
          </w:p>
        </w:tc>
        <w:tc>
          <w:tcPr>
            <w:tcW w:w="1134" w:type="dxa"/>
            <w:shd w:val="clear" w:color="auto" w:fill="FFFFFF"/>
            <w:vAlign w:val="center"/>
          </w:tcPr>
          <w:p w14:paraId="47A5B011" w14:textId="77777777" w:rsidR="00E225F5" w:rsidRPr="00427185" w:rsidRDefault="00E225F5" w:rsidP="00BA77D5">
            <w:pPr>
              <w:pStyle w:val="CETBodytext"/>
              <w:rPr>
                <w:szCs w:val="18"/>
                <w:lang w:eastAsia="es-MX"/>
              </w:rPr>
            </w:pPr>
            <w:r w:rsidRPr="00427185">
              <w:rPr>
                <w:szCs w:val="18"/>
                <w:lang w:eastAsia="es-MX"/>
              </w:rPr>
              <w:t>0.46</w:t>
            </w:r>
          </w:p>
        </w:tc>
      </w:tr>
      <w:tr w:rsidR="00E225F5" w:rsidRPr="00B57B36" w14:paraId="002E95CE" w14:textId="77777777" w:rsidTr="00BA77D5">
        <w:tc>
          <w:tcPr>
            <w:tcW w:w="1560" w:type="dxa"/>
            <w:shd w:val="clear" w:color="auto" w:fill="FFFFFF"/>
          </w:tcPr>
          <w:p w14:paraId="1D8B80B9" w14:textId="77777777" w:rsidR="00E225F5" w:rsidRPr="007A09F3" w:rsidRDefault="00E225F5" w:rsidP="00BA77D5">
            <w:pPr>
              <w:pStyle w:val="CETBodytext"/>
              <w:rPr>
                <w:szCs w:val="18"/>
                <w:lang w:val="en-GB"/>
              </w:rPr>
            </w:pPr>
            <w:r>
              <w:rPr>
                <w:rFonts w:cs="Arial"/>
                <w:szCs w:val="18"/>
                <w:lang w:val="en-GB"/>
              </w:rPr>
              <w:t>Oleic Acid</w:t>
            </w:r>
          </w:p>
        </w:tc>
        <w:tc>
          <w:tcPr>
            <w:tcW w:w="1134" w:type="dxa"/>
            <w:shd w:val="clear" w:color="auto" w:fill="FFFFFF"/>
            <w:vAlign w:val="center"/>
          </w:tcPr>
          <w:p w14:paraId="046583A1" w14:textId="77777777" w:rsidR="00E225F5" w:rsidRPr="007A09F3" w:rsidRDefault="00E225F5" w:rsidP="00BA77D5">
            <w:pPr>
              <w:pStyle w:val="CETBodytext"/>
              <w:rPr>
                <w:szCs w:val="18"/>
                <w:lang w:val="en-GB"/>
              </w:rPr>
            </w:pPr>
            <w:r w:rsidRPr="007A09F3">
              <w:rPr>
                <w:szCs w:val="18"/>
                <w:lang w:eastAsia="es-MX"/>
              </w:rPr>
              <w:t>5.38</w:t>
            </w:r>
          </w:p>
        </w:tc>
        <w:tc>
          <w:tcPr>
            <w:tcW w:w="1134" w:type="dxa"/>
            <w:shd w:val="clear" w:color="auto" w:fill="FFFFFF"/>
            <w:vAlign w:val="center"/>
          </w:tcPr>
          <w:p w14:paraId="457778AD" w14:textId="77777777" w:rsidR="00E225F5" w:rsidRPr="00427185" w:rsidRDefault="00E225F5" w:rsidP="00BA77D5">
            <w:pPr>
              <w:pStyle w:val="CETBodytext"/>
              <w:rPr>
                <w:szCs w:val="18"/>
                <w:lang w:eastAsia="es-MX"/>
              </w:rPr>
            </w:pPr>
            <w:r w:rsidRPr="00427185">
              <w:rPr>
                <w:szCs w:val="18"/>
                <w:lang w:eastAsia="es-MX"/>
              </w:rPr>
              <w:t>5.37</w:t>
            </w:r>
          </w:p>
        </w:tc>
        <w:tc>
          <w:tcPr>
            <w:tcW w:w="1134" w:type="dxa"/>
            <w:shd w:val="clear" w:color="auto" w:fill="FFFFFF"/>
            <w:vAlign w:val="center"/>
          </w:tcPr>
          <w:p w14:paraId="135D5FBD" w14:textId="77777777" w:rsidR="00E225F5" w:rsidRPr="00427185" w:rsidRDefault="00E225F5" w:rsidP="00BA77D5">
            <w:pPr>
              <w:pStyle w:val="CETBodytext"/>
              <w:rPr>
                <w:szCs w:val="18"/>
                <w:lang w:eastAsia="es-MX"/>
              </w:rPr>
            </w:pPr>
            <w:r w:rsidRPr="00427185">
              <w:rPr>
                <w:szCs w:val="18"/>
                <w:lang w:eastAsia="es-MX"/>
              </w:rPr>
              <w:t>0.01</w:t>
            </w:r>
          </w:p>
        </w:tc>
      </w:tr>
      <w:tr w:rsidR="00E225F5" w:rsidRPr="00B57B36" w14:paraId="0AC4126D" w14:textId="77777777" w:rsidTr="00BA77D5">
        <w:tc>
          <w:tcPr>
            <w:tcW w:w="1560" w:type="dxa"/>
            <w:shd w:val="clear" w:color="auto" w:fill="FFFFFF"/>
          </w:tcPr>
          <w:p w14:paraId="16359F89" w14:textId="77777777" w:rsidR="00E225F5" w:rsidRPr="007A09F3" w:rsidRDefault="00E225F5" w:rsidP="00BA77D5">
            <w:pPr>
              <w:pStyle w:val="CETBodytext"/>
              <w:rPr>
                <w:szCs w:val="18"/>
                <w:lang w:val="en-GB"/>
              </w:rPr>
            </w:pPr>
            <w:r>
              <w:rPr>
                <w:rFonts w:cs="Arial"/>
                <w:szCs w:val="18"/>
                <w:lang w:val="en-GB"/>
              </w:rPr>
              <w:t>Linoleic Acid</w:t>
            </w:r>
          </w:p>
        </w:tc>
        <w:tc>
          <w:tcPr>
            <w:tcW w:w="1134" w:type="dxa"/>
            <w:shd w:val="clear" w:color="auto" w:fill="FFFFFF"/>
            <w:vAlign w:val="center"/>
          </w:tcPr>
          <w:p w14:paraId="32B15219" w14:textId="77777777" w:rsidR="00E225F5" w:rsidRPr="007A09F3" w:rsidRDefault="00E225F5" w:rsidP="00BA77D5">
            <w:pPr>
              <w:pStyle w:val="CETBodytext"/>
              <w:rPr>
                <w:szCs w:val="18"/>
                <w:lang w:val="en-GB"/>
              </w:rPr>
            </w:pPr>
            <w:r w:rsidRPr="007A09F3">
              <w:rPr>
                <w:szCs w:val="18"/>
                <w:lang w:eastAsia="es-MX"/>
              </w:rPr>
              <w:t>2.18</w:t>
            </w:r>
          </w:p>
        </w:tc>
        <w:tc>
          <w:tcPr>
            <w:tcW w:w="1134" w:type="dxa"/>
            <w:shd w:val="clear" w:color="auto" w:fill="FFFFFF"/>
            <w:vAlign w:val="center"/>
          </w:tcPr>
          <w:p w14:paraId="57A7641E" w14:textId="77777777" w:rsidR="00E225F5" w:rsidRPr="00427185" w:rsidRDefault="00E225F5" w:rsidP="00BA77D5">
            <w:pPr>
              <w:pStyle w:val="CETBodytext"/>
              <w:rPr>
                <w:szCs w:val="18"/>
                <w:lang w:eastAsia="es-MX"/>
              </w:rPr>
            </w:pPr>
            <w:r w:rsidRPr="00427185">
              <w:rPr>
                <w:szCs w:val="18"/>
                <w:lang w:eastAsia="es-MX"/>
              </w:rPr>
              <w:t>2.18</w:t>
            </w:r>
          </w:p>
        </w:tc>
        <w:tc>
          <w:tcPr>
            <w:tcW w:w="1134" w:type="dxa"/>
            <w:shd w:val="clear" w:color="auto" w:fill="FFFFFF"/>
            <w:vAlign w:val="center"/>
          </w:tcPr>
          <w:p w14:paraId="4BB8C756" w14:textId="77777777" w:rsidR="00E225F5" w:rsidRPr="00427185" w:rsidRDefault="00E225F5" w:rsidP="00BA77D5">
            <w:pPr>
              <w:pStyle w:val="CETBodytext"/>
              <w:rPr>
                <w:szCs w:val="18"/>
                <w:lang w:eastAsia="es-MX"/>
              </w:rPr>
            </w:pPr>
            <w:r w:rsidRPr="00427185">
              <w:rPr>
                <w:szCs w:val="18"/>
                <w:lang w:eastAsia="es-MX"/>
              </w:rPr>
              <w:t>0.01</w:t>
            </w:r>
          </w:p>
        </w:tc>
      </w:tr>
      <w:tr w:rsidR="00E225F5" w:rsidRPr="00B57B36" w14:paraId="168671BC" w14:textId="77777777" w:rsidTr="00BA77D5">
        <w:tc>
          <w:tcPr>
            <w:tcW w:w="1560" w:type="dxa"/>
            <w:shd w:val="clear" w:color="auto" w:fill="FFFFFF"/>
          </w:tcPr>
          <w:p w14:paraId="1F038D75" w14:textId="77777777" w:rsidR="00E225F5" w:rsidRPr="007A09F3" w:rsidRDefault="00E225F5" w:rsidP="00BA77D5">
            <w:pPr>
              <w:pStyle w:val="CETBodytext"/>
              <w:rPr>
                <w:szCs w:val="18"/>
                <w:lang w:val="en-GB"/>
              </w:rPr>
            </w:pPr>
            <w:r>
              <w:rPr>
                <w:rFonts w:cs="Arial"/>
                <w:szCs w:val="18"/>
                <w:lang w:val="en-GB"/>
              </w:rPr>
              <w:t>Palmitic Acid</w:t>
            </w:r>
          </w:p>
        </w:tc>
        <w:tc>
          <w:tcPr>
            <w:tcW w:w="1134" w:type="dxa"/>
            <w:shd w:val="clear" w:color="auto" w:fill="FFFFFF"/>
            <w:vAlign w:val="center"/>
          </w:tcPr>
          <w:p w14:paraId="252CED89" w14:textId="77777777" w:rsidR="00E225F5" w:rsidRPr="007A09F3" w:rsidRDefault="00E225F5" w:rsidP="00BA77D5">
            <w:pPr>
              <w:pStyle w:val="CETBodytext"/>
              <w:rPr>
                <w:szCs w:val="18"/>
                <w:lang w:val="en-GB"/>
              </w:rPr>
            </w:pPr>
            <w:r w:rsidRPr="007A09F3">
              <w:rPr>
                <w:szCs w:val="18"/>
                <w:lang w:eastAsia="es-MX"/>
              </w:rPr>
              <w:t>0.80</w:t>
            </w:r>
          </w:p>
        </w:tc>
        <w:tc>
          <w:tcPr>
            <w:tcW w:w="1134" w:type="dxa"/>
            <w:shd w:val="clear" w:color="auto" w:fill="FFFFFF"/>
            <w:vAlign w:val="center"/>
          </w:tcPr>
          <w:p w14:paraId="47A1779C" w14:textId="77777777" w:rsidR="00E225F5" w:rsidRPr="00427185" w:rsidRDefault="00E225F5" w:rsidP="00BA77D5">
            <w:pPr>
              <w:pStyle w:val="CETBodytext"/>
              <w:rPr>
                <w:szCs w:val="18"/>
                <w:lang w:eastAsia="es-MX"/>
              </w:rPr>
            </w:pPr>
            <w:r w:rsidRPr="00427185">
              <w:rPr>
                <w:szCs w:val="18"/>
                <w:lang w:eastAsia="es-MX"/>
              </w:rPr>
              <w:t>0.80</w:t>
            </w:r>
          </w:p>
        </w:tc>
        <w:tc>
          <w:tcPr>
            <w:tcW w:w="1134" w:type="dxa"/>
            <w:shd w:val="clear" w:color="auto" w:fill="FFFFFF"/>
            <w:vAlign w:val="center"/>
          </w:tcPr>
          <w:p w14:paraId="18768985" w14:textId="77777777" w:rsidR="00E225F5" w:rsidRPr="00427185" w:rsidRDefault="00E225F5" w:rsidP="00BA77D5">
            <w:pPr>
              <w:pStyle w:val="CETBodytext"/>
              <w:rPr>
                <w:szCs w:val="18"/>
                <w:lang w:eastAsia="es-MX"/>
              </w:rPr>
            </w:pPr>
            <w:r w:rsidRPr="00427185">
              <w:rPr>
                <w:szCs w:val="18"/>
                <w:lang w:eastAsia="es-MX"/>
              </w:rPr>
              <w:t>0.00</w:t>
            </w:r>
          </w:p>
        </w:tc>
      </w:tr>
      <w:tr w:rsidR="00E225F5" w:rsidRPr="00B57B36" w14:paraId="35DAC0BA" w14:textId="77777777" w:rsidTr="00BA77D5">
        <w:tc>
          <w:tcPr>
            <w:tcW w:w="1560" w:type="dxa"/>
            <w:shd w:val="clear" w:color="auto" w:fill="FFFFFF"/>
          </w:tcPr>
          <w:p w14:paraId="3EC5F889" w14:textId="77777777" w:rsidR="00E225F5" w:rsidRPr="007A09F3" w:rsidRDefault="00E225F5" w:rsidP="00BA77D5">
            <w:pPr>
              <w:pStyle w:val="CETBodytext"/>
              <w:rPr>
                <w:szCs w:val="18"/>
                <w:lang w:val="en-GB"/>
              </w:rPr>
            </w:pPr>
            <w:r>
              <w:rPr>
                <w:rFonts w:cs="Arial"/>
                <w:szCs w:val="18"/>
                <w:lang w:val="en-GB"/>
              </w:rPr>
              <w:t>Steric Acid</w:t>
            </w:r>
          </w:p>
        </w:tc>
        <w:tc>
          <w:tcPr>
            <w:tcW w:w="1134" w:type="dxa"/>
            <w:shd w:val="clear" w:color="auto" w:fill="FFFFFF"/>
            <w:vAlign w:val="center"/>
          </w:tcPr>
          <w:p w14:paraId="1E925B48" w14:textId="77777777" w:rsidR="00E225F5" w:rsidRPr="007A09F3" w:rsidRDefault="00E225F5" w:rsidP="00BA77D5">
            <w:pPr>
              <w:pStyle w:val="CETBodytext"/>
              <w:rPr>
                <w:szCs w:val="18"/>
                <w:lang w:val="en-GB"/>
              </w:rPr>
            </w:pPr>
            <w:r w:rsidRPr="007A09F3">
              <w:rPr>
                <w:szCs w:val="18"/>
                <w:lang w:eastAsia="es-MX"/>
              </w:rPr>
              <w:t>0.60</w:t>
            </w:r>
          </w:p>
        </w:tc>
        <w:tc>
          <w:tcPr>
            <w:tcW w:w="1134" w:type="dxa"/>
            <w:shd w:val="clear" w:color="auto" w:fill="FFFFFF"/>
            <w:vAlign w:val="center"/>
          </w:tcPr>
          <w:p w14:paraId="6FC4989E" w14:textId="77777777" w:rsidR="00E225F5" w:rsidRPr="00427185" w:rsidRDefault="00E225F5" w:rsidP="00BA77D5">
            <w:pPr>
              <w:pStyle w:val="CETBodytext"/>
              <w:rPr>
                <w:szCs w:val="18"/>
                <w:lang w:eastAsia="es-MX"/>
              </w:rPr>
            </w:pPr>
            <w:r w:rsidRPr="00427185">
              <w:rPr>
                <w:szCs w:val="18"/>
                <w:lang w:eastAsia="es-MX"/>
              </w:rPr>
              <w:t>0.60</w:t>
            </w:r>
          </w:p>
        </w:tc>
        <w:tc>
          <w:tcPr>
            <w:tcW w:w="1134" w:type="dxa"/>
            <w:shd w:val="clear" w:color="auto" w:fill="FFFFFF"/>
            <w:vAlign w:val="center"/>
          </w:tcPr>
          <w:p w14:paraId="641FDFD4" w14:textId="77777777" w:rsidR="00E225F5" w:rsidRPr="00427185" w:rsidRDefault="00E225F5" w:rsidP="00BA77D5">
            <w:pPr>
              <w:pStyle w:val="CETBodytext"/>
              <w:rPr>
                <w:szCs w:val="18"/>
                <w:lang w:eastAsia="es-MX"/>
              </w:rPr>
            </w:pPr>
            <w:r w:rsidRPr="00427185">
              <w:rPr>
                <w:szCs w:val="18"/>
                <w:lang w:eastAsia="es-MX"/>
              </w:rPr>
              <w:t>0.00</w:t>
            </w:r>
          </w:p>
        </w:tc>
      </w:tr>
      <w:tr w:rsidR="00E225F5" w:rsidRPr="00B57B36" w14:paraId="44C02BDC" w14:textId="77777777" w:rsidTr="00BA77D5">
        <w:tc>
          <w:tcPr>
            <w:tcW w:w="1560" w:type="dxa"/>
            <w:shd w:val="clear" w:color="auto" w:fill="FFFFFF"/>
            <w:vAlign w:val="center"/>
          </w:tcPr>
          <w:p w14:paraId="24206AF3" w14:textId="77777777" w:rsidR="00E225F5" w:rsidRPr="007A09F3" w:rsidRDefault="00E225F5" w:rsidP="00BA77D5">
            <w:pPr>
              <w:pStyle w:val="CETBodytext"/>
              <w:rPr>
                <w:szCs w:val="18"/>
                <w:lang w:val="en-GB"/>
              </w:rPr>
            </w:pPr>
            <w:r w:rsidRPr="007A09F3">
              <w:rPr>
                <w:szCs w:val="18"/>
                <w:lang w:eastAsia="es-MX"/>
              </w:rPr>
              <w:t>Met</w:t>
            </w:r>
            <w:r>
              <w:rPr>
                <w:szCs w:val="18"/>
                <w:lang w:eastAsia="es-MX"/>
              </w:rPr>
              <w:t>h</w:t>
            </w:r>
            <w:r w:rsidRPr="007A09F3">
              <w:rPr>
                <w:szCs w:val="18"/>
                <w:lang w:eastAsia="es-MX"/>
              </w:rPr>
              <w:t>anol</w:t>
            </w:r>
          </w:p>
        </w:tc>
        <w:tc>
          <w:tcPr>
            <w:tcW w:w="1134" w:type="dxa"/>
            <w:shd w:val="clear" w:color="auto" w:fill="FFFFFF"/>
            <w:vAlign w:val="center"/>
          </w:tcPr>
          <w:p w14:paraId="6A0E4E34" w14:textId="77777777" w:rsidR="00E225F5" w:rsidRPr="007A09F3" w:rsidRDefault="00E225F5" w:rsidP="00BA77D5">
            <w:pPr>
              <w:pStyle w:val="CETBodytext"/>
              <w:rPr>
                <w:szCs w:val="18"/>
                <w:lang w:val="en-GB"/>
              </w:rPr>
            </w:pPr>
            <w:r w:rsidRPr="007A09F3">
              <w:rPr>
                <w:szCs w:val="18"/>
                <w:lang w:eastAsia="es-MX"/>
              </w:rPr>
              <w:t>138.73</w:t>
            </w:r>
          </w:p>
        </w:tc>
        <w:tc>
          <w:tcPr>
            <w:tcW w:w="1134" w:type="dxa"/>
            <w:shd w:val="clear" w:color="auto" w:fill="FFFFFF"/>
            <w:vAlign w:val="center"/>
          </w:tcPr>
          <w:p w14:paraId="41DB0645" w14:textId="77777777" w:rsidR="00E225F5" w:rsidRPr="00427185" w:rsidRDefault="00E225F5" w:rsidP="00BA77D5">
            <w:pPr>
              <w:pStyle w:val="CETBodytext"/>
              <w:rPr>
                <w:szCs w:val="18"/>
                <w:lang w:eastAsia="es-MX"/>
              </w:rPr>
            </w:pPr>
            <w:r w:rsidRPr="00427185">
              <w:rPr>
                <w:szCs w:val="18"/>
                <w:lang w:eastAsia="es-MX"/>
              </w:rPr>
              <w:t>0.01</w:t>
            </w:r>
          </w:p>
        </w:tc>
        <w:tc>
          <w:tcPr>
            <w:tcW w:w="1134" w:type="dxa"/>
            <w:shd w:val="clear" w:color="auto" w:fill="FFFFFF"/>
            <w:vAlign w:val="center"/>
          </w:tcPr>
          <w:p w14:paraId="0A8C55B1" w14:textId="77777777" w:rsidR="00E225F5" w:rsidRPr="00427185" w:rsidRDefault="00E225F5" w:rsidP="00BA77D5">
            <w:pPr>
              <w:pStyle w:val="CETBodytext"/>
              <w:rPr>
                <w:szCs w:val="18"/>
                <w:lang w:eastAsia="es-MX"/>
              </w:rPr>
            </w:pPr>
            <w:r w:rsidRPr="00427185">
              <w:rPr>
                <w:szCs w:val="18"/>
                <w:lang w:eastAsia="es-MX"/>
              </w:rPr>
              <w:t>138.71</w:t>
            </w:r>
          </w:p>
        </w:tc>
      </w:tr>
      <w:tr w:rsidR="00E225F5" w:rsidRPr="00B57B36" w14:paraId="5C5F2D7B" w14:textId="77777777" w:rsidTr="00BA77D5">
        <w:tc>
          <w:tcPr>
            <w:tcW w:w="1560" w:type="dxa"/>
            <w:shd w:val="clear" w:color="auto" w:fill="FFFFFF"/>
            <w:vAlign w:val="center"/>
          </w:tcPr>
          <w:p w14:paraId="1B5F787B" w14:textId="77777777" w:rsidR="00E225F5" w:rsidRPr="007A09F3" w:rsidRDefault="00E225F5" w:rsidP="00BA77D5">
            <w:pPr>
              <w:pStyle w:val="CETBodytext"/>
              <w:rPr>
                <w:szCs w:val="18"/>
                <w:lang w:val="en-GB"/>
              </w:rPr>
            </w:pPr>
            <w:r>
              <w:rPr>
                <w:szCs w:val="18"/>
                <w:lang w:eastAsia="es-MX"/>
              </w:rPr>
              <w:t>Water</w:t>
            </w:r>
          </w:p>
        </w:tc>
        <w:tc>
          <w:tcPr>
            <w:tcW w:w="1134" w:type="dxa"/>
            <w:shd w:val="clear" w:color="auto" w:fill="FFFFFF"/>
            <w:vAlign w:val="center"/>
          </w:tcPr>
          <w:p w14:paraId="4C3479E7" w14:textId="77777777" w:rsidR="00E225F5" w:rsidRPr="007A09F3" w:rsidRDefault="00E225F5" w:rsidP="00BA77D5">
            <w:pPr>
              <w:pStyle w:val="CETBodytext"/>
              <w:rPr>
                <w:szCs w:val="18"/>
                <w:lang w:val="en-GB"/>
              </w:rPr>
            </w:pPr>
            <w:r w:rsidRPr="007A09F3">
              <w:rPr>
                <w:szCs w:val="18"/>
                <w:lang w:eastAsia="es-MX"/>
              </w:rPr>
              <w:t>9.72</w:t>
            </w:r>
          </w:p>
        </w:tc>
        <w:tc>
          <w:tcPr>
            <w:tcW w:w="1134" w:type="dxa"/>
            <w:shd w:val="clear" w:color="auto" w:fill="FFFFFF"/>
            <w:vAlign w:val="center"/>
          </w:tcPr>
          <w:p w14:paraId="143578E6" w14:textId="77777777" w:rsidR="00E225F5" w:rsidRPr="00427185" w:rsidRDefault="00E225F5" w:rsidP="00BA77D5">
            <w:pPr>
              <w:pStyle w:val="CETBodytext"/>
              <w:rPr>
                <w:szCs w:val="18"/>
                <w:lang w:eastAsia="es-MX"/>
              </w:rPr>
            </w:pPr>
            <w:r w:rsidRPr="00427185">
              <w:rPr>
                <w:szCs w:val="18"/>
                <w:lang w:eastAsia="es-MX"/>
              </w:rPr>
              <w:t>0.00</w:t>
            </w:r>
          </w:p>
        </w:tc>
        <w:tc>
          <w:tcPr>
            <w:tcW w:w="1134" w:type="dxa"/>
            <w:shd w:val="clear" w:color="auto" w:fill="FFFFFF"/>
            <w:vAlign w:val="center"/>
          </w:tcPr>
          <w:p w14:paraId="626BCB32" w14:textId="77777777" w:rsidR="00E225F5" w:rsidRPr="00427185" w:rsidRDefault="00E225F5" w:rsidP="00BA77D5">
            <w:pPr>
              <w:pStyle w:val="CETBodytext"/>
              <w:rPr>
                <w:szCs w:val="18"/>
                <w:lang w:eastAsia="es-MX"/>
              </w:rPr>
            </w:pPr>
            <w:r w:rsidRPr="00427185">
              <w:rPr>
                <w:szCs w:val="18"/>
                <w:lang w:eastAsia="es-MX"/>
              </w:rPr>
              <w:t>12.48</w:t>
            </w:r>
          </w:p>
        </w:tc>
      </w:tr>
      <w:tr w:rsidR="00E225F5" w:rsidRPr="00B57B36" w14:paraId="6C7A3F58" w14:textId="77777777" w:rsidTr="00BA77D5">
        <w:tc>
          <w:tcPr>
            <w:tcW w:w="1560" w:type="dxa"/>
            <w:shd w:val="clear" w:color="auto" w:fill="FFFFFF"/>
            <w:vAlign w:val="center"/>
          </w:tcPr>
          <w:p w14:paraId="4A60AC3D" w14:textId="77777777" w:rsidR="00E225F5" w:rsidRPr="007A09F3" w:rsidRDefault="00E225F5" w:rsidP="00BA77D5">
            <w:pPr>
              <w:pStyle w:val="CETBodytext"/>
              <w:rPr>
                <w:szCs w:val="18"/>
                <w:lang w:val="en-GB"/>
              </w:rPr>
            </w:pPr>
            <w:r w:rsidRPr="007666ED">
              <w:rPr>
                <w:szCs w:val="18"/>
                <w:lang w:eastAsia="es-MX"/>
              </w:rPr>
              <w:t>H</w:t>
            </w:r>
            <w:r w:rsidRPr="007666ED">
              <w:rPr>
                <w:szCs w:val="18"/>
                <w:vertAlign w:val="subscript"/>
                <w:lang w:eastAsia="es-MX"/>
              </w:rPr>
              <w:t>2</w:t>
            </w:r>
            <w:r>
              <w:rPr>
                <w:szCs w:val="18"/>
                <w:lang w:eastAsia="es-MX"/>
              </w:rPr>
              <w:t>SO</w:t>
            </w:r>
            <w:r w:rsidRPr="007666ED">
              <w:rPr>
                <w:szCs w:val="18"/>
                <w:vertAlign w:val="subscript"/>
                <w:lang w:eastAsia="es-MX"/>
              </w:rPr>
              <w:t>4</w:t>
            </w:r>
          </w:p>
        </w:tc>
        <w:tc>
          <w:tcPr>
            <w:tcW w:w="1134" w:type="dxa"/>
            <w:shd w:val="clear" w:color="auto" w:fill="FFFFFF"/>
            <w:vAlign w:val="center"/>
          </w:tcPr>
          <w:p w14:paraId="71CD64DC" w14:textId="77777777" w:rsidR="00E225F5" w:rsidRPr="007A09F3" w:rsidRDefault="00E225F5" w:rsidP="00BA77D5">
            <w:pPr>
              <w:pStyle w:val="CETBodytext"/>
              <w:rPr>
                <w:szCs w:val="18"/>
                <w:lang w:val="en-GB"/>
              </w:rPr>
            </w:pPr>
            <w:r w:rsidRPr="007A09F3">
              <w:rPr>
                <w:szCs w:val="18"/>
                <w:lang w:eastAsia="es-MX"/>
              </w:rPr>
              <w:t>7.49</w:t>
            </w:r>
          </w:p>
        </w:tc>
        <w:tc>
          <w:tcPr>
            <w:tcW w:w="1134" w:type="dxa"/>
            <w:shd w:val="clear" w:color="auto" w:fill="FFFFFF"/>
            <w:vAlign w:val="center"/>
          </w:tcPr>
          <w:p w14:paraId="6FA345AE" w14:textId="77777777" w:rsidR="00E225F5" w:rsidRPr="00427185" w:rsidRDefault="00E225F5" w:rsidP="00BA77D5">
            <w:pPr>
              <w:pStyle w:val="CETBodytext"/>
              <w:rPr>
                <w:szCs w:val="18"/>
                <w:lang w:eastAsia="es-MX"/>
              </w:rPr>
            </w:pPr>
            <w:r w:rsidRPr="00427185">
              <w:rPr>
                <w:szCs w:val="18"/>
                <w:lang w:eastAsia="es-MX"/>
              </w:rPr>
              <w:t>0.00</w:t>
            </w:r>
          </w:p>
        </w:tc>
        <w:tc>
          <w:tcPr>
            <w:tcW w:w="1134" w:type="dxa"/>
            <w:shd w:val="clear" w:color="auto" w:fill="FFFFFF"/>
            <w:vAlign w:val="center"/>
          </w:tcPr>
          <w:p w14:paraId="65B5047E" w14:textId="77777777" w:rsidR="00E225F5" w:rsidRPr="00427185" w:rsidRDefault="00E225F5" w:rsidP="00BA77D5">
            <w:pPr>
              <w:pStyle w:val="CETBodytext"/>
              <w:rPr>
                <w:szCs w:val="18"/>
                <w:lang w:eastAsia="es-MX"/>
              </w:rPr>
            </w:pPr>
            <w:r w:rsidRPr="00427185">
              <w:rPr>
                <w:szCs w:val="18"/>
                <w:lang w:eastAsia="es-MX"/>
              </w:rPr>
              <w:t>0.00</w:t>
            </w:r>
          </w:p>
        </w:tc>
      </w:tr>
      <w:tr w:rsidR="00E225F5" w:rsidRPr="00B57B36" w14:paraId="4BD8AFB5" w14:textId="77777777" w:rsidTr="00BA77D5">
        <w:tc>
          <w:tcPr>
            <w:tcW w:w="1560" w:type="dxa"/>
            <w:shd w:val="clear" w:color="auto" w:fill="FFFFFF"/>
            <w:vAlign w:val="center"/>
          </w:tcPr>
          <w:p w14:paraId="28DD108D" w14:textId="77777777" w:rsidR="00E225F5" w:rsidRPr="007A09F3" w:rsidRDefault="00E225F5" w:rsidP="00BA77D5">
            <w:pPr>
              <w:pStyle w:val="CETBodytext"/>
              <w:rPr>
                <w:szCs w:val="18"/>
                <w:lang w:val="en-GB"/>
              </w:rPr>
            </w:pPr>
            <w:r w:rsidRPr="007A09F3">
              <w:rPr>
                <w:szCs w:val="18"/>
                <w:lang w:eastAsia="es-MX"/>
              </w:rPr>
              <w:t>Met</w:t>
            </w:r>
            <w:r>
              <w:rPr>
                <w:szCs w:val="18"/>
                <w:lang w:eastAsia="es-MX"/>
              </w:rPr>
              <w:t>hy</w:t>
            </w:r>
            <w:r w:rsidRPr="007A09F3">
              <w:rPr>
                <w:szCs w:val="18"/>
                <w:lang w:eastAsia="es-MX"/>
              </w:rPr>
              <w:t>l-</w:t>
            </w:r>
            <w:proofErr w:type="spellStart"/>
            <w:r w:rsidRPr="007A09F3">
              <w:rPr>
                <w:szCs w:val="18"/>
                <w:lang w:eastAsia="es-MX"/>
              </w:rPr>
              <w:t>ol</w:t>
            </w:r>
            <w:proofErr w:type="spellEnd"/>
          </w:p>
        </w:tc>
        <w:tc>
          <w:tcPr>
            <w:tcW w:w="1134" w:type="dxa"/>
            <w:shd w:val="clear" w:color="auto" w:fill="FFFFFF"/>
            <w:vAlign w:val="center"/>
          </w:tcPr>
          <w:p w14:paraId="230A37B5" w14:textId="77777777" w:rsidR="00E225F5" w:rsidRPr="007A09F3" w:rsidRDefault="00E225F5" w:rsidP="00BA77D5">
            <w:pPr>
              <w:pStyle w:val="CETBodytext"/>
              <w:rPr>
                <w:szCs w:val="18"/>
                <w:lang w:val="en-GB"/>
              </w:rPr>
            </w:pPr>
            <w:r w:rsidRPr="007A09F3">
              <w:rPr>
                <w:szCs w:val="18"/>
                <w:lang w:eastAsia="es-MX"/>
              </w:rPr>
              <w:t>78.43</w:t>
            </w:r>
          </w:p>
        </w:tc>
        <w:tc>
          <w:tcPr>
            <w:tcW w:w="1134" w:type="dxa"/>
            <w:shd w:val="clear" w:color="auto" w:fill="FFFFFF"/>
            <w:vAlign w:val="center"/>
          </w:tcPr>
          <w:p w14:paraId="5A07DF03" w14:textId="77777777" w:rsidR="00E225F5" w:rsidRPr="00427185" w:rsidRDefault="00E225F5" w:rsidP="00BA77D5">
            <w:pPr>
              <w:pStyle w:val="CETBodytext"/>
              <w:rPr>
                <w:szCs w:val="18"/>
                <w:lang w:eastAsia="es-MX"/>
              </w:rPr>
            </w:pPr>
            <w:r w:rsidRPr="00427185">
              <w:rPr>
                <w:szCs w:val="18"/>
                <w:lang w:eastAsia="es-MX"/>
              </w:rPr>
              <w:t>78.41</w:t>
            </w:r>
          </w:p>
        </w:tc>
        <w:tc>
          <w:tcPr>
            <w:tcW w:w="1134" w:type="dxa"/>
            <w:shd w:val="clear" w:color="auto" w:fill="FFFFFF"/>
            <w:vAlign w:val="center"/>
          </w:tcPr>
          <w:p w14:paraId="7B036222" w14:textId="77777777" w:rsidR="00E225F5" w:rsidRPr="00427185" w:rsidRDefault="00E225F5" w:rsidP="00BA77D5">
            <w:pPr>
              <w:pStyle w:val="CETBodytext"/>
              <w:rPr>
                <w:szCs w:val="18"/>
                <w:lang w:eastAsia="es-MX"/>
              </w:rPr>
            </w:pPr>
            <w:r w:rsidRPr="00427185">
              <w:rPr>
                <w:szCs w:val="18"/>
                <w:lang w:eastAsia="es-MX"/>
              </w:rPr>
              <w:t>0.02</w:t>
            </w:r>
          </w:p>
        </w:tc>
      </w:tr>
      <w:tr w:rsidR="00E225F5" w:rsidRPr="00B57B36" w14:paraId="713F47B4" w14:textId="77777777" w:rsidTr="00BA77D5">
        <w:tc>
          <w:tcPr>
            <w:tcW w:w="1560" w:type="dxa"/>
            <w:shd w:val="clear" w:color="auto" w:fill="FFFFFF"/>
            <w:vAlign w:val="center"/>
          </w:tcPr>
          <w:p w14:paraId="52D9883F" w14:textId="77777777" w:rsidR="00E225F5" w:rsidRPr="007A09F3" w:rsidRDefault="00E225F5" w:rsidP="00BA77D5">
            <w:pPr>
              <w:pStyle w:val="CETBodytext"/>
              <w:rPr>
                <w:szCs w:val="18"/>
                <w:lang w:val="en-GB"/>
              </w:rPr>
            </w:pPr>
            <w:r w:rsidRPr="007A09F3">
              <w:rPr>
                <w:szCs w:val="18"/>
                <w:lang w:eastAsia="es-MX"/>
              </w:rPr>
              <w:t>Met</w:t>
            </w:r>
            <w:r>
              <w:rPr>
                <w:szCs w:val="18"/>
                <w:lang w:eastAsia="es-MX"/>
              </w:rPr>
              <w:t>hy</w:t>
            </w:r>
            <w:r w:rsidRPr="007A09F3">
              <w:rPr>
                <w:szCs w:val="18"/>
                <w:lang w:eastAsia="es-MX"/>
              </w:rPr>
              <w:t>l-pa</w:t>
            </w:r>
          </w:p>
        </w:tc>
        <w:tc>
          <w:tcPr>
            <w:tcW w:w="1134" w:type="dxa"/>
            <w:shd w:val="clear" w:color="auto" w:fill="FFFFFF"/>
            <w:vAlign w:val="center"/>
          </w:tcPr>
          <w:p w14:paraId="6A135342" w14:textId="77777777" w:rsidR="00E225F5" w:rsidRPr="007A09F3" w:rsidRDefault="00E225F5" w:rsidP="00BA77D5">
            <w:pPr>
              <w:pStyle w:val="CETBodytext"/>
              <w:rPr>
                <w:szCs w:val="18"/>
                <w:lang w:val="en-GB"/>
              </w:rPr>
            </w:pPr>
            <w:r w:rsidRPr="007A09F3">
              <w:rPr>
                <w:szCs w:val="18"/>
                <w:lang w:eastAsia="es-MX"/>
              </w:rPr>
              <w:t>11.71</w:t>
            </w:r>
          </w:p>
        </w:tc>
        <w:tc>
          <w:tcPr>
            <w:tcW w:w="1134" w:type="dxa"/>
            <w:shd w:val="clear" w:color="auto" w:fill="FFFFFF"/>
            <w:vAlign w:val="center"/>
          </w:tcPr>
          <w:p w14:paraId="026DFF0B" w14:textId="77777777" w:rsidR="00E225F5" w:rsidRPr="00427185" w:rsidRDefault="00E225F5" w:rsidP="00BA77D5">
            <w:pPr>
              <w:pStyle w:val="CETBodytext"/>
              <w:rPr>
                <w:szCs w:val="18"/>
                <w:lang w:eastAsia="es-MX"/>
              </w:rPr>
            </w:pPr>
            <w:r w:rsidRPr="00427185">
              <w:rPr>
                <w:szCs w:val="18"/>
                <w:lang w:eastAsia="es-MX"/>
              </w:rPr>
              <w:t>11.70</w:t>
            </w:r>
          </w:p>
        </w:tc>
        <w:tc>
          <w:tcPr>
            <w:tcW w:w="1134" w:type="dxa"/>
            <w:shd w:val="clear" w:color="auto" w:fill="FFFFFF"/>
            <w:vAlign w:val="center"/>
          </w:tcPr>
          <w:p w14:paraId="50DE0A55" w14:textId="77777777" w:rsidR="00E225F5" w:rsidRPr="00427185" w:rsidRDefault="00E225F5" w:rsidP="00BA77D5">
            <w:pPr>
              <w:pStyle w:val="CETBodytext"/>
              <w:rPr>
                <w:szCs w:val="18"/>
                <w:lang w:eastAsia="es-MX"/>
              </w:rPr>
            </w:pPr>
            <w:r w:rsidRPr="00427185">
              <w:rPr>
                <w:szCs w:val="18"/>
                <w:lang w:eastAsia="es-MX"/>
              </w:rPr>
              <w:t>0.01</w:t>
            </w:r>
          </w:p>
        </w:tc>
      </w:tr>
      <w:tr w:rsidR="00E225F5" w:rsidRPr="00B57B36" w14:paraId="09343970" w14:textId="77777777" w:rsidTr="00BA77D5">
        <w:tc>
          <w:tcPr>
            <w:tcW w:w="1560" w:type="dxa"/>
            <w:shd w:val="clear" w:color="auto" w:fill="FFFFFF"/>
            <w:vAlign w:val="center"/>
          </w:tcPr>
          <w:p w14:paraId="23AEB9A8" w14:textId="77777777" w:rsidR="00E225F5" w:rsidRPr="007A09F3" w:rsidRDefault="00E225F5" w:rsidP="00BA77D5">
            <w:pPr>
              <w:pStyle w:val="CETBodytext"/>
              <w:rPr>
                <w:szCs w:val="18"/>
                <w:lang w:val="en-GB"/>
              </w:rPr>
            </w:pPr>
            <w:r w:rsidRPr="007A09F3">
              <w:rPr>
                <w:szCs w:val="18"/>
                <w:lang w:eastAsia="es-MX"/>
              </w:rPr>
              <w:t>Met</w:t>
            </w:r>
            <w:r>
              <w:rPr>
                <w:szCs w:val="18"/>
                <w:lang w:eastAsia="es-MX"/>
              </w:rPr>
              <w:t>hy</w:t>
            </w:r>
            <w:r w:rsidRPr="007A09F3">
              <w:rPr>
                <w:szCs w:val="18"/>
                <w:lang w:eastAsia="es-MX"/>
              </w:rPr>
              <w:t>l-li</w:t>
            </w:r>
          </w:p>
        </w:tc>
        <w:tc>
          <w:tcPr>
            <w:tcW w:w="1134" w:type="dxa"/>
            <w:shd w:val="clear" w:color="auto" w:fill="FFFFFF"/>
            <w:vAlign w:val="center"/>
          </w:tcPr>
          <w:p w14:paraId="6DAD7E9F" w14:textId="77777777" w:rsidR="00E225F5" w:rsidRPr="007A09F3" w:rsidRDefault="00E225F5" w:rsidP="00BA77D5">
            <w:pPr>
              <w:pStyle w:val="CETBodytext"/>
              <w:rPr>
                <w:szCs w:val="18"/>
                <w:lang w:val="en-GB"/>
              </w:rPr>
            </w:pPr>
            <w:r w:rsidRPr="007A09F3">
              <w:rPr>
                <w:szCs w:val="18"/>
                <w:lang w:eastAsia="es-MX"/>
              </w:rPr>
              <w:t>31.83</w:t>
            </w:r>
          </w:p>
        </w:tc>
        <w:tc>
          <w:tcPr>
            <w:tcW w:w="1134" w:type="dxa"/>
            <w:shd w:val="clear" w:color="auto" w:fill="FFFFFF"/>
            <w:vAlign w:val="center"/>
          </w:tcPr>
          <w:p w14:paraId="33DF80DD" w14:textId="77777777" w:rsidR="00E225F5" w:rsidRPr="00427185" w:rsidRDefault="00E225F5" w:rsidP="00BA77D5">
            <w:pPr>
              <w:pStyle w:val="CETBodytext"/>
              <w:rPr>
                <w:szCs w:val="18"/>
                <w:lang w:eastAsia="es-MX"/>
              </w:rPr>
            </w:pPr>
            <w:r w:rsidRPr="00427185">
              <w:rPr>
                <w:szCs w:val="18"/>
                <w:lang w:eastAsia="es-MX"/>
              </w:rPr>
              <w:t>31.82</w:t>
            </w:r>
          </w:p>
        </w:tc>
        <w:tc>
          <w:tcPr>
            <w:tcW w:w="1134" w:type="dxa"/>
            <w:shd w:val="clear" w:color="auto" w:fill="FFFFFF"/>
            <w:vAlign w:val="center"/>
          </w:tcPr>
          <w:p w14:paraId="205F75BB" w14:textId="77777777" w:rsidR="00E225F5" w:rsidRPr="00427185" w:rsidRDefault="00E225F5" w:rsidP="00BA77D5">
            <w:pPr>
              <w:pStyle w:val="CETBodytext"/>
              <w:rPr>
                <w:szCs w:val="18"/>
                <w:lang w:eastAsia="es-MX"/>
              </w:rPr>
            </w:pPr>
            <w:r w:rsidRPr="00427185">
              <w:rPr>
                <w:szCs w:val="18"/>
                <w:lang w:eastAsia="es-MX"/>
              </w:rPr>
              <w:t>0.01</w:t>
            </w:r>
          </w:p>
        </w:tc>
      </w:tr>
      <w:tr w:rsidR="00E225F5" w:rsidRPr="00B57B36" w14:paraId="11F56D17" w14:textId="77777777" w:rsidTr="00BA77D5">
        <w:tc>
          <w:tcPr>
            <w:tcW w:w="1560" w:type="dxa"/>
            <w:shd w:val="clear" w:color="auto" w:fill="FFFFFF"/>
            <w:vAlign w:val="center"/>
          </w:tcPr>
          <w:p w14:paraId="338C4180" w14:textId="77777777" w:rsidR="00E225F5" w:rsidRPr="007A09F3" w:rsidRDefault="00E225F5" w:rsidP="00BA77D5">
            <w:pPr>
              <w:pStyle w:val="CETBodytext"/>
              <w:ind w:right="-1"/>
              <w:rPr>
                <w:rFonts w:cs="Arial"/>
                <w:szCs w:val="18"/>
                <w:lang w:val="en-GB"/>
              </w:rPr>
            </w:pPr>
            <w:r w:rsidRPr="007A09F3">
              <w:rPr>
                <w:szCs w:val="18"/>
                <w:lang w:eastAsia="es-MX"/>
              </w:rPr>
              <w:t>Met</w:t>
            </w:r>
            <w:r>
              <w:rPr>
                <w:szCs w:val="18"/>
                <w:lang w:eastAsia="es-MX"/>
              </w:rPr>
              <w:t>hy</w:t>
            </w:r>
            <w:r w:rsidRPr="007A09F3">
              <w:rPr>
                <w:szCs w:val="18"/>
                <w:lang w:eastAsia="es-MX"/>
              </w:rPr>
              <w:t>l-</w:t>
            </w:r>
            <w:proofErr w:type="spellStart"/>
            <w:r w:rsidRPr="007A09F3">
              <w:rPr>
                <w:szCs w:val="18"/>
                <w:lang w:eastAsia="es-MX"/>
              </w:rPr>
              <w:t>st</w:t>
            </w:r>
            <w:proofErr w:type="spellEnd"/>
          </w:p>
        </w:tc>
        <w:tc>
          <w:tcPr>
            <w:tcW w:w="1134" w:type="dxa"/>
            <w:shd w:val="clear" w:color="auto" w:fill="FFFFFF"/>
            <w:vAlign w:val="center"/>
          </w:tcPr>
          <w:p w14:paraId="6CC7BE6D" w14:textId="77777777" w:rsidR="00E225F5" w:rsidRPr="007A09F3" w:rsidRDefault="00E225F5" w:rsidP="00BA77D5">
            <w:pPr>
              <w:pStyle w:val="CETBodytext"/>
              <w:ind w:right="-1"/>
              <w:rPr>
                <w:rFonts w:cs="Arial"/>
                <w:szCs w:val="18"/>
                <w:lang w:val="en-GB"/>
              </w:rPr>
            </w:pPr>
            <w:r w:rsidRPr="007A09F3">
              <w:rPr>
                <w:szCs w:val="18"/>
                <w:lang w:eastAsia="es-MX"/>
              </w:rPr>
              <w:t>8.81</w:t>
            </w:r>
          </w:p>
        </w:tc>
        <w:tc>
          <w:tcPr>
            <w:tcW w:w="1134" w:type="dxa"/>
            <w:shd w:val="clear" w:color="auto" w:fill="FFFFFF"/>
            <w:vAlign w:val="center"/>
          </w:tcPr>
          <w:p w14:paraId="45E14A7E" w14:textId="77777777" w:rsidR="00E225F5" w:rsidRPr="00427185" w:rsidRDefault="00E225F5" w:rsidP="00BA77D5">
            <w:pPr>
              <w:pStyle w:val="CETBodytext"/>
              <w:ind w:right="-1"/>
              <w:rPr>
                <w:szCs w:val="18"/>
                <w:lang w:eastAsia="es-MX"/>
              </w:rPr>
            </w:pPr>
            <w:r w:rsidRPr="00427185">
              <w:rPr>
                <w:szCs w:val="18"/>
                <w:lang w:eastAsia="es-MX"/>
              </w:rPr>
              <w:t>8.81</w:t>
            </w:r>
          </w:p>
        </w:tc>
        <w:tc>
          <w:tcPr>
            <w:tcW w:w="1134" w:type="dxa"/>
            <w:shd w:val="clear" w:color="auto" w:fill="FFFFFF"/>
            <w:vAlign w:val="center"/>
          </w:tcPr>
          <w:p w14:paraId="6EF39704" w14:textId="77777777" w:rsidR="00E225F5" w:rsidRPr="00427185" w:rsidRDefault="00E225F5" w:rsidP="00BA77D5">
            <w:pPr>
              <w:pStyle w:val="CETBodytext"/>
              <w:ind w:right="-1"/>
              <w:rPr>
                <w:szCs w:val="18"/>
                <w:lang w:eastAsia="es-MX"/>
              </w:rPr>
            </w:pPr>
            <w:r w:rsidRPr="00427185">
              <w:rPr>
                <w:szCs w:val="18"/>
                <w:lang w:eastAsia="es-MX"/>
              </w:rPr>
              <w:t>0.00</w:t>
            </w:r>
          </w:p>
        </w:tc>
      </w:tr>
      <w:tr w:rsidR="00E225F5" w:rsidRPr="00B57B36" w14:paraId="3A5869B7" w14:textId="77777777" w:rsidTr="00BA77D5">
        <w:tc>
          <w:tcPr>
            <w:tcW w:w="1560" w:type="dxa"/>
            <w:shd w:val="clear" w:color="auto" w:fill="FFFFFF"/>
            <w:vAlign w:val="center"/>
          </w:tcPr>
          <w:p w14:paraId="0F66CFEB" w14:textId="2BCCC0F5" w:rsidR="00E225F5" w:rsidRPr="007A09F3" w:rsidRDefault="00235147" w:rsidP="00BA77D5">
            <w:pPr>
              <w:pStyle w:val="CETBodytext"/>
              <w:ind w:right="-1"/>
              <w:rPr>
                <w:szCs w:val="18"/>
                <w:lang w:eastAsia="es-MX"/>
              </w:rPr>
            </w:pPr>
            <w:r>
              <w:rPr>
                <w:szCs w:val="18"/>
                <w:lang w:eastAsia="es-MX"/>
              </w:rPr>
              <w:t>Glycerol</w:t>
            </w:r>
          </w:p>
        </w:tc>
        <w:tc>
          <w:tcPr>
            <w:tcW w:w="1134" w:type="dxa"/>
            <w:shd w:val="clear" w:color="auto" w:fill="FFFFFF"/>
            <w:vAlign w:val="center"/>
          </w:tcPr>
          <w:p w14:paraId="2E607D98" w14:textId="77777777" w:rsidR="00E225F5" w:rsidRPr="007A09F3" w:rsidRDefault="00E225F5" w:rsidP="00BA77D5">
            <w:pPr>
              <w:pStyle w:val="CETBodytext"/>
              <w:ind w:right="-1"/>
              <w:rPr>
                <w:rFonts w:cs="Arial"/>
                <w:szCs w:val="18"/>
                <w:lang w:val="en-GB"/>
              </w:rPr>
            </w:pPr>
            <w:r w:rsidRPr="007A09F3">
              <w:rPr>
                <w:szCs w:val="18"/>
                <w:lang w:eastAsia="es-MX"/>
              </w:rPr>
              <w:t>0.00</w:t>
            </w:r>
          </w:p>
        </w:tc>
        <w:tc>
          <w:tcPr>
            <w:tcW w:w="1134" w:type="dxa"/>
            <w:shd w:val="clear" w:color="auto" w:fill="FFFFFF"/>
            <w:vAlign w:val="center"/>
          </w:tcPr>
          <w:p w14:paraId="46BF0CC1" w14:textId="77777777" w:rsidR="00E225F5" w:rsidRPr="00427185" w:rsidRDefault="00E225F5" w:rsidP="00BA77D5">
            <w:pPr>
              <w:pStyle w:val="CETBodytext"/>
              <w:ind w:right="-1"/>
              <w:rPr>
                <w:szCs w:val="18"/>
                <w:lang w:eastAsia="es-MX"/>
              </w:rPr>
            </w:pPr>
            <w:r w:rsidRPr="00427185">
              <w:rPr>
                <w:szCs w:val="18"/>
                <w:lang w:eastAsia="es-MX"/>
              </w:rPr>
              <w:t>0.08</w:t>
            </w:r>
          </w:p>
        </w:tc>
        <w:tc>
          <w:tcPr>
            <w:tcW w:w="1134" w:type="dxa"/>
            <w:shd w:val="clear" w:color="auto" w:fill="FFFFFF"/>
            <w:vAlign w:val="center"/>
          </w:tcPr>
          <w:p w14:paraId="2A592E78" w14:textId="77777777" w:rsidR="00E225F5" w:rsidRPr="00427185" w:rsidRDefault="00E225F5" w:rsidP="00BA77D5">
            <w:pPr>
              <w:pStyle w:val="CETBodytext"/>
              <w:ind w:right="-1"/>
              <w:rPr>
                <w:szCs w:val="18"/>
                <w:lang w:eastAsia="es-MX"/>
              </w:rPr>
            </w:pPr>
            <w:r w:rsidRPr="00427185">
              <w:rPr>
                <w:szCs w:val="18"/>
                <w:lang w:eastAsia="es-MX"/>
              </w:rPr>
              <w:t>119.92</w:t>
            </w:r>
          </w:p>
        </w:tc>
      </w:tr>
    </w:tbl>
    <w:p w14:paraId="5C503F4D" w14:textId="77777777" w:rsidR="008D054F" w:rsidRDefault="008D054F" w:rsidP="008D054F">
      <w:pPr>
        <w:pStyle w:val="CETHeadingxx"/>
      </w:pPr>
    </w:p>
    <w:p w14:paraId="2C866232" w14:textId="70B7F573" w:rsidR="008D054F" w:rsidRDefault="008D054F" w:rsidP="008D054F">
      <w:pPr>
        <w:pStyle w:val="CETHeadingxx"/>
      </w:pPr>
      <w:r w:rsidRPr="00E47DBE">
        <w:t>Methanol</w:t>
      </w:r>
      <w:r>
        <w:t xml:space="preserve"> recuperation </w:t>
      </w:r>
    </w:p>
    <w:p w14:paraId="697AF142" w14:textId="19A6849C" w:rsidR="008D054F" w:rsidRDefault="008D054F" w:rsidP="008D054F">
      <w:pPr>
        <w:pStyle w:val="CETBodytext"/>
      </w:pPr>
      <w:r>
        <w:t xml:space="preserve">According to Figure 2, recuperation and methanol purification is carried out in distillation column DC-1.  </w:t>
      </w:r>
      <w:r>
        <w:t xml:space="preserve">The result for streams for methanol recuperation are shown in Table 5. </w:t>
      </w:r>
    </w:p>
    <w:p w14:paraId="195A4FC8" w14:textId="33980169" w:rsidR="00644F48" w:rsidRPr="003D6A7D" w:rsidRDefault="00644F48" w:rsidP="00644F48">
      <w:pPr>
        <w:pStyle w:val="CETTabletitle"/>
        <w:rPr>
          <w:lang w:val="en-US"/>
        </w:rPr>
      </w:pPr>
      <w:r w:rsidRPr="001F42B8">
        <w:rPr>
          <w:lang w:val="en-US"/>
        </w:rPr>
        <w:t xml:space="preserve">Table </w:t>
      </w:r>
      <w:r w:rsidR="00E225F5">
        <w:rPr>
          <w:lang w:val="en-US"/>
        </w:rPr>
        <w:t>5</w:t>
      </w:r>
      <w:r w:rsidRPr="001F42B8">
        <w:rPr>
          <w:lang w:val="en-US"/>
        </w:rPr>
        <w:t xml:space="preserve">. </w:t>
      </w:r>
      <w:r w:rsidR="00D252A7">
        <w:rPr>
          <w:lang w:val="en-US"/>
        </w:rPr>
        <w:t>Mass fraction composition</w:t>
      </w:r>
      <w:r>
        <w:rPr>
          <w:lang w:val="en-US"/>
        </w:rPr>
        <w:t xml:space="preserve"> for methanol recuperation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708"/>
        <w:gridCol w:w="993"/>
      </w:tblGrid>
      <w:tr w:rsidR="00FC0B75" w:rsidRPr="00B57B36" w14:paraId="1EEB97E0" w14:textId="77777777" w:rsidTr="00E225F5">
        <w:tc>
          <w:tcPr>
            <w:tcW w:w="1560" w:type="dxa"/>
            <w:tcBorders>
              <w:top w:val="single" w:sz="12" w:space="0" w:color="008000"/>
              <w:bottom w:val="single" w:sz="6" w:space="0" w:color="008000"/>
            </w:tcBorders>
            <w:shd w:val="clear" w:color="auto" w:fill="FFFFFF"/>
          </w:tcPr>
          <w:p w14:paraId="38B35F5C" w14:textId="60416DD2" w:rsidR="00FC0B75" w:rsidRPr="00B57B36" w:rsidRDefault="00E225F5" w:rsidP="00FC0B75">
            <w:pPr>
              <w:pStyle w:val="CETBodytext"/>
              <w:rPr>
                <w:lang w:val="en-GB"/>
              </w:rPr>
            </w:pPr>
            <w:r>
              <w:rPr>
                <w:lang w:val="en-GB"/>
              </w:rPr>
              <w:t>Component (kg/h)</w:t>
            </w:r>
            <w:r w:rsidR="00FC0B75" w:rsidRPr="00B57B36">
              <w:rPr>
                <w:lang w:val="en-GB"/>
              </w:rPr>
              <w:t xml:space="preserve"> </w:t>
            </w:r>
          </w:p>
        </w:tc>
        <w:tc>
          <w:tcPr>
            <w:tcW w:w="708" w:type="dxa"/>
            <w:tcBorders>
              <w:top w:val="single" w:sz="12" w:space="0" w:color="008000"/>
              <w:bottom w:val="single" w:sz="6" w:space="0" w:color="008000"/>
            </w:tcBorders>
            <w:shd w:val="clear" w:color="auto" w:fill="FFFFFF"/>
          </w:tcPr>
          <w:p w14:paraId="545E0CA2" w14:textId="002E7728" w:rsidR="00FC0B75" w:rsidRPr="00B57B36" w:rsidRDefault="00FC0B75" w:rsidP="00FC0B75">
            <w:pPr>
              <w:pStyle w:val="CETBodytext"/>
              <w:rPr>
                <w:lang w:val="en-GB"/>
              </w:rPr>
            </w:pPr>
            <w:r w:rsidRPr="005E711C">
              <w:t>GL</w:t>
            </w:r>
            <w:r>
              <w:t>Y</w:t>
            </w:r>
            <w:r w:rsidRPr="005E711C">
              <w:t>-2</w:t>
            </w:r>
          </w:p>
        </w:tc>
        <w:tc>
          <w:tcPr>
            <w:tcW w:w="993" w:type="dxa"/>
            <w:tcBorders>
              <w:top w:val="single" w:sz="12" w:space="0" w:color="008000"/>
              <w:bottom w:val="single" w:sz="6" w:space="0" w:color="008000"/>
            </w:tcBorders>
            <w:shd w:val="clear" w:color="auto" w:fill="FFFFFF"/>
          </w:tcPr>
          <w:p w14:paraId="3717963E" w14:textId="5FE039E2" w:rsidR="00FC0B75" w:rsidRPr="00B57B36" w:rsidRDefault="00FC0B75" w:rsidP="00FC0B75">
            <w:pPr>
              <w:pStyle w:val="CETBodytext"/>
              <w:rPr>
                <w:lang w:val="en-GB"/>
              </w:rPr>
            </w:pPr>
            <w:r w:rsidRPr="005E711C">
              <w:t>MET-REC1</w:t>
            </w:r>
          </w:p>
        </w:tc>
      </w:tr>
      <w:tr w:rsidR="00FC0B75" w:rsidRPr="00B57B36" w14:paraId="3F317FF7" w14:textId="77777777" w:rsidTr="00E225F5">
        <w:tc>
          <w:tcPr>
            <w:tcW w:w="1560" w:type="dxa"/>
            <w:shd w:val="clear" w:color="auto" w:fill="FFFFFF"/>
          </w:tcPr>
          <w:p w14:paraId="4F2E2D90" w14:textId="4F714F34" w:rsidR="00FC0B75" w:rsidRPr="00B57B36" w:rsidRDefault="00FC0B75" w:rsidP="00FC0B75">
            <w:pPr>
              <w:pStyle w:val="CETBodytext"/>
              <w:rPr>
                <w:lang w:val="en-GB"/>
              </w:rPr>
            </w:pPr>
            <w:r>
              <w:rPr>
                <w:lang w:val="en-GB"/>
              </w:rPr>
              <w:t>Methanol</w:t>
            </w:r>
          </w:p>
        </w:tc>
        <w:tc>
          <w:tcPr>
            <w:tcW w:w="708" w:type="dxa"/>
            <w:shd w:val="clear" w:color="auto" w:fill="FFFFFF"/>
          </w:tcPr>
          <w:p w14:paraId="3996C834" w14:textId="4CF32B8E" w:rsidR="00FC0B75" w:rsidRPr="00FC0B75" w:rsidRDefault="00FC0B75" w:rsidP="00FC0B75">
            <w:pPr>
              <w:pStyle w:val="CETBodytext"/>
              <w:jc w:val="left"/>
              <w:rPr>
                <w:szCs w:val="18"/>
                <w:lang w:val="en-GB"/>
              </w:rPr>
            </w:pPr>
            <w:r w:rsidRPr="00FC0B75">
              <w:rPr>
                <w:szCs w:val="18"/>
              </w:rPr>
              <w:t>0.</w:t>
            </w:r>
            <w:r w:rsidR="00BA5DD9">
              <w:rPr>
                <w:szCs w:val="18"/>
              </w:rPr>
              <w:t>0</w:t>
            </w:r>
            <w:r w:rsidR="007A74A9">
              <w:rPr>
                <w:szCs w:val="18"/>
              </w:rPr>
              <w:t>0</w:t>
            </w:r>
            <w:r w:rsidR="00BA5DD9">
              <w:rPr>
                <w:szCs w:val="18"/>
              </w:rPr>
              <w:t>6</w:t>
            </w:r>
          </w:p>
        </w:tc>
        <w:tc>
          <w:tcPr>
            <w:tcW w:w="993" w:type="dxa"/>
            <w:shd w:val="clear" w:color="auto" w:fill="FFFFFF"/>
          </w:tcPr>
          <w:p w14:paraId="688B3307" w14:textId="26F961CC" w:rsidR="00FC0B75" w:rsidRPr="00FC0B75" w:rsidRDefault="003A2A3D" w:rsidP="00FC0B75">
            <w:pPr>
              <w:pStyle w:val="CETBodytext"/>
              <w:jc w:val="left"/>
              <w:rPr>
                <w:szCs w:val="18"/>
                <w:lang w:val="en-GB"/>
              </w:rPr>
            </w:pPr>
            <w:r>
              <w:rPr>
                <w:szCs w:val="18"/>
              </w:rPr>
              <w:t>0.99</w:t>
            </w:r>
          </w:p>
        </w:tc>
      </w:tr>
      <w:tr w:rsidR="00FC0B75" w:rsidRPr="00B57B36" w14:paraId="13C1AD38" w14:textId="77777777" w:rsidTr="00E225F5">
        <w:tc>
          <w:tcPr>
            <w:tcW w:w="1560" w:type="dxa"/>
            <w:shd w:val="clear" w:color="auto" w:fill="FFFFFF"/>
          </w:tcPr>
          <w:p w14:paraId="6906FA33" w14:textId="405CDBBE" w:rsidR="00FC0B75" w:rsidRPr="00B57B36" w:rsidRDefault="00FC0B75" w:rsidP="00FC0B75">
            <w:pPr>
              <w:pStyle w:val="CETBodytext"/>
              <w:ind w:right="-1"/>
              <w:rPr>
                <w:rFonts w:cs="Arial"/>
                <w:szCs w:val="18"/>
                <w:lang w:val="en-GB"/>
              </w:rPr>
            </w:pPr>
            <w:r>
              <w:rPr>
                <w:rFonts w:cs="Arial"/>
                <w:szCs w:val="18"/>
                <w:lang w:val="en-GB"/>
              </w:rPr>
              <w:t>Water</w:t>
            </w:r>
          </w:p>
        </w:tc>
        <w:tc>
          <w:tcPr>
            <w:tcW w:w="708" w:type="dxa"/>
            <w:shd w:val="clear" w:color="auto" w:fill="FFFFFF"/>
          </w:tcPr>
          <w:p w14:paraId="4BB95DB4" w14:textId="65EF6E97" w:rsidR="00FC0B75" w:rsidRPr="00FC0B75" w:rsidRDefault="00BA5DD9" w:rsidP="00FC0B75">
            <w:pPr>
              <w:pStyle w:val="CETBodytext"/>
              <w:ind w:right="-1"/>
              <w:jc w:val="left"/>
              <w:rPr>
                <w:rFonts w:cs="Arial"/>
                <w:szCs w:val="18"/>
                <w:lang w:val="en-GB"/>
              </w:rPr>
            </w:pPr>
            <w:r>
              <w:rPr>
                <w:szCs w:val="18"/>
              </w:rPr>
              <w:t>0.092</w:t>
            </w:r>
          </w:p>
        </w:tc>
        <w:tc>
          <w:tcPr>
            <w:tcW w:w="993" w:type="dxa"/>
            <w:shd w:val="clear" w:color="auto" w:fill="FFFFFF"/>
          </w:tcPr>
          <w:p w14:paraId="214CA0CD" w14:textId="72E72206" w:rsidR="00FC0B75" w:rsidRPr="00FC0B75" w:rsidRDefault="00FC0B75" w:rsidP="00FC0B75">
            <w:pPr>
              <w:pStyle w:val="CETBodytext"/>
              <w:ind w:right="-1"/>
              <w:jc w:val="left"/>
              <w:rPr>
                <w:rFonts w:cs="Arial"/>
                <w:szCs w:val="18"/>
                <w:lang w:val="en-GB"/>
              </w:rPr>
            </w:pPr>
            <w:r w:rsidRPr="00FC0B75">
              <w:rPr>
                <w:szCs w:val="18"/>
              </w:rPr>
              <w:t>0.0</w:t>
            </w:r>
            <w:r w:rsidR="003A2A3D">
              <w:rPr>
                <w:szCs w:val="18"/>
              </w:rPr>
              <w:t>001</w:t>
            </w:r>
          </w:p>
        </w:tc>
      </w:tr>
      <w:tr w:rsidR="00FC0B75" w:rsidRPr="00B57B36" w14:paraId="4D3A3067" w14:textId="77777777" w:rsidTr="00E225F5">
        <w:tc>
          <w:tcPr>
            <w:tcW w:w="1560" w:type="dxa"/>
            <w:shd w:val="clear" w:color="auto" w:fill="FFFFFF"/>
          </w:tcPr>
          <w:p w14:paraId="6346B97C" w14:textId="5094008A" w:rsidR="00FC0B75" w:rsidRDefault="00FC0B75" w:rsidP="00BA77D5">
            <w:pPr>
              <w:pStyle w:val="CETBodytext"/>
              <w:ind w:right="-1"/>
              <w:rPr>
                <w:rFonts w:cs="Arial"/>
                <w:szCs w:val="18"/>
                <w:lang w:val="en-GB"/>
              </w:rPr>
            </w:pPr>
            <w:r>
              <w:rPr>
                <w:rFonts w:cs="Arial"/>
                <w:szCs w:val="18"/>
                <w:lang w:val="en-GB"/>
              </w:rPr>
              <w:t>Glycerol</w:t>
            </w:r>
          </w:p>
        </w:tc>
        <w:tc>
          <w:tcPr>
            <w:tcW w:w="708" w:type="dxa"/>
            <w:shd w:val="clear" w:color="auto" w:fill="FFFFFF"/>
          </w:tcPr>
          <w:p w14:paraId="2B46C801" w14:textId="282E6155" w:rsidR="00FC0B75" w:rsidRPr="00FC0B75" w:rsidRDefault="00BA5DD9" w:rsidP="00FC0B75">
            <w:pPr>
              <w:pStyle w:val="CETBodytext"/>
              <w:ind w:right="-1"/>
              <w:jc w:val="left"/>
              <w:rPr>
                <w:rFonts w:cs="Arial"/>
                <w:szCs w:val="18"/>
                <w:lang w:val="en-GB"/>
              </w:rPr>
            </w:pPr>
            <w:r>
              <w:rPr>
                <w:szCs w:val="18"/>
                <w:lang w:eastAsia="es-MX"/>
              </w:rPr>
              <w:t>0.89</w:t>
            </w:r>
          </w:p>
        </w:tc>
        <w:tc>
          <w:tcPr>
            <w:tcW w:w="993" w:type="dxa"/>
            <w:shd w:val="clear" w:color="auto" w:fill="FFFFFF"/>
          </w:tcPr>
          <w:p w14:paraId="55738ECD" w14:textId="28112E07" w:rsidR="00FC0B75" w:rsidRPr="00FC0B75" w:rsidRDefault="00FC0B75" w:rsidP="00FC0B75">
            <w:pPr>
              <w:pStyle w:val="CETBodytext"/>
              <w:ind w:right="-1"/>
              <w:jc w:val="left"/>
              <w:rPr>
                <w:rFonts w:cs="Arial"/>
                <w:szCs w:val="18"/>
                <w:lang w:val="en-GB"/>
              </w:rPr>
            </w:pPr>
            <w:r w:rsidRPr="00FC0B75">
              <w:rPr>
                <w:rFonts w:cs="Arial"/>
                <w:szCs w:val="18"/>
                <w:lang w:val="en-GB"/>
              </w:rPr>
              <w:t>0.00</w:t>
            </w:r>
          </w:p>
        </w:tc>
      </w:tr>
    </w:tbl>
    <w:p w14:paraId="119B0347" w14:textId="77777777" w:rsidR="007A09F3" w:rsidRDefault="007A09F3" w:rsidP="00B437D1">
      <w:pPr>
        <w:pStyle w:val="CETBodytext"/>
      </w:pPr>
    </w:p>
    <w:p w14:paraId="415635BD" w14:textId="53AC8559" w:rsidR="00B437D1" w:rsidRDefault="00A35552" w:rsidP="00B437D1">
      <w:pPr>
        <w:pStyle w:val="CETBodytext"/>
      </w:pPr>
      <w:r>
        <w:t>According to</w:t>
      </w:r>
      <w:r w:rsidR="00F2201D">
        <w:t xml:space="preserve"> Table 3, </w:t>
      </w:r>
      <w:r w:rsidR="00C60D7A">
        <w:t>the</w:t>
      </w:r>
      <w:r w:rsidR="00B437D1" w:rsidRPr="00B437D1">
        <w:t xml:space="preserve"> organic matter was </w:t>
      </w:r>
      <w:r w:rsidR="00E577B1" w:rsidRPr="00B437D1">
        <w:t>eliminated</w:t>
      </w:r>
      <w:r w:rsidR="00B437D1" w:rsidRPr="00B437D1">
        <w:t>, while some traces of water remained (0.19 wt.%).</w:t>
      </w:r>
      <w:r w:rsidR="00BB568D">
        <w:t xml:space="preserve"> </w:t>
      </w:r>
      <w:r w:rsidR="00B437D1">
        <w:t xml:space="preserve">The FFA content in the oil before esterification is 15%, which is very high, but after esterification it was reduced to 1%, so it is within the limit. The oil that comes out of the extraction column has a purity of 99.99%, It is worth mentioning that here also all the sulfuric acid was removed from the bottom stream of the extraction column. </w:t>
      </w:r>
    </w:p>
    <w:p w14:paraId="23585885" w14:textId="40DFFFB7" w:rsidR="00B437D1" w:rsidRDefault="00B437D1" w:rsidP="00B437D1">
      <w:pPr>
        <w:pStyle w:val="CETBodytext"/>
      </w:pPr>
      <w:r>
        <w:t xml:space="preserve">The purification yield of </w:t>
      </w:r>
      <w:r w:rsidR="0048525B">
        <w:t>WCO</w:t>
      </w:r>
      <w:r>
        <w:t xml:space="preserve"> was 89.5%,</w:t>
      </w:r>
      <w:r w:rsidR="00825AC1">
        <w:t xml:space="preserve"> this value is </w:t>
      </w:r>
      <w:r w:rsidR="006E6457">
        <w:t>like</w:t>
      </w:r>
      <w:r w:rsidR="00CF3AF9">
        <w:t xml:space="preserve"> </w:t>
      </w:r>
      <w:r w:rsidR="00FF1469">
        <w:t>that</w:t>
      </w:r>
      <w:r w:rsidR="00CF3AF9">
        <w:t xml:space="preserve"> reported in some previous papers.</w:t>
      </w:r>
      <w:r>
        <w:t xml:space="preserve"> Finally, in this process 99.38% of the methanol that entered the distillation column was recovered. After esterification, the oil has a content of 0.85%</w:t>
      </w:r>
      <w:r w:rsidR="00AD327F">
        <w:t xml:space="preserve"> by </w:t>
      </w:r>
      <w:r w:rsidR="000C0599">
        <w:t>weight FFA</w:t>
      </w:r>
      <w:r>
        <w:t xml:space="preserve"> and 14.83 wt.% impurities (water, </w:t>
      </w:r>
      <w:r w:rsidR="00F57E5F">
        <w:t>H</w:t>
      </w:r>
      <w:r w:rsidR="00F57E5F" w:rsidRPr="00F57E5F">
        <w:rPr>
          <w:vertAlign w:val="subscript"/>
        </w:rPr>
        <w:t>2</w:t>
      </w:r>
      <w:r w:rsidR="00F57E5F">
        <w:t>SO</w:t>
      </w:r>
      <w:r w:rsidR="00F57E5F" w:rsidRPr="00F57E5F">
        <w:rPr>
          <w:vertAlign w:val="subscript"/>
        </w:rPr>
        <w:t>4</w:t>
      </w:r>
      <w:r>
        <w:t xml:space="preserve"> and methanol).  However, this percentage was reduced </w:t>
      </w:r>
      <w:r w:rsidR="00AD327F">
        <w:t>after</w:t>
      </w:r>
      <w:r>
        <w:t xml:space="preserve"> purification.</w:t>
      </w:r>
    </w:p>
    <w:p w14:paraId="68D26B83" w14:textId="77777777" w:rsidR="00600535" w:rsidRPr="00B57B36" w:rsidRDefault="00600535" w:rsidP="00600535">
      <w:pPr>
        <w:pStyle w:val="CETHeading1"/>
        <w:rPr>
          <w:lang w:val="en-GB"/>
        </w:rPr>
      </w:pPr>
      <w:r w:rsidRPr="00B57B36">
        <w:rPr>
          <w:lang w:val="en-GB"/>
        </w:rPr>
        <w:t>Conclusions</w:t>
      </w:r>
    </w:p>
    <w:p w14:paraId="52DAFDE0" w14:textId="24D7006E" w:rsidR="001D0CFB" w:rsidRDefault="000C0599" w:rsidP="004F7761">
      <w:pPr>
        <w:pStyle w:val="CETBodytext"/>
        <w:rPr>
          <w:lang w:val="en-GB"/>
        </w:rPr>
      </w:pPr>
      <w:r>
        <w:t xml:space="preserve">The goal of this project was to simulate </w:t>
      </w:r>
      <w:r w:rsidR="004F7761" w:rsidRPr="004F7761">
        <w:rPr>
          <w:lang w:val="en-GB"/>
        </w:rPr>
        <w:t xml:space="preserve">a conventional process for using waste cooking oil </w:t>
      </w:r>
      <w:r w:rsidR="0091631C" w:rsidRPr="004F7761">
        <w:rPr>
          <w:lang w:val="en-GB"/>
        </w:rPr>
        <w:t>as raw material for diminishing environmental impact and diminishing cost of biodiesel production</w:t>
      </w:r>
      <w:r w:rsidR="0091631C">
        <w:rPr>
          <w:lang w:val="en-GB"/>
        </w:rPr>
        <w:t xml:space="preserve"> </w:t>
      </w:r>
      <w:r>
        <w:rPr>
          <w:lang w:val="en-GB"/>
        </w:rPr>
        <w:t xml:space="preserve">in the central </w:t>
      </w:r>
      <w:r w:rsidR="0041268A">
        <w:rPr>
          <w:lang w:val="en-GB"/>
        </w:rPr>
        <w:t>p</w:t>
      </w:r>
      <w:r>
        <w:rPr>
          <w:lang w:val="en-GB"/>
        </w:rPr>
        <w:t xml:space="preserve">art </w:t>
      </w:r>
      <w:r w:rsidR="0041268A">
        <w:rPr>
          <w:lang w:val="en-GB"/>
        </w:rPr>
        <w:t>of</w:t>
      </w:r>
      <w:r>
        <w:rPr>
          <w:lang w:val="en-GB"/>
        </w:rPr>
        <w:t xml:space="preserve"> the state of Guanajuato, México. It </w:t>
      </w:r>
      <w:r w:rsidR="004F7761" w:rsidRPr="004F7761">
        <w:rPr>
          <w:lang w:val="en-GB"/>
        </w:rPr>
        <w:t xml:space="preserve">could be used as a </w:t>
      </w:r>
      <w:r w:rsidR="009068EE">
        <w:rPr>
          <w:lang w:val="en-GB"/>
        </w:rPr>
        <w:t>local solution for small</w:t>
      </w:r>
      <w:r w:rsidR="00DF6607">
        <w:rPr>
          <w:lang w:val="en-GB"/>
        </w:rPr>
        <w:t xml:space="preserve"> business generation. As well </w:t>
      </w:r>
      <w:r w:rsidR="00C322F2">
        <w:rPr>
          <w:lang w:val="en-GB"/>
        </w:rPr>
        <w:t>as conceptual</w:t>
      </w:r>
      <w:r w:rsidR="004F7761" w:rsidRPr="004F7761">
        <w:rPr>
          <w:lang w:val="en-GB"/>
        </w:rPr>
        <w:t xml:space="preserve"> basis for scaling up </w:t>
      </w:r>
      <w:r w:rsidR="00B5705C" w:rsidRPr="004F7761">
        <w:rPr>
          <w:lang w:val="en-GB"/>
        </w:rPr>
        <w:t>to</w:t>
      </w:r>
      <w:r w:rsidR="004F7761" w:rsidRPr="004F7761">
        <w:rPr>
          <w:lang w:val="en-GB"/>
        </w:rPr>
        <w:t xml:space="preserve"> satisfy local demand.</w:t>
      </w:r>
      <w:r w:rsidR="004F7761">
        <w:rPr>
          <w:lang w:val="en-GB"/>
        </w:rPr>
        <w:t xml:space="preserve"> </w:t>
      </w:r>
      <w:r w:rsidR="00C056B1">
        <w:rPr>
          <w:lang w:val="en-GB"/>
        </w:rPr>
        <w:t>It was include</w:t>
      </w:r>
      <w:r w:rsidR="0042532C">
        <w:rPr>
          <w:lang w:val="en-GB"/>
        </w:rPr>
        <w:t>d</w:t>
      </w:r>
      <w:r w:rsidR="00C056B1">
        <w:rPr>
          <w:lang w:val="en-GB"/>
        </w:rPr>
        <w:t xml:space="preserve"> ash and water remotion</w:t>
      </w:r>
      <w:r w:rsidR="0042532C">
        <w:rPr>
          <w:lang w:val="en-GB"/>
        </w:rPr>
        <w:t xml:space="preserve"> process. This step should not be ignored, because ashes could </w:t>
      </w:r>
      <w:r w:rsidR="00801EEF">
        <w:rPr>
          <w:lang w:val="en-GB"/>
        </w:rPr>
        <w:t>produce malfunction to equipment downstream.</w:t>
      </w:r>
      <w:r w:rsidR="0042532C">
        <w:rPr>
          <w:lang w:val="en-GB"/>
        </w:rPr>
        <w:t xml:space="preserve"> </w:t>
      </w:r>
      <w:r w:rsidR="00801EEF">
        <w:rPr>
          <w:lang w:val="en-GB"/>
        </w:rPr>
        <w:t xml:space="preserve">The result shows that it is possible to reach a free fatty acid composition lower than 1wt%. It is important to mention that it is necessary an </w:t>
      </w:r>
      <w:r w:rsidR="00C56DAF">
        <w:rPr>
          <w:lang w:val="en-GB"/>
        </w:rPr>
        <w:t>economic</w:t>
      </w:r>
      <w:r w:rsidR="00801EEF">
        <w:rPr>
          <w:lang w:val="en-GB"/>
        </w:rPr>
        <w:t xml:space="preserve"> analysis in order to compare with other processes.  </w:t>
      </w:r>
      <w:r w:rsidR="00C322F2" w:rsidRPr="00B437D1">
        <w:t xml:space="preserve">It is worth mentioning that the processes simulated at a later stage could be optimized using rigorous optimization techniques, to obtain the best </w:t>
      </w:r>
      <w:r w:rsidR="00263695">
        <w:t>configuration</w:t>
      </w:r>
      <w:r w:rsidR="00C322F2" w:rsidRPr="00B437D1">
        <w:t xml:space="preserve"> in terms of equipment design, solvent flows, energy consumption, </w:t>
      </w:r>
      <w:r w:rsidR="004C1A4C">
        <w:t>and cost</w:t>
      </w:r>
      <w:r w:rsidR="00C322F2" w:rsidRPr="00B437D1">
        <w:t>.</w:t>
      </w:r>
    </w:p>
    <w:p w14:paraId="07A6D20F" w14:textId="0ECF229E" w:rsidR="00280FAF" w:rsidRPr="00280FAF" w:rsidRDefault="00280FAF" w:rsidP="00280FAF">
      <w:pPr>
        <w:pStyle w:val="CETHeadingxx"/>
        <w:rPr>
          <w:lang w:val="en-GB"/>
        </w:rPr>
        <w:sectPr w:rsidR="00280FAF" w:rsidRPr="00280FAF" w:rsidSect="00CD38F5">
          <w:type w:val="continuous"/>
          <w:pgSz w:w="11906" w:h="16838" w:code="9"/>
          <w:pgMar w:top="1701" w:right="1418" w:bottom="1701" w:left="1701" w:header="1701" w:footer="0" w:gutter="0"/>
          <w:cols w:space="708"/>
          <w:formProt w:val="0"/>
          <w:titlePg/>
          <w:docGrid w:linePitch="360"/>
        </w:sectPr>
      </w:pPr>
      <w:r>
        <w:t>Nomenclature</w:t>
      </w:r>
    </w:p>
    <w:p w14:paraId="7DFFBF41" w14:textId="40522F46" w:rsidR="00280FAF" w:rsidRPr="00280FAF" w:rsidRDefault="00F63538" w:rsidP="00280FAF">
      <w:pPr>
        <w:pStyle w:val="CETBodytext"/>
        <w:jc w:val="left"/>
        <w:rPr>
          <w:rFonts w:eastAsia="SimSun"/>
        </w:rPr>
        <w:sectPr w:rsidR="00280FAF" w:rsidRPr="00280FAF" w:rsidSect="00CD38F5">
          <w:type w:val="continuous"/>
          <w:pgSz w:w="11906" w:h="16838" w:code="9"/>
          <w:pgMar w:top="1701" w:right="1418" w:bottom="1701" w:left="1701" w:header="1701" w:footer="0" w:gutter="0"/>
          <w:cols w:space="708"/>
          <w:formProt w:val="0"/>
          <w:titlePg/>
          <w:docGrid w:linePitch="360"/>
        </w:sectPr>
      </w:pPr>
      <w:r>
        <w:rPr>
          <w:rFonts w:eastAsia="SimSun"/>
        </w:rPr>
        <w:t>FFA</w:t>
      </w:r>
      <w:r w:rsidR="00280FAF" w:rsidRPr="00280FAF">
        <w:rPr>
          <w:rFonts w:eastAsia="SimSun"/>
        </w:rPr>
        <w:t xml:space="preserve"> – </w:t>
      </w:r>
      <w:r>
        <w:rPr>
          <w:rFonts w:eastAsia="SimSun"/>
        </w:rPr>
        <w:t>Free Fatty Acid</w:t>
      </w:r>
    </w:p>
    <w:p w14:paraId="57590CE2" w14:textId="5F7D21EB" w:rsidR="00280FAF" w:rsidRPr="00280FAF" w:rsidRDefault="00B615DB" w:rsidP="00280FAF">
      <w:pPr>
        <w:pStyle w:val="CETBodytext"/>
        <w:jc w:val="left"/>
        <w:rPr>
          <w:rFonts w:eastAsia="SimSun"/>
        </w:rPr>
      </w:pPr>
      <w:r>
        <w:rPr>
          <w:rFonts w:eastAsia="SimSun"/>
        </w:rPr>
        <w:t>WCO</w:t>
      </w:r>
      <w:r w:rsidR="00280FAF" w:rsidRPr="00280FAF">
        <w:rPr>
          <w:rFonts w:eastAsia="SimSun"/>
        </w:rPr>
        <w:t xml:space="preserve"> – </w:t>
      </w:r>
      <w:r>
        <w:rPr>
          <w:rFonts w:eastAsia="SimSun"/>
        </w:rPr>
        <w:t>Waste cooking oil</w:t>
      </w:r>
    </w:p>
    <w:p w14:paraId="05EB0190" w14:textId="260F0C25" w:rsidR="00DD014E" w:rsidRPr="00DD014E" w:rsidRDefault="00DD014E" w:rsidP="00DD014E">
      <w:pPr>
        <w:pStyle w:val="CETBodytext"/>
        <w:jc w:val="left"/>
        <w:rPr>
          <w:rFonts w:eastAsia="SimSun"/>
        </w:rPr>
      </w:pPr>
      <w:r w:rsidRPr="00DD014E">
        <w:rPr>
          <w:rFonts w:eastAsia="SimSun"/>
        </w:rPr>
        <w:t>Methyl-</w:t>
      </w:r>
      <w:proofErr w:type="spellStart"/>
      <w:r w:rsidRPr="00DD014E">
        <w:rPr>
          <w:rFonts w:eastAsia="SimSun"/>
        </w:rPr>
        <w:t>ol</w:t>
      </w:r>
      <w:proofErr w:type="spellEnd"/>
      <w:r>
        <w:rPr>
          <w:rFonts w:eastAsia="SimSun"/>
        </w:rPr>
        <w:t xml:space="preserve"> – Methyl oleate</w:t>
      </w:r>
    </w:p>
    <w:p w14:paraId="23A7AD8F" w14:textId="5B678382" w:rsidR="00DD014E" w:rsidRPr="00DD014E" w:rsidRDefault="00DD014E" w:rsidP="00DD014E">
      <w:pPr>
        <w:pStyle w:val="CETBodytext"/>
        <w:jc w:val="left"/>
        <w:rPr>
          <w:rFonts w:eastAsia="SimSun"/>
        </w:rPr>
      </w:pPr>
      <w:r w:rsidRPr="00DD014E">
        <w:rPr>
          <w:rFonts w:eastAsia="SimSun"/>
        </w:rPr>
        <w:lastRenderedPageBreak/>
        <w:t>Methyl-pa</w:t>
      </w:r>
      <w:r>
        <w:rPr>
          <w:rFonts w:eastAsia="SimSun"/>
        </w:rPr>
        <w:t xml:space="preserve"> – Methyl palmitate</w:t>
      </w:r>
    </w:p>
    <w:p w14:paraId="72B9FBEC" w14:textId="12B35057" w:rsidR="00DD014E" w:rsidRPr="00DD014E" w:rsidRDefault="00DD014E" w:rsidP="00DD014E">
      <w:pPr>
        <w:pStyle w:val="CETBodytext"/>
        <w:jc w:val="left"/>
        <w:rPr>
          <w:rFonts w:eastAsia="SimSun"/>
        </w:rPr>
      </w:pPr>
      <w:r w:rsidRPr="00DD014E">
        <w:rPr>
          <w:rFonts w:eastAsia="SimSun"/>
        </w:rPr>
        <w:t>Methyl-li</w:t>
      </w:r>
      <w:r>
        <w:rPr>
          <w:rFonts w:eastAsia="SimSun"/>
        </w:rPr>
        <w:t xml:space="preserve"> - Methyl linoleate</w:t>
      </w:r>
    </w:p>
    <w:p w14:paraId="33D176ED" w14:textId="4E3C4270" w:rsidR="00280FAF" w:rsidRPr="00280FAF" w:rsidRDefault="00DD014E" w:rsidP="00DD014E">
      <w:pPr>
        <w:pStyle w:val="CETBodytext"/>
        <w:jc w:val="left"/>
        <w:rPr>
          <w:rFonts w:eastAsia="SimSun"/>
        </w:rPr>
      </w:pPr>
      <w:r w:rsidRPr="00DD014E">
        <w:rPr>
          <w:rFonts w:eastAsia="SimSun"/>
        </w:rPr>
        <w:t>Methyl-</w:t>
      </w:r>
      <w:proofErr w:type="spellStart"/>
      <w:r w:rsidRPr="00DD014E">
        <w:rPr>
          <w:rFonts w:eastAsia="SimSun"/>
        </w:rPr>
        <w:t>st</w:t>
      </w:r>
      <w:proofErr w:type="spellEnd"/>
      <w:r>
        <w:rPr>
          <w:rFonts w:eastAsia="SimSun"/>
        </w:rPr>
        <w:t xml:space="preserve"> - Methyl </w:t>
      </w:r>
      <w:proofErr w:type="spellStart"/>
      <w:r>
        <w:rPr>
          <w:rFonts w:eastAsia="SimSun"/>
        </w:rPr>
        <w:t>stereate</w:t>
      </w:r>
      <w:proofErr w:type="spellEnd"/>
    </w:p>
    <w:p w14:paraId="459D05E6" w14:textId="77777777" w:rsidR="00600535" w:rsidRPr="00B57B36" w:rsidRDefault="00600535" w:rsidP="00600535">
      <w:pPr>
        <w:pStyle w:val="CETAcknowledgementstitle"/>
      </w:pPr>
      <w:r w:rsidRPr="00B57B36">
        <w:t>Acknowledgments</w:t>
      </w:r>
    </w:p>
    <w:p w14:paraId="0D045E1E" w14:textId="243A0321" w:rsidR="008F2127" w:rsidRPr="008D054F" w:rsidRDefault="00AF764B" w:rsidP="008D054F">
      <w:pPr>
        <w:pStyle w:val="CETBodytext"/>
        <w:rPr>
          <w:lang w:val="en-GB"/>
        </w:rPr>
      </w:pPr>
      <w:r>
        <w:rPr>
          <w:lang w:val="en-GB"/>
        </w:rPr>
        <w:t>The authors acknowledge to Universidad de Guanajuato for supporting this project</w:t>
      </w:r>
      <w:r w:rsidR="0022630F">
        <w:rPr>
          <w:lang w:val="en-GB"/>
        </w:rPr>
        <w:t>.</w:t>
      </w:r>
    </w:p>
    <w:p w14:paraId="4F1327F8" w14:textId="29E9E509" w:rsidR="00600535" w:rsidRDefault="00600535" w:rsidP="00600535">
      <w:pPr>
        <w:pStyle w:val="CETReference"/>
      </w:pPr>
      <w:r w:rsidRPr="00B57B36">
        <w:t>References</w:t>
      </w:r>
    </w:p>
    <w:p w14:paraId="63CBF29C" w14:textId="77777777" w:rsidR="00F22315" w:rsidRPr="00B57B36" w:rsidRDefault="00F22315" w:rsidP="00600535">
      <w:pPr>
        <w:pStyle w:val="CETReference"/>
      </w:pPr>
    </w:p>
    <w:p w14:paraId="072CA95A" w14:textId="660A47DD" w:rsidR="008F2127" w:rsidRPr="00B40F92" w:rsidRDefault="008F2127" w:rsidP="008F2127">
      <w:pPr>
        <w:pStyle w:val="CETReferencetext"/>
        <w:rPr>
          <w:lang w:eastAsia="es-ES"/>
        </w:rPr>
      </w:pPr>
      <w:r w:rsidRPr="008F2127">
        <w:t xml:space="preserve">British Petroleum. (2022). Statistical Review of World Energy 2022 </w:t>
      </w:r>
      <w:r w:rsidR="00B40F92">
        <w:t>&lt;</w:t>
      </w:r>
      <w:r w:rsidRPr="008F2127">
        <w:t>https://www.bp.com/content/dam/bp/businesssites/en/global/corporate/pdfs/energy-economics/statistical-review/bp-stats-review-2022-full-report.pdf</w:t>
      </w:r>
      <w:r w:rsidR="00B40F92">
        <w:rPr>
          <w:lang w:eastAsia="es-ES"/>
        </w:rPr>
        <w:t xml:space="preserve">&gt; </w:t>
      </w:r>
      <w:r w:rsidR="003F5C0C">
        <w:rPr>
          <w:lang w:eastAsia="es-ES"/>
        </w:rPr>
        <w:t>accessed</w:t>
      </w:r>
      <w:r w:rsidR="00B40F92">
        <w:rPr>
          <w:lang w:eastAsia="es-ES"/>
        </w:rPr>
        <w:t xml:space="preserve"> 12.07.2023</w:t>
      </w:r>
    </w:p>
    <w:p w14:paraId="423956AC" w14:textId="77777777" w:rsidR="00F46236" w:rsidRPr="008F2127" w:rsidRDefault="00990BB5" w:rsidP="008F2127">
      <w:pPr>
        <w:pStyle w:val="CETReferencetext"/>
      </w:pPr>
      <w:r w:rsidRPr="008F2127">
        <w:fldChar w:fldCharType="begin"/>
      </w:r>
      <w:r w:rsidRPr="005D11B5">
        <w:rPr>
          <w:lang w:val="es-MX"/>
        </w:rPr>
        <w:instrText xml:space="preserve"> ADDIN EN.REFLIST </w:instrText>
      </w:r>
      <w:r w:rsidRPr="008F2127">
        <w:fldChar w:fldCharType="separate"/>
      </w:r>
      <w:r w:rsidR="00F46236" w:rsidRPr="005D11B5">
        <w:rPr>
          <w:lang w:val="es-MX"/>
        </w:rPr>
        <w:t xml:space="preserve">Cossio-Vargas, E., Hernandez, S., Segovia-Hernandez, J.G. and Cano-Rodriguez, M.I., 2011. </w:t>
      </w:r>
      <w:r w:rsidR="00F46236" w:rsidRPr="008F2127">
        <w:t>Simulation study of the production of biodiesel using feedstock mixtures of fatty acids in complex reactive distillation columns. Energy 36, 6289-6297.</w:t>
      </w:r>
    </w:p>
    <w:p w14:paraId="19DB0A9B" w14:textId="77777777" w:rsidR="00F46236" w:rsidRPr="008F2127" w:rsidRDefault="00F46236" w:rsidP="008F2127">
      <w:pPr>
        <w:pStyle w:val="CETReferencetext"/>
      </w:pPr>
      <w:r w:rsidRPr="008F2127">
        <w:t>Elias, S., Rabiu, A.M., Okeleye, B.I., Okudoh, V. and Oyekola, O. 2020. Bifunctional Heterogeneous Catalyst for Biodiesel Production from Waste Vegetable Oil. In Applied Sciences.</w:t>
      </w:r>
    </w:p>
    <w:p w14:paraId="4657C779" w14:textId="77777777" w:rsidR="00F46236" w:rsidRPr="008F2127" w:rsidRDefault="00F46236" w:rsidP="008F2127">
      <w:pPr>
        <w:pStyle w:val="CETReferencetext"/>
      </w:pPr>
      <w:r w:rsidRPr="008F2127">
        <w:t>Grosmann, M.T., Andrade, T.A., Bitonto, L.D., Pastore, C., Corazza, M.L., Tronci, S. and Errico, M., 2022. Hydrated metal salt pretreatment and alkali catalyzed reactive distillation: A two-step production of waste cooking oil biodiesel. Chemical Engineering and Processing - Process Intensification 176, 108980.</w:t>
      </w:r>
    </w:p>
    <w:p w14:paraId="156A3240" w14:textId="77777777" w:rsidR="00F46236" w:rsidRPr="005D11B5" w:rsidRDefault="00F46236" w:rsidP="008F2127">
      <w:pPr>
        <w:pStyle w:val="CETReferencetext"/>
        <w:rPr>
          <w:lang w:val="es-MX"/>
        </w:rPr>
      </w:pPr>
      <w:r w:rsidRPr="008F2127">
        <w:t xml:space="preserve">Jansri, S., Ratanawilai, S.B., Allen, M.L. and Prateepchaikul, G., 2011. Kinetics of methyl ester production from mixed crude palm oil by using acid-alkali catalyst. </w:t>
      </w:r>
      <w:r w:rsidRPr="005D11B5">
        <w:rPr>
          <w:lang w:val="es-MX"/>
        </w:rPr>
        <w:t>Fuel Processing Technology 92, 1543-1548.</w:t>
      </w:r>
    </w:p>
    <w:p w14:paraId="217A6FE5" w14:textId="77777777" w:rsidR="00F46236" w:rsidRPr="005D11B5" w:rsidRDefault="00F46236" w:rsidP="008F2127">
      <w:pPr>
        <w:pStyle w:val="CETReferencetext"/>
        <w:rPr>
          <w:lang w:val="es-MX"/>
        </w:rPr>
      </w:pPr>
      <w:r w:rsidRPr="005D11B5">
        <w:rPr>
          <w:lang w:val="es-MX"/>
        </w:rPr>
        <w:t>Osorio-Canul, M., García-Magallanes, G., Herrera-Lugo, A. and Novelo-Moo, T., 2019. Propuesta de producción de biodiésel mediante aceite vegetal usado. Revista de Energías Renovables.</w:t>
      </w:r>
    </w:p>
    <w:p w14:paraId="16ED8B06" w14:textId="77777777" w:rsidR="00F46236" w:rsidRPr="008F2127" w:rsidRDefault="00F46236" w:rsidP="008F2127">
      <w:pPr>
        <w:pStyle w:val="CETReferencetext"/>
      </w:pPr>
      <w:r w:rsidRPr="005D11B5">
        <w:rPr>
          <w:lang w:val="es-MX"/>
        </w:rPr>
        <w:t xml:space="preserve">Sheinbaum-Pardo, C., Calderón-Irazoque, A. and Ramírez-Suárez, M., 2013. </w:t>
      </w:r>
      <w:r w:rsidRPr="008F2127">
        <w:t>Potential of biodiesel from waste cooking oil in Mexico. Biomass and Bioenergy 56, 230-238.</w:t>
      </w:r>
    </w:p>
    <w:p w14:paraId="09946F35" w14:textId="77777777" w:rsidR="00F46236" w:rsidRPr="008F2127" w:rsidRDefault="00F46236" w:rsidP="008F2127">
      <w:pPr>
        <w:pStyle w:val="CETReferencetext"/>
      </w:pPr>
      <w:r w:rsidRPr="008F2127">
        <w:t>Zhang, Y., Dubé, M.A., Mclean, D.D. and Kates, M., 2003. Biodiesel production from waste cooking oil: 1. Process design and technological assessment. Bioresource Technology 89, 1-16.</w:t>
      </w:r>
    </w:p>
    <w:p w14:paraId="19C4FC68" w14:textId="31FB1D01" w:rsidR="004628D2" w:rsidRPr="008F2127" w:rsidRDefault="00990BB5" w:rsidP="008F2127">
      <w:pPr>
        <w:pStyle w:val="CETReferencetext"/>
      </w:pPr>
      <w:r w:rsidRPr="008F2127">
        <w:fldChar w:fldCharType="end"/>
      </w:r>
    </w:p>
    <w:p w14:paraId="0AC07C3E" w14:textId="77777777" w:rsidR="006D7BCF" w:rsidRPr="006D7BCF" w:rsidRDefault="006D7BCF" w:rsidP="008B4B82">
      <w:pPr>
        <w:pStyle w:val="CETReferencetext"/>
        <w:rPr>
          <w:lang w:val="en-US"/>
        </w:rPr>
      </w:pPr>
    </w:p>
    <w:sectPr w:rsidR="006D7BCF" w:rsidRPr="006D7BCF" w:rsidSect="00CD38F5">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77F6D" w14:textId="77777777" w:rsidR="00CD38F5" w:rsidRDefault="00CD38F5" w:rsidP="004F5E36">
      <w:r>
        <w:separator/>
      </w:r>
    </w:p>
  </w:endnote>
  <w:endnote w:type="continuationSeparator" w:id="0">
    <w:p w14:paraId="0E289308" w14:textId="77777777" w:rsidR="00CD38F5" w:rsidRDefault="00CD38F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6BEB0" w14:textId="77777777" w:rsidR="00CD38F5" w:rsidRDefault="00CD38F5" w:rsidP="004F5E36">
      <w:r>
        <w:separator/>
      </w:r>
    </w:p>
  </w:footnote>
  <w:footnote w:type="continuationSeparator" w:id="0">
    <w:p w14:paraId="11B35320" w14:textId="77777777" w:rsidR="00CD38F5" w:rsidRDefault="00CD38F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6"/>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1&lt;/Enabled&gt;&lt;ScanUnformatted&gt;1&lt;/ScanUnformatted&gt;&lt;ScanChanges&gt;1&lt;/ScanChanges&gt;&lt;Suspended&gt;0&lt;/Suspended&gt;&lt;/ENInstantFormat&gt;"/>
    <w:docVar w:name="EN.Layout" w:val="&lt;ENLayout&gt;&lt;Style&gt;Trans Storage&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tw0azt0nfwd07esewv5x9rr9zf0r0wwt5zf&quot;&gt;My EndNote Library22&lt;record-ids&gt;&lt;item&gt;58&lt;/item&gt;&lt;item&gt;97&lt;/item&gt;&lt;item&gt;257&lt;/item&gt;&lt;item&gt;326&lt;/item&gt;&lt;item&gt;334&lt;/item&gt;&lt;item&gt;336&lt;/item&gt;&lt;item&gt;337&lt;/item&gt;&lt;/record-ids&gt;&lt;/item&gt;&lt;/Libraries&gt;"/>
  </w:docVars>
  <w:rsids>
    <w:rsidRoot w:val="000E414A"/>
    <w:rsid w:val="00000D8D"/>
    <w:rsid w:val="000027C0"/>
    <w:rsid w:val="000052FB"/>
    <w:rsid w:val="0000591C"/>
    <w:rsid w:val="000117CB"/>
    <w:rsid w:val="0003148D"/>
    <w:rsid w:val="00031EEC"/>
    <w:rsid w:val="00040CB8"/>
    <w:rsid w:val="00042B2C"/>
    <w:rsid w:val="00050829"/>
    <w:rsid w:val="00050BC5"/>
    <w:rsid w:val="00051566"/>
    <w:rsid w:val="000562A9"/>
    <w:rsid w:val="00062A9A"/>
    <w:rsid w:val="00065058"/>
    <w:rsid w:val="00067BDF"/>
    <w:rsid w:val="00075C18"/>
    <w:rsid w:val="00080349"/>
    <w:rsid w:val="00083367"/>
    <w:rsid w:val="00086C39"/>
    <w:rsid w:val="00087082"/>
    <w:rsid w:val="00093D3D"/>
    <w:rsid w:val="000943FC"/>
    <w:rsid w:val="00095D14"/>
    <w:rsid w:val="000A03B2"/>
    <w:rsid w:val="000B2501"/>
    <w:rsid w:val="000C0599"/>
    <w:rsid w:val="000C51FE"/>
    <w:rsid w:val="000D0268"/>
    <w:rsid w:val="000D34BE"/>
    <w:rsid w:val="000E102F"/>
    <w:rsid w:val="000E36F1"/>
    <w:rsid w:val="000E3A73"/>
    <w:rsid w:val="000E414A"/>
    <w:rsid w:val="000E5488"/>
    <w:rsid w:val="000F093C"/>
    <w:rsid w:val="000F2D04"/>
    <w:rsid w:val="000F6FE1"/>
    <w:rsid w:val="000F787B"/>
    <w:rsid w:val="00104562"/>
    <w:rsid w:val="001064B2"/>
    <w:rsid w:val="0012091F"/>
    <w:rsid w:val="00122E2A"/>
    <w:rsid w:val="00126BC2"/>
    <w:rsid w:val="001308B6"/>
    <w:rsid w:val="0013121F"/>
    <w:rsid w:val="00131FE6"/>
    <w:rsid w:val="0013263F"/>
    <w:rsid w:val="00132765"/>
    <w:rsid w:val="001331DF"/>
    <w:rsid w:val="00134DE4"/>
    <w:rsid w:val="001378CA"/>
    <w:rsid w:val="0014034D"/>
    <w:rsid w:val="00144D16"/>
    <w:rsid w:val="00150E59"/>
    <w:rsid w:val="00152DE3"/>
    <w:rsid w:val="00154BBC"/>
    <w:rsid w:val="00156F74"/>
    <w:rsid w:val="00164CF9"/>
    <w:rsid w:val="001667A6"/>
    <w:rsid w:val="00171365"/>
    <w:rsid w:val="0017743C"/>
    <w:rsid w:val="00184AD6"/>
    <w:rsid w:val="001A3D8D"/>
    <w:rsid w:val="001A4AF7"/>
    <w:rsid w:val="001B0349"/>
    <w:rsid w:val="001B1E93"/>
    <w:rsid w:val="001B65C1"/>
    <w:rsid w:val="001C2E18"/>
    <w:rsid w:val="001C684B"/>
    <w:rsid w:val="001C7E99"/>
    <w:rsid w:val="001D0CFB"/>
    <w:rsid w:val="001D21AF"/>
    <w:rsid w:val="001D53FC"/>
    <w:rsid w:val="001D6FDE"/>
    <w:rsid w:val="001E6599"/>
    <w:rsid w:val="001F42A5"/>
    <w:rsid w:val="001F42B8"/>
    <w:rsid w:val="001F47F1"/>
    <w:rsid w:val="001F7B9D"/>
    <w:rsid w:val="00201C93"/>
    <w:rsid w:val="00205FA8"/>
    <w:rsid w:val="002224B4"/>
    <w:rsid w:val="0022630F"/>
    <w:rsid w:val="00235147"/>
    <w:rsid w:val="002379CE"/>
    <w:rsid w:val="002447EF"/>
    <w:rsid w:val="00251550"/>
    <w:rsid w:val="00252A27"/>
    <w:rsid w:val="00255BBC"/>
    <w:rsid w:val="00256EA7"/>
    <w:rsid w:val="00263695"/>
    <w:rsid w:val="00263B05"/>
    <w:rsid w:val="0027221A"/>
    <w:rsid w:val="00275B61"/>
    <w:rsid w:val="00280FAF"/>
    <w:rsid w:val="00282656"/>
    <w:rsid w:val="002945A2"/>
    <w:rsid w:val="00296B83"/>
    <w:rsid w:val="002B4015"/>
    <w:rsid w:val="002B78CE"/>
    <w:rsid w:val="002C1DF6"/>
    <w:rsid w:val="002C2FB6"/>
    <w:rsid w:val="002E5FA7"/>
    <w:rsid w:val="002F2E1F"/>
    <w:rsid w:val="002F3309"/>
    <w:rsid w:val="002F7C3F"/>
    <w:rsid w:val="003008CE"/>
    <w:rsid w:val="003009B7"/>
    <w:rsid w:val="00300E56"/>
    <w:rsid w:val="0030152C"/>
    <w:rsid w:val="0030469C"/>
    <w:rsid w:val="003149B3"/>
    <w:rsid w:val="003150A9"/>
    <w:rsid w:val="00321CA6"/>
    <w:rsid w:val="00323763"/>
    <w:rsid w:val="00323C5F"/>
    <w:rsid w:val="00334C09"/>
    <w:rsid w:val="003546B3"/>
    <w:rsid w:val="00367634"/>
    <w:rsid w:val="003723D4"/>
    <w:rsid w:val="00381905"/>
    <w:rsid w:val="00384CC8"/>
    <w:rsid w:val="003871FD"/>
    <w:rsid w:val="00395405"/>
    <w:rsid w:val="003A1E30"/>
    <w:rsid w:val="003A2829"/>
    <w:rsid w:val="003A2A3D"/>
    <w:rsid w:val="003A6FC6"/>
    <w:rsid w:val="003A7D1C"/>
    <w:rsid w:val="003B304B"/>
    <w:rsid w:val="003B3146"/>
    <w:rsid w:val="003B32B6"/>
    <w:rsid w:val="003D357A"/>
    <w:rsid w:val="003D6A7D"/>
    <w:rsid w:val="003E7536"/>
    <w:rsid w:val="003E75D4"/>
    <w:rsid w:val="003F015E"/>
    <w:rsid w:val="003F1A31"/>
    <w:rsid w:val="003F5C0C"/>
    <w:rsid w:val="003F7BBA"/>
    <w:rsid w:val="00400414"/>
    <w:rsid w:val="004007DC"/>
    <w:rsid w:val="004022F5"/>
    <w:rsid w:val="0041268A"/>
    <w:rsid w:val="0041446B"/>
    <w:rsid w:val="004200B2"/>
    <w:rsid w:val="0042036A"/>
    <w:rsid w:val="00422EBA"/>
    <w:rsid w:val="0042532C"/>
    <w:rsid w:val="00427185"/>
    <w:rsid w:val="00432DEC"/>
    <w:rsid w:val="00432E63"/>
    <w:rsid w:val="0044071E"/>
    <w:rsid w:val="0044329C"/>
    <w:rsid w:val="004473C1"/>
    <w:rsid w:val="0044791D"/>
    <w:rsid w:val="00447B52"/>
    <w:rsid w:val="00453E24"/>
    <w:rsid w:val="00457456"/>
    <w:rsid w:val="004577FE"/>
    <w:rsid w:val="00457B9C"/>
    <w:rsid w:val="0046164A"/>
    <w:rsid w:val="00462819"/>
    <w:rsid w:val="004628D2"/>
    <w:rsid w:val="00462DCD"/>
    <w:rsid w:val="004648AD"/>
    <w:rsid w:val="004703A9"/>
    <w:rsid w:val="004760DE"/>
    <w:rsid w:val="004761E9"/>
    <w:rsid w:val="004763D7"/>
    <w:rsid w:val="00476999"/>
    <w:rsid w:val="00481947"/>
    <w:rsid w:val="0048525B"/>
    <w:rsid w:val="00495A37"/>
    <w:rsid w:val="004A004E"/>
    <w:rsid w:val="004A24CF"/>
    <w:rsid w:val="004B4DBF"/>
    <w:rsid w:val="004B59A6"/>
    <w:rsid w:val="004C1A4C"/>
    <w:rsid w:val="004C3D1D"/>
    <w:rsid w:val="004C3D84"/>
    <w:rsid w:val="004C7913"/>
    <w:rsid w:val="004E4DD6"/>
    <w:rsid w:val="004E5990"/>
    <w:rsid w:val="004F518E"/>
    <w:rsid w:val="004F5E36"/>
    <w:rsid w:val="004F7761"/>
    <w:rsid w:val="00507B47"/>
    <w:rsid w:val="00507BEF"/>
    <w:rsid w:val="00507CC9"/>
    <w:rsid w:val="005119A5"/>
    <w:rsid w:val="00516AAC"/>
    <w:rsid w:val="005278B7"/>
    <w:rsid w:val="00532016"/>
    <w:rsid w:val="005346C8"/>
    <w:rsid w:val="00543E7D"/>
    <w:rsid w:val="0054447F"/>
    <w:rsid w:val="00545F88"/>
    <w:rsid w:val="00547A68"/>
    <w:rsid w:val="005531C9"/>
    <w:rsid w:val="005562D7"/>
    <w:rsid w:val="00570C43"/>
    <w:rsid w:val="00576C2F"/>
    <w:rsid w:val="005873E1"/>
    <w:rsid w:val="00595BDC"/>
    <w:rsid w:val="00597940"/>
    <w:rsid w:val="005B2110"/>
    <w:rsid w:val="005B61E6"/>
    <w:rsid w:val="005C77E1"/>
    <w:rsid w:val="005D11B5"/>
    <w:rsid w:val="005D668A"/>
    <w:rsid w:val="005D6A2F"/>
    <w:rsid w:val="005E1A82"/>
    <w:rsid w:val="005E280C"/>
    <w:rsid w:val="005E794C"/>
    <w:rsid w:val="005F0A28"/>
    <w:rsid w:val="005F0E5E"/>
    <w:rsid w:val="00600535"/>
    <w:rsid w:val="00600F04"/>
    <w:rsid w:val="00610CD6"/>
    <w:rsid w:val="00620DEE"/>
    <w:rsid w:val="00621F92"/>
    <w:rsid w:val="006224CA"/>
    <w:rsid w:val="0062280A"/>
    <w:rsid w:val="00623355"/>
    <w:rsid w:val="00624A05"/>
    <w:rsid w:val="00624EAD"/>
    <w:rsid w:val="00625639"/>
    <w:rsid w:val="00631B33"/>
    <w:rsid w:val="0063498F"/>
    <w:rsid w:val="0064184D"/>
    <w:rsid w:val="006422CC"/>
    <w:rsid w:val="00644F48"/>
    <w:rsid w:val="00646EFF"/>
    <w:rsid w:val="00660E3E"/>
    <w:rsid w:val="00662E74"/>
    <w:rsid w:val="00680C23"/>
    <w:rsid w:val="00682C98"/>
    <w:rsid w:val="00684C1F"/>
    <w:rsid w:val="00693766"/>
    <w:rsid w:val="00693D5D"/>
    <w:rsid w:val="0069404C"/>
    <w:rsid w:val="006A3281"/>
    <w:rsid w:val="006A796B"/>
    <w:rsid w:val="006B4888"/>
    <w:rsid w:val="006C2D13"/>
    <w:rsid w:val="006C2E45"/>
    <w:rsid w:val="006C359C"/>
    <w:rsid w:val="006C5579"/>
    <w:rsid w:val="006D01E9"/>
    <w:rsid w:val="006D6E8B"/>
    <w:rsid w:val="006D7BCF"/>
    <w:rsid w:val="006E6457"/>
    <w:rsid w:val="006E737D"/>
    <w:rsid w:val="00713973"/>
    <w:rsid w:val="00715C28"/>
    <w:rsid w:val="00715C6B"/>
    <w:rsid w:val="0072014A"/>
    <w:rsid w:val="00720A24"/>
    <w:rsid w:val="00723169"/>
    <w:rsid w:val="00725370"/>
    <w:rsid w:val="00732386"/>
    <w:rsid w:val="00732CAE"/>
    <w:rsid w:val="0073514D"/>
    <w:rsid w:val="007430B3"/>
    <w:rsid w:val="007447F3"/>
    <w:rsid w:val="0075499F"/>
    <w:rsid w:val="007661C8"/>
    <w:rsid w:val="007666ED"/>
    <w:rsid w:val="00766D5C"/>
    <w:rsid w:val="0077098D"/>
    <w:rsid w:val="00783B08"/>
    <w:rsid w:val="007931FA"/>
    <w:rsid w:val="00793AD4"/>
    <w:rsid w:val="00797C5E"/>
    <w:rsid w:val="007A09F3"/>
    <w:rsid w:val="007A295F"/>
    <w:rsid w:val="007A4861"/>
    <w:rsid w:val="007A74A9"/>
    <w:rsid w:val="007A7BBA"/>
    <w:rsid w:val="007B0C50"/>
    <w:rsid w:val="007B398D"/>
    <w:rsid w:val="007B48F9"/>
    <w:rsid w:val="007C1A43"/>
    <w:rsid w:val="007D0120"/>
    <w:rsid w:val="007D0951"/>
    <w:rsid w:val="007E22FE"/>
    <w:rsid w:val="007E3EF2"/>
    <w:rsid w:val="007F6DA5"/>
    <w:rsid w:val="0080013E"/>
    <w:rsid w:val="00801EEF"/>
    <w:rsid w:val="00813288"/>
    <w:rsid w:val="008168FC"/>
    <w:rsid w:val="00825AC1"/>
    <w:rsid w:val="00830996"/>
    <w:rsid w:val="008345F1"/>
    <w:rsid w:val="00835161"/>
    <w:rsid w:val="00840C23"/>
    <w:rsid w:val="00843EAC"/>
    <w:rsid w:val="00844B99"/>
    <w:rsid w:val="00865B07"/>
    <w:rsid w:val="008667EA"/>
    <w:rsid w:val="0087637F"/>
    <w:rsid w:val="00883B1F"/>
    <w:rsid w:val="0088568A"/>
    <w:rsid w:val="008924A8"/>
    <w:rsid w:val="00892AD5"/>
    <w:rsid w:val="008A1512"/>
    <w:rsid w:val="008B27D2"/>
    <w:rsid w:val="008B4B82"/>
    <w:rsid w:val="008B7C03"/>
    <w:rsid w:val="008C6705"/>
    <w:rsid w:val="008D054F"/>
    <w:rsid w:val="008D32B9"/>
    <w:rsid w:val="008D433B"/>
    <w:rsid w:val="008D4A16"/>
    <w:rsid w:val="008E566E"/>
    <w:rsid w:val="008F2127"/>
    <w:rsid w:val="0090161A"/>
    <w:rsid w:val="00901EB6"/>
    <w:rsid w:val="00903A9A"/>
    <w:rsid w:val="00904C62"/>
    <w:rsid w:val="009068EE"/>
    <w:rsid w:val="009149F0"/>
    <w:rsid w:val="0091631C"/>
    <w:rsid w:val="00917BA2"/>
    <w:rsid w:val="00917C12"/>
    <w:rsid w:val="00920793"/>
    <w:rsid w:val="00922BA8"/>
    <w:rsid w:val="00923C40"/>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76024"/>
    <w:rsid w:val="00990BB5"/>
    <w:rsid w:val="00993B84"/>
    <w:rsid w:val="00996483"/>
    <w:rsid w:val="00996F5A"/>
    <w:rsid w:val="0099776E"/>
    <w:rsid w:val="009B041A"/>
    <w:rsid w:val="009C37C3"/>
    <w:rsid w:val="009C5A7E"/>
    <w:rsid w:val="009C7C86"/>
    <w:rsid w:val="009D2FF7"/>
    <w:rsid w:val="009E26DA"/>
    <w:rsid w:val="009E7884"/>
    <w:rsid w:val="009E788A"/>
    <w:rsid w:val="009F0E08"/>
    <w:rsid w:val="009F535B"/>
    <w:rsid w:val="00A13FF4"/>
    <w:rsid w:val="00A1763D"/>
    <w:rsid w:val="00A17CEC"/>
    <w:rsid w:val="00A27EF0"/>
    <w:rsid w:val="00A32BF0"/>
    <w:rsid w:val="00A35552"/>
    <w:rsid w:val="00A42361"/>
    <w:rsid w:val="00A43004"/>
    <w:rsid w:val="00A4731A"/>
    <w:rsid w:val="00A50B20"/>
    <w:rsid w:val="00A51390"/>
    <w:rsid w:val="00A60D13"/>
    <w:rsid w:val="00A66BF8"/>
    <w:rsid w:val="00A7223D"/>
    <w:rsid w:val="00A72745"/>
    <w:rsid w:val="00A76EFC"/>
    <w:rsid w:val="00A87D50"/>
    <w:rsid w:val="00A91010"/>
    <w:rsid w:val="00A954E4"/>
    <w:rsid w:val="00A97F29"/>
    <w:rsid w:val="00AA2ADF"/>
    <w:rsid w:val="00AA702E"/>
    <w:rsid w:val="00AA7D26"/>
    <w:rsid w:val="00AB0964"/>
    <w:rsid w:val="00AB5011"/>
    <w:rsid w:val="00AC7368"/>
    <w:rsid w:val="00AD16B9"/>
    <w:rsid w:val="00AD327F"/>
    <w:rsid w:val="00AE3508"/>
    <w:rsid w:val="00AE377D"/>
    <w:rsid w:val="00AE38A3"/>
    <w:rsid w:val="00AF0EBA"/>
    <w:rsid w:val="00AF764B"/>
    <w:rsid w:val="00B02C8A"/>
    <w:rsid w:val="00B1629C"/>
    <w:rsid w:val="00B17FBD"/>
    <w:rsid w:val="00B21812"/>
    <w:rsid w:val="00B23DB7"/>
    <w:rsid w:val="00B24E69"/>
    <w:rsid w:val="00B315A6"/>
    <w:rsid w:val="00B31813"/>
    <w:rsid w:val="00B33365"/>
    <w:rsid w:val="00B35C1E"/>
    <w:rsid w:val="00B40F92"/>
    <w:rsid w:val="00B41918"/>
    <w:rsid w:val="00B437D1"/>
    <w:rsid w:val="00B5705C"/>
    <w:rsid w:val="00B571AC"/>
    <w:rsid w:val="00B57B36"/>
    <w:rsid w:val="00B57E6F"/>
    <w:rsid w:val="00B615DB"/>
    <w:rsid w:val="00B65F63"/>
    <w:rsid w:val="00B8686D"/>
    <w:rsid w:val="00B93F69"/>
    <w:rsid w:val="00BA5DD9"/>
    <w:rsid w:val="00BB1DDC"/>
    <w:rsid w:val="00BB568D"/>
    <w:rsid w:val="00BC30C9"/>
    <w:rsid w:val="00BC7C21"/>
    <w:rsid w:val="00BD077D"/>
    <w:rsid w:val="00BE3E58"/>
    <w:rsid w:val="00BE62EC"/>
    <w:rsid w:val="00BF2BCD"/>
    <w:rsid w:val="00BF3A35"/>
    <w:rsid w:val="00C01616"/>
    <w:rsid w:val="00C0162B"/>
    <w:rsid w:val="00C056B1"/>
    <w:rsid w:val="00C068ED"/>
    <w:rsid w:val="00C1430D"/>
    <w:rsid w:val="00C22E0C"/>
    <w:rsid w:val="00C322F2"/>
    <w:rsid w:val="00C345B1"/>
    <w:rsid w:val="00C40142"/>
    <w:rsid w:val="00C51059"/>
    <w:rsid w:val="00C52C3C"/>
    <w:rsid w:val="00C56DAF"/>
    <w:rsid w:val="00C57182"/>
    <w:rsid w:val="00C577AA"/>
    <w:rsid w:val="00C57863"/>
    <w:rsid w:val="00C60D7A"/>
    <w:rsid w:val="00C640AF"/>
    <w:rsid w:val="00C655FD"/>
    <w:rsid w:val="00C7374C"/>
    <w:rsid w:val="00C75407"/>
    <w:rsid w:val="00C80A69"/>
    <w:rsid w:val="00C870A8"/>
    <w:rsid w:val="00C90C23"/>
    <w:rsid w:val="00C94434"/>
    <w:rsid w:val="00CA0D4A"/>
    <w:rsid w:val="00CA0D75"/>
    <w:rsid w:val="00CA1C95"/>
    <w:rsid w:val="00CA5A9C"/>
    <w:rsid w:val="00CB3E4F"/>
    <w:rsid w:val="00CB79FB"/>
    <w:rsid w:val="00CB7DD0"/>
    <w:rsid w:val="00CC10F4"/>
    <w:rsid w:val="00CC364C"/>
    <w:rsid w:val="00CC4C20"/>
    <w:rsid w:val="00CD3517"/>
    <w:rsid w:val="00CD38F5"/>
    <w:rsid w:val="00CD5FE2"/>
    <w:rsid w:val="00CE1307"/>
    <w:rsid w:val="00CE2386"/>
    <w:rsid w:val="00CE39CF"/>
    <w:rsid w:val="00CE7596"/>
    <w:rsid w:val="00CE7809"/>
    <w:rsid w:val="00CE7C68"/>
    <w:rsid w:val="00CF21CD"/>
    <w:rsid w:val="00CF3AF9"/>
    <w:rsid w:val="00CF7A45"/>
    <w:rsid w:val="00D02B4C"/>
    <w:rsid w:val="00D040C4"/>
    <w:rsid w:val="00D20AD1"/>
    <w:rsid w:val="00D252A7"/>
    <w:rsid w:val="00D41B4A"/>
    <w:rsid w:val="00D46B7E"/>
    <w:rsid w:val="00D47D0C"/>
    <w:rsid w:val="00D55559"/>
    <w:rsid w:val="00D57C84"/>
    <w:rsid w:val="00D6057D"/>
    <w:rsid w:val="00D63293"/>
    <w:rsid w:val="00D648EC"/>
    <w:rsid w:val="00D71640"/>
    <w:rsid w:val="00D836C5"/>
    <w:rsid w:val="00D84576"/>
    <w:rsid w:val="00D90B67"/>
    <w:rsid w:val="00DA1399"/>
    <w:rsid w:val="00DA24C6"/>
    <w:rsid w:val="00DA4D7B"/>
    <w:rsid w:val="00DA5582"/>
    <w:rsid w:val="00DB179B"/>
    <w:rsid w:val="00DB56DD"/>
    <w:rsid w:val="00DC016A"/>
    <w:rsid w:val="00DC63CF"/>
    <w:rsid w:val="00DD014E"/>
    <w:rsid w:val="00DD271C"/>
    <w:rsid w:val="00DE264A"/>
    <w:rsid w:val="00DF5072"/>
    <w:rsid w:val="00DF6607"/>
    <w:rsid w:val="00E01778"/>
    <w:rsid w:val="00E02D18"/>
    <w:rsid w:val="00E041E7"/>
    <w:rsid w:val="00E225F5"/>
    <w:rsid w:val="00E23CA1"/>
    <w:rsid w:val="00E33DD7"/>
    <w:rsid w:val="00E3704F"/>
    <w:rsid w:val="00E409A8"/>
    <w:rsid w:val="00E47DBE"/>
    <w:rsid w:val="00E50C12"/>
    <w:rsid w:val="00E577B1"/>
    <w:rsid w:val="00E65B91"/>
    <w:rsid w:val="00E7209D"/>
    <w:rsid w:val="00E72EAD"/>
    <w:rsid w:val="00E77223"/>
    <w:rsid w:val="00E84BB8"/>
    <w:rsid w:val="00E8528B"/>
    <w:rsid w:val="00E85B94"/>
    <w:rsid w:val="00E958EE"/>
    <w:rsid w:val="00E978D0"/>
    <w:rsid w:val="00EA1F07"/>
    <w:rsid w:val="00EA4613"/>
    <w:rsid w:val="00EA5408"/>
    <w:rsid w:val="00EA7F91"/>
    <w:rsid w:val="00EB1523"/>
    <w:rsid w:val="00EC0E49"/>
    <w:rsid w:val="00EC101F"/>
    <w:rsid w:val="00EC1D9F"/>
    <w:rsid w:val="00EE0131"/>
    <w:rsid w:val="00EE17B0"/>
    <w:rsid w:val="00EF06D9"/>
    <w:rsid w:val="00EF3CA6"/>
    <w:rsid w:val="00EF3D25"/>
    <w:rsid w:val="00EF7705"/>
    <w:rsid w:val="00F01AC0"/>
    <w:rsid w:val="00F2201D"/>
    <w:rsid w:val="00F22315"/>
    <w:rsid w:val="00F3049E"/>
    <w:rsid w:val="00F30C64"/>
    <w:rsid w:val="00F32BA2"/>
    <w:rsid w:val="00F32CDB"/>
    <w:rsid w:val="00F45FAE"/>
    <w:rsid w:val="00F46236"/>
    <w:rsid w:val="00F47275"/>
    <w:rsid w:val="00F565FE"/>
    <w:rsid w:val="00F57E5F"/>
    <w:rsid w:val="00F63538"/>
    <w:rsid w:val="00F63A70"/>
    <w:rsid w:val="00F63D8C"/>
    <w:rsid w:val="00F7534E"/>
    <w:rsid w:val="00F90C5D"/>
    <w:rsid w:val="00F93EDF"/>
    <w:rsid w:val="00FA1802"/>
    <w:rsid w:val="00FA21D0"/>
    <w:rsid w:val="00FA297B"/>
    <w:rsid w:val="00FA3F24"/>
    <w:rsid w:val="00FA5F5F"/>
    <w:rsid w:val="00FB262B"/>
    <w:rsid w:val="00FB607E"/>
    <w:rsid w:val="00FB730C"/>
    <w:rsid w:val="00FC0B75"/>
    <w:rsid w:val="00FC2695"/>
    <w:rsid w:val="00FC3C1C"/>
    <w:rsid w:val="00FC3E03"/>
    <w:rsid w:val="00FC3FC1"/>
    <w:rsid w:val="00FC6A82"/>
    <w:rsid w:val="00FE0116"/>
    <w:rsid w:val="00FF1469"/>
    <w:rsid w:val="00FF4F2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
    <w:name w:val="E-mail Signature"/>
    <w:basedOn w:val="Normal"/>
    <w:link w:val="FirmadecorreoCar"/>
    <w:uiPriority w:val="99"/>
    <w:semiHidden/>
    <w:unhideWhenUsed/>
    <w:rsid w:val="0003148D"/>
    <w:pPr>
      <w:spacing w:line="240" w:lineRule="auto"/>
    </w:pPr>
  </w:style>
  <w:style w:type="character" w:customStyle="1" w:styleId="FirmadecorreoCar">
    <w:name w:val="Firma de correo Car"/>
    <w:basedOn w:val="Fuentedeprrafopredeter"/>
    <w:link w:val="Firmadecorre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paragraph" w:customStyle="1" w:styleId="EndNoteBibliographyTitle">
    <w:name w:val="EndNote Bibliography Title"/>
    <w:basedOn w:val="Normal"/>
    <w:link w:val="EndNoteBibliographyTitleCar"/>
    <w:rsid w:val="00990BB5"/>
    <w:pPr>
      <w:jc w:val="center"/>
    </w:pPr>
    <w:rPr>
      <w:rFonts w:cs="Arial"/>
      <w:sz w:val="20"/>
      <w:lang w:val="en-US"/>
    </w:rPr>
  </w:style>
  <w:style w:type="character" w:customStyle="1" w:styleId="EndNoteBibliographyTitleCar">
    <w:name w:val="EndNote Bibliography Title Car"/>
    <w:basedOn w:val="CETBodytextCarattere"/>
    <w:link w:val="EndNoteBibliographyTitle"/>
    <w:rsid w:val="00990BB5"/>
    <w:rPr>
      <w:rFonts w:ascii="Arial" w:eastAsia="Times New Roman" w:hAnsi="Arial" w:cs="Arial"/>
      <w:sz w:val="20"/>
      <w:szCs w:val="20"/>
      <w:lang w:val="en-US"/>
    </w:rPr>
  </w:style>
  <w:style w:type="paragraph" w:customStyle="1" w:styleId="EndNoteBibliography">
    <w:name w:val="EndNote Bibliography"/>
    <w:basedOn w:val="Normal"/>
    <w:link w:val="EndNoteBibliographyCar"/>
    <w:rsid w:val="00990BB5"/>
    <w:pPr>
      <w:spacing w:line="240" w:lineRule="auto"/>
      <w:jc w:val="left"/>
    </w:pPr>
    <w:rPr>
      <w:rFonts w:cs="Arial"/>
      <w:sz w:val="20"/>
      <w:lang w:val="en-US"/>
    </w:rPr>
  </w:style>
  <w:style w:type="character" w:customStyle="1" w:styleId="EndNoteBibliographyCar">
    <w:name w:val="EndNote Bibliography Car"/>
    <w:basedOn w:val="CETBodytextCarattere"/>
    <w:link w:val="EndNoteBibliography"/>
    <w:rsid w:val="00990BB5"/>
    <w:rPr>
      <w:rFonts w:ascii="Arial" w:eastAsia="Times New Roman" w:hAnsi="Arial" w:cs="Arial"/>
      <w:sz w:val="20"/>
      <w:szCs w:val="20"/>
      <w:lang w:val="en-US"/>
    </w:rPr>
  </w:style>
  <w:style w:type="character" w:styleId="Nmerodelnea">
    <w:name w:val="line number"/>
    <w:basedOn w:val="Fuentedeprrafopredeter"/>
    <w:uiPriority w:val="99"/>
    <w:semiHidden/>
    <w:unhideWhenUsed/>
    <w:rsid w:val="00835161"/>
  </w:style>
  <w:style w:type="character" w:styleId="Mencinsinresolver">
    <w:name w:val="Unresolved Mention"/>
    <w:basedOn w:val="Fuentedeprrafopredeter"/>
    <w:uiPriority w:val="99"/>
    <w:semiHidden/>
    <w:unhideWhenUsed/>
    <w:rsid w:val="00B40F92"/>
    <w:rPr>
      <w:color w:val="605E5C"/>
      <w:shd w:val="clear" w:color="auto" w:fill="E1DFDD"/>
    </w:rPr>
  </w:style>
  <w:style w:type="character" w:styleId="Textodelmarcadordeposicin">
    <w:name w:val="Placeholder Text"/>
    <w:basedOn w:val="Fuentedeprrafopredeter"/>
    <w:uiPriority w:val="99"/>
    <w:semiHidden/>
    <w:rsid w:val="005562D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8670">
      <w:bodyDiv w:val="1"/>
      <w:marLeft w:val="0"/>
      <w:marRight w:val="0"/>
      <w:marTop w:val="0"/>
      <w:marBottom w:val="0"/>
      <w:divBdr>
        <w:top w:val="none" w:sz="0" w:space="0" w:color="auto"/>
        <w:left w:val="none" w:sz="0" w:space="0" w:color="auto"/>
        <w:bottom w:val="none" w:sz="0" w:space="0" w:color="auto"/>
        <w:right w:val="none" w:sz="0" w:space="0" w:color="auto"/>
      </w:divBdr>
      <w:divsChild>
        <w:div w:id="470826652">
          <w:marLeft w:val="0"/>
          <w:marRight w:val="0"/>
          <w:marTop w:val="0"/>
          <w:marBottom w:val="0"/>
          <w:divBdr>
            <w:top w:val="none" w:sz="0" w:space="0" w:color="auto"/>
            <w:left w:val="none" w:sz="0" w:space="0" w:color="auto"/>
            <w:bottom w:val="none" w:sz="0" w:space="0" w:color="auto"/>
            <w:right w:val="none" w:sz="0" w:space="0" w:color="auto"/>
          </w:divBdr>
          <w:divsChild>
            <w:div w:id="1847163229">
              <w:marLeft w:val="0"/>
              <w:marRight w:val="0"/>
              <w:marTop w:val="0"/>
              <w:marBottom w:val="0"/>
              <w:divBdr>
                <w:top w:val="none" w:sz="0" w:space="0" w:color="auto"/>
                <w:left w:val="none" w:sz="0" w:space="0" w:color="auto"/>
                <w:bottom w:val="none" w:sz="0" w:space="0" w:color="auto"/>
                <w:right w:val="none" w:sz="0" w:space="0" w:color="auto"/>
              </w:divBdr>
              <w:divsChild>
                <w:div w:id="5483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92922">
      <w:bodyDiv w:val="1"/>
      <w:marLeft w:val="0"/>
      <w:marRight w:val="0"/>
      <w:marTop w:val="0"/>
      <w:marBottom w:val="0"/>
      <w:divBdr>
        <w:top w:val="none" w:sz="0" w:space="0" w:color="auto"/>
        <w:left w:val="none" w:sz="0" w:space="0" w:color="auto"/>
        <w:bottom w:val="none" w:sz="0" w:space="0" w:color="auto"/>
        <w:right w:val="none" w:sz="0" w:space="0" w:color="auto"/>
      </w:divBdr>
      <w:divsChild>
        <w:div w:id="437874401">
          <w:marLeft w:val="0"/>
          <w:marRight w:val="0"/>
          <w:marTop w:val="0"/>
          <w:marBottom w:val="0"/>
          <w:divBdr>
            <w:top w:val="none" w:sz="0" w:space="0" w:color="auto"/>
            <w:left w:val="none" w:sz="0" w:space="0" w:color="auto"/>
            <w:bottom w:val="none" w:sz="0" w:space="0" w:color="auto"/>
            <w:right w:val="none" w:sz="0" w:space="0" w:color="auto"/>
          </w:divBdr>
          <w:divsChild>
            <w:div w:id="1834638820">
              <w:marLeft w:val="0"/>
              <w:marRight w:val="0"/>
              <w:marTop w:val="0"/>
              <w:marBottom w:val="0"/>
              <w:divBdr>
                <w:top w:val="none" w:sz="0" w:space="0" w:color="auto"/>
                <w:left w:val="none" w:sz="0" w:space="0" w:color="auto"/>
                <w:bottom w:val="none" w:sz="0" w:space="0" w:color="auto"/>
                <w:right w:val="none" w:sz="0" w:space="0" w:color="auto"/>
              </w:divBdr>
              <w:divsChild>
                <w:div w:id="7546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46137419">
      <w:bodyDiv w:val="1"/>
      <w:marLeft w:val="0"/>
      <w:marRight w:val="0"/>
      <w:marTop w:val="0"/>
      <w:marBottom w:val="0"/>
      <w:divBdr>
        <w:top w:val="none" w:sz="0" w:space="0" w:color="auto"/>
        <w:left w:val="none" w:sz="0" w:space="0" w:color="auto"/>
        <w:bottom w:val="none" w:sz="0" w:space="0" w:color="auto"/>
        <w:right w:val="none" w:sz="0" w:space="0" w:color="auto"/>
      </w:divBdr>
      <w:divsChild>
        <w:div w:id="1146895110">
          <w:marLeft w:val="0"/>
          <w:marRight w:val="0"/>
          <w:marTop w:val="0"/>
          <w:marBottom w:val="0"/>
          <w:divBdr>
            <w:top w:val="none" w:sz="0" w:space="0" w:color="auto"/>
            <w:left w:val="none" w:sz="0" w:space="0" w:color="auto"/>
            <w:bottom w:val="none" w:sz="0" w:space="0" w:color="auto"/>
            <w:right w:val="none" w:sz="0" w:space="0" w:color="auto"/>
          </w:divBdr>
          <w:divsChild>
            <w:div w:id="1043288738">
              <w:marLeft w:val="0"/>
              <w:marRight w:val="0"/>
              <w:marTop w:val="0"/>
              <w:marBottom w:val="0"/>
              <w:divBdr>
                <w:top w:val="none" w:sz="0" w:space="0" w:color="auto"/>
                <w:left w:val="none" w:sz="0" w:space="0" w:color="auto"/>
                <w:bottom w:val="none" w:sz="0" w:space="0" w:color="auto"/>
                <w:right w:val="none" w:sz="0" w:space="0" w:color="auto"/>
              </w:divBdr>
              <w:divsChild>
                <w:div w:id="16728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5420">
      <w:bodyDiv w:val="1"/>
      <w:marLeft w:val="0"/>
      <w:marRight w:val="0"/>
      <w:marTop w:val="0"/>
      <w:marBottom w:val="0"/>
      <w:divBdr>
        <w:top w:val="none" w:sz="0" w:space="0" w:color="auto"/>
        <w:left w:val="none" w:sz="0" w:space="0" w:color="auto"/>
        <w:bottom w:val="none" w:sz="0" w:space="0" w:color="auto"/>
        <w:right w:val="none" w:sz="0" w:space="0" w:color="auto"/>
      </w:divBdr>
      <w:divsChild>
        <w:div w:id="2117560166">
          <w:marLeft w:val="0"/>
          <w:marRight w:val="0"/>
          <w:marTop w:val="0"/>
          <w:marBottom w:val="0"/>
          <w:divBdr>
            <w:top w:val="none" w:sz="0" w:space="0" w:color="auto"/>
            <w:left w:val="none" w:sz="0" w:space="0" w:color="auto"/>
            <w:bottom w:val="none" w:sz="0" w:space="0" w:color="auto"/>
            <w:right w:val="none" w:sz="0" w:space="0" w:color="auto"/>
          </w:divBdr>
          <w:divsChild>
            <w:div w:id="1629511316">
              <w:marLeft w:val="0"/>
              <w:marRight w:val="0"/>
              <w:marTop w:val="0"/>
              <w:marBottom w:val="0"/>
              <w:divBdr>
                <w:top w:val="none" w:sz="0" w:space="0" w:color="auto"/>
                <w:left w:val="none" w:sz="0" w:space="0" w:color="auto"/>
                <w:bottom w:val="none" w:sz="0" w:space="0" w:color="auto"/>
                <w:right w:val="none" w:sz="0" w:space="0" w:color="auto"/>
              </w:divBdr>
              <w:divsChild>
                <w:div w:id="13161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1919">
      <w:bodyDiv w:val="1"/>
      <w:marLeft w:val="0"/>
      <w:marRight w:val="0"/>
      <w:marTop w:val="0"/>
      <w:marBottom w:val="0"/>
      <w:divBdr>
        <w:top w:val="none" w:sz="0" w:space="0" w:color="auto"/>
        <w:left w:val="none" w:sz="0" w:space="0" w:color="auto"/>
        <w:bottom w:val="none" w:sz="0" w:space="0" w:color="auto"/>
        <w:right w:val="none" w:sz="0" w:space="0" w:color="auto"/>
      </w:divBdr>
      <w:divsChild>
        <w:div w:id="1124619903">
          <w:marLeft w:val="0"/>
          <w:marRight w:val="0"/>
          <w:marTop w:val="0"/>
          <w:marBottom w:val="0"/>
          <w:divBdr>
            <w:top w:val="none" w:sz="0" w:space="0" w:color="auto"/>
            <w:left w:val="none" w:sz="0" w:space="0" w:color="auto"/>
            <w:bottom w:val="none" w:sz="0" w:space="0" w:color="auto"/>
            <w:right w:val="none" w:sz="0" w:space="0" w:color="auto"/>
          </w:divBdr>
          <w:divsChild>
            <w:div w:id="296839971">
              <w:marLeft w:val="0"/>
              <w:marRight w:val="0"/>
              <w:marTop w:val="0"/>
              <w:marBottom w:val="0"/>
              <w:divBdr>
                <w:top w:val="none" w:sz="0" w:space="0" w:color="auto"/>
                <w:left w:val="none" w:sz="0" w:space="0" w:color="auto"/>
                <w:bottom w:val="none" w:sz="0" w:space="0" w:color="auto"/>
                <w:right w:val="none" w:sz="0" w:space="0" w:color="auto"/>
              </w:divBdr>
              <w:divsChild>
                <w:div w:id="945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6</Pages>
  <Words>4105</Words>
  <Characters>22580</Characters>
  <Application>Microsoft Office Word</Application>
  <DocSecurity>0</DocSecurity>
  <Lines>188</Lines>
  <Paragraphs>53</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Fabricio Omar  Barroso Muñoz</cp:lastModifiedBy>
  <cp:revision>41</cp:revision>
  <cp:lastPrinted>2015-05-12T18:31:00Z</cp:lastPrinted>
  <dcterms:created xsi:type="dcterms:W3CDTF">2024-04-11T16:18:00Z</dcterms:created>
  <dcterms:modified xsi:type="dcterms:W3CDTF">2024-04-15T23:10:00Z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