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93B3B">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ZA" w:eastAsia="en-ZA"/>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ZA" w:eastAsia="en-ZA"/>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93B3B">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93B3B">
        <w:trPr>
          <w:trHeight w:val="68"/>
          <w:jc w:val="center"/>
        </w:trPr>
        <w:tc>
          <w:tcPr>
            <w:tcW w:w="8782"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6FCD11B" w:rsidR="00E978D0" w:rsidRPr="00B57B36" w:rsidRDefault="00693B3B" w:rsidP="00E978D0">
      <w:pPr>
        <w:pStyle w:val="CETTitle"/>
      </w:pPr>
      <w:r w:rsidRPr="00693B3B">
        <w:rPr>
          <w:rFonts w:cs="Arial"/>
          <w:szCs w:val="32"/>
        </w:rPr>
        <w:t>Witwatersrand basin Acid Mine Drainage (AMD) softening via urea hydrol</w:t>
      </w:r>
      <w:r w:rsidR="003327CB">
        <w:rPr>
          <w:rFonts w:cs="Arial"/>
          <w:szCs w:val="32"/>
        </w:rPr>
        <w:t>ysis</w:t>
      </w:r>
      <w:r w:rsidR="001B2877">
        <w:rPr>
          <w:rFonts w:cs="Arial"/>
          <w:szCs w:val="32"/>
        </w:rPr>
        <w:t>: Part 1</w:t>
      </w:r>
      <w:r w:rsidR="003327CB">
        <w:rPr>
          <w:rFonts w:cs="Arial"/>
          <w:szCs w:val="32"/>
        </w:rPr>
        <w:t xml:space="preserve"> experimental</w:t>
      </w:r>
    </w:p>
    <w:p w14:paraId="0488FED2" w14:textId="104AD8B1" w:rsidR="00B57E6F" w:rsidRPr="00B57B36" w:rsidRDefault="00693B3B" w:rsidP="00B57E6F">
      <w:pPr>
        <w:pStyle w:val="CETAuthors"/>
      </w:pPr>
      <w:r>
        <w:t>Recardo D. S. Khumalo*</w:t>
      </w:r>
      <w:r w:rsidR="00B57E6F" w:rsidRPr="00B57B36">
        <w:t xml:space="preserve">, </w:t>
      </w:r>
      <w:r>
        <w:t>Evans M. N. Chirwa</w:t>
      </w:r>
    </w:p>
    <w:p w14:paraId="3D72B0B0" w14:textId="21A9C874" w:rsidR="00B57E6F" w:rsidRPr="00B57B36" w:rsidRDefault="00693B3B" w:rsidP="00B57E6F">
      <w:pPr>
        <w:pStyle w:val="CETAddress"/>
      </w:pPr>
      <w:r w:rsidRPr="00693B3B">
        <w:t>Water Utilisation and Environmental Engineering Division, Department of Chemical Engineering, University of Pretoria, Hatfield Camp</w:t>
      </w:r>
      <w:r>
        <w:t>us, Pretoria, 0002, South Africa</w:t>
      </w:r>
    </w:p>
    <w:p w14:paraId="73F1267A" w14:textId="36977963" w:rsidR="00B57E6F" w:rsidRPr="00B57B36" w:rsidRDefault="00693B3B" w:rsidP="00B57E6F">
      <w:pPr>
        <w:pStyle w:val="CETemail"/>
      </w:pPr>
      <w:r>
        <w:t>rds.khumalo@outlook.com</w:t>
      </w:r>
    </w:p>
    <w:p w14:paraId="37A61FCE" w14:textId="64DA2796" w:rsidR="00DA24C6" w:rsidRDefault="00816820" w:rsidP="00816820">
      <w:pPr>
        <w:pStyle w:val="CETBodytext"/>
      </w:pPr>
      <w:r w:rsidRPr="007124F9">
        <w:t xml:space="preserve">South Africa is a water scarce country with a semi-arid climate. The pollution of fresh water resources by the acid mine drainage (AMD), which is mostly acidic and hard, has exacerbated the problem. This research focuses on the treatment of AMD from the three goldfields (Eastern - EB, Central - CB and Western - WB basins) of the Witwatersrand basin, Gauteng, South Africa with the aim </w:t>
      </w:r>
      <w:r>
        <w:t>of</w:t>
      </w:r>
      <w:r w:rsidRPr="007124F9">
        <w:t xml:space="preserve"> recover</w:t>
      </w:r>
      <w:r>
        <w:t>ing</w:t>
      </w:r>
      <w:r w:rsidRPr="007124F9">
        <w:t xml:space="preserve"> water (fit-for-purpose) and marketable mineral(s) for industrial use. In this preliminary study, the AMD water samples from these three basins were subjected to urea hydrolysis at varying urea concentrations (urea to total metal [U]/[M] ratios ranging from 3.3 to 10), constant reaction times (3 h) and temperature (80</w:t>
      </w:r>
      <w:r w:rsidR="00CC27D8">
        <w:t xml:space="preserve"> </w:t>
      </w:r>
      <w:r w:rsidRPr="007124F9">
        <w:t>°C). This resulted in the pH of the AMD water samples of the three basins (EB, CB and WB) being increased to an average of approximately 8.8, and the softening of water, with more than 98</w:t>
      </w:r>
      <w:r w:rsidR="00CC27D8">
        <w:t xml:space="preserve"> </w:t>
      </w:r>
      <w:r w:rsidRPr="007124F9">
        <w:t>% removal of calcium. The sulphate removal ranged between 38 to 50</w:t>
      </w:r>
      <w:r w:rsidR="00CC27D8">
        <w:t xml:space="preserve"> </w:t>
      </w:r>
      <w:r w:rsidRPr="007124F9">
        <w:t>%, while the method also displayed a positive impact in the reduction of magnesium (up to 34</w:t>
      </w:r>
      <w:r w:rsidR="00CC27D8">
        <w:t xml:space="preserve"> </w:t>
      </w:r>
      <w:r w:rsidRPr="007124F9">
        <w:t>%) and the monovalent cations (sodium up to 33</w:t>
      </w:r>
      <w:r w:rsidR="00CC27D8">
        <w:t xml:space="preserve"> </w:t>
      </w:r>
      <w:r w:rsidRPr="007124F9">
        <w:t>% and potassium up to 44</w:t>
      </w:r>
      <w:r w:rsidR="00CC27D8">
        <w:t xml:space="preserve"> </w:t>
      </w:r>
      <w:r w:rsidRPr="007124F9">
        <w:t>%) from the polluted AMD water samples. In addition, calcium carbonate (aragonite polymorph), a mineral with vast industrial applications, was recovered in the process. The significance of the findings is that, firstly an environmentally benign method has been demonstrated to effectively remove the AMD pollutants. Secondly, the AMD pollutants were converted to a valuable industrial product without generating any waste in the process.</w:t>
      </w:r>
    </w:p>
    <w:p w14:paraId="476B2F2E" w14:textId="77777777" w:rsidR="00600535" w:rsidRPr="00B57B36" w:rsidRDefault="00600535" w:rsidP="00600535">
      <w:pPr>
        <w:pStyle w:val="CETHeading1"/>
        <w:rPr>
          <w:lang w:val="en-GB"/>
        </w:rPr>
      </w:pPr>
      <w:r w:rsidRPr="00B57B36">
        <w:rPr>
          <w:lang w:val="en-GB"/>
        </w:rPr>
        <w:t>Introduction</w:t>
      </w:r>
    </w:p>
    <w:p w14:paraId="21B9A280" w14:textId="62C18C0B" w:rsidR="007D0951" w:rsidRPr="00C67EA8" w:rsidRDefault="00C67EA8" w:rsidP="00C67EA8">
      <w:pPr>
        <w:pStyle w:val="CETBodytext"/>
      </w:pPr>
      <w:r w:rsidRPr="00C67EA8">
        <w:t xml:space="preserve">The increasing emissions of greenhouse gas (GHG) has a devastating impact on climate change, so is the acid mine drainage (AMD) in polluting freshwater resources and the environment.  The impact of AMD, mine wastewater </w:t>
      </w:r>
      <w:r w:rsidR="0042323B" w:rsidRPr="00C67EA8">
        <w:t>characterized</w:t>
      </w:r>
      <w:r w:rsidRPr="00C67EA8">
        <w:t xml:space="preserve"> by low pH and high in concentration of toxic heavy metal sulphate salts, has been felt world over where there are mining activities, especially for coal and gold mining (Zhang et al., 2023).  This is mainly because these minerals are found in ores containing </w:t>
      </w:r>
      <w:proofErr w:type="spellStart"/>
      <w:r w:rsidRPr="00C67EA8">
        <w:t>sulphide</w:t>
      </w:r>
      <w:proofErr w:type="spellEnd"/>
      <w:r w:rsidRPr="00C67EA8">
        <w:t xml:space="preserve"> minerals (e.g. Pyrite or “</w:t>
      </w:r>
      <w:proofErr w:type="spellStart"/>
      <w:r w:rsidRPr="00C67EA8">
        <w:t>fools</w:t>
      </w:r>
      <w:proofErr w:type="spellEnd"/>
      <w:r w:rsidRPr="00C67EA8">
        <w:t xml:space="preserve"> gold”) which when exposed to water, oxygen and microorganisms, </w:t>
      </w:r>
      <w:r w:rsidR="0042323B" w:rsidRPr="00C67EA8">
        <w:t>oxidizes</w:t>
      </w:r>
      <w:r w:rsidRPr="00C67EA8">
        <w:t xml:space="preserve"> resulting in sulphate formation, reduced pH, this then dissolves the other heavy metals present in the ore</w:t>
      </w:r>
      <w:sdt>
        <w:sdtPr>
          <w:id w:val="-1197533531"/>
          <w:citation/>
        </w:sdtPr>
        <w:sdtContent>
          <w:r w:rsidRPr="00C67EA8">
            <w:fldChar w:fldCharType="begin"/>
          </w:r>
          <w:r w:rsidRPr="00C67EA8">
            <w:instrText xml:space="preserve">CITATION Rod19 \l 7177 </w:instrText>
          </w:r>
          <w:r w:rsidRPr="00C67EA8">
            <w:fldChar w:fldCharType="separate"/>
          </w:r>
          <w:r w:rsidR="00424E8A">
            <w:rPr>
              <w:noProof/>
            </w:rPr>
            <w:t xml:space="preserve"> (Rodrigues-Galan et al., 2019)</w:t>
          </w:r>
          <w:r w:rsidRPr="00C67EA8">
            <w:fldChar w:fldCharType="end"/>
          </w:r>
        </w:sdtContent>
      </w:sdt>
      <w:r w:rsidRPr="00C67EA8">
        <w:t>.  This wastewater then leaches, polluting the ground and surface freshwater resources as well as degrading the environment in the vicinity of the mining operations, especially the disused or abandoned ones</w:t>
      </w:r>
      <w:sdt>
        <w:sdtPr>
          <w:id w:val="627052435"/>
          <w:citation/>
        </w:sdtPr>
        <w:sdtContent>
          <w:r w:rsidRPr="00C67EA8">
            <w:fldChar w:fldCharType="begin"/>
          </w:r>
          <w:r w:rsidRPr="00C67EA8">
            <w:instrText xml:space="preserve">CITATION Mhl16 \l 7177 </w:instrText>
          </w:r>
          <w:r w:rsidRPr="00C67EA8">
            <w:fldChar w:fldCharType="separate"/>
          </w:r>
          <w:r w:rsidR="00424E8A">
            <w:rPr>
              <w:noProof/>
            </w:rPr>
            <w:t xml:space="preserve"> (Mhlongo &amp; Amponsah-Dacosta, 2016)</w:t>
          </w:r>
          <w:r w:rsidRPr="00C67EA8">
            <w:fldChar w:fldCharType="end"/>
          </w:r>
        </w:sdtContent>
      </w:sdt>
      <w:r w:rsidRPr="00C67EA8">
        <w:t>.   In South Africa, this has been amplified by the fact that it is a water stressed country due to its semi-arid climate with rainfall of 490 mm/annum, well below the global average of 860 mm/annum (</w:t>
      </w:r>
      <w:proofErr w:type="spellStart"/>
      <w:r w:rsidRPr="00C67EA8">
        <w:t>Roffe</w:t>
      </w:r>
      <w:proofErr w:type="spellEnd"/>
      <w:r w:rsidRPr="00C67EA8">
        <w:t xml:space="preserve"> et al., 2019). The pollution of both fresh and ground water systems, environmental degradation and negative socio-economic impact by the AMD is well documented, especially in the Witwatersrand, which is the focus area of this study</w:t>
      </w:r>
      <w:sdt>
        <w:sdtPr>
          <w:id w:val="-1512985724"/>
          <w:citation/>
        </w:sdtPr>
        <w:sdtContent>
          <w:r w:rsidRPr="00C67EA8">
            <w:fldChar w:fldCharType="begin"/>
          </w:r>
          <w:r w:rsidR="0042323B">
            <w:instrText xml:space="preserve">CITATION Dur12 \l 7177 </w:instrText>
          </w:r>
          <w:r w:rsidRPr="00C67EA8">
            <w:fldChar w:fldCharType="separate"/>
          </w:r>
          <w:r w:rsidR="00424E8A">
            <w:rPr>
              <w:noProof/>
            </w:rPr>
            <w:t xml:space="preserve"> (Durand, 2012)</w:t>
          </w:r>
          <w:r w:rsidRPr="00C67EA8">
            <w:fldChar w:fldCharType="end"/>
          </w:r>
        </w:sdtContent>
      </w:sdt>
      <w:r w:rsidRPr="00C67EA8">
        <w:t xml:space="preserve">.  The South African government and mining houses have </w:t>
      </w:r>
      <w:r w:rsidR="0042323B" w:rsidRPr="00C67EA8">
        <w:t>tried</w:t>
      </w:r>
      <w:r w:rsidRPr="00C67EA8">
        <w:t xml:space="preserve"> to mitigate the situation by setting up treatment plants in the three Witwatersrand basin</w:t>
      </w:r>
      <w:sdt>
        <w:sdtPr>
          <w:id w:val="-23634347"/>
          <w:citation/>
        </w:sdtPr>
        <w:sdtContent>
          <w:r w:rsidRPr="00C67EA8">
            <w:fldChar w:fldCharType="begin"/>
          </w:r>
          <w:r w:rsidR="0042323B">
            <w:instrText xml:space="preserve">CITATION Dig12 \l 7177 </w:instrText>
          </w:r>
          <w:r w:rsidRPr="00C67EA8">
            <w:fldChar w:fldCharType="separate"/>
          </w:r>
          <w:r w:rsidR="00424E8A">
            <w:rPr>
              <w:noProof/>
            </w:rPr>
            <w:t xml:space="preserve"> (Digby Wells Environmental, 2012)</w:t>
          </w:r>
          <w:r w:rsidRPr="00C67EA8">
            <w:fldChar w:fldCharType="end"/>
          </w:r>
        </w:sdtContent>
      </w:sdt>
      <w:r w:rsidRPr="00C67EA8">
        <w:t>.  However, the current intervention implemented in the Witwatersrand basins only partially addresses the AMD problem as the technology deployed, High Density Sludge (HDS) process, has several challenges, namely (</w:t>
      </w:r>
      <w:proofErr w:type="spellStart"/>
      <w:r w:rsidRPr="00C67EA8">
        <w:t>i</w:t>
      </w:r>
      <w:proofErr w:type="spellEnd"/>
      <w:r w:rsidRPr="00C67EA8">
        <w:t xml:space="preserve">) it is costly to run, (ii) it generates waste that needs to be disposed </w:t>
      </w:r>
      <w:proofErr w:type="spellStart"/>
      <w:r w:rsidRPr="00C67EA8">
        <w:t>off</w:t>
      </w:r>
      <w:proofErr w:type="spellEnd"/>
      <w:r w:rsidRPr="00C67EA8">
        <w:t>, and (iii) the resulting water that is discharged to the receiving bodies is still high on sulphates</w:t>
      </w:r>
      <w:r w:rsidR="0042323B">
        <w:rPr>
          <w:noProof/>
        </w:rPr>
        <w:t xml:space="preserve"> (Hobbs, 2017)</w:t>
      </w:r>
      <w:r w:rsidRPr="00C67EA8">
        <w:t>.</w:t>
      </w:r>
      <w:r w:rsidR="003B08EA">
        <w:t xml:space="preserve"> </w:t>
      </w:r>
      <w:proofErr w:type="spellStart"/>
      <w:r w:rsidR="003B08EA">
        <w:t>Lorio</w:t>
      </w:r>
      <w:proofErr w:type="spellEnd"/>
      <w:r w:rsidR="003B08EA">
        <w:t xml:space="preserve"> and co-workers (2022), used an Analytical Hierarchy Process in the selection of the optimum AMD treatment technology in the </w:t>
      </w:r>
      <w:proofErr w:type="spellStart"/>
      <w:r w:rsidR="003B08EA">
        <w:t>Phillippines</w:t>
      </w:r>
      <w:proofErr w:type="spellEnd"/>
      <w:r w:rsidR="003B08EA">
        <w:t xml:space="preserve"> context and alluded that the HDS process is the most stable alternative, regardless of the above mentioned short-comings.</w:t>
      </w:r>
      <w:r w:rsidR="0042323B">
        <w:t xml:space="preserve"> </w:t>
      </w:r>
      <w:r w:rsidRPr="00C67EA8">
        <w:t xml:space="preserve">Admittedly, </w:t>
      </w:r>
      <w:r w:rsidRPr="00C67EA8">
        <w:lastRenderedPageBreak/>
        <w:t>AMD has presented a formidable challenge due to its complex nature and associated costs, where there is no one solution to the problem that can be deployed universally</w:t>
      </w:r>
      <w:r w:rsidR="0042323B">
        <w:rPr>
          <w:noProof/>
        </w:rPr>
        <w:t xml:space="preserve"> (Wibowo et al., 2021)</w:t>
      </w:r>
      <w:r w:rsidRPr="00C67EA8">
        <w:t xml:space="preserve">.  That is, each mine, region and geography </w:t>
      </w:r>
      <w:r w:rsidR="0042323B" w:rsidRPr="00C67EA8">
        <w:t>need</w:t>
      </w:r>
      <w:r w:rsidRPr="00C67EA8">
        <w:t xml:space="preserve"> to be researched for an appropriate and best solution to be implemented</w:t>
      </w:r>
      <w:sdt>
        <w:sdtPr>
          <w:id w:val="727961038"/>
          <w:citation/>
        </w:sdtPr>
        <w:sdtContent>
          <w:r w:rsidRPr="00C67EA8">
            <w:fldChar w:fldCharType="begin"/>
          </w:r>
          <w:r w:rsidR="0042323B">
            <w:instrText xml:space="preserve">CITATION Nai191 \l 7177 </w:instrText>
          </w:r>
          <w:r w:rsidRPr="00C67EA8">
            <w:fldChar w:fldCharType="separate"/>
          </w:r>
          <w:r w:rsidR="00424E8A">
            <w:rPr>
              <w:noProof/>
            </w:rPr>
            <w:t xml:space="preserve"> (Naidu et al., 2019)</w:t>
          </w:r>
          <w:r w:rsidRPr="00C67EA8">
            <w:fldChar w:fldCharType="end"/>
          </w:r>
        </w:sdtContent>
      </w:sdt>
      <w:r w:rsidRPr="00C67EA8">
        <w:t>.  This has been demonstrated by the continued research interest on the AMD remediation/treatment strategies, and the focus has shifted to the development of sustainable technologies where there is zero waste generated and the process can be self-funding based on the resulting water and mineral(s) recovered being of commercial value</w:t>
      </w:r>
      <w:r w:rsidR="0042323B">
        <w:rPr>
          <w:noProof/>
        </w:rPr>
        <w:t xml:space="preserve"> (Moodley et al., 2018)</w:t>
      </w:r>
      <w:r w:rsidRPr="00C67EA8">
        <w:t>.  In this paper, a circular economy approach model is proposed.  That is, to develop an AMD treatment technology that is environmentally friendly to produce water and mineral(s) that can be used for agricultural and industrial purpose, respectively, thus generating revenue to sustain the AMD remediation process and zero waste</w:t>
      </w:r>
      <w:r w:rsidR="0042323B">
        <w:rPr>
          <w:noProof/>
        </w:rPr>
        <w:t xml:space="preserve"> (Kefeni et al., 2017)</w:t>
      </w:r>
      <w:r w:rsidRPr="00C67EA8">
        <w:t>.</w:t>
      </w:r>
      <w:r w:rsidR="00745F03">
        <w:t xml:space="preserve"> </w:t>
      </w:r>
      <w:r w:rsidR="0031592D">
        <w:t>In this study, a homogen</w:t>
      </w:r>
      <w:r w:rsidR="006F4E7C">
        <w:t>e</w:t>
      </w:r>
      <w:r w:rsidR="0031592D">
        <w:t xml:space="preserve">ous precipitation of </w:t>
      </w:r>
      <w:r w:rsidR="00660056">
        <w:t>AMD pollutants</w:t>
      </w:r>
      <w:r w:rsidR="0031592D">
        <w:t xml:space="preserve"> via urea hydrolysis is proposed based on its advantages that includes crystalline material with uniform particle sizes being synthesized as well as the resulting solution containing ammonium salts that can be used for agricultural applications</w:t>
      </w:r>
      <w:sdt>
        <w:sdtPr>
          <w:id w:val="-1166699953"/>
          <w:citation/>
        </w:sdtPr>
        <w:sdtContent>
          <w:r w:rsidR="0031592D">
            <w:fldChar w:fldCharType="begin"/>
          </w:r>
          <w:r w:rsidR="0031592D">
            <w:instrText xml:space="preserve"> CITATION Sub12 \l 1033 </w:instrText>
          </w:r>
          <w:r w:rsidR="0031592D">
            <w:fldChar w:fldCharType="separate"/>
          </w:r>
          <w:r w:rsidR="00424E8A">
            <w:rPr>
              <w:noProof/>
            </w:rPr>
            <w:t xml:space="preserve"> (Subrt, 2012)</w:t>
          </w:r>
          <w:r w:rsidR="0031592D">
            <w:fldChar w:fldCharType="end"/>
          </w:r>
        </w:sdtContent>
      </w:sdt>
      <w:r w:rsidR="006F4E7C">
        <w:t>.</w:t>
      </w:r>
      <w:r w:rsidR="003F7297">
        <w:t xml:space="preserve"> For the samples of interest, it was esta</w:t>
      </w:r>
      <w:r w:rsidR="00DE6434">
        <w:t>blished that calcium carbonate (aragonite polymorph) was the predominant mineral recovered</w:t>
      </w:r>
      <w:sdt>
        <w:sdtPr>
          <w:id w:val="-390737758"/>
          <w:citation/>
        </w:sdtPr>
        <w:sdtContent>
          <w:r w:rsidR="003327CB">
            <w:fldChar w:fldCharType="begin"/>
          </w:r>
          <w:r w:rsidR="003327CB">
            <w:rPr>
              <w:lang w:val="en-ZA"/>
            </w:rPr>
            <w:instrText xml:space="preserve"> CITATION Khund \l 7177 </w:instrText>
          </w:r>
          <w:r w:rsidR="003327CB">
            <w:fldChar w:fldCharType="separate"/>
          </w:r>
          <w:r w:rsidR="00424E8A">
            <w:rPr>
              <w:noProof/>
              <w:lang w:val="en-ZA"/>
            </w:rPr>
            <w:t xml:space="preserve"> </w:t>
          </w:r>
          <w:r w:rsidR="00424E8A" w:rsidRPr="00424E8A">
            <w:rPr>
              <w:noProof/>
              <w:lang w:val="en-ZA"/>
            </w:rPr>
            <w:t>(Khumalo &amp; Chirwa, n.d.)</w:t>
          </w:r>
          <w:r w:rsidR="003327CB">
            <w:fldChar w:fldCharType="end"/>
          </w:r>
        </w:sdtContent>
      </w:sdt>
      <w:r w:rsidR="00DE6434">
        <w:t>.</w:t>
      </w:r>
    </w:p>
    <w:p w14:paraId="5741900F" w14:textId="2BE2239D" w:rsidR="00453E24" w:rsidRDefault="00660056" w:rsidP="00453E24">
      <w:pPr>
        <w:pStyle w:val="CETHeading1"/>
      </w:pPr>
      <w:r>
        <w:t>Experimental</w:t>
      </w:r>
    </w:p>
    <w:p w14:paraId="09406386" w14:textId="5697F8AE" w:rsidR="00453E24" w:rsidRDefault="00453E24" w:rsidP="00453E24">
      <w:pPr>
        <w:pStyle w:val="CETBodytext"/>
      </w:pPr>
      <w:r>
        <w:t xml:space="preserve">The general style guidelines are first given, followed by specific cases. </w:t>
      </w:r>
      <w:r w:rsidR="008D4A16">
        <w:t>A</w:t>
      </w:r>
      <w:r>
        <w:t>void lower-level heading immediately following the higher-level one. It is recommended to have at least one sentence in-between.</w:t>
      </w:r>
    </w:p>
    <w:p w14:paraId="0636B784" w14:textId="2DFD65B9" w:rsidR="00453E24" w:rsidRDefault="00660056" w:rsidP="00453E24">
      <w:pPr>
        <w:pStyle w:val="CETheadingx"/>
      </w:pPr>
      <w:r>
        <w:t>Materials</w:t>
      </w:r>
    </w:p>
    <w:p w14:paraId="7C2B0064" w14:textId="7B802141" w:rsidR="00453E24" w:rsidRPr="00E526F8" w:rsidRDefault="00E526F8" w:rsidP="00E526F8">
      <w:pPr>
        <w:pStyle w:val="CETBodytext"/>
      </w:pPr>
      <w:r w:rsidRPr="00E526F8">
        <w:t>AMD water samples from the three basins in Gauteng (South Africa), Eastern (EB), Central (CB) and Western (WB), were collected at the pumps from the mine shafts before entering the treatment plants into 50Lt High Density Polyethylene (HDPE) containers.  Urea (</w:t>
      </w:r>
      <m:oMath>
        <m:r>
          <w:rPr>
            <w:rFonts w:ascii="Cambria Math" w:hAnsi="Cambria Math"/>
          </w:rPr>
          <m:t>CO</m:t>
        </m:r>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w:rPr>
                    <w:rFonts w:ascii="Cambria Math" w:hAnsi="Cambria Math"/>
                  </w:rPr>
                  <m:t>NH</m:t>
                </m:r>
              </m:e>
              <m:sub>
                <m:r>
                  <m:rPr>
                    <m:sty m:val="p"/>
                  </m:rPr>
                  <w:rPr>
                    <w:rFonts w:ascii="Cambria Math" w:hAnsi="Cambria Math"/>
                  </w:rPr>
                  <m:t>2</m:t>
                </m:r>
              </m:sub>
            </m:sSub>
            <m:r>
              <m:rPr>
                <m:sty m:val="p"/>
              </m:rPr>
              <w:rPr>
                <w:rFonts w:ascii="Cambria Math" w:hAnsi="Cambria Math"/>
              </w:rPr>
              <m:t>)</m:t>
            </m:r>
          </m:e>
          <m:sub>
            <m:r>
              <m:rPr>
                <m:sty m:val="p"/>
              </m:rPr>
              <w:rPr>
                <w:rFonts w:ascii="Cambria Math" w:hAnsi="Cambria Math"/>
              </w:rPr>
              <m:t>2</m:t>
            </m:r>
          </m:sub>
        </m:sSub>
      </m:oMath>
      <w:r w:rsidRPr="00E526F8">
        <w:t>), ACS grade with purity &gt;99.9%, was purchased from Sigma-Aldrich South Africa.  The water samples and reagent were used as is without any pre-treatment</w:t>
      </w:r>
      <w:r w:rsidR="00453E24" w:rsidRPr="00E526F8">
        <w:t>.</w:t>
      </w:r>
    </w:p>
    <w:p w14:paraId="18BAFA6F" w14:textId="246567CB" w:rsidR="00453E24" w:rsidRPr="00B57B36" w:rsidRDefault="003F7297" w:rsidP="00453E24">
      <w:pPr>
        <w:pStyle w:val="CETheadingx"/>
      </w:pPr>
      <w:r>
        <w:t>AMD treatment and characterization</w:t>
      </w:r>
    </w:p>
    <w:p w14:paraId="5436D977" w14:textId="41D24E05" w:rsidR="00453E24" w:rsidRDefault="00E526F8" w:rsidP="00E526F8">
      <w:pPr>
        <w:pStyle w:val="CETBodytext"/>
      </w:pPr>
      <w:r w:rsidRPr="00E526F8">
        <w:t>The AMD water samples were transferred into a 1Lt round bottom two-neck flask fitted with a condenser and digital thermometer.  Urea granules were added so that the final concentration of the mixture (total urea to metal ratio [U]/[M]) ranged between 3,3; 4 and 10, based on the composition of each basin, to see if any minerals could be recovered.  That is, three reactions for each basin (EB1-3, CB1-3 and WB1-3).  The mixtures were then heated to 80</w:t>
      </w:r>
      <w:r>
        <w:t xml:space="preserve"> </w:t>
      </w:r>
      <w:r w:rsidRPr="00E526F8">
        <w:t xml:space="preserve">°C under reflux on a heating mantle and continuous stirring using a magnetic stirrer at 50rpm.  </w:t>
      </w:r>
      <w:r>
        <w:t>for</w:t>
      </w:r>
      <w:r w:rsidRPr="00E526F8">
        <w:t xml:space="preserve"> 3 h</w:t>
      </w:r>
      <w:r>
        <w:t>.</w:t>
      </w:r>
      <w:r w:rsidRPr="00E526F8">
        <w:t xml:space="preserve"> </w:t>
      </w:r>
      <w:r>
        <w:t>T</w:t>
      </w:r>
      <w:r w:rsidRPr="00E526F8">
        <w:t>he</w:t>
      </w:r>
      <w:r>
        <w:t xml:space="preserve"> reaction mixtures were the</w:t>
      </w:r>
      <w:r w:rsidRPr="00E526F8">
        <w:t>n removed from the heat source and stirring to be air cooled.  The precipitates were then collected qualitatively by vacuum filtration using the Whatman No. 1 filter paper, the precipitates were washed once with deionized water and then air dried in the fume hood overnight.  The dry powders were then collected and kept in sealable plastic bags to avoid any contamination</w:t>
      </w:r>
      <w:r>
        <w:t xml:space="preserve"> for characterization</w:t>
      </w:r>
      <w:r w:rsidRPr="00E526F8">
        <w:t xml:space="preserve">.  The </w:t>
      </w:r>
      <w:proofErr w:type="spellStart"/>
      <w:r w:rsidRPr="00E526F8">
        <w:t>supernates</w:t>
      </w:r>
      <w:proofErr w:type="spellEnd"/>
      <w:r w:rsidRPr="00E526F8">
        <w:t xml:space="preserve"> were collected during the first filtration, before the washing of the precipitates with deionized water in to 500 ml HDPE bottles for later characterization</w:t>
      </w:r>
      <w:r w:rsidR="00453E24" w:rsidRPr="00E526F8">
        <w:t>.</w:t>
      </w:r>
    </w:p>
    <w:p w14:paraId="3C07E5D7" w14:textId="747B5836" w:rsidR="00E526F8" w:rsidRPr="00E526F8" w:rsidRDefault="00E526F8" w:rsidP="00E526F8">
      <w:pPr>
        <w:pStyle w:val="CETBodytext"/>
      </w:pPr>
      <w:r w:rsidRPr="00E526F8">
        <w:t xml:space="preserve">The AMD </w:t>
      </w:r>
      <w:r w:rsidR="009C59DB">
        <w:t xml:space="preserve">water </w:t>
      </w:r>
      <w:r w:rsidRPr="00E526F8">
        <w:t>samples, prior and post urea hydrolysis, were conditioned to 25</w:t>
      </w:r>
      <w:r w:rsidR="009C59DB">
        <w:t xml:space="preserve"> </w:t>
      </w:r>
      <w:r w:rsidRPr="00E526F8">
        <w:t>°C for 24</w:t>
      </w:r>
      <w:r w:rsidR="009C59DB">
        <w:t xml:space="preserve"> </w:t>
      </w:r>
      <w:r w:rsidRPr="00E526F8">
        <w:t xml:space="preserve">h before testing.  The pH of the samples was determined using a </w:t>
      </w:r>
      <w:proofErr w:type="spellStart"/>
      <w:r w:rsidRPr="00E526F8">
        <w:t>Thermo</w:t>
      </w:r>
      <w:proofErr w:type="spellEnd"/>
      <w:r w:rsidRPr="00E526F8">
        <w:t xml:space="preserve"> Fisher Scientific Orion STAR pH/conductivity meter (United States).  The concentrations of the dissolved metals (cations) were analysed using the Agilent Technologies 700 Series ICP-OES (United States) after filtering the solutions through a 0.45 µm Millipore filter and preserved with 1</w:t>
      </w:r>
      <w:r w:rsidR="009C59DB">
        <w:t xml:space="preserve"> </w:t>
      </w:r>
      <w:r w:rsidRPr="00E526F8">
        <w:t xml:space="preserve">% (w/w) nitric acid.  The sulphate (anion) content of the samples was determined using a </w:t>
      </w:r>
      <w:proofErr w:type="spellStart"/>
      <w:r w:rsidRPr="00E526F8">
        <w:t>Thermo</w:t>
      </w:r>
      <w:proofErr w:type="spellEnd"/>
      <w:r w:rsidRPr="00E526F8">
        <w:t xml:space="preserve"> Fisher Scientific </w:t>
      </w:r>
      <w:proofErr w:type="spellStart"/>
      <w:r w:rsidRPr="00E526F8">
        <w:t>Aquakem</w:t>
      </w:r>
      <w:proofErr w:type="spellEnd"/>
      <w:r w:rsidRPr="00E526F8">
        <w:t xml:space="preserve"> 200 Photometric Analyzer (United States) after precipitating the anions with barium chloride and measuring the turbidity at 405 nm.  All the results are reported as averages of five determinations.</w:t>
      </w:r>
    </w:p>
    <w:p w14:paraId="677EBFF0" w14:textId="3B3DDE20" w:rsidR="00600535" w:rsidRPr="00B57B36" w:rsidRDefault="003327CB" w:rsidP="00600535">
      <w:pPr>
        <w:pStyle w:val="CETHeading1"/>
        <w:tabs>
          <w:tab w:val="clear" w:pos="360"/>
          <w:tab w:val="right" w:pos="7100"/>
        </w:tabs>
        <w:jc w:val="both"/>
        <w:rPr>
          <w:lang w:val="en-GB"/>
        </w:rPr>
      </w:pPr>
      <w:r>
        <w:rPr>
          <w:lang w:val="en-GB"/>
        </w:rPr>
        <w:t>Results and discussions</w:t>
      </w:r>
    </w:p>
    <w:p w14:paraId="6F46D522" w14:textId="3457BBD9" w:rsidR="00481DF1" w:rsidRPr="00481DF1" w:rsidRDefault="00481DF1" w:rsidP="00481DF1">
      <w:pPr>
        <w:pStyle w:val="CETBodytext"/>
      </w:pPr>
      <w:r w:rsidRPr="00481DF1">
        <w:t xml:space="preserve">The physical and chemical properties of the AMD samples as received are presented in Table 1.  It should be noted that the average uncertainties for all the measured parameters are below 5% except for sodium content (7.7%).  The results of the AMD samples from the three basins after being exposed to urea hydrolysis at different urea concentrations are </w:t>
      </w:r>
      <w:proofErr w:type="spellStart"/>
      <w:r w:rsidRPr="00481DF1">
        <w:t>summarised</w:t>
      </w:r>
      <w:proofErr w:type="spellEnd"/>
      <w:r w:rsidRPr="00481DF1">
        <w:t xml:space="preserve"> graphically in Figure </w:t>
      </w:r>
      <w:r>
        <w:t>1</w:t>
      </w:r>
      <w:r w:rsidRPr="00481DF1">
        <w:t>.</w:t>
      </w:r>
    </w:p>
    <w:p w14:paraId="0B6B5F2F" w14:textId="77777777" w:rsidR="00481DF1" w:rsidRPr="00481DF1" w:rsidRDefault="00481DF1" w:rsidP="00481DF1">
      <w:pPr>
        <w:pStyle w:val="CETTabletitle"/>
      </w:pPr>
      <w:r w:rsidRPr="00481DF1">
        <w:t>Table 1: Physical and chemical properties of the samples from the three goldfields in the Witwatersrand basin as received.</w:t>
      </w:r>
    </w:p>
    <w:tbl>
      <w:tblPr>
        <w:tblStyle w:val="ListTable6Colorful-Accent3"/>
        <w:tblW w:w="9062" w:type="dxa"/>
        <w:tblLook w:val="04A0" w:firstRow="1" w:lastRow="0" w:firstColumn="1" w:lastColumn="0" w:noHBand="0" w:noVBand="1"/>
      </w:tblPr>
      <w:tblGrid>
        <w:gridCol w:w="2258"/>
        <w:gridCol w:w="1701"/>
        <w:gridCol w:w="1843"/>
        <w:gridCol w:w="1843"/>
        <w:gridCol w:w="1417"/>
      </w:tblGrid>
      <w:tr w:rsidR="00481DF1" w:rsidRPr="004574B7" w14:paraId="64FFBD8A" w14:textId="77777777" w:rsidTr="008E38B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8" w:type="dxa"/>
            <w:noWrap/>
            <w:hideMark/>
          </w:tcPr>
          <w:p w14:paraId="312F3BDB" w14:textId="77777777" w:rsidR="00481DF1" w:rsidRPr="004574B7" w:rsidRDefault="00481DF1" w:rsidP="000B19A5">
            <w:pPr>
              <w:spacing w:line="240" w:lineRule="auto"/>
              <w:rPr>
                <w:rFonts w:ascii="Calibri" w:hAnsi="Calibri" w:cs="Calibri"/>
                <w:b w:val="0"/>
                <w:bCs w:val="0"/>
                <w:color w:val="000000"/>
                <w:lang w:eastAsia="en-ZA"/>
              </w:rPr>
            </w:pPr>
            <w:r w:rsidRPr="004574B7">
              <w:rPr>
                <w:rFonts w:ascii="Calibri" w:hAnsi="Calibri" w:cs="Calibri"/>
                <w:color w:val="000000"/>
                <w:lang w:eastAsia="en-ZA"/>
              </w:rPr>
              <w:t>Parameter</w:t>
            </w:r>
          </w:p>
        </w:tc>
        <w:tc>
          <w:tcPr>
            <w:tcW w:w="1701" w:type="dxa"/>
            <w:noWrap/>
            <w:hideMark/>
          </w:tcPr>
          <w:p w14:paraId="7C1819B8" w14:textId="77777777" w:rsidR="00481DF1" w:rsidRPr="004574B7" w:rsidRDefault="00481DF1" w:rsidP="000B19A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lang w:eastAsia="en-ZA"/>
              </w:rPr>
            </w:pPr>
            <w:r w:rsidRPr="004574B7">
              <w:rPr>
                <w:rFonts w:ascii="Calibri" w:hAnsi="Calibri" w:cs="Calibri"/>
                <w:color w:val="000000"/>
                <w:lang w:eastAsia="en-ZA"/>
              </w:rPr>
              <w:t>EB</w:t>
            </w:r>
          </w:p>
        </w:tc>
        <w:tc>
          <w:tcPr>
            <w:tcW w:w="1843" w:type="dxa"/>
            <w:noWrap/>
            <w:hideMark/>
          </w:tcPr>
          <w:p w14:paraId="439FADE4" w14:textId="77777777" w:rsidR="00481DF1" w:rsidRPr="004574B7" w:rsidRDefault="00481DF1" w:rsidP="000B19A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lang w:eastAsia="en-ZA"/>
              </w:rPr>
            </w:pPr>
            <w:r w:rsidRPr="004574B7">
              <w:rPr>
                <w:rFonts w:ascii="Calibri" w:hAnsi="Calibri" w:cs="Calibri"/>
                <w:color w:val="000000"/>
                <w:lang w:eastAsia="en-ZA"/>
              </w:rPr>
              <w:t>CB</w:t>
            </w:r>
          </w:p>
        </w:tc>
        <w:tc>
          <w:tcPr>
            <w:tcW w:w="1843" w:type="dxa"/>
            <w:noWrap/>
            <w:hideMark/>
          </w:tcPr>
          <w:p w14:paraId="5FDEDC04" w14:textId="77777777" w:rsidR="00481DF1" w:rsidRPr="004574B7" w:rsidRDefault="00481DF1" w:rsidP="000B19A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lang w:eastAsia="en-ZA"/>
              </w:rPr>
            </w:pPr>
            <w:r w:rsidRPr="004574B7">
              <w:rPr>
                <w:rFonts w:ascii="Calibri" w:hAnsi="Calibri" w:cs="Calibri"/>
                <w:color w:val="000000"/>
                <w:lang w:eastAsia="en-ZA"/>
              </w:rPr>
              <w:t>WB</w:t>
            </w:r>
          </w:p>
        </w:tc>
        <w:tc>
          <w:tcPr>
            <w:tcW w:w="1417" w:type="dxa"/>
            <w:noWrap/>
            <w:hideMark/>
          </w:tcPr>
          <w:p w14:paraId="03AB7DA4" w14:textId="77777777" w:rsidR="00481DF1" w:rsidRPr="004574B7" w:rsidRDefault="00481DF1" w:rsidP="000B19A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lang w:eastAsia="en-ZA"/>
              </w:rPr>
            </w:pPr>
            <w:r w:rsidRPr="004574B7">
              <w:rPr>
                <w:rFonts w:ascii="Calibri" w:hAnsi="Calibri" w:cs="Calibri"/>
                <w:color w:val="000000"/>
                <w:lang w:eastAsia="en-ZA"/>
              </w:rPr>
              <w:t>Units</w:t>
            </w:r>
          </w:p>
        </w:tc>
      </w:tr>
      <w:tr w:rsidR="00481DF1" w:rsidRPr="004574B7" w14:paraId="71B3B590" w14:textId="77777777" w:rsidTr="008E38B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noWrap/>
            <w:hideMark/>
          </w:tcPr>
          <w:p w14:paraId="4217437B" w14:textId="77777777" w:rsidR="00481DF1" w:rsidRPr="004574B7" w:rsidRDefault="00481DF1" w:rsidP="000B19A5">
            <w:pPr>
              <w:spacing w:line="240" w:lineRule="auto"/>
              <w:rPr>
                <w:rFonts w:ascii="Calibri" w:hAnsi="Calibri" w:cs="Calibri"/>
                <w:color w:val="000000"/>
                <w:lang w:eastAsia="en-ZA"/>
              </w:rPr>
            </w:pPr>
            <w:r w:rsidRPr="004574B7">
              <w:rPr>
                <w:rFonts w:ascii="Calibri" w:hAnsi="Calibri" w:cs="Calibri"/>
                <w:color w:val="000000"/>
                <w:lang w:eastAsia="en-ZA"/>
              </w:rPr>
              <w:t>pH @25°C</w:t>
            </w:r>
          </w:p>
        </w:tc>
        <w:tc>
          <w:tcPr>
            <w:tcW w:w="1701" w:type="dxa"/>
            <w:shd w:val="clear" w:color="auto" w:fill="auto"/>
            <w:noWrap/>
            <w:hideMark/>
          </w:tcPr>
          <w:p w14:paraId="11849230"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7,95</w:t>
            </w:r>
          </w:p>
        </w:tc>
        <w:tc>
          <w:tcPr>
            <w:tcW w:w="1843" w:type="dxa"/>
            <w:shd w:val="clear" w:color="auto" w:fill="auto"/>
            <w:noWrap/>
            <w:hideMark/>
          </w:tcPr>
          <w:p w14:paraId="25E90060"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2,26</w:t>
            </w:r>
          </w:p>
        </w:tc>
        <w:tc>
          <w:tcPr>
            <w:tcW w:w="1843" w:type="dxa"/>
            <w:shd w:val="clear" w:color="auto" w:fill="auto"/>
            <w:noWrap/>
            <w:hideMark/>
          </w:tcPr>
          <w:p w14:paraId="76C01A8B"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3,86</w:t>
            </w:r>
          </w:p>
        </w:tc>
        <w:tc>
          <w:tcPr>
            <w:tcW w:w="1417" w:type="dxa"/>
            <w:shd w:val="clear" w:color="auto" w:fill="auto"/>
            <w:noWrap/>
            <w:hideMark/>
          </w:tcPr>
          <w:p w14:paraId="42C74520"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pH units</w:t>
            </w:r>
          </w:p>
        </w:tc>
      </w:tr>
      <w:tr w:rsidR="00481DF1" w:rsidRPr="004574B7" w14:paraId="45C3C13C" w14:textId="77777777" w:rsidTr="008E38BA">
        <w:trPr>
          <w:trHeight w:val="315"/>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noWrap/>
            <w:hideMark/>
          </w:tcPr>
          <w:p w14:paraId="16494675" w14:textId="77777777" w:rsidR="00481DF1" w:rsidRPr="004574B7" w:rsidRDefault="00481DF1" w:rsidP="000B19A5">
            <w:pPr>
              <w:spacing w:line="240" w:lineRule="auto"/>
              <w:rPr>
                <w:rFonts w:ascii="Calibri" w:hAnsi="Calibri" w:cs="Calibri"/>
                <w:b w:val="0"/>
                <w:bCs w:val="0"/>
                <w:color w:val="000000"/>
                <w:lang w:eastAsia="en-ZA"/>
              </w:rPr>
            </w:pPr>
            <w:r w:rsidRPr="004574B7">
              <w:rPr>
                <w:rFonts w:ascii="Calibri" w:hAnsi="Calibri" w:cs="Calibri"/>
                <w:color w:val="000000"/>
                <w:lang w:eastAsia="en-ZA"/>
              </w:rPr>
              <w:t>Element</w:t>
            </w:r>
          </w:p>
        </w:tc>
        <w:tc>
          <w:tcPr>
            <w:tcW w:w="6804" w:type="dxa"/>
            <w:gridSpan w:val="4"/>
            <w:shd w:val="clear" w:color="auto" w:fill="auto"/>
            <w:noWrap/>
            <w:hideMark/>
          </w:tcPr>
          <w:p w14:paraId="1420B4C6" w14:textId="77777777" w:rsidR="00481DF1" w:rsidRPr="004574B7" w:rsidRDefault="00481DF1" w:rsidP="000B19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 </w:t>
            </w:r>
          </w:p>
        </w:tc>
      </w:tr>
      <w:tr w:rsidR="00481DF1" w:rsidRPr="004574B7" w14:paraId="3CD4D55B" w14:textId="77777777" w:rsidTr="008E38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noWrap/>
            <w:hideMark/>
          </w:tcPr>
          <w:p w14:paraId="01D8E235" w14:textId="77777777" w:rsidR="00481DF1" w:rsidRPr="004574B7" w:rsidRDefault="00481DF1" w:rsidP="000B19A5">
            <w:pPr>
              <w:spacing w:line="240" w:lineRule="auto"/>
              <w:rPr>
                <w:rFonts w:ascii="Calibri" w:hAnsi="Calibri" w:cs="Calibri"/>
                <w:color w:val="000000"/>
                <w:lang w:eastAsia="en-ZA"/>
              </w:rPr>
            </w:pPr>
            <w:r w:rsidRPr="004574B7">
              <w:rPr>
                <w:rFonts w:ascii="Calibri" w:hAnsi="Calibri" w:cs="Calibri"/>
                <w:color w:val="000000"/>
                <w:lang w:eastAsia="en-ZA"/>
              </w:rPr>
              <w:lastRenderedPageBreak/>
              <w:t>Calcium (Ca)</w:t>
            </w:r>
          </w:p>
        </w:tc>
        <w:tc>
          <w:tcPr>
            <w:tcW w:w="1701" w:type="dxa"/>
            <w:shd w:val="clear" w:color="auto" w:fill="auto"/>
            <w:noWrap/>
            <w:hideMark/>
          </w:tcPr>
          <w:p w14:paraId="786AC2B3"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319</w:t>
            </w:r>
          </w:p>
        </w:tc>
        <w:tc>
          <w:tcPr>
            <w:tcW w:w="1843" w:type="dxa"/>
            <w:shd w:val="clear" w:color="auto" w:fill="auto"/>
            <w:noWrap/>
            <w:hideMark/>
          </w:tcPr>
          <w:p w14:paraId="32BC36C1"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550</w:t>
            </w:r>
          </w:p>
        </w:tc>
        <w:tc>
          <w:tcPr>
            <w:tcW w:w="1843" w:type="dxa"/>
            <w:shd w:val="clear" w:color="auto" w:fill="auto"/>
            <w:noWrap/>
            <w:hideMark/>
          </w:tcPr>
          <w:p w14:paraId="798D5FE7"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547</w:t>
            </w:r>
          </w:p>
        </w:tc>
        <w:tc>
          <w:tcPr>
            <w:tcW w:w="1417" w:type="dxa"/>
            <w:shd w:val="clear" w:color="auto" w:fill="auto"/>
            <w:noWrap/>
            <w:hideMark/>
          </w:tcPr>
          <w:p w14:paraId="3FA5204C"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mg/L</w:t>
            </w:r>
          </w:p>
        </w:tc>
      </w:tr>
      <w:tr w:rsidR="00481DF1" w:rsidRPr="004574B7" w14:paraId="548807CB" w14:textId="77777777" w:rsidTr="008E38BA">
        <w:trPr>
          <w:trHeight w:val="30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noWrap/>
            <w:hideMark/>
          </w:tcPr>
          <w:p w14:paraId="4C09E46A" w14:textId="77777777" w:rsidR="00481DF1" w:rsidRPr="004574B7" w:rsidRDefault="00481DF1" w:rsidP="000B19A5">
            <w:pPr>
              <w:spacing w:line="240" w:lineRule="auto"/>
              <w:rPr>
                <w:rFonts w:ascii="Calibri" w:hAnsi="Calibri" w:cs="Calibri"/>
                <w:color w:val="000000"/>
                <w:lang w:eastAsia="en-ZA"/>
              </w:rPr>
            </w:pPr>
            <w:r w:rsidRPr="004574B7">
              <w:rPr>
                <w:rFonts w:ascii="Calibri" w:hAnsi="Calibri" w:cs="Calibri"/>
                <w:color w:val="000000"/>
                <w:lang w:eastAsia="en-ZA"/>
              </w:rPr>
              <w:t>Potassium (K)</w:t>
            </w:r>
          </w:p>
        </w:tc>
        <w:tc>
          <w:tcPr>
            <w:tcW w:w="1701" w:type="dxa"/>
            <w:shd w:val="clear" w:color="auto" w:fill="auto"/>
            <w:noWrap/>
            <w:hideMark/>
          </w:tcPr>
          <w:p w14:paraId="328CA6FA" w14:textId="77777777" w:rsidR="00481DF1" w:rsidRPr="004574B7" w:rsidRDefault="00481DF1" w:rsidP="000B19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16,8</w:t>
            </w:r>
          </w:p>
        </w:tc>
        <w:tc>
          <w:tcPr>
            <w:tcW w:w="1843" w:type="dxa"/>
            <w:shd w:val="clear" w:color="auto" w:fill="auto"/>
            <w:noWrap/>
            <w:hideMark/>
          </w:tcPr>
          <w:p w14:paraId="58EE90F2" w14:textId="77777777" w:rsidR="00481DF1" w:rsidRPr="004574B7" w:rsidRDefault="00481DF1" w:rsidP="000B19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23,8</w:t>
            </w:r>
          </w:p>
        </w:tc>
        <w:tc>
          <w:tcPr>
            <w:tcW w:w="1843" w:type="dxa"/>
            <w:shd w:val="clear" w:color="auto" w:fill="auto"/>
            <w:noWrap/>
            <w:hideMark/>
          </w:tcPr>
          <w:p w14:paraId="533B82BB" w14:textId="77777777" w:rsidR="00481DF1" w:rsidRPr="004574B7" w:rsidRDefault="00481DF1" w:rsidP="000B19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22,7</w:t>
            </w:r>
          </w:p>
        </w:tc>
        <w:tc>
          <w:tcPr>
            <w:tcW w:w="1417" w:type="dxa"/>
            <w:shd w:val="clear" w:color="auto" w:fill="auto"/>
            <w:noWrap/>
            <w:hideMark/>
          </w:tcPr>
          <w:p w14:paraId="2D133293" w14:textId="77777777" w:rsidR="00481DF1" w:rsidRPr="004574B7" w:rsidRDefault="00481DF1" w:rsidP="000B19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mg/L</w:t>
            </w:r>
          </w:p>
        </w:tc>
      </w:tr>
      <w:tr w:rsidR="00481DF1" w:rsidRPr="004574B7" w14:paraId="6E15AD5B" w14:textId="77777777" w:rsidTr="008E38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noWrap/>
            <w:hideMark/>
          </w:tcPr>
          <w:p w14:paraId="019FE126" w14:textId="77777777" w:rsidR="00481DF1" w:rsidRPr="004574B7" w:rsidRDefault="00481DF1" w:rsidP="000B19A5">
            <w:pPr>
              <w:spacing w:line="240" w:lineRule="auto"/>
              <w:rPr>
                <w:rFonts w:ascii="Calibri" w:hAnsi="Calibri" w:cs="Calibri"/>
                <w:color w:val="000000"/>
                <w:lang w:eastAsia="en-ZA"/>
              </w:rPr>
            </w:pPr>
            <w:r w:rsidRPr="004574B7">
              <w:rPr>
                <w:rFonts w:ascii="Calibri" w:hAnsi="Calibri" w:cs="Calibri"/>
                <w:color w:val="000000"/>
                <w:lang w:eastAsia="en-ZA"/>
              </w:rPr>
              <w:t>Magnesium (Mg)</w:t>
            </w:r>
          </w:p>
        </w:tc>
        <w:tc>
          <w:tcPr>
            <w:tcW w:w="1701" w:type="dxa"/>
            <w:shd w:val="clear" w:color="auto" w:fill="auto"/>
            <w:noWrap/>
            <w:hideMark/>
          </w:tcPr>
          <w:p w14:paraId="6D8D1F95"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134</w:t>
            </w:r>
          </w:p>
        </w:tc>
        <w:tc>
          <w:tcPr>
            <w:tcW w:w="1843" w:type="dxa"/>
            <w:shd w:val="clear" w:color="auto" w:fill="auto"/>
            <w:noWrap/>
            <w:hideMark/>
          </w:tcPr>
          <w:p w14:paraId="5A017A7C"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299</w:t>
            </w:r>
          </w:p>
        </w:tc>
        <w:tc>
          <w:tcPr>
            <w:tcW w:w="1843" w:type="dxa"/>
            <w:shd w:val="clear" w:color="auto" w:fill="auto"/>
            <w:noWrap/>
            <w:hideMark/>
          </w:tcPr>
          <w:p w14:paraId="05C4C6E2"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136</w:t>
            </w:r>
          </w:p>
        </w:tc>
        <w:tc>
          <w:tcPr>
            <w:tcW w:w="1417" w:type="dxa"/>
            <w:shd w:val="clear" w:color="auto" w:fill="auto"/>
            <w:noWrap/>
            <w:hideMark/>
          </w:tcPr>
          <w:p w14:paraId="690E8BCA"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mg/L</w:t>
            </w:r>
          </w:p>
        </w:tc>
      </w:tr>
      <w:tr w:rsidR="00481DF1" w:rsidRPr="004574B7" w14:paraId="3A7A6B03" w14:textId="77777777" w:rsidTr="008E38BA">
        <w:trPr>
          <w:trHeight w:val="30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noWrap/>
            <w:hideMark/>
          </w:tcPr>
          <w:p w14:paraId="50A86841" w14:textId="77777777" w:rsidR="00481DF1" w:rsidRPr="004574B7" w:rsidRDefault="00481DF1" w:rsidP="000B19A5">
            <w:pPr>
              <w:spacing w:line="240" w:lineRule="auto"/>
              <w:rPr>
                <w:rFonts w:ascii="Calibri" w:hAnsi="Calibri" w:cs="Calibri"/>
                <w:color w:val="000000"/>
                <w:lang w:eastAsia="en-ZA"/>
              </w:rPr>
            </w:pPr>
            <w:r w:rsidRPr="004574B7">
              <w:rPr>
                <w:rFonts w:ascii="Calibri" w:hAnsi="Calibri" w:cs="Calibri"/>
                <w:color w:val="000000"/>
                <w:lang w:eastAsia="en-ZA"/>
              </w:rPr>
              <w:t>Sodium (Na)</w:t>
            </w:r>
          </w:p>
        </w:tc>
        <w:tc>
          <w:tcPr>
            <w:tcW w:w="1701" w:type="dxa"/>
            <w:shd w:val="clear" w:color="auto" w:fill="auto"/>
            <w:noWrap/>
            <w:hideMark/>
          </w:tcPr>
          <w:p w14:paraId="67B46A8A" w14:textId="77777777" w:rsidR="00481DF1" w:rsidRPr="004574B7" w:rsidRDefault="00481DF1" w:rsidP="000B19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191</w:t>
            </w:r>
          </w:p>
        </w:tc>
        <w:tc>
          <w:tcPr>
            <w:tcW w:w="1843" w:type="dxa"/>
            <w:shd w:val="clear" w:color="auto" w:fill="auto"/>
            <w:noWrap/>
            <w:hideMark/>
          </w:tcPr>
          <w:p w14:paraId="0F6823AD" w14:textId="77777777" w:rsidR="00481DF1" w:rsidRPr="004574B7" w:rsidRDefault="00481DF1" w:rsidP="000B19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214</w:t>
            </w:r>
          </w:p>
        </w:tc>
        <w:tc>
          <w:tcPr>
            <w:tcW w:w="1843" w:type="dxa"/>
            <w:shd w:val="clear" w:color="auto" w:fill="auto"/>
            <w:noWrap/>
            <w:hideMark/>
          </w:tcPr>
          <w:p w14:paraId="292D5AC6" w14:textId="77777777" w:rsidR="00481DF1" w:rsidRPr="004574B7" w:rsidRDefault="00481DF1" w:rsidP="000B19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164</w:t>
            </w:r>
          </w:p>
        </w:tc>
        <w:tc>
          <w:tcPr>
            <w:tcW w:w="1417" w:type="dxa"/>
            <w:shd w:val="clear" w:color="auto" w:fill="auto"/>
            <w:noWrap/>
            <w:hideMark/>
          </w:tcPr>
          <w:p w14:paraId="4C0016E0" w14:textId="77777777" w:rsidR="00481DF1" w:rsidRPr="004574B7" w:rsidRDefault="00481DF1" w:rsidP="000B19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mg/L</w:t>
            </w:r>
          </w:p>
        </w:tc>
      </w:tr>
      <w:tr w:rsidR="00481DF1" w:rsidRPr="004574B7" w14:paraId="5EC90252" w14:textId="77777777" w:rsidTr="008E38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noWrap/>
            <w:hideMark/>
          </w:tcPr>
          <w:p w14:paraId="0568318D" w14:textId="77777777" w:rsidR="00481DF1" w:rsidRPr="004574B7" w:rsidRDefault="00481DF1" w:rsidP="000B19A5">
            <w:pPr>
              <w:spacing w:line="240" w:lineRule="auto"/>
              <w:rPr>
                <w:rFonts w:ascii="Calibri" w:hAnsi="Calibri" w:cs="Calibri"/>
                <w:color w:val="000000"/>
                <w:lang w:eastAsia="en-ZA"/>
              </w:rPr>
            </w:pPr>
            <w:r w:rsidRPr="004574B7">
              <w:rPr>
                <w:rFonts w:ascii="Calibri" w:hAnsi="Calibri" w:cs="Calibri"/>
                <w:color w:val="000000"/>
                <w:lang w:eastAsia="en-ZA"/>
              </w:rPr>
              <w:t>Sulphate (</w:t>
            </w:r>
            <m:oMath>
              <m:sSubSup>
                <m:sSubSupPr>
                  <m:ctrlPr>
                    <w:rPr>
                      <w:rFonts w:ascii="Cambria Math" w:hAnsi="Cambria Math" w:cs="Calibri"/>
                      <w:color w:val="000000"/>
                      <w:lang w:eastAsia="en-ZA"/>
                    </w:rPr>
                  </m:ctrlPr>
                </m:sSubSupPr>
                <m:e>
                  <m:r>
                    <m:rPr>
                      <m:sty m:val="b"/>
                    </m:rPr>
                    <w:rPr>
                      <w:rFonts w:ascii="Cambria Math" w:hAnsi="Cambria Math" w:cs="Calibri"/>
                      <w:color w:val="000000"/>
                      <w:lang w:eastAsia="en-ZA"/>
                    </w:rPr>
                    <m:t>SO</m:t>
                  </m:r>
                </m:e>
                <m:sub>
                  <m:r>
                    <m:rPr>
                      <m:sty m:val="b"/>
                    </m:rPr>
                    <w:rPr>
                      <w:rFonts w:ascii="Cambria Math" w:hAnsi="Cambria Math" w:cs="Calibri"/>
                      <w:color w:val="000000"/>
                      <w:lang w:eastAsia="en-ZA"/>
                    </w:rPr>
                    <m:t>4</m:t>
                  </m:r>
                </m:sub>
                <m:sup>
                  <m:r>
                    <m:rPr>
                      <m:sty m:val="b"/>
                    </m:rPr>
                    <w:rPr>
                      <w:rFonts w:ascii="Cambria Math" w:hAnsi="Cambria Math" w:cs="Calibri"/>
                      <w:color w:val="000000"/>
                      <w:lang w:eastAsia="en-ZA"/>
                    </w:rPr>
                    <m:t>2-</m:t>
                  </m:r>
                </m:sup>
              </m:sSubSup>
            </m:oMath>
            <w:r w:rsidRPr="004574B7">
              <w:rPr>
                <w:rFonts w:ascii="Calibri" w:hAnsi="Calibri" w:cs="Calibri"/>
                <w:color w:val="000000"/>
                <w:lang w:eastAsia="en-ZA"/>
              </w:rPr>
              <w:t>)</w:t>
            </w:r>
          </w:p>
        </w:tc>
        <w:tc>
          <w:tcPr>
            <w:tcW w:w="1701" w:type="dxa"/>
            <w:shd w:val="clear" w:color="auto" w:fill="auto"/>
            <w:noWrap/>
            <w:hideMark/>
          </w:tcPr>
          <w:p w14:paraId="0941B170"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1320</w:t>
            </w:r>
          </w:p>
        </w:tc>
        <w:tc>
          <w:tcPr>
            <w:tcW w:w="1843" w:type="dxa"/>
            <w:shd w:val="clear" w:color="auto" w:fill="auto"/>
            <w:noWrap/>
            <w:hideMark/>
          </w:tcPr>
          <w:p w14:paraId="3840C68B"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2995</w:t>
            </w:r>
          </w:p>
        </w:tc>
        <w:tc>
          <w:tcPr>
            <w:tcW w:w="1843" w:type="dxa"/>
            <w:shd w:val="clear" w:color="auto" w:fill="auto"/>
            <w:noWrap/>
            <w:hideMark/>
          </w:tcPr>
          <w:p w14:paraId="280D8675"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1872</w:t>
            </w:r>
          </w:p>
        </w:tc>
        <w:tc>
          <w:tcPr>
            <w:tcW w:w="1417" w:type="dxa"/>
            <w:shd w:val="clear" w:color="auto" w:fill="auto"/>
            <w:noWrap/>
            <w:hideMark/>
          </w:tcPr>
          <w:p w14:paraId="29EC06AE" w14:textId="77777777" w:rsidR="00481DF1" w:rsidRPr="004574B7" w:rsidRDefault="00481DF1" w:rsidP="000B19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ZA"/>
              </w:rPr>
            </w:pPr>
            <w:r w:rsidRPr="004574B7">
              <w:rPr>
                <w:rFonts w:ascii="Calibri" w:hAnsi="Calibri" w:cs="Calibri"/>
                <w:color w:val="000000"/>
                <w:lang w:eastAsia="en-ZA"/>
              </w:rPr>
              <w:t>mg/L</w:t>
            </w:r>
          </w:p>
        </w:tc>
      </w:tr>
    </w:tbl>
    <w:p w14:paraId="448A1F08" w14:textId="77777777" w:rsidR="008E38BA" w:rsidRDefault="008E38BA" w:rsidP="00481DF1">
      <w:pPr>
        <w:pStyle w:val="CETBodytext"/>
      </w:pPr>
    </w:p>
    <w:tbl>
      <w:tblPr>
        <w:tblStyle w:val="TableGrid"/>
        <w:tblpPr w:leftFromText="180" w:rightFromText="180" w:vertAnchor="text" w:tblpY="8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390916" w14:paraId="710E91EE" w14:textId="77777777" w:rsidTr="00390916">
        <w:tc>
          <w:tcPr>
            <w:tcW w:w="4388" w:type="dxa"/>
          </w:tcPr>
          <w:p w14:paraId="327FB106" w14:textId="77777777" w:rsidR="00390916" w:rsidRDefault="00390916" w:rsidP="00390916">
            <w:pPr>
              <w:spacing w:line="480" w:lineRule="auto"/>
              <w:rPr>
                <w:rFonts w:cs="Arial"/>
                <w:sz w:val="24"/>
                <w:szCs w:val="24"/>
              </w:rPr>
            </w:pPr>
            <w:r>
              <w:rPr>
                <w:noProof/>
                <w:lang w:val="en-ZA" w:eastAsia="en-ZA"/>
              </w:rPr>
              <mc:AlternateContent>
                <mc:Choice Requires="wps">
                  <w:drawing>
                    <wp:anchor distT="0" distB="0" distL="114300" distR="114300" simplePos="0" relativeHeight="251659264" behindDoc="0" locked="0" layoutInCell="1" allowOverlap="1" wp14:anchorId="3635643B" wp14:editId="39530B1E">
                      <wp:simplePos x="0" y="0"/>
                      <wp:positionH relativeFrom="column">
                        <wp:posOffset>575945</wp:posOffset>
                      </wp:positionH>
                      <wp:positionV relativeFrom="paragraph">
                        <wp:posOffset>508000</wp:posOffset>
                      </wp:positionV>
                      <wp:extent cx="2077517" cy="714375"/>
                      <wp:effectExtent l="0" t="0" r="18415" b="28575"/>
                      <wp:wrapNone/>
                      <wp:docPr id="9" name="Rectangle 9"/>
                      <wp:cNvGraphicFramePr/>
                      <a:graphic xmlns:a="http://schemas.openxmlformats.org/drawingml/2006/main">
                        <a:graphicData uri="http://schemas.microsoft.com/office/word/2010/wordprocessingShape">
                          <wps:wsp>
                            <wps:cNvSpPr/>
                            <wps:spPr>
                              <a:xfrm>
                                <a:off x="0" y="0"/>
                                <a:ext cx="2077517" cy="714375"/>
                              </a:xfrm>
                              <a:prstGeom prst="rect">
                                <a:avLst/>
                              </a:prstGeom>
                              <a:solidFill>
                                <a:schemeClr val="accent6">
                                  <a:alpha val="41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04AAE" id="Rectangle 9" o:spid="_x0000_s1026" style="position:absolute;margin-left:45.35pt;margin-top:40pt;width:163.6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" fillcolor="#f79646 [3209]" strokecolor="#f79646 [3209]" strokeweight="2pt">
                      <v:fill opacity="26985f"/>
                    </v:rect>
                  </w:pict>
                </mc:Fallback>
              </mc:AlternateContent>
            </w:r>
            <w:r>
              <w:rPr>
                <w:noProof/>
                <w:lang w:val="en-ZA" w:eastAsia="en-ZA"/>
              </w:rPr>
              <mc:AlternateContent>
                <mc:Choice Requires="wps">
                  <w:drawing>
                    <wp:anchor distT="0" distB="0" distL="114300" distR="114300" simplePos="0" relativeHeight="251663360" behindDoc="0" locked="0" layoutInCell="1" allowOverlap="1" wp14:anchorId="41DE5604" wp14:editId="0996A24F">
                      <wp:simplePos x="0" y="0"/>
                      <wp:positionH relativeFrom="column">
                        <wp:posOffset>-71755</wp:posOffset>
                      </wp:positionH>
                      <wp:positionV relativeFrom="paragraph">
                        <wp:posOffset>2831948</wp:posOffset>
                      </wp:positionV>
                      <wp:extent cx="914400" cy="416966"/>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914400" cy="416966"/>
                              </a:xfrm>
                              <a:prstGeom prst="rect">
                                <a:avLst/>
                              </a:prstGeom>
                              <a:noFill/>
                              <a:ln w="6350">
                                <a:noFill/>
                              </a:ln>
                            </wps:spPr>
                            <wps:txbx>
                              <w:txbxContent>
                                <w:p w14:paraId="5F96E7D0" w14:textId="77777777" w:rsidR="00390916" w:rsidRPr="007D4DA8" w:rsidRDefault="00390916" w:rsidP="00390916">
                                  <w:pPr>
                                    <w:rPr>
                                      <w:b/>
                                      <w:bCs/>
                                      <w:sz w:val="52"/>
                                      <w:szCs w:val="52"/>
                                      <w:lang w:val="en-US"/>
                                    </w:rPr>
                                  </w:pPr>
                                  <w:r>
                                    <w:rPr>
                                      <w:b/>
                                      <w:bCs/>
                                      <w:sz w:val="52"/>
                                      <w:szCs w:val="52"/>
                                      <w:lang w:val="en-US"/>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DE5604" id="_x0000_t202" coordsize="21600,21600" o:spt="202" path="m,l,21600r21600,l21600,xe">
                      <v:stroke joinstyle="miter"/>
                      <v:path gradientshapeok="t" o:connecttype="rect"/>
                    </v:shapetype>
                    <v:shape id="Text Box 13" o:spid="_x0000_s1026" type="#_x0000_t202" style="position:absolute;left:0;text-align:left;margin-left:-5.65pt;margin-top:223pt;width:1in;height:32.8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" filled="f" stroked="f" strokeweight=".5pt">
                      <v:textbox>
                        <w:txbxContent>
                          <w:p w14:paraId="5F96E7D0" w14:textId="77777777" w:rsidR="00390916" w:rsidRPr="007D4DA8" w:rsidRDefault="00390916" w:rsidP="00390916">
                            <w:pPr>
                              <w:rPr>
                                <w:b/>
                                <w:bCs/>
                                <w:sz w:val="52"/>
                                <w:szCs w:val="52"/>
                                <w:lang w:val="en-US"/>
                              </w:rPr>
                            </w:pPr>
                            <w:r>
                              <w:rPr>
                                <w:b/>
                                <w:bCs/>
                                <w:sz w:val="52"/>
                                <w:szCs w:val="52"/>
                                <w:lang w:val="en-US"/>
                              </w:rPr>
                              <w:t>C</w:t>
                            </w:r>
                          </w:p>
                        </w:txbxContent>
                      </v:textbox>
                    </v:shape>
                  </w:pict>
                </mc:Fallback>
              </mc:AlternateContent>
            </w:r>
            <w:r>
              <w:rPr>
                <w:noProof/>
                <w:lang w:val="en-ZA" w:eastAsia="en-ZA"/>
              </w:rPr>
              <mc:AlternateContent>
                <mc:Choice Requires="wps">
                  <w:drawing>
                    <wp:anchor distT="0" distB="0" distL="114300" distR="114300" simplePos="0" relativeHeight="251661312" behindDoc="0" locked="0" layoutInCell="1" allowOverlap="1" wp14:anchorId="72DD75C8" wp14:editId="34FC65A1">
                      <wp:simplePos x="0" y="0"/>
                      <wp:positionH relativeFrom="column">
                        <wp:posOffset>-71755</wp:posOffset>
                      </wp:positionH>
                      <wp:positionV relativeFrom="paragraph">
                        <wp:posOffset>964</wp:posOffset>
                      </wp:positionV>
                      <wp:extent cx="914400" cy="416865"/>
                      <wp:effectExtent l="0" t="0" r="0" b="2540"/>
                      <wp:wrapNone/>
                      <wp:docPr id="11" name="Text Box 11"/>
                      <wp:cNvGraphicFramePr/>
                      <a:graphic xmlns:a="http://schemas.openxmlformats.org/drawingml/2006/main">
                        <a:graphicData uri="http://schemas.microsoft.com/office/word/2010/wordprocessingShape">
                          <wps:wsp>
                            <wps:cNvSpPr txBox="1"/>
                            <wps:spPr>
                              <a:xfrm>
                                <a:off x="0" y="0"/>
                                <a:ext cx="914400" cy="416865"/>
                              </a:xfrm>
                              <a:prstGeom prst="rect">
                                <a:avLst/>
                              </a:prstGeom>
                              <a:noFill/>
                              <a:ln w="6350">
                                <a:noFill/>
                              </a:ln>
                            </wps:spPr>
                            <wps:txbx>
                              <w:txbxContent>
                                <w:p w14:paraId="3B47F246" w14:textId="77777777" w:rsidR="00390916" w:rsidRPr="007D4DA8" w:rsidRDefault="00390916" w:rsidP="00390916">
                                  <w:pPr>
                                    <w:rPr>
                                      <w:b/>
                                      <w:bCs/>
                                      <w:sz w:val="52"/>
                                      <w:szCs w:val="52"/>
                                      <w:lang w:val="en-US"/>
                                    </w:rPr>
                                  </w:pPr>
                                  <w:r w:rsidRPr="007D4DA8">
                                    <w:rPr>
                                      <w:b/>
                                      <w:bCs/>
                                      <w:sz w:val="52"/>
                                      <w:szCs w:val="52"/>
                                      <w:lang w:val="en-US"/>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D75C8" id="Text Box 11" o:spid="_x0000_s1027" type="#_x0000_t202" style="position:absolute;left:0;text-align:left;margin-left:-5.65pt;margin-top:.1pt;width:1in;height:32.8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" filled="f" stroked="f" strokeweight=".5pt">
                      <v:textbox>
                        <w:txbxContent>
                          <w:p w14:paraId="3B47F246" w14:textId="77777777" w:rsidR="00390916" w:rsidRPr="007D4DA8" w:rsidRDefault="00390916" w:rsidP="00390916">
                            <w:pPr>
                              <w:rPr>
                                <w:b/>
                                <w:bCs/>
                                <w:sz w:val="52"/>
                                <w:szCs w:val="52"/>
                                <w:lang w:val="en-US"/>
                              </w:rPr>
                            </w:pPr>
                            <w:r w:rsidRPr="007D4DA8">
                              <w:rPr>
                                <w:b/>
                                <w:bCs/>
                                <w:sz w:val="52"/>
                                <w:szCs w:val="52"/>
                                <w:lang w:val="en-US"/>
                              </w:rPr>
                              <w:t>A</w:t>
                            </w:r>
                          </w:p>
                        </w:txbxContent>
                      </v:textbox>
                    </v:shape>
                  </w:pict>
                </mc:Fallback>
              </mc:AlternateContent>
            </w:r>
            <w:r>
              <w:rPr>
                <w:noProof/>
                <w:lang w:val="en-ZA" w:eastAsia="en-ZA"/>
              </w:rPr>
              <w:drawing>
                <wp:inline distT="0" distB="0" distL="0" distR="0" wp14:anchorId="51D3A196" wp14:editId="663ABE94">
                  <wp:extent cx="2823210" cy="2545690"/>
                  <wp:effectExtent l="0" t="0" r="0" b="7620"/>
                  <wp:docPr id="3" name="Chart 3">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389" w:type="dxa"/>
          </w:tcPr>
          <w:p w14:paraId="67B6F62A" w14:textId="77777777" w:rsidR="00390916" w:rsidRDefault="00390916" w:rsidP="00390916">
            <w:pPr>
              <w:spacing w:line="480" w:lineRule="auto"/>
              <w:rPr>
                <w:rFonts w:cs="Arial"/>
                <w:sz w:val="24"/>
                <w:szCs w:val="24"/>
              </w:rPr>
            </w:pPr>
            <w:r>
              <w:rPr>
                <w:noProof/>
                <w:lang w:val="en-ZA" w:eastAsia="en-ZA"/>
              </w:rPr>
              <mc:AlternateContent>
                <mc:Choice Requires="wps">
                  <w:drawing>
                    <wp:anchor distT="0" distB="0" distL="114300" distR="114300" simplePos="0" relativeHeight="251662336" behindDoc="0" locked="0" layoutInCell="1" allowOverlap="1" wp14:anchorId="526D500A" wp14:editId="46A479E2">
                      <wp:simplePos x="0" y="0"/>
                      <wp:positionH relativeFrom="column">
                        <wp:posOffset>-59791</wp:posOffset>
                      </wp:positionH>
                      <wp:positionV relativeFrom="paragraph">
                        <wp:posOffset>11760</wp:posOffset>
                      </wp:positionV>
                      <wp:extent cx="914400" cy="416865"/>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914400" cy="416865"/>
                              </a:xfrm>
                              <a:prstGeom prst="rect">
                                <a:avLst/>
                              </a:prstGeom>
                              <a:noFill/>
                              <a:ln w="6350">
                                <a:noFill/>
                              </a:ln>
                            </wps:spPr>
                            <wps:txbx>
                              <w:txbxContent>
                                <w:p w14:paraId="52264DDB" w14:textId="77777777" w:rsidR="00390916" w:rsidRPr="007D4DA8" w:rsidRDefault="00390916" w:rsidP="00390916">
                                  <w:pPr>
                                    <w:rPr>
                                      <w:b/>
                                      <w:bCs/>
                                      <w:sz w:val="52"/>
                                      <w:szCs w:val="52"/>
                                      <w:lang w:val="en-US"/>
                                    </w:rPr>
                                  </w:pPr>
                                  <w:r>
                                    <w:rPr>
                                      <w:b/>
                                      <w:bCs/>
                                      <w:sz w:val="52"/>
                                      <w:szCs w:val="52"/>
                                      <w:lang w:val="en-US"/>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D500A" id="Text Box 12" o:spid="_x0000_s1028" type="#_x0000_t202" style="position:absolute;left:0;text-align:left;margin-left:-4.7pt;margin-top:.95pt;width:1in;height:32.8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" filled="f" stroked="f" strokeweight=".5pt">
                      <v:textbox>
                        <w:txbxContent>
                          <w:p w14:paraId="52264DDB" w14:textId="77777777" w:rsidR="00390916" w:rsidRPr="007D4DA8" w:rsidRDefault="00390916" w:rsidP="00390916">
                            <w:pPr>
                              <w:rPr>
                                <w:b/>
                                <w:bCs/>
                                <w:sz w:val="52"/>
                                <w:szCs w:val="52"/>
                                <w:lang w:val="en-US"/>
                              </w:rPr>
                            </w:pPr>
                            <w:r>
                              <w:rPr>
                                <w:b/>
                                <w:bCs/>
                                <w:sz w:val="52"/>
                                <w:szCs w:val="52"/>
                                <w:lang w:val="en-US"/>
                              </w:rPr>
                              <w:t>B</w:t>
                            </w:r>
                          </w:p>
                        </w:txbxContent>
                      </v:textbox>
                    </v:shape>
                  </w:pict>
                </mc:Fallback>
              </mc:AlternateContent>
            </w:r>
            <w:r>
              <w:rPr>
                <w:noProof/>
                <w:lang w:val="en-ZA" w:eastAsia="en-ZA"/>
              </w:rPr>
              <w:drawing>
                <wp:inline distT="0" distB="0" distL="0" distR="0" wp14:anchorId="2EE49C4F" wp14:editId="134D47F0">
                  <wp:extent cx="2874645" cy="2435962"/>
                  <wp:effectExtent l="0" t="0" r="1905" b="2540"/>
                  <wp:docPr id="4" name="Chart 4">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90916" w14:paraId="28825B3D" w14:textId="77777777" w:rsidTr="00390916">
        <w:tc>
          <w:tcPr>
            <w:tcW w:w="4388" w:type="dxa"/>
          </w:tcPr>
          <w:p w14:paraId="57014E25" w14:textId="77777777" w:rsidR="00390916" w:rsidRDefault="00390916" w:rsidP="00390916">
            <w:pPr>
              <w:spacing w:line="480" w:lineRule="auto"/>
              <w:rPr>
                <w:rFonts w:cs="Arial"/>
                <w:sz w:val="24"/>
                <w:szCs w:val="24"/>
              </w:rPr>
            </w:pPr>
            <w:r>
              <w:rPr>
                <w:noProof/>
                <w:lang w:val="en-ZA" w:eastAsia="en-ZA"/>
              </w:rPr>
              <mc:AlternateContent>
                <mc:Choice Requires="wps">
                  <w:drawing>
                    <wp:anchor distT="0" distB="0" distL="114300" distR="114300" simplePos="0" relativeHeight="251660288" behindDoc="0" locked="0" layoutInCell="1" allowOverlap="1" wp14:anchorId="16CD6F5F" wp14:editId="6236574B">
                      <wp:simplePos x="0" y="0"/>
                      <wp:positionH relativeFrom="column">
                        <wp:posOffset>630504</wp:posOffset>
                      </wp:positionH>
                      <wp:positionV relativeFrom="paragraph">
                        <wp:posOffset>1345844</wp:posOffset>
                      </wp:positionV>
                      <wp:extent cx="2048104" cy="14631"/>
                      <wp:effectExtent l="0" t="0" r="28575" b="23495"/>
                      <wp:wrapNone/>
                      <wp:docPr id="10" name="Straight Connector 10"/>
                      <wp:cNvGraphicFramePr/>
                      <a:graphic xmlns:a="http://schemas.openxmlformats.org/drawingml/2006/main">
                        <a:graphicData uri="http://schemas.microsoft.com/office/word/2010/wordprocessingShape">
                          <wps:wsp>
                            <wps:cNvCnPr/>
                            <wps:spPr>
                              <a:xfrm flipV="1">
                                <a:off x="0" y="0"/>
                                <a:ext cx="2048104" cy="14631"/>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28B47"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05.95pt" to="210.9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" strokecolor="#f68c36 [3049]" strokeweight="1.5pt"/>
                  </w:pict>
                </mc:Fallback>
              </mc:AlternateContent>
            </w:r>
            <w:r>
              <w:rPr>
                <w:noProof/>
                <w:lang w:val="en-ZA" w:eastAsia="en-ZA"/>
              </w:rPr>
              <w:drawing>
                <wp:inline distT="0" distB="0" distL="0" distR="0" wp14:anchorId="59BFB289" wp14:editId="2A3106E4">
                  <wp:extent cx="2881630" cy="2515870"/>
                  <wp:effectExtent l="0" t="0" r="0" b="0"/>
                  <wp:docPr id="7" name="Chart 7">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389" w:type="dxa"/>
          </w:tcPr>
          <w:p w14:paraId="681FD6DA" w14:textId="77777777" w:rsidR="00390916" w:rsidRDefault="00390916" w:rsidP="00390916">
            <w:pPr>
              <w:spacing w:line="480" w:lineRule="auto"/>
              <w:rPr>
                <w:rFonts w:cs="Arial"/>
                <w:sz w:val="24"/>
                <w:szCs w:val="24"/>
              </w:rPr>
            </w:pPr>
            <w:r>
              <w:rPr>
                <w:noProof/>
                <w:lang w:val="en-ZA" w:eastAsia="en-ZA"/>
              </w:rPr>
              <mc:AlternateContent>
                <mc:Choice Requires="wps">
                  <w:drawing>
                    <wp:anchor distT="0" distB="0" distL="114300" distR="114300" simplePos="0" relativeHeight="251664384" behindDoc="0" locked="0" layoutInCell="1" allowOverlap="1" wp14:anchorId="35E2197E" wp14:editId="3DF8C73F">
                      <wp:simplePos x="0" y="0"/>
                      <wp:positionH relativeFrom="column">
                        <wp:posOffset>-67107</wp:posOffset>
                      </wp:positionH>
                      <wp:positionV relativeFrom="paragraph">
                        <wp:posOffset>3175</wp:posOffset>
                      </wp:positionV>
                      <wp:extent cx="914400" cy="416865"/>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914400" cy="416865"/>
                              </a:xfrm>
                              <a:prstGeom prst="rect">
                                <a:avLst/>
                              </a:prstGeom>
                              <a:noFill/>
                              <a:ln w="6350">
                                <a:noFill/>
                              </a:ln>
                            </wps:spPr>
                            <wps:txbx>
                              <w:txbxContent>
                                <w:p w14:paraId="2285B003" w14:textId="77777777" w:rsidR="00390916" w:rsidRPr="007D4DA8" w:rsidRDefault="00390916" w:rsidP="00390916">
                                  <w:pPr>
                                    <w:rPr>
                                      <w:b/>
                                      <w:bCs/>
                                      <w:sz w:val="52"/>
                                      <w:szCs w:val="52"/>
                                      <w:lang w:val="en-US"/>
                                    </w:rPr>
                                  </w:pPr>
                                  <w:r>
                                    <w:rPr>
                                      <w:b/>
                                      <w:bCs/>
                                      <w:sz w:val="52"/>
                                      <w:szCs w:val="52"/>
                                      <w:lang w:val="en-US"/>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2197E" id="Text Box 14" o:spid="_x0000_s1029" type="#_x0000_t202" style="position:absolute;left:0;text-align:left;margin-left:-5.3pt;margin-top:.25pt;width:1in;height:32.8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" filled="f" stroked="f" strokeweight=".5pt">
                      <v:textbox>
                        <w:txbxContent>
                          <w:p w14:paraId="2285B003" w14:textId="77777777" w:rsidR="00390916" w:rsidRPr="007D4DA8" w:rsidRDefault="00390916" w:rsidP="00390916">
                            <w:pPr>
                              <w:rPr>
                                <w:b/>
                                <w:bCs/>
                                <w:sz w:val="52"/>
                                <w:szCs w:val="52"/>
                                <w:lang w:val="en-US"/>
                              </w:rPr>
                            </w:pPr>
                            <w:r>
                              <w:rPr>
                                <w:b/>
                                <w:bCs/>
                                <w:sz w:val="52"/>
                                <w:szCs w:val="52"/>
                                <w:lang w:val="en-US"/>
                              </w:rPr>
                              <w:t>D</w:t>
                            </w:r>
                          </w:p>
                        </w:txbxContent>
                      </v:textbox>
                    </v:shape>
                  </w:pict>
                </mc:Fallback>
              </mc:AlternateContent>
            </w:r>
            <w:r>
              <w:rPr>
                <w:noProof/>
                <w:lang w:val="en-ZA" w:eastAsia="en-ZA"/>
              </w:rPr>
              <w:drawing>
                <wp:inline distT="0" distB="0" distL="0" distR="0" wp14:anchorId="0C0098E0" wp14:editId="0DF58CD0">
                  <wp:extent cx="2904134" cy="2600325"/>
                  <wp:effectExtent l="0" t="0" r="0" b="0"/>
                  <wp:docPr id="8" name="Chart 8">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390916" w14:paraId="3ACBC445" w14:textId="77777777" w:rsidTr="00390916">
        <w:tc>
          <w:tcPr>
            <w:tcW w:w="4388" w:type="dxa"/>
          </w:tcPr>
          <w:p w14:paraId="2BF2F82C" w14:textId="77777777" w:rsidR="00390916" w:rsidRDefault="00390916" w:rsidP="00390916">
            <w:pPr>
              <w:spacing w:line="480" w:lineRule="auto"/>
              <w:rPr>
                <w:rFonts w:cs="Arial"/>
                <w:sz w:val="24"/>
                <w:szCs w:val="24"/>
              </w:rPr>
            </w:pPr>
            <w:r>
              <w:rPr>
                <w:noProof/>
                <w:lang w:val="en-ZA" w:eastAsia="en-ZA"/>
              </w:rPr>
              <w:lastRenderedPageBreak/>
              <mc:AlternateContent>
                <mc:Choice Requires="wps">
                  <w:drawing>
                    <wp:anchor distT="0" distB="0" distL="114300" distR="114300" simplePos="0" relativeHeight="251665408" behindDoc="0" locked="0" layoutInCell="1" allowOverlap="1" wp14:anchorId="2027CD53" wp14:editId="31FCA0C0">
                      <wp:simplePos x="0" y="0"/>
                      <wp:positionH relativeFrom="column">
                        <wp:posOffset>-72187</wp:posOffset>
                      </wp:positionH>
                      <wp:positionV relativeFrom="paragraph">
                        <wp:posOffset>6350</wp:posOffset>
                      </wp:positionV>
                      <wp:extent cx="914400" cy="41686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914400" cy="416865"/>
                              </a:xfrm>
                              <a:prstGeom prst="rect">
                                <a:avLst/>
                              </a:prstGeom>
                              <a:noFill/>
                              <a:ln w="6350">
                                <a:noFill/>
                              </a:ln>
                            </wps:spPr>
                            <wps:txbx>
                              <w:txbxContent>
                                <w:p w14:paraId="7DBE3AAD" w14:textId="77777777" w:rsidR="00390916" w:rsidRPr="007D4DA8" w:rsidRDefault="00390916" w:rsidP="00390916">
                                  <w:pPr>
                                    <w:rPr>
                                      <w:b/>
                                      <w:bCs/>
                                      <w:sz w:val="52"/>
                                      <w:szCs w:val="52"/>
                                      <w:lang w:val="en-US"/>
                                    </w:rPr>
                                  </w:pPr>
                                  <w:r>
                                    <w:rPr>
                                      <w:b/>
                                      <w:bCs/>
                                      <w:sz w:val="52"/>
                                      <w:szCs w:val="52"/>
                                      <w:lang w:val="en-US"/>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7CD53" id="Text Box 15" o:spid="_x0000_s1030" type="#_x0000_t202" style="position:absolute;left:0;text-align:left;margin-left:-5.7pt;margin-top:.5pt;width:1in;height:32.8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" filled="f" stroked="f" strokeweight=".5pt">
                      <v:textbox>
                        <w:txbxContent>
                          <w:p w14:paraId="7DBE3AAD" w14:textId="77777777" w:rsidR="00390916" w:rsidRPr="007D4DA8" w:rsidRDefault="00390916" w:rsidP="00390916">
                            <w:pPr>
                              <w:rPr>
                                <w:b/>
                                <w:bCs/>
                                <w:sz w:val="52"/>
                                <w:szCs w:val="52"/>
                                <w:lang w:val="en-US"/>
                              </w:rPr>
                            </w:pPr>
                            <w:r>
                              <w:rPr>
                                <w:b/>
                                <w:bCs/>
                                <w:sz w:val="52"/>
                                <w:szCs w:val="52"/>
                                <w:lang w:val="en-US"/>
                              </w:rPr>
                              <w:t>E</w:t>
                            </w:r>
                          </w:p>
                        </w:txbxContent>
                      </v:textbox>
                    </v:shape>
                  </w:pict>
                </mc:Fallback>
              </mc:AlternateContent>
            </w:r>
            <w:r>
              <w:rPr>
                <w:noProof/>
                <w:lang w:val="en-ZA" w:eastAsia="en-ZA"/>
              </w:rPr>
              <w:drawing>
                <wp:inline distT="0" distB="0" distL="0" distR="0" wp14:anchorId="43AFB70C" wp14:editId="470E2445">
                  <wp:extent cx="2904134" cy="2604135"/>
                  <wp:effectExtent l="0" t="0" r="0" b="5715"/>
                  <wp:docPr id="17" name="Chart 17">
                    <a:extLst xmlns:a="http://schemas.openxmlformats.org/drawingml/2006/main">
                      <a:ext uri="{FF2B5EF4-FFF2-40B4-BE49-F238E27FC236}">
                        <a16:creationId xmlns:a16="http://schemas.microsoft.com/office/drawing/2014/main" id="{00000000-0008-0000-07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389" w:type="dxa"/>
          </w:tcPr>
          <w:p w14:paraId="23276EA0" w14:textId="77777777" w:rsidR="00390916" w:rsidRDefault="00390916" w:rsidP="00390916">
            <w:pPr>
              <w:spacing w:line="480" w:lineRule="auto"/>
              <w:rPr>
                <w:rFonts w:cs="Arial"/>
                <w:sz w:val="24"/>
                <w:szCs w:val="24"/>
              </w:rPr>
            </w:pPr>
            <w:r>
              <w:rPr>
                <w:noProof/>
                <w:lang w:val="en-ZA" w:eastAsia="en-ZA"/>
              </w:rPr>
              <mc:AlternateContent>
                <mc:Choice Requires="wps">
                  <w:drawing>
                    <wp:anchor distT="0" distB="0" distL="114300" distR="114300" simplePos="0" relativeHeight="251666432" behindDoc="0" locked="0" layoutInCell="1" allowOverlap="1" wp14:anchorId="04924DE7" wp14:editId="7BC33A6E">
                      <wp:simplePos x="0" y="0"/>
                      <wp:positionH relativeFrom="column">
                        <wp:posOffset>-67107</wp:posOffset>
                      </wp:positionH>
                      <wp:positionV relativeFrom="paragraph">
                        <wp:posOffset>-965</wp:posOffset>
                      </wp:positionV>
                      <wp:extent cx="914400" cy="416865"/>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914400" cy="416865"/>
                              </a:xfrm>
                              <a:prstGeom prst="rect">
                                <a:avLst/>
                              </a:prstGeom>
                              <a:noFill/>
                              <a:ln w="6350">
                                <a:noFill/>
                              </a:ln>
                            </wps:spPr>
                            <wps:txbx>
                              <w:txbxContent>
                                <w:p w14:paraId="05DE0C04" w14:textId="77777777" w:rsidR="00390916" w:rsidRPr="007D4DA8" w:rsidRDefault="00390916" w:rsidP="00390916">
                                  <w:pPr>
                                    <w:rPr>
                                      <w:b/>
                                      <w:bCs/>
                                      <w:sz w:val="52"/>
                                      <w:szCs w:val="52"/>
                                      <w:lang w:val="en-US"/>
                                    </w:rPr>
                                  </w:pPr>
                                  <w:r>
                                    <w:rPr>
                                      <w:b/>
                                      <w:bCs/>
                                      <w:sz w:val="52"/>
                                      <w:szCs w:val="52"/>
                                      <w:lang w:val="en-US"/>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24DE7" id="Text Box 16" o:spid="_x0000_s1031" type="#_x0000_t202" style="position:absolute;left:0;text-align:left;margin-left:-5.3pt;margin-top:-.1pt;width:1in;height:32.8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" filled="f" stroked="f" strokeweight=".5pt">
                      <v:textbox>
                        <w:txbxContent>
                          <w:p w14:paraId="05DE0C04" w14:textId="77777777" w:rsidR="00390916" w:rsidRPr="007D4DA8" w:rsidRDefault="00390916" w:rsidP="00390916">
                            <w:pPr>
                              <w:rPr>
                                <w:b/>
                                <w:bCs/>
                                <w:sz w:val="52"/>
                                <w:szCs w:val="52"/>
                                <w:lang w:val="en-US"/>
                              </w:rPr>
                            </w:pPr>
                            <w:r>
                              <w:rPr>
                                <w:b/>
                                <w:bCs/>
                                <w:sz w:val="52"/>
                                <w:szCs w:val="52"/>
                                <w:lang w:val="en-US"/>
                              </w:rPr>
                              <w:t>F</w:t>
                            </w:r>
                          </w:p>
                        </w:txbxContent>
                      </v:textbox>
                    </v:shape>
                  </w:pict>
                </mc:Fallback>
              </mc:AlternateContent>
            </w:r>
            <w:r>
              <w:rPr>
                <w:noProof/>
                <w:lang w:val="en-ZA" w:eastAsia="en-ZA"/>
              </w:rPr>
              <w:drawing>
                <wp:inline distT="0" distB="0" distL="0" distR="0" wp14:anchorId="0BA591EA" wp14:editId="69DB6C89">
                  <wp:extent cx="2860243" cy="2609850"/>
                  <wp:effectExtent l="0" t="0" r="0" b="0"/>
                  <wp:docPr id="18" name="Chart 18">
                    <a:extLst xmlns:a="http://schemas.openxmlformats.org/drawingml/2006/main">
                      <a:ext uri="{FF2B5EF4-FFF2-40B4-BE49-F238E27FC236}">
                        <a16:creationId xmlns:a16="http://schemas.microsoft.com/office/drawing/2014/main" id="{00000000-0008-0000-07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65A5E336" w14:textId="77777777" w:rsidR="00390916" w:rsidRPr="00481DF1" w:rsidRDefault="00390916" w:rsidP="00390916">
      <w:pPr>
        <w:pStyle w:val="CETCaption"/>
      </w:pPr>
      <w:r w:rsidRPr="00481DF1">
        <w:rPr>
          <w:bCs/>
        </w:rPr>
        <w:t>Figure 1:</w:t>
      </w:r>
      <w:r w:rsidRPr="00481DF1">
        <w:t xml:space="preserve"> AMD results of the three Witwatersran</w:t>
      </w:r>
      <w:r>
        <w:t xml:space="preserve">d basins with the SANS 241:2015 </w:t>
      </w:r>
      <w:r w:rsidRPr="00481DF1">
        <w:t>limits.</w:t>
      </w:r>
    </w:p>
    <w:p w14:paraId="1B9F9BC2" w14:textId="77777777" w:rsidR="00390916" w:rsidRDefault="00390916" w:rsidP="00481DF1">
      <w:pPr>
        <w:pStyle w:val="CETBodytext"/>
      </w:pPr>
    </w:p>
    <w:p w14:paraId="704159F8" w14:textId="452E487C" w:rsidR="008E38BA" w:rsidRDefault="00481DF1" w:rsidP="00481DF1">
      <w:pPr>
        <w:pStyle w:val="CETBodytext"/>
      </w:pPr>
      <w:r w:rsidRPr="00481DF1">
        <w:t>The results of the AMD water samples showed that the physical and chemical properties of the three basins (EB, CB and WB) are different.  As expected, the AMD sample with the lowest pH, CB, had the highest concentration of pollutants followed by the WB and EB.  In all the samples, calcium, magnesium, sodium and sulphate are above the limits of the South African standard for portable water, SANS 241:2015, which are 150 mg/L, 70 mg/L, 200 mg/L and 250-500 mg/L, respectively.</w:t>
      </w:r>
    </w:p>
    <w:p w14:paraId="03A1E32B" w14:textId="01D55598" w:rsidR="00481DF1" w:rsidRPr="00481DF1" w:rsidRDefault="00481DF1" w:rsidP="00481DF1">
      <w:pPr>
        <w:pStyle w:val="CETBodytext"/>
      </w:pPr>
      <w:r w:rsidRPr="00481DF1">
        <w:t xml:space="preserve">     </w:t>
      </w:r>
    </w:p>
    <w:p w14:paraId="31CD0874" w14:textId="5387C9E2" w:rsidR="00481DF1" w:rsidRDefault="00481DF1" w:rsidP="00481DF1">
      <w:pPr>
        <w:pStyle w:val="CETBodytext"/>
      </w:pPr>
      <w:r w:rsidRPr="00481DF1">
        <w:t>On the pH, only the EB sample is within the limit, 5,0-9,7 pH units and the other samples are very acidic.  The pH of all the samples w</w:t>
      </w:r>
      <w:r w:rsidR="00935D43">
        <w:t>ere</w:t>
      </w:r>
      <w:r w:rsidRPr="00481DF1">
        <w:t xml:space="preserve"> adjusted to within the standard limits at the lowest urea concentration, [U]/[M] ratio of 3.3, indicating the efficiency of the method in </w:t>
      </w:r>
      <w:proofErr w:type="spellStart"/>
      <w:r w:rsidRPr="00481DF1">
        <w:t>neutralising</w:t>
      </w:r>
      <w:proofErr w:type="spellEnd"/>
      <w:r w:rsidRPr="00481DF1">
        <w:t xml:space="preserve"> the AMD.  Beyond this concentration, the increase in the pH of the AMD from the three basins with increasing urea concentration was marginal, averaging at 8.8 pH units as shown in Figure </w:t>
      </w:r>
      <w:r w:rsidR="008E38BA">
        <w:t>1</w:t>
      </w:r>
      <w:r w:rsidRPr="00481DF1">
        <w:t xml:space="preserve">A.  It was interesting to observe the decrease in the sulphate concentration with increasing urea concentration (Figure </w:t>
      </w:r>
      <w:r w:rsidR="008E38BA">
        <w:t>1</w:t>
      </w:r>
      <w:r w:rsidRPr="00481DF1">
        <w:t>B).  The EB sample displayed the highest decrease, 50</w:t>
      </w:r>
      <w:r w:rsidR="008E38BA">
        <w:t xml:space="preserve"> </w:t>
      </w:r>
      <w:r w:rsidRPr="00481DF1">
        <w:t>% closest to the 500 mg/L standard limit, at the highest urea concentration, [U]/[M] of 10, while the CB and WB samples displayed 42</w:t>
      </w:r>
      <w:r w:rsidR="008E38BA">
        <w:t xml:space="preserve"> </w:t>
      </w:r>
      <w:r w:rsidRPr="00481DF1">
        <w:t>% and 38</w:t>
      </w:r>
      <w:r w:rsidR="008E38BA">
        <w:t xml:space="preserve"> </w:t>
      </w:r>
      <w:r w:rsidRPr="00481DF1">
        <w:t>% reduction, respectively.  The current technology employed at the three basins, HDS, removes the sulphate as gypsum (</w:t>
      </w:r>
      <m:oMath>
        <m:r>
          <m:rPr>
            <m:sty m:val="p"/>
          </m:rPr>
          <w:rPr>
            <w:rFonts w:ascii="Cambria Math" w:hAnsi="Cambria Math"/>
          </w:rPr>
          <m:t>Ca</m:t>
        </m:r>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eastAsiaTheme="minorEastAsia" w:hAnsi="Cambria Math"/>
          </w:rPr>
          <m:t>∙2</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oMath>
      <w:r w:rsidRPr="008E38BA">
        <w:t>)</w:t>
      </w:r>
      <w:r w:rsidRPr="00481DF1">
        <w:t xml:space="preserve"> and magnesium sulphate </w:t>
      </w:r>
      <w:r w:rsidRPr="008E38BA">
        <w:t>(</w:t>
      </w:r>
      <m:oMath>
        <m:r>
          <m:rPr>
            <m:sty m:val="p"/>
          </m:rPr>
          <w:rPr>
            <w:rFonts w:ascii="Cambria Math" w:hAnsi="Cambria Math"/>
          </w:rPr>
          <m:t>Mg</m:t>
        </m:r>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sidRPr="008E38BA">
        <w:t>).</w:t>
      </w:r>
      <w:r w:rsidRPr="00481DF1">
        <w:t xml:space="preserve">  However, the process still leaves high levels of sulphate in the final discharge, necessitating additional treatment technology to remove it to acceptable levels</w:t>
      </w:r>
      <w:sdt>
        <w:sdtPr>
          <w:id w:val="-1319804393"/>
          <w:citation/>
        </w:sdtPr>
        <w:sdtContent>
          <w:r w:rsidRPr="00481DF1">
            <w:fldChar w:fldCharType="begin"/>
          </w:r>
          <w:r w:rsidR="008E38BA">
            <w:instrText xml:space="preserve">CITATION Lou21 \l 7177 </w:instrText>
          </w:r>
          <w:r w:rsidRPr="00481DF1">
            <w:fldChar w:fldCharType="separate"/>
          </w:r>
          <w:r w:rsidR="00424E8A">
            <w:rPr>
              <w:noProof/>
            </w:rPr>
            <w:t xml:space="preserve"> (Lourenco &amp; Curtis, 2021)</w:t>
          </w:r>
          <w:r w:rsidRPr="00481DF1">
            <w:fldChar w:fldCharType="end"/>
          </w:r>
        </w:sdtContent>
      </w:sdt>
      <w:r w:rsidRPr="00481DF1">
        <w:t>.  A number of potential technologies have been proposed to address the sulphate removal, with majority of them only being at a laboratory investigation stage, with both advantages and disadvantages</w:t>
      </w:r>
      <w:sdt>
        <w:sdtPr>
          <w:id w:val="-930354237"/>
          <w:citation/>
        </w:sdtPr>
        <w:sdtContent>
          <w:r w:rsidRPr="00481DF1">
            <w:fldChar w:fldCharType="begin"/>
          </w:r>
          <w:r w:rsidRPr="00481DF1">
            <w:instrText xml:space="preserve"> CITATION Ash18 \l 7177 </w:instrText>
          </w:r>
          <w:r w:rsidRPr="00481DF1">
            <w:fldChar w:fldCharType="separate"/>
          </w:r>
          <w:r w:rsidR="00424E8A">
            <w:rPr>
              <w:noProof/>
            </w:rPr>
            <w:t xml:space="preserve"> (Ashane et al., 2018)</w:t>
          </w:r>
          <w:r w:rsidRPr="00481DF1">
            <w:fldChar w:fldCharType="end"/>
          </w:r>
        </w:sdtContent>
      </w:sdt>
      <w:r w:rsidRPr="00481DF1">
        <w:t xml:space="preserve">.  On the positive side, the Rhodes </w:t>
      </w:r>
      <w:proofErr w:type="spellStart"/>
      <w:r w:rsidRPr="00481DF1">
        <w:t>BioSURE</w:t>
      </w:r>
      <w:proofErr w:type="spellEnd"/>
      <w:r w:rsidRPr="00481DF1">
        <w:t xml:space="preserve"> process has been promoted to the pilot plant stage, removing sulphates to levels below 100 mg/L and its disadvantages being the generated sludge and </w:t>
      </w:r>
      <w:proofErr w:type="spellStart"/>
      <w:r w:rsidRPr="00481DF1">
        <w:t>sulphide</w:t>
      </w:r>
      <w:proofErr w:type="spellEnd"/>
      <w:r w:rsidRPr="00481DF1">
        <w:t xml:space="preserve"> gas as well as the limited availability of biomass to achieve these results</w:t>
      </w:r>
      <w:sdt>
        <w:sdtPr>
          <w:id w:val="-1041661867"/>
          <w:citation/>
        </w:sdtPr>
        <w:sdtContent>
          <w:r w:rsidRPr="00481DF1">
            <w:fldChar w:fldCharType="begin"/>
          </w:r>
          <w:r w:rsidRPr="00481DF1">
            <w:instrText xml:space="preserve"> CITATION Ros13 \l 7177 </w:instrText>
          </w:r>
          <w:r w:rsidRPr="00481DF1">
            <w:fldChar w:fldCharType="separate"/>
          </w:r>
          <w:r w:rsidR="00424E8A">
            <w:rPr>
              <w:noProof/>
            </w:rPr>
            <w:t xml:space="preserve"> (Rose, 2013)</w:t>
          </w:r>
          <w:r w:rsidRPr="00481DF1">
            <w:fldChar w:fldCharType="end"/>
          </w:r>
        </w:sdtContent>
      </w:sdt>
      <w:r w:rsidRPr="00481DF1">
        <w:t xml:space="preserve">.  On the circular economy approach, sulphate can be removed as </w:t>
      </w:r>
      <w:proofErr w:type="spellStart"/>
      <w:r w:rsidRPr="00481DF1">
        <w:t>sulphuric</w:t>
      </w:r>
      <w:proofErr w:type="spellEnd"/>
      <w:r w:rsidRPr="00481DF1">
        <w:t xml:space="preserve"> acid via a number of processes which are a subject of research as one example</w:t>
      </w:r>
      <w:sdt>
        <w:sdtPr>
          <w:id w:val="-918866805"/>
          <w:citation/>
        </w:sdtPr>
        <w:sdtContent>
          <w:r w:rsidRPr="00481DF1">
            <w:fldChar w:fldCharType="begin"/>
          </w:r>
          <w:r w:rsidRPr="00481DF1">
            <w:instrText xml:space="preserve"> CITATION Nai191 \l 7177 </w:instrText>
          </w:r>
          <w:r w:rsidRPr="00481DF1">
            <w:fldChar w:fldCharType="separate"/>
          </w:r>
          <w:r w:rsidR="00424E8A">
            <w:rPr>
              <w:noProof/>
            </w:rPr>
            <w:t xml:space="preserve"> (Naidu et al., 2019)</w:t>
          </w:r>
          <w:r w:rsidRPr="00481DF1">
            <w:fldChar w:fldCharType="end"/>
          </w:r>
        </w:sdtContent>
      </w:sdt>
      <w:r w:rsidRPr="00481DF1">
        <w:t xml:space="preserve">.  For this work, the results showed a promising trend, within a reasonable reaction time (3 h), on the removal of sulphate and the method needs to be </w:t>
      </w:r>
      <w:proofErr w:type="spellStart"/>
      <w:r w:rsidRPr="00481DF1">
        <w:t>optimised</w:t>
      </w:r>
      <w:proofErr w:type="spellEnd"/>
      <w:r w:rsidRPr="00481DF1">
        <w:t xml:space="preserve"> to reduce the sulphate to acceptable levels for targeted applications, e.g. agricultural uses</w:t>
      </w:r>
      <w:sdt>
        <w:sdtPr>
          <w:id w:val="418603111"/>
          <w:citation/>
        </w:sdtPr>
        <w:sdtContent>
          <w:r w:rsidRPr="00481DF1">
            <w:fldChar w:fldCharType="begin"/>
          </w:r>
          <w:r w:rsidR="008E38BA">
            <w:instrText xml:space="preserve">CITATION Che211 \l 7177 </w:instrText>
          </w:r>
          <w:r w:rsidRPr="00481DF1">
            <w:fldChar w:fldCharType="separate"/>
          </w:r>
          <w:r w:rsidR="00424E8A">
            <w:rPr>
              <w:noProof/>
            </w:rPr>
            <w:t xml:space="preserve"> (Chen et al., 2021)</w:t>
          </w:r>
          <w:r w:rsidRPr="00481DF1">
            <w:fldChar w:fldCharType="end"/>
          </w:r>
        </w:sdtContent>
      </w:sdt>
      <w:r w:rsidR="008E38BA">
        <w:t>.</w:t>
      </w:r>
    </w:p>
    <w:p w14:paraId="088A134E" w14:textId="0997C4BE" w:rsidR="00600535" w:rsidRPr="00481DF1" w:rsidRDefault="00481DF1" w:rsidP="00481DF1">
      <w:pPr>
        <w:pStyle w:val="CETBodytext"/>
      </w:pPr>
      <w:r w:rsidRPr="00481DF1">
        <w:t>Of all the contaminants, the method displayed the highest efficiency in removing calcium at an average of 98.7</w:t>
      </w:r>
      <w:r w:rsidR="008E38BA">
        <w:t xml:space="preserve"> </w:t>
      </w:r>
      <w:r w:rsidRPr="00481DF1">
        <w:t xml:space="preserve">%, well below the standard limit, for the three basins (Figure </w:t>
      </w:r>
      <w:r w:rsidR="008E38BA">
        <w:t>1</w:t>
      </w:r>
      <w:r w:rsidRPr="00481DF1">
        <w:t>C).  Calcium, together with magnesium are responsible for the hardness of water, with the major problem of its manifestation being scale formation which is a costly menace on infrastructure, both domestically and industrially</w:t>
      </w:r>
      <w:sdt>
        <w:sdtPr>
          <w:id w:val="874281106"/>
          <w:citation/>
        </w:sdtPr>
        <w:sdtContent>
          <w:r w:rsidRPr="00481DF1">
            <w:fldChar w:fldCharType="begin"/>
          </w:r>
          <w:r w:rsidR="008E38BA">
            <w:instrText xml:space="preserve">CITATION Let171 \l 7177 </w:instrText>
          </w:r>
          <w:r w:rsidRPr="00481DF1">
            <w:fldChar w:fldCharType="separate"/>
          </w:r>
          <w:r w:rsidR="00424E8A">
            <w:rPr>
              <w:noProof/>
            </w:rPr>
            <w:t xml:space="preserve"> (Lethea, 2017)</w:t>
          </w:r>
          <w:r w:rsidRPr="00481DF1">
            <w:fldChar w:fldCharType="end"/>
          </w:r>
        </w:sdtContent>
      </w:sdt>
      <w:r w:rsidRPr="00481DF1">
        <w:t>.  For agricultural applications, the South African Water Quality Guidelines does not specify the amount of calcium for irrigation, but specify the Target Water Quality Range (TWQR) of 0 - 1000 mg/L for livestock watering</w:t>
      </w:r>
      <w:sdt>
        <w:sdtPr>
          <w:id w:val="-987710678"/>
          <w:citation/>
        </w:sdtPr>
        <w:sdtContent>
          <w:r w:rsidRPr="00481DF1">
            <w:fldChar w:fldCharType="begin"/>
          </w:r>
          <w:r w:rsidR="008E38BA">
            <w:instrText xml:space="preserve">CITATION Dep96 \l 7177 </w:instrText>
          </w:r>
          <w:r w:rsidRPr="00481DF1">
            <w:fldChar w:fldCharType="separate"/>
          </w:r>
          <w:r w:rsidR="00424E8A">
            <w:rPr>
              <w:noProof/>
            </w:rPr>
            <w:t xml:space="preserve"> (Department of Water Affairs and Forestry, 1996a)</w:t>
          </w:r>
          <w:r w:rsidRPr="00481DF1">
            <w:fldChar w:fldCharType="end"/>
          </w:r>
        </w:sdtContent>
      </w:sdt>
      <w:r w:rsidRPr="00481DF1">
        <w:t xml:space="preserve">.  Similarly, with magnesium, 0 – 500 mg/L, which all the treated AMD samples comply to but do not meet the SANS 241:2015 standard (Figure </w:t>
      </w:r>
      <w:r w:rsidR="008E38BA">
        <w:t>1</w:t>
      </w:r>
      <w:r w:rsidRPr="00481DF1">
        <w:t xml:space="preserve">D).  On sodium, the results comply to the SANS 241:2015, a standard for portable water of 200 mg/L for all three samples at [U]/[M] of 10 (Figure </w:t>
      </w:r>
      <w:r w:rsidR="008E38BA">
        <w:t>1</w:t>
      </w:r>
      <w:r w:rsidRPr="00481DF1">
        <w:t xml:space="preserve">E).  The potassium in all the samples is below the standard’s limit, 50 mg/L (Figure </w:t>
      </w:r>
      <w:r w:rsidR="008E38BA">
        <w:t>1</w:t>
      </w:r>
      <w:r w:rsidRPr="00481DF1">
        <w:t xml:space="preserve">F).  The results highlight </w:t>
      </w:r>
      <w:r w:rsidRPr="00481DF1">
        <w:lastRenderedPageBreak/>
        <w:t>the urgent need for a rapid and vigorous update of the South African legislative framework to eliminate these inconsistencies and ambiguities with regards to standards and guidelines for wastewater treatment for re-use</w:t>
      </w:r>
      <w:sdt>
        <w:sdtPr>
          <w:id w:val="-1156915150"/>
          <w:citation/>
        </w:sdtPr>
        <w:sdtContent>
          <w:r w:rsidRPr="00481DF1">
            <w:fldChar w:fldCharType="begin"/>
          </w:r>
          <w:r w:rsidRPr="00481DF1">
            <w:instrText xml:space="preserve"> CITATION Gre19 \l 7177 </w:instrText>
          </w:r>
          <w:r w:rsidRPr="00481DF1">
            <w:fldChar w:fldCharType="separate"/>
          </w:r>
          <w:r w:rsidR="00424E8A">
            <w:rPr>
              <w:noProof/>
            </w:rPr>
            <w:t xml:space="preserve"> (Grewar, 2019)</w:t>
          </w:r>
          <w:r w:rsidRPr="00481DF1">
            <w:fldChar w:fldCharType="end"/>
          </w:r>
        </w:sdtContent>
      </w:sdt>
      <w:r>
        <w:t>.</w:t>
      </w:r>
    </w:p>
    <w:p w14:paraId="68D26B83" w14:textId="77777777" w:rsidR="00600535" w:rsidRPr="00B57B36" w:rsidRDefault="00600535" w:rsidP="00600535">
      <w:pPr>
        <w:pStyle w:val="CETHeading1"/>
        <w:rPr>
          <w:lang w:val="en-GB"/>
        </w:rPr>
      </w:pPr>
      <w:r w:rsidRPr="00B57B36">
        <w:rPr>
          <w:lang w:val="en-GB"/>
        </w:rPr>
        <w:t>Conclusions</w:t>
      </w:r>
    </w:p>
    <w:p w14:paraId="0056FE5B" w14:textId="7E13D9E8" w:rsidR="00230A07" w:rsidRDefault="00230A07" w:rsidP="00230A07">
      <w:pPr>
        <w:pStyle w:val="CETBodytext"/>
      </w:pPr>
      <w:r>
        <w:t xml:space="preserve">In this study, an environmentally benign urea hydrolysis approach was developed for the treatment of acid mine drainage from the Witwatersrand basins.  The method demonstrated to be effective in removing the AMD pollutants, </w:t>
      </w:r>
      <w:r w:rsidR="009F6332">
        <w:t xml:space="preserve">namely, </w:t>
      </w:r>
      <w:r>
        <w:t xml:space="preserve">divalent and monovalent cations as well as the sulphate anion.  The effectiveness of the method can be rated in the following </w:t>
      </w:r>
      <w:r w:rsidRPr="00230A07">
        <w:t xml:space="preserve">order </w:t>
      </w:r>
      <m:oMath>
        <m:sSup>
          <m:sSupPr>
            <m:ctrlPr>
              <w:rPr>
                <w:rFonts w:ascii="Cambria Math" w:hAnsi="Cambria Math"/>
              </w:rPr>
            </m:ctrlPr>
          </m:sSupPr>
          <m:e>
            <m:r>
              <m:rPr>
                <m:sty m:val="p"/>
              </m:rPr>
              <w:rPr>
                <w:rFonts w:ascii="Cambria Math" w:hAnsi="Cambria Math"/>
              </w:rPr>
              <m:t>Ca</m:t>
            </m:r>
          </m:e>
          <m:sup>
            <m:r>
              <m:rPr>
                <m:sty m:val="p"/>
              </m:rPr>
              <w:rPr>
                <w:rFonts w:ascii="Cambria Math" w:hAnsi="Cambria Math"/>
              </w:rPr>
              <m:t>2+</m:t>
            </m:r>
          </m:sup>
        </m:s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 xml:space="preserve"> &gt; </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r>
          <m:rPr>
            <m:sty m:val="p"/>
          </m:rPr>
          <w:rPr>
            <w:rFonts w:ascii="Cambria Math" w:hAnsi="Cambria Math"/>
          </w:rPr>
          <m:t xml:space="preserve"> &gt; </m:t>
        </m:r>
        <m:sSup>
          <m:sSupPr>
            <m:ctrlPr>
              <w:rPr>
                <w:rFonts w:ascii="Cambria Math" w:hAnsi="Cambria Math"/>
              </w:rPr>
            </m:ctrlPr>
          </m:sSupPr>
          <m:e>
            <m:r>
              <m:rPr>
                <m:sty m:val="p"/>
              </m:rPr>
              <w:rPr>
                <w:rFonts w:ascii="Cambria Math" w:hAnsi="Cambria Math"/>
              </w:rPr>
              <m:t>Mg</m:t>
            </m:r>
          </m:e>
          <m:sup>
            <m:r>
              <m:rPr>
                <m:sty m:val="p"/>
              </m:rPr>
              <w:rPr>
                <w:rFonts w:ascii="Cambria Math" w:hAnsi="Cambria Math"/>
              </w:rPr>
              <m:t>2+</m:t>
            </m:r>
          </m:sup>
        </m:sSup>
        <m:r>
          <m:rPr>
            <m:sty m:val="p"/>
          </m:rPr>
          <w:rPr>
            <w:rFonts w:ascii="Cambria Math" w:hAnsi="Cambria Math"/>
          </w:rPr>
          <m:t xml:space="preserve"> &gt; </m:t>
        </m:r>
        <m:sSup>
          <m:sSupPr>
            <m:ctrlPr>
              <w:rPr>
                <w:rFonts w:ascii="Cambria Math" w:hAnsi="Cambria Math"/>
              </w:rPr>
            </m:ctrlPr>
          </m:sSupPr>
          <m:e>
            <m:r>
              <m:rPr>
                <m:sty m:val="p"/>
              </m:rPr>
              <w:rPr>
                <w:rFonts w:ascii="Cambria Math" w:hAnsi="Cambria Math"/>
              </w:rPr>
              <m:t>Na</m:t>
            </m:r>
          </m:e>
          <m:sup>
            <m:r>
              <m:rPr>
                <m:sty m:val="p"/>
              </m:rPr>
              <w:rPr>
                <w:rFonts w:ascii="Cambria Math" w:hAnsi="Cambria Math"/>
              </w:rPr>
              <m:t>1+</m:t>
            </m:r>
          </m:sup>
        </m:sSup>
      </m:oMath>
      <w:r w:rsidRPr="00230A07">
        <w:rPr>
          <w:rFonts w:eastAsiaTheme="minorEastAsia"/>
        </w:rPr>
        <w:t>.</w:t>
      </w:r>
      <w:r>
        <w:t xml:space="preserve"> </w:t>
      </w:r>
      <w:r w:rsidR="003B08EA">
        <w:t xml:space="preserve">That is, more than 98% removal of calcium, up to 50% sulphates, as well as reduction of monovalent cations from the acid mine drainage of the three Witwatersrand basins in Gauteng, South Africa. </w:t>
      </w:r>
      <w:r>
        <w:t>The resulting water can be of use for the agricultural irrigation</w:t>
      </w:r>
      <w:r w:rsidR="00F40966">
        <w:t xml:space="preserve"> as it within the South African Target Water Quality Range for this application</w:t>
      </w:r>
      <w:r>
        <w:t>.</w:t>
      </w:r>
      <w:r w:rsidR="003B08EA">
        <w:t xml:space="preserve"> This paper proposes an environmentally benign and self-sustaining method of AMD treatment as no waste is generated in the process, only the calcium carbonate and water that can</w:t>
      </w:r>
      <w:r w:rsidR="00E8686E">
        <w:t xml:space="preserve"> be used to</w:t>
      </w:r>
      <w:r w:rsidR="003B08EA">
        <w:t xml:space="preserve"> generate revenue for the process. </w:t>
      </w:r>
    </w:p>
    <w:p w14:paraId="64D95EFA" w14:textId="77777777" w:rsidR="003B08EA" w:rsidRDefault="003B08EA" w:rsidP="00230A07">
      <w:pPr>
        <w:pStyle w:val="CETBodytext"/>
      </w:pPr>
    </w:p>
    <w:p w14:paraId="14E34F35" w14:textId="277B68A6" w:rsidR="00230A07" w:rsidRDefault="00600535" w:rsidP="00CA12FD">
      <w:pPr>
        <w:pStyle w:val="CETReference"/>
      </w:pPr>
      <w:r w:rsidRPr="00BF1A55">
        <w:rPr>
          <w:sz w:val="20"/>
        </w:rPr>
        <w:t>References</w:t>
      </w:r>
    </w:p>
    <w:sdt>
      <w:sdtPr>
        <w:rPr>
          <w:b w:val="0"/>
        </w:rPr>
        <w:id w:val="-1578816604"/>
        <w:docPartObj>
          <w:docPartGallery w:val="Bibliographies"/>
          <w:docPartUnique/>
        </w:docPartObj>
      </w:sdtPr>
      <w:sdtContent>
        <w:p w14:paraId="14E34F35" w14:textId="277B68A6" w:rsidR="00230A07" w:rsidRDefault="00230A07" w:rsidP="00CA12FD">
          <w:pPr>
            <w:pStyle w:val="CETReference"/>
          </w:pPr>
        </w:p>
        <w:sdt>
          <w:sdtPr>
            <w:id w:val="-573587230"/>
            <w:bibliography/>
          </w:sdtPr>
          <w:sdtContent>
            <w:p w14:paraId="1EFB1D7A" w14:textId="5CD956CE" w:rsidR="00424E8A" w:rsidRPr="00424E8A" w:rsidRDefault="00230A07" w:rsidP="00424E8A">
              <w:pPr>
                <w:pStyle w:val="CETReferencetext"/>
              </w:pPr>
              <w:r w:rsidRPr="00424E8A">
                <w:fldChar w:fldCharType="begin"/>
              </w:r>
              <w:r w:rsidRPr="00424E8A">
                <w:instrText xml:space="preserve"> BIBLIOGRAPHY </w:instrText>
              </w:r>
              <w:r w:rsidRPr="00424E8A">
                <w:fldChar w:fldCharType="separate"/>
              </w:r>
              <w:r w:rsidR="00424E8A" w:rsidRPr="00424E8A">
                <w:t xml:space="preserve">Ashane, W., Fernando, M., Ilankoon, I., Syed, T. H., &amp; Yellishetty, M. (2018). Challenges and opportunities in the removal of sulphate ions in contaminated mine water: A review. Minerals Engineering, 117, 74-90. </w:t>
              </w:r>
            </w:p>
            <w:p w14:paraId="22A693A2" w14:textId="18E40BCF" w:rsidR="00424E8A" w:rsidRPr="00424E8A" w:rsidRDefault="00424E8A" w:rsidP="00424E8A">
              <w:pPr>
                <w:pStyle w:val="CETReferencetext"/>
              </w:pPr>
              <w:r w:rsidRPr="00424E8A">
                <w:t xml:space="preserve">Chen, G., Ye, Y., Yao, N., Hu, N., Zhang, J., &amp; Huang, Y. (2021). A critical review of prevention, treatment, reuse, and resource recovery from acid mine drainage. Journal of Cleaner Production, 329, 1-21 (129666). </w:t>
              </w:r>
            </w:p>
            <w:p w14:paraId="6B7A7E2C" w14:textId="77777777" w:rsidR="00424E8A" w:rsidRPr="00424E8A" w:rsidRDefault="00424E8A" w:rsidP="00424E8A">
              <w:pPr>
                <w:pStyle w:val="CETReferencetext"/>
              </w:pPr>
              <w:r w:rsidRPr="00424E8A">
                <w:t>Department of Water Affairs and Forestry. (1996a). South African Water Quality Guidlines (second edition). Volume 4: Agricultural Use: Irrigation. Department of Water Affairs and Forestry.</w:t>
              </w:r>
            </w:p>
            <w:p w14:paraId="55475365" w14:textId="77777777" w:rsidR="00424E8A" w:rsidRPr="00424E8A" w:rsidRDefault="00424E8A" w:rsidP="00424E8A">
              <w:pPr>
                <w:pStyle w:val="CETReferencetext"/>
              </w:pPr>
              <w:r w:rsidRPr="00424E8A">
                <w:t>Digby Wells Environmental. (2012). Final Scoping Report for the Immediate and Short Term Interventions for the Treatment of Acid Mine Drainage (AMD) in the Western, Central and Eastern Basins of the Witwatersrand Gold Fields. Digby Wells Environmental.</w:t>
              </w:r>
            </w:p>
            <w:p w14:paraId="2C573BCF" w14:textId="7FA5B80C" w:rsidR="00424E8A" w:rsidRPr="00424E8A" w:rsidRDefault="00424E8A" w:rsidP="00424E8A">
              <w:pPr>
                <w:pStyle w:val="CETReferencetext"/>
              </w:pPr>
              <w:r w:rsidRPr="00424E8A">
                <w:t xml:space="preserve">Durand, J. (2012). The impact of gold mining on the Witwatersrand on the rivers and karst system of Gauteng and North West Province, South Africa. Journal of African Earth Science, 68, 24-43. </w:t>
              </w:r>
            </w:p>
            <w:p w14:paraId="299E402E" w14:textId="139298E0" w:rsidR="00424E8A" w:rsidRPr="00424E8A" w:rsidRDefault="00424E8A" w:rsidP="00424E8A">
              <w:pPr>
                <w:pStyle w:val="CETReferencetext"/>
              </w:pPr>
              <w:r w:rsidRPr="00424E8A">
                <w:t>Grewar, T. (2019). South Africa's options for mine impacted water re-use: A review. The Journal of the Southern Africa Institute of Mining and Metallurgy, 119, 321-331.</w:t>
              </w:r>
            </w:p>
            <w:p w14:paraId="3710DF3B" w14:textId="79FF8E3B" w:rsidR="00424E8A" w:rsidRPr="00424E8A" w:rsidRDefault="00424E8A" w:rsidP="00424E8A">
              <w:pPr>
                <w:pStyle w:val="CETReferencetext"/>
              </w:pPr>
              <w:r w:rsidRPr="00424E8A">
                <w:t>Hobbs, P. (2017). TDS load contribution from acid mine drainage to Hartebeespoort Dam, South Africa. Water SA, 43(4), 626-637.</w:t>
              </w:r>
            </w:p>
            <w:p w14:paraId="1D50AEF5" w14:textId="5C006ADD" w:rsidR="00424E8A" w:rsidRPr="00424E8A" w:rsidRDefault="00424E8A" w:rsidP="00424E8A">
              <w:pPr>
                <w:pStyle w:val="CETReferencetext"/>
              </w:pPr>
              <w:r w:rsidRPr="00424E8A">
                <w:t xml:space="preserve">Kefeni, K. K., Msagati, T. A., &amp; B., M. B. (2017). Acid mine drainage: Prevention, treatment options, and resource recovery: A review. Journal of Cleaner Production, 151, 475-493. </w:t>
              </w:r>
            </w:p>
            <w:p w14:paraId="3B549C49" w14:textId="77777777" w:rsidR="00424E8A" w:rsidRPr="00424E8A" w:rsidRDefault="00424E8A" w:rsidP="00424E8A">
              <w:pPr>
                <w:pStyle w:val="CETReferencetext"/>
              </w:pPr>
              <w:r w:rsidRPr="00424E8A">
                <w:t>Khumalo, R., &amp; Chirwa, E. (n.d.). A biomimetic synthesis of Aragonite Nanorods from Acid Mine Drainage (AMD) of the Witwatersrand basin in Gauteng, South Africa. Heliyon, 1-30.</w:t>
              </w:r>
            </w:p>
            <w:p w14:paraId="37FC6799" w14:textId="17107CD3" w:rsidR="00424E8A" w:rsidRDefault="00424E8A" w:rsidP="00424E8A">
              <w:pPr>
                <w:pStyle w:val="CETReferencetext"/>
              </w:pPr>
              <w:r w:rsidRPr="00424E8A">
                <w:t xml:space="preserve">Lethea, L. (2017). Impact of water hardness on energy consumption of geyser heating elements. Water SA, 43(4), 614-625. </w:t>
              </w:r>
            </w:p>
            <w:p w14:paraId="7A0B01FD" w14:textId="0ECE9D76" w:rsidR="003B08EA" w:rsidRPr="00424E8A" w:rsidRDefault="003B08EA" w:rsidP="00424E8A">
              <w:pPr>
                <w:pStyle w:val="CETReferencetext"/>
              </w:pPr>
              <w:proofErr w:type="spellStart"/>
              <w:r>
                <w:t>Lorio</w:t>
              </w:r>
              <w:proofErr w:type="spellEnd"/>
              <w:r>
                <w:t xml:space="preserve">, C. T., </w:t>
              </w:r>
              <w:proofErr w:type="spellStart"/>
              <w:r>
                <w:t>Orbecido</w:t>
              </w:r>
              <w:proofErr w:type="spellEnd"/>
              <w:r>
                <w:t xml:space="preserve">, A. H., </w:t>
              </w:r>
              <w:proofErr w:type="spellStart"/>
              <w:r>
                <w:t>Promentilla</w:t>
              </w:r>
              <w:proofErr w:type="spellEnd"/>
              <w:r>
                <w:t xml:space="preserve">, M. A. B., &amp; </w:t>
              </w:r>
              <w:proofErr w:type="spellStart"/>
              <w:r>
                <w:t>Tabelin</w:t>
              </w:r>
              <w:proofErr w:type="spellEnd"/>
              <w:r>
                <w:t xml:space="preserve">, C. B. (2022). Selection of the Optimum Active Treatment Technology for Acid Mine Drainage (AMD) Using Analytical Hierarchy Process. Chemical Engineering Transactions, 94, 931-936. </w:t>
              </w:r>
            </w:p>
            <w:p w14:paraId="691F3292" w14:textId="6E916AA3" w:rsidR="00424E8A" w:rsidRPr="00424E8A" w:rsidRDefault="00424E8A" w:rsidP="00424E8A">
              <w:pPr>
                <w:pStyle w:val="CETReferencetext"/>
              </w:pPr>
              <w:r w:rsidRPr="00424E8A">
                <w:t xml:space="preserve">Lourenco, M., &amp; Curtis, C. (2021). The influence of a high-density sludge acid mine drainage (AMD) chemical treatment plant on water quality along the Blesbokspruit Wetland, South Africa. Water SA, 47(1), 35-44. </w:t>
              </w:r>
            </w:p>
            <w:p w14:paraId="6CE3EAA5" w14:textId="646E9A32" w:rsidR="00424E8A" w:rsidRPr="00424E8A" w:rsidRDefault="00424E8A" w:rsidP="00424E8A">
              <w:pPr>
                <w:pStyle w:val="CETReferencetext"/>
              </w:pPr>
              <w:r w:rsidRPr="00424E8A">
                <w:t xml:space="preserve">Mhlongo, S., &amp; Amponsah-Dacosta, F. (2016). A review of problems and solutions of abondoned mines in South Africa. International Journal of Mining, Reclamation and Environment, 30(4), 279-294. </w:t>
              </w:r>
            </w:p>
            <w:p w14:paraId="7EADB373" w14:textId="021E6BCD" w:rsidR="00424E8A" w:rsidRPr="00424E8A" w:rsidRDefault="00424E8A" w:rsidP="00424E8A">
              <w:pPr>
                <w:pStyle w:val="CETReferencetext"/>
              </w:pPr>
              <w:r w:rsidRPr="00424E8A">
                <w:t xml:space="preserve">Moodley, I., Sheridan, C., Kappelmeyer, U., &amp; Akcil, A. (2018). Environmentally sustainable acid mine drainage remediation: Research developments with focus on waste/by-products. Minerals Engineering, 126, 207-220. </w:t>
              </w:r>
            </w:p>
            <w:p w14:paraId="68CA3830" w14:textId="641A3FB5" w:rsidR="00424E8A" w:rsidRPr="00424E8A" w:rsidRDefault="00424E8A" w:rsidP="00424E8A">
              <w:pPr>
                <w:pStyle w:val="CETReferencetext"/>
              </w:pPr>
              <w:r w:rsidRPr="00424E8A">
                <w:t xml:space="preserve">Naidu, G., Ryu, S., Thiruvenkatachari, R., Choi, Y., Jeong, S., &amp; Vigneswaran, S. (2019). A critical review on remediation, reuse, and resource recovery from acid mine drainage. Environmental Pollution, 247, 1110-1124. </w:t>
              </w:r>
            </w:p>
            <w:p w14:paraId="30DA7B8E" w14:textId="5E0AF159" w:rsidR="00424E8A" w:rsidRPr="00424E8A" w:rsidRDefault="00424E8A" w:rsidP="00424E8A">
              <w:pPr>
                <w:pStyle w:val="CETReferencetext"/>
              </w:pPr>
              <w:r w:rsidRPr="00424E8A">
                <w:t xml:space="preserve">Rodrigues-Galan, M., Baena-Moreno, F. M., Vazquez, S., Arroyo-Torralvo, F., Vilches, L. F., &amp; Zhang, Z. (2019). Remediation of acid mine drainage. Envirnmental Chemistry Letters, 17, 1529-1538. </w:t>
              </w:r>
            </w:p>
            <w:p w14:paraId="48C2C290" w14:textId="64D9D812" w:rsidR="00424E8A" w:rsidRPr="00424E8A" w:rsidRDefault="00424E8A" w:rsidP="00424E8A">
              <w:pPr>
                <w:pStyle w:val="CETReferencetext"/>
              </w:pPr>
              <w:r w:rsidRPr="00424E8A">
                <w:t xml:space="preserve">Roffe, S., Fitchett, J., &amp; Curtis, C. (2019). Classifying and mapping rainfall seasonality in South Africa: a review. South African Geographical Journal, 101(2), 158-174. </w:t>
              </w:r>
            </w:p>
            <w:p w14:paraId="72AEEF31" w14:textId="1443043B" w:rsidR="00424E8A" w:rsidRPr="00424E8A" w:rsidRDefault="00424E8A" w:rsidP="00424E8A">
              <w:pPr>
                <w:pStyle w:val="CETReferencetext"/>
              </w:pPr>
              <w:r w:rsidRPr="00424E8A">
                <w:t xml:space="preserve">Rose, P. (2013). Long-term sustainability in the management of acid mine drainage wastewaters - development of the Rhodes BioSURE Process. Water SA, 39(5), 583-592. </w:t>
              </w:r>
            </w:p>
            <w:p w14:paraId="3C1B25AF" w14:textId="77777777" w:rsidR="00424E8A" w:rsidRPr="00424E8A" w:rsidRDefault="00424E8A" w:rsidP="00424E8A">
              <w:pPr>
                <w:pStyle w:val="CETReferencetext"/>
              </w:pPr>
              <w:r w:rsidRPr="00424E8A">
                <w:lastRenderedPageBreak/>
                <w:t>Subrt, J. (2012). Homogeneous precipitation with Urea: A versatile way to metal oxide nanoparticles. In C. M. Munoz, &amp; A. M. Fernandez, Urea: Synthesis, Properties and Uses (pp. 109-148). New York: Nova Science Publishers, Inc.</w:t>
              </w:r>
            </w:p>
            <w:p w14:paraId="78818037" w14:textId="6A060F2B" w:rsidR="00424E8A" w:rsidRPr="00424E8A" w:rsidRDefault="00424E8A" w:rsidP="00424E8A">
              <w:pPr>
                <w:pStyle w:val="CETReferencetext"/>
              </w:pPr>
              <w:r w:rsidRPr="00424E8A">
                <w:t xml:space="preserve">Wibowo, Y. G., Fadhilah, R., Syarifuddin, H., Maryani, A. T., &amp; Putri, I. A. (2021). A Critical Review of Acid Mine Drainage Treatment. Journal Presipitasi: Media Komunikasi dan Pengembagan Teknik Lingkungan, 18(3), 524-535. </w:t>
              </w:r>
            </w:p>
            <w:p w14:paraId="1B20AF6D" w14:textId="0580C642" w:rsidR="00424E8A" w:rsidRPr="00424E8A" w:rsidRDefault="00424E8A" w:rsidP="00424E8A">
              <w:pPr>
                <w:pStyle w:val="CETReferencetext"/>
              </w:pPr>
              <w:r w:rsidRPr="00424E8A">
                <w:t xml:space="preserve">Zhang, M., Huang, C., Ni, J., &amp; Yue, S. (2023). Global trends and future prospects of acid mine drainage research. Environmental Science and Pollution Research, 30, 109233-109249. </w:t>
              </w:r>
            </w:p>
            <w:p w14:paraId="58324153" w14:textId="1E5E57CC" w:rsidR="00230A07" w:rsidRDefault="00230A07" w:rsidP="00424E8A">
              <w:pPr>
                <w:pStyle w:val="CETReferencetext"/>
              </w:pPr>
              <w:r w:rsidRPr="00424E8A">
                <w:fldChar w:fldCharType="end"/>
              </w:r>
            </w:p>
          </w:sdtContent>
        </w:sdt>
      </w:sdtContent>
    </w:sdt>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60EC" w14:textId="77777777" w:rsidR="0061237F" w:rsidRDefault="0061237F" w:rsidP="004F5E36">
      <w:r>
        <w:separator/>
      </w:r>
    </w:p>
  </w:endnote>
  <w:endnote w:type="continuationSeparator" w:id="0">
    <w:p w14:paraId="58837DA5" w14:textId="77777777" w:rsidR="0061237F" w:rsidRDefault="006123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A316" w14:textId="77777777" w:rsidR="0061237F" w:rsidRDefault="0061237F" w:rsidP="004F5E36">
      <w:r>
        <w:separator/>
      </w:r>
    </w:p>
  </w:footnote>
  <w:footnote w:type="continuationSeparator" w:id="0">
    <w:p w14:paraId="06860C16" w14:textId="77777777" w:rsidR="0061237F" w:rsidRDefault="0061237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8027242">
    <w:abstractNumId w:val="10"/>
  </w:num>
  <w:num w:numId="2" w16cid:durableId="1000237746">
    <w:abstractNumId w:val="8"/>
  </w:num>
  <w:num w:numId="3" w16cid:durableId="1749813117">
    <w:abstractNumId w:val="3"/>
  </w:num>
  <w:num w:numId="4" w16cid:durableId="1386098131">
    <w:abstractNumId w:val="2"/>
  </w:num>
  <w:num w:numId="5" w16cid:durableId="1924608075">
    <w:abstractNumId w:val="1"/>
  </w:num>
  <w:num w:numId="6" w16cid:durableId="1323654142">
    <w:abstractNumId w:val="0"/>
  </w:num>
  <w:num w:numId="7" w16cid:durableId="1569923586">
    <w:abstractNumId w:val="9"/>
  </w:num>
  <w:num w:numId="8" w16cid:durableId="1848901795">
    <w:abstractNumId w:val="7"/>
  </w:num>
  <w:num w:numId="9" w16cid:durableId="1970282574">
    <w:abstractNumId w:val="6"/>
  </w:num>
  <w:num w:numId="10" w16cid:durableId="1978949992">
    <w:abstractNumId w:val="5"/>
  </w:num>
  <w:num w:numId="11" w16cid:durableId="463154892">
    <w:abstractNumId w:val="4"/>
  </w:num>
  <w:num w:numId="12" w16cid:durableId="223297634">
    <w:abstractNumId w:val="17"/>
  </w:num>
  <w:num w:numId="13" w16cid:durableId="1922135055">
    <w:abstractNumId w:val="12"/>
  </w:num>
  <w:num w:numId="14" w16cid:durableId="713700438">
    <w:abstractNumId w:val="18"/>
  </w:num>
  <w:num w:numId="15" w16cid:durableId="2028017791">
    <w:abstractNumId w:val="20"/>
  </w:num>
  <w:num w:numId="16" w16cid:durableId="1924217994">
    <w:abstractNumId w:val="19"/>
  </w:num>
  <w:num w:numId="17" w16cid:durableId="190344658">
    <w:abstractNumId w:val="11"/>
  </w:num>
  <w:num w:numId="18" w16cid:durableId="1181890113">
    <w:abstractNumId w:val="12"/>
    <w:lvlOverride w:ilvl="0">
      <w:startOverride w:val="1"/>
    </w:lvlOverride>
  </w:num>
  <w:num w:numId="19" w16cid:durableId="329257361">
    <w:abstractNumId w:val="16"/>
  </w:num>
  <w:num w:numId="20" w16cid:durableId="1576745450">
    <w:abstractNumId w:val="15"/>
  </w:num>
  <w:num w:numId="21" w16cid:durableId="602611015">
    <w:abstractNumId w:val="14"/>
  </w:num>
  <w:num w:numId="22" w16cid:durableId="804740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56F74"/>
    <w:rsid w:val="00164CF9"/>
    <w:rsid w:val="001667A6"/>
    <w:rsid w:val="00184AD6"/>
    <w:rsid w:val="001A4AF7"/>
    <w:rsid w:val="001B0349"/>
    <w:rsid w:val="001B1E93"/>
    <w:rsid w:val="001B2877"/>
    <w:rsid w:val="001B65C1"/>
    <w:rsid w:val="001C684B"/>
    <w:rsid w:val="001D0CFB"/>
    <w:rsid w:val="001D21AF"/>
    <w:rsid w:val="001D53FC"/>
    <w:rsid w:val="001F42A5"/>
    <w:rsid w:val="001F7B9D"/>
    <w:rsid w:val="00201C93"/>
    <w:rsid w:val="002224B4"/>
    <w:rsid w:val="00230A07"/>
    <w:rsid w:val="002447EF"/>
    <w:rsid w:val="00251550"/>
    <w:rsid w:val="00263B05"/>
    <w:rsid w:val="0027221A"/>
    <w:rsid w:val="00275B61"/>
    <w:rsid w:val="00280FAF"/>
    <w:rsid w:val="00282656"/>
    <w:rsid w:val="00296B83"/>
    <w:rsid w:val="002B4015"/>
    <w:rsid w:val="002B78CE"/>
    <w:rsid w:val="002C2FB6"/>
    <w:rsid w:val="002D1DAD"/>
    <w:rsid w:val="002E5FA7"/>
    <w:rsid w:val="002F3309"/>
    <w:rsid w:val="003008CE"/>
    <w:rsid w:val="003009B7"/>
    <w:rsid w:val="00300E56"/>
    <w:rsid w:val="0030152C"/>
    <w:rsid w:val="0030469C"/>
    <w:rsid w:val="0031592D"/>
    <w:rsid w:val="00321CA6"/>
    <w:rsid w:val="00323763"/>
    <w:rsid w:val="00323C5F"/>
    <w:rsid w:val="003327CB"/>
    <w:rsid w:val="00334C09"/>
    <w:rsid w:val="00347470"/>
    <w:rsid w:val="003723D4"/>
    <w:rsid w:val="00381905"/>
    <w:rsid w:val="00384CC8"/>
    <w:rsid w:val="003871FD"/>
    <w:rsid w:val="00390916"/>
    <w:rsid w:val="003A1E30"/>
    <w:rsid w:val="003A2829"/>
    <w:rsid w:val="003A6FC6"/>
    <w:rsid w:val="003A7D1C"/>
    <w:rsid w:val="003B08EA"/>
    <w:rsid w:val="003B304B"/>
    <w:rsid w:val="003B3146"/>
    <w:rsid w:val="003F015E"/>
    <w:rsid w:val="003F7297"/>
    <w:rsid w:val="00400414"/>
    <w:rsid w:val="0041446B"/>
    <w:rsid w:val="0042323B"/>
    <w:rsid w:val="00424E8A"/>
    <w:rsid w:val="0044071E"/>
    <w:rsid w:val="0044329C"/>
    <w:rsid w:val="00453E24"/>
    <w:rsid w:val="00457456"/>
    <w:rsid w:val="004577FE"/>
    <w:rsid w:val="00457B9C"/>
    <w:rsid w:val="0046164A"/>
    <w:rsid w:val="004628D2"/>
    <w:rsid w:val="00462DCD"/>
    <w:rsid w:val="004648AD"/>
    <w:rsid w:val="004703A9"/>
    <w:rsid w:val="004703E2"/>
    <w:rsid w:val="004760DE"/>
    <w:rsid w:val="004761E9"/>
    <w:rsid w:val="004763D7"/>
    <w:rsid w:val="00481DF1"/>
    <w:rsid w:val="004A004E"/>
    <w:rsid w:val="004A24CF"/>
    <w:rsid w:val="004C3D1D"/>
    <w:rsid w:val="004C3D84"/>
    <w:rsid w:val="004C7913"/>
    <w:rsid w:val="004E4DD6"/>
    <w:rsid w:val="004F5E36"/>
    <w:rsid w:val="00507B47"/>
    <w:rsid w:val="00507BEF"/>
    <w:rsid w:val="00507CC9"/>
    <w:rsid w:val="005119A5"/>
    <w:rsid w:val="00516AAC"/>
    <w:rsid w:val="005278B7"/>
    <w:rsid w:val="00532016"/>
    <w:rsid w:val="005346C8"/>
    <w:rsid w:val="00543E7D"/>
    <w:rsid w:val="00547A68"/>
    <w:rsid w:val="00552ABE"/>
    <w:rsid w:val="005531C9"/>
    <w:rsid w:val="00564F66"/>
    <w:rsid w:val="00570C43"/>
    <w:rsid w:val="005B2110"/>
    <w:rsid w:val="005B61E6"/>
    <w:rsid w:val="005C77E1"/>
    <w:rsid w:val="005D668A"/>
    <w:rsid w:val="005D6A2F"/>
    <w:rsid w:val="005E1A82"/>
    <w:rsid w:val="005E794C"/>
    <w:rsid w:val="005F0A28"/>
    <w:rsid w:val="005F0E5E"/>
    <w:rsid w:val="00600535"/>
    <w:rsid w:val="00610CD6"/>
    <w:rsid w:val="0061237F"/>
    <w:rsid w:val="00612C50"/>
    <w:rsid w:val="00620DEE"/>
    <w:rsid w:val="00621F92"/>
    <w:rsid w:val="0062280A"/>
    <w:rsid w:val="00625639"/>
    <w:rsid w:val="00631B33"/>
    <w:rsid w:val="0064184D"/>
    <w:rsid w:val="006422CC"/>
    <w:rsid w:val="00660056"/>
    <w:rsid w:val="00660E3E"/>
    <w:rsid w:val="00662E74"/>
    <w:rsid w:val="00680C23"/>
    <w:rsid w:val="00693766"/>
    <w:rsid w:val="00693B3B"/>
    <w:rsid w:val="006A3281"/>
    <w:rsid w:val="006B4888"/>
    <w:rsid w:val="006C2E45"/>
    <w:rsid w:val="006C359C"/>
    <w:rsid w:val="006C5579"/>
    <w:rsid w:val="006D6E8B"/>
    <w:rsid w:val="006E737D"/>
    <w:rsid w:val="006F4E7C"/>
    <w:rsid w:val="00707E32"/>
    <w:rsid w:val="00713973"/>
    <w:rsid w:val="00720A24"/>
    <w:rsid w:val="00723169"/>
    <w:rsid w:val="00732386"/>
    <w:rsid w:val="0073514D"/>
    <w:rsid w:val="007447F3"/>
    <w:rsid w:val="00745F03"/>
    <w:rsid w:val="0075499F"/>
    <w:rsid w:val="007661C8"/>
    <w:rsid w:val="0077098D"/>
    <w:rsid w:val="007931FA"/>
    <w:rsid w:val="00795116"/>
    <w:rsid w:val="00797C5E"/>
    <w:rsid w:val="007A4861"/>
    <w:rsid w:val="007A7BBA"/>
    <w:rsid w:val="007B0C50"/>
    <w:rsid w:val="007B48F9"/>
    <w:rsid w:val="007C1A43"/>
    <w:rsid w:val="007D0951"/>
    <w:rsid w:val="007E300D"/>
    <w:rsid w:val="0080013E"/>
    <w:rsid w:val="00813288"/>
    <w:rsid w:val="00816820"/>
    <w:rsid w:val="008168FC"/>
    <w:rsid w:val="00830996"/>
    <w:rsid w:val="008345F1"/>
    <w:rsid w:val="00841A3F"/>
    <w:rsid w:val="00843EAC"/>
    <w:rsid w:val="00865B07"/>
    <w:rsid w:val="008667EA"/>
    <w:rsid w:val="0087637F"/>
    <w:rsid w:val="00892AD5"/>
    <w:rsid w:val="008A1512"/>
    <w:rsid w:val="008B7C03"/>
    <w:rsid w:val="008D32B9"/>
    <w:rsid w:val="008D433B"/>
    <w:rsid w:val="008D4A16"/>
    <w:rsid w:val="008E38BA"/>
    <w:rsid w:val="008E566E"/>
    <w:rsid w:val="0090161A"/>
    <w:rsid w:val="00901EB6"/>
    <w:rsid w:val="00904C62"/>
    <w:rsid w:val="00917C12"/>
    <w:rsid w:val="00922BA8"/>
    <w:rsid w:val="00924DAC"/>
    <w:rsid w:val="00927058"/>
    <w:rsid w:val="00935D43"/>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59DB"/>
    <w:rsid w:val="009C7C86"/>
    <w:rsid w:val="009D2FF7"/>
    <w:rsid w:val="009E7884"/>
    <w:rsid w:val="009E788A"/>
    <w:rsid w:val="009F0E08"/>
    <w:rsid w:val="009F6332"/>
    <w:rsid w:val="00A1763D"/>
    <w:rsid w:val="00A17CEC"/>
    <w:rsid w:val="00A27EF0"/>
    <w:rsid w:val="00A409EC"/>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B02C8A"/>
    <w:rsid w:val="00B17FBD"/>
    <w:rsid w:val="00B315A6"/>
    <w:rsid w:val="00B31813"/>
    <w:rsid w:val="00B33365"/>
    <w:rsid w:val="00B57B36"/>
    <w:rsid w:val="00B57E6F"/>
    <w:rsid w:val="00B67B55"/>
    <w:rsid w:val="00B8686D"/>
    <w:rsid w:val="00B93F69"/>
    <w:rsid w:val="00BB1DDC"/>
    <w:rsid w:val="00BC30C9"/>
    <w:rsid w:val="00BD077D"/>
    <w:rsid w:val="00BE3E58"/>
    <w:rsid w:val="00BF1A55"/>
    <w:rsid w:val="00C01616"/>
    <w:rsid w:val="00C0162B"/>
    <w:rsid w:val="00C068ED"/>
    <w:rsid w:val="00C22E0C"/>
    <w:rsid w:val="00C345B1"/>
    <w:rsid w:val="00C40142"/>
    <w:rsid w:val="00C52C3C"/>
    <w:rsid w:val="00C57182"/>
    <w:rsid w:val="00C57863"/>
    <w:rsid w:val="00C640AF"/>
    <w:rsid w:val="00C655FD"/>
    <w:rsid w:val="00C67EA8"/>
    <w:rsid w:val="00C75407"/>
    <w:rsid w:val="00C870A8"/>
    <w:rsid w:val="00C94434"/>
    <w:rsid w:val="00CA0D4A"/>
    <w:rsid w:val="00CA0D75"/>
    <w:rsid w:val="00CA12FD"/>
    <w:rsid w:val="00CA1C95"/>
    <w:rsid w:val="00CA5A9C"/>
    <w:rsid w:val="00CC27D8"/>
    <w:rsid w:val="00CC4C20"/>
    <w:rsid w:val="00CD3517"/>
    <w:rsid w:val="00CD5FE2"/>
    <w:rsid w:val="00CE7C68"/>
    <w:rsid w:val="00D02B4C"/>
    <w:rsid w:val="00D040C4"/>
    <w:rsid w:val="00D20AD1"/>
    <w:rsid w:val="00D46B7E"/>
    <w:rsid w:val="00D57C84"/>
    <w:rsid w:val="00D6057D"/>
    <w:rsid w:val="00D648EC"/>
    <w:rsid w:val="00D71640"/>
    <w:rsid w:val="00D836C5"/>
    <w:rsid w:val="00D84576"/>
    <w:rsid w:val="00DA1399"/>
    <w:rsid w:val="00DA24C6"/>
    <w:rsid w:val="00DA4D7B"/>
    <w:rsid w:val="00DD271C"/>
    <w:rsid w:val="00DE264A"/>
    <w:rsid w:val="00DE6434"/>
    <w:rsid w:val="00DF5072"/>
    <w:rsid w:val="00E02D18"/>
    <w:rsid w:val="00E041E7"/>
    <w:rsid w:val="00E23CA1"/>
    <w:rsid w:val="00E33DD7"/>
    <w:rsid w:val="00E409A8"/>
    <w:rsid w:val="00E50C12"/>
    <w:rsid w:val="00E526F8"/>
    <w:rsid w:val="00E65B91"/>
    <w:rsid w:val="00E7209D"/>
    <w:rsid w:val="00E72EAD"/>
    <w:rsid w:val="00E77223"/>
    <w:rsid w:val="00E8528B"/>
    <w:rsid w:val="00E85B94"/>
    <w:rsid w:val="00E8686E"/>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40966"/>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table" w:styleId="ListTable6Colorful-Accent3">
    <w:name w:val="List Table 6 Colorful Accent 3"/>
    <w:basedOn w:val="TableNormal"/>
    <w:uiPriority w:val="51"/>
    <w:rsid w:val="008E38BA"/>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8740">
      <w:bodyDiv w:val="1"/>
      <w:marLeft w:val="0"/>
      <w:marRight w:val="0"/>
      <w:marTop w:val="0"/>
      <w:marBottom w:val="0"/>
      <w:divBdr>
        <w:top w:val="none" w:sz="0" w:space="0" w:color="auto"/>
        <w:left w:val="none" w:sz="0" w:space="0" w:color="auto"/>
        <w:bottom w:val="none" w:sz="0" w:space="0" w:color="auto"/>
        <w:right w:val="none" w:sz="0" w:space="0" w:color="auto"/>
      </w:divBdr>
    </w:div>
    <w:div w:id="56436626">
      <w:bodyDiv w:val="1"/>
      <w:marLeft w:val="0"/>
      <w:marRight w:val="0"/>
      <w:marTop w:val="0"/>
      <w:marBottom w:val="0"/>
      <w:divBdr>
        <w:top w:val="none" w:sz="0" w:space="0" w:color="auto"/>
        <w:left w:val="none" w:sz="0" w:space="0" w:color="auto"/>
        <w:bottom w:val="none" w:sz="0" w:space="0" w:color="auto"/>
        <w:right w:val="none" w:sz="0" w:space="0" w:color="auto"/>
      </w:divBdr>
    </w:div>
    <w:div w:id="168059849">
      <w:bodyDiv w:val="1"/>
      <w:marLeft w:val="0"/>
      <w:marRight w:val="0"/>
      <w:marTop w:val="0"/>
      <w:marBottom w:val="0"/>
      <w:divBdr>
        <w:top w:val="none" w:sz="0" w:space="0" w:color="auto"/>
        <w:left w:val="none" w:sz="0" w:space="0" w:color="auto"/>
        <w:bottom w:val="none" w:sz="0" w:space="0" w:color="auto"/>
        <w:right w:val="none" w:sz="0" w:space="0" w:color="auto"/>
      </w:divBdr>
    </w:div>
    <w:div w:id="215287477">
      <w:bodyDiv w:val="1"/>
      <w:marLeft w:val="0"/>
      <w:marRight w:val="0"/>
      <w:marTop w:val="0"/>
      <w:marBottom w:val="0"/>
      <w:divBdr>
        <w:top w:val="none" w:sz="0" w:space="0" w:color="auto"/>
        <w:left w:val="none" w:sz="0" w:space="0" w:color="auto"/>
        <w:bottom w:val="none" w:sz="0" w:space="0" w:color="auto"/>
        <w:right w:val="none" w:sz="0" w:space="0" w:color="auto"/>
      </w:divBdr>
    </w:div>
    <w:div w:id="252907454">
      <w:bodyDiv w:val="1"/>
      <w:marLeft w:val="0"/>
      <w:marRight w:val="0"/>
      <w:marTop w:val="0"/>
      <w:marBottom w:val="0"/>
      <w:divBdr>
        <w:top w:val="none" w:sz="0" w:space="0" w:color="auto"/>
        <w:left w:val="none" w:sz="0" w:space="0" w:color="auto"/>
        <w:bottom w:val="none" w:sz="0" w:space="0" w:color="auto"/>
        <w:right w:val="none" w:sz="0" w:space="0" w:color="auto"/>
      </w:divBdr>
    </w:div>
    <w:div w:id="337512168">
      <w:bodyDiv w:val="1"/>
      <w:marLeft w:val="0"/>
      <w:marRight w:val="0"/>
      <w:marTop w:val="0"/>
      <w:marBottom w:val="0"/>
      <w:divBdr>
        <w:top w:val="none" w:sz="0" w:space="0" w:color="auto"/>
        <w:left w:val="none" w:sz="0" w:space="0" w:color="auto"/>
        <w:bottom w:val="none" w:sz="0" w:space="0" w:color="auto"/>
        <w:right w:val="none" w:sz="0" w:space="0" w:color="auto"/>
      </w:divBdr>
    </w:div>
    <w:div w:id="379403422">
      <w:bodyDiv w:val="1"/>
      <w:marLeft w:val="0"/>
      <w:marRight w:val="0"/>
      <w:marTop w:val="0"/>
      <w:marBottom w:val="0"/>
      <w:divBdr>
        <w:top w:val="none" w:sz="0" w:space="0" w:color="auto"/>
        <w:left w:val="none" w:sz="0" w:space="0" w:color="auto"/>
        <w:bottom w:val="none" w:sz="0" w:space="0" w:color="auto"/>
        <w:right w:val="none" w:sz="0" w:space="0" w:color="auto"/>
      </w:divBdr>
    </w:div>
    <w:div w:id="380859767">
      <w:bodyDiv w:val="1"/>
      <w:marLeft w:val="0"/>
      <w:marRight w:val="0"/>
      <w:marTop w:val="0"/>
      <w:marBottom w:val="0"/>
      <w:divBdr>
        <w:top w:val="none" w:sz="0" w:space="0" w:color="auto"/>
        <w:left w:val="none" w:sz="0" w:space="0" w:color="auto"/>
        <w:bottom w:val="none" w:sz="0" w:space="0" w:color="auto"/>
        <w:right w:val="none" w:sz="0" w:space="0" w:color="auto"/>
      </w:divBdr>
    </w:div>
    <w:div w:id="397214351">
      <w:bodyDiv w:val="1"/>
      <w:marLeft w:val="0"/>
      <w:marRight w:val="0"/>
      <w:marTop w:val="0"/>
      <w:marBottom w:val="0"/>
      <w:divBdr>
        <w:top w:val="none" w:sz="0" w:space="0" w:color="auto"/>
        <w:left w:val="none" w:sz="0" w:space="0" w:color="auto"/>
        <w:bottom w:val="none" w:sz="0" w:space="0" w:color="auto"/>
        <w:right w:val="none" w:sz="0" w:space="0" w:color="auto"/>
      </w:divBdr>
    </w:div>
    <w:div w:id="413019545">
      <w:bodyDiv w:val="1"/>
      <w:marLeft w:val="0"/>
      <w:marRight w:val="0"/>
      <w:marTop w:val="0"/>
      <w:marBottom w:val="0"/>
      <w:divBdr>
        <w:top w:val="none" w:sz="0" w:space="0" w:color="auto"/>
        <w:left w:val="none" w:sz="0" w:space="0" w:color="auto"/>
        <w:bottom w:val="none" w:sz="0" w:space="0" w:color="auto"/>
        <w:right w:val="none" w:sz="0" w:space="0" w:color="auto"/>
      </w:divBdr>
    </w:div>
    <w:div w:id="420758817">
      <w:bodyDiv w:val="1"/>
      <w:marLeft w:val="0"/>
      <w:marRight w:val="0"/>
      <w:marTop w:val="0"/>
      <w:marBottom w:val="0"/>
      <w:divBdr>
        <w:top w:val="none" w:sz="0" w:space="0" w:color="auto"/>
        <w:left w:val="none" w:sz="0" w:space="0" w:color="auto"/>
        <w:bottom w:val="none" w:sz="0" w:space="0" w:color="auto"/>
        <w:right w:val="none" w:sz="0" w:space="0" w:color="auto"/>
      </w:divBdr>
    </w:div>
    <w:div w:id="452987836">
      <w:bodyDiv w:val="1"/>
      <w:marLeft w:val="0"/>
      <w:marRight w:val="0"/>
      <w:marTop w:val="0"/>
      <w:marBottom w:val="0"/>
      <w:divBdr>
        <w:top w:val="none" w:sz="0" w:space="0" w:color="auto"/>
        <w:left w:val="none" w:sz="0" w:space="0" w:color="auto"/>
        <w:bottom w:val="none" w:sz="0" w:space="0" w:color="auto"/>
        <w:right w:val="none" w:sz="0" w:space="0" w:color="auto"/>
      </w:divBdr>
    </w:div>
    <w:div w:id="499853334">
      <w:bodyDiv w:val="1"/>
      <w:marLeft w:val="0"/>
      <w:marRight w:val="0"/>
      <w:marTop w:val="0"/>
      <w:marBottom w:val="0"/>
      <w:divBdr>
        <w:top w:val="none" w:sz="0" w:space="0" w:color="auto"/>
        <w:left w:val="none" w:sz="0" w:space="0" w:color="auto"/>
        <w:bottom w:val="none" w:sz="0" w:space="0" w:color="auto"/>
        <w:right w:val="none" w:sz="0" w:space="0" w:color="auto"/>
      </w:divBdr>
    </w:div>
    <w:div w:id="530655017">
      <w:bodyDiv w:val="1"/>
      <w:marLeft w:val="0"/>
      <w:marRight w:val="0"/>
      <w:marTop w:val="0"/>
      <w:marBottom w:val="0"/>
      <w:divBdr>
        <w:top w:val="none" w:sz="0" w:space="0" w:color="auto"/>
        <w:left w:val="none" w:sz="0" w:space="0" w:color="auto"/>
        <w:bottom w:val="none" w:sz="0" w:space="0" w:color="auto"/>
        <w:right w:val="none" w:sz="0" w:space="0" w:color="auto"/>
      </w:divBdr>
    </w:div>
    <w:div w:id="541793108">
      <w:bodyDiv w:val="1"/>
      <w:marLeft w:val="0"/>
      <w:marRight w:val="0"/>
      <w:marTop w:val="0"/>
      <w:marBottom w:val="0"/>
      <w:divBdr>
        <w:top w:val="none" w:sz="0" w:space="0" w:color="auto"/>
        <w:left w:val="none" w:sz="0" w:space="0" w:color="auto"/>
        <w:bottom w:val="none" w:sz="0" w:space="0" w:color="auto"/>
        <w:right w:val="none" w:sz="0" w:space="0" w:color="auto"/>
      </w:divBdr>
    </w:div>
    <w:div w:id="557059242">
      <w:bodyDiv w:val="1"/>
      <w:marLeft w:val="0"/>
      <w:marRight w:val="0"/>
      <w:marTop w:val="0"/>
      <w:marBottom w:val="0"/>
      <w:divBdr>
        <w:top w:val="none" w:sz="0" w:space="0" w:color="auto"/>
        <w:left w:val="none" w:sz="0" w:space="0" w:color="auto"/>
        <w:bottom w:val="none" w:sz="0" w:space="0" w:color="auto"/>
        <w:right w:val="none" w:sz="0" w:space="0" w:color="auto"/>
      </w:divBdr>
    </w:div>
    <w:div w:id="609973579">
      <w:bodyDiv w:val="1"/>
      <w:marLeft w:val="0"/>
      <w:marRight w:val="0"/>
      <w:marTop w:val="0"/>
      <w:marBottom w:val="0"/>
      <w:divBdr>
        <w:top w:val="none" w:sz="0" w:space="0" w:color="auto"/>
        <w:left w:val="none" w:sz="0" w:space="0" w:color="auto"/>
        <w:bottom w:val="none" w:sz="0" w:space="0" w:color="auto"/>
        <w:right w:val="none" w:sz="0" w:space="0" w:color="auto"/>
      </w:divBdr>
    </w:div>
    <w:div w:id="669023470">
      <w:bodyDiv w:val="1"/>
      <w:marLeft w:val="0"/>
      <w:marRight w:val="0"/>
      <w:marTop w:val="0"/>
      <w:marBottom w:val="0"/>
      <w:divBdr>
        <w:top w:val="none" w:sz="0" w:space="0" w:color="auto"/>
        <w:left w:val="none" w:sz="0" w:space="0" w:color="auto"/>
        <w:bottom w:val="none" w:sz="0" w:space="0" w:color="auto"/>
        <w:right w:val="none" w:sz="0" w:space="0" w:color="auto"/>
      </w:divBdr>
    </w:div>
    <w:div w:id="706952340">
      <w:bodyDiv w:val="1"/>
      <w:marLeft w:val="0"/>
      <w:marRight w:val="0"/>
      <w:marTop w:val="0"/>
      <w:marBottom w:val="0"/>
      <w:divBdr>
        <w:top w:val="none" w:sz="0" w:space="0" w:color="auto"/>
        <w:left w:val="none" w:sz="0" w:space="0" w:color="auto"/>
        <w:bottom w:val="none" w:sz="0" w:space="0" w:color="auto"/>
        <w:right w:val="none" w:sz="0" w:space="0" w:color="auto"/>
      </w:divBdr>
    </w:div>
    <w:div w:id="77883893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773">
      <w:bodyDiv w:val="1"/>
      <w:marLeft w:val="0"/>
      <w:marRight w:val="0"/>
      <w:marTop w:val="0"/>
      <w:marBottom w:val="0"/>
      <w:divBdr>
        <w:top w:val="none" w:sz="0" w:space="0" w:color="auto"/>
        <w:left w:val="none" w:sz="0" w:space="0" w:color="auto"/>
        <w:bottom w:val="none" w:sz="0" w:space="0" w:color="auto"/>
        <w:right w:val="none" w:sz="0" w:space="0" w:color="auto"/>
      </w:divBdr>
    </w:div>
    <w:div w:id="854809338">
      <w:bodyDiv w:val="1"/>
      <w:marLeft w:val="0"/>
      <w:marRight w:val="0"/>
      <w:marTop w:val="0"/>
      <w:marBottom w:val="0"/>
      <w:divBdr>
        <w:top w:val="none" w:sz="0" w:space="0" w:color="auto"/>
        <w:left w:val="none" w:sz="0" w:space="0" w:color="auto"/>
        <w:bottom w:val="none" w:sz="0" w:space="0" w:color="auto"/>
        <w:right w:val="none" w:sz="0" w:space="0" w:color="auto"/>
      </w:divBdr>
    </w:div>
    <w:div w:id="86036253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37613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89390">
      <w:bodyDiv w:val="1"/>
      <w:marLeft w:val="0"/>
      <w:marRight w:val="0"/>
      <w:marTop w:val="0"/>
      <w:marBottom w:val="0"/>
      <w:divBdr>
        <w:top w:val="none" w:sz="0" w:space="0" w:color="auto"/>
        <w:left w:val="none" w:sz="0" w:space="0" w:color="auto"/>
        <w:bottom w:val="none" w:sz="0" w:space="0" w:color="auto"/>
        <w:right w:val="none" w:sz="0" w:space="0" w:color="auto"/>
      </w:divBdr>
    </w:div>
    <w:div w:id="1066025311">
      <w:bodyDiv w:val="1"/>
      <w:marLeft w:val="0"/>
      <w:marRight w:val="0"/>
      <w:marTop w:val="0"/>
      <w:marBottom w:val="0"/>
      <w:divBdr>
        <w:top w:val="none" w:sz="0" w:space="0" w:color="auto"/>
        <w:left w:val="none" w:sz="0" w:space="0" w:color="auto"/>
        <w:bottom w:val="none" w:sz="0" w:space="0" w:color="auto"/>
        <w:right w:val="none" w:sz="0" w:space="0" w:color="auto"/>
      </w:divBdr>
    </w:div>
    <w:div w:id="1107000102">
      <w:bodyDiv w:val="1"/>
      <w:marLeft w:val="0"/>
      <w:marRight w:val="0"/>
      <w:marTop w:val="0"/>
      <w:marBottom w:val="0"/>
      <w:divBdr>
        <w:top w:val="none" w:sz="0" w:space="0" w:color="auto"/>
        <w:left w:val="none" w:sz="0" w:space="0" w:color="auto"/>
        <w:bottom w:val="none" w:sz="0" w:space="0" w:color="auto"/>
        <w:right w:val="none" w:sz="0" w:space="0" w:color="auto"/>
      </w:divBdr>
    </w:div>
    <w:div w:id="1125466205">
      <w:bodyDiv w:val="1"/>
      <w:marLeft w:val="0"/>
      <w:marRight w:val="0"/>
      <w:marTop w:val="0"/>
      <w:marBottom w:val="0"/>
      <w:divBdr>
        <w:top w:val="none" w:sz="0" w:space="0" w:color="auto"/>
        <w:left w:val="none" w:sz="0" w:space="0" w:color="auto"/>
        <w:bottom w:val="none" w:sz="0" w:space="0" w:color="auto"/>
        <w:right w:val="none" w:sz="0" w:space="0" w:color="auto"/>
      </w:divBdr>
    </w:div>
    <w:div w:id="1155947431">
      <w:bodyDiv w:val="1"/>
      <w:marLeft w:val="0"/>
      <w:marRight w:val="0"/>
      <w:marTop w:val="0"/>
      <w:marBottom w:val="0"/>
      <w:divBdr>
        <w:top w:val="none" w:sz="0" w:space="0" w:color="auto"/>
        <w:left w:val="none" w:sz="0" w:space="0" w:color="auto"/>
        <w:bottom w:val="none" w:sz="0" w:space="0" w:color="auto"/>
        <w:right w:val="none" w:sz="0" w:space="0" w:color="auto"/>
      </w:divBdr>
    </w:div>
    <w:div w:id="1174152109">
      <w:bodyDiv w:val="1"/>
      <w:marLeft w:val="0"/>
      <w:marRight w:val="0"/>
      <w:marTop w:val="0"/>
      <w:marBottom w:val="0"/>
      <w:divBdr>
        <w:top w:val="none" w:sz="0" w:space="0" w:color="auto"/>
        <w:left w:val="none" w:sz="0" w:space="0" w:color="auto"/>
        <w:bottom w:val="none" w:sz="0" w:space="0" w:color="auto"/>
        <w:right w:val="none" w:sz="0" w:space="0" w:color="auto"/>
      </w:divBdr>
    </w:div>
    <w:div w:id="1177423071">
      <w:bodyDiv w:val="1"/>
      <w:marLeft w:val="0"/>
      <w:marRight w:val="0"/>
      <w:marTop w:val="0"/>
      <w:marBottom w:val="0"/>
      <w:divBdr>
        <w:top w:val="none" w:sz="0" w:space="0" w:color="auto"/>
        <w:left w:val="none" w:sz="0" w:space="0" w:color="auto"/>
        <w:bottom w:val="none" w:sz="0" w:space="0" w:color="auto"/>
        <w:right w:val="none" w:sz="0" w:space="0" w:color="auto"/>
      </w:divBdr>
    </w:div>
    <w:div w:id="1207137005">
      <w:bodyDiv w:val="1"/>
      <w:marLeft w:val="0"/>
      <w:marRight w:val="0"/>
      <w:marTop w:val="0"/>
      <w:marBottom w:val="0"/>
      <w:divBdr>
        <w:top w:val="none" w:sz="0" w:space="0" w:color="auto"/>
        <w:left w:val="none" w:sz="0" w:space="0" w:color="auto"/>
        <w:bottom w:val="none" w:sz="0" w:space="0" w:color="auto"/>
        <w:right w:val="none" w:sz="0" w:space="0" w:color="auto"/>
      </w:divBdr>
    </w:div>
    <w:div w:id="1213923705">
      <w:bodyDiv w:val="1"/>
      <w:marLeft w:val="0"/>
      <w:marRight w:val="0"/>
      <w:marTop w:val="0"/>
      <w:marBottom w:val="0"/>
      <w:divBdr>
        <w:top w:val="none" w:sz="0" w:space="0" w:color="auto"/>
        <w:left w:val="none" w:sz="0" w:space="0" w:color="auto"/>
        <w:bottom w:val="none" w:sz="0" w:space="0" w:color="auto"/>
        <w:right w:val="none" w:sz="0" w:space="0" w:color="auto"/>
      </w:divBdr>
    </w:div>
    <w:div w:id="1214733934">
      <w:bodyDiv w:val="1"/>
      <w:marLeft w:val="0"/>
      <w:marRight w:val="0"/>
      <w:marTop w:val="0"/>
      <w:marBottom w:val="0"/>
      <w:divBdr>
        <w:top w:val="none" w:sz="0" w:space="0" w:color="auto"/>
        <w:left w:val="none" w:sz="0" w:space="0" w:color="auto"/>
        <w:bottom w:val="none" w:sz="0" w:space="0" w:color="auto"/>
        <w:right w:val="none" w:sz="0" w:space="0" w:color="auto"/>
      </w:divBdr>
    </w:div>
    <w:div w:id="1216506232">
      <w:bodyDiv w:val="1"/>
      <w:marLeft w:val="0"/>
      <w:marRight w:val="0"/>
      <w:marTop w:val="0"/>
      <w:marBottom w:val="0"/>
      <w:divBdr>
        <w:top w:val="none" w:sz="0" w:space="0" w:color="auto"/>
        <w:left w:val="none" w:sz="0" w:space="0" w:color="auto"/>
        <w:bottom w:val="none" w:sz="0" w:space="0" w:color="auto"/>
        <w:right w:val="none" w:sz="0" w:space="0" w:color="auto"/>
      </w:divBdr>
    </w:div>
    <w:div w:id="1250849458">
      <w:bodyDiv w:val="1"/>
      <w:marLeft w:val="0"/>
      <w:marRight w:val="0"/>
      <w:marTop w:val="0"/>
      <w:marBottom w:val="0"/>
      <w:divBdr>
        <w:top w:val="none" w:sz="0" w:space="0" w:color="auto"/>
        <w:left w:val="none" w:sz="0" w:space="0" w:color="auto"/>
        <w:bottom w:val="none" w:sz="0" w:space="0" w:color="auto"/>
        <w:right w:val="none" w:sz="0" w:space="0" w:color="auto"/>
      </w:divBdr>
    </w:div>
    <w:div w:id="1260216317">
      <w:bodyDiv w:val="1"/>
      <w:marLeft w:val="0"/>
      <w:marRight w:val="0"/>
      <w:marTop w:val="0"/>
      <w:marBottom w:val="0"/>
      <w:divBdr>
        <w:top w:val="none" w:sz="0" w:space="0" w:color="auto"/>
        <w:left w:val="none" w:sz="0" w:space="0" w:color="auto"/>
        <w:bottom w:val="none" w:sz="0" w:space="0" w:color="auto"/>
        <w:right w:val="none" w:sz="0" w:space="0" w:color="auto"/>
      </w:divBdr>
    </w:div>
    <w:div w:id="1262880529">
      <w:bodyDiv w:val="1"/>
      <w:marLeft w:val="0"/>
      <w:marRight w:val="0"/>
      <w:marTop w:val="0"/>
      <w:marBottom w:val="0"/>
      <w:divBdr>
        <w:top w:val="none" w:sz="0" w:space="0" w:color="auto"/>
        <w:left w:val="none" w:sz="0" w:space="0" w:color="auto"/>
        <w:bottom w:val="none" w:sz="0" w:space="0" w:color="auto"/>
        <w:right w:val="none" w:sz="0" w:space="0" w:color="auto"/>
      </w:divBdr>
    </w:div>
    <w:div w:id="1322733907">
      <w:bodyDiv w:val="1"/>
      <w:marLeft w:val="0"/>
      <w:marRight w:val="0"/>
      <w:marTop w:val="0"/>
      <w:marBottom w:val="0"/>
      <w:divBdr>
        <w:top w:val="none" w:sz="0" w:space="0" w:color="auto"/>
        <w:left w:val="none" w:sz="0" w:space="0" w:color="auto"/>
        <w:bottom w:val="none" w:sz="0" w:space="0" w:color="auto"/>
        <w:right w:val="none" w:sz="0" w:space="0" w:color="auto"/>
      </w:divBdr>
    </w:div>
    <w:div w:id="1327706514">
      <w:bodyDiv w:val="1"/>
      <w:marLeft w:val="0"/>
      <w:marRight w:val="0"/>
      <w:marTop w:val="0"/>
      <w:marBottom w:val="0"/>
      <w:divBdr>
        <w:top w:val="none" w:sz="0" w:space="0" w:color="auto"/>
        <w:left w:val="none" w:sz="0" w:space="0" w:color="auto"/>
        <w:bottom w:val="none" w:sz="0" w:space="0" w:color="auto"/>
        <w:right w:val="none" w:sz="0" w:space="0" w:color="auto"/>
      </w:divBdr>
    </w:div>
    <w:div w:id="1360887629">
      <w:bodyDiv w:val="1"/>
      <w:marLeft w:val="0"/>
      <w:marRight w:val="0"/>
      <w:marTop w:val="0"/>
      <w:marBottom w:val="0"/>
      <w:divBdr>
        <w:top w:val="none" w:sz="0" w:space="0" w:color="auto"/>
        <w:left w:val="none" w:sz="0" w:space="0" w:color="auto"/>
        <w:bottom w:val="none" w:sz="0" w:space="0" w:color="auto"/>
        <w:right w:val="none" w:sz="0" w:space="0" w:color="auto"/>
      </w:divBdr>
    </w:div>
    <w:div w:id="1372265468">
      <w:bodyDiv w:val="1"/>
      <w:marLeft w:val="0"/>
      <w:marRight w:val="0"/>
      <w:marTop w:val="0"/>
      <w:marBottom w:val="0"/>
      <w:divBdr>
        <w:top w:val="none" w:sz="0" w:space="0" w:color="auto"/>
        <w:left w:val="none" w:sz="0" w:space="0" w:color="auto"/>
        <w:bottom w:val="none" w:sz="0" w:space="0" w:color="auto"/>
        <w:right w:val="none" w:sz="0" w:space="0" w:color="auto"/>
      </w:divBdr>
    </w:div>
    <w:div w:id="1380663451">
      <w:bodyDiv w:val="1"/>
      <w:marLeft w:val="0"/>
      <w:marRight w:val="0"/>
      <w:marTop w:val="0"/>
      <w:marBottom w:val="0"/>
      <w:divBdr>
        <w:top w:val="none" w:sz="0" w:space="0" w:color="auto"/>
        <w:left w:val="none" w:sz="0" w:space="0" w:color="auto"/>
        <w:bottom w:val="none" w:sz="0" w:space="0" w:color="auto"/>
        <w:right w:val="none" w:sz="0" w:space="0" w:color="auto"/>
      </w:divBdr>
    </w:div>
    <w:div w:id="141593196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2262038">
      <w:bodyDiv w:val="1"/>
      <w:marLeft w:val="0"/>
      <w:marRight w:val="0"/>
      <w:marTop w:val="0"/>
      <w:marBottom w:val="0"/>
      <w:divBdr>
        <w:top w:val="none" w:sz="0" w:space="0" w:color="auto"/>
        <w:left w:val="none" w:sz="0" w:space="0" w:color="auto"/>
        <w:bottom w:val="none" w:sz="0" w:space="0" w:color="auto"/>
        <w:right w:val="none" w:sz="0" w:space="0" w:color="auto"/>
      </w:divBdr>
    </w:div>
    <w:div w:id="1485589395">
      <w:bodyDiv w:val="1"/>
      <w:marLeft w:val="0"/>
      <w:marRight w:val="0"/>
      <w:marTop w:val="0"/>
      <w:marBottom w:val="0"/>
      <w:divBdr>
        <w:top w:val="none" w:sz="0" w:space="0" w:color="auto"/>
        <w:left w:val="none" w:sz="0" w:space="0" w:color="auto"/>
        <w:bottom w:val="none" w:sz="0" w:space="0" w:color="auto"/>
        <w:right w:val="none" w:sz="0" w:space="0" w:color="auto"/>
      </w:divBdr>
    </w:div>
    <w:div w:id="148577922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1457736">
      <w:bodyDiv w:val="1"/>
      <w:marLeft w:val="0"/>
      <w:marRight w:val="0"/>
      <w:marTop w:val="0"/>
      <w:marBottom w:val="0"/>
      <w:divBdr>
        <w:top w:val="none" w:sz="0" w:space="0" w:color="auto"/>
        <w:left w:val="none" w:sz="0" w:space="0" w:color="auto"/>
        <w:bottom w:val="none" w:sz="0" w:space="0" w:color="auto"/>
        <w:right w:val="none" w:sz="0" w:space="0" w:color="auto"/>
      </w:divBdr>
    </w:div>
    <w:div w:id="1513715438">
      <w:bodyDiv w:val="1"/>
      <w:marLeft w:val="0"/>
      <w:marRight w:val="0"/>
      <w:marTop w:val="0"/>
      <w:marBottom w:val="0"/>
      <w:divBdr>
        <w:top w:val="none" w:sz="0" w:space="0" w:color="auto"/>
        <w:left w:val="none" w:sz="0" w:space="0" w:color="auto"/>
        <w:bottom w:val="none" w:sz="0" w:space="0" w:color="auto"/>
        <w:right w:val="none" w:sz="0" w:space="0" w:color="auto"/>
      </w:divBdr>
    </w:div>
    <w:div w:id="1550409755">
      <w:bodyDiv w:val="1"/>
      <w:marLeft w:val="0"/>
      <w:marRight w:val="0"/>
      <w:marTop w:val="0"/>
      <w:marBottom w:val="0"/>
      <w:divBdr>
        <w:top w:val="none" w:sz="0" w:space="0" w:color="auto"/>
        <w:left w:val="none" w:sz="0" w:space="0" w:color="auto"/>
        <w:bottom w:val="none" w:sz="0" w:space="0" w:color="auto"/>
        <w:right w:val="none" w:sz="0" w:space="0" w:color="auto"/>
      </w:divBdr>
    </w:div>
    <w:div w:id="1567180498">
      <w:bodyDiv w:val="1"/>
      <w:marLeft w:val="0"/>
      <w:marRight w:val="0"/>
      <w:marTop w:val="0"/>
      <w:marBottom w:val="0"/>
      <w:divBdr>
        <w:top w:val="none" w:sz="0" w:space="0" w:color="auto"/>
        <w:left w:val="none" w:sz="0" w:space="0" w:color="auto"/>
        <w:bottom w:val="none" w:sz="0" w:space="0" w:color="auto"/>
        <w:right w:val="none" w:sz="0" w:space="0" w:color="auto"/>
      </w:divBdr>
    </w:div>
    <w:div w:id="160773489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3201">
      <w:bodyDiv w:val="1"/>
      <w:marLeft w:val="0"/>
      <w:marRight w:val="0"/>
      <w:marTop w:val="0"/>
      <w:marBottom w:val="0"/>
      <w:divBdr>
        <w:top w:val="none" w:sz="0" w:space="0" w:color="auto"/>
        <w:left w:val="none" w:sz="0" w:space="0" w:color="auto"/>
        <w:bottom w:val="none" w:sz="0" w:space="0" w:color="auto"/>
        <w:right w:val="none" w:sz="0" w:space="0" w:color="auto"/>
      </w:divBdr>
    </w:div>
    <w:div w:id="1730033339">
      <w:bodyDiv w:val="1"/>
      <w:marLeft w:val="0"/>
      <w:marRight w:val="0"/>
      <w:marTop w:val="0"/>
      <w:marBottom w:val="0"/>
      <w:divBdr>
        <w:top w:val="none" w:sz="0" w:space="0" w:color="auto"/>
        <w:left w:val="none" w:sz="0" w:space="0" w:color="auto"/>
        <w:bottom w:val="none" w:sz="0" w:space="0" w:color="auto"/>
        <w:right w:val="none" w:sz="0" w:space="0" w:color="auto"/>
      </w:divBdr>
    </w:div>
    <w:div w:id="1741126740">
      <w:bodyDiv w:val="1"/>
      <w:marLeft w:val="0"/>
      <w:marRight w:val="0"/>
      <w:marTop w:val="0"/>
      <w:marBottom w:val="0"/>
      <w:divBdr>
        <w:top w:val="none" w:sz="0" w:space="0" w:color="auto"/>
        <w:left w:val="none" w:sz="0" w:space="0" w:color="auto"/>
        <w:bottom w:val="none" w:sz="0" w:space="0" w:color="auto"/>
        <w:right w:val="none" w:sz="0" w:space="0" w:color="auto"/>
      </w:divBdr>
    </w:div>
    <w:div w:id="1763606052">
      <w:bodyDiv w:val="1"/>
      <w:marLeft w:val="0"/>
      <w:marRight w:val="0"/>
      <w:marTop w:val="0"/>
      <w:marBottom w:val="0"/>
      <w:divBdr>
        <w:top w:val="none" w:sz="0" w:space="0" w:color="auto"/>
        <w:left w:val="none" w:sz="0" w:space="0" w:color="auto"/>
        <w:bottom w:val="none" w:sz="0" w:space="0" w:color="auto"/>
        <w:right w:val="none" w:sz="0" w:space="0" w:color="auto"/>
      </w:divBdr>
    </w:div>
    <w:div w:id="1771778592">
      <w:bodyDiv w:val="1"/>
      <w:marLeft w:val="0"/>
      <w:marRight w:val="0"/>
      <w:marTop w:val="0"/>
      <w:marBottom w:val="0"/>
      <w:divBdr>
        <w:top w:val="none" w:sz="0" w:space="0" w:color="auto"/>
        <w:left w:val="none" w:sz="0" w:space="0" w:color="auto"/>
        <w:bottom w:val="none" w:sz="0" w:space="0" w:color="auto"/>
        <w:right w:val="none" w:sz="0" w:space="0" w:color="auto"/>
      </w:divBdr>
    </w:div>
    <w:div w:id="1798916722">
      <w:bodyDiv w:val="1"/>
      <w:marLeft w:val="0"/>
      <w:marRight w:val="0"/>
      <w:marTop w:val="0"/>
      <w:marBottom w:val="0"/>
      <w:divBdr>
        <w:top w:val="none" w:sz="0" w:space="0" w:color="auto"/>
        <w:left w:val="none" w:sz="0" w:space="0" w:color="auto"/>
        <w:bottom w:val="none" w:sz="0" w:space="0" w:color="auto"/>
        <w:right w:val="none" w:sz="0" w:space="0" w:color="auto"/>
      </w:divBdr>
    </w:div>
    <w:div w:id="1846894270">
      <w:bodyDiv w:val="1"/>
      <w:marLeft w:val="0"/>
      <w:marRight w:val="0"/>
      <w:marTop w:val="0"/>
      <w:marBottom w:val="0"/>
      <w:divBdr>
        <w:top w:val="none" w:sz="0" w:space="0" w:color="auto"/>
        <w:left w:val="none" w:sz="0" w:space="0" w:color="auto"/>
        <w:bottom w:val="none" w:sz="0" w:space="0" w:color="auto"/>
        <w:right w:val="none" w:sz="0" w:space="0" w:color="auto"/>
      </w:divBdr>
    </w:div>
    <w:div w:id="1855218257">
      <w:bodyDiv w:val="1"/>
      <w:marLeft w:val="0"/>
      <w:marRight w:val="0"/>
      <w:marTop w:val="0"/>
      <w:marBottom w:val="0"/>
      <w:divBdr>
        <w:top w:val="none" w:sz="0" w:space="0" w:color="auto"/>
        <w:left w:val="none" w:sz="0" w:space="0" w:color="auto"/>
        <w:bottom w:val="none" w:sz="0" w:space="0" w:color="auto"/>
        <w:right w:val="none" w:sz="0" w:space="0" w:color="auto"/>
      </w:divBdr>
    </w:div>
    <w:div w:id="1925067269">
      <w:bodyDiv w:val="1"/>
      <w:marLeft w:val="0"/>
      <w:marRight w:val="0"/>
      <w:marTop w:val="0"/>
      <w:marBottom w:val="0"/>
      <w:divBdr>
        <w:top w:val="none" w:sz="0" w:space="0" w:color="auto"/>
        <w:left w:val="none" w:sz="0" w:space="0" w:color="auto"/>
        <w:bottom w:val="none" w:sz="0" w:space="0" w:color="auto"/>
        <w:right w:val="none" w:sz="0" w:space="0" w:color="auto"/>
      </w:divBdr>
    </w:div>
    <w:div w:id="1944914931">
      <w:bodyDiv w:val="1"/>
      <w:marLeft w:val="0"/>
      <w:marRight w:val="0"/>
      <w:marTop w:val="0"/>
      <w:marBottom w:val="0"/>
      <w:divBdr>
        <w:top w:val="none" w:sz="0" w:space="0" w:color="auto"/>
        <w:left w:val="none" w:sz="0" w:space="0" w:color="auto"/>
        <w:bottom w:val="none" w:sz="0" w:space="0" w:color="auto"/>
        <w:right w:val="none" w:sz="0" w:space="0" w:color="auto"/>
      </w:divBdr>
    </w:div>
    <w:div w:id="1950038452">
      <w:bodyDiv w:val="1"/>
      <w:marLeft w:val="0"/>
      <w:marRight w:val="0"/>
      <w:marTop w:val="0"/>
      <w:marBottom w:val="0"/>
      <w:divBdr>
        <w:top w:val="none" w:sz="0" w:space="0" w:color="auto"/>
        <w:left w:val="none" w:sz="0" w:space="0" w:color="auto"/>
        <w:bottom w:val="none" w:sz="0" w:space="0" w:color="auto"/>
        <w:right w:val="none" w:sz="0" w:space="0" w:color="auto"/>
      </w:divBdr>
    </w:div>
    <w:div w:id="2060543139">
      <w:bodyDiv w:val="1"/>
      <w:marLeft w:val="0"/>
      <w:marRight w:val="0"/>
      <w:marTop w:val="0"/>
      <w:marBottom w:val="0"/>
      <w:divBdr>
        <w:top w:val="none" w:sz="0" w:space="0" w:color="auto"/>
        <w:left w:val="none" w:sz="0" w:space="0" w:color="auto"/>
        <w:bottom w:val="none" w:sz="0" w:space="0" w:color="auto"/>
        <w:right w:val="none" w:sz="0" w:space="0" w:color="auto"/>
      </w:divBdr>
    </w:div>
    <w:div w:id="2112123114">
      <w:bodyDiv w:val="1"/>
      <w:marLeft w:val="0"/>
      <w:marRight w:val="0"/>
      <w:marTop w:val="0"/>
      <w:marBottom w:val="0"/>
      <w:divBdr>
        <w:top w:val="none" w:sz="0" w:space="0" w:color="auto"/>
        <w:left w:val="none" w:sz="0" w:space="0" w:color="auto"/>
        <w:bottom w:val="none" w:sz="0" w:space="0" w:color="auto"/>
        <w:right w:val="none" w:sz="0" w:space="0" w:color="auto"/>
      </w:divBdr>
    </w:div>
    <w:div w:id="212260177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588458\Downloads\ICP%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588458\Downloads\ICP%20result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588458\Downloads\ICP%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588458\Downloads\ICP%20result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588458\Downloads\ICP%20results.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588458\Downloads\ICP%20resul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ZA" b="1">
                <a:solidFill>
                  <a:sysClr val="windowText" lastClr="000000"/>
                </a:solidFill>
              </a:rPr>
              <a:t>pH</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scatterChart>
        <c:scatterStyle val="lineMarker"/>
        <c:varyColors val="0"/>
        <c:ser>
          <c:idx val="0"/>
          <c:order val="0"/>
          <c:tx>
            <c:strRef>
              <c:f>'SAN 241-2015'!$C$46</c:f>
              <c:strCache>
                <c:ptCount val="1"/>
                <c:pt idx="0">
                  <c:v>EB</c:v>
                </c:pt>
              </c:strCache>
            </c:strRef>
          </c:tx>
          <c:spPr>
            <a:ln w="25400" cap="rnd">
              <a:solidFill>
                <a:srgbClr val="FF0000"/>
              </a:solidFill>
              <a:round/>
            </a:ln>
            <a:effectLst/>
          </c:spPr>
          <c:marker>
            <c:symbol val="circle"/>
            <c:size val="5"/>
            <c:spPr>
              <a:solidFill>
                <a:srgbClr val="FF0000"/>
              </a:solidFill>
              <a:ln w="9525">
                <a:solidFill>
                  <a:srgbClr val="FF0000"/>
                </a:solidFill>
              </a:ln>
              <a:effectLst/>
            </c:spPr>
          </c:marker>
          <c:xVal>
            <c:numRef>
              <c:f>'SAN 241-2015'!$D$45:$G$45</c:f>
              <c:numCache>
                <c:formatCode>General</c:formatCode>
                <c:ptCount val="4"/>
                <c:pt idx="0">
                  <c:v>0</c:v>
                </c:pt>
                <c:pt idx="1">
                  <c:v>3.3</c:v>
                </c:pt>
                <c:pt idx="2">
                  <c:v>4</c:v>
                </c:pt>
                <c:pt idx="3">
                  <c:v>10</c:v>
                </c:pt>
              </c:numCache>
            </c:numRef>
          </c:xVal>
          <c:yVal>
            <c:numRef>
              <c:f>'SAN 241-2015'!$D$46:$G$46</c:f>
              <c:numCache>
                <c:formatCode>General</c:formatCode>
                <c:ptCount val="4"/>
                <c:pt idx="0">
                  <c:v>7.95</c:v>
                </c:pt>
                <c:pt idx="1">
                  <c:v>8.7200000000000006</c:v>
                </c:pt>
                <c:pt idx="2">
                  <c:v>8.9600000000000009</c:v>
                </c:pt>
                <c:pt idx="3">
                  <c:v>9.27</c:v>
                </c:pt>
              </c:numCache>
            </c:numRef>
          </c:yVal>
          <c:smooth val="0"/>
          <c:extLst>
            <c:ext xmlns:c16="http://schemas.microsoft.com/office/drawing/2014/chart" uri="{C3380CC4-5D6E-409C-BE32-E72D297353CC}">
              <c16:uniqueId val="{00000000-C992-4929-BA20-169B2F02F241}"/>
            </c:ext>
          </c:extLst>
        </c:ser>
        <c:ser>
          <c:idx val="1"/>
          <c:order val="1"/>
          <c:tx>
            <c:strRef>
              <c:f>'SAN 241-2015'!$C$47</c:f>
              <c:strCache>
                <c:ptCount val="1"/>
                <c:pt idx="0">
                  <c:v>CB</c:v>
                </c:pt>
              </c:strCache>
            </c:strRef>
          </c:tx>
          <c:spPr>
            <a:ln w="25400" cap="rnd">
              <a:solidFill>
                <a:srgbClr val="0070C0"/>
              </a:solidFill>
              <a:round/>
            </a:ln>
            <a:effectLst/>
          </c:spPr>
          <c:marker>
            <c:symbol val="circle"/>
            <c:size val="5"/>
            <c:spPr>
              <a:solidFill>
                <a:srgbClr val="0070C0"/>
              </a:solidFill>
              <a:ln w="9525">
                <a:solidFill>
                  <a:srgbClr val="0070C0"/>
                </a:solidFill>
              </a:ln>
              <a:effectLst/>
            </c:spPr>
          </c:marker>
          <c:xVal>
            <c:numRef>
              <c:f>'SAN 241-2015'!$D$45:$G$45</c:f>
              <c:numCache>
                <c:formatCode>General</c:formatCode>
                <c:ptCount val="4"/>
                <c:pt idx="0">
                  <c:v>0</c:v>
                </c:pt>
                <c:pt idx="1">
                  <c:v>3.3</c:v>
                </c:pt>
                <c:pt idx="2">
                  <c:v>4</c:v>
                </c:pt>
                <c:pt idx="3">
                  <c:v>10</c:v>
                </c:pt>
              </c:numCache>
            </c:numRef>
          </c:xVal>
          <c:yVal>
            <c:numRef>
              <c:f>'SAN 241-2015'!$D$47:$G$47</c:f>
              <c:numCache>
                <c:formatCode>General</c:formatCode>
                <c:ptCount val="4"/>
                <c:pt idx="0">
                  <c:v>2.2599999999999998</c:v>
                </c:pt>
                <c:pt idx="1">
                  <c:v>8.66</c:v>
                </c:pt>
                <c:pt idx="2">
                  <c:v>8.48</c:v>
                </c:pt>
                <c:pt idx="3">
                  <c:v>9.06</c:v>
                </c:pt>
              </c:numCache>
            </c:numRef>
          </c:yVal>
          <c:smooth val="0"/>
          <c:extLst>
            <c:ext xmlns:c16="http://schemas.microsoft.com/office/drawing/2014/chart" uri="{C3380CC4-5D6E-409C-BE32-E72D297353CC}">
              <c16:uniqueId val="{00000001-C992-4929-BA20-169B2F02F241}"/>
            </c:ext>
          </c:extLst>
        </c:ser>
        <c:ser>
          <c:idx val="2"/>
          <c:order val="2"/>
          <c:tx>
            <c:strRef>
              <c:f>'SAN 241-2015'!$C$48</c:f>
              <c:strCache>
                <c:ptCount val="1"/>
                <c:pt idx="0">
                  <c:v>WB</c:v>
                </c:pt>
              </c:strCache>
            </c:strRef>
          </c:tx>
          <c:spPr>
            <a:ln w="25400" cap="rnd">
              <a:solidFill>
                <a:schemeClr val="tx1"/>
              </a:solidFill>
              <a:round/>
            </a:ln>
            <a:effectLst/>
          </c:spPr>
          <c:marker>
            <c:symbol val="circle"/>
            <c:size val="5"/>
            <c:spPr>
              <a:solidFill>
                <a:schemeClr val="tx1"/>
              </a:solidFill>
              <a:ln w="9525">
                <a:solidFill>
                  <a:schemeClr val="tx1"/>
                </a:solidFill>
              </a:ln>
              <a:effectLst/>
            </c:spPr>
          </c:marker>
          <c:xVal>
            <c:numRef>
              <c:f>'SAN 241-2015'!$D$45:$G$45</c:f>
              <c:numCache>
                <c:formatCode>General</c:formatCode>
                <c:ptCount val="4"/>
                <c:pt idx="0">
                  <c:v>0</c:v>
                </c:pt>
                <c:pt idx="1">
                  <c:v>3.3</c:v>
                </c:pt>
                <c:pt idx="2">
                  <c:v>4</c:v>
                </c:pt>
                <c:pt idx="3">
                  <c:v>10</c:v>
                </c:pt>
              </c:numCache>
            </c:numRef>
          </c:xVal>
          <c:yVal>
            <c:numRef>
              <c:f>'SAN 241-2015'!$D$48:$G$48</c:f>
              <c:numCache>
                <c:formatCode>General</c:formatCode>
                <c:ptCount val="4"/>
                <c:pt idx="0">
                  <c:v>3.86</c:v>
                </c:pt>
                <c:pt idx="1">
                  <c:v>8.7799999999999994</c:v>
                </c:pt>
                <c:pt idx="2">
                  <c:v>8.58</c:v>
                </c:pt>
                <c:pt idx="3">
                  <c:v>8.94</c:v>
                </c:pt>
              </c:numCache>
            </c:numRef>
          </c:yVal>
          <c:smooth val="0"/>
          <c:extLst>
            <c:ext xmlns:c16="http://schemas.microsoft.com/office/drawing/2014/chart" uri="{C3380CC4-5D6E-409C-BE32-E72D297353CC}">
              <c16:uniqueId val="{00000002-C992-4929-BA20-169B2F02F241}"/>
            </c:ext>
          </c:extLst>
        </c:ser>
        <c:dLbls>
          <c:showLegendKey val="0"/>
          <c:showVal val="0"/>
          <c:showCatName val="0"/>
          <c:showSerName val="0"/>
          <c:showPercent val="0"/>
          <c:showBubbleSize val="0"/>
        </c:dLbls>
        <c:axId val="565078543"/>
        <c:axId val="565080623"/>
      </c:scatterChart>
      <c:valAx>
        <c:axId val="565078543"/>
        <c:scaling>
          <c:orientation val="minMax"/>
          <c:max val="1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[U]/[M]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5080623"/>
        <c:crosses val="autoZero"/>
        <c:crossBetween val="midCat"/>
      </c:valAx>
      <c:valAx>
        <c:axId val="565080623"/>
        <c:scaling>
          <c:orientation val="minMax"/>
          <c:min val="2"/>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pH, units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5078543"/>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ZA" b="1">
                <a:solidFill>
                  <a:sysClr val="windowText" lastClr="000000"/>
                </a:solidFill>
              </a:rPr>
              <a:t>Sulphate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scatterChart>
        <c:scatterStyle val="lineMarker"/>
        <c:varyColors val="0"/>
        <c:ser>
          <c:idx val="1"/>
          <c:order val="0"/>
          <c:tx>
            <c:strRef>
              <c:f>'SAN 241-2015'!$C$16</c:f>
              <c:strCache>
                <c:ptCount val="1"/>
                <c:pt idx="0">
                  <c:v>EB</c:v>
                </c:pt>
              </c:strCache>
            </c:strRef>
          </c:tx>
          <c:spPr>
            <a:ln w="25400" cap="rnd">
              <a:solidFill>
                <a:srgbClr val="FF0000"/>
              </a:solidFill>
              <a:round/>
            </a:ln>
            <a:effectLst/>
          </c:spPr>
          <c:marker>
            <c:symbol val="circle"/>
            <c:size val="5"/>
            <c:spPr>
              <a:solidFill>
                <a:srgbClr val="FF0000"/>
              </a:solidFill>
              <a:ln w="9525">
                <a:solidFill>
                  <a:srgbClr val="FF0000"/>
                </a:solidFill>
              </a:ln>
              <a:effectLst/>
            </c:spPr>
          </c:marker>
          <c:errBars>
            <c:errDir val="y"/>
            <c:errBarType val="both"/>
            <c:errValType val="cust"/>
            <c:noEndCap val="0"/>
            <c:plus>
              <c:numRef>
                <c:f>'SAN 241-2015'!$R$16:$U$16</c:f>
                <c:numCache>
                  <c:formatCode>General</c:formatCode>
                  <c:ptCount val="4"/>
                  <c:pt idx="0">
                    <c:v>14.520000000000001</c:v>
                  </c:pt>
                  <c:pt idx="1">
                    <c:v>10.967000000000001</c:v>
                  </c:pt>
                  <c:pt idx="2">
                    <c:v>10.362000000000002</c:v>
                  </c:pt>
                  <c:pt idx="3">
                    <c:v>7.293000000000001</c:v>
                  </c:pt>
                </c:numCache>
              </c:numRef>
            </c:plus>
            <c:minus>
              <c:numRef>
                <c:f>'SAN 241-2015'!$R$16:$U$16</c:f>
                <c:numCache>
                  <c:formatCode>General</c:formatCode>
                  <c:ptCount val="4"/>
                  <c:pt idx="0">
                    <c:v>14.520000000000001</c:v>
                  </c:pt>
                  <c:pt idx="1">
                    <c:v>10.967000000000001</c:v>
                  </c:pt>
                  <c:pt idx="2">
                    <c:v>10.362000000000002</c:v>
                  </c:pt>
                  <c:pt idx="3">
                    <c:v>7.293000000000001</c:v>
                  </c:pt>
                </c:numCache>
              </c:numRef>
            </c:minus>
            <c:spPr>
              <a:noFill/>
              <a:ln w="9525" cap="flat" cmpd="sng" algn="ctr">
                <a:solidFill>
                  <a:schemeClr val="tx1">
                    <a:lumMod val="65000"/>
                    <a:lumOff val="35000"/>
                  </a:schemeClr>
                </a:solidFill>
                <a:round/>
              </a:ln>
              <a:effectLst/>
            </c:spPr>
          </c:errBars>
          <c:xVal>
            <c:numRef>
              <c:f>'SAN 241-2015'!$D$15:$G$15</c:f>
              <c:numCache>
                <c:formatCode>General</c:formatCode>
                <c:ptCount val="4"/>
                <c:pt idx="0">
                  <c:v>0</c:v>
                </c:pt>
                <c:pt idx="1">
                  <c:v>3.3</c:v>
                </c:pt>
                <c:pt idx="2">
                  <c:v>4</c:v>
                </c:pt>
                <c:pt idx="3">
                  <c:v>10</c:v>
                </c:pt>
              </c:numCache>
            </c:numRef>
          </c:xVal>
          <c:yVal>
            <c:numRef>
              <c:f>'SAN 241-2015'!$D$16:$G$16</c:f>
              <c:numCache>
                <c:formatCode>General</c:formatCode>
                <c:ptCount val="4"/>
                <c:pt idx="0">
                  <c:v>1320</c:v>
                </c:pt>
                <c:pt idx="1">
                  <c:v>997</c:v>
                </c:pt>
                <c:pt idx="2">
                  <c:v>942</c:v>
                </c:pt>
                <c:pt idx="3">
                  <c:v>663</c:v>
                </c:pt>
              </c:numCache>
            </c:numRef>
          </c:yVal>
          <c:smooth val="0"/>
          <c:extLst>
            <c:ext xmlns:c16="http://schemas.microsoft.com/office/drawing/2014/chart" uri="{C3380CC4-5D6E-409C-BE32-E72D297353CC}">
              <c16:uniqueId val="{00000000-0D5E-4D48-861D-36F44B4B7B89}"/>
            </c:ext>
          </c:extLst>
        </c:ser>
        <c:ser>
          <c:idx val="2"/>
          <c:order val="1"/>
          <c:tx>
            <c:strRef>
              <c:f>'SAN 241-2015'!$C$17</c:f>
              <c:strCache>
                <c:ptCount val="1"/>
                <c:pt idx="0">
                  <c:v>CB</c:v>
                </c:pt>
              </c:strCache>
            </c:strRef>
          </c:tx>
          <c:spPr>
            <a:ln w="254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'SAN 241-2015'!$R$17:$U$17</c:f>
                <c:numCache>
                  <c:formatCode>General</c:formatCode>
                  <c:ptCount val="4"/>
                  <c:pt idx="0">
                    <c:v>32.945</c:v>
                  </c:pt>
                  <c:pt idx="1">
                    <c:v>19.294</c:v>
                  </c:pt>
                  <c:pt idx="2">
                    <c:v>19.624000000000002</c:v>
                  </c:pt>
                  <c:pt idx="3">
                    <c:v>19.184000000000001</c:v>
                  </c:pt>
                </c:numCache>
              </c:numRef>
            </c:plus>
            <c:minus>
              <c:numRef>
                <c:f>'SAN 241-2015'!$R$17:$U$17</c:f>
                <c:numCache>
                  <c:formatCode>General</c:formatCode>
                  <c:ptCount val="4"/>
                  <c:pt idx="0">
                    <c:v>32.945</c:v>
                  </c:pt>
                  <c:pt idx="1">
                    <c:v>19.294</c:v>
                  </c:pt>
                  <c:pt idx="2">
                    <c:v>19.624000000000002</c:v>
                  </c:pt>
                  <c:pt idx="3">
                    <c:v>19.184000000000001</c:v>
                  </c:pt>
                </c:numCache>
              </c:numRef>
            </c:minus>
            <c:spPr>
              <a:noFill/>
              <a:ln w="9525" cap="flat" cmpd="sng" algn="ctr">
                <a:solidFill>
                  <a:schemeClr val="tx1">
                    <a:lumMod val="65000"/>
                    <a:lumOff val="35000"/>
                  </a:schemeClr>
                </a:solidFill>
                <a:round/>
              </a:ln>
              <a:effectLst/>
            </c:spPr>
          </c:errBars>
          <c:xVal>
            <c:numRef>
              <c:f>'SAN 241-2015'!$D$15:$G$15</c:f>
              <c:numCache>
                <c:formatCode>General</c:formatCode>
                <c:ptCount val="4"/>
                <c:pt idx="0">
                  <c:v>0</c:v>
                </c:pt>
                <c:pt idx="1">
                  <c:v>3.3</c:v>
                </c:pt>
                <c:pt idx="2">
                  <c:v>4</c:v>
                </c:pt>
                <c:pt idx="3">
                  <c:v>10</c:v>
                </c:pt>
              </c:numCache>
            </c:numRef>
          </c:xVal>
          <c:yVal>
            <c:numRef>
              <c:f>'SAN 241-2015'!$D$17:$G$17</c:f>
              <c:numCache>
                <c:formatCode>General</c:formatCode>
                <c:ptCount val="4"/>
                <c:pt idx="0">
                  <c:v>2995</c:v>
                </c:pt>
                <c:pt idx="1">
                  <c:v>1754</c:v>
                </c:pt>
                <c:pt idx="2">
                  <c:v>1784</c:v>
                </c:pt>
                <c:pt idx="3">
                  <c:v>1744</c:v>
                </c:pt>
              </c:numCache>
            </c:numRef>
          </c:yVal>
          <c:smooth val="0"/>
          <c:extLst>
            <c:ext xmlns:c16="http://schemas.microsoft.com/office/drawing/2014/chart" uri="{C3380CC4-5D6E-409C-BE32-E72D297353CC}">
              <c16:uniqueId val="{00000001-0D5E-4D48-861D-36F44B4B7B89}"/>
            </c:ext>
          </c:extLst>
        </c:ser>
        <c:ser>
          <c:idx val="3"/>
          <c:order val="2"/>
          <c:tx>
            <c:strRef>
              <c:f>'SAN 241-2015'!$C$18</c:f>
              <c:strCache>
                <c:ptCount val="1"/>
                <c:pt idx="0">
                  <c:v>WB</c:v>
                </c:pt>
              </c:strCache>
            </c:strRef>
          </c:tx>
          <c:spPr>
            <a:ln w="25400" cap="rnd">
              <a:solidFill>
                <a:srgbClr val="0070C0"/>
              </a:solidFill>
              <a:round/>
            </a:ln>
            <a:effectLst/>
          </c:spPr>
          <c:marker>
            <c:symbol val="circle"/>
            <c:size val="5"/>
            <c:spPr>
              <a:solidFill>
                <a:srgbClr val="0070C0"/>
              </a:solidFill>
              <a:ln w="9525">
                <a:solidFill>
                  <a:srgbClr val="0070C0"/>
                </a:solidFill>
              </a:ln>
              <a:effectLst/>
            </c:spPr>
          </c:marker>
          <c:errBars>
            <c:errDir val="y"/>
            <c:errBarType val="both"/>
            <c:errValType val="cust"/>
            <c:noEndCap val="0"/>
            <c:plus>
              <c:numRef>
                <c:f>'SAN 241-2015'!$R$18:$U$18</c:f>
                <c:numCache>
                  <c:formatCode>General</c:formatCode>
                  <c:ptCount val="4"/>
                  <c:pt idx="0">
                    <c:v>20.592000000000002</c:v>
                  </c:pt>
                  <c:pt idx="1">
                    <c:v>13.453000000000001</c:v>
                  </c:pt>
                  <c:pt idx="2">
                    <c:v>13.937000000000001</c:v>
                  </c:pt>
                  <c:pt idx="3">
                    <c:v>12.760000000000002</c:v>
                  </c:pt>
                </c:numCache>
              </c:numRef>
            </c:plus>
            <c:minus>
              <c:numRef>
                <c:f>'SAN 241-2015'!$R$18:$U$18</c:f>
                <c:numCache>
                  <c:formatCode>General</c:formatCode>
                  <c:ptCount val="4"/>
                  <c:pt idx="0">
                    <c:v>20.592000000000002</c:v>
                  </c:pt>
                  <c:pt idx="1">
                    <c:v>13.453000000000001</c:v>
                  </c:pt>
                  <c:pt idx="2">
                    <c:v>13.937000000000001</c:v>
                  </c:pt>
                  <c:pt idx="3">
                    <c:v>12.760000000000002</c:v>
                  </c:pt>
                </c:numCache>
              </c:numRef>
            </c:minus>
            <c:spPr>
              <a:noFill/>
              <a:ln w="9525" cap="flat" cmpd="sng" algn="ctr">
                <a:solidFill>
                  <a:schemeClr val="tx1">
                    <a:lumMod val="65000"/>
                    <a:lumOff val="35000"/>
                  </a:schemeClr>
                </a:solidFill>
                <a:round/>
              </a:ln>
              <a:effectLst/>
            </c:spPr>
          </c:errBars>
          <c:xVal>
            <c:numRef>
              <c:f>'SAN 241-2015'!$D$15:$G$15</c:f>
              <c:numCache>
                <c:formatCode>General</c:formatCode>
                <c:ptCount val="4"/>
                <c:pt idx="0">
                  <c:v>0</c:v>
                </c:pt>
                <c:pt idx="1">
                  <c:v>3.3</c:v>
                </c:pt>
                <c:pt idx="2">
                  <c:v>4</c:v>
                </c:pt>
                <c:pt idx="3">
                  <c:v>10</c:v>
                </c:pt>
              </c:numCache>
            </c:numRef>
          </c:xVal>
          <c:yVal>
            <c:numRef>
              <c:f>'SAN 241-2015'!$D$18:$G$18</c:f>
              <c:numCache>
                <c:formatCode>General</c:formatCode>
                <c:ptCount val="4"/>
                <c:pt idx="0">
                  <c:v>1872</c:v>
                </c:pt>
                <c:pt idx="1">
                  <c:v>1223</c:v>
                </c:pt>
                <c:pt idx="2">
                  <c:v>1267</c:v>
                </c:pt>
                <c:pt idx="3">
                  <c:v>1160</c:v>
                </c:pt>
              </c:numCache>
            </c:numRef>
          </c:yVal>
          <c:smooth val="0"/>
          <c:extLst>
            <c:ext xmlns:c16="http://schemas.microsoft.com/office/drawing/2014/chart" uri="{C3380CC4-5D6E-409C-BE32-E72D297353CC}">
              <c16:uniqueId val="{00000002-0D5E-4D48-861D-36F44B4B7B89}"/>
            </c:ext>
          </c:extLst>
        </c:ser>
        <c:dLbls>
          <c:showLegendKey val="0"/>
          <c:showVal val="0"/>
          <c:showCatName val="0"/>
          <c:showSerName val="0"/>
          <c:showPercent val="0"/>
          <c:showBubbleSize val="0"/>
        </c:dLbls>
        <c:axId val="561197615"/>
        <c:axId val="561190127"/>
      </c:scatterChart>
      <c:valAx>
        <c:axId val="561197615"/>
        <c:scaling>
          <c:orientation val="minMax"/>
          <c:max val="1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[U]/[M]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1190127"/>
        <c:crosses val="autoZero"/>
        <c:crossBetween val="midCat"/>
      </c:valAx>
      <c:valAx>
        <c:axId val="561190127"/>
        <c:scaling>
          <c:orientation val="minMax"/>
          <c:max val="3100"/>
          <c:min val="2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Concentration,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1197615"/>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ZA" b="1">
                <a:solidFill>
                  <a:sysClr val="windowText" lastClr="000000"/>
                </a:solidFill>
              </a:rPr>
              <a:t>Calcium</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scatterChart>
        <c:scatterStyle val="lineMarker"/>
        <c:varyColors val="0"/>
        <c:ser>
          <c:idx val="0"/>
          <c:order val="0"/>
          <c:tx>
            <c:strRef>
              <c:f>'SAN 241-2015'!$C$31</c:f>
              <c:strCache>
                <c:ptCount val="1"/>
                <c:pt idx="0">
                  <c:v>EB</c:v>
                </c:pt>
              </c:strCache>
            </c:strRef>
          </c:tx>
          <c:spPr>
            <a:ln w="25400" cap="rnd">
              <a:solidFill>
                <a:srgbClr val="FF0000"/>
              </a:solidFill>
              <a:round/>
            </a:ln>
            <a:effectLst/>
          </c:spPr>
          <c:marker>
            <c:symbol val="circle"/>
            <c:size val="5"/>
            <c:spPr>
              <a:solidFill>
                <a:srgbClr val="FF0000"/>
              </a:solidFill>
              <a:ln w="9525">
                <a:solidFill>
                  <a:srgbClr val="FF0000"/>
                </a:solidFill>
              </a:ln>
              <a:effectLst/>
            </c:spPr>
          </c:marker>
          <c:xVal>
            <c:numRef>
              <c:f>'SAN 241-2015'!$D$30:$G$30</c:f>
              <c:numCache>
                <c:formatCode>General</c:formatCode>
                <c:ptCount val="4"/>
                <c:pt idx="0">
                  <c:v>0</c:v>
                </c:pt>
                <c:pt idx="1">
                  <c:v>3.3</c:v>
                </c:pt>
                <c:pt idx="2">
                  <c:v>4</c:v>
                </c:pt>
                <c:pt idx="3">
                  <c:v>10</c:v>
                </c:pt>
              </c:numCache>
            </c:numRef>
          </c:xVal>
          <c:yVal>
            <c:numRef>
              <c:f>'SAN 241-2015'!$D$31:$G$31</c:f>
              <c:numCache>
                <c:formatCode>General</c:formatCode>
                <c:ptCount val="4"/>
                <c:pt idx="0">
                  <c:v>319</c:v>
                </c:pt>
                <c:pt idx="1">
                  <c:v>65.8</c:v>
                </c:pt>
                <c:pt idx="2">
                  <c:v>16.3</c:v>
                </c:pt>
                <c:pt idx="3">
                  <c:v>2.12</c:v>
                </c:pt>
              </c:numCache>
            </c:numRef>
          </c:yVal>
          <c:smooth val="0"/>
          <c:extLst>
            <c:ext xmlns:c16="http://schemas.microsoft.com/office/drawing/2014/chart" uri="{C3380CC4-5D6E-409C-BE32-E72D297353CC}">
              <c16:uniqueId val="{00000000-7121-457F-AADD-2EE800118E4E}"/>
            </c:ext>
          </c:extLst>
        </c:ser>
        <c:ser>
          <c:idx val="1"/>
          <c:order val="1"/>
          <c:tx>
            <c:strRef>
              <c:f>'SAN 241-2015'!$C$32</c:f>
              <c:strCache>
                <c:ptCount val="1"/>
                <c:pt idx="0">
                  <c:v>CB</c:v>
                </c:pt>
              </c:strCache>
            </c:strRef>
          </c:tx>
          <c:spPr>
            <a:ln w="25400" cap="rnd">
              <a:solidFill>
                <a:schemeClr val="tx1"/>
              </a:solidFill>
              <a:round/>
            </a:ln>
            <a:effectLst/>
          </c:spPr>
          <c:marker>
            <c:symbol val="circle"/>
            <c:size val="5"/>
            <c:spPr>
              <a:solidFill>
                <a:schemeClr val="tx1"/>
              </a:solidFill>
              <a:ln w="9525">
                <a:solidFill>
                  <a:schemeClr val="tx1"/>
                </a:solidFill>
              </a:ln>
              <a:effectLst/>
            </c:spPr>
          </c:marker>
          <c:xVal>
            <c:numRef>
              <c:f>'SAN 241-2015'!$D$30:$G$30</c:f>
              <c:numCache>
                <c:formatCode>General</c:formatCode>
                <c:ptCount val="4"/>
                <c:pt idx="0">
                  <c:v>0</c:v>
                </c:pt>
                <c:pt idx="1">
                  <c:v>3.3</c:v>
                </c:pt>
                <c:pt idx="2">
                  <c:v>4</c:v>
                </c:pt>
                <c:pt idx="3">
                  <c:v>10</c:v>
                </c:pt>
              </c:numCache>
            </c:numRef>
          </c:xVal>
          <c:yVal>
            <c:numRef>
              <c:f>'SAN 241-2015'!$D$32:$G$32</c:f>
              <c:numCache>
                <c:formatCode>General</c:formatCode>
                <c:ptCount val="4"/>
                <c:pt idx="0">
                  <c:v>550</c:v>
                </c:pt>
                <c:pt idx="1">
                  <c:v>256</c:v>
                </c:pt>
                <c:pt idx="2">
                  <c:v>133</c:v>
                </c:pt>
                <c:pt idx="3">
                  <c:v>7.48</c:v>
                </c:pt>
              </c:numCache>
            </c:numRef>
          </c:yVal>
          <c:smooth val="0"/>
          <c:extLst>
            <c:ext xmlns:c16="http://schemas.microsoft.com/office/drawing/2014/chart" uri="{C3380CC4-5D6E-409C-BE32-E72D297353CC}">
              <c16:uniqueId val="{00000001-7121-457F-AADD-2EE800118E4E}"/>
            </c:ext>
          </c:extLst>
        </c:ser>
        <c:ser>
          <c:idx val="2"/>
          <c:order val="2"/>
          <c:tx>
            <c:strRef>
              <c:f>'SAN 241-2015'!$C$33</c:f>
              <c:strCache>
                <c:ptCount val="1"/>
                <c:pt idx="0">
                  <c:v>WB</c:v>
                </c:pt>
              </c:strCache>
            </c:strRef>
          </c:tx>
          <c:spPr>
            <a:ln w="25400" cap="rnd">
              <a:solidFill>
                <a:srgbClr val="0070C0"/>
              </a:solidFill>
              <a:round/>
            </a:ln>
            <a:effectLst/>
          </c:spPr>
          <c:marker>
            <c:symbol val="circle"/>
            <c:size val="5"/>
            <c:spPr>
              <a:solidFill>
                <a:srgbClr val="0070C0"/>
              </a:solidFill>
              <a:ln w="9525">
                <a:solidFill>
                  <a:srgbClr val="0070C0"/>
                </a:solidFill>
              </a:ln>
              <a:effectLst/>
            </c:spPr>
          </c:marker>
          <c:xVal>
            <c:numRef>
              <c:f>'SAN 241-2015'!$D$30:$G$30</c:f>
              <c:numCache>
                <c:formatCode>General</c:formatCode>
                <c:ptCount val="4"/>
                <c:pt idx="0">
                  <c:v>0</c:v>
                </c:pt>
                <c:pt idx="1">
                  <c:v>3.3</c:v>
                </c:pt>
                <c:pt idx="2">
                  <c:v>4</c:v>
                </c:pt>
                <c:pt idx="3">
                  <c:v>10</c:v>
                </c:pt>
              </c:numCache>
            </c:numRef>
          </c:xVal>
          <c:yVal>
            <c:numRef>
              <c:f>'SAN 241-2015'!$D$33:$G$33</c:f>
              <c:numCache>
                <c:formatCode>General</c:formatCode>
                <c:ptCount val="4"/>
                <c:pt idx="0">
                  <c:v>547</c:v>
                </c:pt>
                <c:pt idx="1">
                  <c:v>231</c:v>
                </c:pt>
                <c:pt idx="2">
                  <c:v>115</c:v>
                </c:pt>
                <c:pt idx="3">
                  <c:v>9.86</c:v>
                </c:pt>
              </c:numCache>
            </c:numRef>
          </c:yVal>
          <c:smooth val="0"/>
          <c:extLst>
            <c:ext xmlns:c16="http://schemas.microsoft.com/office/drawing/2014/chart" uri="{C3380CC4-5D6E-409C-BE32-E72D297353CC}">
              <c16:uniqueId val="{00000002-7121-457F-AADD-2EE800118E4E}"/>
            </c:ext>
          </c:extLst>
        </c:ser>
        <c:dLbls>
          <c:showLegendKey val="0"/>
          <c:showVal val="0"/>
          <c:showCatName val="0"/>
          <c:showSerName val="0"/>
          <c:showPercent val="0"/>
          <c:showBubbleSize val="0"/>
        </c:dLbls>
        <c:axId val="561201775"/>
        <c:axId val="561199695"/>
      </c:scatterChart>
      <c:valAx>
        <c:axId val="561201775"/>
        <c:scaling>
          <c:orientation val="minMax"/>
          <c:max val="1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[U]/[M]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1199695"/>
        <c:crosses val="autoZero"/>
        <c:crossBetween val="midCat"/>
      </c:valAx>
      <c:valAx>
        <c:axId val="56119969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Concentration,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1201775"/>
        <c:crosses val="autoZero"/>
        <c:crossBetween val="midCat"/>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ZA" b="1">
                <a:solidFill>
                  <a:sysClr val="windowText" lastClr="000000"/>
                </a:solidFill>
              </a:rPr>
              <a:t>Magnesium</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scatterChart>
        <c:scatterStyle val="lineMarker"/>
        <c:varyColors val="0"/>
        <c:ser>
          <c:idx val="0"/>
          <c:order val="0"/>
          <c:tx>
            <c:strRef>
              <c:f>'SAN 241-2015'!$C$36</c:f>
              <c:strCache>
                <c:ptCount val="1"/>
                <c:pt idx="0">
                  <c:v>EB</c:v>
                </c:pt>
              </c:strCache>
            </c:strRef>
          </c:tx>
          <c:spPr>
            <a:ln w="25400" cap="rnd">
              <a:solidFill>
                <a:srgbClr val="FF0000"/>
              </a:solidFill>
              <a:round/>
            </a:ln>
            <a:effectLst/>
          </c:spPr>
          <c:marker>
            <c:symbol val="circle"/>
            <c:size val="5"/>
            <c:spPr>
              <a:solidFill>
                <a:srgbClr val="FF0000"/>
              </a:solidFill>
              <a:ln w="9525">
                <a:solidFill>
                  <a:srgbClr val="FF0000"/>
                </a:solidFill>
              </a:ln>
              <a:effectLst/>
            </c:spPr>
          </c:marker>
          <c:xVal>
            <c:numRef>
              <c:f>'SAN 241-2015'!$D$35:$G$35</c:f>
              <c:numCache>
                <c:formatCode>General</c:formatCode>
                <c:ptCount val="4"/>
                <c:pt idx="0">
                  <c:v>0</c:v>
                </c:pt>
                <c:pt idx="1">
                  <c:v>3.3</c:v>
                </c:pt>
                <c:pt idx="2">
                  <c:v>4</c:v>
                </c:pt>
                <c:pt idx="3">
                  <c:v>10</c:v>
                </c:pt>
              </c:numCache>
            </c:numRef>
          </c:xVal>
          <c:yVal>
            <c:numRef>
              <c:f>'SAN 241-2015'!$D$36:$G$36</c:f>
              <c:numCache>
                <c:formatCode>General</c:formatCode>
                <c:ptCount val="4"/>
                <c:pt idx="0">
                  <c:v>134</c:v>
                </c:pt>
                <c:pt idx="1">
                  <c:v>141</c:v>
                </c:pt>
                <c:pt idx="2">
                  <c:v>142</c:v>
                </c:pt>
                <c:pt idx="3">
                  <c:v>94.6</c:v>
                </c:pt>
              </c:numCache>
            </c:numRef>
          </c:yVal>
          <c:smooth val="0"/>
          <c:extLst>
            <c:ext xmlns:c16="http://schemas.microsoft.com/office/drawing/2014/chart" uri="{C3380CC4-5D6E-409C-BE32-E72D297353CC}">
              <c16:uniqueId val="{00000000-C9B2-4252-AA8B-BE1A354A4359}"/>
            </c:ext>
          </c:extLst>
        </c:ser>
        <c:ser>
          <c:idx val="1"/>
          <c:order val="1"/>
          <c:tx>
            <c:strRef>
              <c:f>'SAN 241-2015'!$C$37</c:f>
              <c:strCache>
                <c:ptCount val="1"/>
                <c:pt idx="0">
                  <c:v>CB</c:v>
                </c:pt>
              </c:strCache>
            </c:strRef>
          </c:tx>
          <c:spPr>
            <a:ln w="25400" cap="rnd">
              <a:solidFill>
                <a:schemeClr val="tx1"/>
              </a:solidFill>
              <a:round/>
            </a:ln>
            <a:effectLst/>
          </c:spPr>
          <c:marker>
            <c:symbol val="circle"/>
            <c:size val="5"/>
            <c:spPr>
              <a:solidFill>
                <a:schemeClr val="tx1"/>
              </a:solidFill>
              <a:ln w="9525">
                <a:solidFill>
                  <a:schemeClr val="tx1"/>
                </a:solidFill>
              </a:ln>
              <a:effectLst/>
            </c:spPr>
          </c:marker>
          <c:xVal>
            <c:numRef>
              <c:f>'SAN 241-2015'!$D$35:$G$35</c:f>
              <c:numCache>
                <c:formatCode>General</c:formatCode>
                <c:ptCount val="4"/>
                <c:pt idx="0">
                  <c:v>0</c:v>
                </c:pt>
                <c:pt idx="1">
                  <c:v>3.3</c:v>
                </c:pt>
                <c:pt idx="2">
                  <c:v>4</c:v>
                </c:pt>
                <c:pt idx="3">
                  <c:v>10</c:v>
                </c:pt>
              </c:numCache>
            </c:numRef>
          </c:xVal>
          <c:yVal>
            <c:numRef>
              <c:f>'SAN 241-2015'!$D$37:$G$37</c:f>
              <c:numCache>
                <c:formatCode>General</c:formatCode>
                <c:ptCount val="4"/>
                <c:pt idx="0">
                  <c:v>299</c:v>
                </c:pt>
                <c:pt idx="1">
                  <c:v>320</c:v>
                </c:pt>
                <c:pt idx="2">
                  <c:v>326</c:v>
                </c:pt>
                <c:pt idx="3">
                  <c:v>202</c:v>
                </c:pt>
              </c:numCache>
            </c:numRef>
          </c:yVal>
          <c:smooth val="0"/>
          <c:extLst>
            <c:ext xmlns:c16="http://schemas.microsoft.com/office/drawing/2014/chart" uri="{C3380CC4-5D6E-409C-BE32-E72D297353CC}">
              <c16:uniqueId val="{00000001-C9B2-4252-AA8B-BE1A354A4359}"/>
            </c:ext>
          </c:extLst>
        </c:ser>
        <c:ser>
          <c:idx val="2"/>
          <c:order val="2"/>
          <c:tx>
            <c:strRef>
              <c:f>'SAN 241-2015'!$C$38</c:f>
              <c:strCache>
                <c:ptCount val="1"/>
                <c:pt idx="0">
                  <c:v>WB</c:v>
                </c:pt>
              </c:strCache>
            </c:strRef>
          </c:tx>
          <c:spPr>
            <a:ln w="25400" cap="rnd">
              <a:solidFill>
                <a:srgbClr val="0070C0"/>
              </a:solidFill>
              <a:round/>
            </a:ln>
            <a:effectLst/>
          </c:spPr>
          <c:marker>
            <c:symbol val="circle"/>
            <c:size val="5"/>
            <c:spPr>
              <a:solidFill>
                <a:srgbClr val="0070C0"/>
              </a:solidFill>
              <a:ln w="9525">
                <a:solidFill>
                  <a:srgbClr val="0070C0"/>
                </a:solidFill>
              </a:ln>
              <a:effectLst/>
            </c:spPr>
          </c:marker>
          <c:xVal>
            <c:numRef>
              <c:f>'SAN 241-2015'!$D$35:$G$35</c:f>
              <c:numCache>
                <c:formatCode>General</c:formatCode>
                <c:ptCount val="4"/>
                <c:pt idx="0">
                  <c:v>0</c:v>
                </c:pt>
                <c:pt idx="1">
                  <c:v>3.3</c:v>
                </c:pt>
                <c:pt idx="2">
                  <c:v>4</c:v>
                </c:pt>
                <c:pt idx="3">
                  <c:v>10</c:v>
                </c:pt>
              </c:numCache>
            </c:numRef>
          </c:xVal>
          <c:yVal>
            <c:numRef>
              <c:f>'SAN 241-2015'!$D$38:$G$38</c:f>
              <c:numCache>
                <c:formatCode>General</c:formatCode>
                <c:ptCount val="4"/>
                <c:pt idx="0">
                  <c:v>136</c:v>
                </c:pt>
                <c:pt idx="1">
                  <c:v>133</c:v>
                </c:pt>
                <c:pt idx="2">
                  <c:v>142</c:v>
                </c:pt>
                <c:pt idx="3">
                  <c:v>89.9</c:v>
                </c:pt>
              </c:numCache>
            </c:numRef>
          </c:yVal>
          <c:smooth val="0"/>
          <c:extLst>
            <c:ext xmlns:c16="http://schemas.microsoft.com/office/drawing/2014/chart" uri="{C3380CC4-5D6E-409C-BE32-E72D297353CC}">
              <c16:uniqueId val="{00000002-C9B2-4252-AA8B-BE1A354A4359}"/>
            </c:ext>
          </c:extLst>
        </c:ser>
        <c:dLbls>
          <c:showLegendKey val="0"/>
          <c:showVal val="0"/>
          <c:showCatName val="0"/>
          <c:showSerName val="0"/>
          <c:showPercent val="0"/>
          <c:showBubbleSize val="0"/>
        </c:dLbls>
        <c:axId val="568256175"/>
        <c:axId val="568263663"/>
      </c:scatterChart>
      <c:valAx>
        <c:axId val="568256175"/>
        <c:scaling>
          <c:orientation val="minMax"/>
          <c:max val="1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[U]/[M]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263663"/>
        <c:crosses val="autoZero"/>
        <c:crossBetween val="midCat"/>
      </c:valAx>
      <c:valAx>
        <c:axId val="56826366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Concentration,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256175"/>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ZA" b="1">
                <a:solidFill>
                  <a:sysClr val="windowText" lastClr="000000"/>
                </a:solidFill>
              </a:rPr>
              <a:t>Sodium</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scatterChart>
        <c:scatterStyle val="lineMarker"/>
        <c:varyColors val="0"/>
        <c:ser>
          <c:idx val="1"/>
          <c:order val="0"/>
          <c:tx>
            <c:strRef>
              <c:f>'SAN 241-2015'!$C$52</c:f>
              <c:strCache>
                <c:ptCount val="1"/>
                <c:pt idx="0">
                  <c:v>EB</c:v>
                </c:pt>
              </c:strCache>
            </c:strRef>
          </c:tx>
          <c:spPr>
            <a:ln w="38100" cap="rnd">
              <a:solidFill>
                <a:srgbClr val="FF0000"/>
              </a:solidFill>
              <a:round/>
            </a:ln>
            <a:effectLst/>
          </c:spPr>
          <c:marker>
            <c:symbol val="circle"/>
            <c:size val="5"/>
            <c:spPr>
              <a:solidFill>
                <a:srgbClr val="FF0000"/>
              </a:solidFill>
              <a:ln w="9525">
                <a:solidFill>
                  <a:srgbClr val="FF0000"/>
                </a:solidFill>
              </a:ln>
              <a:effectLst/>
            </c:spPr>
          </c:marker>
          <c:xVal>
            <c:numRef>
              <c:f>'SAN 241-2015'!$D$51:$G$51</c:f>
              <c:numCache>
                <c:formatCode>General</c:formatCode>
                <c:ptCount val="4"/>
                <c:pt idx="0">
                  <c:v>0</c:v>
                </c:pt>
                <c:pt idx="1">
                  <c:v>3.3</c:v>
                </c:pt>
                <c:pt idx="2">
                  <c:v>4</c:v>
                </c:pt>
                <c:pt idx="3">
                  <c:v>10</c:v>
                </c:pt>
              </c:numCache>
            </c:numRef>
          </c:xVal>
          <c:yVal>
            <c:numRef>
              <c:f>'SAN 241-2015'!$D$52:$G$52</c:f>
              <c:numCache>
                <c:formatCode>General</c:formatCode>
                <c:ptCount val="4"/>
                <c:pt idx="0">
                  <c:v>191</c:v>
                </c:pt>
                <c:pt idx="1">
                  <c:v>208</c:v>
                </c:pt>
                <c:pt idx="2">
                  <c:v>213</c:v>
                </c:pt>
                <c:pt idx="3">
                  <c:v>151</c:v>
                </c:pt>
              </c:numCache>
            </c:numRef>
          </c:yVal>
          <c:smooth val="0"/>
          <c:extLst>
            <c:ext xmlns:c16="http://schemas.microsoft.com/office/drawing/2014/chart" uri="{C3380CC4-5D6E-409C-BE32-E72D297353CC}">
              <c16:uniqueId val="{00000000-C800-415C-9F17-C352219D6385}"/>
            </c:ext>
          </c:extLst>
        </c:ser>
        <c:ser>
          <c:idx val="2"/>
          <c:order val="1"/>
          <c:tx>
            <c:strRef>
              <c:f>'SAN 241-2015'!$C$53</c:f>
              <c:strCache>
                <c:ptCount val="1"/>
                <c:pt idx="0">
                  <c:v>CB</c:v>
                </c:pt>
              </c:strCache>
            </c:strRef>
          </c:tx>
          <c:spPr>
            <a:ln w="38100" cap="rnd">
              <a:solidFill>
                <a:schemeClr val="tx1"/>
              </a:solidFill>
              <a:round/>
            </a:ln>
            <a:effectLst/>
          </c:spPr>
          <c:marker>
            <c:symbol val="circle"/>
            <c:size val="5"/>
            <c:spPr>
              <a:solidFill>
                <a:schemeClr val="tx1"/>
              </a:solidFill>
              <a:ln w="9525">
                <a:solidFill>
                  <a:schemeClr val="tx1"/>
                </a:solidFill>
              </a:ln>
              <a:effectLst/>
            </c:spPr>
          </c:marker>
          <c:xVal>
            <c:numRef>
              <c:f>'SAN 241-2015'!$D$51:$G$51</c:f>
              <c:numCache>
                <c:formatCode>General</c:formatCode>
                <c:ptCount val="4"/>
                <c:pt idx="0">
                  <c:v>0</c:v>
                </c:pt>
                <c:pt idx="1">
                  <c:v>3.3</c:v>
                </c:pt>
                <c:pt idx="2">
                  <c:v>4</c:v>
                </c:pt>
                <c:pt idx="3">
                  <c:v>10</c:v>
                </c:pt>
              </c:numCache>
            </c:numRef>
          </c:xVal>
          <c:yVal>
            <c:numRef>
              <c:f>'SAN 241-2015'!$D$53:$G$53</c:f>
              <c:numCache>
                <c:formatCode>General</c:formatCode>
                <c:ptCount val="4"/>
                <c:pt idx="0">
                  <c:v>214</c:v>
                </c:pt>
                <c:pt idx="1">
                  <c:v>218</c:v>
                </c:pt>
                <c:pt idx="2">
                  <c:v>219</c:v>
                </c:pt>
                <c:pt idx="3">
                  <c:v>144</c:v>
                </c:pt>
              </c:numCache>
            </c:numRef>
          </c:yVal>
          <c:smooth val="0"/>
          <c:extLst>
            <c:ext xmlns:c16="http://schemas.microsoft.com/office/drawing/2014/chart" uri="{C3380CC4-5D6E-409C-BE32-E72D297353CC}">
              <c16:uniqueId val="{00000001-C800-415C-9F17-C352219D6385}"/>
            </c:ext>
          </c:extLst>
        </c:ser>
        <c:ser>
          <c:idx val="3"/>
          <c:order val="2"/>
          <c:tx>
            <c:strRef>
              <c:f>'SAN 241-2015'!$C$54</c:f>
              <c:strCache>
                <c:ptCount val="1"/>
                <c:pt idx="0">
                  <c:v>WB</c:v>
                </c:pt>
              </c:strCache>
            </c:strRef>
          </c:tx>
          <c:spPr>
            <a:ln w="38100" cap="rnd">
              <a:solidFill>
                <a:srgbClr val="0070C0"/>
              </a:solidFill>
              <a:round/>
            </a:ln>
            <a:effectLst/>
          </c:spPr>
          <c:marker>
            <c:symbol val="circle"/>
            <c:size val="5"/>
            <c:spPr>
              <a:solidFill>
                <a:srgbClr val="0070C0"/>
              </a:solidFill>
              <a:ln w="9525">
                <a:solidFill>
                  <a:srgbClr val="0070C0"/>
                </a:solidFill>
              </a:ln>
              <a:effectLst/>
            </c:spPr>
          </c:marker>
          <c:xVal>
            <c:numRef>
              <c:f>'SAN 241-2015'!$D$51:$G$51</c:f>
              <c:numCache>
                <c:formatCode>General</c:formatCode>
                <c:ptCount val="4"/>
                <c:pt idx="0">
                  <c:v>0</c:v>
                </c:pt>
                <c:pt idx="1">
                  <c:v>3.3</c:v>
                </c:pt>
                <c:pt idx="2">
                  <c:v>4</c:v>
                </c:pt>
                <c:pt idx="3">
                  <c:v>10</c:v>
                </c:pt>
              </c:numCache>
            </c:numRef>
          </c:xVal>
          <c:yVal>
            <c:numRef>
              <c:f>'SAN 241-2015'!$D$54:$G$54</c:f>
              <c:numCache>
                <c:formatCode>General</c:formatCode>
                <c:ptCount val="4"/>
                <c:pt idx="0">
                  <c:v>164</c:v>
                </c:pt>
                <c:pt idx="1">
                  <c:v>168</c:v>
                </c:pt>
                <c:pt idx="2">
                  <c:v>177</c:v>
                </c:pt>
                <c:pt idx="3">
                  <c:v>150</c:v>
                </c:pt>
              </c:numCache>
            </c:numRef>
          </c:yVal>
          <c:smooth val="0"/>
          <c:extLst>
            <c:ext xmlns:c16="http://schemas.microsoft.com/office/drawing/2014/chart" uri="{C3380CC4-5D6E-409C-BE32-E72D297353CC}">
              <c16:uniqueId val="{00000002-C800-415C-9F17-C352219D6385}"/>
            </c:ext>
          </c:extLst>
        </c:ser>
        <c:dLbls>
          <c:showLegendKey val="0"/>
          <c:showVal val="0"/>
          <c:showCatName val="0"/>
          <c:showSerName val="0"/>
          <c:showPercent val="0"/>
          <c:showBubbleSize val="0"/>
        </c:dLbls>
        <c:axId val="568264495"/>
        <c:axId val="568266575"/>
      </c:scatterChart>
      <c:valAx>
        <c:axId val="568264495"/>
        <c:scaling>
          <c:orientation val="minMax"/>
          <c:max val="1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[U]/[M]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266575"/>
        <c:crosses val="autoZero"/>
        <c:crossBetween val="midCat"/>
      </c:valAx>
      <c:valAx>
        <c:axId val="568266575"/>
        <c:scaling>
          <c:orientation val="minMax"/>
          <c:max val="250"/>
          <c:min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Concentration,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264495"/>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ZA" b="1">
                <a:solidFill>
                  <a:sysClr val="windowText" lastClr="000000"/>
                </a:solidFill>
              </a:rPr>
              <a:t>Potassium</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scatterChart>
        <c:scatterStyle val="lineMarker"/>
        <c:varyColors val="0"/>
        <c:ser>
          <c:idx val="1"/>
          <c:order val="0"/>
          <c:tx>
            <c:strRef>
              <c:f>'SAN 241-2015'!$C$57</c:f>
              <c:strCache>
                <c:ptCount val="1"/>
                <c:pt idx="0">
                  <c:v>EB</c:v>
                </c:pt>
              </c:strCache>
            </c:strRef>
          </c:tx>
          <c:spPr>
            <a:ln w="38100" cap="rnd">
              <a:solidFill>
                <a:srgbClr val="FF0000"/>
              </a:solidFill>
              <a:round/>
            </a:ln>
            <a:effectLst/>
          </c:spPr>
          <c:marker>
            <c:symbol val="circle"/>
            <c:size val="5"/>
            <c:spPr>
              <a:solidFill>
                <a:srgbClr val="FF0000"/>
              </a:solidFill>
              <a:ln w="9525">
                <a:solidFill>
                  <a:srgbClr val="FF0000"/>
                </a:solidFill>
              </a:ln>
              <a:effectLst/>
            </c:spPr>
          </c:marker>
          <c:xVal>
            <c:numRef>
              <c:f>'SAN 241-2015'!$D$56:$G$56</c:f>
              <c:numCache>
                <c:formatCode>General</c:formatCode>
                <c:ptCount val="4"/>
                <c:pt idx="0">
                  <c:v>0</c:v>
                </c:pt>
                <c:pt idx="1">
                  <c:v>3.3</c:v>
                </c:pt>
                <c:pt idx="2">
                  <c:v>4</c:v>
                </c:pt>
                <c:pt idx="3">
                  <c:v>10</c:v>
                </c:pt>
              </c:numCache>
            </c:numRef>
          </c:xVal>
          <c:yVal>
            <c:numRef>
              <c:f>'SAN 241-2015'!$D$57:$G$57</c:f>
              <c:numCache>
                <c:formatCode>General</c:formatCode>
                <c:ptCount val="4"/>
                <c:pt idx="0">
                  <c:v>16.8</c:v>
                </c:pt>
                <c:pt idx="1">
                  <c:v>14.8</c:v>
                </c:pt>
                <c:pt idx="2">
                  <c:v>15.8</c:v>
                </c:pt>
                <c:pt idx="3">
                  <c:v>12</c:v>
                </c:pt>
              </c:numCache>
            </c:numRef>
          </c:yVal>
          <c:smooth val="0"/>
          <c:extLst>
            <c:ext xmlns:c16="http://schemas.microsoft.com/office/drawing/2014/chart" uri="{C3380CC4-5D6E-409C-BE32-E72D297353CC}">
              <c16:uniqueId val="{00000000-AB67-40DE-AB03-45E3EC987E3D}"/>
            </c:ext>
          </c:extLst>
        </c:ser>
        <c:ser>
          <c:idx val="2"/>
          <c:order val="1"/>
          <c:tx>
            <c:strRef>
              <c:f>'SAN 241-2015'!$C$58</c:f>
              <c:strCache>
                <c:ptCount val="1"/>
                <c:pt idx="0">
                  <c:v>CB</c:v>
                </c:pt>
              </c:strCache>
            </c:strRef>
          </c:tx>
          <c:spPr>
            <a:ln w="38100" cap="rnd">
              <a:solidFill>
                <a:schemeClr val="tx1"/>
              </a:solidFill>
              <a:round/>
            </a:ln>
            <a:effectLst/>
          </c:spPr>
          <c:marker>
            <c:symbol val="circle"/>
            <c:size val="5"/>
            <c:spPr>
              <a:solidFill>
                <a:schemeClr val="tx1"/>
              </a:solidFill>
              <a:ln w="9525">
                <a:solidFill>
                  <a:schemeClr val="tx1"/>
                </a:solidFill>
              </a:ln>
              <a:effectLst/>
            </c:spPr>
          </c:marker>
          <c:xVal>
            <c:numRef>
              <c:f>'SAN 241-2015'!$D$56:$G$56</c:f>
              <c:numCache>
                <c:formatCode>General</c:formatCode>
                <c:ptCount val="4"/>
                <c:pt idx="0">
                  <c:v>0</c:v>
                </c:pt>
                <c:pt idx="1">
                  <c:v>3.3</c:v>
                </c:pt>
                <c:pt idx="2">
                  <c:v>4</c:v>
                </c:pt>
                <c:pt idx="3">
                  <c:v>10</c:v>
                </c:pt>
              </c:numCache>
            </c:numRef>
          </c:xVal>
          <c:yVal>
            <c:numRef>
              <c:f>'SAN 241-2015'!$D$58:$G$58</c:f>
              <c:numCache>
                <c:formatCode>General</c:formatCode>
                <c:ptCount val="4"/>
                <c:pt idx="0">
                  <c:v>23.8</c:v>
                </c:pt>
                <c:pt idx="1">
                  <c:v>17.8</c:v>
                </c:pt>
                <c:pt idx="2">
                  <c:v>17.2</c:v>
                </c:pt>
                <c:pt idx="3">
                  <c:v>13.2</c:v>
                </c:pt>
              </c:numCache>
            </c:numRef>
          </c:yVal>
          <c:smooth val="0"/>
          <c:extLst>
            <c:ext xmlns:c16="http://schemas.microsoft.com/office/drawing/2014/chart" uri="{C3380CC4-5D6E-409C-BE32-E72D297353CC}">
              <c16:uniqueId val="{00000001-AB67-40DE-AB03-45E3EC987E3D}"/>
            </c:ext>
          </c:extLst>
        </c:ser>
        <c:ser>
          <c:idx val="3"/>
          <c:order val="2"/>
          <c:tx>
            <c:strRef>
              <c:f>'SAN 241-2015'!$C$59</c:f>
              <c:strCache>
                <c:ptCount val="1"/>
                <c:pt idx="0">
                  <c:v>WB</c:v>
                </c:pt>
              </c:strCache>
            </c:strRef>
          </c:tx>
          <c:spPr>
            <a:ln w="38100" cap="rnd">
              <a:solidFill>
                <a:srgbClr val="0070C0"/>
              </a:solidFill>
              <a:round/>
            </a:ln>
            <a:effectLst/>
          </c:spPr>
          <c:marker>
            <c:symbol val="circle"/>
            <c:size val="5"/>
            <c:spPr>
              <a:solidFill>
                <a:srgbClr val="0070C0"/>
              </a:solidFill>
              <a:ln w="9525">
                <a:solidFill>
                  <a:srgbClr val="0070C0"/>
                </a:solidFill>
              </a:ln>
              <a:effectLst/>
            </c:spPr>
          </c:marker>
          <c:xVal>
            <c:numRef>
              <c:f>'SAN 241-2015'!$D$56:$G$56</c:f>
              <c:numCache>
                <c:formatCode>General</c:formatCode>
                <c:ptCount val="4"/>
                <c:pt idx="0">
                  <c:v>0</c:v>
                </c:pt>
                <c:pt idx="1">
                  <c:v>3.3</c:v>
                </c:pt>
                <c:pt idx="2">
                  <c:v>4</c:v>
                </c:pt>
                <c:pt idx="3">
                  <c:v>10</c:v>
                </c:pt>
              </c:numCache>
            </c:numRef>
          </c:xVal>
          <c:yVal>
            <c:numRef>
              <c:f>'SAN 241-2015'!$D$59:$G$59</c:f>
              <c:numCache>
                <c:formatCode>General</c:formatCode>
                <c:ptCount val="4"/>
                <c:pt idx="0">
                  <c:v>22.7</c:v>
                </c:pt>
                <c:pt idx="1">
                  <c:v>18.7</c:v>
                </c:pt>
                <c:pt idx="2">
                  <c:v>19.399999999999999</c:v>
                </c:pt>
                <c:pt idx="3">
                  <c:v>13.8</c:v>
                </c:pt>
              </c:numCache>
            </c:numRef>
          </c:yVal>
          <c:smooth val="0"/>
          <c:extLst>
            <c:ext xmlns:c16="http://schemas.microsoft.com/office/drawing/2014/chart" uri="{C3380CC4-5D6E-409C-BE32-E72D297353CC}">
              <c16:uniqueId val="{00000002-AB67-40DE-AB03-45E3EC987E3D}"/>
            </c:ext>
          </c:extLst>
        </c:ser>
        <c:dLbls>
          <c:showLegendKey val="0"/>
          <c:showVal val="0"/>
          <c:showCatName val="0"/>
          <c:showSerName val="0"/>
          <c:showPercent val="0"/>
          <c:showBubbleSize val="0"/>
        </c:dLbls>
        <c:axId val="565091023"/>
        <c:axId val="565083951"/>
      </c:scatterChart>
      <c:valAx>
        <c:axId val="565091023"/>
        <c:scaling>
          <c:orientation val="minMax"/>
          <c:max val="1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[U]/[M]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5083951"/>
        <c:crosses val="autoZero"/>
        <c:crossBetween val="midCat"/>
      </c:valAx>
      <c:valAx>
        <c:axId val="565083951"/>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Concentration,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5091023"/>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0.2392</cdr:x>
      <cdr:y>0.59602</cdr:y>
    </cdr:from>
    <cdr:to>
      <cdr:x>0.93638</cdr:x>
      <cdr:y>0.61864</cdr:y>
    </cdr:to>
    <cdr:sp macro="" textlink="">
      <cdr:nvSpPr>
        <cdr:cNvPr id="2" name="Rectangle 1"/>
        <cdr:cNvSpPr/>
      </cdr:nvSpPr>
      <cdr:spPr>
        <a:xfrm xmlns:a="http://schemas.openxmlformats.org/drawingml/2006/main">
          <a:off x="687629" y="1451824"/>
          <a:ext cx="2004136" cy="55107"/>
        </a:xfrm>
        <a:prstGeom xmlns:a="http://schemas.openxmlformats.org/drawingml/2006/main" prst="rect">
          <a:avLst/>
        </a:prstGeom>
        <a:solidFill xmlns:a="http://schemas.openxmlformats.org/drawingml/2006/main">
          <a:schemeClr val="accent6">
            <a:alpha val="41000"/>
          </a:schemeClr>
        </a:solidFill>
        <a:ln xmlns:a="http://schemas.openxmlformats.org/drawingml/2006/main">
          <a:solidFill>
            <a:schemeClr val="accent6"/>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n-ZA"/>
        </a:p>
      </cdr:txBody>
    </cdr:sp>
  </cdr:relSizeAnchor>
</c:userShapes>
</file>

<file path=word/drawings/drawing2.xml><?xml version="1.0" encoding="utf-8"?>
<c:userShapes xmlns:c="http://schemas.openxmlformats.org/drawingml/2006/chart">
  <cdr:relSizeAnchor xmlns:cdr="http://schemas.openxmlformats.org/drawingml/2006/chartDrawing">
    <cdr:from>
      <cdr:x>0.21665</cdr:x>
      <cdr:y>0.56264</cdr:y>
    </cdr:from>
    <cdr:to>
      <cdr:x>0.9346</cdr:x>
      <cdr:y>0.56264</cdr:y>
    </cdr:to>
    <cdr:cxnSp macro="">
      <cdr:nvCxnSpPr>
        <cdr:cNvPr id="7" name="Straight Connector 6"/>
        <cdr:cNvCxnSpPr/>
      </cdr:nvCxnSpPr>
      <cdr:spPr>
        <a:xfrm xmlns:a="http://schemas.openxmlformats.org/drawingml/2006/main">
          <a:off x="629107" y="1463040"/>
          <a:ext cx="2084832" cy="0"/>
        </a:xfrm>
        <a:prstGeom xmlns:a="http://schemas.openxmlformats.org/drawingml/2006/main" prst="line">
          <a:avLst/>
        </a:prstGeom>
        <a:ln xmlns:a="http://schemas.openxmlformats.org/drawingml/2006/main" w="19050"/>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0.21665</cdr:x>
      <cdr:y>0.33709</cdr:y>
    </cdr:from>
    <cdr:to>
      <cdr:x>0.92956</cdr:x>
      <cdr:y>0.3399</cdr:y>
    </cdr:to>
    <cdr:cxnSp macro="">
      <cdr:nvCxnSpPr>
        <cdr:cNvPr id="4" name="Straight Connector 3"/>
        <cdr:cNvCxnSpPr/>
      </cdr:nvCxnSpPr>
      <cdr:spPr>
        <a:xfrm xmlns:a="http://schemas.openxmlformats.org/drawingml/2006/main" flipV="1">
          <a:off x="629107" y="877824"/>
          <a:ext cx="2070202" cy="7315"/>
        </a:xfrm>
        <a:prstGeom xmlns:a="http://schemas.openxmlformats.org/drawingml/2006/main" prst="line">
          <a:avLst/>
        </a:prstGeom>
        <a:ln xmlns:a="http://schemas.openxmlformats.org/drawingml/2006/main" w="19050"/>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Dur12</b:Tag>
    <b:SourceType>JournalArticle</b:SourceType>
    <b:Guid>{405AFA5D-A7E3-4AA7-BD50-6D9BD3BE9FFD}</b:Guid>
    <b:Author>
      <b:Author>
        <b:NameList>
          <b:Person>
            <b:Last>Durand</b:Last>
            <b:First>J.F.</b:First>
          </b:Person>
        </b:NameList>
      </b:Author>
    </b:Author>
    <b:Title>The impact of gold mining on the Witwatersrand on the rivers and karst system of Gauteng and North West Province, South Africa</b:Title>
    <b:JournalName>Journal of African Earth Science</b:JournalName>
    <b:Year>2012</b:Year>
    <b:Pages>24-43</b:Pages>
    <b:Volume>68</b:Volume>
    <b:DOI>10.1016/j.jafrearsci.2012.03.013</b:DOI>
    <b:RefOrder>3</b:RefOrder>
  </b:Source>
  <b:Source>
    <b:Tag>Rod19</b:Tag>
    <b:SourceType>JournalArticle</b:SourceType>
    <b:Guid>{A08C4341-83D6-4F92-9C42-61C5887980DB}</b:Guid>
    <b:Author>
      <b:Author>
        <b:NameList>
          <b:Person>
            <b:Last>Rodrigues-Galan</b:Last>
            <b:First>Monica</b:First>
          </b:Person>
          <b:Person>
            <b:Last>Baena-Moreno</b:Last>
            <b:First>Francisco</b:First>
            <b:Middle>M.</b:Middle>
          </b:Person>
          <b:Person>
            <b:Last>Vazquez</b:Last>
            <b:First>Sara</b:First>
          </b:Person>
          <b:Person>
            <b:Last>Arroyo-Torralvo</b:Last>
            <b:First>Fatima</b:First>
          </b:Person>
          <b:Person>
            <b:Last>Vilches</b:Last>
            <b:First>Luis</b:First>
            <b:Middle>F.</b:Middle>
          </b:Person>
          <b:Person>
            <b:Last>Zhang</b:Last>
            <b:First>Zhlen</b:First>
          </b:Person>
        </b:NameList>
      </b:Author>
    </b:Author>
    <b:Title>Remediation of acid mine drainage</b:Title>
    <b:JournalName>Envirnmental Chemistry Letters</b:JournalName>
    <b:Year>2019</b:Year>
    <b:Pages>1529-1538</b:Pages>
    <b:Volume>17</b:Volume>
    <b:DOI>10.1007/s10311-019-00894-w</b:DOI>
    <b:RefOrder>1</b:RefOrder>
  </b:Source>
  <b:Source>
    <b:Tag>Mhl16</b:Tag>
    <b:SourceType>JournalArticle</b:SourceType>
    <b:Guid>{14EF4D62-BE77-4F9A-B204-ED8358595A0F}</b:Guid>
    <b:Author>
      <b:Author>
        <b:NameList>
          <b:Person>
            <b:Last>Mhlongo</b:Last>
            <b:First>S.E.</b:First>
          </b:Person>
          <b:Person>
            <b:Last>Amponsah-Dacosta</b:Last>
            <b:First>F.</b:First>
          </b:Person>
        </b:NameList>
      </b:Author>
    </b:Author>
    <b:Title>A review of problems and solutions of abondoned mines in South Africa</b:Title>
    <b:JournalName>International Journal of Mining, Reclamation and Environment</b:JournalName>
    <b:Year>2016</b:Year>
    <b:Pages>279-294</b:Pages>
    <b:Volume>30</b:Volume>
    <b:Issue>4</b:Issue>
    <b:DOI>10.1080/17480930.2015.1044046</b:DOI>
    <b:RefOrder>2</b:RefOrder>
  </b:Source>
  <b:Source>
    <b:Tag>Rof19</b:Tag>
    <b:SourceType>JournalArticle</b:SourceType>
    <b:Guid>{2DBB216E-6B07-4CA2-8A8F-A9EE3AB8853E}</b:Guid>
    <b:Author>
      <b:Author>
        <b:NameList>
          <b:Person>
            <b:Last>Roffe</b:Last>
            <b:First>S.J.</b:First>
          </b:Person>
          <b:Person>
            <b:Last>Fitchett</b:Last>
            <b:First>J.M.</b:First>
          </b:Person>
          <b:Person>
            <b:Last>Curtis</b:Last>
            <b:First>C.J.</b:First>
          </b:Person>
        </b:NameList>
      </b:Author>
    </b:Author>
    <b:Title>Classifying and mapping rainfall seasonality in South Africa: a review</b:Title>
    <b:JournalName>South African Geographical Journal</b:JournalName>
    <b:Year>2019</b:Year>
    <b:Pages>158-174</b:Pages>
    <b:Volume>101</b:Volume>
    <b:Issue>2</b:Issue>
    <b:DOI>10.1080/03736245.2019.1573151</b:DOI>
    <b:RefOrder>15</b:RefOrder>
  </b:Source>
  <b:Source>
    <b:Tag>Zha23</b:Tag>
    <b:SourceType>JournalArticle</b:SourceType>
    <b:Guid>{51667155-6534-439D-9C36-3195C6053D75}</b:Guid>
    <b:Title>Global trends and future prospects of acid mine drainage research</b:Title>
    <b:Year>2023</b:Year>
    <b:Author>
      <b:Author>
        <b:NameList>
          <b:Person>
            <b:Last>Zhang</b:Last>
            <b:First>Min</b:First>
          </b:Person>
          <b:Person>
            <b:Last>Huang</b:Last>
            <b:First>Chang</b:First>
          </b:Person>
          <b:Person>
            <b:Last>Ni</b:Last>
            <b:First>Jin</b:First>
          </b:Person>
          <b:Person>
            <b:Last>Yue</b:Last>
            <b:First>Siyuan</b:First>
          </b:Person>
        </b:NameList>
      </b:Author>
    </b:Author>
    <b:JournalName>Environmental Science and Pollution Research</b:JournalName>
    <b:Pages>109233-109249</b:Pages>
    <b:Volume>30</b:Volume>
    <b:DOI>10.1007/s11356-023-30059-w</b:DOI>
    <b:RefOrder>16</b:RefOrder>
  </b:Source>
  <b:Source>
    <b:Tag>Dig12</b:Tag>
    <b:SourceType>Report</b:SourceType>
    <b:Guid>{FFFEF9A4-E18D-48A6-85B1-C2F960C41115}</b:Guid>
    <b:Title>Final Scoping Report for the Immediate and Short Term Interventions for the Treatment of Acid Mine Drainage (AMD) in the Western, Central and Eastern Basins of the Witwatersrand Gold Fields</b:Title>
    <b:Year>2012</b:Year>
    <b:Publisher>Digby Wells Environmental</b:Publisher>
    <b:Author>
      <b:Author>
        <b:Corporate>Digby Wells Environmental</b:Corporate>
      </b:Author>
    </b:Author>
    <b:RefOrder>4</b:RefOrder>
  </b:Source>
  <b:Source>
    <b:Tag>Hob17</b:Tag>
    <b:SourceType>JournalArticle</b:SourceType>
    <b:Guid>{4317192C-D711-4718-93BB-5D611C993ECA}</b:Guid>
    <b:Title>TDS load contribution from acid mine drainage to Hartebeespoort Dam, South Africa</b:Title>
    <b:Year>2017</b:Year>
    <b:Pages>626-637</b:Pages>
    <b:Author>
      <b:Author>
        <b:NameList>
          <b:Person>
            <b:Last>Hobbs</b:Last>
            <b:First>P.J.</b:First>
          </b:Person>
        </b:NameList>
      </b:Author>
    </b:Author>
    <b:JournalName>Water SA</b:JournalName>
    <b:Volume>43</b:Volume>
    <b:Issue>4</b:Issue>
    <b:DOI>10.4314/wsa.v43i4.10</b:DOI>
    <b:RefOrder>17</b:RefOrder>
  </b:Source>
  <b:Source>
    <b:Tag>Wib21</b:Tag>
    <b:SourceType>JournalArticle</b:SourceType>
    <b:Guid>{DE4874AD-9EF2-4CBC-9E84-F6C3CC43EBAA}</b:Guid>
    <b:Author>
      <b:Author>
        <b:NameList>
          <b:Person>
            <b:Last>Wibowo</b:Last>
            <b:First>Yudha</b:First>
            <b:Middle>Gusti</b:Middle>
          </b:Person>
          <b:Person>
            <b:Last>Fadhilah</b:Last>
            <b:First>Rahmat</b:First>
          </b:Person>
          <b:Person>
            <b:Last>Syarifuddin</b:Last>
            <b:First>Hutwan</b:First>
          </b:Person>
          <b:Person>
            <b:Last>Maryani</b:Last>
            <b:First>Anis</b:First>
            <b:Middle>Tatik</b:Middle>
          </b:Person>
          <b:Person>
            <b:Last>Putri</b:Last>
            <b:First>Intan</b:First>
            <b:Middle>Andriani</b:Middle>
          </b:Person>
        </b:NameList>
      </b:Author>
    </b:Author>
    <b:Title>A Critical Review of Acid Mine Drainage Treatment</b:Title>
    <b:JournalName>Journal Presipitasi: Media Komunikasi dan Pengembagan Teknik Lingkungan</b:JournalName>
    <b:Year>2021</b:Year>
    <b:Pages>524-535</b:Pages>
    <b:Volume>18</b:Volume>
    <b:Issue>3</b:Issue>
    <b:DOI>10.14710/presipitasi.v18i3.524-535</b:DOI>
    <b:RefOrder>18</b:RefOrder>
  </b:Source>
  <b:Source>
    <b:Tag>Nai191</b:Tag>
    <b:SourceType>JournalArticle</b:SourceType>
    <b:Guid>{A7B59082-4EBB-4633-AC29-97B2A52F10E1}</b:Guid>
    <b:Author>
      <b:Author>
        <b:NameList>
          <b:Person>
            <b:Last>Naidu</b:Last>
            <b:First>Gayathri</b:First>
          </b:Person>
          <b:Person>
            <b:Last>Ryu</b:Last>
            <b:First>Seongchul</b:First>
          </b:Person>
          <b:Person>
            <b:Last>Thiruvenkatachari</b:Last>
            <b:First>Ramesh</b:First>
          </b:Person>
          <b:Person>
            <b:Last>Choi</b:Last>
            <b:First>Youngkwon</b:First>
          </b:Person>
          <b:Person>
            <b:Last>Jeong</b:Last>
            <b:First>Sanghyun</b:First>
          </b:Person>
          <b:Person>
            <b:Last>Vigneswaran</b:Last>
            <b:First>Saravanamuthu</b:First>
          </b:Person>
        </b:NameList>
      </b:Author>
    </b:Author>
    <b:Title>A critical review on remediation, reuse, and resource recovery from acid mine drainage</b:Title>
    <b:JournalName>Environmental Pollution</b:JournalName>
    <b:Year>2019</b:Year>
    <b:Pages>1110-1124</b:Pages>
    <b:Volume>247</b:Volume>
    <b:DOI>10.1016/j.envpol.2019.01.085</b:DOI>
    <b:RefOrder>5</b:RefOrder>
  </b:Source>
  <b:Source>
    <b:Tag>Che211</b:Tag>
    <b:SourceType>JournalArticle</b:SourceType>
    <b:Guid>{5AF3D897-E858-46BC-A2C9-98435EBD1F0B}</b:Guid>
    <b:Author>
      <b:Author>
        <b:NameList>
          <b:Person>
            <b:Last>Chen</b:Last>
            <b:First>Guan</b:First>
          </b:Person>
          <b:Person>
            <b:Last>Ye</b:Last>
            <b:First>Yicheng</b:First>
          </b:Person>
          <b:Person>
            <b:Last>Yao</b:Last>
            <b:First>Nan</b:First>
          </b:Person>
          <b:Person>
            <b:Last>Hu</b:Last>
            <b:First>Nanyan</b:First>
          </b:Person>
          <b:Person>
            <b:Last>Zhang</b:Last>
            <b:First>Jie</b:First>
          </b:Person>
          <b:Person>
            <b:Last>Huang</b:Last>
            <b:First>Yang</b:First>
          </b:Person>
        </b:NameList>
      </b:Author>
    </b:Author>
    <b:Title>A critical review of prevention, treatment, reuse, and resource recovery from acid mine drainage</b:Title>
    <b:JournalName>Journal of Cleaner Production</b:JournalName>
    <b:Year>2021</b:Year>
    <b:Pages>1-21 (129666)</b:Pages>
    <b:Volume>329</b:Volume>
    <b:DOI>10.1016/j.jclepro.2021.129666</b:DOI>
    <b:RefOrder>11</b:RefOrder>
  </b:Source>
  <b:Source>
    <b:Tag>Moo18</b:Tag>
    <b:SourceType>JournalArticle</b:SourceType>
    <b:Guid>{02C4C33E-0900-472F-9F03-03150B14FE0E}</b:Guid>
    <b:Author>
      <b:Author>
        <b:NameList>
          <b:Person>
            <b:Last>Moodley</b:Last>
            <b:First>I.</b:First>
          </b:Person>
          <b:Person>
            <b:Last>Sheridan</b:Last>
            <b:First>C.M.</b:First>
          </b:Person>
          <b:Person>
            <b:Last>Kappelmeyer</b:Last>
            <b:First>U.</b:First>
          </b:Person>
          <b:Person>
            <b:Last>Akcil</b:Last>
            <b:First>A.</b:First>
          </b:Person>
        </b:NameList>
      </b:Author>
    </b:Author>
    <b:Title>Environmentally sustainable acid mine drainage remediation: Research developments with focus on waste/by-products</b:Title>
    <b:JournalName>Minerals Engineering</b:JournalName>
    <b:Year>2018</b:Year>
    <b:Pages>207-220</b:Pages>
    <b:Volume>126</b:Volume>
    <b:DOI>10.1016/j.mineng.2018.08.008</b:DOI>
    <b:RefOrder>19</b:RefOrder>
  </b:Source>
  <b:Source>
    <b:Tag>Kef17</b:Tag>
    <b:SourceType>JournalArticle</b:SourceType>
    <b:Guid>{878D85BF-A261-433C-BD5F-6D0BFA50B18B}</b:Guid>
    <b:Title>Acid mine drainage: Prevention, treatment options, and resource recovery: A review</b:Title>
    <b:Year>2017</b:Year>
    <b:Pages>475-493</b:Pages>
    <b:Author>
      <b:Author>
        <b:NameList>
          <b:Person>
            <b:Last>Kefeni</b:Last>
            <b:First>Kebede</b:First>
            <b:Middle>K.</b:Middle>
          </b:Person>
          <b:Person>
            <b:Last>Msagati</b:Last>
            <b:First>Titus</b:First>
            <b:Middle>A.M.</b:Middle>
          </b:Person>
          <b:Person>
            <b:Last>B.</b:Last>
            <b:First>Mamba</b:First>
            <b:Middle>Bhekie</b:Middle>
          </b:Person>
        </b:NameList>
      </b:Author>
    </b:Author>
    <b:JournalName>Journal of Cleaner Production</b:JournalName>
    <b:Volume>151</b:Volume>
    <b:DOI>10.1016/j.jclepro.2017.03.082</b:DOI>
    <b:RefOrder>20</b:RefOrder>
  </b:Source>
  <b:Source>
    <b:Tag>Gre19</b:Tag>
    <b:SourceType>JournalArticle</b:SourceType>
    <b:Guid>{DF2826B7-3CAD-4D99-976D-BDE513D98DA9}</b:Guid>
    <b:Author>
      <b:Author>
        <b:NameList>
          <b:Person>
            <b:Last>Grewar</b:Last>
            <b:First>T.</b:First>
          </b:Person>
        </b:NameList>
      </b:Author>
    </b:Author>
    <b:Title>South Africa's options for mine impacted water re-use: A review</b:Title>
    <b:JournalName>The Journal of the Southern Africa Institute of Mining and Metallurgy</b:JournalName>
    <b:Year>2019</b:Year>
    <b:Pages>321-331</b:Pages>
    <b:Volume>119</b:Volume>
    <b:DOI>10.17159/2411-9717/2019v119n3a12</b:DOI>
    <b:RefOrder>14</b:RefOrder>
  </b:Source>
  <b:Source>
    <b:Tag>Sub12</b:Tag>
    <b:SourceType>BookSection</b:SourceType>
    <b:Guid>{A876BC4F-BB2B-45C7-AAEE-2385C08547A9}</b:Guid>
    <b:Title>Homogeneous precipitation with Urea: A versatile way to metal oxide nanoparticles</b:Title>
    <b:Year>2012</b:Year>
    <b:Pages>109-148</b:Pages>
    <b:Author>
      <b:Author>
        <b:NameList>
          <b:Person>
            <b:Last>Subrt</b:Last>
            <b:First>Jan</b:First>
          </b:Person>
        </b:NameList>
      </b:Author>
      <b:BookAuthor>
        <b:NameList>
          <b:Person>
            <b:Last>Munoz</b:Last>
            <b:First>Carla</b:First>
            <b:Middle>Maria</b:Middle>
          </b:Person>
          <b:Person>
            <b:Last>Fernandez</b:Last>
            <b:First>Andres</b:First>
            <b:Middle>Manuel</b:Middle>
          </b:Person>
        </b:NameList>
      </b:BookAuthor>
    </b:Author>
    <b:BookTitle>Urea: Synthesis, Properties and Uses</b:BookTitle>
    <b:City>New York</b:City>
    <b:Publisher>Nova Science Publishers, Inc.</b:Publisher>
    <b:RefOrder>6</b:RefOrder>
  </b:Source>
  <b:Source>
    <b:Tag>Khund</b:Tag>
    <b:SourceType>JournalArticle</b:SourceType>
    <b:Guid>{D26707AF-8078-47D8-AB7A-F2B5E0E42468}</b:Guid>
    <b:Title>A biomimetic synthesis of Aragonite Nanorods from Acid Mine Drainage (AMD) of the Witwatersrand basin in Gauteng, South Africa</b:Title>
    <b:Year>n.d.</b:Year>
    <b:Author>
      <b:Author>
        <b:NameList>
          <b:Person>
            <b:Last>Khumalo</b:Last>
            <b:First>R.D.S</b:First>
          </b:Person>
          <b:Person>
            <b:Last>Chirwa</b:Last>
            <b:First>E.M.N.</b:First>
          </b:Person>
        </b:NameList>
      </b:Author>
    </b:Author>
    <b:JournalName>Heliyon</b:JournalName>
    <b:Pages>1-30</b:Pages>
    <b:RefOrder>7</b:RefOrder>
  </b:Source>
  <b:Source>
    <b:Tag>Lou21</b:Tag>
    <b:SourceType>JournalArticle</b:SourceType>
    <b:Guid>{BFBD4D37-A956-41D9-B3B7-55F678A80E01}</b:Guid>
    <b:Title>The influence of a high-density sludge acid mine drainage (AMD) chemical treatment plant on water quality along the Blesbokspruit Wetland, South Africa</b:Title>
    <b:Year>2021</b:Year>
    <b:Author>
      <b:Author>
        <b:NameList>
          <b:Person>
            <b:Last>Lourenco</b:Last>
            <b:First>Mauro</b:First>
          </b:Person>
          <b:Person>
            <b:Last>Curtis</b:Last>
            <b:First>Chris</b:First>
          </b:Person>
        </b:NameList>
      </b:Author>
    </b:Author>
    <b:JournalName>Water SA</b:JournalName>
    <b:Pages>35-44</b:Pages>
    <b:Volume>47</b:Volume>
    <b:Issue>1</b:Issue>
    <b:DOI>10.17159/wsa/2021.v47.i1.9443</b:DOI>
    <b:RefOrder>8</b:RefOrder>
  </b:Source>
  <b:Source>
    <b:Tag>Ash18</b:Tag>
    <b:SourceType>JournalArticle</b:SourceType>
    <b:Guid>{A8AE77DF-E198-4BC2-8BC2-20CB8ADC97B2}</b:Guid>
    <b:Author>
      <b:Author>
        <b:NameList>
          <b:Person>
            <b:Last>Ashane</b:Last>
            <b:First>W.</b:First>
          </b:Person>
          <b:Person>
            <b:Last>Fernando</b:Last>
            <b:First>M.</b:First>
          </b:Person>
          <b:Person>
            <b:Last>Ilankoon</b:Last>
            <b:First>I.M.S.K.</b:First>
          </b:Person>
          <b:Person>
            <b:Last>Syed</b:Last>
            <b:First>Tauqir</b:First>
            <b:Middle>H.</b:Middle>
          </b:Person>
          <b:Person>
            <b:Last>Yellishetty</b:Last>
            <b:First>Mohan</b:First>
          </b:Person>
        </b:NameList>
      </b:Author>
    </b:Author>
    <b:Title>Challenges and opportunities in the removal of sulphate ions in contaminated mine water: A review</b:Title>
    <b:JournalName>Minerals Engineering</b:JournalName>
    <b:Year>2018</b:Year>
    <b:Pages>74-90</b:Pages>
    <b:Volume>117</b:Volume>
    <b:DOI>10.1016/j.mineng.2017.12.004</b:DOI>
    <b:RefOrder>9</b:RefOrder>
  </b:Source>
  <b:Source>
    <b:Tag>Ros13</b:Tag>
    <b:SourceType>JournalArticle</b:SourceType>
    <b:Guid>{FB24F930-ECEF-4666-97F4-6881356C5C04}</b:Guid>
    <b:Author>
      <b:Author>
        <b:NameList>
          <b:Person>
            <b:Last>Rose</b:Last>
            <b:First>Peter</b:First>
          </b:Person>
        </b:NameList>
      </b:Author>
    </b:Author>
    <b:Title>Long-term sustainability in the management of acid mine drainage wastewaters - development of the Rhodes BioSURE Process</b:Title>
    <b:JournalName>Water SA</b:JournalName>
    <b:Year>2013</b:Year>
    <b:Pages>583-592</b:Pages>
    <b:Volume>39</b:Volume>
    <b:Issue>5</b:Issue>
    <b:DOI>10.4314/wsa.v39i5.1</b:DOI>
    <b:RefOrder>10</b:RefOrder>
  </b:Source>
  <b:Source>
    <b:Tag>Let171</b:Tag>
    <b:SourceType>JournalArticle</b:SourceType>
    <b:Guid>{94E68DA8-49CB-4568-BCE5-30664EE43640}</b:Guid>
    <b:Author>
      <b:Author>
        <b:NameList>
          <b:Person>
            <b:Last>Lethea</b:Last>
            <b:First>Lerato</b:First>
          </b:Person>
        </b:NameList>
      </b:Author>
    </b:Author>
    <b:Title>Impact of water hardness on energy consumption of geyser heating elements</b:Title>
    <b:JournalName>Water SA</b:JournalName>
    <b:Year>2017</b:Year>
    <b:Pages>614-625</b:Pages>
    <b:Volume>43</b:Volume>
    <b:Issue>4</b:Issue>
    <b:DOI>10.4314/wsa.v43i4.09</b:DOI>
    <b:RefOrder>12</b:RefOrder>
  </b:Source>
  <b:Source>
    <b:Tag>Dep96</b:Tag>
    <b:SourceType>Report</b:SourceType>
    <b:Guid>{681E4E66-E9B0-4139-83DF-F0F0001A36B3}</b:Guid>
    <b:Title>South African Water Quality Guidlines (second edition). Volume 4: Agricultural Use: Irrigation</b:Title>
    <b:Year>1996a</b:Year>
    <b:Author>
      <b:Author>
        <b:Corporate>Department of Water Affairs and Forestry</b:Corporate>
      </b:Author>
    </b:Author>
    <b:Publisher>Department of Water Affairs and Forestry</b:Publisher>
    <b:RefOrder>13</b:RefOrder>
  </b:Source>
</b:Sources>
</file>

<file path=customXml/itemProps1.xml><?xml version="1.0" encoding="utf-8"?>
<ds:datastoreItem xmlns:ds="http://schemas.openxmlformats.org/officeDocument/2006/customXml" ds:itemID="{9253AE50-9389-4AC9-96EA-86F6F5E7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6</Pages>
  <Words>2838</Words>
  <Characters>16178</Characters>
  <Application>Microsoft Office Word</Application>
  <DocSecurity>0</DocSecurity>
  <Lines>134</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Khumalo, Recardo</cp:lastModifiedBy>
  <cp:revision>7</cp:revision>
  <cp:lastPrinted>2024-03-06T06:48:00Z</cp:lastPrinted>
  <dcterms:created xsi:type="dcterms:W3CDTF">2024-03-05T17:00:00Z</dcterms:created>
  <dcterms:modified xsi:type="dcterms:W3CDTF">2024-03-19T17:10:00Z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