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CA142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CA142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CA1420">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6EEFA4E" w14:textId="77777777" w:rsidR="00FE2DE4" w:rsidRPr="002F57C9" w:rsidRDefault="00FE2DE4" w:rsidP="002F57C9">
      <w:pPr>
        <w:pStyle w:val="CETAuthors"/>
        <w:spacing w:after="0"/>
        <w:rPr>
          <w:rFonts w:ascii="Palatino Linotype" w:hAnsi="Palatino Linotype"/>
          <w:lang w:val="en-US"/>
        </w:rPr>
      </w:pPr>
      <w:bookmarkStart w:id="0" w:name="_Hlk155720515"/>
    </w:p>
    <w:p w14:paraId="6198D81F" w14:textId="02356BA3" w:rsidR="005A7B5C" w:rsidRPr="00C84B7B" w:rsidRDefault="005A7B5C" w:rsidP="002F57C9">
      <w:pPr>
        <w:pStyle w:val="CETAuthors"/>
        <w:spacing w:after="0"/>
        <w:rPr>
          <w:rFonts w:cs="Arial"/>
          <w:sz w:val="32"/>
          <w:szCs w:val="32"/>
          <w:lang w:val="en-US"/>
        </w:rPr>
      </w:pPr>
      <w:r w:rsidRPr="00C84B7B">
        <w:rPr>
          <w:rFonts w:cs="Arial"/>
          <w:sz w:val="32"/>
          <w:szCs w:val="32"/>
          <w:lang w:val="en-US"/>
        </w:rPr>
        <w:t xml:space="preserve">Evaluation of occurrence and health risk of </w:t>
      </w:r>
      <w:bookmarkStart w:id="1" w:name="_Hlk156147455"/>
      <w:r w:rsidRPr="00C84B7B">
        <w:rPr>
          <w:rFonts w:cs="Arial"/>
          <w:sz w:val="32"/>
          <w:szCs w:val="32"/>
          <w:lang w:val="en-US"/>
        </w:rPr>
        <w:t xml:space="preserve">organochlorine pesticides </w:t>
      </w:r>
      <w:bookmarkEnd w:id="1"/>
      <w:r w:rsidRPr="00C84B7B">
        <w:rPr>
          <w:rFonts w:cs="Arial"/>
          <w:sz w:val="32"/>
          <w:szCs w:val="32"/>
          <w:lang w:val="en-US"/>
        </w:rPr>
        <w:t>in sediments of the department of Bolivar, Colombia</w:t>
      </w:r>
    </w:p>
    <w:p w14:paraId="1ED886FE" w14:textId="77777777" w:rsidR="002F57C9" w:rsidRPr="00C84B7B" w:rsidRDefault="002F57C9" w:rsidP="002F57C9">
      <w:pPr>
        <w:pStyle w:val="CETAuthors"/>
        <w:spacing w:after="0"/>
        <w:rPr>
          <w:rFonts w:ascii="Palatino Linotype" w:hAnsi="Palatino Linotype"/>
          <w:sz w:val="32"/>
          <w:szCs w:val="32"/>
          <w:lang w:val="en-US"/>
        </w:rPr>
      </w:pPr>
    </w:p>
    <w:p w14:paraId="3FA807CF" w14:textId="0B462E03" w:rsidR="005A7B5C" w:rsidRDefault="002F57C9" w:rsidP="005A7B5C">
      <w:pPr>
        <w:pStyle w:val="CETAuthors"/>
        <w:rPr>
          <w:sz w:val="18"/>
          <w:szCs w:val="18"/>
          <w:lang w:val="en-US"/>
        </w:rPr>
      </w:pPr>
      <w:r w:rsidRPr="00874BA9">
        <w:rPr>
          <w:sz w:val="18"/>
          <w:szCs w:val="18"/>
          <w:lang w:val="en-US"/>
        </w:rPr>
        <w:t>Palacio</w:t>
      </w:r>
      <w:r>
        <w:rPr>
          <w:sz w:val="18"/>
          <w:szCs w:val="18"/>
          <w:lang w:val="en-US"/>
        </w:rPr>
        <w:t>-Villalba</w:t>
      </w:r>
      <w:r w:rsidRPr="00874BA9">
        <w:rPr>
          <w:sz w:val="18"/>
          <w:szCs w:val="18"/>
          <w:lang w:val="en-US"/>
        </w:rPr>
        <w:t xml:space="preserve"> </w:t>
      </w:r>
      <w:r w:rsidR="005A7B5C" w:rsidRPr="00874BA9">
        <w:rPr>
          <w:sz w:val="18"/>
          <w:szCs w:val="18"/>
          <w:lang w:val="en-US"/>
        </w:rPr>
        <w:t>B</w:t>
      </w:r>
      <w:r w:rsidR="00C84B7B" w:rsidRPr="00C84B7B">
        <w:rPr>
          <w:sz w:val="18"/>
          <w:szCs w:val="18"/>
          <w:vertAlign w:val="superscript"/>
          <w:lang w:val="en-US"/>
        </w:rPr>
        <w:t>a</w:t>
      </w:r>
      <w:r w:rsidR="005A7B5C" w:rsidRPr="00874BA9">
        <w:rPr>
          <w:sz w:val="18"/>
          <w:szCs w:val="18"/>
          <w:lang w:val="en-US"/>
        </w:rPr>
        <w:t>*</w:t>
      </w:r>
      <w:r w:rsidR="002C59D3">
        <w:rPr>
          <w:sz w:val="18"/>
          <w:szCs w:val="18"/>
          <w:lang w:val="en-US"/>
        </w:rPr>
        <w:t>.</w:t>
      </w:r>
      <w:r w:rsidR="005A7B5C" w:rsidRPr="00874BA9">
        <w:rPr>
          <w:sz w:val="18"/>
          <w:szCs w:val="18"/>
          <w:lang w:val="en-US"/>
        </w:rPr>
        <w:t>,</w:t>
      </w:r>
      <w:r w:rsidRPr="00874BA9">
        <w:rPr>
          <w:sz w:val="18"/>
          <w:szCs w:val="18"/>
          <w:lang w:val="en-US"/>
        </w:rPr>
        <w:t>Manrique</w:t>
      </w:r>
      <w:r>
        <w:rPr>
          <w:sz w:val="18"/>
          <w:szCs w:val="18"/>
          <w:lang w:val="en-US"/>
        </w:rPr>
        <w:t>-Julio</w:t>
      </w:r>
      <w:r w:rsidRPr="00874BA9">
        <w:rPr>
          <w:sz w:val="18"/>
          <w:szCs w:val="18"/>
          <w:lang w:val="en-US"/>
        </w:rPr>
        <w:t xml:space="preserve"> </w:t>
      </w:r>
      <w:r w:rsidR="005A7B5C" w:rsidRPr="00874BA9">
        <w:rPr>
          <w:sz w:val="18"/>
          <w:szCs w:val="18"/>
          <w:lang w:val="en-US"/>
        </w:rPr>
        <w:t>E</w:t>
      </w:r>
      <w:r w:rsidR="00C84B7B" w:rsidRPr="00C84B7B">
        <w:rPr>
          <w:sz w:val="18"/>
          <w:szCs w:val="18"/>
          <w:vertAlign w:val="superscript"/>
          <w:lang w:val="en-US"/>
        </w:rPr>
        <w:t>a</w:t>
      </w:r>
      <w:r w:rsidR="002C59D3">
        <w:rPr>
          <w:sz w:val="18"/>
          <w:szCs w:val="18"/>
          <w:lang w:val="en-US"/>
        </w:rPr>
        <w:t>.</w:t>
      </w:r>
      <w:r w:rsidR="002C59D3" w:rsidRPr="00874BA9">
        <w:rPr>
          <w:sz w:val="18"/>
          <w:szCs w:val="18"/>
          <w:lang w:val="en-US"/>
        </w:rPr>
        <w:t>,</w:t>
      </w:r>
      <w:r w:rsidR="005A7B5C" w:rsidRPr="00874BA9">
        <w:rPr>
          <w:sz w:val="18"/>
          <w:szCs w:val="18"/>
          <w:lang w:val="en-US"/>
        </w:rPr>
        <w:t xml:space="preserve"> </w:t>
      </w:r>
      <w:r w:rsidRPr="00874BA9">
        <w:rPr>
          <w:sz w:val="18"/>
          <w:szCs w:val="18"/>
          <w:lang w:val="en-US"/>
        </w:rPr>
        <w:t>Cervantes</w:t>
      </w:r>
      <w:r>
        <w:rPr>
          <w:sz w:val="18"/>
          <w:szCs w:val="18"/>
          <w:lang w:val="en-US"/>
        </w:rPr>
        <w:t>-Ceballos</w:t>
      </w:r>
      <w:r w:rsidRPr="00874BA9">
        <w:rPr>
          <w:sz w:val="18"/>
          <w:szCs w:val="18"/>
          <w:lang w:val="en-US"/>
        </w:rPr>
        <w:t xml:space="preserve"> </w:t>
      </w:r>
      <w:r w:rsidR="005A7B5C" w:rsidRPr="00874BA9">
        <w:rPr>
          <w:sz w:val="18"/>
          <w:szCs w:val="18"/>
          <w:lang w:val="en-US"/>
        </w:rPr>
        <w:t>L</w:t>
      </w:r>
      <w:r w:rsidR="00C84B7B" w:rsidRPr="00C84B7B">
        <w:rPr>
          <w:sz w:val="18"/>
          <w:szCs w:val="18"/>
          <w:vertAlign w:val="superscript"/>
          <w:lang w:val="en-US"/>
        </w:rPr>
        <w:t>a</w:t>
      </w:r>
      <w:r w:rsidR="002C59D3">
        <w:rPr>
          <w:sz w:val="18"/>
          <w:szCs w:val="18"/>
          <w:lang w:val="en-US"/>
        </w:rPr>
        <w:t>.</w:t>
      </w:r>
      <w:r w:rsidR="002C59D3" w:rsidRPr="00874BA9">
        <w:rPr>
          <w:sz w:val="18"/>
          <w:szCs w:val="18"/>
          <w:lang w:val="en-US"/>
        </w:rPr>
        <w:t>,</w:t>
      </w:r>
      <w:r w:rsidR="005A7B5C" w:rsidRPr="00874BA9">
        <w:rPr>
          <w:sz w:val="18"/>
          <w:szCs w:val="18"/>
          <w:lang w:val="en-US"/>
        </w:rPr>
        <w:t xml:space="preserve"> </w:t>
      </w:r>
      <w:r w:rsidRPr="00874BA9">
        <w:rPr>
          <w:sz w:val="18"/>
          <w:szCs w:val="18"/>
          <w:lang w:val="en-US"/>
        </w:rPr>
        <w:t>Arroyo</w:t>
      </w:r>
      <w:r>
        <w:rPr>
          <w:sz w:val="18"/>
          <w:szCs w:val="18"/>
          <w:lang w:val="en-US"/>
        </w:rPr>
        <w:t>-Salgado</w:t>
      </w:r>
      <w:r w:rsidRPr="00874BA9">
        <w:rPr>
          <w:sz w:val="18"/>
          <w:szCs w:val="18"/>
          <w:lang w:val="en-US"/>
        </w:rPr>
        <w:t xml:space="preserve"> </w:t>
      </w:r>
      <w:r w:rsidR="005A7B5C" w:rsidRPr="00874BA9">
        <w:rPr>
          <w:sz w:val="18"/>
          <w:szCs w:val="18"/>
          <w:lang w:val="en-US"/>
        </w:rPr>
        <w:t>B</w:t>
      </w:r>
      <w:r w:rsidR="00C84B7B" w:rsidRPr="00C84B7B">
        <w:rPr>
          <w:sz w:val="18"/>
          <w:szCs w:val="18"/>
          <w:vertAlign w:val="superscript"/>
          <w:lang w:val="en-US"/>
        </w:rPr>
        <w:t>a</w:t>
      </w:r>
      <w:r w:rsidR="002C59D3">
        <w:rPr>
          <w:sz w:val="18"/>
          <w:szCs w:val="18"/>
          <w:lang w:val="en-US"/>
        </w:rPr>
        <w:t>.</w:t>
      </w:r>
      <w:r w:rsidR="002C59D3" w:rsidRPr="00874BA9">
        <w:rPr>
          <w:sz w:val="18"/>
          <w:szCs w:val="18"/>
          <w:lang w:val="en-US"/>
        </w:rPr>
        <w:t>,</w:t>
      </w:r>
      <w:r w:rsidR="005A7B5C" w:rsidRPr="00874BA9">
        <w:rPr>
          <w:sz w:val="18"/>
          <w:szCs w:val="18"/>
          <w:lang w:val="en-US"/>
        </w:rPr>
        <w:t xml:space="preserve"> </w:t>
      </w:r>
      <w:r w:rsidRPr="00874BA9">
        <w:rPr>
          <w:sz w:val="18"/>
          <w:szCs w:val="18"/>
          <w:lang w:val="en-US"/>
        </w:rPr>
        <w:t>Garcia</w:t>
      </w:r>
      <w:r>
        <w:rPr>
          <w:sz w:val="18"/>
          <w:szCs w:val="18"/>
          <w:lang w:val="en-US"/>
        </w:rPr>
        <w:t>-Espiñeira</w:t>
      </w:r>
      <w:r w:rsidRPr="00874BA9">
        <w:rPr>
          <w:sz w:val="18"/>
          <w:szCs w:val="18"/>
          <w:lang w:val="en-US"/>
        </w:rPr>
        <w:t xml:space="preserve"> </w:t>
      </w:r>
      <w:r w:rsidR="005A7B5C" w:rsidRPr="00874BA9">
        <w:rPr>
          <w:sz w:val="18"/>
          <w:szCs w:val="18"/>
          <w:lang w:val="en-US"/>
        </w:rPr>
        <w:t>M</w:t>
      </w:r>
      <w:r w:rsidR="00646C38">
        <w:rPr>
          <w:sz w:val="18"/>
          <w:szCs w:val="18"/>
          <w:lang w:val="en-US"/>
        </w:rPr>
        <w:t>.</w:t>
      </w:r>
      <w:r w:rsidR="002C59D3">
        <w:rPr>
          <w:sz w:val="18"/>
          <w:szCs w:val="18"/>
          <w:lang w:val="en-US"/>
        </w:rPr>
        <w:t>C</w:t>
      </w:r>
      <w:r w:rsidR="005A7B5C" w:rsidRPr="00874BA9">
        <w:rPr>
          <w:sz w:val="18"/>
          <w:szCs w:val="18"/>
          <w:lang w:val="en-US"/>
        </w:rPr>
        <w:t xml:space="preserve"> </w:t>
      </w:r>
      <w:r w:rsidR="00C84B7B" w:rsidRPr="00C84B7B">
        <w:rPr>
          <w:sz w:val="18"/>
          <w:szCs w:val="18"/>
          <w:vertAlign w:val="superscript"/>
          <w:lang w:val="en-US"/>
        </w:rPr>
        <w:t>a</w:t>
      </w:r>
      <w:r w:rsidR="005A7B5C" w:rsidRPr="00874BA9">
        <w:rPr>
          <w:sz w:val="18"/>
          <w:szCs w:val="18"/>
          <w:lang w:val="en-US"/>
        </w:rPr>
        <w:t xml:space="preserve">., </w:t>
      </w:r>
      <w:r w:rsidRPr="00874BA9">
        <w:rPr>
          <w:sz w:val="18"/>
          <w:szCs w:val="18"/>
          <w:lang w:val="en-US"/>
        </w:rPr>
        <w:t>Tejeda</w:t>
      </w:r>
      <w:r>
        <w:rPr>
          <w:sz w:val="18"/>
          <w:szCs w:val="18"/>
          <w:lang w:val="en-US"/>
        </w:rPr>
        <w:t>-Benítez</w:t>
      </w:r>
      <w:r w:rsidRPr="00874BA9">
        <w:rPr>
          <w:sz w:val="18"/>
          <w:szCs w:val="18"/>
          <w:lang w:val="en-US"/>
        </w:rPr>
        <w:t xml:space="preserve"> </w:t>
      </w:r>
      <w:r w:rsidR="005A7B5C" w:rsidRPr="00874BA9">
        <w:rPr>
          <w:sz w:val="18"/>
          <w:szCs w:val="18"/>
          <w:lang w:val="en-US"/>
        </w:rPr>
        <w:t>L</w:t>
      </w:r>
      <w:r w:rsidR="00C84B7B" w:rsidRPr="00C84B7B">
        <w:rPr>
          <w:sz w:val="18"/>
          <w:szCs w:val="18"/>
          <w:vertAlign w:val="superscript"/>
          <w:lang w:val="en-US"/>
        </w:rPr>
        <w:t>a</w:t>
      </w:r>
      <w:r w:rsidR="00C84B7B">
        <w:rPr>
          <w:sz w:val="18"/>
          <w:szCs w:val="18"/>
          <w:vertAlign w:val="superscript"/>
          <w:lang w:val="en-US"/>
        </w:rPr>
        <w:t>.b</w:t>
      </w:r>
      <w:r w:rsidR="005A7B5C" w:rsidRPr="00874BA9">
        <w:rPr>
          <w:sz w:val="18"/>
          <w:szCs w:val="18"/>
          <w:lang w:val="en-US"/>
        </w:rPr>
        <w:t xml:space="preserve"> </w:t>
      </w:r>
      <w:r w:rsidR="002C59D3">
        <w:rPr>
          <w:sz w:val="18"/>
          <w:szCs w:val="18"/>
          <w:lang w:val="en-US"/>
        </w:rPr>
        <w:t>.</w:t>
      </w:r>
    </w:p>
    <w:p w14:paraId="25324DCE" w14:textId="24CA20C0" w:rsidR="00C84B7B" w:rsidRPr="00C84B7B" w:rsidRDefault="00C84B7B" w:rsidP="00C84B7B">
      <w:pPr>
        <w:pStyle w:val="CETAuthors"/>
        <w:rPr>
          <w:sz w:val="16"/>
          <w:szCs w:val="16"/>
          <w:lang w:val="en-US"/>
        </w:rPr>
      </w:pPr>
      <w:r w:rsidRPr="00C84B7B">
        <w:rPr>
          <w:sz w:val="16"/>
          <w:szCs w:val="16"/>
          <w:vertAlign w:val="superscript"/>
          <w:lang w:val="en-US"/>
        </w:rPr>
        <w:t xml:space="preserve">a </w:t>
      </w:r>
      <w:r w:rsidRPr="00C84B7B">
        <w:rPr>
          <w:sz w:val="16"/>
          <w:szCs w:val="16"/>
          <w:lang w:val="en-US"/>
        </w:rPr>
        <w:t>Faculty of Medicine; Biomedical, Toxicological and Environmental Sciences Research Group (BIOTOXAM), University of Cartagena, Campus de Zaragocilla, Calle 29 # 50-50, Cartagena de Indias, 130014; Colombia.</w:t>
      </w:r>
    </w:p>
    <w:p w14:paraId="72DC4D85" w14:textId="679C6F70" w:rsidR="00C84B7B" w:rsidRPr="00C84B7B" w:rsidRDefault="00C84B7B" w:rsidP="00C84B7B">
      <w:pPr>
        <w:pStyle w:val="CETAuthors"/>
        <w:rPr>
          <w:sz w:val="16"/>
          <w:szCs w:val="16"/>
          <w:lang w:val="en-US"/>
        </w:rPr>
      </w:pPr>
      <w:r w:rsidRPr="00C84B7B">
        <w:rPr>
          <w:sz w:val="16"/>
          <w:szCs w:val="16"/>
          <w:vertAlign w:val="superscript"/>
          <w:lang w:val="en-US"/>
        </w:rPr>
        <w:t>b</w:t>
      </w:r>
      <w:r w:rsidRPr="00C84B7B">
        <w:rPr>
          <w:sz w:val="16"/>
          <w:szCs w:val="16"/>
          <w:lang w:val="en-US"/>
        </w:rPr>
        <w:t>Chemical Engineering Department, Biomedical, Toxicological and Environmental Sciences Research Group (BIOTOXAM),University of Cartagena, Campus Piedra de Bolívar, Calle 30 #48-152, Cartagena de Indias; 130015, Colombia.</w:t>
      </w:r>
    </w:p>
    <w:p w14:paraId="0877CCD0" w14:textId="5CC30F4B" w:rsidR="00FE2DE4" w:rsidRPr="00874BA9" w:rsidRDefault="005A7B5C" w:rsidP="00B57E6F">
      <w:pPr>
        <w:pStyle w:val="CETAuthors"/>
        <w:rPr>
          <w:sz w:val="16"/>
          <w:szCs w:val="16"/>
          <w:lang w:val="en-US"/>
        </w:rPr>
      </w:pPr>
      <w:r w:rsidRPr="00874BA9">
        <w:rPr>
          <w:sz w:val="16"/>
          <w:szCs w:val="16"/>
          <w:lang w:val="en-US"/>
        </w:rPr>
        <w:t>bpalaciov@unicartagena.edu.co</w:t>
      </w:r>
    </w:p>
    <w:p w14:paraId="340E6864" w14:textId="0404C94B" w:rsidR="00747E9F" w:rsidRPr="00874BA9" w:rsidRDefault="009100E0" w:rsidP="002F57C9">
      <w:pPr>
        <w:tabs>
          <w:tab w:val="clear" w:pos="7100"/>
        </w:tabs>
        <w:spacing w:line="240" w:lineRule="auto"/>
        <w:rPr>
          <w:rFonts w:ascii="Times New Roman" w:hAnsi="Times New Roman"/>
          <w:sz w:val="24"/>
          <w:szCs w:val="24"/>
          <w:lang w:val="en-US" w:eastAsia="es-ES_tradnl"/>
        </w:rPr>
      </w:pPr>
      <w:bookmarkStart w:id="2" w:name="_Hlk495475023"/>
      <w:bookmarkEnd w:id="0"/>
      <w:r w:rsidRPr="00874BA9">
        <w:rPr>
          <w:lang w:val="en-US"/>
        </w:rPr>
        <w:t>Organochlorine pesticides such as</w:t>
      </w:r>
      <w:r w:rsidR="00874BA9">
        <w:rPr>
          <w:lang w:val="en-US"/>
        </w:rPr>
        <w:t xml:space="preserve"> </w:t>
      </w:r>
      <w:r w:rsidR="00874BA9" w:rsidRPr="00874BA9">
        <w:t>Dichlorodiphenyltrichloroethane (</w:t>
      </w:r>
      <w:r w:rsidRPr="00874BA9">
        <w:t>DDT</w:t>
      </w:r>
      <w:r w:rsidR="00874BA9" w:rsidRPr="00874BA9">
        <w:t>)</w:t>
      </w:r>
      <w:r w:rsidRPr="00874BA9">
        <w:rPr>
          <w:lang w:val="en-US"/>
        </w:rPr>
        <w:t xml:space="preserve"> and </w:t>
      </w:r>
      <w:r w:rsidR="00874BA9">
        <w:rPr>
          <w:rFonts w:cs="Arial"/>
          <w:bCs/>
          <w:szCs w:val="18"/>
          <w:shd w:val="clear" w:color="auto" w:fill="FFFFFF"/>
          <w:lang w:val="en-US" w:eastAsia="es-ES_tradnl"/>
        </w:rPr>
        <w:t>h</w:t>
      </w:r>
      <w:r w:rsidR="00874BA9" w:rsidRPr="00874BA9">
        <w:rPr>
          <w:rFonts w:cs="Arial"/>
          <w:bCs/>
          <w:szCs w:val="18"/>
          <w:shd w:val="clear" w:color="auto" w:fill="FFFFFF"/>
          <w:lang w:val="en-US" w:eastAsia="es-ES_tradnl"/>
        </w:rPr>
        <w:t>exachlorocyclohexane (</w:t>
      </w:r>
      <w:r w:rsidRPr="00874BA9">
        <w:rPr>
          <w:lang w:val="en-US"/>
        </w:rPr>
        <w:t>HCH</w:t>
      </w:r>
      <w:r w:rsidR="00874BA9" w:rsidRPr="00874BA9">
        <w:rPr>
          <w:lang w:val="en-US"/>
        </w:rPr>
        <w:t>)</w:t>
      </w:r>
      <w:r w:rsidRPr="00874BA9">
        <w:rPr>
          <w:lang w:val="en-US"/>
        </w:rPr>
        <w:t xml:space="preserve"> were widely used in agriculture and vector disease control worldwide. Despite its ban in production and application since the 1970s in many countries, its residues in water, air and soil have been reported. Organochlorine pesticides have been proposed as possible carcinogens. In Colombia, organochlorine pesticides were used for many years in agriculture and for vector control. Currently, its waste continues to be found in environmental and biological matrices. The objective of this study was to determine the concentrations of organochlorine pesticides in sediments of freshwater bodies in the department of Bolivar, Colombia and to evaluate the risk of cancer from organochlorine pesticides for adults and children. Pesticide concentrations were determined in sediments at six sites of the main freshwater body in the department of Bolivar, Colombia. </w:t>
      </w:r>
      <w:r w:rsidR="00874BA9">
        <w:rPr>
          <w:lang w:val="en-US"/>
        </w:rPr>
        <w:t>D</w:t>
      </w:r>
      <w:r w:rsidRPr="00874BA9">
        <w:rPr>
          <w:lang w:val="en-US"/>
        </w:rPr>
        <w:t>ichlorodiphenyldichloroethylene (DDE), a degradation product of DDT, was the most recovered pesticide. Heptachlor and heptachlor epoxide represented an increased risk for cancer in children and adults in this study. This study can provide a reference for the management and control of pesticides at the regional level and to support public health programs.</w:t>
      </w:r>
    </w:p>
    <w:p w14:paraId="7E576ADA" w14:textId="77777777" w:rsidR="009100E0" w:rsidRPr="00874BA9" w:rsidRDefault="009100E0" w:rsidP="00600535">
      <w:pPr>
        <w:pStyle w:val="CETBodytext"/>
      </w:pPr>
    </w:p>
    <w:bookmarkEnd w:id="2"/>
    <w:p w14:paraId="23F86FEF" w14:textId="1F0B7F92" w:rsidR="00600535" w:rsidRPr="00874BA9" w:rsidRDefault="00600535" w:rsidP="00600535">
      <w:pPr>
        <w:pStyle w:val="CETHeading1"/>
      </w:pPr>
      <w:r w:rsidRPr="00874BA9">
        <w:t>Introduction</w:t>
      </w:r>
    </w:p>
    <w:p w14:paraId="7EB5E109" w14:textId="77777777" w:rsidR="00840E9B" w:rsidRPr="00874BA9" w:rsidRDefault="00840E9B" w:rsidP="002F57C9">
      <w:pPr>
        <w:pStyle w:val="CETBodytext"/>
      </w:pPr>
      <w:r w:rsidRPr="00874BA9">
        <w:t>Pesticides are inherently toxic substances that are used in agricultural, residential, and commercial settings as they offer several benefits, including increasing crop production and controlling vector-borne diseases (Zúñiga et al., 2022). Three billion kilograms of pesticides are used worldwide each year, of which only 1% of the total effectively controls insect pests on target plants. The remaining large amounts of pesticides penetrate or reach non-target plants and environmental media (Tudi et al., 2021).</w:t>
      </w:r>
    </w:p>
    <w:p w14:paraId="7EFE992E" w14:textId="77777777" w:rsidR="00840E9B" w:rsidRPr="00874BA9" w:rsidRDefault="00840E9B" w:rsidP="002F57C9">
      <w:pPr>
        <w:pStyle w:val="CETBodytext"/>
      </w:pPr>
    </w:p>
    <w:p w14:paraId="228719B2" w14:textId="36F6FB2E" w:rsidR="00840E9B" w:rsidRPr="00874BA9" w:rsidRDefault="008400CD" w:rsidP="002F57C9">
      <w:pPr>
        <w:pStyle w:val="CETBodytext"/>
      </w:pPr>
      <w:r w:rsidRPr="00874BA9">
        <w:t xml:space="preserve">Organochlorine pesticides </w:t>
      </w:r>
      <w:r w:rsidR="00840E9B" w:rsidRPr="00874BA9">
        <w:t xml:space="preserve">are highly stable, a characteristic that makes them valuable for their residual action against insects and at the same time dangerous due to their prolonged storage in mammalian fat. Within this group of insecticides are DDT, </w:t>
      </w:r>
      <w:r w:rsidR="00874BA9">
        <w:t>benzene hexachloride (</w:t>
      </w:r>
      <w:r w:rsidR="00840E9B" w:rsidRPr="00874BA9">
        <w:t>BHC</w:t>
      </w:r>
      <w:r w:rsidR="00874BA9">
        <w:t>)</w:t>
      </w:r>
      <w:r w:rsidR="00840E9B" w:rsidRPr="00874BA9">
        <w:t>, chlordane and dieldrin. These compounds caused a revolution in the fight against insects, due to their wide range or spectrum of action and their low cost (Ponce et al., 2006). Among its characteristics are its persistence, potential for bioaccumulation, chronic toxicity with possible negative impacts on humans and wildlife. Despite the restriction of their use, they can still be detected in the environment and species (Zhao et al., 2016).</w:t>
      </w:r>
      <w:r w:rsidRPr="00874BA9">
        <w:t xml:space="preserve"> organochlorine pesticides </w:t>
      </w:r>
      <w:r w:rsidR="00840E9B" w:rsidRPr="00874BA9">
        <w:t>are resistant to microbial degradation and their half-life varies from several months to several years. They can be transported over long distances, and their presence can even be detected in the Arctic (Carvalho 2017).</w:t>
      </w:r>
    </w:p>
    <w:p w14:paraId="37AA0883" w14:textId="77777777" w:rsidR="00840E9B" w:rsidRPr="00874BA9" w:rsidRDefault="00840E9B" w:rsidP="002F57C9">
      <w:pPr>
        <w:pStyle w:val="CETBodytext"/>
      </w:pPr>
    </w:p>
    <w:p w14:paraId="78B139B0" w14:textId="63F84569" w:rsidR="0009722E" w:rsidRPr="00874BA9" w:rsidRDefault="00840E9B" w:rsidP="002F57C9">
      <w:pPr>
        <w:pStyle w:val="CETBodytext"/>
      </w:pPr>
      <w:r w:rsidRPr="00874BA9">
        <w:t xml:space="preserve">Although organochlorine pesticides were banned many years ago due to their physical and chemical characteristics, even today, an important part of the population is influenced by direct and indirect contamination </w:t>
      </w:r>
      <w:r w:rsidRPr="00874BA9">
        <w:lastRenderedPageBreak/>
        <w:t>by these substances. Colombia is no stranger to this reality, due to the widespread use of organochlorine pesticides, used for many years in agriculture and for vector control</w:t>
      </w:r>
      <w:r w:rsidR="00874BA9">
        <w:t xml:space="preserve"> (Zhao et al, 2016)</w:t>
      </w:r>
      <w:r w:rsidRPr="00874BA9">
        <w:t>.</w:t>
      </w:r>
    </w:p>
    <w:p w14:paraId="5B607515" w14:textId="77777777" w:rsidR="00AF7AE9" w:rsidRPr="00874BA9" w:rsidRDefault="00AF7AE9" w:rsidP="002F57C9">
      <w:pPr>
        <w:pStyle w:val="CETBodytext"/>
      </w:pPr>
    </w:p>
    <w:p w14:paraId="7109EB41" w14:textId="7C2E41E1" w:rsidR="00AF7AE9" w:rsidRPr="002F57C9" w:rsidRDefault="00AF7AE9" w:rsidP="00AF7AE9">
      <w:pPr>
        <w:pStyle w:val="CETHeading1"/>
      </w:pPr>
      <w:r w:rsidRPr="002F57C9">
        <w:t>Methodology</w:t>
      </w:r>
    </w:p>
    <w:p w14:paraId="24931194" w14:textId="1F16A73D" w:rsidR="00AF7AE9" w:rsidRPr="002F57C9" w:rsidRDefault="00AF7AE9" w:rsidP="002F57C9">
      <w:pPr>
        <w:pStyle w:val="CETheadingx"/>
        <w:rPr>
          <w:b/>
          <w:bCs w:val="0"/>
        </w:rPr>
      </w:pPr>
      <w:r w:rsidRPr="002F57C9">
        <w:rPr>
          <w:b/>
          <w:bCs w:val="0"/>
        </w:rPr>
        <w:t>Sample collection</w:t>
      </w:r>
    </w:p>
    <w:p w14:paraId="0061FBE0" w14:textId="33109C8D" w:rsidR="00AF7AE9" w:rsidRPr="00874BA9" w:rsidRDefault="00AF7AE9" w:rsidP="002F57C9">
      <w:pPr>
        <w:pStyle w:val="CETBodytext"/>
      </w:pPr>
      <w:r w:rsidRPr="00874BA9">
        <w:t xml:space="preserve">The sampling sites were selected </w:t>
      </w:r>
      <w:r w:rsidR="008827E8" w:rsidRPr="00874BA9">
        <w:t>considering</w:t>
      </w:r>
      <w:r w:rsidRPr="00874BA9">
        <w:t xml:space="preserve"> various aspects such as the anthropogenic activity existing in the area and ease of access. Sampling was carried out between November 1 and 10, 2013. At each of the sites, four sediment subsamples were taken approximately 50 m from the shore through a grab sampler to complete approximately 1.0 kg of a composite sample. The collected samples were placed in polyethylene bags, stored at 4 °C until transfer to the laboratory and stored at -20 °C. The samples were then subjected to freeze-drying at −50 °C and −0.019 mbar to remove moisture. The freeze-dried pellets were crushed and sieved to &lt;63 μm and kept at −20 °C.</w:t>
      </w:r>
    </w:p>
    <w:p w14:paraId="43CA661C" w14:textId="77777777" w:rsidR="008400CD" w:rsidRPr="002F57C9" w:rsidRDefault="008400CD" w:rsidP="00840E9B">
      <w:pPr>
        <w:pStyle w:val="CETBodytext"/>
        <w:rPr>
          <w:b/>
          <w:bCs/>
        </w:rPr>
      </w:pPr>
    </w:p>
    <w:p w14:paraId="75E261BA" w14:textId="46AAE59D" w:rsidR="00F83A1E" w:rsidRPr="002F57C9" w:rsidRDefault="00F83A1E" w:rsidP="00F83A1E">
      <w:pPr>
        <w:pStyle w:val="CETBodytext"/>
        <w:rPr>
          <w:b/>
          <w:bCs/>
        </w:rPr>
      </w:pPr>
      <w:r w:rsidRPr="002F57C9">
        <w:rPr>
          <w:b/>
          <w:bCs/>
        </w:rPr>
        <w:t>2.2 Analysis of pesticides</w:t>
      </w:r>
    </w:p>
    <w:p w14:paraId="08CC20AC" w14:textId="77777777" w:rsidR="00F83A1E" w:rsidRPr="002F57C9" w:rsidRDefault="00F83A1E" w:rsidP="00F83A1E">
      <w:pPr>
        <w:pStyle w:val="CETBodytext"/>
        <w:rPr>
          <w:b/>
          <w:bCs/>
        </w:rPr>
      </w:pPr>
    </w:p>
    <w:p w14:paraId="1A0E22F4" w14:textId="77777777" w:rsidR="00F83A1E" w:rsidRPr="002F57C9" w:rsidRDefault="00F83A1E" w:rsidP="00F83A1E">
      <w:pPr>
        <w:pStyle w:val="CETBodytext"/>
        <w:rPr>
          <w:b/>
          <w:bCs/>
        </w:rPr>
      </w:pPr>
      <w:r w:rsidRPr="002F57C9">
        <w:rPr>
          <w:b/>
          <w:bCs/>
        </w:rPr>
        <w:t>2.2.1 Chemicals</w:t>
      </w:r>
    </w:p>
    <w:p w14:paraId="2B5FB486" w14:textId="77777777" w:rsidR="00F83A1E" w:rsidRPr="00874BA9" w:rsidRDefault="00F83A1E" w:rsidP="00F83A1E">
      <w:pPr>
        <w:pStyle w:val="CETBodytext"/>
      </w:pPr>
    </w:p>
    <w:p w14:paraId="7C2B0064" w14:textId="483BA0F4" w:rsidR="00453E24" w:rsidRPr="00874BA9" w:rsidRDefault="00F83A1E" w:rsidP="002F57C9">
      <w:pPr>
        <w:pStyle w:val="CETBodytext"/>
        <w:spacing w:line="276" w:lineRule="auto"/>
      </w:pPr>
      <w:r w:rsidRPr="00874BA9">
        <w:t>All samples were analyzed for organochlorine pesticides, including aldrin, Heptachlor epoxide Iso B, trans chlordane, cis chlordane, 4,4'-DDE, endrin, dieldrin, 4,4'-DDD, Endosulfan sulfate, 4, 4'-DDT, Endrin ketone, methoxychlor, heptachlor, α-BHC, β,</w:t>
      </w:r>
      <w:r w:rsidR="00874BA9">
        <w:t xml:space="preserve"> </w:t>
      </w:r>
      <w:r w:rsidRPr="00874BA9">
        <w:t>δ-BHC. Pesticide standards were purchased from Phenova (Golden, CO, USA) and Sigma Aldrich (St. Louis, MO, USA). Internal standards (ISTD) were purchased from Wellington Laboratories Inc (Ontario, Canada). Pesticide stock solutions (50 mg/L) were prepared by dissolving the appropriate amount in residual quality isooctane. Octadecylsilica (C18) was obtained from Agilent Technologies</w:t>
      </w:r>
      <w:r w:rsidR="00874BA9">
        <w:t xml:space="preserve"> </w:t>
      </w:r>
      <w:r w:rsidRPr="00874BA9">
        <w:t xml:space="preserve">(Santa Clara, CA, USA). </w:t>
      </w:r>
      <w:bookmarkStart w:id="3" w:name="_Hlk156153585"/>
      <w:r w:rsidRPr="00874BA9">
        <w:t>MgSO</w:t>
      </w:r>
      <w:r w:rsidR="00723509" w:rsidRPr="00874BA9">
        <w:rPr>
          <w:rFonts w:ascii="Times New Roman" w:eastAsia="Calibri" w:hAnsi="Times New Roman"/>
          <w:color w:val="000000"/>
          <w:kern w:val="2"/>
          <w:sz w:val="20"/>
          <w:vertAlign w:val="subscript"/>
          <w14:ligatures w14:val="standardContextual"/>
        </w:rPr>
        <w:t>4</w:t>
      </w:r>
      <w:bookmarkEnd w:id="3"/>
      <w:r w:rsidRPr="00874BA9">
        <w:t>, NaC</w:t>
      </w:r>
      <w:r w:rsidR="00F3587C" w:rsidRPr="00874BA9">
        <w:t>l</w:t>
      </w:r>
      <w:r w:rsidRPr="00874BA9">
        <w:t>, LC/MS grade acetonitrile, and isooctane for pesticide residue analysis were purchased from Fisher Scientific (Pittsburg, PA, USA). NANOpure</w:t>
      </w:r>
      <w:r w:rsidR="001372F6" w:rsidRPr="00874BA9">
        <w:rPr>
          <w:rFonts w:ascii="Times New Roman" w:eastAsia="Calibri" w:hAnsi="Times New Roman"/>
          <w:bCs/>
          <w:kern w:val="2"/>
          <w:sz w:val="24"/>
          <w:szCs w:val="24"/>
          <w:vertAlign w:val="superscript"/>
          <w14:ligatures w14:val="standardContextual"/>
        </w:rPr>
        <w:t xml:space="preserve"> </w:t>
      </w:r>
      <w:r w:rsidR="001372F6" w:rsidRPr="00874BA9">
        <w:rPr>
          <w:rFonts w:ascii="Times New Roman" w:eastAsia="Calibri" w:hAnsi="Times New Roman"/>
          <w:bCs/>
          <w:kern w:val="2"/>
          <w:szCs w:val="24"/>
          <w:vertAlign w:val="superscript"/>
          <w14:ligatures w14:val="standardContextual"/>
        </w:rPr>
        <w:t>TM</w:t>
      </w:r>
      <w:r w:rsidR="00874BA9">
        <w:t xml:space="preserve"> Barnstead International (Dubuque, IA) was </w:t>
      </w:r>
      <w:r w:rsidRPr="00874BA9">
        <w:t>used in all experiments.</w:t>
      </w:r>
    </w:p>
    <w:p w14:paraId="02BB98E8" w14:textId="77777777" w:rsidR="003748A4" w:rsidRPr="00874BA9" w:rsidRDefault="003748A4" w:rsidP="00F83A1E">
      <w:pPr>
        <w:pStyle w:val="CETBodytext"/>
      </w:pPr>
    </w:p>
    <w:p w14:paraId="76C68335" w14:textId="6DAE2321" w:rsidR="002E1131" w:rsidRPr="002F57C9" w:rsidRDefault="003748A4" w:rsidP="00F83A1E">
      <w:pPr>
        <w:pStyle w:val="CETBodytext"/>
        <w:rPr>
          <w:b/>
          <w:bCs/>
        </w:rPr>
      </w:pPr>
      <w:r w:rsidRPr="002F57C9">
        <w:rPr>
          <w:b/>
          <w:bCs/>
        </w:rPr>
        <w:t>2.2.2 Extraction and cleaning of QuEChERS sediments</w:t>
      </w:r>
    </w:p>
    <w:p w14:paraId="17848B53" w14:textId="77777777" w:rsidR="002E1131" w:rsidRPr="00874BA9" w:rsidRDefault="002E1131" w:rsidP="00F83A1E">
      <w:pPr>
        <w:pStyle w:val="CETBodytext"/>
      </w:pPr>
    </w:p>
    <w:p w14:paraId="3BFCE317" w14:textId="47DD4AD8" w:rsidR="003748A4" w:rsidRPr="00874BA9" w:rsidRDefault="003748A4" w:rsidP="002F57C9">
      <w:pPr>
        <w:pStyle w:val="CETBodytext"/>
      </w:pPr>
      <w:r w:rsidRPr="00874BA9">
        <w:t>The procedure followed in this work was based on the QuEChERS method described by (Payá et al., 2007). Briefly, 4 g of homogenized lyophilized pellet was weighed into 50 mL centrifuge tubes. Ten m</w:t>
      </w:r>
      <w:r w:rsidR="002F57C9">
        <w:t>L</w:t>
      </w:r>
      <w:r w:rsidRPr="00874BA9">
        <w:t xml:space="preserve"> of water was added to the sample and stirred for 1 min. Then 10 mL of acetonitrile was added and the mixture was vortexed for 1 min. After that, 4 g of </w:t>
      </w:r>
      <w:r w:rsidR="00867632" w:rsidRPr="00874BA9">
        <w:t>MgSO</w:t>
      </w:r>
      <w:r w:rsidR="00867632" w:rsidRPr="00874BA9">
        <w:rPr>
          <w:vertAlign w:val="subscript"/>
        </w:rPr>
        <w:t xml:space="preserve">4 </w:t>
      </w:r>
      <w:r w:rsidRPr="00874BA9">
        <w:t>and 1 g of NaCl were added to adjust the phase separation, the mixture was stirred vigorously and stirred for 1 min and centrifuged at 3400 rpm for 8 min. For cleanup by dispersive solid phase extraction, an aliquot (4 m</w:t>
      </w:r>
      <w:r w:rsidR="002F57C9">
        <w:t>L</w:t>
      </w:r>
      <w:r w:rsidRPr="00874BA9">
        <w:t>) of the organic phase was transferred to a 15 m</w:t>
      </w:r>
      <w:r w:rsidR="002F57C9">
        <w:t>L</w:t>
      </w:r>
      <w:r w:rsidRPr="00874BA9">
        <w:t xml:space="preserve"> centrifuge tube already containing 12.5 mg of C18, 25 mg of PSA and 150 mg of </w:t>
      </w:r>
      <w:r w:rsidR="00867632" w:rsidRPr="00874BA9">
        <w:t>MgSO</w:t>
      </w:r>
      <w:r w:rsidR="00867632" w:rsidRPr="00874BA9">
        <w:rPr>
          <w:vertAlign w:val="subscript"/>
        </w:rPr>
        <w:t>4</w:t>
      </w:r>
      <w:r w:rsidRPr="00874BA9">
        <w:t xml:space="preserve"> per ml of extract. The tube was closed, vortexed vigorously for 1 min, and centrifuged for 8 min at 3400 rpm. The supernatant was passed through a 0.2 μm PTFE filter. Subsequently, the filtered supernatant was evaporated to dryness and reconstituted with 1 mL of isooctane. An aliquot of the extract was added with 12.5 μ</w:t>
      </w:r>
      <w:r w:rsidR="002F57C9">
        <w:t>L,</w:t>
      </w:r>
      <w:r w:rsidRPr="00874BA9">
        <w:t xml:space="preserve"> of 500 ng/m</w:t>
      </w:r>
      <w:r w:rsidR="002F57C9">
        <w:t>L</w:t>
      </w:r>
      <w:r w:rsidRPr="00874BA9">
        <w:t xml:space="preserve"> spiking solution. This spiked sample was used as a single</w:t>
      </w:r>
      <w:r w:rsidR="00CA44B7" w:rsidRPr="00874BA9">
        <w:t>-</w:t>
      </w:r>
      <w:r w:rsidRPr="00874BA9">
        <w:t>point</w:t>
      </w:r>
      <w:r w:rsidR="00152FB0" w:rsidRPr="00874BA9">
        <w:t xml:space="preserve"> </w:t>
      </w:r>
      <w:r w:rsidRPr="00874BA9">
        <w:t xml:space="preserve">standard addition for </w:t>
      </w:r>
      <w:r w:rsidR="00CA44B7" w:rsidRPr="00874BA9">
        <w:t>quantification.</w:t>
      </w:r>
    </w:p>
    <w:p w14:paraId="054A732E" w14:textId="77777777" w:rsidR="00BC7B6B" w:rsidRPr="002F57C9" w:rsidRDefault="00BC7B6B" w:rsidP="00FE6E23">
      <w:pPr>
        <w:pStyle w:val="CETBodytext"/>
        <w:jc w:val="left"/>
        <w:rPr>
          <w:b/>
          <w:bCs/>
        </w:rPr>
      </w:pPr>
    </w:p>
    <w:p w14:paraId="44A7AB69" w14:textId="62F926DC" w:rsidR="00BC7B6B" w:rsidRPr="002F57C9" w:rsidRDefault="00BC7B6B" w:rsidP="00F83A1E">
      <w:pPr>
        <w:pStyle w:val="CETBodytext"/>
        <w:rPr>
          <w:b/>
          <w:bCs/>
        </w:rPr>
      </w:pPr>
      <w:r w:rsidRPr="002F57C9">
        <w:rPr>
          <w:b/>
          <w:bCs/>
        </w:rPr>
        <w:t>2.2.3 GC/MS/MS Analysis</w:t>
      </w:r>
    </w:p>
    <w:p w14:paraId="7AD8BF39" w14:textId="77777777" w:rsidR="00BC7B6B" w:rsidRPr="00874BA9" w:rsidRDefault="00BC7B6B" w:rsidP="00FE6E23">
      <w:pPr>
        <w:pStyle w:val="CETBodytext"/>
        <w:jc w:val="left"/>
      </w:pPr>
    </w:p>
    <w:p w14:paraId="21C3FB05" w14:textId="4B4FE3B3" w:rsidR="00BC7B6B" w:rsidRPr="00874BA9" w:rsidRDefault="00BC7B6B" w:rsidP="002F57C9">
      <w:pPr>
        <w:pStyle w:val="CETBodytext"/>
      </w:pPr>
      <w:r w:rsidRPr="00874BA9">
        <w:t xml:space="preserve">Analysis was performed on a Thermo Scientific Trace GC Ultra coupled to a TSQ Quantum XLS mass spectrometer. The separation was performed on a DB-5HT column (30 m × 0.25 mm inner diameter × 0.10 µm film thickness; Agilent Technologies). The temperature program was set at 60 °C (held for 1 min), increased to 160 °C at 15 °C/min (held for 2 min), then increased to 190 °C at 2.2 °C/min and finally increased to 290 °C at 50 °C (held for 3 min). The ionization energy of the MS was 70 eV, the transfer line temperature was 280 °C, and the ion source was 200 °C. Samples were injected (3 μ L) using a programmable temperature vaporization injector in </w:t>
      </w:r>
      <w:r w:rsidR="00874BA9" w:rsidRPr="00874BA9">
        <w:t>split less</w:t>
      </w:r>
      <w:r w:rsidRPr="00874BA9">
        <w:t xml:space="preserve"> mode, which was set at 89 °C with a split flow of 125 mL/min and a </w:t>
      </w:r>
      <w:r w:rsidR="00874BA9" w:rsidRPr="00874BA9">
        <w:t>split less</w:t>
      </w:r>
      <w:r w:rsidRPr="00874BA9">
        <w:t xml:space="preserve"> time of 1.4 min. The flow rate was 1 m</w:t>
      </w:r>
      <w:r w:rsidR="002F57C9">
        <w:t>L</w:t>
      </w:r>
      <w:r w:rsidRPr="00874BA9">
        <w:t>/min with helium as carrier gas. The QqQ mass spectrometer was operated in the selected reaction monitoring (SRM) mode. Two mass transitions were acquired for each target compound, one of which was used for quantification.</w:t>
      </w:r>
    </w:p>
    <w:p w14:paraId="726CD496" w14:textId="77777777" w:rsidR="00BC7B6B" w:rsidRDefault="00BC7B6B" w:rsidP="00F83A1E">
      <w:pPr>
        <w:pStyle w:val="CETBodytext"/>
      </w:pPr>
    </w:p>
    <w:p w14:paraId="15B9D050" w14:textId="77777777" w:rsidR="00BD44F6" w:rsidRDefault="00BD44F6" w:rsidP="00F83A1E">
      <w:pPr>
        <w:pStyle w:val="CETBodytext"/>
      </w:pPr>
    </w:p>
    <w:p w14:paraId="0D03A4E9" w14:textId="77777777" w:rsidR="00BD44F6" w:rsidRPr="00874BA9" w:rsidRDefault="00BD44F6" w:rsidP="00F83A1E">
      <w:pPr>
        <w:pStyle w:val="CETBodytext"/>
      </w:pPr>
    </w:p>
    <w:p w14:paraId="6E837B84" w14:textId="77777777" w:rsidR="00BD6471" w:rsidRPr="00874BA9" w:rsidRDefault="00BD6471" w:rsidP="00BD6471">
      <w:pPr>
        <w:pStyle w:val="CETBodytext"/>
      </w:pPr>
      <w:r w:rsidRPr="00874BA9">
        <w:lastRenderedPageBreak/>
        <w:t xml:space="preserve">2.3 </w:t>
      </w:r>
      <w:r w:rsidRPr="002F57C9">
        <w:rPr>
          <w:b/>
          <w:bCs/>
        </w:rPr>
        <w:t>Health Risk Assessment</w:t>
      </w:r>
    </w:p>
    <w:p w14:paraId="16A1A9E6" w14:textId="0B54ADC7" w:rsidR="00BC7B6B" w:rsidRPr="002F57C9" w:rsidRDefault="00BD6471" w:rsidP="002F57C9">
      <w:pPr>
        <w:pStyle w:val="CETBodytext"/>
      </w:pPr>
      <w:bookmarkStart w:id="4" w:name="_Hlk156148229"/>
      <w:r w:rsidRPr="002F57C9">
        <w:t xml:space="preserve">In general, people are exposed to </w:t>
      </w:r>
      <w:r w:rsidR="003711AC" w:rsidRPr="002F57C9">
        <w:t>organochlorine pesticides</w:t>
      </w:r>
      <w:r w:rsidRPr="002F57C9">
        <w:t xml:space="preserve"> through three main routes: direct ingestion, dermal absorption, and inhalation that can be estimated according to the Exposure Factors Handbook (USEPA, 1997). The chronic daily intake (CDI, mg/kg</w:t>
      </w:r>
      <w:bookmarkEnd w:id="4"/>
      <w:r w:rsidRPr="002F57C9">
        <w:t>/day) of chemicals in soils or sediments through non-dietary ingestion, dermal contact, and inhalation can be calculated according to the following equations:</w:t>
      </w:r>
    </w:p>
    <w:p w14:paraId="5931ECD6" w14:textId="1DBB6FF6" w:rsidR="00D93AC3" w:rsidRPr="00874BA9" w:rsidRDefault="009A2F08" w:rsidP="00D93AC3">
      <w:pPr>
        <w:spacing w:after="200" w:line="360" w:lineRule="auto"/>
        <w:ind w:left="360"/>
        <w:jc w:val="center"/>
        <w:rPr>
          <w:rFonts w:ascii="Times New Roman" w:eastAsia="FangSong_GB2312" w:hAnsi="Times New Roman"/>
          <w:sz w:val="24"/>
          <w:szCs w:val="24"/>
          <w:lang w:val="en-US"/>
        </w:rPr>
      </w:pPr>
      <w:r w:rsidRPr="009A2F08">
        <w:rPr>
          <w:rFonts w:ascii="Calibri" w:eastAsia="Calibri" w:hAnsi="Calibri"/>
          <w:noProof/>
          <w:position w:val="-30"/>
          <w:lang w:val="en-US"/>
        </w:rPr>
        <w:object w:dxaOrig="3480" w:dyaOrig="720" w14:anchorId="372DF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35.5pt;mso-width-percent:0;mso-height-percent:0;mso-width-percent:0;mso-height-percent:0" o:ole="">
            <v:imagedata r:id="rId10" o:title=""/>
          </v:shape>
          <o:OLEObject Type="Embed" ProgID="Equation.3" ShapeID="_x0000_i1025" DrawAspect="Content" ObjectID="_1766803226" r:id="rId11"/>
        </w:object>
      </w:r>
      <w:r w:rsidR="00D93AC3" w:rsidRPr="00874BA9">
        <w:rPr>
          <w:rFonts w:ascii="Times New Roman" w:eastAsia="FangSong_GB2312" w:hAnsi="Times New Roman"/>
          <w:position w:val="-24"/>
          <w:sz w:val="24"/>
          <w:szCs w:val="24"/>
          <w:lang w:val="en-US"/>
        </w:rPr>
        <w:t xml:space="preserve">     </w:t>
      </w:r>
      <w:r w:rsidR="00D93AC3" w:rsidRPr="00874BA9">
        <w:rPr>
          <w:rFonts w:ascii="Times New Roman" w:eastAsia="FangSong_GB2312" w:hAnsi="Times New Roman"/>
          <w:sz w:val="24"/>
          <w:szCs w:val="24"/>
          <w:lang w:val="en-US"/>
        </w:rPr>
        <w:t>(E</w:t>
      </w:r>
      <w:r w:rsidR="00A94737" w:rsidRPr="00874BA9">
        <w:rPr>
          <w:rFonts w:ascii="Times New Roman" w:eastAsia="FangSong_GB2312" w:hAnsi="Times New Roman"/>
          <w:sz w:val="24"/>
          <w:szCs w:val="24"/>
          <w:lang w:val="en-US"/>
        </w:rPr>
        <w:t>quation</w:t>
      </w:r>
      <w:r w:rsidR="00D93AC3" w:rsidRPr="00874BA9">
        <w:rPr>
          <w:rFonts w:ascii="Times New Roman" w:eastAsia="FangSong_GB2312" w:hAnsi="Times New Roman"/>
          <w:sz w:val="24"/>
          <w:szCs w:val="24"/>
          <w:lang w:val="en-US"/>
        </w:rPr>
        <w:t>1)</w:t>
      </w:r>
    </w:p>
    <w:p w14:paraId="6B57C5A0" w14:textId="437E3925" w:rsidR="00D93AC3" w:rsidRPr="00874BA9" w:rsidRDefault="009A2F08" w:rsidP="00D93AC3">
      <w:pPr>
        <w:spacing w:after="200" w:line="360" w:lineRule="auto"/>
        <w:ind w:left="360"/>
        <w:jc w:val="center"/>
        <w:rPr>
          <w:rFonts w:ascii="Times New Roman" w:eastAsia="FangSong_GB2312" w:hAnsi="Times New Roman"/>
          <w:sz w:val="24"/>
          <w:szCs w:val="24"/>
          <w:lang w:val="en-US"/>
        </w:rPr>
      </w:pPr>
      <w:r w:rsidRPr="009A2F08">
        <w:rPr>
          <w:rFonts w:ascii="Calibri" w:eastAsia="Calibri" w:hAnsi="Calibri"/>
          <w:noProof/>
          <w:position w:val="-30"/>
          <w:lang w:val="en-US"/>
        </w:rPr>
        <w:object w:dxaOrig="4560" w:dyaOrig="680" w14:anchorId="79A26F21">
          <v:shape id="_x0000_i1026" type="#_x0000_t75" alt="" style="width:228.5pt;height:34.5pt;mso-width-percent:0;mso-height-percent:0;mso-width-percent:0;mso-height-percent:0" o:ole="">
            <v:imagedata r:id="rId12" o:title=""/>
          </v:shape>
          <o:OLEObject Type="Embed" ProgID="Equation.3" ShapeID="_x0000_i1026" DrawAspect="Content" ObjectID="_1766803227" r:id="rId13"/>
        </w:object>
      </w:r>
      <w:r w:rsidR="00D93AC3" w:rsidRPr="00874BA9">
        <w:rPr>
          <w:rFonts w:ascii="Times New Roman" w:eastAsia="FangSong_GB2312" w:hAnsi="Times New Roman"/>
          <w:position w:val="-24"/>
          <w:sz w:val="24"/>
          <w:szCs w:val="24"/>
          <w:lang w:val="en-US"/>
        </w:rPr>
        <w:t xml:space="preserve">     </w:t>
      </w:r>
      <w:r w:rsidR="00D93AC3" w:rsidRPr="00874BA9">
        <w:rPr>
          <w:rFonts w:ascii="Times New Roman" w:eastAsia="FangSong_GB2312" w:hAnsi="Times New Roman"/>
          <w:sz w:val="24"/>
          <w:szCs w:val="24"/>
          <w:lang w:val="en-US"/>
        </w:rPr>
        <w:t>(E</w:t>
      </w:r>
      <w:r w:rsidR="00A94737" w:rsidRPr="00874BA9">
        <w:rPr>
          <w:rFonts w:ascii="Times New Roman" w:eastAsia="FangSong_GB2312" w:hAnsi="Times New Roman"/>
          <w:sz w:val="24"/>
          <w:szCs w:val="24"/>
          <w:lang w:val="en-US"/>
        </w:rPr>
        <w:t>quation</w:t>
      </w:r>
      <w:r w:rsidR="00D93AC3" w:rsidRPr="00874BA9">
        <w:rPr>
          <w:rFonts w:ascii="Times New Roman" w:eastAsia="FangSong_GB2312" w:hAnsi="Times New Roman"/>
          <w:sz w:val="24"/>
          <w:szCs w:val="24"/>
          <w:lang w:val="en-US"/>
        </w:rPr>
        <w:t>2)</w:t>
      </w:r>
    </w:p>
    <w:p w14:paraId="21457CF1" w14:textId="6E8971C0" w:rsidR="00D93AC3" w:rsidRPr="00874BA9" w:rsidRDefault="009A2F08" w:rsidP="00D93AC3">
      <w:pPr>
        <w:spacing w:after="200" w:line="360" w:lineRule="auto"/>
        <w:ind w:left="360"/>
        <w:jc w:val="center"/>
        <w:rPr>
          <w:rFonts w:ascii="Times New Roman" w:eastAsia="FangSong_GB2312" w:hAnsi="Times New Roman"/>
          <w:sz w:val="24"/>
          <w:szCs w:val="24"/>
          <w:lang w:val="en-US"/>
        </w:rPr>
      </w:pPr>
      <w:r w:rsidRPr="009A2F08">
        <w:rPr>
          <w:rFonts w:ascii="Calibri" w:eastAsia="Calibri" w:hAnsi="Calibri"/>
          <w:noProof/>
          <w:position w:val="-30"/>
          <w:lang w:val="en-US"/>
        </w:rPr>
        <w:object w:dxaOrig="2900" w:dyaOrig="680" w14:anchorId="678E4D22">
          <v:shape id="_x0000_i1027" type="#_x0000_t75" alt="" style="width:144.5pt;height:33.5pt;mso-width-percent:0;mso-height-percent:0;mso-width-percent:0;mso-height-percent:0" o:ole="">
            <v:imagedata r:id="rId14" o:title=""/>
          </v:shape>
          <o:OLEObject Type="Embed" ProgID="Equation.3" ShapeID="_x0000_i1027" DrawAspect="Content" ObjectID="_1766803228" r:id="rId15"/>
        </w:object>
      </w:r>
      <w:r w:rsidR="00D93AC3" w:rsidRPr="00874BA9">
        <w:rPr>
          <w:rFonts w:ascii="Times New Roman" w:eastAsia="FangSong_GB2312" w:hAnsi="Times New Roman"/>
          <w:position w:val="-24"/>
          <w:sz w:val="24"/>
          <w:szCs w:val="24"/>
          <w:lang w:val="en-US"/>
        </w:rPr>
        <w:t xml:space="preserve">     </w:t>
      </w:r>
      <w:r w:rsidR="00D93AC3" w:rsidRPr="00874BA9">
        <w:rPr>
          <w:rFonts w:ascii="Times New Roman" w:eastAsia="FangSong_GB2312" w:hAnsi="Times New Roman"/>
          <w:sz w:val="24"/>
          <w:szCs w:val="24"/>
          <w:lang w:val="en-US"/>
        </w:rPr>
        <w:t>(E</w:t>
      </w:r>
      <w:r w:rsidR="00A94737" w:rsidRPr="00874BA9">
        <w:rPr>
          <w:rFonts w:ascii="Times New Roman" w:eastAsia="FangSong_GB2312" w:hAnsi="Times New Roman"/>
          <w:sz w:val="24"/>
          <w:szCs w:val="24"/>
          <w:lang w:val="en-US"/>
        </w:rPr>
        <w:t>quation</w:t>
      </w:r>
      <w:r w:rsidR="00D93AC3" w:rsidRPr="00874BA9">
        <w:rPr>
          <w:rFonts w:ascii="Times New Roman" w:eastAsia="FangSong_GB2312" w:hAnsi="Times New Roman"/>
          <w:sz w:val="24"/>
          <w:szCs w:val="24"/>
          <w:lang w:val="en-US"/>
        </w:rPr>
        <w:t>3)</w:t>
      </w:r>
    </w:p>
    <w:p w14:paraId="7AC19C22" w14:textId="5CE58936" w:rsidR="005D09A6" w:rsidRPr="00874BA9" w:rsidRDefault="005D09A6" w:rsidP="002F57C9">
      <w:pPr>
        <w:pStyle w:val="CETBodytext"/>
      </w:pPr>
      <w:r w:rsidRPr="00874BA9">
        <w:t>where C s is the concentration of pesticides in sediments (mg/kg); the ingestion rate (IR ing) is 100 mg/kg for adults and 200 mg/kg for children; the inhalation rate (IR inh) is 10.9 m 3 /d for children and 17.5 m 3 /d for adults; The exposure frequency (EF) is 350 days/year; the duration of exposure (DE) is 30 years for adults and 6 years for children; the exposed area (SA) is 5,700 cm 2 for adults and 2,800 cm 2 for children; the adherence factor (SAF) is 0.07 mg/cm 2 for adults and 0.2 mg/cm 2 for children; the dermal absorption factor (ABS) is chemically specific and the particle emission factor (PEF) is 1.36 × 10 9 m 3 /kg (USEPA, 2002). Body weight (BW) is 70 kg for adults and 20 kg for children); and the average time (AT) is 2190 days for children and 8760 days for adults (USEPA, 2011).</w:t>
      </w:r>
    </w:p>
    <w:p w14:paraId="601EDBC4" w14:textId="77777777" w:rsidR="005D09A6" w:rsidRPr="00874BA9" w:rsidRDefault="005D09A6" w:rsidP="002F57C9">
      <w:pPr>
        <w:pStyle w:val="CETBodytext"/>
      </w:pPr>
    </w:p>
    <w:p w14:paraId="4CD4D80F" w14:textId="708FC261" w:rsidR="00775D9A" w:rsidRPr="00874BA9" w:rsidRDefault="005D09A6" w:rsidP="002F57C9">
      <w:pPr>
        <w:pStyle w:val="CETBodytext"/>
      </w:pPr>
      <w:r w:rsidRPr="00874BA9">
        <w:t xml:space="preserve">Carcinogenic risk is the probability that an individual will develop any type of cancer during his or her lifetime due to exposure to carcinogenic hazards. In our study, the cancer risk for an individual throughout their life was calculated according to the following equation (USEPA, 2011): </w:t>
      </w:r>
    </w:p>
    <w:p w14:paraId="4FD3BFFC" w14:textId="77777777" w:rsidR="00A976E7" w:rsidRPr="00874BA9" w:rsidRDefault="00A976E7" w:rsidP="005D09A6">
      <w:pPr>
        <w:pStyle w:val="CETBodytext"/>
      </w:pPr>
    </w:p>
    <w:p w14:paraId="05C04CD3" w14:textId="181D364E" w:rsidR="009365EB" w:rsidRPr="00874BA9" w:rsidRDefault="009A2F08" w:rsidP="009365EB">
      <w:pPr>
        <w:tabs>
          <w:tab w:val="clear" w:pos="7100"/>
        </w:tabs>
        <w:autoSpaceDE w:val="0"/>
        <w:autoSpaceDN w:val="0"/>
        <w:adjustRightInd w:val="0"/>
        <w:snapToGrid w:val="0"/>
        <w:spacing w:after="200" w:line="360" w:lineRule="auto"/>
        <w:ind w:left="360"/>
        <w:jc w:val="center"/>
        <w:rPr>
          <w:rFonts w:ascii="Times New Roman" w:eastAsia="FangSong_GB2312" w:hAnsi="Times New Roman"/>
          <w:sz w:val="24"/>
          <w:szCs w:val="24"/>
          <w:lang w:val="en-US"/>
        </w:rPr>
      </w:pPr>
      <w:r w:rsidRPr="009A2F08">
        <w:rPr>
          <w:rFonts w:ascii="Calibri" w:eastAsia="Calibri" w:hAnsi="Calibri"/>
          <w:noProof/>
          <w:position w:val="-6"/>
          <w:sz w:val="22"/>
          <w:szCs w:val="22"/>
          <w:lang w:val="en-US"/>
        </w:rPr>
        <w:object w:dxaOrig="1500" w:dyaOrig="279" w14:anchorId="6CD58004">
          <v:shape id="_x0000_i1028" type="#_x0000_t75" alt="" style="width:75pt;height:14.5pt;mso-width-percent:0;mso-height-percent:0;mso-width-percent:0;mso-height-percent:0" o:ole="">
            <v:imagedata r:id="rId16" o:title=""/>
          </v:shape>
          <o:OLEObject Type="Embed" ProgID="Equation.3" ShapeID="_x0000_i1028" DrawAspect="Content" ObjectID="_1766803229" r:id="rId17"/>
        </w:object>
      </w:r>
      <w:r w:rsidR="009365EB" w:rsidRPr="00874BA9">
        <w:rPr>
          <w:rFonts w:ascii="Times New Roman" w:eastAsia="FangSong_GB2312" w:hAnsi="Times New Roman"/>
          <w:position w:val="-6"/>
          <w:sz w:val="24"/>
          <w:szCs w:val="24"/>
          <w:lang w:val="en-US"/>
        </w:rPr>
        <w:t xml:space="preserve">     </w:t>
      </w:r>
      <w:r w:rsidR="009365EB" w:rsidRPr="00874BA9">
        <w:rPr>
          <w:rFonts w:ascii="Times New Roman" w:eastAsia="FangSong_GB2312" w:hAnsi="Times New Roman"/>
          <w:sz w:val="24"/>
          <w:szCs w:val="24"/>
          <w:lang w:val="en-US"/>
        </w:rPr>
        <w:t>(E</w:t>
      </w:r>
      <w:r w:rsidR="0078365C" w:rsidRPr="00874BA9">
        <w:rPr>
          <w:rFonts w:ascii="Times New Roman" w:eastAsia="FangSong_GB2312" w:hAnsi="Times New Roman"/>
          <w:sz w:val="24"/>
          <w:szCs w:val="24"/>
          <w:lang w:val="en-US"/>
        </w:rPr>
        <w:t>quation</w:t>
      </w:r>
      <w:r w:rsidR="009365EB" w:rsidRPr="00874BA9">
        <w:rPr>
          <w:rFonts w:ascii="Times New Roman" w:eastAsia="FangSong_GB2312" w:hAnsi="Times New Roman"/>
          <w:sz w:val="24"/>
          <w:szCs w:val="24"/>
          <w:lang w:val="en-US"/>
        </w:rPr>
        <w:t xml:space="preserve"> 4)</w:t>
      </w:r>
    </w:p>
    <w:p w14:paraId="19B73577" w14:textId="037F0C87" w:rsidR="00C44B58" w:rsidRPr="00874BA9" w:rsidRDefault="00C07258" w:rsidP="009365EB">
      <w:pPr>
        <w:tabs>
          <w:tab w:val="clear" w:pos="7100"/>
        </w:tabs>
        <w:autoSpaceDE w:val="0"/>
        <w:autoSpaceDN w:val="0"/>
        <w:adjustRightInd w:val="0"/>
        <w:spacing w:after="200" w:line="240" w:lineRule="auto"/>
        <w:rPr>
          <w:rFonts w:eastAsia="FangSong_GB2312" w:cs="Arial"/>
          <w:szCs w:val="18"/>
          <w:lang w:val="en-US"/>
        </w:rPr>
      </w:pPr>
      <w:r w:rsidRPr="00874BA9">
        <w:rPr>
          <w:rFonts w:eastAsia="FangSong_GB2312" w:cs="Arial"/>
          <w:szCs w:val="18"/>
          <w:lang w:val="en-US"/>
        </w:rPr>
        <w:t>W</w:t>
      </w:r>
      <w:r w:rsidR="00C44B58" w:rsidRPr="00874BA9">
        <w:rPr>
          <w:rFonts w:eastAsia="FangSong_GB2312" w:cs="Arial"/>
          <w:szCs w:val="18"/>
          <w:lang w:val="en-US"/>
        </w:rPr>
        <w:t>here SF is the carcinogenicity slope factor (mg /kg/day) -1 (Table S4, USEPA, 2002). If multiple carcinogenic toxicants are present, the cancer risk from all compounds and routes of exposure is summarized:</w:t>
      </w:r>
    </w:p>
    <w:p w14:paraId="3FD0C9C1" w14:textId="5141F547" w:rsidR="009365EB" w:rsidRPr="00874BA9" w:rsidRDefault="009A2F08" w:rsidP="009365EB">
      <w:pPr>
        <w:tabs>
          <w:tab w:val="clear" w:pos="7100"/>
        </w:tabs>
        <w:autoSpaceDE w:val="0"/>
        <w:autoSpaceDN w:val="0"/>
        <w:adjustRightInd w:val="0"/>
        <w:snapToGrid w:val="0"/>
        <w:spacing w:after="200" w:line="360" w:lineRule="auto"/>
        <w:ind w:left="360"/>
        <w:jc w:val="center"/>
        <w:rPr>
          <w:rFonts w:ascii="Times New Roman" w:eastAsia="FangSong_GB2312" w:hAnsi="Times New Roman"/>
          <w:sz w:val="24"/>
          <w:szCs w:val="24"/>
          <w:lang w:val="en-US"/>
        </w:rPr>
      </w:pPr>
      <w:r w:rsidRPr="009A2F08">
        <w:rPr>
          <w:rFonts w:ascii="Calibri" w:eastAsia="Calibri" w:hAnsi="Calibri"/>
          <w:noProof/>
          <w:position w:val="-28"/>
          <w:sz w:val="22"/>
          <w:szCs w:val="22"/>
          <w:lang w:val="en-US"/>
        </w:rPr>
        <w:object w:dxaOrig="1340" w:dyaOrig="540" w14:anchorId="559D11CA">
          <v:shape id="_x0000_i1029" type="#_x0000_t75" alt="" style="width:66.5pt;height:27.5pt;mso-width-percent:0;mso-height-percent:0;mso-width-percent:0;mso-height-percent:0" o:ole="">
            <v:imagedata r:id="rId18" o:title=""/>
          </v:shape>
          <o:OLEObject Type="Embed" ProgID="Equation.3" ShapeID="_x0000_i1029" DrawAspect="Content" ObjectID="_1766803230" r:id="rId19"/>
        </w:object>
      </w:r>
      <w:r w:rsidR="009365EB" w:rsidRPr="00874BA9">
        <w:rPr>
          <w:rFonts w:ascii="Times New Roman" w:eastAsia="FangSong_GB2312" w:hAnsi="Times New Roman"/>
          <w:position w:val="-28"/>
          <w:sz w:val="24"/>
          <w:szCs w:val="24"/>
          <w:lang w:val="en-US"/>
        </w:rPr>
        <w:t xml:space="preserve">     </w:t>
      </w:r>
      <w:r w:rsidR="009365EB" w:rsidRPr="00874BA9">
        <w:rPr>
          <w:rFonts w:ascii="Times New Roman" w:eastAsia="FangSong_GB2312" w:hAnsi="Times New Roman"/>
          <w:sz w:val="24"/>
          <w:szCs w:val="24"/>
          <w:lang w:val="en-US"/>
        </w:rPr>
        <w:t xml:space="preserve"> (E</w:t>
      </w:r>
      <w:r w:rsidR="0078365C" w:rsidRPr="00874BA9">
        <w:rPr>
          <w:rFonts w:ascii="Times New Roman" w:eastAsia="FangSong_GB2312" w:hAnsi="Times New Roman"/>
          <w:sz w:val="24"/>
          <w:szCs w:val="24"/>
          <w:lang w:val="en-US"/>
        </w:rPr>
        <w:t>quation</w:t>
      </w:r>
      <w:r w:rsidR="009365EB" w:rsidRPr="00874BA9">
        <w:rPr>
          <w:rFonts w:ascii="Times New Roman" w:eastAsia="FangSong_GB2312" w:hAnsi="Times New Roman"/>
          <w:sz w:val="24"/>
          <w:szCs w:val="24"/>
          <w:lang w:val="en-US"/>
        </w:rPr>
        <w:t xml:space="preserve"> 5)</w:t>
      </w:r>
    </w:p>
    <w:p w14:paraId="47D8C256" w14:textId="22C93409" w:rsidR="009365EB" w:rsidRPr="00874BA9" w:rsidRDefault="00A976E7" w:rsidP="002F57C9">
      <w:pPr>
        <w:tabs>
          <w:tab w:val="clear" w:pos="7100"/>
        </w:tabs>
        <w:autoSpaceDE w:val="0"/>
        <w:autoSpaceDN w:val="0"/>
        <w:adjustRightInd w:val="0"/>
        <w:snapToGrid w:val="0"/>
        <w:spacing w:after="200" w:line="240" w:lineRule="auto"/>
        <w:rPr>
          <w:rFonts w:eastAsia="SimSun" w:cs="Arial"/>
          <w:szCs w:val="18"/>
          <w:lang w:val="en-US"/>
        </w:rPr>
      </w:pPr>
      <w:r w:rsidRPr="00874BA9">
        <w:rPr>
          <w:rFonts w:eastAsia="FangSong_GB2312" w:cs="Arial"/>
          <w:szCs w:val="18"/>
          <w:lang w:val="en-US"/>
        </w:rPr>
        <w:t>In general, risk ratios between 1.0 × 10 -4 and 1.0 × 10 -6 are considered acceptable (USEPA, 1989), while those greater than 1.0 × 10 -4 are suggested to represent a risk carcinogenic to humans.</w:t>
      </w:r>
    </w:p>
    <w:p w14:paraId="171C0646" w14:textId="77777777" w:rsidR="00341FD4" w:rsidRPr="002F57C9" w:rsidRDefault="00341FD4" w:rsidP="00341FD4">
      <w:pPr>
        <w:pStyle w:val="CETBodytext"/>
        <w:rPr>
          <w:b/>
          <w:bCs/>
        </w:rPr>
      </w:pPr>
      <w:r w:rsidRPr="002F57C9">
        <w:rPr>
          <w:b/>
          <w:bCs/>
        </w:rPr>
        <w:t>2.4 Data analysis.</w:t>
      </w:r>
    </w:p>
    <w:p w14:paraId="45B839C2" w14:textId="77777777" w:rsidR="00341FD4" w:rsidRPr="00874BA9" w:rsidRDefault="00341FD4" w:rsidP="00341FD4">
      <w:pPr>
        <w:pStyle w:val="CETBodytext"/>
      </w:pPr>
    </w:p>
    <w:p w14:paraId="29297AC8" w14:textId="27716EE6" w:rsidR="00341FD4" w:rsidRPr="00874BA9" w:rsidRDefault="00341FD4" w:rsidP="002F57C9">
      <w:pPr>
        <w:pStyle w:val="CETBodytext"/>
      </w:pPr>
      <w:r w:rsidRPr="00874BA9">
        <w:t>For statistical data analysis, Excel 2010 software (Microsoft Inc., Seattle, WA, USA) was used to prepare tables and graphs.</w:t>
      </w:r>
    </w:p>
    <w:p w14:paraId="7785E412" w14:textId="77777777" w:rsidR="00341FD4" w:rsidRPr="00874BA9" w:rsidRDefault="00341FD4" w:rsidP="00341FD4">
      <w:pPr>
        <w:pStyle w:val="CETBodytext"/>
      </w:pPr>
    </w:p>
    <w:p w14:paraId="37580BD8" w14:textId="77777777" w:rsidR="00341FD4" w:rsidRPr="002F57C9" w:rsidRDefault="00341FD4" w:rsidP="00341FD4">
      <w:pPr>
        <w:pStyle w:val="CETBodytext"/>
        <w:rPr>
          <w:b/>
          <w:sz w:val="20"/>
        </w:rPr>
      </w:pPr>
      <w:r w:rsidRPr="002F57C9">
        <w:rPr>
          <w:b/>
          <w:sz w:val="20"/>
        </w:rPr>
        <w:t>3. Results and discussion</w:t>
      </w:r>
    </w:p>
    <w:p w14:paraId="11471E27" w14:textId="77777777" w:rsidR="00341FD4" w:rsidRPr="00874BA9" w:rsidRDefault="00341FD4" w:rsidP="00341FD4">
      <w:pPr>
        <w:pStyle w:val="CETBodytext"/>
      </w:pPr>
    </w:p>
    <w:p w14:paraId="47CB385B" w14:textId="417B7BCB" w:rsidR="00341FD4" w:rsidRPr="002F57C9" w:rsidRDefault="00341FD4" w:rsidP="00341FD4">
      <w:pPr>
        <w:pStyle w:val="CETBodytext"/>
        <w:rPr>
          <w:b/>
          <w:bCs/>
        </w:rPr>
      </w:pPr>
      <w:r w:rsidRPr="002F57C9">
        <w:rPr>
          <w:b/>
          <w:bCs/>
        </w:rPr>
        <w:t xml:space="preserve">3.1 Presence of </w:t>
      </w:r>
      <w:r w:rsidR="00874BA9" w:rsidRPr="002F57C9">
        <w:rPr>
          <w:b/>
          <w:bCs/>
        </w:rPr>
        <w:t>organochlorine pesticides</w:t>
      </w:r>
      <w:r w:rsidR="002E6BCA" w:rsidRPr="002F57C9">
        <w:rPr>
          <w:b/>
          <w:bCs/>
        </w:rPr>
        <w:t xml:space="preserve"> </w:t>
      </w:r>
      <w:r w:rsidRPr="002F57C9">
        <w:rPr>
          <w:b/>
          <w:bCs/>
        </w:rPr>
        <w:t>in sediment samples</w:t>
      </w:r>
    </w:p>
    <w:p w14:paraId="52B6A01E" w14:textId="77777777" w:rsidR="000E1CD1" w:rsidRPr="00874BA9" w:rsidRDefault="000E1CD1" w:rsidP="002E6BCA">
      <w:pPr>
        <w:pStyle w:val="CETBodytext"/>
      </w:pPr>
    </w:p>
    <w:p w14:paraId="715E51AB" w14:textId="627C397F" w:rsidR="002E6BCA" w:rsidRPr="00874BA9" w:rsidRDefault="002E6BCA" w:rsidP="002F57C9">
      <w:pPr>
        <w:pStyle w:val="CETBodytext"/>
      </w:pPr>
      <w:r w:rsidRPr="00874BA9">
        <w:t>The most abundant pesticides in the sediments were 4,4'-DDE (1.14 ±2.35 ng/g), followed by 4.4'-DDT (0.40 ± 0.59 ng/g) and 4.4'-DDD (0.41 ± 0.74 ng/g) and found at sampling site M3. In which one of the biggest environmental problems is the deterioration of bodies of water due to the appropriation of agricultural productive spaces that do not obey the criteria of sustainability and the inappropriate use of agrochemicals.</w:t>
      </w:r>
    </w:p>
    <w:p w14:paraId="4A6FEED4" w14:textId="77777777" w:rsidR="002E6BCA" w:rsidRPr="00874BA9" w:rsidRDefault="002E6BCA" w:rsidP="002F57C9">
      <w:pPr>
        <w:pStyle w:val="CETBodytext"/>
      </w:pPr>
    </w:p>
    <w:p w14:paraId="432A0F76" w14:textId="77777777" w:rsidR="002E6BCA" w:rsidRPr="00874BA9" w:rsidRDefault="002E6BCA" w:rsidP="002F57C9">
      <w:pPr>
        <w:pStyle w:val="CETBodytext"/>
      </w:pPr>
      <w:r w:rsidRPr="00874BA9">
        <w:lastRenderedPageBreak/>
        <w:t>The other chlorinated compounds apart from the DDT metabolites that were also found in the other sampling sites on a smaller scale reflect the agricultural activity of the regions of the department of Bolívar and its history regarding the use of pesticides for the cultivation of products such as cotton, which was the main product of those regions for more than 30 years.</w:t>
      </w:r>
    </w:p>
    <w:p w14:paraId="05C55964" w14:textId="77777777" w:rsidR="000E1CD1" w:rsidRPr="00874BA9" w:rsidRDefault="000E1CD1" w:rsidP="00341FD4">
      <w:pPr>
        <w:pStyle w:val="CETBodytext"/>
      </w:pPr>
    </w:p>
    <w:p w14:paraId="5A3DE18F" w14:textId="2A11BE7C" w:rsidR="00341FD4" w:rsidRPr="00874BA9" w:rsidRDefault="002E6BCA" w:rsidP="00341FD4">
      <w:pPr>
        <w:pStyle w:val="CETBodytext"/>
      </w:pPr>
      <w:r w:rsidRPr="00874BA9">
        <w:t>The concentrations of pesticides in the analyzed samples are shown in Table 1.</w:t>
      </w:r>
    </w:p>
    <w:p w14:paraId="1A56988C" w14:textId="3459ECDE" w:rsidR="00F72C40" w:rsidRPr="00C84B7B" w:rsidRDefault="00600535" w:rsidP="00600535">
      <w:pPr>
        <w:pStyle w:val="CETTabletitle"/>
        <w:rPr>
          <w:lang w:val="en-US"/>
        </w:rPr>
      </w:pPr>
      <w:r w:rsidRPr="00C84B7B">
        <w:rPr>
          <w:lang w:val="en-US"/>
        </w:rPr>
        <w:t xml:space="preserve">Table 1: </w:t>
      </w:r>
      <w:r w:rsidR="00622B81" w:rsidRPr="00C84B7B">
        <w:rPr>
          <w:lang w:val="en-US"/>
        </w:rPr>
        <w:t>Concentration of pesticides in sediments</w:t>
      </w:r>
      <w:r w:rsidR="002F57C9" w:rsidRPr="00C84B7B">
        <w:rPr>
          <w:lang w:val="en-US"/>
        </w:rPr>
        <w:t>.</w:t>
      </w:r>
    </w:p>
    <w:tbl>
      <w:tblPr>
        <w:tblStyle w:val="Tablanormal4"/>
        <w:tblW w:w="8815" w:type="dxa"/>
        <w:shd w:val="clear" w:color="auto" w:fill="FFFFFF" w:themeFill="background1"/>
        <w:tblLayout w:type="fixed"/>
        <w:tblLook w:val="04A0" w:firstRow="1" w:lastRow="0" w:firstColumn="1" w:lastColumn="0" w:noHBand="0" w:noVBand="1"/>
      </w:tblPr>
      <w:tblGrid>
        <w:gridCol w:w="2492"/>
        <w:gridCol w:w="831"/>
        <w:gridCol w:w="832"/>
        <w:gridCol w:w="832"/>
        <w:gridCol w:w="666"/>
        <w:gridCol w:w="832"/>
        <w:gridCol w:w="666"/>
        <w:gridCol w:w="1664"/>
      </w:tblGrid>
      <w:tr w:rsidR="007E2E65" w:rsidRPr="00AD6219" w14:paraId="62A81BB9" w14:textId="77777777" w:rsidTr="007E2E65">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492" w:type="dxa"/>
            <w:tcBorders>
              <w:top w:val="single" w:sz="24" w:space="0" w:color="9BBB59" w:themeColor="accent3"/>
              <w:bottom w:val="single" w:sz="24" w:space="0" w:color="9BBB59" w:themeColor="accent3"/>
            </w:tcBorders>
            <w:shd w:val="clear" w:color="auto" w:fill="FFFFFF" w:themeFill="background1"/>
            <w:vAlign w:val="center"/>
            <w:hideMark/>
          </w:tcPr>
          <w:p w14:paraId="473CB8BC" w14:textId="77777777" w:rsidR="00F001B0" w:rsidRPr="007E2E65" w:rsidRDefault="00F001B0" w:rsidP="007E2E65">
            <w:pPr>
              <w:tabs>
                <w:tab w:val="clear" w:pos="7100"/>
              </w:tabs>
              <w:spacing w:line="240" w:lineRule="auto"/>
              <w:jc w:val="center"/>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Pesticide</w:t>
            </w:r>
          </w:p>
        </w:tc>
        <w:tc>
          <w:tcPr>
            <w:tcW w:w="831" w:type="dxa"/>
            <w:tcBorders>
              <w:top w:val="single" w:sz="24" w:space="0" w:color="9BBB59" w:themeColor="accent3"/>
              <w:bottom w:val="single" w:sz="24" w:space="0" w:color="9BBB59" w:themeColor="accent3"/>
            </w:tcBorders>
            <w:shd w:val="clear" w:color="auto" w:fill="FFFFFF" w:themeFill="background1"/>
            <w:vAlign w:val="center"/>
            <w:hideMark/>
          </w:tcPr>
          <w:p w14:paraId="7F87E94C" w14:textId="10D14C8A" w:rsidR="00F001B0" w:rsidRPr="007E2E65" w:rsidRDefault="00F001B0"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M1</w:t>
            </w:r>
          </w:p>
        </w:tc>
        <w:tc>
          <w:tcPr>
            <w:tcW w:w="832" w:type="dxa"/>
            <w:tcBorders>
              <w:top w:val="single" w:sz="24" w:space="0" w:color="9BBB59" w:themeColor="accent3"/>
              <w:bottom w:val="single" w:sz="24" w:space="0" w:color="9BBB59" w:themeColor="accent3"/>
            </w:tcBorders>
            <w:shd w:val="clear" w:color="auto" w:fill="FFFFFF" w:themeFill="background1"/>
            <w:vAlign w:val="center"/>
            <w:hideMark/>
          </w:tcPr>
          <w:p w14:paraId="1C0E031F" w14:textId="48720806" w:rsidR="00F001B0" w:rsidRPr="007E2E65" w:rsidRDefault="00F001B0"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M2</w:t>
            </w:r>
          </w:p>
        </w:tc>
        <w:tc>
          <w:tcPr>
            <w:tcW w:w="832" w:type="dxa"/>
            <w:tcBorders>
              <w:top w:val="single" w:sz="24" w:space="0" w:color="9BBB59" w:themeColor="accent3"/>
              <w:bottom w:val="single" w:sz="24" w:space="0" w:color="9BBB59" w:themeColor="accent3"/>
            </w:tcBorders>
            <w:shd w:val="clear" w:color="auto" w:fill="FFFFFF" w:themeFill="background1"/>
            <w:vAlign w:val="center"/>
            <w:hideMark/>
          </w:tcPr>
          <w:p w14:paraId="609A6F23" w14:textId="59AAA95E" w:rsidR="00F001B0" w:rsidRPr="007E2E65" w:rsidRDefault="00F001B0"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M3</w:t>
            </w:r>
          </w:p>
        </w:tc>
        <w:tc>
          <w:tcPr>
            <w:tcW w:w="666" w:type="dxa"/>
            <w:tcBorders>
              <w:top w:val="single" w:sz="24" w:space="0" w:color="9BBB59" w:themeColor="accent3"/>
              <w:bottom w:val="single" w:sz="24" w:space="0" w:color="9BBB59" w:themeColor="accent3"/>
            </w:tcBorders>
            <w:shd w:val="clear" w:color="auto" w:fill="FFFFFF" w:themeFill="background1"/>
            <w:vAlign w:val="center"/>
            <w:hideMark/>
          </w:tcPr>
          <w:p w14:paraId="1FA6785E" w14:textId="77777777" w:rsidR="00F001B0" w:rsidRPr="007E2E65" w:rsidRDefault="00F001B0"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M4</w:t>
            </w:r>
          </w:p>
        </w:tc>
        <w:tc>
          <w:tcPr>
            <w:tcW w:w="832" w:type="dxa"/>
            <w:tcBorders>
              <w:top w:val="single" w:sz="24" w:space="0" w:color="9BBB59" w:themeColor="accent3"/>
              <w:bottom w:val="single" w:sz="24" w:space="0" w:color="9BBB59" w:themeColor="accent3"/>
            </w:tcBorders>
            <w:shd w:val="clear" w:color="auto" w:fill="FFFFFF" w:themeFill="background1"/>
            <w:vAlign w:val="center"/>
            <w:hideMark/>
          </w:tcPr>
          <w:p w14:paraId="50648224" w14:textId="0330572A" w:rsidR="00F001B0" w:rsidRPr="007E2E65" w:rsidRDefault="00F001B0"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M5</w:t>
            </w:r>
          </w:p>
        </w:tc>
        <w:tc>
          <w:tcPr>
            <w:tcW w:w="666" w:type="dxa"/>
            <w:tcBorders>
              <w:top w:val="single" w:sz="24" w:space="0" w:color="9BBB59" w:themeColor="accent3"/>
              <w:bottom w:val="single" w:sz="24" w:space="0" w:color="9BBB59" w:themeColor="accent3"/>
            </w:tcBorders>
            <w:shd w:val="clear" w:color="auto" w:fill="FFFFFF" w:themeFill="background1"/>
            <w:vAlign w:val="center"/>
            <w:hideMark/>
          </w:tcPr>
          <w:p w14:paraId="3AE190AC" w14:textId="708C9BD4" w:rsidR="00F001B0" w:rsidRPr="007E2E65" w:rsidRDefault="00F001B0"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M6</w:t>
            </w:r>
          </w:p>
        </w:tc>
        <w:tc>
          <w:tcPr>
            <w:tcW w:w="1664" w:type="dxa"/>
            <w:tcBorders>
              <w:top w:val="single" w:sz="24" w:space="0" w:color="9BBB59" w:themeColor="accent3"/>
              <w:bottom w:val="single" w:sz="24" w:space="0" w:color="9BBB59" w:themeColor="accent3"/>
            </w:tcBorders>
            <w:shd w:val="clear" w:color="auto" w:fill="FFFFFF" w:themeFill="background1"/>
            <w:vAlign w:val="center"/>
            <w:hideMark/>
          </w:tcPr>
          <w:p w14:paraId="7A77D80B" w14:textId="6F26D8CF" w:rsidR="00F001B0" w:rsidRPr="007E2E65" w:rsidRDefault="000006C9" w:rsidP="007E2E65">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2E2E2E"/>
                <w:sz w:val="22"/>
                <w:szCs w:val="22"/>
                <w:shd w:val="clear" w:color="auto" w:fill="FFFFFF"/>
                <w:lang w:val="en-US"/>
              </w:rPr>
            </w:pPr>
            <w:r w:rsidRPr="007E2E65">
              <w:rPr>
                <w:rFonts w:eastAsia="Calibri" w:cs="Arial"/>
                <w:color w:val="2E2E2E"/>
                <w:sz w:val="22"/>
                <w:szCs w:val="22"/>
                <w:shd w:val="clear" w:color="auto" w:fill="FFFFFF"/>
                <w:lang w:val="en-US"/>
              </w:rPr>
              <w:t>x̅ ± S</w:t>
            </w:r>
            <w:r w:rsidR="00F001B0" w:rsidRPr="007E2E65">
              <w:rPr>
                <w:rFonts w:eastAsia="Calibri" w:cs="Arial"/>
                <w:color w:val="2E2E2E"/>
                <w:sz w:val="22"/>
                <w:szCs w:val="22"/>
                <w:shd w:val="clear" w:color="auto" w:fill="FFFFFF"/>
                <w:lang w:val="en-US"/>
              </w:rPr>
              <w:t>D</w:t>
            </w:r>
          </w:p>
        </w:tc>
      </w:tr>
      <w:tr w:rsidR="00646C38" w:rsidRPr="00AD6219" w14:paraId="0AFBAB5C" w14:textId="77777777" w:rsidTr="007E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2" w:type="dxa"/>
            <w:tcBorders>
              <w:top w:val="single" w:sz="24" w:space="0" w:color="9BBB59" w:themeColor="accent3"/>
            </w:tcBorders>
            <w:shd w:val="clear" w:color="auto" w:fill="FFFFFF" w:themeFill="background1"/>
            <w:hideMark/>
          </w:tcPr>
          <w:p w14:paraId="663C809D"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α-BHC</w:t>
            </w:r>
          </w:p>
        </w:tc>
        <w:tc>
          <w:tcPr>
            <w:tcW w:w="831" w:type="dxa"/>
            <w:tcBorders>
              <w:top w:val="single" w:sz="24" w:space="0" w:color="9BBB59" w:themeColor="accent3"/>
            </w:tcBorders>
            <w:shd w:val="clear" w:color="auto" w:fill="FFFFFF" w:themeFill="background1"/>
            <w:hideMark/>
          </w:tcPr>
          <w:p w14:paraId="3A1F0344"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tcBorders>
              <w:top w:val="single" w:sz="24" w:space="0" w:color="9BBB59" w:themeColor="accent3"/>
            </w:tcBorders>
            <w:shd w:val="clear" w:color="auto" w:fill="FFFFFF" w:themeFill="background1"/>
            <w:hideMark/>
          </w:tcPr>
          <w:p w14:paraId="52CD27AF"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tcBorders>
              <w:top w:val="single" w:sz="24" w:space="0" w:color="9BBB59" w:themeColor="accent3"/>
            </w:tcBorders>
            <w:shd w:val="clear" w:color="auto" w:fill="FFFFFF" w:themeFill="background1"/>
            <w:hideMark/>
          </w:tcPr>
          <w:p w14:paraId="23785891" w14:textId="22813A69"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27</w:t>
            </w:r>
          </w:p>
        </w:tc>
        <w:tc>
          <w:tcPr>
            <w:tcW w:w="666" w:type="dxa"/>
            <w:tcBorders>
              <w:top w:val="single" w:sz="24" w:space="0" w:color="9BBB59" w:themeColor="accent3"/>
            </w:tcBorders>
            <w:shd w:val="clear" w:color="auto" w:fill="FFFFFF" w:themeFill="background1"/>
            <w:hideMark/>
          </w:tcPr>
          <w:p w14:paraId="5AEA6D0B"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tcBorders>
              <w:top w:val="single" w:sz="24" w:space="0" w:color="9BBB59" w:themeColor="accent3"/>
            </w:tcBorders>
            <w:shd w:val="clear" w:color="auto" w:fill="FFFFFF" w:themeFill="background1"/>
            <w:hideMark/>
          </w:tcPr>
          <w:p w14:paraId="6E662BF0"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666" w:type="dxa"/>
            <w:tcBorders>
              <w:top w:val="single" w:sz="24" w:space="0" w:color="9BBB59" w:themeColor="accent3"/>
            </w:tcBorders>
            <w:shd w:val="clear" w:color="auto" w:fill="FFFFFF" w:themeFill="background1"/>
            <w:hideMark/>
          </w:tcPr>
          <w:p w14:paraId="60B09A6F"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1664" w:type="dxa"/>
            <w:tcBorders>
              <w:top w:val="single" w:sz="24" w:space="0" w:color="9BBB59" w:themeColor="accent3"/>
            </w:tcBorders>
            <w:shd w:val="clear" w:color="auto" w:fill="FFFFFF" w:themeFill="background1"/>
            <w:noWrap/>
            <w:hideMark/>
          </w:tcPr>
          <w:p w14:paraId="72218517" w14:textId="59CB4C3F"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11</w:t>
            </w:r>
          </w:p>
        </w:tc>
      </w:tr>
      <w:tr w:rsidR="00646C38" w:rsidRPr="00AD6219" w14:paraId="35A6EAFE"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73E9A064"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β.δ-BHC</w:t>
            </w:r>
          </w:p>
        </w:tc>
        <w:tc>
          <w:tcPr>
            <w:tcW w:w="831" w:type="dxa"/>
            <w:shd w:val="clear" w:color="auto" w:fill="FFFFFF" w:themeFill="background1"/>
            <w:hideMark/>
          </w:tcPr>
          <w:p w14:paraId="64BB1077"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7773940C"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28038300" w14:textId="74AE263D"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26</w:t>
            </w:r>
          </w:p>
        </w:tc>
        <w:tc>
          <w:tcPr>
            <w:tcW w:w="666" w:type="dxa"/>
            <w:shd w:val="clear" w:color="auto" w:fill="FFFFFF" w:themeFill="background1"/>
            <w:hideMark/>
          </w:tcPr>
          <w:p w14:paraId="29C56D8B"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16083F78"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666" w:type="dxa"/>
            <w:shd w:val="clear" w:color="auto" w:fill="FFFFFF" w:themeFill="background1"/>
            <w:hideMark/>
          </w:tcPr>
          <w:p w14:paraId="5577AD7E"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1664" w:type="dxa"/>
            <w:shd w:val="clear" w:color="auto" w:fill="FFFFFF" w:themeFill="background1"/>
            <w:noWrap/>
            <w:hideMark/>
          </w:tcPr>
          <w:p w14:paraId="6B479EE0" w14:textId="455007B6"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10</w:t>
            </w:r>
          </w:p>
        </w:tc>
      </w:tr>
      <w:tr w:rsidR="007E2E65" w:rsidRPr="00AD6219" w14:paraId="228610C8" w14:textId="77777777" w:rsidTr="007E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5F91D03D"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Heptachlor</w:t>
            </w:r>
          </w:p>
        </w:tc>
        <w:tc>
          <w:tcPr>
            <w:tcW w:w="831" w:type="dxa"/>
            <w:shd w:val="clear" w:color="auto" w:fill="FFFFFF" w:themeFill="background1"/>
            <w:hideMark/>
          </w:tcPr>
          <w:p w14:paraId="77EE9650"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17097952"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617FF4D0" w14:textId="2AD41CB3"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23</w:t>
            </w:r>
          </w:p>
        </w:tc>
        <w:tc>
          <w:tcPr>
            <w:tcW w:w="666" w:type="dxa"/>
            <w:shd w:val="clear" w:color="auto" w:fill="FFFFFF" w:themeFill="background1"/>
            <w:hideMark/>
          </w:tcPr>
          <w:p w14:paraId="04DFA7FB" w14:textId="41CF47FC"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03</w:t>
            </w:r>
          </w:p>
        </w:tc>
        <w:tc>
          <w:tcPr>
            <w:tcW w:w="832" w:type="dxa"/>
            <w:shd w:val="clear" w:color="auto" w:fill="FFFFFF" w:themeFill="background1"/>
            <w:hideMark/>
          </w:tcPr>
          <w:p w14:paraId="133C088D" w14:textId="7866F90D"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03</w:t>
            </w:r>
          </w:p>
        </w:tc>
        <w:tc>
          <w:tcPr>
            <w:tcW w:w="666" w:type="dxa"/>
            <w:shd w:val="clear" w:color="auto" w:fill="FFFFFF" w:themeFill="background1"/>
            <w:hideMark/>
          </w:tcPr>
          <w:p w14:paraId="0120BDD4" w14:textId="7CABE741"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01</w:t>
            </w:r>
          </w:p>
        </w:tc>
        <w:tc>
          <w:tcPr>
            <w:tcW w:w="1664" w:type="dxa"/>
            <w:shd w:val="clear" w:color="auto" w:fill="FFFFFF" w:themeFill="background1"/>
            <w:noWrap/>
            <w:hideMark/>
          </w:tcPr>
          <w:p w14:paraId="601F0EC2" w14:textId="78EC824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089</w:t>
            </w:r>
          </w:p>
        </w:tc>
      </w:tr>
      <w:tr w:rsidR="00646C38" w:rsidRPr="00AD6219" w14:paraId="00A976F2"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0C3E819B"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Aldrin</w:t>
            </w:r>
          </w:p>
        </w:tc>
        <w:tc>
          <w:tcPr>
            <w:tcW w:w="831" w:type="dxa"/>
            <w:shd w:val="clear" w:color="auto" w:fill="FFFFFF" w:themeFill="background1"/>
            <w:hideMark/>
          </w:tcPr>
          <w:p w14:paraId="54FECC95"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4DFB4F96"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3D291711" w14:textId="7B40A2BE"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28</w:t>
            </w:r>
          </w:p>
        </w:tc>
        <w:tc>
          <w:tcPr>
            <w:tcW w:w="666" w:type="dxa"/>
            <w:shd w:val="clear" w:color="auto" w:fill="FFFFFF" w:themeFill="background1"/>
            <w:hideMark/>
          </w:tcPr>
          <w:p w14:paraId="6C66BE64"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3CA2ECA7"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666" w:type="dxa"/>
            <w:shd w:val="clear" w:color="auto" w:fill="FFFFFF" w:themeFill="background1"/>
            <w:hideMark/>
          </w:tcPr>
          <w:p w14:paraId="515D92EA"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1664" w:type="dxa"/>
            <w:shd w:val="clear" w:color="auto" w:fill="FFFFFF" w:themeFill="background1"/>
            <w:noWrap/>
            <w:hideMark/>
          </w:tcPr>
          <w:p w14:paraId="0DDA0975" w14:textId="20F35729"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11</w:t>
            </w:r>
          </w:p>
        </w:tc>
      </w:tr>
      <w:tr w:rsidR="007E2E65" w:rsidRPr="00AD6219" w14:paraId="68235ADB" w14:textId="77777777" w:rsidTr="007E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0044C030"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Metolachlor</w:t>
            </w:r>
          </w:p>
        </w:tc>
        <w:tc>
          <w:tcPr>
            <w:tcW w:w="831" w:type="dxa"/>
            <w:shd w:val="clear" w:color="auto" w:fill="FFFFFF" w:themeFill="background1"/>
            <w:hideMark/>
          </w:tcPr>
          <w:p w14:paraId="688DB399" w14:textId="3AFB79DF"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832" w:type="dxa"/>
            <w:shd w:val="clear" w:color="auto" w:fill="FFFFFF" w:themeFill="background1"/>
            <w:hideMark/>
          </w:tcPr>
          <w:p w14:paraId="1F2FE8D5" w14:textId="528E0A64"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832" w:type="dxa"/>
            <w:shd w:val="clear" w:color="auto" w:fill="FFFFFF" w:themeFill="background1"/>
            <w:hideMark/>
          </w:tcPr>
          <w:p w14:paraId="0C040534" w14:textId="7C2DCD1F"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31</w:t>
            </w:r>
          </w:p>
        </w:tc>
        <w:tc>
          <w:tcPr>
            <w:tcW w:w="666" w:type="dxa"/>
            <w:shd w:val="clear" w:color="auto" w:fill="FFFFFF" w:themeFill="background1"/>
            <w:hideMark/>
          </w:tcPr>
          <w:p w14:paraId="11485CDB" w14:textId="4873C071"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w:t>
            </w:r>
          </w:p>
        </w:tc>
        <w:tc>
          <w:tcPr>
            <w:tcW w:w="832" w:type="dxa"/>
            <w:shd w:val="clear" w:color="auto" w:fill="FFFFFF" w:themeFill="background1"/>
            <w:hideMark/>
          </w:tcPr>
          <w:p w14:paraId="201F038B" w14:textId="0648EBAC"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w:t>
            </w:r>
          </w:p>
        </w:tc>
        <w:tc>
          <w:tcPr>
            <w:tcW w:w="666" w:type="dxa"/>
            <w:shd w:val="clear" w:color="auto" w:fill="FFFFFF" w:themeFill="background1"/>
            <w:hideMark/>
          </w:tcPr>
          <w:p w14:paraId="60D7B7FF" w14:textId="75C9E539"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08</w:t>
            </w:r>
          </w:p>
        </w:tc>
        <w:tc>
          <w:tcPr>
            <w:tcW w:w="1664" w:type="dxa"/>
            <w:shd w:val="clear" w:color="auto" w:fill="FFFFFF" w:themeFill="background1"/>
            <w:noWrap/>
            <w:hideMark/>
          </w:tcPr>
          <w:p w14:paraId="4EBA9CEF" w14:textId="30CCCD12"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11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09</w:t>
            </w:r>
          </w:p>
        </w:tc>
      </w:tr>
      <w:tr w:rsidR="00646C38" w:rsidRPr="00AD6219" w14:paraId="6DB7504E" w14:textId="77777777" w:rsidTr="007E2E65">
        <w:trPr>
          <w:trHeight w:val="422"/>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2F618230"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Heptachlor Epoxide ISO B</w:t>
            </w:r>
          </w:p>
        </w:tc>
        <w:tc>
          <w:tcPr>
            <w:tcW w:w="831" w:type="dxa"/>
            <w:shd w:val="clear" w:color="auto" w:fill="FFFFFF" w:themeFill="background1"/>
            <w:hideMark/>
          </w:tcPr>
          <w:p w14:paraId="4ACC443A"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19624847" w14:textId="4856431E"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01</w:t>
            </w:r>
          </w:p>
        </w:tc>
        <w:tc>
          <w:tcPr>
            <w:tcW w:w="832" w:type="dxa"/>
            <w:shd w:val="clear" w:color="auto" w:fill="FFFFFF" w:themeFill="background1"/>
            <w:hideMark/>
          </w:tcPr>
          <w:p w14:paraId="6A7B9226" w14:textId="2DB79795"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24</w:t>
            </w:r>
          </w:p>
        </w:tc>
        <w:tc>
          <w:tcPr>
            <w:tcW w:w="666" w:type="dxa"/>
            <w:shd w:val="clear" w:color="auto" w:fill="FFFFFF" w:themeFill="background1"/>
            <w:hideMark/>
          </w:tcPr>
          <w:p w14:paraId="21A2AB26" w14:textId="5FC95572"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02</w:t>
            </w:r>
          </w:p>
        </w:tc>
        <w:tc>
          <w:tcPr>
            <w:tcW w:w="832" w:type="dxa"/>
            <w:shd w:val="clear" w:color="auto" w:fill="FFFFFF" w:themeFill="background1"/>
            <w:hideMark/>
          </w:tcPr>
          <w:p w14:paraId="788CA77E" w14:textId="77C2CE84"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03</w:t>
            </w:r>
          </w:p>
        </w:tc>
        <w:tc>
          <w:tcPr>
            <w:tcW w:w="666" w:type="dxa"/>
            <w:shd w:val="clear" w:color="auto" w:fill="FFFFFF" w:themeFill="background1"/>
            <w:hideMark/>
          </w:tcPr>
          <w:p w14:paraId="4702930B" w14:textId="7E529953"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02</w:t>
            </w:r>
          </w:p>
        </w:tc>
        <w:tc>
          <w:tcPr>
            <w:tcW w:w="1664" w:type="dxa"/>
            <w:shd w:val="clear" w:color="auto" w:fill="FFFFFF" w:themeFill="background1"/>
            <w:noWrap/>
            <w:hideMark/>
          </w:tcPr>
          <w:p w14:paraId="48CFFA04" w14:textId="50A4B041"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0084</w:t>
            </w:r>
          </w:p>
        </w:tc>
      </w:tr>
      <w:tr w:rsidR="007E2E65" w:rsidRPr="00AD6219" w14:paraId="197EC92F" w14:textId="77777777" w:rsidTr="007E2E6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2C90ACE9" w14:textId="77777777" w:rsidR="00F001B0" w:rsidRPr="00AD6219" w:rsidRDefault="00F001B0" w:rsidP="00AD6219">
            <w:pPr>
              <w:tabs>
                <w:tab w:val="clear" w:pos="7100"/>
              </w:tabs>
              <w:spacing w:line="240" w:lineRule="auto"/>
              <w:jc w:val="center"/>
              <w:rPr>
                <w:rFonts w:eastAsia="Calibri" w:cs="Arial"/>
                <w:bCs w:val="0"/>
                <w:i/>
                <w:iCs/>
                <w:color w:val="2E2E2E"/>
                <w:szCs w:val="18"/>
                <w:shd w:val="clear" w:color="auto" w:fill="FFFFFF"/>
                <w:lang w:val="en-US"/>
              </w:rPr>
            </w:pPr>
            <w:r w:rsidRPr="00AD6219">
              <w:rPr>
                <w:rFonts w:eastAsia="Calibri" w:cs="Arial"/>
                <w:bCs w:val="0"/>
                <w:i/>
                <w:iCs/>
                <w:color w:val="2E2E2E"/>
                <w:szCs w:val="18"/>
                <w:shd w:val="clear" w:color="auto" w:fill="FFFFFF"/>
                <w:lang w:val="en-US"/>
              </w:rPr>
              <w:t>trans</w:t>
            </w:r>
            <w:r w:rsidRPr="00AD6219">
              <w:rPr>
                <w:rFonts w:eastAsia="Calibri" w:cs="Arial"/>
                <w:bCs w:val="0"/>
                <w:color w:val="2E2E2E"/>
                <w:szCs w:val="18"/>
                <w:shd w:val="clear" w:color="auto" w:fill="FFFFFF"/>
                <w:lang w:val="en-US"/>
              </w:rPr>
              <w:t>-chlordane</w:t>
            </w:r>
          </w:p>
        </w:tc>
        <w:tc>
          <w:tcPr>
            <w:tcW w:w="831" w:type="dxa"/>
            <w:shd w:val="clear" w:color="auto" w:fill="FFFFFF" w:themeFill="background1"/>
            <w:hideMark/>
          </w:tcPr>
          <w:p w14:paraId="454621C3" w14:textId="2A06A8C9"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832" w:type="dxa"/>
            <w:shd w:val="clear" w:color="auto" w:fill="FFFFFF" w:themeFill="background1"/>
            <w:hideMark/>
          </w:tcPr>
          <w:p w14:paraId="2E8A1BBE" w14:textId="16BE9EAC"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w:t>
            </w:r>
          </w:p>
        </w:tc>
        <w:tc>
          <w:tcPr>
            <w:tcW w:w="832" w:type="dxa"/>
            <w:shd w:val="clear" w:color="auto" w:fill="FFFFFF" w:themeFill="background1"/>
            <w:hideMark/>
          </w:tcPr>
          <w:p w14:paraId="03572311" w14:textId="1A40BC1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46</w:t>
            </w:r>
          </w:p>
        </w:tc>
        <w:tc>
          <w:tcPr>
            <w:tcW w:w="666" w:type="dxa"/>
            <w:shd w:val="clear" w:color="auto" w:fill="FFFFFF" w:themeFill="background1"/>
            <w:hideMark/>
          </w:tcPr>
          <w:p w14:paraId="40E8EAE3" w14:textId="032A52E8"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832" w:type="dxa"/>
            <w:shd w:val="clear" w:color="auto" w:fill="FFFFFF" w:themeFill="background1"/>
            <w:hideMark/>
          </w:tcPr>
          <w:p w14:paraId="4287EAA5" w14:textId="6E74F10E"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w:t>
            </w:r>
          </w:p>
        </w:tc>
        <w:tc>
          <w:tcPr>
            <w:tcW w:w="666" w:type="dxa"/>
            <w:shd w:val="clear" w:color="auto" w:fill="FFFFFF" w:themeFill="background1"/>
            <w:hideMark/>
          </w:tcPr>
          <w:p w14:paraId="73419028" w14:textId="0AE2A7D0"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w:t>
            </w:r>
          </w:p>
        </w:tc>
        <w:tc>
          <w:tcPr>
            <w:tcW w:w="1664" w:type="dxa"/>
            <w:shd w:val="clear" w:color="auto" w:fill="FFFFFF" w:themeFill="background1"/>
            <w:noWrap/>
            <w:hideMark/>
          </w:tcPr>
          <w:p w14:paraId="35445507" w14:textId="42B634ED"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12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16</w:t>
            </w:r>
          </w:p>
        </w:tc>
      </w:tr>
      <w:tr w:rsidR="00646C38" w:rsidRPr="00AD6219" w14:paraId="30B90B03"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2FF8C92C" w14:textId="77777777" w:rsidR="00F001B0" w:rsidRPr="00AD6219" w:rsidRDefault="00F001B0" w:rsidP="00AD6219">
            <w:pPr>
              <w:tabs>
                <w:tab w:val="clear" w:pos="7100"/>
              </w:tabs>
              <w:spacing w:line="240" w:lineRule="auto"/>
              <w:jc w:val="center"/>
              <w:rPr>
                <w:rFonts w:eastAsia="Calibri" w:cs="Arial"/>
                <w:bCs w:val="0"/>
                <w:i/>
                <w:iCs/>
                <w:color w:val="2E2E2E"/>
                <w:szCs w:val="18"/>
                <w:shd w:val="clear" w:color="auto" w:fill="FFFFFF"/>
                <w:lang w:val="en-US"/>
              </w:rPr>
            </w:pPr>
            <w:r w:rsidRPr="00AD6219">
              <w:rPr>
                <w:rFonts w:eastAsia="Calibri" w:cs="Arial"/>
                <w:bCs w:val="0"/>
                <w:i/>
                <w:iCs/>
                <w:color w:val="2E2E2E"/>
                <w:szCs w:val="18"/>
                <w:shd w:val="clear" w:color="auto" w:fill="FFFFFF"/>
                <w:lang w:val="en-US"/>
              </w:rPr>
              <w:t>cis</w:t>
            </w:r>
            <w:r w:rsidRPr="00AD6219">
              <w:rPr>
                <w:rFonts w:eastAsia="Calibri" w:cs="Arial"/>
                <w:bCs w:val="0"/>
                <w:color w:val="2E2E2E"/>
                <w:szCs w:val="18"/>
                <w:shd w:val="clear" w:color="auto" w:fill="FFFFFF"/>
                <w:lang w:val="en-US"/>
              </w:rPr>
              <w:t>-chlordane</w:t>
            </w:r>
          </w:p>
        </w:tc>
        <w:tc>
          <w:tcPr>
            <w:tcW w:w="831" w:type="dxa"/>
            <w:shd w:val="clear" w:color="auto" w:fill="FFFFFF" w:themeFill="background1"/>
            <w:hideMark/>
          </w:tcPr>
          <w:p w14:paraId="764A6031" w14:textId="0B290169"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w:t>
            </w:r>
          </w:p>
        </w:tc>
        <w:tc>
          <w:tcPr>
            <w:tcW w:w="832" w:type="dxa"/>
            <w:shd w:val="clear" w:color="auto" w:fill="FFFFFF" w:themeFill="background1"/>
            <w:hideMark/>
          </w:tcPr>
          <w:p w14:paraId="1E593562" w14:textId="77DB7F29"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w:t>
            </w:r>
          </w:p>
        </w:tc>
        <w:tc>
          <w:tcPr>
            <w:tcW w:w="832" w:type="dxa"/>
            <w:shd w:val="clear" w:color="auto" w:fill="FFFFFF" w:themeFill="background1"/>
            <w:hideMark/>
          </w:tcPr>
          <w:p w14:paraId="5F61B48F" w14:textId="2EDC789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39</w:t>
            </w:r>
          </w:p>
        </w:tc>
        <w:tc>
          <w:tcPr>
            <w:tcW w:w="666" w:type="dxa"/>
            <w:shd w:val="clear" w:color="auto" w:fill="FFFFFF" w:themeFill="background1"/>
            <w:hideMark/>
          </w:tcPr>
          <w:p w14:paraId="4258C87C" w14:textId="50F33E31"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w:t>
            </w:r>
          </w:p>
        </w:tc>
        <w:tc>
          <w:tcPr>
            <w:tcW w:w="832" w:type="dxa"/>
            <w:shd w:val="clear" w:color="auto" w:fill="FFFFFF" w:themeFill="background1"/>
            <w:hideMark/>
          </w:tcPr>
          <w:p w14:paraId="63102485" w14:textId="5754B6CF"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w:t>
            </w:r>
          </w:p>
        </w:tc>
        <w:tc>
          <w:tcPr>
            <w:tcW w:w="666" w:type="dxa"/>
            <w:shd w:val="clear" w:color="auto" w:fill="FFFFFF" w:themeFill="background1"/>
            <w:hideMark/>
          </w:tcPr>
          <w:p w14:paraId="7D55FC99" w14:textId="63D0D09A"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w:t>
            </w:r>
          </w:p>
        </w:tc>
        <w:tc>
          <w:tcPr>
            <w:tcW w:w="1664" w:type="dxa"/>
            <w:shd w:val="clear" w:color="auto" w:fill="FFFFFF" w:themeFill="background1"/>
            <w:noWrap/>
            <w:hideMark/>
          </w:tcPr>
          <w:p w14:paraId="66C86434" w14:textId="7C9098A8"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142</w:t>
            </w:r>
          </w:p>
        </w:tc>
      </w:tr>
      <w:tr w:rsidR="007E2E65" w:rsidRPr="00AD6219" w14:paraId="58E6B3FC" w14:textId="77777777" w:rsidTr="007E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45E8500D"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Dieldrin</w:t>
            </w:r>
          </w:p>
        </w:tc>
        <w:tc>
          <w:tcPr>
            <w:tcW w:w="831" w:type="dxa"/>
            <w:shd w:val="clear" w:color="auto" w:fill="FFFFFF" w:themeFill="background1"/>
            <w:hideMark/>
          </w:tcPr>
          <w:p w14:paraId="7C53D404"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36F9A0BA"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2197E267"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0,41</w:t>
            </w:r>
          </w:p>
        </w:tc>
        <w:tc>
          <w:tcPr>
            <w:tcW w:w="666" w:type="dxa"/>
            <w:shd w:val="clear" w:color="auto" w:fill="FFFFFF" w:themeFill="background1"/>
            <w:hideMark/>
          </w:tcPr>
          <w:p w14:paraId="5AD5534C"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44E96832"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666" w:type="dxa"/>
            <w:shd w:val="clear" w:color="auto" w:fill="FFFFFF" w:themeFill="background1"/>
            <w:hideMark/>
          </w:tcPr>
          <w:p w14:paraId="494F1AFC"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1664" w:type="dxa"/>
            <w:shd w:val="clear" w:color="auto" w:fill="FFFFFF" w:themeFill="background1"/>
            <w:noWrap/>
            <w:hideMark/>
          </w:tcPr>
          <w:p w14:paraId="7ACB00B2" w14:textId="02582A0F"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16</w:t>
            </w:r>
          </w:p>
        </w:tc>
      </w:tr>
      <w:tr w:rsidR="00646C38" w:rsidRPr="00AD6219" w14:paraId="0EB939D6"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2593A630"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4.4'-DDE</w:t>
            </w:r>
          </w:p>
        </w:tc>
        <w:tc>
          <w:tcPr>
            <w:tcW w:w="831" w:type="dxa"/>
            <w:shd w:val="clear" w:color="auto" w:fill="FFFFFF" w:themeFill="background1"/>
            <w:hideMark/>
          </w:tcPr>
          <w:p w14:paraId="2C5B3889" w14:textId="0A447C02"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17</w:t>
            </w:r>
          </w:p>
        </w:tc>
        <w:tc>
          <w:tcPr>
            <w:tcW w:w="832" w:type="dxa"/>
            <w:shd w:val="clear" w:color="auto" w:fill="FFFFFF" w:themeFill="background1"/>
            <w:hideMark/>
          </w:tcPr>
          <w:p w14:paraId="4294A2FB" w14:textId="7EAC293E"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14</w:t>
            </w:r>
          </w:p>
        </w:tc>
        <w:tc>
          <w:tcPr>
            <w:tcW w:w="832" w:type="dxa"/>
            <w:shd w:val="clear" w:color="auto" w:fill="FFFFFF" w:themeFill="background1"/>
            <w:hideMark/>
          </w:tcPr>
          <w:p w14:paraId="5B3D4E66" w14:textId="66CBBCD8"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5</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94</w:t>
            </w:r>
          </w:p>
        </w:tc>
        <w:tc>
          <w:tcPr>
            <w:tcW w:w="666" w:type="dxa"/>
            <w:shd w:val="clear" w:color="auto" w:fill="FFFFFF" w:themeFill="background1"/>
            <w:hideMark/>
          </w:tcPr>
          <w:p w14:paraId="59F58960" w14:textId="169B2539"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23</w:t>
            </w:r>
          </w:p>
        </w:tc>
        <w:tc>
          <w:tcPr>
            <w:tcW w:w="832" w:type="dxa"/>
            <w:shd w:val="clear" w:color="auto" w:fill="FFFFFF" w:themeFill="background1"/>
            <w:hideMark/>
          </w:tcPr>
          <w:p w14:paraId="3BA41E6A" w14:textId="027E9D71"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16</w:t>
            </w:r>
          </w:p>
        </w:tc>
        <w:tc>
          <w:tcPr>
            <w:tcW w:w="666" w:type="dxa"/>
            <w:shd w:val="clear" w:color="auto" w:fill="FFFFFF" w:themeFill="background1"/>
            <w:hideMark/>
          </w:tcPr>
          <w:p w14:paraId="222F899F" w14:textId="6E6B3E65"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22</w:t>
            </w:r>
          </w:p>
        </w:tc>
        <w:tc>
          <w:tcPr>
            <w:tcW w:w="1664" w:type="dxa"/>
            <w:shd w:val="clear" w:color="auto" w:fill="FFFFFF" w:themeFill="background1"/>
            <w:noWrap/>
            <w:hideMark/>
          </w:tcPr>
          <w:p w14:paraId="14BF6CAF" w14:textId="468AF401"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1</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14 ±2</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35</w:t>
            </w:r>
          </w:p>
        </w:tc>
      </w:tr>
      <w:tr w:rsidR="007E2E65" w:rsidRPr="00AD6219" w14:paraId="534A6F77" w14:textId="77777777" w:rsidTr="007E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72EC8C6C"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Endrin</w:t>
            </w:r>
          </w:p>
        </w:tc>
        <w:tc>
          <w:tcPr>
            <w:tcW w:w="831" w:type="dxa"/>
            <w:shd w:val="clear" w:color="auto" w:fill="FFFFFF" w:themeFill="background1"/>
            <w:hideMark/>
          </w:tcPr>
          <w:p w14:paraId="77D40896"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1C5A5E5A"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51E25FE9"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0,23</w:t>
            </w:r>
          </w:p>
        </w:tc>
        <w:tc>
          <w:tcPr>
            <w:tcW w:w="666" w:type="dxa"/>
            <w:shd w:val="clear" w:color="auto" w:fill="FFFFFF" w:themeFill="background1"/>
            <w:hideMark/>
          </w:tcPr>
          <w:p w14:paraId="748656D7"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60BE7735"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666" w:type="dxa"/>
            <w:shd w:val="clear" w:color="auto" w:fill="FFFFFF" w:themeFill="background1"/>
            <w:hideMark/>
          </w:tcPr>
          <w:p w14:paraId="05F004E6"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1664" w:type="dxa"/>
            <w:shd w:val="clear" w:color="auto" w:fill="FFFFFF" w:themeFill="background1"/>
            <w:noWrap/>
            <w:hideMark/>
          </w:tcPr>
          <w:p w14:paraId="63F89A75" w14:textId="36BB805F"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03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09</w:t>
            </w:r>
          </w:p>
        </w:tc>
      </w:tr>
      <w:tr w:rsidR="00646C38" w:rsidRPr="00AD6219" w14:paraId="2A14E7BF"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69A316D3"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4.4'-DDD</w:t>
            </w:r>
          </w:p>
        </w:tc>
        <w:tc>
          <w:tcPr>
            <w:tcW w:w="831" w:type="dxa"/>
            <w:shd w:val="clear" w:color="auto" w:fill="FFFFFF" w:themeFill="background1"/>
            <w:hideMark/>
          </w:tcPr>
          <w:p w14:paraId="30AF7A64" w14:textId="3FAFCA7E"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07</w:t>
            </w:r>
          </w:p>
        </w:tc>
        <w:tc>
          <w:tcPr>
            <w:tcW w:w="832" w:type="dxa"/>
            <w:shd w:val="clear" w:color="auto" w:fill="FFFFFF" w:themeFill="background1"/>
            <w:hideMark/>
          </w:tcPr>
          <w:p w14:paraId="56F70AB8" w14:textId="2CC5687D"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w:t>
            </w:r>
          </w:p>
        </w:tc>
        <w:tc>
          <w:tcPr>
            <w:tcW w:w="832" w:type="dxa"/>
            <w:shd w:val="clear" w:color="auto" w:fill="FFFFFF" w:themeFill="background1"/>
            <w:hideMark/>
          </w:tcPr>
          <w:p w14:paraId="5E631E1E" w14:textId="22B08F35"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1</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93</w:t>
            </w:r>
          </w:p>
        </w:tc>
        <w:tc>
          <w:tcPr>
            <w:tcW w:w="666" w:type="dxa"/>
            <w:shd w:val="clear" w:color="auto" w:fill="FFFFFF" w:themeFill="background1"/>
            <w:hideMark/>
          </w:tcPr>
          <w:p w14:paraId="1B87469C" w14:textId="4D69A21C"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13</w:t>
            </w:r>
          </w:p>
        </w:tc>
        <w:tc>
          <w:tcPr>
            <w:tcW w:w="832" w:type="dxa"/>
            <w:shd w:val="clear" w:color="auto" w:fill="FFFFFF" w:themeFill="background1"/>
            <w:hideMark/>
          </w:tcPr>
          <w:p w14:paraId="2FAC7CC1" w14:textId="18DEC64B"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12</w:t>
            </w:r>
          </w:p>
        </w:tc>
        <w:tc>
          <w:tcPr>
            <w:tcW w:w="666" w:type="dxa"/>
            <w:shd w:val="clear" w:color="auto" w:fill="FFFFFF" w:themeFill="background1"/>
            <w:hideMark/>
          </w:tcPr>
          <w:p w14:paraId="073AC6CB" w14:textId="3AC5C30B"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15</w:t>
            </w:r>
          </w:p>
        </w:tc>
        <w:tc>
          <w:tcPr>
            <w:tcW w:w="1664" w:type="dxa"/>
            <w:shd w:val="clear" w:color="auto" w:fill="FFFFFF" w:themeFill="background1"/>
            <w:noWrap/>
            <w:hideMark/>
          </w:tcPr>
          <w:p w14:paraId="74E90294" w14:textId="654F5BF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41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74</w:t>
            </w:r>
          </w:p>
        </w:tc>
      </w:tr>
      <w:tr w:rsidR="007E2E65" w:rsidRPr="00AD6219" w14:paraId="20B33690" w14:textId="77777777" w:rsidTr="007E2E65">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7F0B4726"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Endosulfan sulfate</w:t>
            </w:r>
          </w:p>
        </w:tc>
        <w:tc>
          <w:tcPr>
            <w:tcW w:w="831" w:type="dxa"/>
            <w:shd w:val="clear" w:color="auto" w:fill="FFFFFF" w:themeFill="background1"/>
            <w:hideMark/>
          </w:tcPr>
          <w:p w14:paraId="6EB588EB" w14:textId="0BCC2005"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04</w:t>
            </w:r>
          </w:p>
        </w:tc>
        <w:tc>
          <w:tcPr>
            <w:tcW w:w="832" w:type="dxa"/>
            <w:shd w:val="clear" w:color="auto" w:fill="FFFFFF" w:themeFill="background1"/>
            <w:hideMark/>
          </w:tcPr>
          <w:p w14:paraId="455292FC" w14:textId="5BEE3C3D"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w:t>
            </w:r>
          </w:p>
        </w:tc>
        <w:tc>
          <w:tcPr>
            <w:tcW w:w="832" w:type="dxa"/>
            <w:shd w:val="clear" w:color="auto" w:fill="FFFFFF" w:themeFill="background1"/>
            <w:hideMark/>
          </w:tcPr>
          <w:p w14:paraId="0BDDB1E1" w14:textId="69A243BF"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27</w:t>
            </w:r>
          </w:p>
        </w:tc>
        <w:tc>
          <w:tcPr>
            <w:tcW w:w="666" w:type="dxa"/>
            <w:shd w:val="clear" w:color="auto" w:fill="FFFFFF" w:themeFill="background1"/>
            <w:hideMark/>
          </w:tcPr>
          <w:p w14:paraId="52FDC088" w14:textId="4467D05B"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w:t>
            </w:r>
          </w:p>
        </w:tc>
        <w:tc>
          <w:tcPr>
            <w:tcW w:w="832" w:type="dxa"/>
            <w:shd w:val="clear" w:color="auto" w:fill="FFFFFF" w:themeFill="background1"/>
            <w:hideMark/>
          </w:tcPr>
          <w:p w14:paraId="6BCFF94B" w14:textId="2D6AF944"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666" w:type="dxa"/>
            <w:shd w:val="clear" w:color="auto" w:fill="FFFFFF" w:themeFill="background1"/>
            <w:hideMark/>
          </w:tcPr>
          <w:p w14:paraId="249BB4EC" w14:textId="369FA2E9"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1664" w:type="dxa"/>
            <w:shd w:val="clear" w:color="auto" w:fill="FFFFFF" w:themeFill="background1"/>
            <w:noWrap/>
            <w:hideMark/>
          </w:tcPr>
          <w:p w14:paraId="0478932F" w14:textId="39C87702"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09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08</w:t>
            </w:r>
          </w:p>
        </w:tc>
      </w:tr>
      <w:tr w:rsidR="00646C38" w:rsidRPr="00AD6219" w14:paraId="0C2C7121"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1640E68A"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4.4'-DDT</w:t>
            </w:r>
          </w:p>
        </w:tc>
        <w:tc>
          <w:tcPr>
            <w:tcW w:w="831" w:type="dxa"/>
            <w:shd w:val="clear" w:color="auto" w:fill="FFFFFF" w:themeFill="background1"/>
            <w:hideMark/>
          </w:tcPr>
          <w:p w14:paraId="52D906C3" w14:textId="42FDCC6C"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03</w:t>
            </w:r>
          </w:p>
        </w:tc>
        <w:tc>
          <w:tcPr>
            <w:tcW w:w="832" w:type="dxa"/>
            <w:shd w:val="clear" w:color="auto" w:fill="FFFFFF" w:themeFill="background1"/>
            <w:hideMark/>
          </w:tcPr>
          <w:p w14:paraId="6AE53D61" w14:textId="6EFBB0C8"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21</w:t>
            </w:r>
          </w:p>
        </w:tc>
        <w:tc>
          <w:tcPr>
            <w:tcW w:w="832" w:type="dxa"/>
            <w:shd w:val="clear" w:color="auto" w:fill="FFFFFF" w:themeFill="background1"/>
            <w:hideMark/>
          </w:tcPr>
          <w:p w14:paraId="7770AA92" w14:textId="1CE26BCC"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1</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97</w:t>
            </w:r>
          </w:p>
        </w:tc>
        <w:tc>
          <w:tcPr>
            <w:tcW w:w="666" w:type="dxa"/>
            <w:shd w:val="clear" w:color="auto" w:fill="FFFFFF" w:themeFill="background1"/>
            <w:hideMark/>
          </w:tcPr>
          <w:p w14:paraId="384C9874" w14:textId="111DC8D5"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832" w:type="dxa"/>
            <w:shd w:val="clear" w:color="auto" w:fill="FFFFFF" w:themeFill="background1"/>
            <w:hideMark/>
          </w:tcPr>
          <w:p w14:paraId="6D8165E4"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0,11</w:t>
            </w:r>
          </w:p>
        </w:tc>
        <w:tc>
          <w:tcPr>
            <w:tcW w:w="666" w:type="dxa"/>
            <w:shd w:val="clear" w:color="auto" w:fill="FFFFFF" w:themeFill="background1"/>
            <w:hideMark/>
          </w:tcPr>
          <w:p w14:paraId="182ECE2C"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0,06</w:t>
            </w:r>
          </w:p>
        </w:tc>
        <w:tc>
          <w:tcPr>
            <w:tcW w:w="1664" w:type="dxa"/>
            <w:shd w:val="clear" w:color="auto" w:fill="FFFFFF" w:themeFill="background1"/>
            <w:noWrap/>
            <w:hideMark/>
          </w:tcPr>
          <w:p w14:paraId="56A828A7" w14:textId="098D64A5"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40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59</w:t>
            </w:r>
          </w:p>
        </w:tc>
      </w:tr>
      <w:tr w:rsidR="007E2E65" w:rsidRPr="00AD6219" w14:paraId="77EF158F" w14:textId="77777777" w:rsidTr="007E2E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hideMark/>
          </w:tcPr>
          <w:p w14:paraId="1FFCA607"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Endrin ketone</w:t>
            </w:r>
          </w:p>
        </w:tc>
        <w:tc>
          <w:tcPr>
            <w:tcW w:w="831" w:type="dxa"/>
            <w:shd w:val="clear" w:color="auto" w:fill="FFFFFF" w:themeFill="background1"/>
            <w:hideMark/>
          </w:tcPr>
          <w:p w14:paraId="3A7A265F"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7B1EDD74"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6A22AE43" w14:textId="3FF224F2"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35</w:t>
            </w:r>
          </w:p>
        </w:tc>
        <w:tc>
          <w:tcPr>
            <w:tcW w:w="666" w:type="dxa"/>
            <w:shd w:val="clear" w:color="auto" w:fill="FFFFFF" w:themeFill="background1"/>
            <w:hideMark/>
          </w:tcPr>
          <w:p w14:paraId="4F843BBF"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shd w:val="clear" w:color="auto" w:fill="FFFFFF" w:themeFill="background1"/>
            <w:hideMark/>
          </w:tcPr>
          <w:p w14:paraId="1EF4EE72"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666" w:type="dxa"/>
            <w:shd w:val="clear" w:color="auto" w:fill="FFFFFF" w:themeFill="background1"/>
            <w:hideMark/>
          </w:tcPr>
          <w:p w14:paraId="356C6002" w14:textId="77777777"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1664" w:type="dxa"/>
            <w:shd w:val="clear" w:color="auto" w:fill="FFFFFF" w:themeFill="background1"/>
            <w:noWrap/>
            <w:hideMark/>
          </w:tcPr>
          <w:p w14:paraId="19AC0957" w14:textId="3736030E" w:rsidR="00F001B0" w:rsidRPr="00AD6219" w:rsidRDefault="00F001B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05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14</w:t>
            </w:r>
          </w:p>
        </w:tc>
      </w:tr>
      <w:tr w:rsidR="00646C38" w:rsidRPr="00AD6219" w14:paraId="137E3391" w14:textId="77777777" w:rsidTr="007E2E65">
        <w:trPr>
          <w:trHeight w:val="300"/>
        </w:trPr>
        <w:tc>
          <w:tcPr>
            <w:cnfStyle w:val="001000000000" w:firstRow="0" w:lastRow="0" w:firstColumn="1" w:lastColumn="0" w:oddVBand="0" w:evenVBand="0" w:oddHBand="0" w:evenHBand="0" w:firstRowFirstColumn="0" w:firstRowLastColumn="0" w:lastRowFirstColumn="0" w:lastRowLastColumn="0"/>
            <w:tcW w:w="2492" w:type="dxa"/>
            <w:tcBorders>
              <w:bottom w:val="single" w:sz="24" w:space="0" w:color="9BBB59" w:themeColor="accent3"/>
            </w:tcBorders>
            <w:shd w:val="clear" w:color="auto" w:fill="FFFFFF" w:themeFill="background1"/>
            <w:hideMark/>
          </w:tcPr>
          <w:p w14:paraId="2A1B0FAD" w14:textId="77777777" w:rsidR="00F001B0" w:rsidRPr="00AD6219" w:rsidRDefault="00F001B0" w:rsidP="00AD6219">
            <w:pPr>
              <w:tabs>
                <w:tab w:val="clear" w:pos="7100"/>
              </w:tabs>
              <w:spacing w:line="240" w:lineRule="auto"/>
              <w:jc w:val="center"/>
              <w:rPr>
                <w:rFonts w:eastAsia="Calibri" w:cs="Arial"/>
                <w:bCs w:val="0"/>
                <w:color w:val="2E2E2E"/>
                <w:szCs w:val="18"/>
                <w:shd w:val="clear" w:color="auto" w:fill="FFFFFF"/>
                <w:lang w:val="en-US"/>
              </w:rPr>
            </w:pPr>
            <w:r w:rsidRPr="00AD6219">
              <w:rPr>
                <w:rFonts w:eastAsia="Calibri" w:cs="Arial"/>
                <w:bCs w:val="0"/>
                <w:color w:val="2E2E2E"/>
                <w:szCs w:val="18"/>
                <w:shd w:val="clear" w:color="auto" w:fill="FFFFFF"/>
                <w:lang w:val="en-US"/>
              </w:rPr>
              <w:t>Methoxychlor</w:t>
            </w:r>
          </w:p>
        </w:tc>
        <w:tc>
          <w:tcPr>
            <w:tcW w:w="831" w:type="dxa"/>
            <w:tcBorders>
              <w:bottom w:val="single" w:sz="24" w:space="0" w:color="9BBB59" w:themeColor="accent3"/>
            </w:tcBorders>
            <w:shd w:val="clear" w:color="auto" w:fill="FFFFFF" w:themeFill="background1"/>
            <w:hideMark/>
          </w:tcPr>
          <w:p w14:paraId="6B353C15"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tcBorders>
              <w:bottom w:val="single" w:sz="24" w:space="0" w:color="9BBB59" w:themeColor="accent3"/>
            </w:tcBorders>
            <w:shd w:val="clear" w:color="auto" w:fill="FFFFFF" w:themeFill="background1"/>
            <w:hideMark/>
          </w:tcPr>
          <w:p w14:paraId="744EE278" w14:textId="77777777"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p>
        </w:tc>
        <w:tc>
          <w:tcPr>
            <w:tcW w:w="832" w:type="dxa"/>
            <w:tcBorders>
              <w:bottom w:val="single" w:sz="24" w:space="0" w:color="9BBB59" w:themeColor="accent3"/>
            </w:tcBorders>
            <w:shd w:val="clear" w:color="auto" w:fill="FFFFFF" w:themeFill="background1"/>
            <w:hideMark/>
          </w:tcPr>
          <w:p w14:paraId="115304B7" w14:textId="1AC27925"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23</w:t>
            </w:r>
          </w:p>
        </w:tc>
        <w:tc>
          <w:tcPr>
            <w:tcW w:w="666" w:type="dxa"/>
            <w:tcBorders>
              <w:bottom w:val="single" w:sz="24" w:space="0" w:color="9BBB59" w:themeColor="accent3"/>
            </w:tcBorders>
            <w:shd w:val="clear" w:color="auto" w:fill="FFFFFF" w:themeFill="background1"/>
            <w:hideMark/>
          </w:tcPr>
          <w:p w14:paraId="38E8A258" w14:textId="028935DE"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832" w:type="dxa"/>
            <w:tcBorders>
              <w:bottom w:val="single" w:sz="24" w:space="0" w:color="9BBB59" w:themeColor="accent3"/>
            </w:tcBorders>
            <w:shd w:val="clear" w:color="auto" w:fill="FFFFFF" w:themeFill="background1"/>
            <w:hideMark/>
          </w:tcPr>
          <w:p w14:paraId="4FA8D6D8" w14:textId="216ABE12"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w:t>
            </w:r>
          </w:p>
        </w:tc>
        <w:tc>
          <w:tcPr>
            <w:tcW w:w="666" w:type="dxa"/>
            <w:tcBorders>
              <w:bottom w:val="single" w:sz="24" w:space="0" w:color="9BBB59" w:themeColor="accent3"/>
            </w:tcBorders>
            <w:shd w:val="clear" w:color="auto" w:fill="FFFFFF" w:themeFill="background1"/>
            <w:hideMark/>
          </w:tcPr>
          <w:p w14:paraId="1B47043F" w14:textId="07F54F13"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03</w:t>
            </w:r>
          </w:p>
        </w:tc>
        <w:tc>
          <w:tcPr>
            <w:tcW w:w="1664" w:type="dxa"/>
            <w:tcBorders>
              <w:bottom w:val="single" w:sz="24" w:space="0" w:color="9BBB59" w:themeColor="accent3"/>
            </w:tcBorders>
            <w:shd w:val="clear" w:color="auto" w:fill="FFFFFF" w:themeFill="background1"/>
            <w:noWrap/>
            <w:hideMark/>
          </w:tcPr>
          <w:p w14:paraId="0E7AAE52" w14:textId="6259814E" w:rsidR="00F001B0" w:rsidRPr="00AD6219" w:rsidRDefault="00F001B0" w:rsidP="00AD6219">
            <w:pPr>
              <w:tabs>
                <w:tab w:val="clear" w:pos="7100"/>
              </w:tabs>
              <w:spacing w:line="240"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2E2E2E"/>
                <w:szCs w:val="18"/>
                <w:shd w:val="clear" w:color="auto" w:fill="FFFFFF"/>
                <w:lang w:val="en-US"/>
              </w:rPr>
            </w:pPr>
            <w:r w:rsidRPr="00AD6219">
              <w:rPr>
                <w:rFonts w:eastAsia="Calibri" w:cs="Arial"/>
                <w:color w:val="2E2E2E"/>
                <w:szCs w:val="18"/>
                <w:shd w:val="clear" w:color="auto" w:fill="FFFFFF"/>
                <w:lang w:val="en-US"/>
              </w:rPr>
              <w:t>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06 ± 0</w:t>
            </w:r>
            <w:r w:rsidR="002F57C9" w:rsidRPr="00AD6219">
              <w:rPr>
                <w:rFonts w:eastAsia="Calibri" w:cs="Arial"/>
                <w:color w:val="2E2E2E"/>
                <w:szCs w:val="18"/>
                <w:shd w:val="clear" w:color="auto" w:fill="FFFFFF"/>
                <w:lang w:val="en-US"/>
              </w:rPr>
              <w:t>.</w:t>
            </w:r>
            <w:r w:rsidRPr="00AD6219">
              <w:rPr>
                <w:rFonts w:eastAsia="Calibri" w:cs="Arial"/>
                <w:color w:val="2E2E2E"/>
                <w:szCs w:val="18"/>
                <w:shd w:val="clear" w:color="auto" w:fill="FFFFFF"/>
                <w:lang w:val="en-US"/>
              </w:rPr>
              <w:t>08</w:t>
            </w:r>
          </w:p>
        </w:tc>
      </w:tr>
    </w:tbl>
    <w:p w14:paraId="6DF6830F" w14:textId="77777777" w:rsidR="00F8063A" w:rsidRPr="00874BA9" w:rsidRDefault="00F8063A" w:rsidP="008F302B">
      <w:pPr>
        <w:pStyle w:val="CETBodytext"/>
      </w:pPr>
    </w:p>
    <w:p w14:paraId="08B8CAEA" w14:textId="3982B0CA" w:rsidR="008F302B" w:rsidRPr="00874BA9" w:rsidRDefault="008F302B" w:rsidP="002F57C9">
      <w:pPr>
        <w:pStyle w:val="CETBodytext"/>
      </w:pPr>
      <w:r w:rsidRPr="00874BA9">
        <w:t xml:space="preserve">Towards the coastal areas of Colombia, studies have also been carried out where similar concentrations of organochlorine compounds described here have been found, especially in crop areas in water, sediments and organisms, which reflects the need to pay attention to organochlorine pesticides in the soils of the study area (Calva and Torres 1998; </w:t>
      </w:r>
      <w:r w:rsidR="002F57C9" w:rsidRPr="00874BA9">
        <w:t>Garces</w:t>
      </w:r>
      <w:r w:rsidRPr="00874BA9">
        <w:t xml:space="preserve"> and Espinosa 201</w:t>
      </w:r>
      <w:r w:rsidR="002F57C9">
        <w:t>1</w:t>
      </w:r>
      <w:r w:rsidR="005E13A1" w:rsidRPr="00874BA9">
        <w:t>)</w:t>
      </w:r>
      <w:r w:rsidR="00AD6219">
        <w:t>.</w:t>
      </w:r>
    </w:p>
    <w:p w14:paraId="59A15446" w14:textId="77777777" w:rsidR="005E13A1" w:rsidRPr="00874BA9" w:rsidRDefault="005E13A1" w:rsidP="00FE6E23">
      <w:pPr>
        <w:pStyle w:val="CETBodytext"/>
        <w:jc w:val="left"/>
      </w:pPr>
    </w:p>
    <w:p w14:paraId="2173025B" w14:textId="77777777" w:rsidR="006736BE" w:rsidRPr="002F57C9" w:rsidRDefault="006736BE" w:rsidP="00FE6E23">
      <w:pPr>
        <w:pStyle w:val="CETBodytext"/>
        <w:jc w:val="left"/>
        <w:rPr>
          <w:b/>
          <w:bCs/>
        </w:rPr>
      </w:pPr>
      <w:r w:rsidRPr="002F57C9">
        <w:rPr>
          <w:b/>
          <w:bCs/>
        </w:rPr>
        <w:t>3.2 Cancer Risk Assessment</w:t>
      </w:r>
    </w:p>
    <w:p w14:paraId="2574600D" w14:textId="77777777" w:rsidR="006736BE" w:rsidRPr="00874BA9" w:rsidRDefault="006736BE" w:rsidP="00FE6E23">
      <w:pPr>
        <w:pStyle w:val="CETBodytext"/>
        <w:jc w:val="left"/>
      </w:pPr>
    </w:p>
    <w:p w14:paraId="542E31F4" w14:textId="77777777" w:rsidR="006736BE" w:rsidRPr="00874BA9" w:rsidRDefault="006736BE" w:rsidP="002F57C9">
      <w:pPr>
        <w:pStyle w:val="CETBodytext"/>
      </w:pPr>
      <w:r w:rsidRPr="00874BA9">
        <w:t>The CDI and CR values for ingestion, dermal exposure, and inhalation due to each chlorinated pesticide for children and adults are listed in Tables S1 to S12 in Supplementary Material. A CR between 10 −6 and 10 −4 indicates a potential risk, while a CR greater than 10 −4 suggests a potentially high health risk. A CR less than 10 −6 expresses security (Chen and Liao, 2006; Peng et al., 2011; Huang et al., 2014; Ogbeide et al., 2016). Applying Equation 5 to the CR calculated for each compound and exposure route, the CR of each sediment sample is shown in Table 2.</w:t>
      </w:r>
    </w:p>
    <w:p w14:paraId="15014260" w14:textId="77777777" w:rsidR="006736BE" w:rsidRPr="00874BA9" w:rsidRDefault="006736BE" w:rsidP="00FE6E23">
      <w:pPr>
        <w:pStyle w:val="CETBodytext"/>
        <w:jc w:val="left"/>
      </w:pPr>
    </w:p>
    <w:p w14:paraId="0B3F2FC4" w14:textId="43580432" w:rsidR="006736BE" w:rsidRPr="00874BA9" w:rsidRDefault="006736BE" w:rsidP="002F57C9">
      <w:pPr>
        <w:pStyle w:val="CETBodytext"/>
      </w:pPr>
      <w:r w:rsidRPr="00874BA9">
        <w:t>In 4 out of 6 samples analyzed there is a potential risk of cancer for children and adults. The most dangerous routes of exposure are the skin route and ingestion. The pesticides that contributed the most to these risks were heptachlor and heptachlor epoxide. Children are at greater risk from exposure because they are likely to ingest dirt while playing, and their body weights are lower, which may result in higher doses of hazardous substances per unit of body weight (Peng et al., 2012).</w:t>
      </w:r>
    </w:p>
    <w:p w14:paraId="4B654CFF" w14:textId="77777777" w:rsidR="006736BE" w:rsidRPr="00874BA9" w:rsidRDefault="006736BE" w:rsidP="00FE6E23">
      <w:pPr>
        <w:pStyle w:val="CETBodytext"/>
        <w:jc w:val="left"/>
      </w:pPr>
    </w:p>
    <w:p w14:paraId="61E64A78" w14:textId="77777777" w:rsidR="006736BE" w:rsidRDefault="006736BE" w:rsidP="002F57C9">
      <w:pPr>
        <w:pStyle w:val="CETBodytext"/>
      </w:pPr>
      <w:r w:rsidRPr="00874BA9">
        <w:t>Although the pesticides present in the sediments do not present a high risk of cancer, it is necessary that some actions be taken to prevent dangerous effects on the health of the population that lives in these areas.</w:t>
      </w:r>
    </w:p>
    <w:p w14:paraId="3744D7AE" w14:textId="77777777" w:rsidR="007E2E65" w:rsidRPr="00874BA9" w:rsidRDefault="007E2E65" w:rsidP="002F57C9">
      <w:pPr>
        <w:pStyle w:val="CETBodytext"/>
      </w:pPr>
    </w:p>
    <w:p w14:paraId="46462F3D" w14:textId="77777777" w:rsidR="00E67BAA" w:rsidRPr="00874BA9" w:rsidRDefault="00E67BAA" w:rsidP="006736BE">
      <w:pPr>
        <w:pStyle w:val="CETBodytext"/>
      </w:pPr>
    </w:p>
    <w:p w14:paraId="53496720" w14:textId="29768B34" w:rsidR="00C57449" w:rsidRPr="00C84B7B" w:rsidRDefault="00180685" w:rsidP="00600535">
      <w:pPr>
        <w:pStyle w:val="CETBodytext"/>
        <w:rPr>
          <w:i/>
          <w:iCs/>
        </w:rPr>
      </w:pPr>
      <w:r w:rsidRPr="00C84B7B">
        <w:rPr>
          <w:i/>
          <w:iCs/>
        </w:rPr>
        <w:lastRenderedPageBreak/>
        <w:t xml:space="preserve">Table 2. </w:t>
      </w:r>
      <w:r w:rsidR="004510A0" w:rsidRPr="00C84B7B">
        <w:rPr>
          <w:i/>
          <w:iCs/>
        </w:rPr>
        <w:t>Cancer risk for children and adults through different routes of exposure</w:t>
      </w:r>
    </w:p>
    <w:p w14:paraId="248AD900" w14:textId="77777777" w:rsidR="00AD6219" w:rsidRPr="00874BA9" w:rsidRDefault="00AD6219" w:rsidP="00600535">
      <w:pPr>
        <w:pStyle w:val="CETBodytext"/>
      </w:pPr>
    </w:p>
    <w:tbl>
      <w:tblPr>
        <w:tblStyle w:val="Tablanormal4"/>
        <w:tblW w:w="5183" w:type="pct"/>
        <w:tblLayout w:type="fixed"/>
        <w:tblLook w:val="04A0" w:firstRow="1" w:lastRow="0" w:firstColumn="1" w:lastColumn="0" w:noHBand="0" w:noVBand="1"/>
      </w:tblPr>
      <w:tblGrid>
        <w:gridCol w:w="1022"/>
        <w:gridCol w:w="935"/>
        <w:gridCol w:w="1027"/>
        <w:gridCol w:w="984"/>
        <w:gridCol w:w="1071"/>
        <w:gridCol w:w="1026"/>
        <w:gridCol w:w="1029"/>
        <w:gridCol w:w="984"/>
        <w:gridCol w:w="1031"/>
      </w:tblGrid>
      <w:tr w:rsidR="00F71985" w:rsidRPr="00AD6219" w14:paraId="650BC754" w14:textId="77777777" w:rsidTr="00646C38">
        <w:trPr>
          <w:cnfStyle w:val="100000000000" w:firstRow="1" w:lastRow="0" w:firstColumn="0" w:lastColumn="0" w:oddVBand="0" w:evenVBand="0" w:oddHBand="0"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61" w:type="pct"/>
            <w:vMerge w:val="restart"/>
            <w:tcBorders>
              <w:top w:val="single" w:sz="24" w:space="0" w:color="9BBB59" w:themeColor="accent3"/>
            </w:tcBorders>
            <w:noWrap/>
            <w:hideMark/>
          </w:tcPr>
          <w:p w14:paraId="284B00E7" w14:textId="211EE2CC" w:rsidR="001875F0" w:rsidRPr="00AD6219" w:rsidRDefault="00F71985" w:rsidP="00AD6219">
            <w:pPr>
              <w:tabs>
                <w:tab w:val="clear" w:pos="7100"/>
              </w:tabs>
              <w:spacing w:line="240" w:lineRule="auto"/>
              <w:jc w:val="center"/>
              <w:rPr>
                <w:rFonts w:cs="Arial"/>
                <w:sz w:val="16"/>
                <w:szCs w:val="16"/>
                <w:lang w:val="en-US" w:eastAsia="es-CO"/>
              </w:rPr>
            </w:pPr>
            <w:r w:rsidRPr="00AD6219">
              <w:rPr>
                <w:rFonts w:cs="Arial"/>
                <w:sz w:val="16"/>
                <w:szCs w:val="16"/>
                <w:lang w:val="en-US" w:eastAsia="es-CO"/>
              </w:rPr>
              <w:t>Sampling sites</w:t>
            </w:r>
          </w:p>
        </w:tc>
        <w:tc>
          <w:tcPr>
            <w:tcW w:w="2205" w:type="pct"/>
            <w:gridSpan w:val="4"/>
            <w:tcBorders>
              <w:top w:val="single" w:sz="24" w:space="0" w:color="9BBB59" w:themeColor="accent3"/>
              <w:bottom w:val="single" w:sz="24" w:space="0" w:color="9BBB59" w:themeColor="accent3"/>
            </w:tcBorders>
            <w:noWrap/>
            <w:hideMark/>
          </w:tcPr>
          <w:p w14:paraId="606E5357" w14:textId="5A630B9D" w:rsidR="001875F0" w:rsidRPr="00AD6219" w:rsidRDefault="000006C9" w:rsidP="00AD6219">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lang w:val="en-US" w:eastAsia="es-CO"/>
              </w:rPr>
            </w:pPr>
            <w:r>
              <w:rPr>
                <w:rFonts w:cs="Arial"/>
                <w:sz w:val="16"/>
                <w:szCs w:val="16"/>
                <w:lang w:val="en-US" w:eastAsia="es-CO"/>
              </w:rPr>
              <w:t>C</w:t>
            </w:r>
            <w:r w:rsidRPr="00AD6219">
              <w:rPr>
                <w:rFonts w:cs="Arial"/>
                <w:sz w:val="16"/>
                <w:szCs w:val="16"/>
                <w:lang w:val="en-US" w:eastAsia="es-CO"/>
              </w:rPr>
              <w:t xml:space="preserve">hildren </w:t>
            </w:r>
            <w:r w:rsidR="001875F0" w:rsidRPr="00AD6219">
              <w:rPr>
                <w:rFonts w:cs="Arial"/>
                <w:sz w:val="16"/>
                <w:szCs w:val="16"/>
                <w:lang w:val="en-US" w:eastAsia="es-CO"/>
              </w:rPr>
              <w:t xml:space="preserve">CR </w:t>
            </w:r>
          </w:p>
        </w:tc>
        <w:tc>
          <w:tcPr>
            <w:tcW w:w="2234" w:type="pct"/>
            <w:gridSpan w:val="4"/>
            <w:tcBorders>
              <w:top w:val="single" w:sz="24" w:space="0" w:color="9BBB59" w:themeColor="accent3"/>
              <w:bottom w:val="single" w:sz="24" w:space="0" w:color="9BBB59" w:themeColor="accent3"/>
            </w:tcBorders>
            <w:noWrap/>
            <w:hideMark/>
          </w:tcPr>
          <w:p w14:paraId="03801E01" w14:textId="1220DC51" w:rsidR="001875F0" w:rsidRPr="00AD6219" w:rsidRDefault="001875F0" w:rsidP="00AD6219">
            <w:pPr>
              <w:tabs>
                <w:tab w:val="clear" w:pos="7100"/>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sz w:val="16"/>
                <w:szCs w:val="16"/>
                <w:lang w:val="en-US" w:eastAsia="es-CO"/>
              </w:rPr>
            </w:pPr>
            <w:r w:rsidRPr="00AD6219">
              <w:rPr>
                <w:rFonts w:cs="Arial"/>
                <w:sz w:val="16"/>
                <w:szCs w:val="16"/>
                <w:lang w:val="en-US" w:eastAsia="es-CO"/>
              </w:rPr>
              <w:t>adult</w:t>
            </w:r>
            <w:r w:rsidR="00F71985" w:rsidRPr="00AD6219">
              <w:rPr>
                <w:rFonts w:cs="Arial"/>
                <w:sz w:val="16"/>
                <w:szCs w:val="16"/>
                <w:lang w:val="en-US" w:eastAsia="es-CO"/>
              </w:rPr>
              <w:t>s</w:t>
            </w:r>
            <w:r w:rsidRPr="00AD6219">
              <w:rPr>
                <w:rFonts w:cs="Arial"/>
                <w:sz w:val="16"/>
                <w:szCs w:val="16"/>
                <w:lang w:val="en-US" w:eastAsia="es-CO"/>
              </w:rPr>
              <w:t xml:space="preserve"> CR</w:t>
            </w:r>
          </w:p>
        </w:tc>
      </w:tr>
      <w:tr w:rsidR="00646C38" w:rsidRPr="00AD6219" w14:paraId="2D4BEDE9" w14:textId="77777777" w:rsidTr="00646C3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61" w:type="pct"/>
            <w:vMerge/>
            <w:tcBorders>
              <w:bottom w:val="single" w:sz="24" w:space="0" w:color="9BBB59" w:themeColor="accent3"/>
            </w:tcBorders>
            <w:noWrap/>
            <w:hideMark/>
          </w:tcPr>
          <w:p w14:paraId="0FEADFD9" w14:textId="77777777" w:rsidR="001875F0" w:rsidRPr="00AD6219" w:rsidRDefault="001875F0" w:rsidP="00AD6219">
            <w:pPr>
              <w:tabs>
                <w:tab w:val="clear" w:pos="7100"/>
              </w:tabs>
              <w:spacing w:line="240" w:lineRule="auto"/>
              <w:jc w:val="center"/>
              <w:rPr>
                <w:rFonts w:cs="Arial"/>
                <w:sz w:val="16"/>
                <w:szCs w:val="16"/>
                <w:lang w:val="en-US" w:eastAsia="es-CO"/>
              </w:rPr>
            </w:pPr>
          </w:p>
        </w:tc>
        <w:tc>
          <w:tcPr>
            <w:tcW w:w="513" w:type="pct"/>
            <w:tcBorders>
              <w:top w:val="single" w:sz="24" w:space="0" w:color="9BBB59" w:themeColor="accent3"/>
              <w:bottom w:val="single" w:sz="24" w:space="0" w:color="9BBB59" w:themeColor="accent3"/>
            </w:tcBorders>
            <w:shd w:val="clear" w:color="auto" w:fill="FFFFFF" w:themeFill="background1"/>
            <w:noWrap/>
            <w:hideMark/>
          </w:tcPr>
          <w:p w14:paraId="409A44C0" w14:textId="46B5F821" w:rsidR="001875F0" w:rsidRPr="00AD6219" w:rsidRDefault="001875F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Ingesti</w:t>
            </w:r>
            <w:r w:rsidR="00F71985" w:rsidRPr="00AD6219">
              <w:rPr>
                <w:rFonts w:cs="Arial"/>
                <w:b/>
                <w:bCs/>
                <w:sz w:val="16"/>
                <w:szCs w:val="16"/>
                <w:lang w:val="en-US" w:eastAsia="es-CO"/>
              </w:rPr>
              <w:t>o</w:t>
            </w:r>
            <w:r w:rsidRPr="00AD6219">
              <w:rPr>
                <w:rFonts w:cs="Arial"/>
                <w:b/>
                <w:bCs/>
                <w:sz w:val="16"/>
                <w:szCs w:val="16"/>
                <w:lang w:val="en-US" w:eastAsia="es-CO"/>
              </w:rPr>
              <w:t>n</w:t>
            </w:r>
          </w:p>
        </w:tc>
        <w:tc>
          <w:tcPr>
            <w:tcW w:w="564" w:type="pct"/>
            <w:tcBorders>
              <w:top w:val="single" w:sz="24" w:space="0" w:color="9BBB59" w:themeColor="accent3"/>
              <w:bottom w:val="single" w:sz="24" w:space="0" w:color="9BBB59" w:themeColor="accent3"/>
            </w:tcBorders>
            <w:shd w:val="clear" w:color="auto" w:fill="FFFFFF" w:themeFill="background1"/>
            <w:noWrap/>
            <w:hideMark/>
          </w:tcPr>
          <w:p w14:paraId="794C4713" w14:textId="4D8D0ED0" w:rsidR="001875F0" w:rsidRPr="00AD6219" w:rsidRDefault="001875F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Inhala</w:t>
            </w:r>
            <w:r w:rsidR="00F71985" w:rsidRPr="00AD6219">
              <w:rPr>
                <w:rFonts w:cs="Arial"/>
                <w:b/>
                <w:bCs/>
                <w:sz w:val="16"/>
                <w:szCs w:val="16"/>
                <w:lang w:val="en-US" w:eastAsia="es-CO"/>
              </w:rPr>
              <w:t>t</w:t>
            </w:r>
            <w:r w:rsidRPr="00AD6219">
              <w:rPr>
                <w:rFonts w:cs="Arial"/>
                <w:b/>
                <w:bCs/>
                <w:sz w:val="16"/>
                <w:szCs w:val="16"/>
                <w:lang w:val="en-US" w:eastAsia="es-CO"/>
              </w:rPr>
              <w:t>i</w:t>
            </w:r>
            <w:r w:rsidR="00F71985" w:rsidRPr="00AD6219">
              <w:rPr>
                <w:rFonts w:cs="Arial"/>
                <w:b/>
                <w:bCs/>
                <w:sz w:val="16"/>
                <w:szCs w:val="16"/>
                <w:lang w:val="en-US" w:eastAsia="es-CO"/>
              </w:rPr>
              <w:t>o</w:t>
            </w:r>
            <w:r w:rsidRPr="00AD6219">
              <w:rPr>
                <w:rFonts w:cs="Arial"/>
                <w:b/>
                <w:bCs/>
                <w:sz w:val="16"/>
                <w:szCs w:val="16"/>
                <w:lang w:val="en-US" w:eastAsia="es-CO"/>
              </w:rPr>
              <w:t>n</w:t>
            </w:r>
          </w:p>
        </w:tc>
        <w:tc>
          <w:tcPr>
            <w:tcW w:w="540" w:type="pct"/>
            <w:tcBorders>
              <w:top w:val="single" w:sz="24" w:space="0" w:color="9BBB59" w:themeColor="accent3"/>
              <w:bottom w:val="single" w:sz="24" w:space="0" w:color="9BBB59" w:themeColor="accent3"/>
            </w:tcBorders>
            <w:shd w:val="clear" w:color="auto" w:fill="FFFFFF" w:themeFill="background1"/>
            <w:noWrap/>
            <w:hideMark/>
          </w:tcPr>
          <w:p w14:paraId="7E4F8F1F" w14:textId="08C224A3" w:rsidR="001875F0" w:rsidRPr="00AD6219" w:rsidRDefault="00B62698"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Dermal exposure</w:t>
            </w:r>
          </w:p>
        </w:tc>
        <w:tc>
          <w:tcPr>
            <w:tcW w:w="587" w:type="pct"/>
            <w:tcBorders>
              <w:top w:val="single" w:sz="24" w:space="0" w:color="9BBB59" w:themeColor="accent3"/>
              <w:bottom w:val="single" w:sz="24" w:space="0" w:color="9BBB59" w:themeColor="accent3"/>
            </w:tcBorders>
            <w:shd w:val="clear" w:color="auto" w:fill="FFFFFF" w:themeFill="background1"/>
            <w:noWrap/>
            <w:hideMark/>
          </w:tcPr>
          <w:p w14:paraId="4D3295C4" w14:textId="5B6CFD1E" w:rsidR="001875F0" w:rsidRPr="00AD6219" w:rsidRDefault="001875F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 xml:space="preserve">RC </w:t>
            </w:r>
            <w:r w:rsidR="0071135D" w:rsidRPr="00AD6219">
              <w:rPr>
                <w:rFonts w:cs="Arial"/>
                <w:b/>
                <w:bCs/>
                <w:sz w:val="16"/>
                <w:szCs w:val="16"/>
                <w:lang w:val="en-US" w:eastAsia="es-CO"/>
              </w:rPr>
              <w:t>global</w:t>
            </w:r>
          </w:p>
        </w:tc>
        <w:tc>
          <w:tcPr>
            <w:tcW w:w="563" w:type="pct"/>
            <w:tcBorders>
              <w:top w:val="single" w:sz="24" w:space="0" w:color="9BBB59" w:themeColor="accent3"/>
              <w:bottom w:val="single" w:sz="24" w:space="0" w:color="9BBB59" w:themeColor="accent3"/>
            </w:tcBorders>
            <w:shd w:val="clear" w:color="auto" w:fill="FFFFFF" w:themeFill="background1"/>
            <w:noWrap/>
            <w:hideMark/>
          </w:tcPr>
          <w:p w14:paraId="28A863A2" w14:textId="05B6E1E3" w:rsidR="001875F0" w:rsidRPr="00AD6219" w:rsidRDefault="00B62698"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Ingestion</w:t>
            </w:r>
          </w:p>
        </w:tc>
        <w:tc>
          <w:tcPr>
            <w:tcW w:w="565" w:type="pct"/>
            <w:tcBorders>
              <w:top w:val="single" w:sz="24" w:space="0" w:color="9BBB59" w:themeColor="accent3"/>
              <w:bottom w:val="single" w:sz="24" w:space="0" w:color="9BBB59" w:themeColor="accent3"/>
            </w:tcBorders>
            <w:shd w:val="clear" w:color="auto" w:fill="FFFFFF" w:themeFill="background1"/>
            <w:noWrap/>
            <w:hideMark/>
          </w:tcPr>
          <w:p w14:paraId="5F03191D" w14:textId="7939FB73" w:rsidR="001875F0" w:rsidRPr="00AD6219" w:rsidRDefault="00950D59"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Inhalation</w:t>
            </w:r>
          </w:p>
        </w:tc>
        <w:tc>
          <w:tcPr>
            <w:tcW w:w="540" w:type="pct"/>
            <w:tcBorders>
              <w:top w:val="single" w:sz="24" w:space="0" w:color="9BBB59" w:themeColor="accent3"/>
              <w:bottom w:val="single" w:sz="24" w:space="0" w:color="9BBB59" w:themeColor="accent3"/>
            </w:tcBorders>
            <w:shd w:val="clear" w:color="auto" w:fill="FFFFFF" w:themeFill="background1"/>
            <w:noWrap/>
            <w:hideMark/>
          </w:tcPr>
          <w:p w14:paraId="14E75085" w14:textId="25F742B3" w:rsidR="001875F0" w:rsidRPr="00AD6219" w:rsidRDefault="00950D59"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Dermal exposure</w:t>
            </w:r>
          </w:p>
        </w:tc>
        <w:tc>
          <w:tcPr>
            <w:tcW w:w="566" w:type="pct"/>
            <w:tcBorders>
              <w:top w:val="single" w:sz="24" w:space="0" w:color="9BBB59" w:themeColor="accent3"/>
              <w:bottom w:val="single" w:sz="24" w:space="0" w:color="9BBB59" w:themeColor="accent3"/>
            </w:tcBorders>
            <w:shd w:val="clear" w:color="auto" w:fill="FFFFFF" w:themeFill="background1"/>
            <w:noWrap/>
            <w:hideMark/>
          </w:tcPr>
          <w:p w14:paraId="0908AFC6" w14:textId="77777777" w:rsidR="001875F0" w:rsidRPr="00AD6219" w:rsidRDefault="001875F0" w:rsidP="00AD6219">
            <w:pPr>
              <w:tabs>
                <w:tab w:val="clear" w:pos="7100"/>
              </w:tabs>
              <w:spacing w:line="240" w:lineRule="auto"/>
              <w:jc w:val="center"/>
              <w:cnfStyle w:val="000000100000" w:firstRow="0" w:lastRow="0" w:firstColumn="0" w:lastColumn="0" w:oddVBand="0" w:evenVBand="0" w:oddHBand="1" w:evenHBand="0" w:firstRowFirstColumn="0" w:firstRowLastColumn="0" w:lastRowFirstColumn="0" w:lastRowLastColumn="0"/>
              <w:rPr>
                <w:rFonts w:cs="Arial"/>
                <w:b/>
                <w:bCs/>
                <w:sz w:val="16"/>
                <w:szCs w:val="16"/>
                <w:lang w:val="en-US" w:eastAsia="es-CO"/>
              </w:rPr>
            </w:pPr>
            <w:r w:rsidRPr="00AD6219">
              <w:rPr>
                <w:rFonts w:cs="Arial"/>
                <w:b/>
                <w:bCs/>
                <w:sz w:val="16"/>
                <w:szCs w:val="16"/>
                <w:lang w:val="en-US" w:eastAsia="es-CO"/>
              </w:rPr>
              <w:t>RC global</w:t>
            </w:r>
          </w:p>
        </w:tc>
      </w:tr>
      <w:tr w:rsidR="00646C38" w:rsidRPr="00AD6219" w14:paraId="65FFD607" w14:textId="77777777" w:rsidTr="00646C38">
        <w:trPr>
          <w:trHeight w:val="178"/>
        </w:trPr>
        <w:tc>
          <w:tcPr>
            <w:cnfStyle w:val="001000000000" w:firstRow="0" w:lastRow="0" w:firstColumn="1" w:lastColumn="0" w:oddVBand="0" w:evenVBand="0" w:oddHBand="0" w:evenHBand="0" w:firstRowFirstColumn="0" w:firstRowLastColumn="0" w:lastRowFirstColumn="0" w:lastRowLastColumn="0"/>
            <w:tcW w:w="561" w:type="pct"/>
            <w:tcBorders>
              <w:top w:val="single" w:sz="24" w:space="0" w:color="9BBB59" w:themeColor="accent3"/>
            </w:tcBorders>
            <w:shd w:val="clear" w:color="auto" w:fill="FFFFFF" w:themeFill="background1"/>
            <w:noWrap/>
            <w:hideMark/>
          </w:tcPr>
          <w:p w14:paraId="54F2D936" w14:textId="77777777" w:rsidR="001875F0" w:rsidRPr="00AD6219" w:rsidRDefault="001875F0" w:rsidP="00AD6219">
            <w:pPr>
              <w:tabs>
                <w:tab w:val="clear" w:pos="7100"/>
              </w:tabs>
              <w:spacing w:line="480" w:lineRule="auto"/>
              <w:jc w:val="center"/>
              <w:rPr>
                <w:rFonts w:cs="Arial"/>
                <w:b w:val="0"/>
                <w:bCs w:val="0"/>
                <w:sz w:val="16"/>
                <w:szCs w:val="16"/>
                <w:lang w:val="en-US" w:eastAsia="es-CO"/>
              </w:rPr>
            </w:pPr>
            <w:r w:rsidRPr="00AD6219">
              <w:rPr>
                <w:rFonts w:cs="Arial"/>
                <w:b w:val="0"/>
                <w:bCs w:val="0"/>
                <w:sz w:val="16"/>
                <w:szCs w:val="16"/>
                <w:lang w:val="en-US" w:eastAsia="es-CO"/>
              </w:rPr>
              <w:t>M1</w:t>
            </w:r>
          </w:p>
        </w:tc>
        <w:tc>
          <w:tcPr>
            <w:tcW w:w="513" w:type="pct"/>
            <w:tcBorders>
              <w:top w:val="single" w:sz="24" w:space="0" w:color="9BBB59" w:themeColor="accent3"/>
            </w:tcBorders>
            <w:shd w:val="clear" w:color="auto" w:fill="FFFFFF" w:themeFill="background1"/>
            <w:noWrap/>
            <w:hideMark/>
          </w:tcPr>
          <w:p w14:paraId="0383D718"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7.05E</w:t>
            </w:r>
            <w:r w:rsidRPr="00AD6219">
              <w:rPr>
                <w:rFonts w:eastAsia="Calibri" w:cs="Arial"/>
                <w:sz w:val="16"/>
                <w:szCs w:val="16"/>
                <w:vertAlign w:val="superscript"/>
                <w:lang w:val="en-US"/>
              </w:rPr>
              <w:t>-07</w:t>
            </w:r>
          </w:p>
        </w:tc>
        <w:tc>
          <w:tcPr>
            <w:tcW w:w="564" w:type="pct"/>
            <w:tcBorders>
              <w:top w:val="single" w:sz="24" w:space="0" w:color="9BBB59" w:themeColor="accent3"/>
            </w:tcBorders>
            <w:shd w:val="clear" w:color="auto" w:fill="FFFFFF" w:themeFill="background1"/>
            <w:noWrap/>
            <w:hideMark/>
          </w:tcPr>
          <w:p w14:paraId="73DF6B76"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5.59E</w:t>
            </w:r>
            <w:r w:rsidRPr="00AD6219">
              <w:rPr>
                <w:rFonts w:eastAsia="Calibri" w:cs="Arial"/>
                <w:sz w:val="16"/>
                <w:szCs w:val="16"/>
                <w:vertAlign w:val="superscript"/>
                <w:lang w:val="en-US"/>
              </w:rPr>
              <w:t>-11</w:t>
            </w:r>
          </w:p>
        </w:tc>
        <w:tc>
          <w:tcPr>
            <w:tcW w:w="540" w:type="pct"/>
            <w:tcBorders>
              <w:top w:val="single" w:sz="24" w:space="0" w:color="9BBB59" w:themeColor="accent3"/>
            </w:tcBorders>
            <w:shd w:val="clear" w:color="auto" w:fill="FFFFFF" w:themeFill="background1"/>
            <w:noWrap/>
            <w:hideMark/>
          </w:tcPr>
          <w:p w14:paraId="5D2A9376"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1.97E</w:t>
            </w:r>
            <w:r w:rsidRPr="00AD6219">
              <w:rPr>
                <w:rFonts w:eastAsia="Calibri" w:cs="Arial"/>
                <w:sz w:val="16"/>
                <w:szCs w:val="16"/>
                <w:vertAlign w:val="superscript"/>
                <w:lang w:val="en-US"/>
              </w:rPr>
              <w:t>-07</w:t>
            </w:r>
          </w:p>
        </w:tc>
        <w:tc>
          <w:tcPr>
            <w:tcW w:w="587" w:type="pct"/>
            <w:tcBorders>
              <w:top w:val="single" w:sz="24" w:space="0" w:color="9BBB59" w:themeColor="accent3"/>
            </w:tcBorders>
            <w:shd w:val="clear" w:color="auto" w:fill="FFFFFF" w:themeFill="background1"/>
            <w:noWrap/>
            <w:hideMark/>
          </w:tcPr>
          <w:p w14:paraId="456810F9"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9.03E</w:t>
            </w:r>
            <w:r w:rsidRPr="00AD6219">
              <w:rPr>
                <w:rFonts w:eastAsia="Calibri" w:cs="Arial"/>
                <w:sz w:val="16"/>
                <w:szCs w:val="16"/>
                <w:vertAlign w:val="superscript"/>
                <w:lang w:val="en-US"/>
              </w:rPr>
              <w:t>-07</w:t>
            </w:r>
          </w:p>
        </w:tc>
        <w:tc>
          <w:tcPr>
            <w:tcW w:w="563" w:type="pct"/>
            <w:tcBorders>
              <w:top w:val="single" w:sz="24" w:space="0" w:color="9BBB59" w:themeColor="accent3"/>
            </w:tcBorders>
            <w:shd w:val="clear" w:color="auto" w:fill="FFFFFF" w:themeFill="background1"/>
            <w:noWrap/>
            <w:hideMark/>
          </w:tcPr>
          <w:p w14:paraId="44600B01"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5.04E</w:t>
            </w:r>
            <w:r w:rsidRPr="00AD6219">
              <w:rPr>
                <w:rFonts w:eastAsia="Calibri" w:cs="Arial"/>
                <w:sz w:val="16"/>
                <w:szCs w:val="16"/>
                <w:vertAlign w:val="superscript"/>
                <w:lang w:val="en-US"/>
              </w:rPr>
              <w:t>-07</w:t>
            </w:r>
          </w:p>
        </w:tc>
        <w:tc>
          <w:tcPr>
            <w:tcW w:w="565" w:type="pct"/>
            <w:tcBorders>
              <w:top w:val="single" w:sz="24" w:space="0" w:color="9BBB59" w:themeColor="accent3"/>
            </w:tcBorders>
            <w:shd w:val="clear" w:color="auto" w:fill="FFFFFF" w:themeFill="background1"/>
            <w:noWrap/>
            <w:hideMark/>
          </w:tcPr>
          <w:p w14:paraId="33930A71"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3.24E</w:t>
            </w:r>
            <w:r w:rsidRPr="00AD6219">
              <w:rPr>
                <w:rFonts w:eastAsia="Calibri" w:cs="Arial"/>
                <w:sz w:val="16"/>
                <w:szCs w:val="16"/>
                <w:vertAlign w:val="superscript"/>
                <w:lang w:val="en-US"/>
              </w:rPr>
              <w:t>-11</w:t>
            </w:r>
          </w:p>
        </w:tc>
        <w:tc>
          <w:tcPr>
            <w:tcW w:w="540" w:type="pct"/>
            <w:tcBorders>
              <w:top w:val="single" w:sz="24" w:space="0" w:color="9BBB59" w:themeColor="accent3"/>
            </w:tcBorders>
            <w:shd w:val="clear" w:color="auto" w:fill="FFFFFF" w:themeFill="background1"/>
            <w:noWrap/>
            <w:hideMark/>
          </w:tcPr>
          <w:p w14:paraId="2B046C2A"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5.03E</w:t>
            </w:r>
            <w:r w:rsidRPr="00AD6219">
              <w:rPr>
                <w:rFonts w:eastAsia="Calibri" w:cs="Arial"/>
                <w:sz w:val="16"/>
                <w:szCs w:val="16"/>
                <w:vertAlign w:val="superscript"/>
                <w:lang w:val="en-US"/>
              </w:rPr>
              <w:t>-08</w:t>
            </w:r>
          </w:p>
        </w:tc>
        <w:tc>
          <w:tcPr>
            <w:tcW w:w="566" w:type="pct"/>
            <w:tcBorders>
              <w:top w:val="single" w:sz="24" w:space="0" w:color="9BBB59" w:themeColor="accent3"/>
            </w:tcBorders>
            <w:shd w:val="clear" w:color="auto" w:fill="FFFFFF" w:themeFill="background1"/>
            <w:noWrap/>
            <w:hideMark/>
          </w:tcPr>
          <w:p w14:paraId="63B65C4D"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5.54E</w:t>
            </w:r>
            <w:r w:rsidRPr="00AD6219">
              <w:rPr>
                <w:rFonts w:eastAsia="Calibri" w:cs="Arial"/>
                <w:sz w:val="16"/>
                <w:szCs w:val="16"/>
                <w:vertAlign w:val="superscript"/>
                <w:lang w:val="en-US"/>
              </w:rPr>
              <w:t>-07</w:t>
            </w:r>
          </w:p>
        </w:tc>
      </w:tr>
      <w:tr w:rsidR="00AD6219" w:rsidRPr="00AD6219" w14:paraId="4DF7D2A9" w14:textId="77777777" w:rsidTr="00646C3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61" w:type="pct"/>
            <w:shd w:val="clear" w:color="auto" w:fill="FFFFFF" w:themeFill="background1"/>
            <w:noWrap/>
            <w:hideMark/>
          </w:tcPr>
          <w:p w14:paraId="22C2C581" w14:textId="77777777" w:rsidR="001875F0" w:rsidRPr="00AD6219" w:rsidRDefault="001875F0" w:rsidP="00AD6219">
            <w:pPr>
              <w:tabs>
                <w:tab w:val="clear" w:pos="7100"/>
              </w:tabs>
              <w:spacing w:line="480" w:lineRule="auto"/>
              <w:jc w:val="center"/>
              <w:rPr>
                <w:rFonts w:cs="Arial"/>
                <w:b w:val="0"/>
                <w:bCs w:val="0"/>
                <w:sz w:val="16"/>
                <w:szCs w:val="16"/>
                <w:lang w:val="en-US" w:eastAsia="es-CO"/>
              </w:rPr>
            </w:pPr>
            <w:r w:rsidRPr="00AD6219">
              <w:rPr>
                <w:rFonts w:cs="Arial"/>
                <w:b w:val="0"/>
                <w:bCs w:val="0"/>
                <w:sz w:val="16"/>
                <w:szCs w:val="16"/>
                <w:lang w:val="en-US" w:eastAsia="es-CO"/>
              </w:rPr>
              <w:t>M2</w:t>
            </w:r>
          </w:p>
        </w:tc>
        <w:tc>
          <w:tcPr>
            <w:tcW w:w="513" w:type="pct"/>
            <w:shd w:val="clear" w:color="auto" w:fill="FFFFFF" w:themeFill="background1"/>
            <w:noWrap/>
            <w:hideMark/>
          </w:tcPr>
          <w:p w14:paraId="251F9C1D"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1.12E</w:t>
            </w:r>
            <w:r w:rsidRPr="00AD6219">
              <w:rPr>
                <w:rFonts w:eastAsia="Calibri" w:cs="Arial"/>
                <w:sz w:val="16"/>
                <w:szCs w:val="16"/>
                <w:vertAlign w:val="superscript"/>
                <w:lang w:val="en-US"/>
              </w:rPr>
              <w:t>-06</w:t>
            </w:r>
          </w:p>
        </w:tc>
        <w:tc>
          <w:tcPr>
            <w:tcW w:w="564" w:type="pct"/>
            <w:shd w:val="clear" w:color="auto" w:fill="FFFFFF" w:themeFill="background1"/>
            <w:noWrap/>
            <w:hideMark/>
          </w:tcPr>
          <w:p w14:paraId="48B4CB7E"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1.83E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5AEF7B23"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6.47E</w:t>
            </w:r>
            <w:r w:rsidRPr="00AD6219">
              <w:rPr>
                <w:rFonts w:eastAsia="Calibri" w:cs="Arial"/>
                <w:sz w:val="16"/>
                <w:szCs w:val="16"/>
                <w:vertAlign w:val="superscript"/>
                <w:lang w:val="en-US"/>
              </w:rPr>
              <w:t>-06</w:t>
            </w:r>
          </w:p>
        </w:tc>
        <w:tc>
          <w:tcPr>
            <w:tcW w:w="587" w:type="pct"/>
            <w:shd w:val="clear" w:color="auto" w:fill="FFFFFF" w:themeFill="background1"/>
            <w:noWrap/>
            <w:hideMark/>
          </w:tcPr>
          <w:p w14:paraId="3053C9CE"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7.59E</w:t>
            </w:r>
            <w:r w:rsidRPr="00AD6219">
              <w:rPr>
                <w:rFonts w:eastAsia="Calibri" w:cs="Arial"/>
                <w:sz w:val="16"/>
                <w:szCs w:val="16"/>
                <w:vertAlign w:val="superscript"/>
                <w:lang w:val="en-US"/>
              </w:rPr>
              <w:t>-06</w:t>
            </w:r>
          </w:p>
        </w:tc>
        <w:tc>
          <w:tcPr>
            <w:tcW w:w="563" w:type="pct"/>
            <w:shd w:val="clear" w:color="auto" w:fill="FFFFFF" w:themeFill="background1"/>
            <w:noWrap/>
            <w:hideMark/>
          </w:tcPr>
          <w:p w14:paraId="1971A061"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1.65E</w:t>
            </w:r>
            <w:r w:rsidRPr="00AD6219">
              <w:rPr>
                <w:rFonts w:eastAsia="Calibri" w:cs="Arial"/>
                <w:sz w:val="16"/>
                <w:szCs w:val="16"/>
                <w:vertAlign w:val="superscript"/>
                <w:lang w:val="en-US"/>
              </w:rPr>
              <w:t>-05</w:t>
            </w:r>
          </w:p>
        </w:tc>
        <w:tc>
          <w:tcPr>
            <w:tcW w:w="565" w:type="pct"/>
            <w:shd w:val="clear" w:color="auto" w:fill="FFFFFF" w:themeFill="background1"/>
            <w:noWrap/>
            <w:hideMark/>
          </w:tcPr>
          <w:p w14:paraId="37227A16"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1.06E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40B27775"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1.65E</w:t>
            </w:r>
            <w:r w:rsidRPr="00AD6219">
              <w:rPr>
                <w:rFonts w:eastAsia="Calibri" w:cs="Arial"/>
                <w:sz w:val="16"/>
                <w:szCs w:val="16"/>
                <w:vertAlign w:val="superscript"/>
                <w:lang w:val="en-US"/>
              </w:rPr>
              <w:t>-06</w:t>
            </w:r>
          </w:p>
        </w:tc>
        <w:tc>
          <w:tcPr>
            <w:tcW w:w="566" w:type="pct"/>
            <w:shd w:val="clear" w:color="auto" w:fill="FFFFFF" w:themeFill="background1"/>
            <w:noWrap/>
            <w:hideMark/>
          </w:tcPr>
          <w:p w14:paraId="199D98B3"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1.82E</w:t>
            </w:r>
            <w:r w:rsidRPr="00AD6219">
              <w:rPr>
                <w:rFonts w:eastAsia="Calibri" w:cs="Arial"/>
                <w:sz w:val="16"/>
                <w:szCs w:val="16"/>
                <w:vertAlign w:val="superscript"/>
                <w:lang w:val="en-US"/>
              </w:rPr>
              <w:t>-05</w:t>
            </w:r>
          </w:p>
        </w:tc>
      </w:tr>
      <w:tr w:rsidR="00646C38" w:rsidRPr="00AD6219" w14:paraId="49222A47" w14:textId="77777777" w:rsidTr="00646C38">
        <w:trPr>
          <w:trHeight w:val="178"/>
        </w:trPr>
        <w:tc>
          <w:tcPr>
            <w:cnfStyle w:val="001000000000" w:firstRow="0" w:lastRow="0" w:firstColumn="1" w:lastColumn="0" w:oddVBand="0" w:evenVBand="0" w:oddHBand="0" w:evenHBand="0" w:firstRowFirstColumn="0" w:firstRowLastColumn="0" w:lastRowFirstColumn="0" w:lastRowLastColumn="0"/>
            <w:tcW w:w="561" w:type="pct"/>
            <w:shd w:val="clear" w:color="auto" w:fill="FFFFFF" w:themeFill="background1"/>
            <w:noWrap/>
            <w:hideMark/>
          </w:tcPr>
          <w:p w14:paraId="375969BF" w14:textId="77777777" w:rsidR="001875F0" w:rsidRPr="00AD6219" w:rsidRDefault="001875F0" w:rsidP="00AD6219">
            <w:pPr>
              <w:tabs>
                <w:tab w:val="clear" w:pos="7100"/>
              </w:tabs>
              <w:spacing w:line="480" w:lineRule="auto"/>
              <w:jc w:val="center"/>
              <w:rPr>
                <w:rFonts w:cs="Arial"/>
                <w:b w:val="0"/>
                <w:bCs w:val="0"/>
                <w:sz w:val="16"/>
                <w:szCs w:val="16"/>
                <w:lang w:val="en-US" w:eastAsia="es-CO"/>
              </w:rPr>
            </w:pPr>
            <w:r w:rsidRPr="00AD6219">
              <w:rPr>
                <w:rFonts w:cs="Arial"/>
                <w:b w:val="0"/>
                <w:bCs w:val="0"/>
                <w:sz w:val="16"/>
                <w:szCs w:val="16"/>
                <w:lang w:val="en-US" w:eastAsia="es-CO"/>
              </w:rPr>
              <w:t>M3</w:t>
            </w:r>
          </w:p>
        </w:tc>
        <w:tc>
          <w:tcPr>
            <w:tcW w:w="513" w:type="pct"/>
            <w:shd w:val="clear" w:color="auto" w:fill="FFFFFF" w:themeFill="background1"/>
            <w:noWrap/>
            <w:hideMark/>
          </w:tcPr>
          <w:p w14:paraId="7C3AA1BE"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7.35E</w:t>
            </w:r>
            <w:r w:rsidRPr="00AD6219">
              <w:rPr>
                <w:rFonts w:eastAsia="Calibri" w:cs="Arial"/>
                <w:sz w:val="16"/>
                <w:szCs w:val="16"/>
                <w:vertAlign w:val="superscript"/>
                <w:lang w:val="en-US"/>
              </w:rPr>
              <w:t>-05</w:t>
            </w:r>
          </w:p>
        </w:tc>
        <w:tc>
          <w:tcPr>
            <w:tcW w:w="564" w:type="pct"/>
            <w:shd w:val="clear" w:color="auto" w:fill="FFFFFF" w:themeFill="background1"/>
            <w:noWrap/>
            <w:hideMark/>
          </w:tcPr>
          <w:p w14:paraId="705C02A9"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5.44E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14DF0B5A"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1.92E</w:t>
            </w:r>
            <w:r w:rsidRPr="00AD6219">
              <w:rPr>
                <w:rFonts w:eastAsia="Calibri" w:cs="Arial"/>
                <w:sz w:val="16"/>
                <w:szCs w:val="16"/>
                <w:vertAlign w:val="superscript"/>
                <w:lang w:val="en-US"/>
              </w:rPr>
              <w:t>-05</w:t>
            </w:r>
          </w:p>
        </w:tc>
        <w:tc>
          <w:tcPr>
            <w:tcW w:w="587" w:type="pct"/>
            <w:shd w:val="clear" w:color="auto" w:fill="FFFFFF" w:themeFill="background1"/>
            <w:noWrap/>
            <w:hideMark/>
          </w:tcPr>
          <w:p w14:paraId="4BC33C35"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9.27E</w:t>
            </w:r>
            <w:r w:rsidRPr="00AD6219">
              <w:rPr>
                <w:rFonts w:eastAsia="Calibri" w:cs="Arial"/>
                <w:sz w:val="16"/>
                <w:szCs w:val="16"/>
                <w:vertAlign w:val="superscript"/>
                <w:lang w:val="en-US"/>
              </w:rPr>
              <w:t>-05</w:t>
            </w:r>
          </w:p>
        </w:tc>
        <w:tc>
          <w:tcPr>
            <w:tcW w:w="563" w:type="pct"/>
            <w:shd w:val="clear" w:color="auto" w:fill="FFFFFF" w:themeFill="background1"/>
            <w:noWrap/>
            <w:hideMark/>
          </w:tcPr>
          <w:p w14:paraId="1BE9A628"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4.90E</w:t>
            </w:r>
            <w:r w:rsidRPr="00AD6219">
              <w:rPr>
                <w:rFonts w:eastAsia="Calibri" w:cs="Arial"/>
                <w:sz w:val="16"/>
                <w:szCs w:val="16"/>
                <w:vertAlign w:val="superscript"/>
                <w:lang w:val="en-US"/>
              </w:rPr>
              <w:t>-05</w:t>
            </w:r>
          </w:p>
        </w:tc>
        <w:tc>
          <w:tcPr>
            <w:tcW w:w="565" w:type="pct"/>
            <w:shd w:val="clear" w:color="auto" w:fill="FFFFFF" w:themeFill="background1"/>
            <w:noWrap/>
            <w:hideMark/>
          </w:tcPr>
          <w:p w14:paraId="6D980B65"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3.15E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7CFA0ABD"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4.89E</w:t>
            </w:r>
            <w:r w:rsidRPr="00AD6219">
              <w:rPr>
                <w:rFonts w:eastAsia="Calibri" w:cs="Arial"/>
                <w:sz w:val="16"/>
                <w:szCs w:val="16"/>
                <w:vertAlign w:val="superscript"/>
                <w:lang w:val="en-US"/>
              </w:rPr>
              <w:t>-06</w:t>
            </w:r>
          </w:p>
        </w:tc>
        <w:tc>
          <w:tcPr>
            <w:tcW w:w="566" w:type="pct"/>
            <w:shd w:val="clear" w:color="auto" w:fill="FFFFFF" w:themeFill="background1"/>
            <w:noWrap/>
            <w:hideMark/>
          </w:tcPr>
          <w:p w14:paraId="1F7AE7FA"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5.39E</w:t>
            </w:r>
            <w:r w:rsidRPr="00AD6219">
              <w:rPr>
                <w:rFonts w:eastAsia="Calibri" w:cs="Arial"/>
                <w:sz w:val="16"/>
                <w:szCs w:val="16"/>
                <w:vertAlign w:val="superscript"/>
                <w:lang w:val="en-US"/>
              </w:rPr>
              <w:t>-05</w:t>
            </w:r>
          </w:p>
        </w:tc>
      </w:tr>
      <w:tr w:rsidR="00AD6219" w:rsidRPr="00AD6219" w14:paraId="0F1E84E2" w14:textId="77777777" w:rsidTr="00646C3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61" w:type="pct"/>
            <w:shd w:val="clear" w:color="auto" w:fill="FFFFFF" w:themeFill="background1"/>
            <w:noWrap/>
            <w:hideMark/>
          </w:tcPr>
          <w:p w14:paraId="3EBCB212" w14:textId="77777777" w:rsidR="001875F0" w:rsidRPr="00AD6219" w:rsidRDefault="001875F0" w:rsidP="00AD6219">
            <w:pPr>
              <w:tabs>
                <w:tab w:val="clear" w:pos="7100"/>
              </w:tabs>
              <w:spacing w:line="480" w:lineRule="auto"/>
              <w:jc w:val="center"/>
              <w:rPr>
                <w:rFonts w:cs="Arial"/>
                <w:b w:val="0"/>
                <w:bCs w:val="0"/>
                <w:sz w:val="16"/>
                <w:szCs w:val="16"/>
                <w:lang w:val="en-US" w:eastAsia="es-CO"/>
              </w:rPr>
            </w:pPr>
            <w:r w:rsidRPr="00AD6219">
              <w:rPr>
                <w:rFonts w:cs="Arial"/>
                <w:b w:val="0"/>
                <w:bCs w:val="0"/>
                <w:sz w:val="16"/>
                <w:szCs w:val="16"/>
                <w:lang w:val="en-US" w:eastAsia="es-CO"/>
              </w:rPr>
              <w:t>M4</w:t>
            </w:r>
          </w:p>
        </w:tc>
        <w:tc>
          <w:tcPr>
            <w:tcW w:w="513" w:type="pct"/>
            <w:shd w:val="clear" w:color="auto" w:fill="FFFFFF" w:themeFill="background1"/>
            <w:noWrap/>
            <w:hideMark/>
          </w:tcPr>
          <w:p w14:paraId="680832EE"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2.37E</w:t>
            </w:r>
            <w:r w:rsidRPr="00AD6219">
              <w:rPr>
                <w:rFonts w:eastAsia="Calibri" w:cs="Arial"/>
                <w:sz w:val="16"/>
                <w:szCs w:val="16"/>
                <w:vertAlign w:val="superscript"/>
                <w:lang w:val="en-US"/>
              </w:rPr>
              <w:t>-06</w:t>
            </w:r>
          </w:p>
        </w:tc>
        <w:tc>
          <w:tcPr>
            <w:tcW w:w="564" w:type="pct"/>
            <w:shd w:val="clear" w:color="auto" w:fill="FFFFFF" w:themeFill="background1"/>
            <w:noWrap/>
            <w:hideMark/>
          </w:tcPr>
          <w:p w14:paraId="1D96BEDD"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5.34E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3B24D510"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1.89E</w:t>
            </w:r>
            <w:r w:rsidRPr="00AD6219">
              <w:rPr>
                <w:rFonts w:eastAsia="Calibri" w:cs="Arial"/>
                <w:sz w:val="16"/>
                <w:szCs w:val="16"/>
                <w:vertAlign w:val="superscript"/>
                <w:lang w:val="en-US"/>
              </w:rPr>
              <w:t>-05</w:t>
            </w:r>
          </w:p>
        </w:tc>
        <w:tc>
          <w:tcPr>
            <w:tcW w:w="587" w:type="pct"/>
            <w:shd w:val="clear" w:color="auto" w:fill="FFFFFF" w:themeFill="background1"/>
            <w:noWrap/>
            <w:hideMark/>
          </w:tcPr>
          <w:p w14:paraId="0F0EAA2C"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2.12E</w:t>
            </w:r>
            <w:r w:rsidRPr="00AD6219">
              <w:rPr>
                <w:rFonts w:eastAsia="Calibri" w:cs="Arial"/>
                <w:sz w:val="16"/>
                <w:szCs w:val="16"/>
                <w:vertAlign w:val="superscript"/>
                <w:lang w:val="en-US"/>
              </w:rPr>
              <w:t>-05</w:t>
            </w:r>
          </w:p>
        </w:tc>
        <w:tc>
          <w:tcPr>
            <w:tcW w:w="563" w:type="pct"/>
            <w:shd w:val="clear" w:color="auto" w:fill="FFFFFF" w:themeFill="background1"/>
            <w:noWrap/>
            <w:hideMark/>
          </w:tcPr>
          <w:p w14:paraId="40A307EA"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4.81E</w:t>
            </w:r>
            <w:r w:rsidRPr="00AD6219">
              <w:rPr>
                <w:rFonts w:eastAsia="Calibri" w:cs="Arial"/>
                <w:sz w:val="16"/>
                <w:szCs w:val="16"/>
                <w:vertAlign w:val="superscript"/>
                <w:lang w:val="en-US"/>
              </w:rPr>
              <w:t>-05</w:t>
            </w:r>
          </w:p>
        </w:tc>
        <w:tc>
          <w:tcPr>
            <w:tcW w:w="565" w:type="pct"/>
            <w:shd w:val="clear" w:color="auto" w:fill="FFFFFF" w:themeFill="background1"/>
            <w:noWrap/>
            <w:hideMark/>
          </w:tcPr>
          <w:p w14:paraId="4973831C"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3.10E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6F79A09C"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4.81E</w:t>
            </w:r>
            <w:r w:rsidRPr="00AD6219">
              <w:rPr>
                <w:rFonts w:eastAsia="Calibri" w:cs="Arial"/>
                <w:sz w:val="16"/>
                <w:szCs w:val="16"/>
                <w:vertAlign w:val="superscript"/>
                <w:lang w:val="en-US"/>
              </w:rPr>
              <w:t>-06</w:t>
            </w:r>
          </w:p>
        </w:tc>
        <w:tc>
          <w:tcPr>
            <w:tcW w:w="566" w:type="pct"/>
            <w:shd w:val="clear" w:color="auto" w:fill="FFFFFF" w:themeFill="background1"/>
            <w:noWrap/>
            <w:hideMark/>
          </w:tcPr>
          <w:p w14:paraId="28137FE7"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5.30E</w:t>
            </w:r>
            <w:r w:rsidRPr="00AD6219">
              <w:rPr>
                <w:rFonts w:eastAsia="Calibri" w:cs="Arial"/>
                <w:sz w:val="16"/>
                <w:szCs w:val="16"/>
                <w:vertAlign w:val="superscript"/>
                <w:lang w:val="en-US"/>
              </w:rPr>
              <w:t>-05</w:t>
            </w:r>
          </w:p>
        </w:tc>
      </w:tr>
      <w:tr w:rsidR="00646C38" w:rsidRPr="00AD6219" w14:paraId="401BA785" w14:textId="77777777" w:rsidTr="00646C38">
        <w:trPr>
          <w:trHeight w:val="178"/>
        </w:trPr>
        <w:tc>
          <w:tcPr>
            <w:cnfStyle w:val="001000000000" w:firstRow="0" w:lastRow="0" w:firstColumn="1" w:lastColumn="0" w:oddVBand="0" w:evenVBand="0" w:oddHBand="0" w:evenHBand="0" w:firstRowFirstColumn="0" w:firstRowLastColumn="0" w:lastRowFirstColumn="0" w:lastRowLastColumn="0"/>
            <w:tcW w:w="561" w:type="pct"/>
            <w:shd w:val="clear" w:color="auto" w:fill="FFFFFF" w:themeFill="background1"/>
            <w:noWrap/>
            <w:hideMark/>
          </w:tcPr>
          <w:p w14:paraId="20DC7BEA" w14:textId="77777777" w:rsidR="001875F0" w:rsidRPr="00AD6219" w:rsidRDefault="001875F0" w:rsidP="00AD6219">
            <w:pPr>
              <w:tabs>
                <w:tab w:val="clear" w:pos="7100"/>
              </w:tabs>
              <w:spacing w:line="480" w:lineRule="auto"/>
              <w:jc w:val="center"/>
              <w:rPr>
                <w:rFonts w:cs="Arial"/>
                <w:b w:val="0"/>
                <w:bCs w:val="0"/>
                <w:sz w:val="16"/>
                <w:szCs w:val="16"/>
                <w:lang w:val="en-US" w:eastAsia="es-CO"/>
              </w:rPr>
            </w:pPr>
            <w:r w:rsidRPr="00AD6219">
              <w:rPr>
                <w:rFonts w:cs="Arial"/>
                <w:b w:val="0"/>
                <w:bCs w:val="0"/>
                <w:sz w:val="16"/>
                <w:szCs w:val="16"/>
                <w:lang w:val="en-US" w:eastAsia="es-CO"/>
              </w:rPr>
              <w:t>M5</w:t>
            </w:r>
          </w:p>
        </w:tc>
        <w:tc>
          <w:tcPr>
            <w:tcW w:w="513" w:type="pct"/>
            <w:shd w:val="clear" w:color="auto" w:fill="FFFFFF" w:themeFill="background1"/>
            <w:noWrap/>
            <w:hideMark/>
          </w:tcPr>
          <w:p w14:paraId="458A811F"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2.48E</w:t>
            </w:r>
            <w:r w:rsidRPr="00AD6219">
              <w:rPr>
                <w:rFonts w:eastAsia="Calibri" w:cs="Arial"/>
                <w:sz w:val="16"/>
                <w:szCs w:val="16"/>
                <w:vertAlign w:val="superscript"/>
                <w:lang w:val="en-US"/>
              </w:rPr>
              <w:t>-06</w:t>
            </w:r>
          </w:p>
        </w:tc>
        <w:tc>
          <w:tcPr>
            <w:tcW w:w="564" w:type="pct"/>
            <w:shd w:val="clear" w:color="auto" w:fill="FFFFFF" w:themeFill="background1"/>
            <w:noWrap/>
            <w:hideMark/>
          </w:tcPr>
          <w:p w14:paraId="6D88562E"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1.52E</w:t>
            </w:r>
            <w:r w:rsidRPr="00AD6219">
              <w:rPr>
                <w:rFonts w:eastAsia="Calibri" w:cs="Arial"/>
                <w:sz w:val="16"/>
                <w:szCs w:val="16"/>
                <w:vertAlign w:val="superscript"/>
                <w:lang w:val="en-US"/>
              </w:rPr>
              <w:t>-09</w:t>
            </w:r>
          </w:p>
        </w:tc>
        <w:tc>
          <w:tcPr>
            <w:tcW w:w="540" w:type="pct"/>
            <w:shd w:val="clear" w:color="auto" w:fill="FFFFFF" w:themeFill="background1"/>
            <w:noWrap/>
            <w:hideMark/>
          </w:tcPr>
          <w:p w14:paraId="225F0D56"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5.37E</w:t>
            </w:r>
            <w:r w:rsidRPr="00AD6219">
              <w:rPr>
                <w:rFonts w:eastAsia="Calibri" w:cs="Arial"/>
                <w:sz w:val="16"/>
                <w:szCs w:val="16"/>
                <w:vertAlign w:val="superscript"/>
                <w:lang w:val="en-US"/>
              </w:rPr>
              <w:t>-06</w:t>
            </w:r>
          </w:p>
        </w:tc>
        <w:tc>
          <w:tcPr>
            <w:tcW w:w="587" w:type="pct"/>
            <w:shd w:val="clear" w:color="auto" w:fill="FFFFFF" w:themeFill="background1"/>
            <w:noWrap/>
            <w:hideMark/>
          </w:tcPr>
          <w:p w14:paraId="338F6200"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7.86E</w:t>
            </w:r>
            <w:r w:rsidRPr="00AD6219">
              <w:rPr>
                <w:rFonts w:eastAsia="Calibri" w:cs="Arial"/>
                <w:sz w:val="16"/>
                <w:szCs w:val="16"/>
                <w:vertAlign w:val="superscript"/>
                <w:lang w:val="en-US"/>
              </w:rPr>
              <w:t>-06</w:t>
            </w:r>
          </w:p>
        </w:tc>
        <w:tc>
          <w:tcPr>
            <w:tcW w:w="563" w:type="pct"/>
            <w:shd w:val="clear" w:color="auto" w:fill="FFFFFF" w:themeFill="background1"/>
            <w:noWrap/>
            <w:hideMark/>
          </w:tcPr>
          <w:p w14:paraId="1EAF77F6"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1.37E</w:t>
            </w:r>
            <w:r w:rsidRPr="00AD6219">
              <w:rPr>
                <w:rFonts w:eastAsia="Calibri" w:cs="Arial"/>
                <w:sz w:val="16"/>
                <w:szCs w:val="16"/>
                <w:vertAlign w:val="superscript"/>
                <w:lang w:val="en-US"/>
              </w:rPr>
              <w:t>-05</w:t>
            </w:r>
          </w:p>
        </w:tc>
        <w:tc>
          <w:tcPr>
            <w:tcW w:w="565" w:type="pct"/>
            <w:shd w:val="clear" w:color="auto" w:fill="FFFFFF" w:themeFill="background1"/>
            <w:noWrap/>
            <w:hideMark/>
          </w:tcPr>
          <w:p w14:paraId="4C99E9AA"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8.82E</w:t>
            </w:r>
            <w:r w:rsidRPr="00AD6219">
              <w:rPr>
                <w:rFonts w:eastAsia="Calibri" w:cs="Arial"/>
                <w:sz w:val="16"/>
                <w:szCs w:val="16"/>
                <w:vertAlign w:val="superscript"/>
                <w:lang w:val="en-US"/>
              </w:rPr>
              <w:t>-10</w:t>
            </w:r>
          </w:p>
        </w:tc>
        <w:tc>
          <w:tcPr>
            <w:tcW w:w="540" w:type="pct"/>
            <w:shd w:val="clear" w:color="auto" w:fill="FFFFFF" w:themeFill="background1"/>
            <w:noWrap/>
            <w:hideMark/>
          </w:tcPr>
          <w:p w14:paraId="47A5FBAB"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1.37E</w:t>
            </w:r>
            <w:r w:rsidRPr="00AD6219">
              <w:rPr>
                <w:rFonts w:eastAsia="Calibri" w:cs="Arial"/>
                <w:sz w:val="16"/>
                <w:szCs w:val="16"/>
                <w:vertAlign w:val="superscript"/>
                <w:lang w:val="en-US"/>
              </w:rPr>
              <w:t>-06</w:t>
            </w:r>
          </w:p>
        </w:tc>
        <w:tc>
          <w:tcPr>
            <w:tcW w:w="566" w:type="pct"/>
            <w:shd w:val="clear" w:color="auto" w:fill="FFFFFF" w:themeFill="background1"/>
            <w:noWrap/>
            <w:hideMark/>
          </w:tcPr>
          <w:p w14:paraId="45B4B1F4" w14:textId="77777777" w:rsidR="001875F0" w:rsidRPr="00AD6219" w:rsidRDefault="001875F0" w:rsidP="00AD6219">
            <w:pPr>
              <w:tabs>
                <w:tab w:val="clear" w:pos="7100"/>
              </w:tabs>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1.51E</w:t>
            </w:r>
            <w:r w:rsidRPr="00AD6219">
              <w:rPr>
                <w:rFonts w:eastAsia="Calibri" w:cs="Arial"/>
                <w:sz w:val="16"/>
                <w:szCs w:val="16"/>
                <w:vertAlign w:val="superscript"/>
                <w:lang w:val="en-US"/>
              </w:rPr>
              <w:t>-05</w:t>
            </w:r>
          </w:p>
        </w:tc>
      </w:tr>
      <w:tr w:rsidR="00AD6219" w:rsidRPr="00AD6219" w14:paraId="4846DBCB" w14:textId="77777777" w:rsidTr="00646C38">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61" w:type="pct"/>
            <w:tcBorders>
              <w:bottom w:val="single" w:sz="24" w:space="0" w:color="9BBB59" w:themeColor="accent3"/>
            </w:tcBorders>
            <w:shd w:val="clear" w:color="auto" w:fill="FFFFFF" w:themeFill="background1"/>
            <w:noWrap/>
            <w:hideMark/>
          </w:tcPr>
          <w:p w14:paraId="7FF676E6" w14:textId="77777777" w:rsidR="001875F0" w:rsidRPr="00AD6219" w:rsidRDefault="001875F0" w:rsidP="00AD6219">
            <w:pPr>
              <w:tabs>
                <w:tab w:val="clear" w:pos="7100"/>
              </w:tabs>
              <w:spacing w:line="480" w:lineRule="auto"/>
              <w:jc w:val="center"/>
              <w:rPr>
                <w:rFonts w:cs="Arial"/>
                <w:b w:val="0"/>
                <w:bCs w:val="0"/>
                <w:sz w:val="16"/>
                <w:szCs w:val="16"/>
                <w:lang w:val="en-US" w:eastAsia="es-CO"/>
              </w:rPr>
            </w:pPr>
            <w:r w:rsidRPr="00AD6219">
              <w:rPr>
                <w:rFonts w:cs="Arial"/>
                <w:b w:val="0"/>
                <w:bCs w:val="0"/>
                <w:sz w:val="16"/>
                <w:szCs w:val="16"/>
                <w:lang w:val="en-US" w:eastAsia="es-CO"/>
              </w:rPr>
              <w:t>M6</w:t>
            </w:r>
          </w:p>
        </w:tc>
        <w:tc>
          <w:tcPr>
            <w:tcW w:w="513" w:type="pct"/>
            <w:tcBorders>
              <w:bottom w:val="single" w:sz="24" w:space="0" w:color="9BBB59" w:themeColor="accent3"/>
            </w:tcBorders>
            <w:shd w:val="clear" w:color="auto" w:fill="FFFFFF" w:themeFill="background1"/>
            <w:noWrap/>
            <w:hideMark/>
          </w:tcPr>
          <w:p w14:paraId="2D3C50BD"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1.94E</w:t>
            </w:r>
            <w:r w:rsidRPr="00AD6219">
              <w:rPr>
                <w:rFonts w:eastAsia="Calibri" w:cs="Arial"/>
                <w:sz w:val="16"/>
                <w:szCs w:val="16"/>
                <w:vertAlign w:val="superscript"/>
                <w:lang w:val="en-US"/>
              </w:rPr>
              <w:t>-06</w:t>
            </w:r>
          </w:p>
        </w:tc>
        <w:tc>
          <w:tcPr>
            <w:tcW w:w="564" w:type="pct"/>
            <w:tcBorders>
              <w:bottom w:val="single" w:sz="24" w:space="0" w:color="9BBB59" w:themeColor="accent3"/>
            </w:tcBorders>
            <w:shd w:val="clear" w:color="auto" w:fill="FFFFFF" w:themeFill="background1"/>
            <w:noWrap/>
            <w:hideMark/>
          </w:tcPr>
          <w:p w14:paraId="7DF22DCF"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1.29E</w:t>
            </w:r>
            <w:r w:rsidRPr="00AD6219">
              <w:rPr>
                <w:rFonts w:eastAsia="Calibri" w:cs="Arial"/>
                <w:sz w:val="16"/>
                <w:szCs w:val="16"/>
                <w:vertAlign w:val="superscript"/>
                <w:lang w:val="en-US"/>
              </w:rPr>
              <w:t>-09</w:t>
            </w:r>
          </w:p>
        </w:tc>
        <w:tc>
          <w:tcPr>
            <w:tcW w:w="540" w:type="pct"/>
            <w:tcBorders>
              <w:bottom w:val="single" w:sz="24" w:space="0" w:color="9BBB59" w:themeColor="accent3"/>
            </w:tcBorders>
            <w:shd w:val="clear" w:color="auto" w:fill="FFFFFF" w:themeFill="background1"/>
            <w:noWrap/>
            <w:hideMark/>
          </w:tcPr>
          <w:p w14:paraId="4ED46585"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4.56E</w:t>
            </w:r>
            <w:r w:rsidRPr="00AD6219">
              <w:rPr>
                <w:rFonts w:eastAsia="Calibri" w:cs="Arial"/>
                <w:sz w:val="16"/>
                <w:szCs w:val="16"/>
                <w:vertAlign w:val="superscript"/>
                <w:lang w:val="en-US"/>
              </w:rPr>
              <w:t>-06</w:t>
            </w:r>
          </w:p>
        </w:tc>
        <w:tc>
          <w:tcPr>
            <w:tcW w:w="587" w:type="pct"/>
            <w:tcBorders>
              <w:bottom w:val="single" w:sz="24" w:space="0" w:color="9BBB59" w:themeColor="accent3"/>
            </w:tcBorders>
            <w:shd w:val="clear" w:color="auto" w:fill="FFFFFF" w:themeFill="background1"/>
            <w:noWrap/>
            <w:hideMark/>
          </w:tcPr>
          <w:p w14:paraId="45477AF4"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6.50E</w:t>
            </w:r>
            <w:r w:rsidRPr="00AD6219">
              <w:rPr>
                <w:rFonts w:eastAsia="Calibri" w:cs="Arial"/>
                <w:sz w:val="16"/>
                <w:szCs w:val="16"/>
                <w:vertAlign w:val="superscript"/>
                <w:lang w:val="en-US"/>
              </w:rPr>
              <w:t>-06</w:t>
            </w:r>
          </w:p>
        </w:tc>
        <w:tc>
          <w:tcPr>
            <w:tcW w:w="563" w:type="pct"/>
            <w:tcBorders>
              <w:bottom w:val="single" w:sz="24" w:space="0" w:color="9BBB59" w:themeColor="accent3"/>
            </w:tcBorders>
            <w:shd w:val="clear" w:color="auto" w:fill="FFFFFF" w:themeFill="background1"/>
            <w:noWrap/>
            <w:hideMark/>
          </w:tcPr>
          <w:p w14:paraId="6244C219"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1.16E</w:t>
            </w:r>
            <w:r w:rsidRPr="00AD6219">
              <w:rPr>
                <w:rFonts w:eastAsia="Calibri" w:cs="Arial"/>
                <w:sz w:val="16"/>
                <w:szCs w:val="16"/>
                <w:vertAlign w:val="superscript"/>
                <w:lang w:val="en-US"/>
              </w:rPr>
              <w:t>-05</w:t>
            </w:r>
          </w:p>
        </w:tc>
        <w:tc>
          <w:tcPr>
            <w:tcW w:w="565" w:type="pct"/>
            <w:tcBorders>
              <w:bottom w:val="single" w:sz="24" w:space="0" w:color="9BBB59" w:themeColor="accent3"/>
            </w:tcBorders>
            <w:shd w:val="clear" w:color="auto" w:fill="FFFFFF" w:themeFill="background1"/>
            <w:noWrap/>
            <w:hideMark/>
          </w:tcPr>
          <w:p w14:paraId="02D722A9"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7.49E</w:t>
            </w:r>
            <w:r w:rsidRPr="00AD6219">
              <w:rPr>
                <w:rFonts w:eastAsia="Calibri" w:cs="Arial"/>
                <w:sz w:val="16"/>
                <w:szCs w:val="16"/>
                <w:vertAlign w:val="superscript"/>
                <w:lang w:val="en-US"/>
              </w:rPr>
              <w:t>-10</w:t>
            </w:r>
          </w:p>
        </w:tc>
        <w:tc>
          <w:tcPr>
            <w:tcW w:w="540" w:type="pct"/>
            <w:tcBorders>
              <w:bottom w:val="single" w:sz="24" w:space="0" w:color="9BBB59" w:themeColor="accent3"/>
            </w:tcBorders>
            <w:shd w:val="clear" w:color="auto" w:fill="FFFFFF" w:themeFill="background1"/>
            <w:noWrap/>
            <w:hideMark/>
          </w:tcPr>
          <w:p w14:paraId="12595E40"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1.16E</w:t>
            </w:r>
            <w:r w:rsidRPr="00AD6219">
              <w:rPr>
                <w:rFonts w:eastAsia="Calibri" w:cs="Arial"/>
                <w:sz w:val="16"/>
                <w:szCs w:val="16"/>
                <w:vertAlign w:val="superscript"/>
                <w:lang w:val="en-US"/>
              </w:rPr>
              <w:t>-06</w:t>
            </w:r>
          </w:p>
        </w:tc>
        <w:tc>
          <w:tcPr>
            <w:tcW w:w="566" w:type="pct"/>
            <w:tcBorders>
              <w:bottom w:val="single" w:sz="24" w:space="0" w:color="9BBB59" w:themeColor="accent3"/>
            </w:tcBorders>
            <w:shd w:val="clear" w:color="auto" w:fill="FFFFFF" w:themeFill="background1"/>
            <w:noWrap/>
            <w:hideMark/>
          </w:tcPr>
          <w:p w14:paraId="09818137" w14:textId="77777777" w:rsidR="001875F0" w:rsidRPr="00AD6219" w:rsidRDefault="001875F0" w:rsidP="00AD6219">
            <w:pPr>
              <w:tabs>
                <w:tab w:val="clear" w:pos="7100"/>
              </w:tabs>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cs="Arial"/>
                <w:sz w:val="16"/>
                <w:szCs w:val="16"/>
                <w:lang w:val="en-US"/>
              </w:rPr>
            </w:pPr>
            <w:r w:rsidRPr="00AD6219">
              <w:rPr>
                <w:rFonts w:eastAsia="Calibri" w:cs="Arial"/>
                <w:sz w:val="16"/>
                <w:szCs w:val="16"/>
                <w:lang w:val="en-US"/>
              </w:rPr>
              <w:t>1.28E</w:t>
            </w:r>
            <w:r w:rsidRPr="00AD6219">
              <w:rPr>
                <w:rFonts w:eastAsia="Calibri" w:cs="Arial"/>
                <w:sz w:val="16"/>
                <w:szCs w:val="16"/>
                <w:vertAlign w:val="superscript"/>
                <w:lang w:val="en-US"/>
              </w:rPr>
              <w:t>-05</w:t>
            </w:r>
          </w:p>
        </w:tc>
      </w:tr>
    </w:tbl>
    <w:p w14:paraId="53E92516" w14:textId="77777777" w:rsidR="001875F0" w:rsidRPr="00874BA9" w:rsidRDefault="001875F0" w:rsidP="002F57C9">
      <w:pPr>
        <w:pStyle w:val="CETHeadingxx"/>
      </w:pPr>
    </w:p>
    <w:p w14:paraId="03775C22" w14:textId="3C799C2C" w:rsidR="00D31810" w:rsidRPr="00AD6219" w:rsidRDefault="00D31810" w:rsidP="00AD6219">
      <w:pPr>
        <w:pStyle w:val="CETHeadingxx"/>
        <w:jc w:val="both"/>
        <w:rPr>
          <w:b/>
          <w:bCs w:val="0"/>
        </w:rPr>
      </w:pPr>
      <w:r w:rsidRPr="00AD6219">
        <w:rPr>
          <w:b/>
          <w:bCs w:val="0"/>
        </w:rPr>
        <w:t>Conclusions</w:t>
      </w:r>
    </w:p>
    <w:p w14:paraId="724EE1E7" w14:textId="320F4F30" w:rsidR="001875F0" w:rsidRDefault="00D31810" w:rsidP="00AD6219">
      <w:pPr>
        <w:pStyle w:val="CETHeadingxx"/>
        <w:jc w:val="both"/>
      </w:pPr>
      <w:r w:rsidRPr="00874BA9">
        <w:t xml:space="preserve">All sediment samples had concentrations of DDT and its metabolites, which indicates historical contributions, since this insecticide used to control malaria, dengue, Chagas disease and yellow fever, was banned in Colombia in 1994. The absorption of DDT in sediments and its slow degradation allows </w:t>
      </w:r>
      <w:r w:rsidR="00874BA9" w:rsidRPr="00874BA9">
        <w:t>organochlorine pesticides</w:t>
      </w:r>
      <w:r w:rsidRPr="00874BA9">
        <w:t xml:space="preserve"> residues to continue to be found in freshwater resources, with the potential risk to health. Heptachlor and heptachlor epoxide represented a greater risk for cancer in children and adults in this study, with children being more sensitive, therefore, local authorities should take actions to reduce </w:t>
      </w:r>
      <w:r w:rsidR="00874BA9" w:rsidRPr="00874BA9">
        <w:t>organochlorine pesticides</w:t>
      </w:r>
      <w:r w:rsidRPr="00874BA9">
        <w:t xml:space="preserve">   contamination in the environment.</w:t>
      </w:r>
    </w:p>
    <w:p w14:paraId="6F1412AD" w14:textId="77777777" w:rsidR="0067297E" w:rsidRDefault="0067297E" w:rsidP="00AD6219">
      <w:pPr>
        <w:pStyle w:val="CETHeadingxx"/>
        <w:jc w:val="both"/>
      </w:pPr>
    </w:p>
    <w:p w14:paraId="647E4095" w14:textId="748B36C7" w:rsidR="007D6C16" w:rsidRPr="0067297E" w:rsidRDefault="0067297E" w:rsidP="00AD6219">
      <w:pPr>
        <w:pStyle w:val="CETHeadingxx"/>
        <w:jc w:val="both"/>
        <w:rPr>
          <w:b/>
          <w:bCs w:val="0"/>
        </w:rPr>
      </w:pPr>
      <w:r w:rsidRPr="0067297E">
        <w:rPr>
          <w:b/>
          <w:bCs w:val="0"/>
        </w:rPr>
        <w:t>Acknowledgments</w:t>
      </w:r>
    </w:p>
    <w:p w14:paraId="7FDB9FFE" w14:textId="1434B3B6" w:rsidR="0067297E" w:rsidRDefault="00E34DDD" w:rsidP="0067297E">
      <w:pPr>
        <w:pStyle w:val="CETListbullets"/>
        <w:ind w:left="0" w:firstLine="0"/>
        <w:rPr>
          <w:rFonts w:cs="Arial"/>
          <w:szCs w:val="18"/>
          <w:lang w:val="en-US"/>
        </w:rPr>
      </w:pPr>
      <w:r>
        <w:rPr>
          <w:rFonts w:cs="Arial"/>
          <w:szCs w:val="18"/>
          <w:lang w:val="en-US"/>
        </w:rPr>
        <w:t>Vice-Rectory for Research at the University of Cartagena-Colombia, s</w:t>
      </w:r>
      <w:r w:rsidRPr="00E34DDD">
        <w:rPr>
          <w:rFonts w:cs="Arial"/>
          <w:szCs w:val="18"/>
          <w:lang w:val="en-US"/>
        </w:rPr>
        <w:t xml:space="preserve">upport </w:t>
      </w:r>
      <w:r>
        <w:rPr>
          <w:rFonts w:cs="Arial"/>
          <w:szCs w:val="18"/>
          <w:lang w:val="en-US"/>
        </w:rPr>
        <w:t>Research Group</w:t>
      </w:r>
      <w:r w:rsidRPr="00E34DDD">
        <w:rPr>
          <w:rFonts w:cs="Arial"/>
          <w:szCs w:val="18"/>
          <w:lang w:val="en-US"/>
        </w:rPr>
        <w:t xml:space="preserve"> </w:t>
      </w:r>
      <w:r w:rsidR="0067297E">
        <w:rPr>
          <w:rFonts w:cs="Arial"/>
          <w:szCs w:val="18"/>
          <w:lang w:val="en-US"/>
        </w:rPr>
        <w:t>BIOTOXAM</w:t>
      </w:r>
      <w:r>
        <w:rPr>
          <w:rFonts w:cs="Arial"/>
          <w:szCs w:val="18"/>
          <w:lang w:val="en-US"/>
        </w:rPr>
        <w:t xml:space="preserve"> </w:t>
      </w:r>
      <w:r w:rsidR="0067297E">
        <w:rPr>
          <w:rFonts w:cs="Arial"/>
          <w:szCs w:val="18"/>
          <w:lang w:val="en-US"/>
        </w:rPr>
        <w:t xml:space="preserve">Grant </w:t>
      </w:r>
      <w:r w:rsidR="0067297E">
        <w:rPr>
          <w:rFonts w:cs="Arial"/>
          <w:color w:val="000000" w:themeColor="text1"/>
          <w:szCs w:val="18"/>
          <w:lang w:val="en-US"/>
        </w:rPr>
        <w:t xml:space="preserve">N° </w:t>
      </w:r>
      <w:r>
        <w:rPr>
          <w:rFonts w:cs="Arial"/>
          <w:bCs/>
          <w:color w:val="000000" w:themeColor="text1"/>
          <w:szCs w:val="18"/>
          <w:lang w:val="en-US"/>
        </w:rPr>
        <w:t>003A</w:t>
      </w:r>
      <w:r w:rsidR="0067297E">
        <w:rPr>
          <w:rFonts w:cs="Arial"/>
          <w:bCs/>
          <w:color w:val="000000" w:themeColor="text1"/>
          <w:szCs w:val="18"/>
          <w:lang w:val="en-US"/>
        </w:rPr>
        <w:t>-202</w:t>
      </w:r>
      <w:r>
        <w:rPr>
          <w:rFonts w:cs="Arial"/>
          <w:bCs/>
          <w:color w:val="000000" w:themeColor="text1"/>
          <w:szCs w:val="18"/>
          <w:lang w:val="en-US"/>
        </w:rPr>
        <w:t>2</w:t>
      </w:r>
      <w:r w:rsidR="0067297E">
        <w:rPr>
          <w:rFonts w:cs="Arial"/>
          <w:szCs w:val="18"/>
          <w:lang w:val="en-US"/>
        </w:rPr>
        <w:t xml:space="preserve">, Resolution No. </w:t>
      </w:r>
      <w:r>
        <w:rPr>
          <w:rFonts w:cs="Arial"/>
          <w:szCs w:val="18"/>
          <w:lang w:val="en-US"/>
        </w:rPr>
        <w:t>01388</w:t>
      </w:r>
      <w:r w:rsidR="0067297E">
        <w:rPr>
          <w:rFonts w:cs="Arial"/>
          <w:szCs w:val="18"/>
          <w:lang w:val="en-US"/>
        </w:rPr>
        <w:t xml:space="preserve"> </w:t>
      </w:r>
      <w:r>
        <w:rPr>
          <w:rFonts w:cs="Arial"/>
          <w:szCs w:val="18"/>
          <w:lang w:val="en-US"/>
        </w:rPr>
        <w:t>august 31</w:t>
      </w:r>
      <w:r w:rsidR="0067297E">
        <w:rPr>
          <w:rFonts w:cs="Arial"/>
          <w:szCs w:val="18"/>
          <w:lang w:val="en-US"/>
        </w:rPr>
        <w:t>, 202</w:t>
      </w:r>
      <w:r>
        <w:rPr>
          <w:rFonts w:cs="Arial"/>
          <w:szCs w:val="18"/>
          <w:lang w:val="en-US"/>
        </w:rPr>
        <w:t>1.</w:t>
      </w:r>
      <w:r w:rsidR="0067297E">
        <w:rPr>
          <w:rFonts w:cs="Arial"/>
          <w:szCs w:val="18"/>
          <w:lang w:val="en-US"/>
        </w:rPr>
        <w:t xml:space="preserve"> Chemical Engineering Program University of Cartagena, Colombia. National Program for Doctoral Formation Minciencias Grant 727- 2015.</w:t>
      </w:r>
    </w:p>
    <w:p w14:paraId="14A391B5" w14:textId="77777777" w:rsidR="0067297E" w:rsidRDefault="0067297E" w:rsidP="00AD6219">
      <w:pPr>
        <w:pStyle w:val="CETHeadingxx"/>
        <w:jc w:val="both"/>
      </w:pPr>
    </w:p>
    <w:p w14:paraId="4F1327F8" w14:textId="77777777" w:rsidR="00600535" w:rsidRPr="00874BA9" w:rsidRDefault="00600535" w:rsidP="00600535">
      <w:pPr>
        <w:pStyle w:val="CETReference"/>
        <w:rPr>
          <w:lang w:val="en-US"/>
        </w:rPr>
      </w:pPr>
      <w:r w:rsidRPr="00874BA9">
        <w:rPr>
          <w:lang w:val="en-US"/>
        </w:rPr>
        <w:t>References</w:t>
      </w:r>
    </w:p>
    <w:p w14:paraId="28E8379D" w14:textId="77777777" w:rsidR="00C52C3C" w:rsidRPr="00874BA9" w:rsidRDefault="00C52C3C" w:rsidP="00E65B91">
      <w:pPr>
        <w:pStyle w:val="CETReferencetext"/>
        <w:rPr>
          <w:lang w:val="en-US"/>
        </w:rPr>
      </w:pPr>
    </w:p>
    <w:p w14:paraId="3219DBAD" w14:textId="3360A0D5" w:rsidR="006D00D4" w:rsidRPr="00874BA9" w:rsidRDefault="006D00D4" w:rsidP="00AD6219">
      <w:pPr>
        <w:pStyle w:val="CETReferencetext"/>
        <w:rPr>
          <w:lang w:val="en-US"/>
        </w:rPr>
      </w:pPr>
      <w:r w:rsidRPr="00874BA9">
        <w:rPr>
          <w:lang w:val="en-US"/>
        </w:rPr>
        <w:t xml:space="preserve">Calva, Laura Georgina; Torres MDR. Plaguicidas organoclorados. Contactos. </w:t>
      </w:r>
      <w:r w:rsidR="00874BA9" w:rsidRPr="00874BA9">
        <w:rPr>
          <w:lang w:val="en-US"/>
        </w:rPr>
        <w:t>1998; 30:35</w:t>
      </w:r>
      <w:r w:rsidRPr="00874BA9">
        <w:rPr>
          <w:lang w:val="en-US"/>
        </w:rPr>
        <w:t>–46</w:t>
      </w:r>
    </w:p>
    <w:p w14:paraId="250D3BC3" w14:textId="77777777" w:rsidR="006D00D4" w:rsidRPr="00874BA9" w:rsidRDefault="006D00D4" w:rsidP="00AD6219">
      <w:pPr>
        <w:pStyle w:val="CETReferencetext"/>
        <w:rPr>
          <w:lang w:val="en-US"/>
        </w:rPr>
      </w:pPr>
      <w:r w:rsidRPr="00874BA9">
        <w:rPr>
          <w:lang w:val="en-US"/>
        </w:rPr>
        <w:t>Carvalho, F. P. (2017). Pesticides, environment, and food safety. Food and Energy Security, 6(2), 48-60.</w:t>
      </w:r>
    </w:p>
    <w:p w14:paraId="07BA7F5C" w14:textId="77777777" w:rsidR="006D00D4" w:rsidRPr="00874BA9" w:rsidRDefault="006D00D4" w:rsidP="00AD6219">
      <w:pPr>
        <w:pStyle w:val="CETReferencetext"/>
        <w:rPr>
          <w:lang w:val="en-US"/>
        </w:rPr>
      </w:pPr>
      <w:r w:rsidRPr="00874BA9">
        <w:rPr>
          <w:lang w:val="en-US"/>
        </w:rPr>
        <w:t>Chen, SC, Liao, CM 2006. Evaluación de riesgos para la salud en humanos expuestos a fuentes ambientales de contaminación por hidrocarburos aromáticos policíclicos. Ciencia. Medio ambiente total, 366, 112-123. doi: 10.1016/j.scitotenv.2005.08.047.</w:t>
      </w:r>
    </w:p>
    <w:p w14:paraId="18B4A5E5" w14:textId="7331EB50" w:rsidR="006D00D4" w:rsidRPr="00874BA9" w:rsidRDefault="006D00D4" w:rsidP="00AD6219">
      <w:pPr>
        <w:pStyle w:val="CETReferencetext"/>
        <w:rPr>
          <w:lang w:val="en-US"/>
        </w:rPr>
      </w:pPr>
      <w:r w:rsidRPr="00874BA9">
        <w:rPr>
          <w:lang w:val="en-US"/>
        </w:rPr>
        <w:t>Garcés Ordóñez O, Espinosa Díaz LF. Contaminación por hidrocarburos en sedimentos de manglar del estuario del río Mira, Pacífico colombiano, afectados por derrames de petróleo crudo. Bull Mar Coast Res. 2019;48(1):159–68</w:t>
      </w:r>
    </w:p>
    <w:p w14:paraId="654D01E1" w14:textId="77777777" w:rsidR="006D00D4" w:rsidRPr="00874BA9" w:rsidRDefault="006D00D4" w:rsidP="00AD6219">
      <w:pPr>
        <w:pStyle w:val="CETReferencetext"/>
        <w:rPr>
          <w:lang w:val="en-US"/>
        </w:rPr>
      </w:pPr>
      <w:r w:rsidRPr="00874BA9">
        <w:rPr>
          <w:lang w:val="en-US"/>
        </w:rPr>
        <w:t xml:space="preserve">Huang, T., Guo, Q., Tian, H., Mao, X., Ding, Z., Zhang, G., Li, J., Ma, J., Gao, H. 20|4. Evaluación de la distribución espacial, las fuentes y el riesgo para la salud humana de los residuos de pesticidas organoclorados en los suelos de áreas áridas y semiáridas del noroeste de China. En ambiente. Ciencia. Contaminación. Res., 21(9), 6124–6135. </w:t>
      </w:r>
    </w:p>
    <w:p w14:paraId="564DFDB6" w14:textId="77777777" w:rsidR="006D00D4" w:rsidRPr="00874BA9" w:rsidRDefault="006D00D4" w:rsidP="00AD6219">
      <w:pPr>
        <w:pStyle w:val="CETReferencetext"/>
        <w:rPr>
          <w:lang w:val="en-US"/>
        </w:rPr>
      </w:pPr>
      <w:r w:rsidRPr="00874BA9">
        <w:rPr>
          <w:lang w:val="en-US"/>
        </w:rPr>
        <w:t xml:space="preserve">Ogbeide, O., Tongo, I., Ezemonye, L. 2016. Evaluación de la distribución y el riesgo para la salud humana de los residuos de pesticidas organoclorados en sedimentos de ríos seleccionados. Quimiosfera. 144: 1319-1326. </w:t>
      </w:r>
    </w:p>
    <w:p w14:paraId="090B1B51" w14:textId="2BD19C0E" w:rsidR="006D00D4" w:rsidRPr="00874BA9" w:rsidRDefault="006D00D4" w:rsidP="00AD6219">
      <w:pPr>
        <w:pStyle w:val="CETReferencetext"/>
        <w:rPr>
          <w:lang w:val="en-US"/>
        </w:rPr>
      </w:pPr>
      <w:r w:rsidRPr="00874BA9">
        <w:rPr>
          <w:lang w:val="en-US"/>
        </w:rPr>
        <w:t xml:space="preserve">Payá P, Anastassiades M, Mack D, Sigalova I, Tasdelen B, Oliva J, Barba, A. 2007. </w:t>
      </w:r>
      <w:r w:rsidRPr="00874BA9">
        <w:rPr>
          <w:lang w:val="es-CO"/>
        </w:rPr>
        <w:t xml:space="preserve">Análisis de residuos de pesticidas utilizando el método multiresiduo de pesticidas Quick Easy Cheap Effective Rugged and Safe (QuEChERS) en combinación con cromatografía de gases y líquidos y detección espectrométrica de masas en tándem. </w:t>
      </w:r>
      <w:r w:rsidRPr="00874BA9">
        <w:rPr>
          <w:lang w:val="en-US"/>
        </w:rPr>
        <w:t>Química Analítica y Bioanalítica. 389: 1697-1714</w:t>
      </w:r>
    </w:p>
    <w:p w14:paraId="0A23B0FF" w14:textId="019CF73F" w:rsidR="006D00D4" w:rsidRPr="00874BA9" w:rsidRDefault="006D00D4" w:rsidP="00AD6219">
      <w:pPr>
        <w:pStyle w:val="CETReferencetext"/>
        <w:rPr>
          <w:lang w:val="en-US"/>
        </w:rPr>
      </w:pPr>
      <w:r w:rsidRPr="00874BA9">
        <w:rPr>
          <w:lang w:val="en-US"/>
        </w:rPr>
        <w:t xml:space="preserve">Peng, J.; Liu, Z.; Liu, Y.; Wu, J.; Han, Y. Análisis de tendencias de la dinámica de la vegetación en la meseta Qinghai-Tíbet utilizando el exponente de Hurst. Ecológico. Índico. </w:t>
      </w:r>
      <w:r w:rsidR="00874BA9" w:rsidRPr="00874BA9">
        <w:rPr>
          <w:lang w:val="en-US"/>
        </w:rPr>
        <w:t>2012,</w:t>
      </w:r>
      <w:r w:rsidRPr="00874BA9">
        <w:rPr>
          <w:lang w:val="en-US"/>
        </w:rPr>
        <w:t xml:space="preserve"> </w:t>
      </w:r>
      <w:r w:rsidR="00874BA9" w:rsidRPr="00874BA9">
        <w:rPr>
          <w:lang w:val="en-US"/>
        </w:rPr>
        <w:t>14,</w:t>
      </w:r>
      <w:r w:rsidRPr="00874BA9">
        <w:rPr>
          <w:lang w:val="en-US"/>
        </w:rPr>
        <w:t xml:space="preserve"> 28–39</w:t>
      </w:r>
    </w:p>
    <w:p w14:paraId="1649CD74" w14:textId="75A998BC" w:rsidR="006D00D4" w:rsidRPr="00874BA9" w:rsidRDefault="006D00D4" w:rsidP="00AD6219">
      <w:pPr>
        <w:pStyle w:val="CETReferencetext"/>
        <w:rPr>
          <w:lang w:val="en-US"/>
        </w:rPr>
      </w:pPr>
      <w:r w:rsidRPr="00874BA9">
        <w:rPr>
          <w:lang w:val="en-US"/>
        </w:rPr>
        <w:lastRenderedPageBreak/>
        <w:t xml:space="preserve">Peng, C., Chen, W., Liao, X., Wang, M., Ouyang, Z., Jiao, W., Bai, Y. 2011. Hidrocarburos aromáticos policíclicos en suelos urbanos de Beijing: estado, fuentes, distribución y riesgo potencial. Reinar. Contaminación. 159:802–808. </w:t>
      </w:r>
    </w:p>
    <w:p w14:paraId="285B9211" w14:textId="77777777" w:rsidR="006D00D4" w:rsidRPr="00874BA9" w:rsidRDefault="006D00D4" w:rsidP="00AD6219">
      <w:pPr>
        <w:pStyle w:val="CETReferencetext"/>
        <w:rPr>
          <w:lang w:val="en-US"/>
        </w:rPr>
      </w:pPr>
      <w:r w:rsidRPr="00874BA9">
        <w:rPr>
          <w:lang w:val="en-US"/>
        </w:rPr>
        <w:t>Ponce, G., Cantú, P. C., Flores, A., Badii, M., Zapata, R., López, B., &amp; Fernández, I. (2006). Modo de acción de los insecticidas. Revista salud pública y nutrición, 7(4).</w:t>
      </w:r>
    </w:p>
    <w:p w14:paraId="5BFF4F1F" w14:textId="77777777" w:rsidR="006D00D4" w:rsidRPr="00874BA9" w:rsidRDefault="006D00D4" w:rsidP="00AD6219">
      <w:pPr>
        <w:pStyle w:val="CETReferencetext"/>
        <w:rPr>
          <w:lang w:val="en-US"/>
        </w:rPr>
      </w:pPr>
      <w:r w:rsidRPr="00874BA9">
        <w:rPr>
          <w:lang w:val="en-US"/>
        </w:rPr>
        <w:t>Tudi, M., Li, H., Li, H., Wang, L., Lyu, J., Yang, L., Tong, S., Yu, Q. J., Ruan, H. D., Atabila, A., Phung, D. T., Sadler, R., &amp; Connell, D. (2022). Exposure Routes and Health Risks Associated with Pesticide Application. Toxics, 10(6), 335.</w:t>
      </w:r>
    </w:p>
    <w:p w14:paraId="6C8B33E6" w14:textId="2F50298D" w:rsidR="006D00D4" w:rsidRPr="00874BA9" w:rsidRDefault="006D00D4" w:rsidP="00AD6219">
      <w:pPr>
        <w:pStyle w:val="CETReferencetext"/>
        <w:rPr>
          <w:lang w:val="en-US"/>
        </w:rPr>
      </w:pPr>
      <w:r w:rsidRPr="00874BA9">
        <w:rPr>
          <w:lang w:val="en-US"/>
        </w:rPr>
        <w:t>USEPA, 1997. Manual de factores de exposición, Volumen 1: Factores generales. Agencia de Protección Ambiental de Estados Unidos, Oficina de Investigación y Desarrollo, Washington.</w:t>
      </w:r>
    </w:p>
    <w:p w14:paraId="3352DE04" w14:textId="77777777" w:rsidR="006D00D4" w:rsidRPr="00874BA9" w:rsidRDefault="006D00D4" w:rsidP="00AD6219">
      <w:pPr>
        <w:pStyle w:val="CETReferencetext"/>
        <w:rPr>
          <w:lang w:val="en-US"/>
        </w:rPr>
      </w:pPr>
      <w:r w:rsidRPr="00874BA9">
        <w:rPr>
          <w:lang w:val="en-US"/>
        </w:rPr>
        <w:t>USEPA. 2002. Guía complementaria para el desarrollo de niveles de detección de suelos para sitios Superfund, final. Agencia de Protección Ambiental de Estados Unidos, Oficina de Investigación y Desarrollo, Washington.</w:t>
      </w:r>
    </w:p>
    <w:p w14:paraId="0D1C02D1" w14:textId="77777777" w:rsidR="006D00D4" w:rsidRPr="00874BA9" w:rsidRDefault="006D00D4" w:rsidP="00AD6219">
      <w:pPr>
        <w:pStyle w:val="CETReferencetext"/>
        <w:rPr>
          <w:lang w:val="en-US"/>
        </w:rPr>
      </w:pPr>
      <w:r w:rsidRPr="00874BA9">
        <w:rPr>
          <w:lang w:val="en-US"/>
        </w:rPr>
        <w:t>USEPA. 2011. Manual de factores de exposición Agencia de Protección Ambiental de EE. UU., Oficina de Respuesta a Emergencias y Remediación, Washington</w:t>
      </w:r>
    </w:p>
    <w:p w14:paraId="06A4CAB8" w14:textId="77777777" w:rsidR="006D00D4" w:rsidRPr="00874BA9" w:rsidRDefault="006D00D4" w:rsidP="00AD6219">
      <w:pPr>
        <w:pStyle w:val="CETReferencetext"/>
        <w:rPr>
          <w:lang w:val="en-US"/>
        </w:rPr>
      </w:pPr>
      <w:r w:rsidRPr="00874BA9">
        <w:rPr>
          <w:lang w:val="en-US"/>
        </w:rPr>
        <w:t>Zhao, X., Zhou, Y., Kong, W., Gong, B., Chen, D., Wei, J., &amp; Yang, M. (2016). Multi-residue analysis of 26 organochlorine pesticides in Alpinia oxyphylla by GC-ECD after solid phase extraction and acid cleanup. Journal of chromatography. B, Analytical technologies in the biomedical and life sciences, 1017-1018, 211–220.</w:t>
      </w:r>
    </w:p>
    <w:p w14:paraId="7B01B08F" w14:textId="77777777" w:rsidR="006D00D4" w:rsidRPr="00874BA9" w:rsidRDefault="006D00D4" w:rsidP="00AD6219">
      <w:pPr>
        <w:pStyle w:val="CETReferencetext"/>
        <w:rPr>
          <w:lang w:val="en-US"/>
        </w:rPr>
      </w:pPr>
      <w:r w:rsidRPr="00874BA9">
        <w:rPr>
          <w:lang w:val="en-US"/>
        </w:rPr>
        <w:t>Zúñiga-Venegas, L., Hyland, C., Muñoz-Quezada, M. T., Quirós-Alcalá, L., Butinof, M., Buralli, R. J., … &amp; Mora, A. M. (2022). Health effects of pesticide exposure in latin american and the caribbean populations: a scoping review. Environmental Health Perspectives, 130(9).</w:t>
      </w:r>
    </w:p>
    <w:p w14:paraId="0ADF553D" w14:textId="77777777" w:rsidR="006D00D4" w:rsidRPr="00874BA9" w:rsidRDefault="006D00D4" w:rsidP="00AD6219">
      <w:pPr>
        <w:pStyle w:val="CETReferencetext"/>
        <w:rPr>
          <w:lang w:val="en-US"/>
        </w:rPr>
      </w:pPr>
    </w:p>
    <w:p w14:paraId="6FAA4342" w14:textId="77777777" w:rsidR="00C52C3C" w:rsidRPr="00874BA9" w:rsidRDefault="00C52C3C" w:rsidP="005F5CC0">
      <w:pPr>
        <w:pStyle w:val="CETReferencetext"/>
        <w:jc w:val="left"/>
        <w:rPr>
          <w:lang w:val="en-US"/>
        </w:rPr>
      </w:pPr>
    </w:p>
    <w:p w14:paraId="5A13856B" w14:textId="77777777" w:rsidR="006B4888" w:rsidRPr="00874BA9" w:rsidRDefault="006B4888" w:rsidP="005F5CC0">
      <w:pPr>
        <w:pStyle w:val="CETReferencetext"/>
        <w:jc w:val="left"/>
        <w:rPr>
          <w:lang w:val="en-US"/>
        </w:rPr>
      </w:pPr>
    </w:p>
    <w:p w14:paraId="19C4FC68" w14:textId="77777777" w:rsidR="004628D2" w:rsidRPr="00874BA9" w:rsidRDefault="004628D2" w:rsidP="005F5CC0">
      <w:pPr>
        <w:pStyle w:val="CETHeading1"/>
        <w:numPr>
          <w:ilvl w:val="0"/>
          <w:numId w:val="0"/>
        </w:numPr>
      </w:pPr>
    </w:p>
    <w:sectPr w:rsidR="004628D2" w:rsidRPr="00874BA9" w:rsidSect="009056B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B10E" w14:textId="77777777" w:rsidR="009056B7" w:rsidRDefault="009056B7" w:rsidP="004F5E36">
      <w:r>
        <w:separator/>
      </w:r>
    </w:p>
  </w:endnote>
  <w:endnote w:type="continuationSeparator" w:id="0">
    <w:p w14:paraId="56C157DD" w14:textId="77777777" w:rsidR="009056B7" w:rsidRDefault="009056B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angSong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DCDD" w14:textId="77777777" w:rsidR="009056B7" w:rsidRDefault="009056B7" w:rsidP="004F5E36">
      <w:r>
        <w:separator/>
      </w:r>
    </w:p>
  </w:footnote>
  <w:footnote w:type="continuationSeparator" w:id="0">
    <w:p w14:paraId="61DE0690" w14:textId="77777777" w:rsidR="009056B7" w:rsidRDefault="009056B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59008E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7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6280080">
    <w:abstractNumId w:val="10"/>
  </w:num>
  <w:num w:numId="2" w16cid:durableId="668949969">
    <w:abstractNumId w:val="8"/>
  </w:num>
  <w:num w:numId="3" w16cid:durableId="641542255">
    <w:abstractNumId w:val="3"/>
  </w:num>
  <w:num w:numId="4" w16cid:durableId="2126734285">
    <w:abstractNumId w:val="2"/>
  </w:num>
  <w:num w:numId="5" w16cid:durableId="814644010">
    <w:abstractNumId w:val="1"/>
  </w:num>
  <w:num w:numId="6" w16cid:durableId="1909730478">
    <w:abstractNumId w:val="0"/>
  </w:num>
  <w:num w:numId="7" w16cid:durableId="304437839">
    <w:abstractNumId w:val="9"/>
  </w:num>
  <w:num w:numId="8" w16cid:durableId="472063998">
    <w:abstractNumId w:val="7"/>
  </w:num>
  <w:num w:numId="9" w16cid:durableId="158739314">
    <w:abstractNumId w:val="6"/>
  </w:num>
  <w:num w:numId="10" w16cid:durableId="579952154">
    <w:abstractNumId w:val="5"/>
  </w:num>
  <w:num w:numId="11" w16cid:durableId="1645282241">
    <w:abstractNumId w:val="4"/>
  </w:num>
  <w:num w:numId="12" w16cid:durableId="46075672">
    <w:abstractNumId w:val="17"/>
  </w:num>
  <w:num w:numId="13" w16cid:durableId="276267">
    <w:abstractNumId w:val="12"/>
  </w:num>
  <w:num w:numId="14" w16cid:durableId="566381590">
    <w:abstractNumId w:val="18"/>
  </w:num>
  <w:num w:numId="15" w16cid:durableId="959651514">
    <w:abstractNumId w:val="20"/>
  </w:num>
  <w:num w:numId="16" w16cid:durableId="744840769">
    <w:abstractNumId w:val="19"/>
  </w:num>
  <w:num w:numId="17" w16cid:durableId="963384740">
    <w:abstractNumId w:val="11"/>
  </w:num>
  <w:num w:numId="18" w16cid:durableId="625769401">
    <w:abstractNumId w:val="12"/>
    <w:lvlOverride w:ilvl="0">
      <w:startOverride w:val="1"/>
    </w:lvlOverride>
  </w:num>
  <w:num w:numId="19" w16cid:durableId="1696032200">
    <w:abstractNumId w:val="16"/>
  </w:num>
  <w:num w:numId="20" w16cid:durableId="1803696882">
    <w:abstractNumId w:val="15"/>
  </w:num>
  <w:num w:numId="21" w16cid:durableId="197816146">
    <w:abstractNumId w:val="14"/>
  </w:num>
  <w:num w:numId="22" w16cid:durableId="210483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C9"/>
    <w:rsid w:val="000027C0"/>
    <w:rsid w:val="000052FB"/>
    <w:rsid w:val="00006262"/>
    <w:rsid w:val="000117CB"/>
    <w:rsid w:val="0003148D"/>
    <w:rsid w:val="00031EEC"/>
    <w:rsid w:val="00051566"/>
    <w:rsid w:val="000562A9"/>
    <w:rsid w:val="00062A9A"/>
    <w:rsid w:val="00065058"/>
    <w:rsid w:val="00086C39"/>
    <w:rsid w:val="0009722E"/>
    <w:rsid w:val="000A03B2"/>
    <w:rsid w:val="000D0268"/>
    <w:rsid w:val="000D34BE"/>
    <w:rsid w:val="000E102F"/>
    <w:rsid w:val="000E1CD1"/>
    <w:rsid w:val="000E36F1"/>
    <w:rsid w:val="000E3A73"/>
    <w:rsid w:val="000E414A"/>
    <w:rsid w:val="000F093C"/>
    <w:rsid w:val="000F787B"/>
    <w:rsid w:val="0010333E"/>
    <w:rsid w:val="0012091F"/>
    <w:rsid w:val="00126BC2"/>
    <w:rsid w:val="001302E0"/>
    <w:rsid w:val="001308B6"/>
    <w:rsid w:val="0013121F"/>
    <w:rsid w:val="00131FE6"/>
    <w:rsid w:val="0013263F"/>
    <w:rsid w:val="001331DF"/>
    <w:rsid w:val="00134DE4"/>
    <w:rsid w:val="001372F6"/>
    <w:rsid w:val="0014034D"/>
    <w:rsid w:val="001446DD"/>
    <w:rsid w:val="00144D16"/>
    <w:rsid w:val="00150E59"/>
    <w:rsid w:val="00152DE3"/>
    <w:rsid w:val="00152FB0"/>
    <w:rsid w:val="00156F74"/>
    <w:rsid w:val="00164CF9"/>
    <w:rsid w:val="001667A6"/>
    <w:rsid w:val="001716B1"/>
    <w:rsid w:val="00180685"/>
    <w:rsid w:val="00184AD6"/>
    <w:rsid w:val="001875F0"/>
    <w:rsid w:val="0019732D"/>
    <w:rsid w:val="001A4AF7"/>
    <w:rsid w:val="001B0349"/>
    <w:rsid w:val="001B1E93"/>
    <w:rsid w:val="001B65C1"/>
    <w:rsid w:val="001C684B"/>
    <w:rsid w:val="001C7222"/>
    <w:rsid w:val="001D0CFB"/>
    <w:rsid w:val="001D21AF"/>
    <w:rsid w:val="001D53FC"/>
    <w:rsid w:val="001F42A5"/>
    <w:rsid w:val="001F7B9D"/>
    <w:rsid w:val="00201C93"/>
    <w:rsid w:val="00212BCB"/>
    <w:rsid w:val="002224B4"/>
    <w:rsid w:val="002447EF"/>
    <w:rsid w:val="00251550"/>
    <w:rsid w:val="0025312B"/>
    <w:rsid w:val="00263B05"/>
    <w:rsid w:val="00264A1D"/>
    <w:rsid w:val="0027221A"/>
    <w:rsid w:val="00275B61"/>
    <w:rsid w:val="00280FAF"/>
    <w:rsid w:val="00282656"/>
    <w:rsid w:val="00296B83"/>
    <w:rsid w:val="002A36AA"/>
    <w:rsid w:val="002B4015"/>
    <w:rsid w:val="002B78CE"/>
    <w:rsid w:val="002C2FB6"/>
    <w:rsid w:val="002C59D3"/>
    <w:rsid w:val="002E1131"/>
    <w:rsid w:val="002E5FA7"/>
    <w:rsid w:val="002E6BCA"/>
    <w:rsid w:val="002F3309"/>
    <w:rsid w:val="002F57C9"/>
    <w:rsid w:val="003008CE"/>
    <w:rsid w:val="003009B7"/>
    <w:rsid w:val="00300E56"/>
    <w:rsid w:val="0030152C"/>
    <w:rsid w:val="0030469C"/>
    <w:rsid w:val="00321CA6"/>
    <w:rsid w:val="00323763"/>
    <w:rsid w:val="00323C5F"/>
    <w:rsid w:val="00334C09"/>
    <w:rsid w:val="00341FD4"/>
    <w:rsid w:val="003711AC"/>
    <w:rsid w:val="003723D4"/>
    <w:rsid w:val="003748A4"/>
    <w:rsid w:val="00381905"/>
    <w:rsid w:val="00384CC8"/>
    <w:rsid w:val="003871FD"/>
    <w:rsid w:val="003A1E30"/>
    <w:rsid w:val="003A2829"/>
    <w:rsid w:val="003A6FC6"/>
    <w:rsid w:val="003A7D1C"/>
    <w:rsid w:val="003B304B"/>
    <w:rsid w:val="003B3146"/>
    <w:rsid w:val="003F015E"/>
    <w:rsid w:val="00400414"/>
    <w:rsid w:val="0041446B"/>
    <w:rsid w:val="0044071E"/>
    <w:rsid w:val="0044329C"/>
    <w:rsid w:val="004510A0"/>
    <w:rsid w:val="00453E24"/>
    <w:rsid w:val="00457456"/>
    <w:rsid w:val="004577FE"/>
    <w:rsid w:val="00457B9C"/>
    <w:rsid w:val="0046164A"/>
    <w:rsid w:val="004628D2"/>
    <w:rsid w:val="00462DCD"/>
    <w:rsid w:val="004648AD"/>
    <w:rsid w:val="004703A9"/>
    <w:rsid w:val="0047100F"/>
    <w:rsid w:val="00472EDF"/>
    <w:rsid w:val="004760DE"/>
    <w:rsid w:val="004761E9"/>
    <w:rsid w:val="004763D7"/>
    <w:rsid w:val="004A004E"/>
    <w:rsid w:val="004A24CF"/>
    <w:rsid w:val="004B12AF"/>
    <w:rsid w:val="004C3D1D"/>
    <w:rsid w:val="004C3D84"/>
    <w:rsid w:val="004C7913"/>
    <w:rsid w:val="004E4DD6"/>
    <w:rsid w:val="004E7CF0"/>
    <w:rsid w:val="004F1F33"/>
    <w:rsid w:val="004F5E36"/>
    <w:rsid w:val="00507B47"/>
    <w:rsid w:val="00507BEF"/>
    <w:rsid w:val="00507CC9"/>
    <w:rsid w:val="005119A5"/>
    <w:rsid w:val="00516AAC"/>
    <w:rsid w:val="005278B7"/>
    <w:rsid w:val="00532016"/>
    <w:rsid w:val="005346C8"/>
    <w:rsid w:val="00543E7D"/>
    <w:rsid w:val="00547A68"/>
    <w:rsid w:val="005531C9"/>
    <w:rsid w:val="00570C43"/>
    <w:rsid w:val="00572B4A"/>
    <w:rsid w:val="005A7B5C"/>
    <w:rsid w:val="005B2110"/>
    <w:rsid w:val="005B61E6"/>
    <w:rsid w:val="005C6764"/>
    <w:rsid w:val="005C6BCC"/>
    <w:rsid w:val="005C77E1"/>
    <w:rsid w:val="005D09A6"/>
    <w:rsid w:val="005D668A"/>
    <w:rsid w:val="005D6A2F"/>
    <w:rsid w:val="005E13A1"/>
    <w:rsid w:val="005E1A82"/>
    <w:rsid w:val="005E794C"/>
    <w:rsid w:val="005F0A28"/>
    <w:rsid w:val="005F0E5E"/>
    <w:rsid w:val="005F5CC0"/>
    <w:rsid w:val="00600535"/>
    <w:rsid w:val="00610CD6"/>
    <w:rsid w:val="00620DEE"/>
    <w:rsid w:val="00621F92"/>
    <w:rsid w:val="0062280A"/>
    <w:rsid w:val="00622B81"/>
    <w:rsid w:val="00625639"/>
    <w:rsid w:val="00630937"/>
    <w:rsid w:val="00631B33"/>
    <w:rsid w:val="0064184D"/>
    <w:rsid w:val="006422CC"/>
    <w:rsid w:val="00646C38"/>
    <w:rsid w:val="00660E3E"/>
    <w:rsid w:val="00662E74"/>
    <w:rsid w:val="0067279B"/>
    <w:rsid w:val="0067297E"/>
    <w:rsid w:val="006736BE"/>
    <w:rsid w:val="00680C23"/>
    <w:rsid w:val="00693766"/>
    <w:rsid w:val="006A3281"/>
    <w:rsid w:val="006B4888"/>
    <w:rsid w:val="006C2079"/>
    <w:rsid w:val="006C2E45"/>
    <w:rsid w:val="006C359C"/>
    <w:rsid w:val="006C5579"/>
    <w:rsid w:val="006D00D4"/>
    <w:rsid w:val="006D6E8B"/>
    <w:rsid w:val="006E32A1"/>
    <w:rsid w:val="006E737D"/>
    <w:rsid w:val="0070035A"/>
    <w:rsid w:val="0071135D"/>
    <w:rsid w:val="00713973"/>
    <w:rsid w:val="00720A24"/>
    <w:rsid w:val="00723169"/>
    <w:rsid w:val="00723509"/>
    <w:rsid w:val="00732386"/>
    <w:rsid w:val="0073514D"/>
    <w:rsid w:val="0074083B"/>
    <w:rsid w:val="007447F3"/>
    <w:rsid w:val="00747E9F"/>
    <w:rsid w:val="0075499F"/>
    <w:rsid w:val="007661C8"/>
    <w:rsid w:val="0077098D"/>
    <w:rsid w:val="00775D9A"/>
    <w:rsid w:val="0078365C"/>
    <w:rsid w:val="007931FA"/>
    <w:rsid w:val="00797C5E"/>
    <w:rsid w:val="007A4861"/>
    <w:rsid w:val="007A7BBA"/>
    <w:rsid w:val="007B0583"/>
    <w:rsid w:val="007B0C50"/>
    <w:rsid w:val="007B48F9"/>
    <w:rsid w:val="007C1A43"/>
    <w:rsid w:val="007C5A2F"/>
    <w:rsid w:val="007D0951"/>
    <w:rsid w:val="007D1C6D"/>
    <w:rsid w:val="007D45BF"/>
    <w:rsid w:val="007D6C16"/>
    <w:rsid w:val="007E2E65"/>
    <w:rsid w:val="007F5002"/>
    <w:rsid w:val="0080013E"/>
    <w:rsid w:val="00813288"/>
    <w:rsid w:val="008168FC"/>
    <w:rsid w:val="00825C30"/>
    <w:rsid w:val="00830996"/>
    <w:rsid w:val="008345F1"/>
    <w:rsid w:val="008400CD"/>
    <w:rsid w:val="00840C7E"/>
    <w:rsid w:val="00840E9B"/>
    <w:rsid w:val="00843EAC"/>
    <w:rsid w:val="00847051"/>
    <w:rsid w:val="0085308B"/>
    <w:rsid w:val="00865B07"/>
    <w:rsid w:val="008667EA"/>
    <w:rsid w:val="00867632"/>
    <w:rsid w:val="00871475"/>
    <w:rsid w:val="00874BA9"/>
    <w:rsid w:val="0087637F"/>
    <w:rsid w:val="008827E8"/>
    <w:rsid w:val="00892AD5"/>
    <w:rsid w:val="008A1512"/>
    <w:rsid w:val="008B36B4"/>
    <w:rsid w:val="008B7C03"/>
    <w:rsid w:val="008C4852"/>
    <w:rsid w:val="008D32B9"/>
    <w:rsid w:val="008D433B"/>
    <w:rsid w:val="008D4A16"/>
    <w:rsid w:val="008D5658"/>
    <w:rsid w:val="008E566E"/>
    <w:rsid w:val="008F302B"/>
    <w:rsid w:val="008F764F"/>
    <w:rsid w:val="0090161A"/>
    <w:rsid w:val="00901EB6"/>
    <w:rsid w:val="00904C62"/>
    <w:rsid w:val="009056B7"/>
    <w:rsid w:val="009100E0"/>
    <w:rsid w:val="00917C12"/>
    <w:rsid w:val="00922BA8"/>
    <w:rsid w:val="0092418E"/>
    <w:rsid w:val="00924DAC"/>
    <w:rsid w:val="00927058"/>
    <w:rsid w:val="00927276"/>
    <w:rsid w:val="009365EB"/>
    <w:rsid w:val="00940691"/>
    <w:rsid w:val="00942750"/>
    <w:rsid w:val="009450CE"/>
    <w:rsid w:val="009459BB"/>
    <w:rsid w:val="00947179"/>
    <w:rsid w:val="00950171"/>
    <w:rsid w:val="00950D59"/>
    <w:rsid w:val="0095164B"/>
    <w:rsid w:val="00954090"/>
    <w:rsid w:val="009573E7"/>
    <w:rsid w:val="00963E05"/>
    <w:rsid w:val="00964A45"/>
    <w:rsid w:val="00967819"/>
    <w:rsid w:val="00967843"/>
    <w:rsid w:val="00967D54"/>
    <w:rsid w:val="00971028"/>
    <w:rsid w:val="00987CB4"/>
    <w:rsid w:val="00993B84"/>
    <w:rsid w:val="00996483"/>
    <w:rsid w:val="00996F5A"/>
    <w:rsid w:val="009A2F08"/>
    <w:rsid w:val="009B041A"/>
    <w:rsid w:val="009C37C3"/>
    <w:rsid w:val="009C7C86"/>
    <w:rsid w:val="009D2FF7"/>
    <w:rsid w:val="009E7884"/>
    <w:rsid w:val="009E788A"/>
    <w:rsid w:val="009F0E08"/>
    <w:rsid w:val="00A138FD"/>
    <w:rsid w:val="00A1763D"/>
    <w:rsid w:val="00A17CEC"/>
    <w:rsid w:val="00A27EF0"/>
    <w:rsid w:val="00A42361"/>
    <w:rsid w:val="00A50B20"/>
    <w:rsid w:val="00A51390"/>
    <w:rsid w:val="00A60D13"/>
    <w:rsid w:val="00A7223D"/>
    <w:rsid w:val="00A72745"/>
    <w:rsid w:val="00A76EFC"/>
    <w:rsid w:val="00A87D50"/>
    <w:rsid w:val="00A91010"/>
    <w:rsid w:val="00A94737"/>
    <w:rsid w:val="00A976E7"/>
    <w:rsid w:val="00A97F29"/>
    <w:rsid w:val="00AA702E"/>
    <w:rsid w:val="00AA7D26"/>
    <w:rsid w:val="00AB0964"/>
    <w:rsid w:val="00AB5011"/>
    <w:rsid w:val="00AC6266"/>
    <w:rsid w:val="00AC7368"/>
    <w:rsid w:val="00AD0AE1"/>
    <w:rsid w:val="00AD16B9"/>
    <w:rsid w:val="00AD6219"/>
    <w:rsid w:val="00AE377D"/>
    <w:rsid w:val="00AF0EBA"/>
    <w:rsid w:val="00AF7AE9"/>
    <w:rsid w:val="00B02C8A"/>
    <w:rsid w:val="00B17FBD"/>
    <w:rsid w:val="00B22522"/>
    <w:rsid w:val="00B315A6"/>
    <w:rsid w:val="00B31813"/>
    <w:rsid w:val="00B33365"/>
    <w:rsid w:val="00B47AFE"/>
    <w:rsid w:val="00B55CFF"/>
    <w:rsid w:val="00B57B36"/>
    <w:rsid w:val="00B57E6F"/>
    <w:rsid w:val="00B62698"/>
    <w:rsid w:val="00B679D8"/>
    <w:rsid w:val="00B80CD6"/>
    <w:rsid w:val="00B8686D"/>
    <w:rsid w:val="00B93F69"/>
    <w:rsid w:val="00BB1DDC"/>
    <w:rsid w:val="00BC30C9"/>
    <w:rsid w:val="00BC7B6B"/>
    <w:rsid w:val="00BD077D"/>
    <w:rsid w:val="00BD2726"/>
    <w:rsid w:val="00BD44F6"/>
    <w:rsid w:val="00BD6471"/>
    <w:rsid w:val="00BE3E58"/>
    <w:rsid w:val="00C01616"/>
    <w:rsid w:val="00C0162B"/>
    <w:rsid w:val="00C0179A"/>
    <w:rsid w:val="00C068ED"/>
    <w:rsid w:val="00C07258"/>
    <w:rsid w:val="00C22E0C"/>
    <w:rsid w:val="00C345B1"/>
    <w:rsid w:val="00C40142"/>
    <w:rsid w:val="00C44B58"/>
    <w:rsid w:val="00C52C3C"/>
    <w:rsid w:val="00C57182"/>
    <w:rsid w:val="00C57449"/>
    <w:rsid w:val="00C57863"/>
    <w:rsid w:val="00C62DBC"/>
    <w:rsid w:val="00C640AF"/>
    <w:rsid w:val="00C655FD"/>
    <w:rsid w:val="00C75407"/>
    <w:rsid w:val="00C84B7B"/>
    <w:rsid w:val="00C870A8"/>
    <w:rsid w:val="00C94434"/>
    <w:rsid w:val="00CA0074"/>
    <w:rsid w:val="00CA0456"/>
    <w:rsid w:val="00CA0D4A"/>
    <w:rsid w:val="00CA0D75"/>
    <w:rsid w:val="00CA1420"/>
    <w:rsid w:val="00CA1C95"/>
    <w:rsid w:val="00CA44B7"/>
    <w:rsid w:val="00CA5A9C"/>
    <w:rsid w:val="00CB6889"/>
    <w:rsid w:val="00CC4C20"/>
    <w:rsid w:val="00CD3517"/>
    <w:rsid w:val="00CD5FE2"/>
    <w:rsid w:val="00CE7C68"/>
    <w:rsid w:val="00CF4821"/>
    <w:rsid w:val="00D02B4C"/>
    <w:rsid w:val="00D040C4"/>
    <w:rsid w:val="00D12073"/>
    <w:rsid w:val="00D20AD1"/>
    <w:rsid w:val="00D31810"/>
    <w:rsid w:val="00D46B7E"/>
    <w:rsid w:val="00D51DF5"/>
    <w:rsid w:val="00D57C84"/>
    <w:rsid w:val="00D6057D"/>
    <w:rsid w:val="00D648EC"/>
    <w:rsid w:val="00D71640"/>
    <w:rsid w:val="00D836C5"/>
    <w:rsid w:val="00D84576"/>
    <w:rsid w:val="00D93AC3"/>
    <w:rsid w:val="00DA1399"/>
    <w:rsid w:val="00DA24C6"/>
    <w:rsid w:val="00DA4D7B"/>
    <w:rsid w:val="00DA617D"/>
    <w:rsid w:val="00DD271C"/>
    <w:rsid w:val="00DE264A"/>
    <w:rsid w:val="00DF5072"/>
    <w:rsid w:val="00E02D18"/>
    <w:rsid w:val="00E041E7"/>
    <w:rsid w:val="00E23CA1"/>
    <w:rsid w:val="00E33DD7"/>
    <w:rsid w:val="00E34DDD"/>
    <w:rsid w:val="00E409A8"/>
    <w:rsid w:val="00E50C12"/>
    <w:rsid w:val="00E65B91"/>
    <w:rsid w:val="00E66952"/>
    <w:rsid w:val="00E67BAA"/>
    <w:rsid w:val="00E7209D"/>
    <w:rsid w:val="00E72EAD"/>
    <w:rsid w:val="00E77223"/>
    <w:rsid w:val="00E8528B"/>
    <w:rsid w:val="00E85B94"/>
    <w:rsid w:val="00E978D0"/>
    <w:rsid w:val="00EA4613"/>
    <w:rsid w:val="00EA7F91"/>
    <w:rsid w:val="00EB1523"/>
    <w:rsid w:val="00EC0E49"/>
    <w:rsid w:val="00EC101F"/>
    <w:rsid w:val="00EC1D9F"/>
    <w:rsid w:val="00ED7707"/>
    <w:rsid w:val="00EE0131"/>
    <w:rsid w:val="00EE17B0"/>
    <w:rsid w:val="00EF06D9"/>
    <w:rsid w:val="00F001B0"/>
    <w:rsid w:val="00F075A4"/>
    <w:rsid w:val="00F3049E"/>
    <w:rsid w:val="00F30C64"/>
    <w:rsid w:val="00F32BA2"/>
    <w:rsid w:val="00F32CDB"/>
    <w:rsid w:val="00F3587C"/>
    <w:rsid w:val="00F4410A"/>
    <w:rsid w:val="00F565FE"/>
    <w:rsid w:val="00F63A70"/>
    <w:rsid w:val="00F63D8C"/>
    <w:rsid w:val="00F71985"/>
    <w:rsid w:val="00F72C40"/>
    <w:rsid w:val="00F7534E"/>
    <w:rsid w:val="00F8063A"/>
    <w:rsid w:val="00F83A1E"/>
    <w:rsid w:val="00F93EDF"/>
    <w:rsid w:val="00FA1802"/>
    <w:rsid w:val="00FA21D0"/>
    <w:rsid w:val="00FA2333"/>
    <w:rsid w:val="00FA5F5F"/>
    <w:rsid w:val="00FB730C"/>
    <w:rsid w:val="00FC2695"/>
    <w:rsid w:val="00FC3E03"/>
    <w:rsid w:val="00FC3FC1"/>
    <w:rsid w:val="00FE2DE4"/>
    <w:rsid w:val="00FE6E2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F57C9"/>
    <w:pPr>
      <w:keepNext/>
      <w:numPr>
        <w:ilvl w:val="2"/>
        <w:numId w:val="1"/>
      </w:numPr>
      <w:suppressAutoHyphens/>
      <w:spacing w:before="120" w:after="120" w:line="240" w:lineRule="auto"/>
      <w:ind w:left="0"/>
    </w:pPr>
    <w:rPr>
      <w:rFonts w:ascii="Arial" w:eastAsia="Times New Roman" w:hAnsi="Arial" w:cs="Times New Roman"/>
      <w:b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F57C9"/>
    <w:rPr>
      <w:rFonts w:ascii="Arial" w:eastAsia="Times New Roman" w:hAnsi="Arial" w:cs="Times New Roman"/>
      <w:b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val="0"/>
      <w:bCs/>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927276"/>
    <w:rPr>
      <w:color w:val="605E5C"/>
      <w:shd w:val="clear" w:color="auto" w:fill="E1DFDD"/>
    </w:rPr>
  </w:style>
  <w:style w:type="table" w:customStyle="1" w:styleId="Tablaconcuadrcula1clara-nfasis61">
    <w:name w:val="Tabla con cuadrícula 1 clara - Énfasis 61"/>
    <w:basedOn w:val="Tablanormal"/>
    <w:next w:val="Tablaconcuadrcula1clara-nfasis6"/>
    <w:uiPriority w:val="46"/>
    <w:rsid w:val="00F001B0"/>
    <w:pPr>
      <w:spacing w:after="0" w:line="240" w:lineRule="auto"/>
    </w:pPr>
    <w:rPr>
      <w:kern w:val="2"/>
      <w:lang w:val="es-CO"/>
      <w14:ligatures w14:val="standardContextual"/>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F001B0"/>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concuadrcula1clara-nfasis62">
    <w:name w:val="Tabla con cuadrícula 1 clara - Énfasis 62"/>
    <w:basedOn w:val="Tablanormal"/>
    <w:next w:val="Tablaconcuadrcula1clara-nfasis6"/>
    <w:uiPriority w:val="46"/>
    <w:rsid w:val="001875F0"/>
    <w:pPr>
      <w:spacing w:after="0" w:line="240" w:lineRule="auto"/>
    </w:pPr>
    <w:rPr>
      <w:kern w:val="2"/>
      <w:lang w:val="es-CO"/>
      <w14:ligatures w14:val="standardContextual"/>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nfasis">
    <w:name w:val="Emphasis"/>
    <w:basedOn w:val="Fuentedeprrafopredeter"/>
    <w:uiPriority w:val="20"/>
    <w:qFormat/>
    <w:rsid w:val="00874BA9"/>
    <w:rPr>
      <w:i/>
      <w:iCs/>
    </w:rPr>
  </w:style>
  <w:style w:type="table" w:styleId="Tablanormal2">
    <w:name w:val="Plain Table 2"/>
    <w:basedOn w:val="Tablanormal"/>
    <w:uiPriority w:val="42"/>
    <w:rsid w:val="002F57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2F57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50527">
      <w:bodyDiv w:val="1"/>
      <w:marLeft w:val="0"/>
      <w:marRight w:val="0"/>
      <w:marTop w:val="0"/>
      <w:marBottom w:val="0"/>
      <w:divBdr>
        <w:top w:val="none" w:sz="0" w:space="0" w:color="auto"/>
        <w:left w:val="none" w:sz="0" w:space="0" w:color="auto"/>
        <w:bottom w:val="none" w:sz="0" w:space="0" w:color="auto"/>
        <w:right w:val="none" w:sz="0" w:space="0" w:color="auto"/>
      </w:divBdr>
    </w:div>
    <w:div w:id="52175148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064861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C6B64-3D77-3648-B83D-A5801745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2862</Words>
  <Characters>16319</Characters>
  <Application>Microsoft Office Word</Application>
  <DocSecurity>4</DocSecurity>
  <Lines>135</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BELKIS PALACIO</cp:lastModifiedBy>
  <cp:revision>2</cp:revision>
  <cp:lastPrinted>2015-05-12T18:31:00Z</cp:lastPrinted>
  <dcterms:created xsi:type="dcterms:W3CDTF">2024-01-15T10:53:00Z</dcterms:created>
  <dcterms:modified xsi:type="dcterms:W3CDTF">2024-01-15T10:53:00Z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