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63F2F">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63F2F">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63F2F">
        <w:trPr>
          <w:trHeight w:val="68"/>
          <w:jc w:val="center"/>
        </w:trPr>
        <w:tc>
          <w:tcPr>
            <w:tcW w:w="8782"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AF48A77" w14:textId="77777777" w:rsidR="00D63F2F" w:rsidRDefault="00D63F2F" w:rsidP="00D63F2F">
      <w:pPr>
        <w:pStyle w:val="CETAuthors"/>
        <w:spacing w:before="240"/>
        <w:jc w:val="center"/>
        <w:rPr>
          <w:noProof w:val="0"/>
          <w:sz w:val="32"/>
        </w:rPr>
      </w:pPr>
      <w:r w:rsidRPr="00D63F2F">
        <w:rPr>
          <w:noProof w:val="0"/>
          <w:sz w:val="32"/>
        </w:rPr>
        <w:t>Use of Electromagnetic Fields as a Technological</w:t>
      </w:r>
      <w:r>
        <w:rPr>
          <w:noProof w:val="0"/>
          <w:sz w:val="32"/>
        </w:rPr>
        <w:t xml:space="preserve"> </w:t>
      </w:r>
      <w:r w:rsidRPr="00D63F2F">
        <w:rPr>
          <w:noProof w:val="0"/>
          <w:sz w:val="32"/>
        </w:rPr>
        <w:t>Alternative for the production of biomasa in Zea mays L. var Porva and reduction of the carbon footprint of the crop</w:t>
      </w:r>
    </w:p>
    <w:p w14:paraId="7694D6B0" w14:textId="77777777" w:rsidR="00D63F2F" w:rsidRDefault="00D63F2F" w:rsidP="00D63F2F">
      <w:pPr>
        <w:spacing w:before="158" w:line="235" w:lineRule="auto"/>
        <w:ind w:left="102" w:right="118"/>
        <w:rPr>
          <w:sz w:val="16"/>
        </w:rPr>
      </w:pPr>
      <w:r>
        <w:rPr>
          <w:sz w:val="24"/>
        </w:rPr>
        <w:t>Deivis</w:t>
      </w:r>
      <w:r>
        <w:rPr>
          <w:spacing w:val="1"/>
          <w:sz w:val="24"/>
        </w:rPr>
        <w:t xml:space="preserve"> </w:t>
      </w:r>
      <w:r>
        <w:rPr>
          <w:sz w:val="24"/>
        </w:rPr>
        <w:t>Suárez-Rivero*</w:t>
      </w:r>
      <w:r>
        <w:rPr>
          <w:position w:val="8"/>
          <w:sz w:val="16"/>
        </w:rPr>
        <w:t>a</w:t>
      </w:r>
      <w:r>
        <w:rPr>
          <w:sz w:val="24"/>
        </w:rPr>
        <w:t>,</w:t>
      </w:r>
      <w:r>
        <w:rPr>
          <w:spacing w:val="1"/>
          <w:sz w:val="24"/>
        </w:rPr>
        <w:t xml:space="preserve"> </w:t>
      </w:r>
      <w:r>
        <w:rPr>
          <w:sz w:val="24"/>
        </w:rPr>
        <w:t>Olga</w:t>
      </w:r>
      <w:r>
        <w:rPr>
          <w:spacing w:val="1"/>
          <w:sz w:val="24"/>
        </w:rPr>
        <w:t xml:space="preserve"> </w:t>
      </w:r>
      <w:r>
        <w:rPr>
          <w:sz w:val="24"/>
        </w:rPr>
        <w:t>Marín-Mahecha</w:t>
      </w:r>
      <w:r>
        <w:rPr>
          <w:position w:val="8"/>
          <w:sz w:val="16"/>
        </w:rPr>
        <w:t>a</w:t>
      </w:r>
      <w:r>
        <w:rPr>
          <w:sz w:val="24"/>
        </w:rPr>
        <w:t>,</w:t>
      </w:r>
      <w:r>
        <w:rPr>
          <w:spacing w:val="1"/>
          <w:sz w:val="24"/>
        </w:rPr>
        <w:t xml:space="preserve"> </w:t>
      </w:r>
      <w:r>
        <w:rPr>
          <w:sz w:val="24"/>
        </w:rPr>
        <w:t>Jannet</w:t>
      </w:r>
      <w:r>
        <w:rPr>
          <w:spacing w:val="1"/>
          <w:sz w:val="24"/>
        </w:rPr>
        <w:t xml:space="preserve"> </w:t>
      </w:r>
      <w:r>
        <w:rPr>
          <w:sz w:val="24"/>
        </w:rPr>
        <w:t>Ortiz-Aguilar</w:t>
      </w:r>
      <w:r>
        <w:rPr>
          <w:position w:val="8"/>
          <w:sz w:val="16"/>
        </w:rPr>
        <w:t>b</w:t>
      </w:r>
      <w:r>
        <w:rPr>
          <w:sz w:val="24"/>
        </w:rPr>
        <w:t>,</w:t>
      </w:r>
      <w:r>
        <w:rPr>
          <w:spacing w:val="1"/>
          <w:sz w:val="24"/>
        </w:rPr>
        <w:t xml:space="preserve"> </w:t>
      </w:r>
      <w:r>
        <w:rPr>
          <w:sz w:val="24"/>
        </w:rPr>
        <w:t>Maikel</w:t>
      </w:r>
      <w:r>
        <w:rPr>
          <w:spacing w:val="-64"/>
          <w:sz w:val="24"/>
        </w:rPr>
        <w:t xml:space="preserve"> </w:t>
      </w:r>
      <w:r>
        <w:rPr>
          <w:spacing w:val="-1"/>
          <w:sz w:val="24"/>
        </w:rPr>
        <w:t>Suárez-Rivero</w:t>
      </w:r>
      <w:r>
        <w:rPr>
          <w:spacing w:val="-1"/>
          <w:position w:val="8"/>
          <w:sz w:val="16"/>
        </w:rPr>
        <w:t>c</w:t>
      </w:r>
      <w:r>
        <w:rPr>
          <w:spacing w:val="-1"/>
          <w:sz w:val="24"/>
        </w:rPr>
        <w:t>,</w:t>
      </w:r>
      <w:r>
        <w:rPr>
          <w:sz w:val="24"/>
        </w:rPr>
        <w:t xml:space="preserve"> </w:t>
      </w:r>
      <w:r>
        <w:rPr>
          <w:spacing w:val="-1"/>
          <w:sz w:val="24"/>
        </w:rPr>
        <w:t>Eduardo F.</w:t>
      </w:r>
      <w:r>
        <w:rPr>
          <w:sz w:val="24"/>
        </w:rPr>
        <w:t xml:space="preserve"> </w:t>
      </w:r>
      <w:r>
        <w:rPr>
          <w:spacing w:val="-1"/>
          <w:sz w:val="24"/>
        </w:rPr>
        <w:t>Héctor</w:t>
      </w:r>
      <w:r>
        <w:rPr>
          <w:spacing w:val="-16"/>
          <w:sz w:val="24"/>
        </w:rPr>
        <w:t xml:space="preserve"> </w:t>
      </w:r>
      <w:r>
        <w:rPr>
          <w:spacing w:val="-1"/>
          <w:sz w:val="24"/>
        </w:rPr>
        <w:t>Ardisana</w:t>
      </w:r>
      <w:r>
        <w:rPr>
          <w:spacing w:val="-1"/>
          <w:position w:val="8"/>
          <w:sz w:val="16"/>
        </w:rPr>
        <w:t>d</w:t>
      </w:r>
      <w:r>
        <w:rPr>
          <w:spacing w:val="-1"/>
          <w:sz w:val="24"/>
        </w:rPr>
        <w:t>,</w:t>
      </w:r>
      <w:r>
        <w:rPr>
          <w:spacing w:val="-7"/>
          <w:sz w:val="24"/>
        </w:rPr>
        <w:t xml:space="preserve"> </w:t>
      </w:r>
      <w:r>
        <w:rPr>
          <w:spacing w:val="-1"/>
          <w:sz w:val="24"/>
        </w:rPr>
        <w:t>Tomas J.</w:t>
      </w:r>
      <w:r>
        <w:rPr>
          <w:sz w:val="24"/>
        </w:rPr>
        <w:t xml:space="preserve"> </w:t>
      </w:r>
      <w:r>
        <w:rPr>
          <w:spacing w:val="-1"/>
          <w:sz w:val="24"/>
        </w:rPr>
        <w:t>Guzmán Hernández</w:t>
      </w:r>
      <w:r>
        <w:rPr>
          <w:spacing w:val="-1"/>
          <w:position w:val="8"/>
          <w:sz w:val="16"/>
        </w:rPr>
        <w:t>e</w:t>
      </w:r>
    </w:p>
    <w:p w14:paraId="6DA308CB" w14:textId="77777777" w:rsidR="00D63F2F" w:rsidRDefault="00D63F2F" w:rsidP="00D63F2F">
      <w:pPr>
        <w:spacing w:before="243" w:line="259" w:lineRule="auto"/>
        <w:ind w:left="102"/>
        <w:rPr>
          <w:rFonts w:ascii="Calibri" w:hAnsi="Calibri"/>
          <w:sz w:val="16"/>
        </w:rPr>
      </w:pPr>
      <w:r>
        <w:rPr>
          <w:rFonts w:ascii="Calibri" w:hAnsi="Calibri"/>
          <w:sz w:val="16"/>
          <w:vertAlign w:val="superscript"/>
        </w:rPr>
        <w:t>a</w:t>
      </w:r>
      <w:r>
        <w:rPr>
          <w:rFonts w:ascii="Calibri" w:hAnsi="Calibri"/>
          <w:spacing w:val="1"/>
          <w:sz w:val="16"/>
        </w:rPr>
        <w:t xml:space="preserve"> </w:t>
      </w:r>
      <w:r>
        <w:rPr>
          <w:rFonts w:ascii="Calibri" w:hAnsi="Calibri"/>
          <w:sz w:val="16"/>
        </w:rPr>
        <w:t>Grupo</w:t>
      </w:r>
      <w:r>
        <w:rPr>
          <w:rFonts w:ascii="Calibri" w:hAnsi="Calibri"/>
          <w:spacing w:val="1"/>
          <w:sz w:val="16"/>
        </w:rPr>
        <w:t xml:space="preserve"> </w:t>
      </w:r>
      <w:r>
        <w:rPr>
          <w:rFonts w:ascii="Calibri" w:hAnsi="Calibri"/>
          <w:sz w:val="16"/>
        </w:rPr>
        <w:t>de</w:t>
      </w:r>
      <w:r>
        <w:rPr>
          <w:rFonts w:ascii="Calibri" w:hAnsi="Calibri"/>
          <w:spacing w:val="1"/>
          <w:sz w:val="16"/>
        </w:rPr>
        <w:t xml:space="preserve"> </w:t>
      </w:r>
      <w:r>
        <w:rPr>
          <w:rFonts w:ascii="Calibri" w:hAnsi="Calibri"/>
          <w:sz w:val="16"/>
        </w:rPr>
        <w:t>Investigación</w:t>
      </w:r>
      <w:r>
        <w:rPr>
          <w:rFonts w:ascii="Calibri" w:hAnsi="Calibri"/>
          <w:spacing w:val="1"/>
          <w:sz w:val="16"/>
        </w:rPr>
        <w:t xml:space="preserve"> </w:t>
      </w:r>
      <w:r>
        <w:rPr>
          <w:rFonts w:ascii="Calibri" w:hAnsi="Calibri"/>
          <w:sz w:val="16"/>
        </w:rPr>
        <w:t>e</w:t>
      </w:r>
      <w:r>
        <w:rPr>
          <w:rFonts w:ascii="Calibri" w:hAnsi="Calibri"/>
          <w:spacing w:val="1"/>
          <w:sz w:val="16"/>
        </w:rPr>
        <w:t xml:space="preserve"> </w:t>
      </w:r>
      <w:r>
        <w:rPr>
          <w:rFonts w:ascii="Calibri" w:hAnsi="Calibri"/>
          <w:sz w:val="16"/>
        </w:rPr>
        <w:t>Innovación</w:t>
      </w:r>
      <w:r>
        <w:rPr>
          <w:rFonts w:ascii="Calibri" w:hAnsi="Calibri"/>
          <w:spacing w:val="1"/>
          <w:sz w:val="16"/>
        </w:rPr>
        <w:t xml:space="preserve"> </w:t>
      </w:r>
      <w:r>
        <w:rPr>
          <w:rFonts w:ascii="Calibri" w:hAnsi="Calibri"/>
          <w:sz w:val="16"/>
        </w:rPr>
        <w:t>Agroindustrial</w:t>
      </w:r>
      <w:r>
        <w:rPr>
          <w:rFonts w:ascii="Calibri" w:hAnsi="Calibri"/>
          <w:spacing w:val="1"/>
          <w:sz w:val="16"/>
        </w:rPr>
        <w:t xml:space="preserve"> </w:t>
      </w:r>
      <w:r>
        <w:rPr>
          <w:rFonts w:ascii="Calibri" w:hAnsi="Calibri"/>
          <w:sz w:val="16"/>
        </w:rPr>
        <w:t>–</w:t>
      </w:r>
      <w:r>
        <w:rPr>
          <w:rFonts w:ascii="Calibri" w:hAnsi="Calibri"/>
          <w:spacing w:val="1"/>
          <w:sz w:val="16"/>
        </w:rPr>
        <w:t xml:space="preserve"> </w:t>
      </w:r>
      <w:r>
        <w:rPr>
          <w:rFonts w:ascii="Calibri" w:hAnsi="Calibri"/>
          <w:sz w:val="16"/>
        </w:rPr>
        <w:t>GINNA,</w:t>
      </w:r>
      <w:r>
        <w:rPr>
          <w:rFonts w:ascii="Calibri" w:hAnsi="Calibri"/>
          <w:spacing w:val="1"/>
          <w:sz w:val="16"/>
        </w:rPr>
        <w:t xml:space="preserve"> </w:t>
      </w:r>
      <w:r>
        <w:rPr>
          <w:rFonts w:ascii="Calibri" w:hAnsi="Calibri"/>
          <w:sz w:val="16"/>
        </w:rPr>
        <w:t>Fundación</w:t>
      </w:r>
      <w:r>
        <w:rPr>
          <w:rFonts w:ascii="Calibri" w:hAnsi="Calibri"/>
          <w:spacing w:val="1"/>
          <w:sz w:val="16"/>
        </w:rPr>
        <w:t xml:space="preserve"> </w:t>
      </w:r>
      <w:r>
        <w:rPr>
          <w:rFonts w:ascii="Calibri" w:hAnsi="Calibri"/>
          <w:sz w:val="16"/>
        </w:rPr>
        <w:t>Universitaria</w:t>
      </w:r>
      <w:r>
        <w:rPr>
          <w:rFonts w:ascii="Calibri" w:hAnsi="Calibri"/>
          <w:spacing w:val="1"/>
          <w:sz w:val="16"/>
        </w:rPr>
        <w:t xml:space="preserve"> </w:t>
      </w:r>
      <w:r>
        <w:rPr>
          <w:rFonts w:ascii="Calibri" w:hAnsi="Calibri"/>
          <w:sz w:val="16"/>
        </w:rPr>
        <w:t>Agraria</w:t>
      </w:r>
      <w:r>
        <w:rPr>
          <w:rFonts w:ascii="Calibri" w:hAnsi="Calibri"/>
          <w:spacing w:val="1"/>
          <w:sz w:val="16"/>
        </w:rPr>
        <w:t xml:space="preserve"> </w:t>
      </w:r>
      <w:r>
        <w:rPr>
          <w:rFonts w:ascii="Calibri" w:hAnsi="Calibri"/>
          <w:sz w:val="16"/>
        </w:rPr>
        <w:t>de Colombia</w:t>
      </w:r>
      <w:r>
        <w:rPr>
          <w:rFonts w:ascii="Calibri" w:hAnsi="Calibri"/>
          <w:spacing w:val="1"/>
          <w:sz w:val="16"/>
        </w:rPr>
        <w:t xml:space="preserve"> </w:t>
      </w:r>
      <w:r>
        <w:rPr>
          <w:rFonts w:ascii="Calibri" w:hAnsi="Calibri"/>
          <w:sz w:val="16"/>
        </w:rPr>
        <w:t>–</w:t>
      </w:r>
      <w:r>
        <w:rPr>
          <w:rFonts w:ascii="Calibri" w:hAnsi="Calibri"/>
          <w:spacing w:val="1"/>
          <w:sz w:val="16"/>
        </w:rPr>
        <w:t xml:space="preserve"> </w:t>
      </w:r>
      <w:r>
        <w:rPr>
          <w:rFonts w:ascii="Calibri" w:hAnsi="Calibri"/>
          <w:sz w:val="16"/>
        </w:rPr>
        <w:t>UNIAGRARIA,</w:t>
      </w:r>
      <w:r>
        <w:rPr>
          <w:rFonts w:ascii="Calibri" w:hAnsi="Calibri"/>
          <w:spacing w:val="-35"/>
          <w:sz w:val="16"/>
        </w:rPr>
        <w:t xml:space="preserve"> </w:t>
      </w:r>
      <w:r>
        <w:rPr>
          <w:rFonts w:ascii="Calibri" w:hAnsi="Calibri"/>
          <w:sz w:val="16"/>
        </w:rPr>
        <w:t>Colombia.</w:t>
      </w:r>
    </w:p>
    <w:p w14:paraId="22953BE6" w14:textId="77777777" w:rsidR="00D63F2F" w:rsidRDefault="00D63F2F" w:rsidP="00D63F2F">
      <w:pPr>
        <w:ind w:left="102"/>
        <w:rPr>
          <w:rFonts w:ascii="Calibri" w:hAnsi="Calibri"/>
          <w:sz w:val="16"/>
        </w:rPr>
      </w:pPr>
      <w:r>
        <w:rPr>
          <w:rFonts w:ascii="Calibri" w:hAnsi="Calibri"/>
          <w:sz w:val="16"/>
          <w:vertAlign w:val="superscript"/>
        </w:rPr>
        <w:t>b</w:t>
      </w:r>
      <w:r>
        <w:rPr>
          <w:rFonts w:ascii="Calibri" w:hAnsi="Calibri"/>
          <w:spacing w:val="-6"/>
          <w:sz w:val="16"/>
        </w:rPr>
        <w:t xml:space="preserve"> </w:t>
      </w:r>
      <w:r>
        <w:rPr>
          <w:rFonts w:ascii="Calibri" w:hAnsi="Calibri"/>
          <w:sz w:val="16"/>
        </w:rPr>
        <w:t>Facultad</w:t>
      </w:r>
      <w:r>
        <w:rPr>
          <w:rFonts w:ascii="Calibri" w:hAnsi="Calibri"/>
          <w:spacing w:val="-5"/>
          <w:sz w:val="16"/>
        </w:rPr>
        <w:t xml:space="preserve"> </w:t>
      </w:r>
      <w:r>
        <w:rPr>
          <w:rFonts w:ascii="Calibri" w:hAnsi="Calibri"/>
          <w:sz w:val="16"/>
        </w:rPr>
        <w:t>de</w:t>
      </w:r>
      <w:r>
        <w:rPr>
          <w:rFonts w:ascii="Calibri" w:hAnsi="Calibri"/>
          <w:spacing w:val="-5"/>
          <w:sz w:val="16"/>
        </w:rPr>
        <w:t xml:space="preserve"> </w:t>
      </w:r>
      <w:r>
        <w:rPr>
          <w:rFonts w:ascii="Calibri" w:hAnsi="Calibri"/>
          <w:sz w:val="16"/>
        </w:rPr>
        <w:t>Ingeniería,</w:t>
      </w:r>
      <w:r>
        <w:rPr>
          <w:rFonts w:ascii="Calibri" w:hAnsi="Calibri"/>
          <w:spacing w:val="-4"/>
          <w:sz w:val="16"/>
        </w:rPr>
        <w:t xml:space="preserve"> </w:t>
      </w:r>
      <w:r>
        <w:rPr>
          <w:rFonts w:ascii="Calibri" w:hAnsi="Calibri"/>
          <w:sz w:val="16"/>
        </w:rPr>
        <w:t>Universidad</w:t>
      </w:r>
      <w:r>
        <w:rPr>
          <w:rFonts w:ascii="Calibri" w:hAnsi="Calibri"/>
          <w:spacing w:val="-4"/>
          <w:sz w:val="16"/>
        </w:rPr>
        <w:t xml:space="preserve"> </w:t>
      </w:r>
      <w:r>
        <w:rPr>
          <w:rFonts w:ascii="Calibri" w:hAnsi="Calibri"/>
          <w:sz w:val="16"/>
        </w:rPr>
        <w:t>Cooperativa</w:t>
      </w:r>
      <w:r>
        <w:rPr>
          <w:rFonts w:ascii="Calibri" w:hAnsi="Calibri"/>
          <w:spacing w:val="-5"/>
          <w:sz w:val="16"/>
        </w:rPr>
        <w:t xml:space="preserve"> </w:t>
      </w:r>
      <w:r>
        <w:rPr>
          <w:rFonts w:ascii="Calibri" w:hAnsi="Calibri"/>
          <w:sz w:val="16"/>
        </w:rPr>
        <w:t>de</w:t>
      </w:r>
      <w:r>
        <w:rPr>
          <w:rFonts w:ascii="Calibri" w:hAnsi="Calibri"/>
          <w:spacing w:val="-6"/>
          <w:sz w:val="16"/>
        </w:rPr>
        <w:t xml:space="preserve"> </w:t>
      </w:r>
      <w:r>
        <w:rPr>
          <w:rFonts w:ascii="Calibri" w:hAnsi="Calibri"/>
          <w:sz w:val="16"/>
        </w:rPr>
        <w:t>Colombia</w:t>
      </w:r>
      <w:r>
        <w:rPr>
          <w:rFonts w:ascii="Calibri" w:hAnsi="Calibri"/>
          <w:spacing w:val="-3"/>
          <w:sz w:val="16"/>
        </w:rPr>
        <w:t xml:space="preserve"> </w:t>
      </w:r>
      <w:r>
        <w:rPr>
          <w:rFonts w:ascii="Calibri" w:hAnsi="Calibri"/>
          <w:sz w:val="16"/>
        </w:rPr>
        <w:t>-</w:t>
      </w:r>
      <w:r>
        <w:rPr>
          <w:rFonts w:ascii="Calibri" w:hAnsi="Calibri"/>
          <w:spacing w:val="-4"/>
          <w:sz w:val="16"/>
        </w:rPr>
        <w:t xml:space="preserve"> </w:t>
      </w:r>
      <w:r>
        <w:rPr>
          <w:rFonts w:ascii="Calibri" w:hAnsi="Calibri"/>
          <w:sz w:val="16"/>
        </w:rPr>
        <w:t>UCC,</w:t>
      </w:r>
      <w:r>
        <w:rPr>
          <w:rFonts w:ascii="Calibri" w:hAnsi="Calibri"/>
          <w:spacing w:val="-4"/>
          <w:sz w:val="16"/>
        </w:rPr>
        <w:t xml:space="preserve"> </w:t>
      </w:r>
      <w:r>
        <w:rPr>
          <w:rFonts w:ascii="Calibri" w:hAnsi="Calibri"/>
          <w:sz w:val="16"/>
        </w:rPr>
        <w:t>Avenida</w:t>
      </w:r>
      <w:r>
        <w:rPr>
          <w:rFonts w:ascii="Calibri" w:hAnsi="Calibri"/>
          <w:spacing w:val="-5"/>
          <w:sz w:val="16"/>
        </w:rPr>
        <w:t xml:space="preserve"> </w:t>
      </w:r>
      <w:r>
        <w:rPr>
          <w:rFonts w:ascii="Calibri" w:hAnsi="Calibri"/>
          <w:sz w:val="16"/>
        </w:rPr>
        <w:t>Caracas</w:t>
      </w:r>
      <w:r>
        <w:rPr>
          <w:rFonts w:ascii="Calibri" w:hAnsi="Calibri"/>
          <w:spacing w:val="-5"/>
          <w:sz w:val="16"/>
        </w:rPr>
        <w:t xml:space="preserve"> </w:t>
      </w:r>
      <w:r>
        <w:rPr>
          <w:rFonts w:ascii="Calibri" w:hAnsi="Calibri"/>
          <w:sz w:val="16"/>
        </w:rPr>
        <w:t>37-63,</w:t>
      </w:r>
      <w:r>
        <w:rPr>
          <w:rFonts w:ascii="Calibri" w:hAnsi="Calibri"/>
          <w:spacing w:val="-5"/>
          <w:sz w:val="16"/>
        </w:rPr>
        <w:t xml:space="preserve"> </w:t>
      </w:r>
      <w:r>
        <w:rPr>
          <w:rFonts w:ascii="Calibri" w:hAnsi="Calibri"/>
          <w:sz w:val="16"/>
        </w:rPr>
        <w:t>Bogotá,</w:t>
      </w:r>
      <w:r>
        <w:rPr>
          <w:rFonts w:ascii="Calibri" w:hAnsi="Calibri"/>
          <w:spacing w:val="-4"/>
          <w:sz w:val="16"/>
        </w:rPr>
        <w:t xml:space="preserve"> </w:t>
      </w:r>
      <w:r>
        <w:rPr>
          <w:rFonts w:ascii="Calibri" w:hAnsi="Calibri"/>
          <w:sz w:val="16"/>
        </w:rPr>
        <w:t>Colombia.</w:t>
      </w:r>
    </w:p>
    <w:p w14:paraId="5227AC9D" w14:textId="77777777" w:rsidR="00D63F2F" w:rsidRDefault="00D63F2F" w:rsidP="00D63F2F">
      <w:pPr>
        <w:spacing w:before="16"/>
        <w:ind w:left="102"/>
        <w:rPr>
          <w:sz w:val="16"/>
        </w:rPr>
      </w:pPr>
      <w:r>
        <w:rPr>
          <w:spacing w:val="-1"/>
          <w:sz w:val="16"/>
          <w:vertAlign w:val="superscript"/>
        </w:rPr>
        <w:t>c</w:t>
      </w:r>
      <w:r>
        <w:rPr>
          <w:spacing w:val="-16"/>
          <w:sz w:val="16"/>
        </w:rPr>
        <w:t xml:space="preserve"> </w:t>
      </w:r>
      <w:r>
        <w:rPr>
          <w:spacing w:val="-1"/>
          <w:sz w:val="16"/>
        </w:rPr>
        <w:t>Universidad</w:t>
      </w:r>
      <w:r>
        <w:rPr>
          <w:sz w:val="16"/>
        </w:rPr>
        <w:t xml:space="preserve"> </w:t>
      </w:r>
      <w:r>
        <w:rPr>
          <w:spacing w:val="-1"/>
          <w:sz w:val="16"/>
        </w:rPr>
        <w:t>Nacional</w:t>
      </w:r>
      <w:r>
        <w:rPr>
          <w:spacing w:val="-9"/>
          <w:sz w:val="16"/>
        </w:rPr>
        <w:t xml:space="preserve"> </w:t>
      </w:r>
      <w:r>
        <w:rPr>
          <w:sz w:val="16"/>
        </w:rPr>
        <w:t>Abierta</w:t>
      </w:r>
      <w:r>
        <w:rPr>
          <w:spacing w:val="-1"/>
          <w:sz w:val="16"/>
        </w:rPr>
        <w:t xml:space="preserve"> </w:t>
      </w:r>
      <w:r>
        <w:rPr>
          <w:sz w:val="16"/>
        </w:rPr>
        <w:t>y</w:t>
      </w:r>
      <w:r>
        <w:rPr>
          <w:spacing w:val="2"/>
          <w:sz w:val="16"/>
        </w:rPr>
        <w:t xml:space="preserve"> </w:t>
      </w:r>
      <w:r>
        <w:rPr>
          <w:sz w:val="16"/>
        </w:rPr>
        <w:t>a</w:t>
      </w:r>
      <w:r>
        <w:rPr>
          <w:spacing w:val="-5"/>
          <w:sz w:val="16"/>
        </w:rPr>
        <w:t xml:space="preserve"> </w:t>
      </w:r>
      <w:r>
        <w:rPr>
          <w:sz w:val="16"/>
        </w:rPr>
        <w:t>Distancia</w:t>
      </w:r>
      <w:r>
        <w:rPr>
          <w:spacing w:val="4"/>
          <w:sz w:val="16"/>
        </w:rPr>
        <w:t xml:space="preserve"> </w:t>
      </w:r>
      <w:r>
        <w:rPr>
          <w:sz w:val="16"/>
        </w:rPr>
        <w:t>–</w:t>
      </w:r>
      <w:r>
        <w:rPr>
          <w:spacing w:val="-2"/>
          <w:sz w:val="16"/>
        </w:rPr>
        <w:t xml:space="preserve"> </w:t>
      </w:r>
      <w:r>
        <w:rPr>
          <w:sz w:val="16"/>
        </w:rPr>
        <w:t>UNAD.</w:t>
      </w:r>
    </w:p>
    <w:p w14:paraId="5715D681" w14:textId="77777777" w:rsidR="00D63F2F" w:rsidRDefault="00D63F2F" w:rsidP="00D63F2F">
      <w:pPr>
        <w:spacing w:before="27"/>
        <w:ind w:left="102"/>
        <w:rPr>
          <w:sz w:val="16"/>
        </w:rPr>
      </w:pPr>
      <w:r>
        <w:rPr>
          <w:spacing w:val="-1"/>
          <w:sz w:val="16"/>
          <w:vertAlign w:val="superscript"/>
        </w:rPr>
        <w:t>d</w:t>
      </w:r>
      <w:r>
        <w:rPr>
          <w:spacing w:val="-17"/>
          <w:sz w:val="16"/>
        </w:rPr>
        <w:t xml:space="preserve"> </w:t>
      </w:r>
      <w:r>
        <w:rPr>
          <w:spacing w:val="-1"/>
          <w:sz w:val="16"/>
        </w:rPr>
        <w:t>Universidad</w:t>
      </w:r>
      <w:r>
        <w:rPr>
          <w:spacing w:val="-4"/>
          <w:sz w:val="16"/>
        </w:rPr>
        <w:t xml:space="preserve"> </w:t>
      </w:r>
      <w:r>
        <w:rPr>
          <w:sz w:val="16"/>
        </w:rPr>
        <w:t>Técnica</w:t>
      </w:r>
      <w:r>
        <w:rPr>
          <w:spacing w:val="2"/>
          <w:sz w:val="16"/>
        </w:rPr>
        <w:t xml:space="preserve"> </w:t>
      </w:r>
      <w:r>
        <w:rPr>
          <w:sz w:val="16"/>
        </w:rPr>
        <w:t>de</w:t>
      </w:r>
      <w:r>
        <w:rPr>
          <w:spacing w:val="-1"/>
          <w:sz w:val="16"/>
        </w:rPr>
        <w:t xml:space="preserve"> </w:t>
      </w:r>
      <w:r>
        <w:rPr>
          <w:sz w:val="16"/>
        </w:rPr>
        <w:t>Manabí,</w:t>
      </w:r>
      <w:r>
        <w:rPr>
          <w:spacing w:val="-2"/>
          <w:sz w:val="16"/>
        </w:rPr>
        <w:t xml:space="preserve"> </w:t>
      </w:r>
      <w:r>
        <w:rPr>
          <w:sz w:val="16"/>
        </w:rPr>
        <w:t>Ecuador</w:t>
      </w:r>
    </w:p>
    <w:p w14:paraId="7BD2FA09" w14:textId="77777777" w:rsidR="00D63F2F" w:rsidRDefault="00D63F2F" w:rsidP="00D63F2F">
      <w:pPr>
        <w:spacing w:before="27" w:line="278" w:lineRule="auto"/>
        <w:ind w:left="102"/>
        <w:rPr>
          <w:rFonts w:ascii="Calibri" w:hAnsi="Calibri"/>
          <w:sz w:val="16"/>
        </w:rPr>
      </w:pPr>
      <w:r>
        <w:rPr>
          <w:sz w:val="16"/>
          <w:vertAlign w:val="superscript"/>
        </w:rPr>
        <w:t>e</w:t>
      </w:r>
      <w:r>
        <w:rPr>
          <w:spacing w:val="-8"/>
          <w:sz w:val="16"/>
        </w:rPr>
        <w:t xml:space="preserve"> </w:t>
      </w:r>
      <w:r>
        <w:rPr>
          <w:rFonts w:ascii="Calibri" w:hAnsi="Calibri"/>
          <w:sz w:val="16"/>
        </w:rPr>
        <w:t>Doctorado</w:t>
      </w:r>
      <w:r>
        <w:rPr>
          <w:rFonts w:ascii="Calibri" w:hAnsi="Calibri"/>
          <w:spacing w:val="9"/>
          <w:sz w:val="16"/>
        </w:rPr>
        <w:t xml:space="preserve"> </w:t>
      </w:r>
      <w:r>
        <w:rPr>
          <w:rFonts w:ascii="Calibri" w:hAnsi="Calibri"/>
          <w:sz w:val="16"/>
        </w:rPr>
        <w:t>en</w:t>
      </w:r>
      <w:r>
        <w:rPr>
          <w:rFonts w:ascii="Calibri" w:hAnsi="Calibri"/>
          <w:spacing w:val="9"/>
          <w:sz w:val="16"/>
        </w:rPr>
        <w:t xml:space="preserve"> </w:t>
      </w:r>
      <w:r>
        <w:rPr>
          <w:rFonts w:ascii="Calibri" w:hAnsi="Calibri"/>
          <w:sz w:val="16"/>
        </w:rPr>
        <w:t>Ciencias</w:t>
      </w:r>
      <w:r>
        <w:rPr>
          <w:rFonts w:ascii="Calibri" w:hAnsi="Calibri"/>
          <w:spacing w:val="10"/>
          <w:sz w:val="16"/>
        </w:rPr>
        <w:t xml:space="preserve"> </w:t>
      </w:r>
      <w:r>
        <w:rPr>
          <w:rFonts w:ascii="Calibri" w:hAnsi="Calibri"/>
          <w:sz w:val="16"/>
        </w:rPr>
        <w:t>Naturales</w:t>
      </w:r>
      <w:r>
        <w:rPr>
          <w:rFonts w:ascii="Calibri" w:hAnsi="Calibri"/>
          <w:spacing w:val="11"/>
          <w:sz w:val="16"/>
        </w:rPr>
        <w:t xml:space="preserve"> </w:t>
      </w:r>
      <w:r>
        <w:rPr>
          <w:rFonts w:ascii="Calibri" w:hAnsi="Calibri"/>
          <w:sz w:val="16"/>
        </w:rPr>
        <w:t>para</w:t>
      </w:r>
      <w:r>
        <w:rPr>
          <w:rFonts w:ascii="Calibri" w:hAnsi="Calibri"/>
          <w:spacing w:val="10"/>
          <w:sz w:val="16"/>
        </w:rPr>
        <w:t xml:space="preserve"> </w:t>
      </w:r>
      <w:r>
        <w:rPr>
          <w:rFonts w:ascii="Calibri" w:hAnsi="Calibri"/>
          <w:sz w:val="16"/>
        </w:rPr>
        <w:t>el</w:t>
      </w:r>
      <w:r>
        <w:rPr>
          <w:rFonts w:ascii="Calibri" w:hAnsi="Calibri"/>
          <w:spacing w:val="9"/>
          <w:sz w:val="16"/>
        </w:rPr>
        <w:t xml:space="preserve"> </w:t>
      </w:r>
      <w:r>
        <w:rPr>
          <w:rFonts w:ascii="Calibri" w:hAnsi="Calibri"/>
          <w:sz w:val="16"/>
        </w:rPr>
        <w:t>Desarrollo</w:t>
      </w:r>
      <w:r>
        <w:rPr>
          <w:rFonts w:ascii="Calibri" w:hAnsi="Calibri"/>
          <w:spacing w:val="11"/>
          <w:sz w:val="16"/>
        </w:rPr>
        <w:t xml:space="preserve"> </w:t>
      </w:r>
      <w:r>
        <w:rPr>
          <w:rFonts w:ascii="Calibri" w:hAnsi="Calibri"/>
          <w:sz w:val="16"/>
        </w:rPr>
        <w:t>(DOCINADE).</w:t>
      </w:r>
      <w:r>
        <w:rPr>
          <w:rFonts w:ascii="Calibri" w:hAnsi="Calibri"/>
          <w:spacing w:val="-1"/>
          <w:sz w:val="16"/>
        </w:rPr>
        <w:t xml:space="preserve"> </w:t>
      </w:r>
      <w:r>
        <w:rPr>
          <w:rFonts w:ascii="Calibri" w:hAnsi="Calibri"/>
          <w:sz w:val="16"/>
        </w:rPr>
        <w:t>Instituto</w:t>
      </w:r>
      <w:r>
        <w:rPr>
          <w:rFonts w:ascii="Calibri" w:hAnsi="Calibri"/>
          <w:spacing w:val="10"/>
          <w:sz w:val="16"/>
        </w:rPr>
        <w:t xml:space="preserve"> </w:t>
      </w:r>
      <w:r>
        <w:rPr>
          <w:rFonts w:ascii="Calibri" w:hAnsi="Calibri"/>
          <w:sz w:val="16"/>
        </w:rPr>
        <w:t>Tecnológico</w:t>
      </w:r>
      <w:r>
        <w:rPr>
          <w:rFonts w:ascii="Calibri" w:hAnsi="Calibri"/>
          <w:spacing w:val="9"/>
          <w:sz w:val="16"/>
        </w:rPr>
        <w:t xml:space="preserve"> </w:t>
      </w:r>
      <w:r>
        <w:rPr>
          <w:rFonts w:ascii="Calibri" w:hAnsi="Calibri"/>
          <w:sz w:val="16"/>
        </w:rPr>
        <w:t>de</w:t>
      </w:r>
      <w:r>
        <w:rPr>
          <w:rFonts w:ascii="Calibri" w:hAnsi="Calibri"/>
          <w:spacing w:val="9"/>
          <w:sz w:val="16"/>
        </w:rPr>
        <w:t xml:space="preserve"> </w:t>
      </w:r>
      <w:r>
        <w:rPr>
          <w:rFonts w:ascii="Calibri" w:hAnsi="Calibri"/>
          <w:sz w:val="16"/>
        </w:rPr>
        <w:t>Costa</w:t>
      </w:r>
      <w:r>
        <w:rPr>
          <w:rFonts w:ascii="Calibri" w:hAnsi="Calibri"/>
          <w:spacing w:val="9"/>
          <w:sz w:val="16"/>
        </w:rPr>
        <w:t xml:space="preserve"> </w:t>
      </w:r>
      <w:r>
        <w:rPr>
          <w:rFonts w:ascii="Calibri" w:hAnsi="Calibri"/>
          <w:sz w:val="16"/>
        </w:rPr>
        <w:t>Rica,</w:t>
      </w:r>
      <w:r>
        <w:rPr>
          <w:rFonts w:ascii="Calibri" w:hAnsi="Calibri"/>
          <w:spacing w:val="11"/>
          <w:sz w:val="16"/>
        </w:rPr>
        <w:t xml:space="preserve"> </w:t>
      </w:r>
      <w:r>
        <w:rPr>
          <w:rFonts w:ascii="Calibri" w:hAnsi="Calibri"/>
          <w:sz w:val="16"/>
        </w:rPr>
        <w:t>Sede</w:t>
      </w:r>
      <w:r>
        <w:rPr>
          <w:rFonts w:ascii="Calibri" w:hAnsi="Calibri"/>
          <w:spacing w:val="8"/>
          <w:sz w:val="16"/>
        </w:rPr>
        <w:t xml:space="preserve"> </w:t>
      </w:r>
      <w:r>
        <w:rPr>
          <w:rFonts w:ascii="Calibri" w:hAnsi="Calibri"/>
          <w:sz w:val="16"/>
        </w:rPr>
        <w:t>Regional</w:t>
      </w:r>
      <w:r>
        <w:rPr>
          <w:rFonts w:ascii="Calibri" w:hAnsi="Calibri"/>
          <w:spacing w:val="9"/>
          <w:sz w:val="16"/>
        </w:rPr>
        <w:t xml:space="preserve"> </w:t>
      </w:r>
      <w:r>
        <w:rPr>
          <w:rFonts w:ascii="Calibri" w:hAnsi="Calibri"/>
          <w:sz w:val="16"/>
        </w:rPr>
        <w:t>San</w:t>
      </w:r>
      <w:r>
        <w:rPr>
          <w:rFonts w:ascii="Calibri" w:hAnsi="Calibri"/>
          <w:spacing w:val="10"/>
          <w:sz w:val="16"/>
        </w:rPr>
        <w:t xml:space="preserve"> </w:t>
      </w:r>
      <w:r>
        <w:rPr>
          <w:rFonts w:ascii="Calibri" w:hAnsi="Calibri"/>
          <w:sz w:val="16"/>
        </w:rPr>
        <w:t>Carlos,</w:t>
      </w:r>
      <w:r>
        <w:rPr>
          <w:rFonts w:ascii="Calibri" w:hAnsi="Calibri"/>
          <w:spacing w:val="1"/>
          <w:sz w:val="16"/>
        </w:rPr>
        <w:t xml:space="preserve"> </w:t>
      </w:r>
      <w:r>
        <w:rPr>
          <w:rFonts w:ascii="Calibri" w:hAnsi="Calibri"/>
          <w:sz w:val="16"/>
        </w:rPr>
        <w:t>Costa</w:t>
      </w:r>
      <w:r>
        <w:rPr>
          <w:rFonts w:ascii="Calibri" w:hAnsi="Calibri"/>
          <w:spacing w:val="-2"/>
          <w:sz w:val="16"/>
        </w:rPr>
        <w:t xml:space="preserve"> </w:t>
      </w:r>
      <w:r>
        <w:rPr>
          <w:rFonts w:ascii="Calibri" w:hAnsi="Calibri"/>
          <w:sz w:val="16"/>
        </w:rPr>
        <w:t>Rica</w:t>
      </w:r>
    </w:p>
    <w:p w14:paraId="67CF300A" w14:textId="77777777" w:rsidR="00D63F2F" w:rsidRDefault="009C5BD5" w:rsidP="00D63F2F">
      <w:pPr>
        <w:spacing w:line="180" w:lineRule="exact"/>
        <w:ind w:left="102"/>
        <w:rPr>
          <w:sz w:val="16"/>
        </w:rPr>
      </w:pPr>
      <w:hyperlink r:id="rId10">
        <w:r w:rsidR="00D63F2F">
          <w:rPr>
            <w:color w:val="0000FF"/>
            <w:sz w:val="16"/>
            <w:u w:val="single" w:color="0000FF"/>
          </w:rPr>
          <w:t>*deivissr2000@hotmail.com</w:t>
        </w:r>
      </w:hyperlink>
    </w:p>
    <w:p w14:paraId="4024B341" w14:textId="77777777" w:rsidR="00D63F2F" w:rsidRDefault="00D63F2F" w:rsidP="00600535">
      <w:pPr>
        <w:pStyle w:val="CETBodytext"/>
        <w:rPr>
          <w:lang w:val="en-GB"/>
        </w:rPr>
      </w:pPr>
    </w:p>
    <w:p w14:paraId="4C841308" w14:textId="136A6609" w:rsidR="00D63F2F" w:rsidRDefault="00D63F2F" w:rsidP="00D63F2F">
      <w:pPr>
        <w:pStyle w:val="Textoindependiente"/>
        <w:spacing w:before="32" w:line="259" w:lineRule="auto"/>
      </w:pPr>
      <w:r>
        <w:t>In</w:t>
      </w:r>
      <w:r>
        <w:rPr>
          <w:spacing w:val="-12"/>
        </w:rPr>
        <w:t xml:space="preserve"> </w:t>
      </w:r>
      <w:r>
        <w:t>recent</w:t>
      </w:r>
      <w:r>
        <w:rPr>
          <w:spacing w:val="-10"/>
        </w:rPr>
        <w:t xml:space="preserve"> </w:t>
      </w:r>
      <w:r>
        <w:t>years,</w:t>
      </w:r>
      <w:r>
        <w:rPr>
          <w:spacing w:val="-11"/>
        </w:rPr>
        <w:t xml:space="preserve"> </w:t>
      </w:r>
      <w:r>
        <w:t>the</w:t>
      </w:r>
      <w:r>
        <w:rPr>
          <w:spacing w:val="-12"/>
        </w:rPr>
        <w:t xml:space="preserve"> </w:t>
      </w:r>
      <w:r>
        <w:t>use</w:t>
      </w:r>
      <w:r>
        <w:rPr>
          <w:spacing w:val="-10"/>
        </w:rPr>
        <w:t xml:space="preserve"> </w:t>
      </w:r>
      <w:r>
        <w:t>of</w:t>
      </w:r>
      <w:r>
        <w:rPr>
          <w:spacing w:val="-7"/>
        </w:rPr>
        <w:t xml:space="preserve"> </w:t>
      </w:r>
      <w:r>
        <w:t>electromagnetic</w:t>
      </w:r>
      <w:r>
        <w:rPr>
          <w:spacing w:val="-12"/>
        </w:rPr>
        <w:t xml:space="preserve"> </w:t>
      </w:r>
      <w:r>
        <w:t>fields</w:t>
      </w:r>
      <w:r>
        <w:rPr>
          <w:spacing w:val="-9"/>
        </w:rPr>
        <w:t xml:space="preserve"> </w:t>
      </w:r>
      <w:r>
        <w:t>as</w:t>
      </w:r>
      <w:r>
        <w:rPr>
          <w:spacing w:val="-9"/>
        </w:rPr>
        <w:t xml:space="preserve"> </w:t>
      </w:r>
      <w:r>
        <w:t>an</w:t>
      </w:r>
      <w:r>
        <w:rPr>
          <w:spacing w:val="-9"/>
        </w:rPr>
        <w:t xml:space="preserve"> </w:t>
      </w:r>
      <w:r>
        <w:t>enhancer</w:t>
      </w:r>
      <w:r>
        <w:rPr>
          <w:spacing w:val="-9"/>
        </w:rPr>
        <w:t xml:space="preserve"> </w:t>
      </w:r>
      <w:r>
        <w:t>of</w:t>
      </w:r>
      <w:r>
        <w:rPr>
          <w:spacing w:val="-10"/>
        </w:rPr>
        <w:t xml:space="preserve"> </w:t>
      </w:r>
      <w:r>
        <w:t>biological</w:t>
      </w:r>
      <w:r>
        <w:rPr>
          <w:spacing w:val="-11"/>
        </w:rPr>
        <w:t xml:space="preserve"> </w:t>
      </w:r>
      <w:r>
        <w:t>processes</w:t>
      </w:r>
      <w:r>
        <w:rPr>
          <w:spacing w:val="-58"/>
        </w:rPr>
        <w:t xml:space="preserve"> </w:t>
      </w:r>
      <w:r>
        <w:t>in agriculture has emerged as an emerging technology. This is closely related to the</w:t>
      </w:r>
      <w:r>
        <w:rPr>
          <w:spacing w:val="1"/>
        </w:rPr>
        <w:t xml:space="preserve"> </w:t>
      </w:r>
      <w:r>
        <w:t>carbon footprint, since plants in general and higher plants in particular, through the</w:t>
      </w:r>
      <w:r>
        <w:rPr>
          <w:spacing w:val="1"/>
        </w:rPr>
        <w:t xml:space="preserve"> </w:t>
      </w:r>
      <w:r>
        <w:rPr>
          <w:spacing w:val="-1"/>
        </w:rPr>
        <w:t>photosynthesis</w:t>
      </w:r>
      <w:r>
        <w:rPr>
          <w:spacing w:val="-11"/>
        </w:rPr>
        <w:t xml:space="preserve"> </w:t>
      </w:r>
      <w:r>
        <w:rPr>
          <w:spacing w:val="-1"/>
        </w:rPr>
        <w:t>process,</w:t>
      </w:r>
      <w:r>
        <w:rPr>
          <w:spacing w:val="-15"/>
        </w:rPr>
        <w:t xml:space="preserve"> </w:t>
      </w:r>
      <w:r>
        <w:rPr>
          <w:spacing w:val="-1"/>
        </w:rPr>
        <w:t>reduce</w:t>
      </w:r>
      <w:r>
        <w:rPr>
          <w:spacing w:val="-14"/>
        </w:rPr>
        <w:t xml:space="preserve"> </w:t>
      </w:r>
      <w:r>
        <w:rPr>
          <w:spacing w:val="-1"/>
        </w:rPr>
        <w:t>the</w:t>
      </w:r>
      <w:r>
        <w:rPr>
          <w:spacing w:val="-11"/>
        </w:rPr>
        <w:t xml:space="preserve"> </w:t>
      </w:r>
      <w:r>
        <w:rPr>
          <w:spacing w:val="-1"/>
        </w:rPr>
        <w:t>atmospheric</w:t>
      </w:r>
      <w:r>
        <w:rPr>
          <w:spacing w:val="-11"/>
        </w:rPr>
        <w:t xml:space="preserve"> </w:t>
      </w:r>
      <w:r>
        <w:t>carbon</w:t>
      </w:r>
      <w:r>
        <w:rPr>
          <w:spacing w:val="-12"/>
        </w:rPr>
        <w:t xml:space="preserve"> </w:t>
      </w:r>
      <w:r>
        <w:t>load,</w:t>
      </w:r>
      <w:r>
        <w:rPr>
          <w:spacing w:val="-13"/>
        </w:rPr>
        <w:t xml:space="preserve"> </w:t>
      </w:r>
      <w:r>
        <w:t>converting</w:t>
      </w:r>
      <w:r>
        <w:rPr>
          <w:spacing w:val="-11"/>
        </w:rPr>
        <w:t xml:space="preserve"> </w:t>
      </w:r>
      <w:r>
        <w:t>it</w:t>
      </w:r>
      <w:r>
        <w:rPr>
          <w:spacing w:val="-13"/>
        </w:rPr>
        <w:t xml:space="preserve"> </w:t>
      </w:r>
      <w:r>
        <w:t>into</w:t>
      </w:r>
      <w:r>
        <w:rPr>
          <w:spacing w:val="-12"/>
        </w:rPr>
        <w:t xml:space="preserve"> </w:t>
      </w:r>
      <w:r>
        <w:t>structural</w:t>
      </w:r>
      <w:r>
        <w:rPr>
          <w:spacing w:val="-58"/>
        </w:rPr>
        <w:t xml:space="preserve"> </w:t>
      </w:r>
      <w:r>
        <w:t>carbon of the plant itself. Thus, this research sought to evaluate the effect generated by</w:t>
      </w:r>
      <w:r>
        <w:rPr>
          <w:spacing w:val="-59"/>
        </w:rPr>
        <w:t xml:space="preserve"> </w:t>
      </w:r>
      <w:r>
        <w:t>induced electromagnetic fields (EMF) as a technology for biomass production, with the</w:t>
      </w:r>
      <w:r>
        <w:rPr>
          <w:spacing w:val="1"/>
        </w:rPr>
        <w:t xml:space="preserve"> </w:t>
      </w:r>
      <w:r>
        <w:t>consequent reduction</w:t>
      </w:r>
      <w:r>
        <w:rPr>
          <w:spacing w:val="1"/>
        </w:rPr>
        <w:t xml:space="preserve"> </w:t>
      </w:r>
      <w:r>
        <w:t>of</w:t>
      </w:r>
      <w:r>
        <w:rPr>
          <w:spacing w:val="1"/>
        </w:rPr>
        <w:t xml:space="preserve"> </w:t>
      </w:r>
      <w:r>
        <w:t>the carbon footprint</w:t>
      </w:r>
      <w:r>
        <w:rPr>
          <w:spacing w:val="1"/>
        </w:rPr>
        <w:t xml:space="preserve"> </w:t>
      </w:r>
      <w:r>
        <w:t>of</w:t>
      </w:r>
      <w:r>
        <w:rPr>
          <w:spacing w:val="1"/>
        </w:rPr>
        <w:t xml:space="preserve"> </w:t>
      </w:r>
      <w:r>
        <w:t>the crop. Variables</w:t>
      </w:r>
      <w:r>
        <w:rPr>
          <w:spacing w:val="1"/>
        </w:rPr>
        <w:t xml:space="preserve"> </w:t>
      </w:r>
      <w:r>
        <w:t>related</w:t>
      </w:r>
      <w:r>
        <w:rPr>
          <w:spacing w:val="1"/>
        </w:rPr>
        <w:t xml:space="preserve"> </w:t>
      </w:r>
      <w:r>
        <w:t>to the</w:t>
      </w:r>
      <w:r>
        <w:rPr>
          <w:spacing w:val="1"/>
        </w:rPr>
        <w:t xml:space="preserve"> </w:t>
      </w:r>
      <w:r>
        <w:t>germination process were analyzed, including germination percentage, aerial and root</w:t>
      </w:r>
      <w:r>
        <w:rPr>
          <w:spacing w:val="1"/>
        </w:rPr>
        <w:t xml:space="preserve"> </w:t>
      </w:r>
      <w:r>
        <w:t>fresh mass (g), as well as aerial and root dry mass (g), and photosynthetic pigment</w:t>
      </w:r>
      <w:r>
        <w:rPr>
          <w:spacing w:val="1"/>
        </w:rPr>
        <w:t xml:space="preserve"> </w:t>
      </w:r>
      <w:r>
        <w:t>contents (Chlorophylls A, B and Total). The aforementioned variables were determined</w:t>
      </w:r>
      <w:r>
        <w:rPr>
          <w:spacing w:val="1"/>
        </w:rPr>
        <w:t xml:space="preserve"> </w:t>
      </w:r>
      <w:r>
        <w:rPr>
          <w:spacing w:val="-1"/>
        </w:rPr>
        <w:t>at</w:t>
      </w:r>
      <w:r>
        <w:rPr>
          <w:spacing w:val="-13"/>
        </w:rPr>
        <w:t xml:space="preserve"> </w:t>
      </w:r>
      <w:r>
        <w:rPr>
          <w:spacing w:val="-1"/>
        </w:rPr>
        <w:t>two</w:t>
      </w:r>
      <w:r>
        <w:rPr>
          <w:spacing w:val="-13"/>
        </w:rPr>
        <w:t xml:space="preserve"> </w:t>
      </w:r>
      <w:r>
        <w:rPr>
          <w:spacing w:val="-1"/>
        </w:rPr>
        <w:t>points</w:t>
      </w:r>
      <w:r>
        <w:rPr>
          <w:spacing w:val="-14"/>
        </w:rPr>
        <w:t xml:space="preserve"> </w:t>
      </w:r>
      <w:r>
        <w:rPr>
          <w:spacing w:val="-1"/>
        </w:rPr>
        <w:t>in</w:t>
      </w:r>
      <w:r>
        <w:rPr>
          <w:spacing w:val="-13"/>
        </w:rPr>
        <w:t xml:space="preserve"> </w:t>
      </w:r>
      <w:r>
        <w:rPr>
          <w:spacing w:val="-1"/>
        </w:rPr>
        <w:t>time,</w:t>
      </w:r>
      <w:r>
        <w:rPr>
          <w:spacing w:val="-12"/>
        </w:rPr>
        <w:t xml:space="preserve"> </w:t>
      </w:r>
      <w:r>
        <w:rPr>
          <w:spacing w:val="-1"/>
        </w:rPr>
        <w:t>except</w:t>
      </w:r>
      <w:r>
        <w:rPr>
          <w:spacing w:val="-13"/>
        </w:rPr>
        <w:t xml:space="preserve"> </w:t>
      </w:r>
      <w:r>
        <w:rPr>
          <w:spacing w:val="-1"/>
        </w:rPr>
        <w:t>those</w:t>
      </w:r>
      <w:r>
        <w:rPr>
          <w:spacing w:val="-16"/>
        </w:rPr>
        <w:t xml:space="preserve"> </w:t>
      </w:r>
      <w:r>
        <w:rPr>
          <w:spacing w:val="-1"/>
        </w:rPr>
        <w:t>related</w:t>
      </w:r>
      <w:r>
        <w:rPr>
          <w:spacing w:val="-16"/>
        </w:rPr>
        <w:t xml:space="preserve"> </w:t>
      </w:r>
      <w:r>
        <w:rPr>
          <w:spacing w:val="-1"/>
        </w:rPr>
        <w:t>to</w:t>
      </w:r>
      <w:r>
        <w:rPr>
          <w:spacing w:val="-13"/>
        </w:rPr>
        <w:t xml:space="preserve"> </w:t>
      </w:r>
      <w:r>
        <w:rPr>
          <w:spacing w:val="-1"/>
        </w:rPr>
        <w:t>germination.</w:t>
      </w:r>
      <w:r>
        <w:rPr>
          <w:spacing w:val="-14"/>
        </w:rPr>
        <w:t xml:space="preserve"> </w:t>
      </w:r>
      <w:r>
        <w:t>The</w:t>
      </w:r>
      <w:r>
        <w:rPr>
          <w:spacing w:val="-14"/>
        </w:rPr>
        <w:t xml:space="preserve"> </w:t>
      </w:r>
      <w:r>
        <w:t>above</w:t>
      </w:r>
      <w:r>
        <w:rPr>
          <w:spacing w:val="-13"/>
        </w:rPr>
        <w:t xml:space="preserve"> </w:t>
      </w:r>
      <w:r>
        <w:t>variables,</w:t>
      </w:r>
      <w:r>
        <w:rPr>
          <w:spacing w:val="-13"/>
        </w:rPr>
        <w:t xml:space="preserve"> </w:t>
      </w:r>
      <w:r>
        <w:t>evaluated</w:t>
      </w:r>
      <w:r>
        <w:rPr>
          <w:spacing w:val="-58"/>
        </w:rPr>
        <w:t xml:space="preserve"> </w:t>
      </w:r>
      <w:r>
        <w:rPr>
          <w:position w:val="2"/>
        </w:rPr>
        <w:t>at two points in time, allowed the calculation of physiological indicators related to CO</w:t>
      </w:r>
      <w:r>
        <w:rPr>
          <w:sz w:val="14"/>
        </w:rPr>
        <w:t>2</w:t>
      </w:r>
      <w:r>
        <w:rPr>
          <w:spacing w:val="1"/>
          <w:sz w:val="14"/>
        </w:rPr>
        <w:t xml:space="preserve"> </w:t>
      </w:r>
      <w:r>
        <w:t>use in the plant (Relative Growth Rate - RGR, Net Assimilation Rate - NAR, Leaf Area</w:t>
      </w:r>
      <w:r>
        <w:rPr>
          <w:spacing w:val="1"/>
        </w:rPr>
        <w:t xml:space="preserve"> </w:t>
      </w:r>
      <w:r>
        <w:rPr>
          <w:spacing w:val="-1"/>
        </w:rPr>
        <w:t>Index</w:t>
      </w:r>
      <w:r>
        <w:rPr>
          <w:spacing w:val="-2"/>
        </w:rPr>
        <w:t xml:space="preserve"> </w:t>
      </w:r>
      <w:r>
        <w:rPr>
          <w:spacing w:val="-1"/>
        </w:rPr>
        <w:t>- FAI, Crop</w:t>
      </w:r>
      <w:r>
        <w:rPr>
          <w:spacing w:val="-2"/>
        </w:rPr>
        <w:t xml:space="preserve"> </w:t>
      </w:r>
      <w:r>
        <w:rPr>
          <w:spacing w:val="-1"/>
        </w:rPr>
        <w:t>Growth</w:t>
      </w:r>
      <w:r>
        <w:rPr>
          <w:spacing w:val="-4"/>
        </w:rPr>
        <w:t xml:space="preserve"> </w:t>
      </w:r>
      <w:r>
        <w:rPr>
          <w:spacing w:val="-1"/>
        </w:rPr>
        <w:t>Rate</w:t>
      </w:r>
      <w:r>
        <w:rPr>
          <w:spacing w:val="1"/>
        </w:rPr>
        <w:t xml:space="preserve"> </w:t>
      </w:r>
      <w:r>
        <w:rPr>
          <w:spacing w:val="-1"/>
        </w:rPr>
        <w:t>- CGR,</w:t>
      </w:r>
      <w:r>
        <w:rPr>
          <w:spacing w:val="-13"/>
        </w:rPr>
        <w:t xml:space="preserve"> </w:t>
      </w:r>
      <w:r>
        <w:rPr>
          <w:spacing w:val="-1"/>
        </w:rPr>
        <w:t>Absolute</w:t>
      </w:r>
      <w:r>
        <w:rPr>
          <w:spacing w:val="-4"/>
        </w:rPr>
        <w:t xml:space="preserve"> </w:t>
      </w:r>
      <w:r>
        <w:rPr>
          <w:spacing w:val="-1"/>
        </w:rPr>
        <w:t>Growth</w:t>
      </w:r>
      <w:r>
        <w:rPr>
          <w:spacing w:val="-2"/>
        </w:rPr>
        <w:t xml:space="preserve"> </w:t>
      </w:r>
      <w:r>
        <w:rPr>
          <w:spacing w:val="-1"/>
        </w:rPr>
        <w:t>Rate -</w:t>
      </w:r>
      <w:r>
        <w:rPr>
          <w:spacing w:val="-13"/>
        </w:rPr>
        <w:t xml:space="preserve"> </w:t>
      </w:r>
      <w:r>
        <w:rPr>
          <w:spacing w:val="-1"/>
        </w:rPr>
        <w:t xml:space="preserve">AGR, </w:t>
      </w:r>
      <w:r>
        <w:t>Leaf</w:t>
      </w:r>
      <w:r>
        <w:rPr>
          <w:spacing w:val="-16"/>
        </w:rPr>
        <w:t xml:space="preserve"> </w:t>
      </w:r>
      <w:r>
        <w:t>Area</w:t>
      </w:r>
      <w:r>
        <w:rPr>
          <w:spacing w:val="-2"/>
        </w:rPr>
        <w:t xml:space="preserve"> </w:t>
      </w:r>
      <w:r>
        <w:t>Duration - LAD and Specific Leaf Area - SFA). On the other hand, in order to characterize the</w:t>
      </w:r>
      <w:r>
        <w:rPr>
          <w:spacing w:val="1"/>
        </w:rPr>
        <w:t xml:space="preserve"> </w:t>
      </w:r>
      <w:r>
        <w:t>production, the morphological characteristics of the ear and fruit (weight of the ear with</w:t>
      </w:r>
      <w:r>
        <w:rPr>
          <w:spacing w:val="1"/>
        </w:rPr>
        <w:t xml:space="preserve"> </w:t>
      </w:r>
      <w:r>
        <w:t>amero, weight of the cassava, weight of the fruit and number of rows) were evaluated.</w:t>
      </w:r>
      <w:r>
        <w:rPr>
          <w:spacing w:val="1"/>
        </w:rPr>
        <w:t xml:space="preserve"> </w:t>
      </w:r>
      <w:r>
        <w:t>Multiple range tests were carried out to establish the behavior of the variables in</w:t>
      </w:r>
      <w:r>
        <w:rPr>
          <w:spacing w:val="1"/>
        </w:rPr>
        <w:t xml:space="preserve"> </w:t>
      </w:r>
      <w:r>
        <w:t>comparison</w:t>
      </w:r>
      <w:r>
        <w:rPr>
          <w:spacing w:val="1"/>
        </w:rPr>
        <w:t xml:space="preserve"> </w:t>
      </w:r>
      <w:r>
        <w:t>with the control,</w:t>
      </w:r>
      <w:r>
        <w:rPr>
          <w:spacing w:val="1"/>
        </w:rPr>
        <w:t xml:space="preserve"> </w:t>
      </w:r>
      <w:r>
        <w:t>for which</w:t>
      </w:r>
      <w:r>
        <w:rPr>
          <w:spacing w:val="1"/>
        </w:rPr>
        <w:t xml:space="preserve"> </w:t>
      </w:r>
      <w:r>
        <w:t>SPSS</w:t>
      </w:r>
      <w:r>
        <w:rPr>
          <w:spacing w:val="1"/>
        </w:rPr>
        <w:t xml:space="preserve"> </w:t>
      </w:r>
      <w:r>
        <w:t>software</w:t>
      </w:r>
      <w:r>
        <w:rPr>
          <w:spacing w:val="1"/>
        </w:rPr>
        <w:t xml:space="preserve"> </w:t>
      </w:r>
      <w:r>
        <w:t>was</w:t>
      </w:r>
      <w:r>
        <w:rPr>
          <w:spacing w:val="1"/>
        </w:rPr>
        <w:t xml:space="preserve"> </w:t>
      </w:r>
      <w:r>
        <w:t>used.</w:t>
      </w:r>
      <w:r>
        <w:rPr>
          <w:spacing w:val="1"/>
        </w:rPr>
        <w:t xml:space="preserve"> </w:t>
      </w:r>
      <w:r>
        <w:t>In the</w:t>
      </w:r>
      <w:r>
        <w:rPr>
          <w:spacing w:val="1"/>
        </w:rPr>
        <w:t xml:space="preserve"> </w:t>
      </w:r>
      <w:r>
        <w:t>previous</w:t>
      </w:r>
      <w:r>
        <w:rPr>
          <w:spacing w:val="1"/>
        </w:rPr>
        <w:t xml:space="preserve"> </w:t>
      </w:r>
      <w:r>
        <w:t>experimental context, it was evidenced that the germination process was stimulated by</w:t>
      </w:r>
      <w:r>
        <w:rPr>
          <w:spacing w:val="1"/>
        </w:rPr>
        <w:t xml:space="preserve"> </w:t>
      </w:r>
      <w:r>
        <w:t>the</w:t>
      </w:r>
      <w:r>
        <w:rPr>
          <w:spacing w:val="-11"/>
        </w:rPr>
        <w:t xml:space="preserve"> </w:t>
      </w:r>
      <w:r>
        <w:t>application</w:t>
      </w:r>
      <w:r>
        <w:rPr>
          <w:spacing w:val="-10"/>
        </w:rPr>
        <w:t xml:space="preserve"> </w:t>
      </w:r>
      <w:r>
        <w:t>of</w:t>
      </w:r>
      <w:r>
        <w:rPr>
          <w:spacing w:val="-11"/>
        </w:rPr>
        <w:t xml:space="preserve"> </w:t>
      </w:r>
      <w:r>
        <w:t>EMF</w:t>
      </w:r>
      <w:r>
        <w:rPr>
          <w:spacing w:val="-10"/>
        </w:rPr>
        <w:t xml:space="preserve"> </w:t>
      </w:r>
      <w:r>
        <w:t>at</w:t>
      </w:r>
      <w:r>
        <w:rPr>
          <w:spacing w:val="-12"/>
        </w:rPr>
        <w:t xml:space="preserve"> </w:t>
      </w:r>
      <w:r>
        <w:t>70</w:t>
      </w:r>
      <w:r>
        <w:rPr>
          <w:spacing w:val="-11"/>
        </w:rPr>
        <w:t xml:space="preserve"> </w:t>
      </w:r>
      <w:r>
        <w:t>µT,</w:t>
      </w:r>
      <w:r>
        <w:rPr>
          <w:spacing w:val="-9"/>
        </w:rPr>
        <w:t xml:space="preserve"> </w:t>
      </w:r>
      <w:r>
        <w:t>but</w:t>
      </w:r>
      <w:r>
        <w:rPr>
          <w:spacing w:val="-10"/>
        </w:rPr>
        <w:t xml:space="preserve"> </w:t>
      </w:r>
      <w:r>
        <w:t>at</w:t>
      </w:r>
      <w:r>
        <w:rPr>
          <w:spacing w:val="-9"/>
        </w:rPr>
        <w:t xml:space="preserve"> </w:t>
      </w:r>
      <w:r>
        <w:t>its</w:t>
      </w:r>
      <w:r>
        <w:rPr>
          <w:spacing w:val="-10"/>
        </w:rPr>
        <w:t xml:space="preserve"> </w:t>
      </w:r>
      <w:r>
        <w:t>highest</w:t>
      </w:r>
      <w:r>
        <w:rPr>
          <w:spacing w:val="-11"/>
        </w:rPr>
        <w:t xml:space="preserve"> </w:t>
      </w:r>
      <w:r>
        <w:t>exposure</w:t>
      </w:r>
      <w:r>
        <w:rPr>
          <w:spacing w:val="-12"/>
        </w:rPr>
        <w:t xml:space="preserve"> </w:t>
      </w:r>
      <w:r>
        <w:t>times</w:t>
      </w:r>
      <w:r>
        <w:rPr>
          <w:spacing w:val="-13"/>
        </w:rPr>
        <w:t xml:space="preserve"> </w:t>
      </w:r>
      <w:r>
        <w:t>(300ˈ</w:t>
      </w:r>
      <w:r>
        <w:rPr>
          <w:spacing w:val="-10"/>
        </w:rPr>
        <w:t xml:space="preserve"> </w:t>
      </w:r>
      <w:r>
        <w:t>and</w:t>
      </w:r>
      <w:r>
        <w:rPr>
          <w:spacing w:val="-10"/>
        </w:rPr>
        <w:t xml:space="preserve"> </w:t>
      </w:r>
      <w:r>
        <w:t>Permanent</w:t>
      </w:r>
      <w:r>
        <w:rPr>
          <w:spacing w:val="-59"/>
        </w:rPr>
        <w:t xml:space="preserve"> </w:t>
      </w:r>
      <w:r>
        <w:t>for 15 days. Similar to the above, was presented in pigment synthesis, fresh and dry</w:t>
      </w:r>
      <w:r>
        <w:rPr>
          <w:spacing w:val="1"/>
        </w:rPr>
        <w:t xml:space="preserve"> </w:t>
      </w:r>
      <w:r>
        <w:t>biomass,</w:t>
      </w:r>
      <w:r>
        <w:rPr>
          <w:spacing w:val="1"/>
        </w:rPr>
        <w:t xml:space="preserve"> </w:t>
      </w:r>
      <w:r>
        <w:t>with</w:t>
      </w:r>
      <w:r>
        <w:rPr>
          <w:spacing w:val="1"/>
        </w:rPr>
        <w:t xml:space="preserve"> </w:t>
      </w:r>
      <w:r>
        <w:t>exposure</w:t>
      </w:r>
      <w:r>
        <w:rPr>
          <w:spacing w:val="1"/>
        </w:rPr>
        <w:t xml:space="preserve"> </w:t>
      </w:r>
      <w:r>
        <w:t>at</w:t>
      </w:r>
      <w:r>
        <w:rPr>
          <w:spacing w:val="1"/>
        </w:rPr>
        <w:t xml:space="preserve"> </w:t>
      </w:r>
      <w:r>
        <w:t>70</w:t>
      </w:r>
      <w:r>
        <w:rPr>
          <w:spacing w:val="1"/>
        </w:rPr>
        <w:t xml:space="preserve"> </w:t>
      </w:r>
      <w:r>
        <w:t>µT for</w:t>
      </w:r>
      <w:r>
        <w:rPr>
          <w:spacing w:val="1"/>
        </w:rPr>
        <w:t xml:space="preserve"> </w:t>
      </w:r>
      <w:r>
        <w:t>180ˈ,</w:t>
      </w:r>
      <w:r>
        <w:rPr>
          <w:spacing w:val="1"/>
        </w:rPr>
        <w:t xml:space="preserve"> </w:t>
      </w:r>
      <w:r>
        <w:t>with</w:t>
      </w:r>
      <w:r>
        <w:rPr>
          <w:spacing w:val="1"/>
        </w:rPr>
        <w:t xml:space="preserve"> </w:t>
      </w:r>
      <w:r>
        <w:t>its</w:t>
      </w:r>
      <w:r>
        <w:rPr>
          <w:spacing w:val="1"/>
        </w:rPr>
        <w:t xml:space="preserve"> </w:t>
      </w:r>
      <w:r>
        <w:t>consequent</w:t>
      </w:r>
      <w:r>
        <w:rPr>
          <w:spacing w:val="1"/>
        </w:rPr>
        <w:t xml:space="preserve"> </w:t>
      </w:r>
      <w:r>
        <w:t>reflection</w:t>
      </w:r>
      <w:r>
        <w:rPr>
          <w:spacing w:val="1"/>
        </w:rPr>
        <w:t xml:space="preserve"> </w:t>
      </w:r>
      <w:r>
        <w:t>in</w:t>
      </w:r>
      <w:r>
        <w:rPr>
          <w:spacing w:val="1"/>
        </w:rPr>
        <w:t xml:space="preserve"> </w:t>
      </w:r>
      <w:r>
        <w:t>the</w:t>
      </w:r>
      <w:r>
        <w:rPr>
          <w:spacing w:val="1"/>
        </w:rPr>
        <w:t xml:space="preserve"> </w:t>
      </w:r>
      <w:r>
        <w:t>physiological indicators evaluated, differing in all cases from the control. On the other</w:t>
      </w:r>
      <w:r>
        <w:rPr>
          <w:spacing w:val="1"/>
        </w:rPr>
        <w:t xml:space="preserve"> </w:t>
      </w:r>
      <w:r>
        <w:t>hand, in terms of cob composition, the statistical analyses reflect a better performance</w:t>
      </w:r>
      <w:r>
        <w:rPr>
          <w:spacing w:val="1"/>
        </w:rPr>
        <w:t xml:space="preserve"> </w:t>
      </w:r>
      <w:r>
        <w:rPr>
          <w:spacing w:val="-1"/>
        </w:rPr>
        <w:t>o</w:t>
      </w:r>
      <w:r>
        <w:t>f</w:t>
      </w:r>
      <w:r>
        <w:rPr>
          <w:spacing w:val="-1"/>
        </w:rPr>
        <w:t xml:space="preserve"> a</w:t>
      </w:r>
      <w:r>
        <w:rPr>
          <w:spacing w:val="-2"/>
        </w:rPr>
        <w:t>l</w:t>
      </w:r>
      <w:r>
        <w:t>l</w:t>
      </w:r>
      <w:r>
        <w:rPr>
          <w:spacing w:val="-5"/>
        </w:rPr>
        <w:t xml:space="preserve"> </w:t>
      </w:r>
      <w:r>
        <w:t>t</w:t>
      </w:r>
      <w:r>
        <w:rPr>
          <w:spacing w:val="-1"/>
        </w:rPr>
        <w:t>h</w:t>
      </w:r>
      <w:r>
        <w:t>e</w:t>
      </w:r>
      <w:r>
        <w:rPr>
          <w:spacing w:val="-2"/>
        </w:rPr>
        <w:t xml:space="preserve"> </w:t>
      </w:r>
      <w:r>
        <w:t>v</w:t>
      </w:r>
      <w:r>
        <w:rPr>
          <w:spacing w:val="-3"/>
        </w:rPr>
        <w:t>a</w:t>
      </w:r>
      <w:r>
        <w:t>r</w:t>
      </w:r>
      <w:r>
        <w:rPr>
          <w:spacing w:val="-2"/>
        </w:rPr>
        <w:t>i</w:t>
      </w:r>
      <w:r>
        <w:rPr>
          <w:spacing w:val="-1"/>
        </w:rPr>
        <w:t>ab</w:t>
      </w:r>
      <w:r>
        <w:rPr>
          <w:spacing w:val="-2"/>
        </w:rPr>
        <w:t>l</w:t>
      </w:r>
      <w:r>
        <w:rPr>
          <w:spacing w:val="-1"/>
        </w:rPr>
        <w:t>e</w:t>
      </w:r>
      <w:r>
        <w:t>s</w:t>
      </w:r>
      <w:r>
        <w:rPr>
          <w:spacing w:val="-2"/>
        </w:rPr>
        <w:t xml:space="preserve"> </w:t>
      </w:r>
      <w:r>
        <w:rPr>
          <w:spacing w:val="-1"/>
        </w:rPr>
        <w:t>ana</w:t>
      </w:r>
      <w:r>
        <w:rPr>
          <w:spacing w:val="-2"/>
        </w:rPr>
        <w:t>l</w:t>
      </w:r>
      <w:r>
        <w:rPr>
          <w:spacing w:val="-3"/>
        </w:rPr>
        <w:t>y</w:t>
      </w:r>
      <w:r>
        <w:t>zed</w:t>
      </w:r>
      <w:r>
        <w:rPr>
          <w:spacing w:val="-2"/>
        </w:rPr>
        <w:t xml:space="preserve"> </w:t>
      </w:r>
      <w:r>
        <w:t>f</w:t>
      </w:r>
      <w:r>
        <w:rPr>
          <w:spacing w:val="-3"/>
        </w:rPr>
        <w:t>o</w:t>
      </w:r>
      <w:r>
        <w:t>r</w:t>
      </w:r>
      <w:r>
        <w:rPr>
          <w:spacing w:val="-1"/>
        </w:rPr>
        <w:t xml:space="preserve"> </w:t>
      </w:r>
      <w:r>
        <w:rPr>
          <w:spacing w:val="-3"/>
        </w:rPr>
        <w:t>e</w:t>
      </w:r>
      <w:r>
        <w:t>xp</w:t>
      </w:r>
      <w:r>
        <w:rPr>
          <w:spacing w:val="-1"/>
        </w:rPr>
        <w:t>o</w:t>
      </w:r>
      <w:r>
        <w:t>sure</w:t>
      </w:r>
      <w:r>
        <w:rPr>
          <w:spacing w:val="-4"/>
        </w:rPr>
        <w:t xml:space="preserve"> </w:t>
      </w:r>
      <w:r>
        <w:t>to</w:t>
      </w:r>
      <w:r>
        <w:rPr>
          <w:spacing w:val="-4"/>
        </w:rPr>
        <w:t xml:space="preserve"> </w:t>
      </w:r>
      <w:r>
        <w:rPr>
          <w:spacing w:val="-18"/>
        </w:rPr>
        <w:t>1</w:t>
      </w:r>
      <w:r>
        <w:rPr>
          <w:spacing w:val="-1"/>
        </w:rPr>
        <w:t>1</w:t>
      </w:r>
      <w:r>
        <w:t>8</w:t>
      </w:r>
      <w:r>
        <w:rPr>
          <w:spacing w:val="-5"/>
        </w:rPr>
        <w:t xml:space="preserve"> </w:t>
      </w:r>
      <w:r>
        <w:rPr>
          <w:spacing w:val="-1"/>
        </w:rPr>
        <w:t>µ</w:t>
      </w:r>
      <w:r>
        <w:t>T</w:t>
      </w:r>
      <w:r>
        <w:rPr>
          <w:spacing w:val="-4"/>
        </w:rPr>
        <w:t xml:space="preserve"> </w:t>
      </w:r>
      <w:r>
        <w:rPr>
          <w:spacing w:val="-3"/>
        </w:rPr>
        <w:t>b</w:t>
      </w:r>
      <w:r>
        <w:t>y</w:t>
      </w:r>
      <w:r>
        <w:rPr>
          <w:spacing w:val="-2"/>
        </w:rPr>
        <w:t xml:space="preserve"> </w:t>
      </w:r>
      <w:r>
        <w:rPr>
          <w:spacing w:val="-1"/>
        </w:rPr>
        <w:t>30</w:t>
      </w:r>
      <w:r>
        <w:rPr>
          <w:spacing w:val="-3"/>
        </w:rPr>
        <w:t>0</w:t>
      </w:r>
      <w:r>
        <w:rPr>
          <w:w w:val="33"/>
        </w:rPr>
        <w:t>ˈ</w:t>
      </w:r>
      <w:r>
        <w:rPr>
          <w:spacing w:val="-1"/>
        </w:rPr>
        <w:t xml:space="preserve"> an</w:t>
      </w:r>
      <w:r>
        <w:t>d</w:t>
      </w:r>
      <w:r>
        <w:rPr>
          <w:spacing w:val="-4"/>
        </w:rPr>
        <w:t xml:space="preserve"> </w:t>
      </w:r>
      <w:r>
        <w:rPr>
          <w:spacing w:val="-1"/>
        </w:rPr>
        <w:t>Pe</w:t>
      </w:r>
      <w:r>
        <w:rPr>
          <w:spacing w:val="-3"/>
        </w:rPr>
        <w:t>r</w:t>
      </w:r>
      <w:r>
        <w:t>m</w:t>
      </w:r>
      <w:r>
        <w:rPr>
          <w:spacing w:val="-1"/>
        </w:rPr>
        <w:t>an</w:t>
      </w:r>
      <w:r>
        <w:rPr>
          <w:spacing w:val="-3"/>
        </w:rPr>
        <w:t>e</w:t>
      </w:r>
      <w:r>
        <w:rPr>
          <w:spacing w:val="-1"/>
        </w:rPr>
        <w:t>n</w:t>
      </w:r>
      <w:r>
        <w:t>t</w:t>
      </w:r>
      <w:r>
        <w:rPr>
          <w:spacing w:val="-3"/>
        </w:rPr>
        <w:t xml:space="preserve"> </w:t>
      </w:r>
      <w:r>
        <w:t>f</w:t>
      </w:r>
      <w:r>
        <w:rPr>
          <w:spacing w:val="-1"/>
        </w:rPr>
        <w:t>o</w:t>
      </w:r>
      <w:r>
        <w:t>r</w:t>
      </w:r>
      <w:r>
        <w:rPr>
          <w:spacing w:val="-4"/>
        </w:rPr>
        <w:t xml:space="preserve"> </w:t>
      </w:r>
      <w:r>
        <w:rPr>
          <w:spacing w:val="-1"/>
        </w:rPr>
        <w:t>1</w:t>
      </w:r>
      <w:r>
        <w:t>5</w:t>
      </w:r>
      <w:r>
        <w:rPr>
          <w:spacing w:val="-2"/>
        </w:rPr>
        <w:t xml:space="preserve"> </w:t>
      </w:r>
      <w:r>
        <w:rPr>
          <w:spacing w:val="-1"/>
        </w:rPr>
        <w:t>d</w:t>
      </w:r>
      <w:r>
        <w:rPr>
          <w:spacing w:val="-4"/>
        </w:rPr>
        <w:t>a</w:t>
      </w:r>
      <w:r>
        <w:t>ys, differing</w:t>
      </w:r>
      <w:r>
        <w:rPr>
          <w:spacing w:val="-1"/>
        </w:rPr>
        <w:t xml:space="preserve"> </w:t>
      </w:r>
      <w:r>
        <w:t>significantly</w:t>
      </w:r>
      <w:r>
        <w:rPr>
          <w:spacing w:val="-2"/>
        </w:rPr>
        <w:t xml:space="preserve"> </w:t>
      </w:r>
      <w:r>
        <w:t>in</w:t>
      </w:r>
      <w:r>
        <w:rPr>
          <w:spacing w:val="-3"/>
        </w:rPr>
        <w:t xml:space="preserve"> </w:t>
      </w:r>
      <w:r>
        <w:t>most of</w:t>
      </w:r>
      <w:r>
        <w:rPr>
          <w:spacing w:val="-1"/>
        </w:rPr>
        <w:t xml:space="preserve"> </w:t>
      </w:r>
      <w:r>
        <w:t>the</w:t>
      </w:r>
      <w:r>
        <w:rPr>
          <w:spacing w:val="-3"/>
        </w:rPr>
        <w:t xml:space="preserve"> </w:t>
      </w:r>
      <w:r>
        <w:t>variables evaluated.</w:t>
      </w:r>
    </w:p>
    <w:p w14:paraId="476B2F2E" w14:textId="77777777" w:rsidR="00600535" w:rsidRPr="00B57B36" w:rsidRDefault="00600535" w:rsidP="004129B3">
      <w:pPr>
        <w:pStyle w:val="CETHeading1"/>
        <w:spacing w:after="0"/>
        <w:rPr>
          <w:lang w:val="en-GB"/>
        </w:rPr>
      </w:pPr>
      <w:r w:rsidRPr="00B57B36">
        <w:rPr>
          <w:lang w:val="en-GB"/>
        </w:rPr>
        <w:t>Introduction</w:t>
      </w:r>
    </w:p>
    <w:p w14:paraId="3C0D5C69" w14:textId="33A837F0" w:rsidR="0005624D" w:rsidRDefault="00A034B5" w:rsidP="0005624D">
      <w:r w:rsidRPr="00A034B5">
        <w:t>Nowadays, it is a reality that farmers find themselves with botanical seeds of reduced germination power, which translates into the use of a greater volume of seeds per unit of surface or a decrease in the number of plants, largely due to the weakening of the earth's magnetic field and the role it plays in the functional dynamics of living beings and systems (Ortiz-Aguilar, et al., 2015). This is why the interest arises in seeking alternative methods to stimulate seed embryos with low viability to increase germination and induce some resistance to exogenous factors that limit their development (factors manifested in climate change) and thus be more efficient in the capture and transformation of atmospheric CO</w:t>
      </w:r>
      <w:r w:rsidRPr="00B64F58">
        <w:rPr>
          <w:vertAlign w:val="subscript"/>
        </w:rPr>
        <w:t>2</w:t>
      </w:r>
      <w:r w:rsidRPr="00A034B5">
        <w:t xml:space="preserve"> (Agüero, Pereyra and Rolando, 2017), thus reducing the carbon footprint associated with agricultural activities. On the other hand, it should be noted that for a long time the negative effects of climate change have been mitigated </w:t>
      </w:r>
      <w:r w:rsidR="00B64F58" w:rsidRPr="00A034B5">
        <w:t>using</w:t>
      </w:r>
      <w:r w:rsidRPr="00A034B5">
        <w:t xml:space="preserve"> genetic crosses, hybridization, cloning, as well as </w:t>
      </w:r>
      <w:r w:rsidRPr="00A034B5">
        <w:lastRenderedPageBreak/>
        <w:t>chemical and phytohormonal treatment of plant material (Sánchez-Soto, et al., 2017).</w:t>
      </w:r>
      <w:r w:rsidR="00B64F58">
        <w:t xml:space="preserve"> </w:t>
      </w:r>
      <w:r w:rsidR="00B64F58" w:rsidRPr="00B64F58">
        <w:t>However, in the search for other alternatives, magnetic fields on the biological material have been used to improve the productive process and thus the efficiency and metabolic effectiveness, not only in the capture of CO</w:t>
      </w:r>
      <w:r w:rsidR="00B64F58" w:rsidRPr="00B64F58">
        <w:rPr>
          <w:vertAlign w:val="subscript"/>
        </w:rPr>
        <w:t>2</w:t>
      </w:r>
      <w:r w:rsidR="00B64F58" w:rsidRPr="00B64F58">
        <w:t>, but also in its incorporation for the synthesis of biomass (</w:t>
      </w:r>
      <w:r w:rsidR="00561A86">
        <w:t>Suárez-Rivero</w:t>
      </w:r>
      <w:r w:rsidR="00B64F58" w:rsidRPr="00B64F58">
        <w:t>, et al., 201</w:t>
      </w:r>
      <w:r w:rsidR="00561A86">
        <w:t>8 a</w:t>
      </w:r>
      <w:r w:rsidR="00B64F58" w:rsidRPr="00B64F58">
        <w:t>).</w:t>
      </w:r>
    </w:p>
    <w:p w14:paraId="7CCB2183" w14:textId="133E883E" w:rsidR="00B64F58" w:rsidRDefault="00B64F58" w:rsidP="00B64F58">
      <w:pPr>
        <w:pStyle w:val="CETHeading1"/>
        <w:spacing w:after="0"/>
      </w:pPr>
      <w:r w:rsidRPr="00B64F58">
        <w:t>Materials and Methods</w:t>
      </w:r>
    </w:p>
    <w:p w14:paraId="7E3E4F76" w14:textId="2C4C4654" w:rsidR="000422B2" w:rsidRDefault="00B64F58" w:rsidP="00B64F58">
      <w:pPr>
        <w:pStyle w:val="CETBodytext"/>
        <w:spacing w:after="240"/>
        <w:rPr>
          <w:lang w:val="en-GB"/>
        </w:rPr>
      </w:pPr>
      <w:r w:rsidRPr="00B64F58">
        <w:rPr>
          <w:lang w:val="en-GB"/>
        </w:rPr>
        <w:t>The development of the research project took place in the laboratory of Natural Ingredients (Stage I) and experimental plots (Stage II) that simulated the field conditions of the crop at the Fundación Universitaria Agraria de Colombia - UNIAGRARIA. This is located at Calle 170 No 54A -10, Bogotá D.C (Colombia), with coordinates 4°45'70''N and at 74°03'12''W, an elevation 2650 m above sea level (masl), relative humidity of 94% and an average annual temperature of 14 °C (Suárez-Rivero, et al., 2017). Certified commercial corn seed (</w:t>
      </w:r>
      <w:r w:rsidRPr="004129B3">
        <w:rPr>
          <w:i/>
          <w:iCs/>
          <w:lang w:val="en-GB"/>
        </w:rPr>
        <w:t>Zea mays</w:t>
      </w:r>
      <w:r w:rsidRPr="00B64F58">
        <w:rPr>
          <w:lang w:val="en-GB"/>
        </w:rPr>
        <w:t xml:space="preserve"> L. var Porva) was used, given the importance of this crop in the basic food basket of Colombia and because it is the variety used in the conditions of the </w:t>
      </w:r>
      <w:r>
        <w:rPr>
          <w:lang w:val="en-GB"/>
        </w:rPr>
        <w:t xml:space="preserve">Sabana de </w:t>
      </w:r>
      <w:r w:rsidRPr="00B64F58">
        <w:rPr>
          <w:lang w:val="en-GB"/>
        </w:rPr>
        <w:t>Bogotá.</w:t>
      </w:r>
    </w:p>
    <w:p w14:paraId="4DA435E1" w14:textId="77777777" w:rsidR="00B64F58" w:rsidRDefault="000422B2" w:rsidP="00600535">
      <w:pPr>
        <w:pStyle w:val="CETBodytext"/>
        <w:rPr>
          <w:b/>
          <w:bCs/>
          <w:lang w:val="en-GB"/>
        </w:rPr>
      </w:pPr>
      <w:r w:rsidRPr="000422B2">
        <w:rPr>
          <w:b/>
          <w:bCs/>
          <w:lang w:val="en-GB"/>
        </w:rPr>
        <w:t xml:space="preserve">2.1. </w:t>
      </w:r>
      <w:r w:rsidR="00B64F58" w:rsidRPr="00B64F58">
        <w:rPr>
          <w:b/>
          <w:bCs/>
          <w:lang w:val="en-GB"/>
        </w:rPr>
        <w:t>Induction of low-intensity electromagnetic fields on seeds</w:t>
      </w:r>
    </w:p>
    <w:p w14:paraId="4BFCBA8B" w14:textId="0822C9A2" w:rsidR="0005624D" w:rsidRDefault="00B64F58" w:rsidP="00B64F58">
      <w:pPr>
        <w:pStyle w:val="CETBodytext"/>
        <w:spacing w:after="240"/>
        <w:rPr>
          <w:lang w:val="en-GB"/>
        </w:rPr>
      </w:pPr>
      <w:r w:rsidRPr="00B64F58">
        <w:rPr>
          <w:lang w:val="en-GB"/>
        </w:rPr>
        <w:t>A circuit was formed with coils of 3.5 cm in height and with 1000, 2000 and 3000 turns respectively. The coils used are made of copper wire with a winding filament diameter of 0.364 mm for the coil of 1000 turns, 0.367 mm for the coil of 2000 turns and 0.191 mm for the coil of 3000 turns; likewise, a dual power supply was used in the assembly (guaranteeing direct current) using connections between the sources and the coils with banana - alligator type cables, generating a current (i) of 0.53 A and a voltage of 8.7 V (in the coil of 1000 turns), 0.7 V (in the coil of 1000 turns) and 0.7 V (in the coil of 1000 turns), 0.7 V (in the coil of 3000 turns). 53 A and a voltage of 8.7 V (in coil of 1000 turns), 0.15 A and a voltage of 14.2 V (in coil of 2000 turns) and 0.22 A and a voltage of 28.0 V (in coil of 3000 turns).</w:t>
      </w:r>
    </w:p>
    <w:p w14:paraId="7909EA82" w14:textId="5237C8D5" w:rsidR="0005624D" w:rsidRPr="000422B2" w:rsidRDefault="000422B2" w:rsidP="00600535">
      <w:pPr>
        <w:pStyle w:val="CETBodytext"/>
        <w:rPr>
          <w:b/>
          <w:bCs/>
          <w:lang w:val="en-GB"/>
        </w:rPr>
      </w:pPr>
      <w:r w:rsidRPr="000422B2">
        <w:rPr>
          <w:b/>
          <w:bCs/>
          <w:lang w:val="en-GB"/>
        </w:rPr>
        <w:t xml:space="preserve">2.2. </w:t>
      </w:r>
      <w:r w:rsidR="004129B3" w:rsidRPr="004129B3">
        <w:rPr>
          <w:b/>
          <w:bCs/>
          <w:lang w:val="en-GB"/>
        </w:rPr>
        <w:t>Effect on the germination process</w:t>
      </w:r>
    </w:p>
    <w:p w14:paraId="721C01C5" w14:textId="6F7C7F69" w:rsidR="00B64F58" w:rsidRDefault="00B64F58" w:rsidP="002D7300">
      <w:pPr>
        <w:spacing w:line="240" w:lineRule="auto"/>
      </w:pPr>
      <w:r w:rsidRPr="00B64F58">
        <w:t>The germination percentage (%G), was established as the ratio of seeds sown over the number of germinated seeds, indicating in percentage mode, and thus indicating the efficiency of the application of this type of treatments on botanical seed as propagation material.</w:t>
      </w:r>
    </w:p>
    <w:p w14:paraId="5ADA2055" w14:textId="16706D41" w:rsidR="000422B2" w:rsidRDefault="000422B2" w:rsidP="002D7300">
      <w:pPr>
        <w:spacing w:line="240" w:lineRule="auto"/>
      </w:pPr>
      <m:oMath>
        <m:r>
          <w:rPr>
            <w:rFonts w:ascii="Cambria Math" w:hAnsi="Cambria Math"/>
            <w:lang w:eastAsia="es-ES"/>
          </w:rPr>
          <m:t>%G=</m:t>
        </m:r>
        <m:d>
          <m:dPr>
            <m:ctrlPr>
              <w:rPr>
                <w:rFonts w:ascii="Cambria Math" w:hAnsi="Cambria Math"/>
                <w:bCs/>
                <w:i/>
                <w:lang w:eastAsia="es-ES"/>
              </w:rPr>
            </m:ctrlPr>
          </m:dPr>
          <m:e>
            <m:f>
              <m:fPr>
                <m:ctrlPr>
                  <w:rPr>
                    <w:rFonts w:ascii="Cambria Math" w:hAnsi="Cambria Math"/>
                    <w:bCs/>
                    <w:i/>
                    <w:lang w:eastAsia="es-ES"/>
                  </w:rPr>
                </m:ctrlPr>
              </m:fPr>
              <m:num>
                <m:r>
                  <w:rPr>
                    <w:rFonts w:ascii="Cambria Math" w:hAnsi="Cambria Math"/>
                    <w:lang w:eastAsia="es-ES"/>
                  </w:rPr>
                  <m:t>N</m:t>
                </m:r>
              </m:num>
              <m:den>
                <m:r>
                  <w:rPr>
                    <w:rFonts w:ascii="Cambria Math" w:hAnsi="Cambria Math"/>
                    <w:lang w:eastAsia="es-ES"/>
                  </w:rPr>
                  <m:t>Ns</m:t>
                </m:r>
              </m:den>
            </m:f>
          </m:e>
        </m:d>
        <m:r>
          <w:rPr>
            <w:rFonts w:ascii="Cambria Math" w:hAnsi="Cambria Math"/>
            <w:lang w:eastAsia="es-ES"/>
          </w:rPr>
          <m:t xml:space="preserve">*100  </m:t>
        </m:r>
      </m:oMath>
      <w:r>
        <w:t xml:space="preserve">                                                                                                                                             (1)</w:t>
      </w:r>
    </w:p>
    <w:p w14:paraId="19461487" w14:textId="346FB806" w:rsidR="000422B2" w:rsidRDefault="004129B3" w:rsidP="000422B2">
      <w:pPr>
        <w:spacing w:after="240"/>
        <w:rPr>
          <w:bCs/>
          <w:lang w:eastAsia="es-ES"/>
        </w:rPr>
      </w:pPr>
      <w:r w:rsidRPr="004129B3">
        <w:rPr>
          <w:bCs/>
          <w:lang w:eastAsia="es-ES"/>
        </w:rPr>
        <w:t>Where</w:t>
      </w:r>
      <w:r w:rsidR="000422B2" w:rsidRPr="003B5A32">
        <w:rPr>
          <w:bCs/>
          <w:lang w:eastAsia="es-ES"/>
        </w:rPr>
        <w:t xml:space="preserve">: </w:t>
      </w:r>
      <w:r w:rsidR="000422B2" w:rsidRPr="007E2C5D">
        <w:rPr>
          <w:b/>
          <w:bCs/>
          <w:lang w:eastAsia="es-ES"/>
        </w:rPr>
        <w:t>%</w:t>
      </w:r>
      <w:r w:rsidR="000422B2" w:rsidRPr="00815763">
        <w:rPr>
          <w:lang w:eastAsia="es-ES"/>
        </w:rPr>
        <w:t>G=</w:t>
      </w:r>
      <w:r w:rsidR="000422B2" w:rsidRPr="003B5A32">
        <w:rPr>
          <w:bCs/>
          <w:lang w:eastAsia="es-ES"/>
        </w:rPr>
        <w:t xml:space="preserve"> </w:t>
      </w:r>
      <w:r w:rsidR="00B64F58" w:rsidRPr="00B64F58">
        <w:rPr>
          <w:bCs/>
          <w:lang w:eastAsia="es-ES"/>
        </w:rPr>
        <w:t>Germination percentage</w:t>
      </w:r>
      <w:r w:rsidR="000422B2" w:rsidRPr="003B5A32">
        <w:rPr>
          <w:bCs/>
          <w:lang w:eastAsia="es-ES"/>
        </w:rPr>
        <w:t xml:space="preserve">, </w:t>
      </w:r>
      <w:r w:rsidR="000422B2" w:rsidRPr="00815763">
        <w:rPr>
          <w:lang w:eastAsia="es-ES"/>
        </w:rPr>
        <w:t>N=</w:t>
      </w:r>
      <w:r w:rsidR="00B64F58">
        <w:rPr>
          <w:lang w:eastAsia="es-ES"/>
        </w:rPr>
        <w:t xml:space="preserve"> </w:t>
      </w:r>
      <w:r w:rsidR="00B64F58" w:rsidRPr="00B64F58">
        <w:rPr>
          <w:lang w:eastAsia="es-ES"/>
        </w:rPr>
        <w:t xml:space="preserve">Number of germinated plants </w:t>
      </w:r>
      <w:r w:rsidR="000422B2" w:rsidRPr="003B5A32">
        <w:rPr>
          <w:bCs/>
          <w:lang w:eastAsia="es-ES"/>
        </w:rPr>
        <w:t xml:space="preserve">y </w:t>
      </w:r>
      <w:r w:rsidR="000422B2" w:rsidRPr="00815763">
        <w:rPr>
          <w:lang w:eastAsia="es-ES"/>
        </w:rPr>
        <w:t>Ns=</w:t>
      </w:r>
      <w:r w:rsidR="000422B2">
        <w:rPr>
          <w:bCs/>
          <w:lang w:eastAsia="es-ES"/>
        </w:rPr>
        <w:t xml:space="preserve"> </w:t>
      </w:r>
      <w:r w:rsidR="00B64F58" w:rsidRPr="00B64F58">
        <w:rPr>
          <w:bCs/>
          <w:lang w:eastAsia="es-ES"/>
        </w:rPr>
        <w:t>Number of seeds sown</w:t>
      </w:r>
      <w:r w:rsidR="000422B2" w:rsidRPr="003B5A32">
        <w:rPr>
          <w:bCs/>
          <w:lang w:eastAsia="es-ES"/>
        </w:rPr>
        <w:t>.</w:t>
      </w:r>
    </w:p>
    <w:p w14:paraId="24101D70" w14:textId="3390D641" w:rsidR="000422B2" w:rsidRPr="000422B2" w:rsidRDefault="000422B2" w:rsidP="00AC3B34">
      <w:pPr>
        <w:spacing w:line="240" w:lineRule="auto"/>
        <w:rPr>
          <w:b/>
          <w:lang w:eastAsia="es-ES"/>
        </w:rPr>
      </w:pPr>
      <w:r w:rsidRPr="000422B2">
        <w:rPr>
          <w:b/>
          <w:lang w:eastAsia="es-ES"/>
        </w:rPr>
        <w:t xml:space="preserve">2.3. </w:t>
      </w:r>
      <w:r w:rsidR="00B64F58" w:rsidRPr="00B64F58">
        <w:rPr>
          <w:b/>
          <w:lang w:eastAsia="es-ES"/>
        </w:rPr>
        <w:t>Analysis of the impact of electromagnetic fields on pigment synthesis</w:t>
      </w:r>
    </w:p>
    <w:p w14:paraId="3D68E576" w14:textId="31E7AB4E" w:rsidR="00B64F58" w:rsidRDefault="00B64F58" w:rsidP="00B64F58">
      <w:pPr>
        <w:rPr>
          <w:bCs/>
          <w:lang w:val="en-US" w:eastAsia="es-ES"/>
        </w:rPr>
      </w:pPr>
      <w:r w:rsidRPr="00B64F58">
        <w:rPr>
          <w:bCs/>
          <w:lang w:val="en-US" w:eastAsia="es-ES"/>
        </w:rPr>
        <w:t>It was performed under the procedures proposed by the AOAC (1990) cited and adjusted by Suárez-Rivero, et al. (2016). These are mainly based on the use of spectrophotometry, to determine the content of type A, type B and total chlorophyll (equations 2 to 4) expressed in SPAD units.</w:t>
      </w:r>
    </w:p>
    <w:p w14:paraId="675FDBEB" w14:textId="04146DAD" w:rsidR="000422B2" w:rsidRPr="0013096D" w:rsidRDefault="00B64F58" w:rsidP="00B64F58">
      <w:pPr>
        <w:rPr>
          <w:lang w:val="es-ES"/>
        </w:rPr>
      </w:pPr>
      <m:oMath>
        <m:r>
          <m:rPr>
            <m:sty m:val="p"/>
          </m:rPr>
          <w:rPr>
            <w:rFonts w:ascii="Cambria Math" w:hAnsi="Cambria Math"/>
            <w:lang w:val="es-ES"/>
          </w:rPr>
          <m:t xml:space="preserve">Chlorophyll a </m:t>
        </m:r>
        <m:d>
          <m:dPr>
            <m:ctrlPr>
              <w:rPr>
                <w:rFonts w:ascii="Cambria Math" w:hAnsi="Cambria Math"/>
                <w:iCs/>
                <w:lang w:val="es-ES"/>
              </w:rPr>
            </m:ctrlPr>
          </m:dPr>
          <m:e>
            <m:r>
              <m:rPr>
                <m:sty m:val="p"/>
              </m:rPr>
              <w:rPr>
                <w:rFonts w:ascii="Cambria Math" w:hAnsi="Cambria Math"/>
                <w:lang w:val="es-ES"/>
              </w:rPr>
              <m:t>ChlA</m:t>
            </m:r>
          </m:e>
        </m:d>
        <m:r>
          <m:rPr>
            <m:sty m:val="p"/>
          </m:rPr>
          <w:rPr>
            <w:rFonts w:ascii="Cambria Math" w:hAnsi="Cambria Math"/>
            <w:lang w:val="es-ES"/>
          </w:rPr>
          <m:t xml:space="preserve">=(12.25 </m:t>
        </m:r>
        <m:r>
          <m:rPr>
            <m:sty m:val="p"/>
          </m:rPr>
          <w:rPr>
            <w:rFonts w:ascii="Cambria Math" w:hAnsi="Cambria Math" w:cs="Cambria Math"/>
            <w:lang w:val="es-ES"/>
          </w:rPr>
          <m:t>*</m:t>
        </m:r>
        <m:r>
          <m:rPr>
            <m:sty m:val="p"/>
          </m:rPr>
          <w:rPr>
            <w:rFonts w:ascii="Cambria Math" w:hAnsi="Cambria Math"/>
            <w:lang w:val="es-ES"/>
          </w:rPr>
          <m:t xml:space="preserve"> </m:t>
        </m:r>
        <m:sSub>
          <m:sSubPr>
            <m:ctrlPr>
              <w:rPr>
                <w:rFonts w:ascii="Cambria Math" w:hAnsi="Cambria Math"/>
                <w:iCs/>
                <w:sz w:val="24"/>
                <w:szCs w:val="24"/>
                <w:lang w:val="es-ES"/>
              </w:rPr>
            </m:ctrlPr>
          </m:sSubPr>
          <m:e>
            <m:r>
              <m:rPr>
                <m:sty m:val="p"/>
              </m:rPr>
              <w:rPr>
                <w:rFonts w:ascii="Cambria Math" w:hAnsi="Cambria Math"/>
              </w:rPr>
              <m:t>A</m:t>
            </m:r>
          </m:e>
          <m:sub>
            <m:r>
              <m:rPr>
                <m:sty m:val="p"/>
              </m:rPr>
              <w:rPr>
                <w:rFonts w:ascii="Cambria Math" w:hAnsi="Cambria Math"/>
              </w:rPr>
              <m:t>663nm</m:t>
            </m:r>
          </m:sub>
        </m:sSub>
        <m:r>
          <m:rPr>
            <m:sty m:val="p"/>
          </m:rPr>
          <w:rPr>
            <w:rFonts w:ascii="Cambria Math" w:hAnsi="Cambria Math"/>
            <w:lang w:val="es-ES"/>
          </w:rPr>
          <m:t xml:space="preserve">) - (2.79 </m:t>
        </m:r>
        <m:r>
          <m:rPr>
            <m:sty m:val="p"/>
          </m:rPr>
          <w:rPr>
            <w:rFonts w:ascii="Cambria Math" w:hAnsi="Cambria Math" w:cs="Cambria Math"/>
            <w:lang w:val="es-ES"/>
          </w:rPr>
          <m:t>*</m:t>
        </m:r>
        <m:r>
          <m:rPr>
            <m:sty m:val="p"/>
          </m:rPr>
          <w:rPr>
            <w:rFonts w:ascii="Cambria Math" w:hAnsi="Cambria Math"/>
            <w:lang w:val="es-ES"/>
          </w:rPr>
          <m:t xml:space="preserve"> </m:t>
        </m:r>
        <m:sSub>
          <m:sSubPr>
            <m:ctrlPr>
              <w:rPr>
                <w:rFonts w:ascii="Cambria Math" w:hAnsi="Cambria Math"/>
                <w:iCs/>
                <w:sz w:val="24"/>
                <w:szCs w:val="24"/>
                <w:lang w:val="es-ES"/>
              </w:rPr>
            </m:ctrlPr>
          </m:sSubPr>
          <m:e>
            <m:r>
              <m:rPr>
                <m:sty m:val="p"/>
              </m:rPr>
              <w:rPr>
                <w:rFonts w:ascii="Cambria Math" w:hAnsi="Cambria Math"/>
              </w:rPr>
              <m:t>A</m:t>
            </m:r>
          </m:e>
          <m:sub>
            <m:r>
              <m:rPr>
                <m:sty m:val="p"/>
              </m:rPr>
              <w:rPr>
                <w:rFonts w:ascii="Cambria Math" w:hAnsi="Cambria Math"/>
              </w:rPr>
              <m:t>647nm</m:t>
            </m:r>
          </m:sub>
        </m:sSub>
        <m:r>
          <m:rPr>
            <m:sty m:val="p"/>
          </m:rPr>
          <w:rPr>
            <w:rFonts w:ascii="Cambria Math" w:hAnsi="Cambria Math"/>
            <w:lang w:val="es-ES"/>
          </w:rPr>
          <m:t>)</m:t>
        </m:r>
      </m:oMath>
      <w:r w:rsidR="000422B2" w:rsidRPr="0013096D">
        <w:t xml:space="preserve">                                             </w:t>
      </w:r>
      <w:r w:rsidR="000422B2">
        <w:t xml:space="preserve">                        </w:t>
      </w:r>
      <w:r w:rsidR="000422B2" w:rsidRPr="0013096D">
        <w:t xml:space="preserve"> </w:t>
      </w:r>
      <w:r w:rsidR="000422B2">
        <w:t xml:space="preserve"> </w:t>
      </w:r>
      <w:r w:rsidR="000422B2" w:rsidRPr="0013096D">
        <w:t xml:space="preserve">         (</w:t>
      </w:r>
      <w:r w:rsidR="000422B2">
        <w:t>2</w:t>
      </w:r>
      <w:r w:rsidR="000422B2" w:rsidRPr="0013096D">
        <w:t>)</w:t>
      </w:r>
    </w:p>
    <w:p w14:paraId="6384B989" w14:textId="4A13EFA9" w:rsidR="000422B2" w:rsidRPr="0013096D" w:rsidRDefault="00B64F58" w:rsidP="000422B2">
      <w:pPr>
        <w:rPr>
          <w:lang w:val="es-ES"/>
        </w:rPr>
      </w:pPr>
      <m:oMath>
        <m:r>
          <m:rPr>
            <m:sty m:val="p"/>
          </m:rPr>
          <w:rPr>
            <w:rFonts w:ascii="Cambria Math" w:hAnsi="Cambria Math"/>
            <w:lang w:val="es-ES"/>
          </w:rPr>
          <m:t xml:space="preserve">Chlorophyll b </m:t>
        </m:r>
        <m:d>
          <m:dPr>
            <m:ctrlPr>
              <w:rPr>
                <w:rFonts w:ascii="Cambria Math" w:hAnsi="Cambria Math"/>
                <w:iCs/>
                <w:lang w:val="es-ES"/>
              </w:rPr>
            </m:ctrlPr>
          </m:dPr>
          <m:e>
            <m:r>
              <m:rPr>
                <m:sty m:val="p"/>
              </m:rPr>
              <w:rPr>
                <w:rFonts w:ascii="Cambria Math" w:hAnsi="Cambria Math"/>
                <w:lang w:val="es-ES"/>
              </w:rPr>
              <m:t>ChlB</m:t>
            </m:r>
          </m:e>
        </m:d>
        <m:r>
          <m:rPr>
            <m:sty m:val="p"/>
          </m:rPr>
          <w:rPr>
            <w:rFonts w:ascii="Cambria Math" w:hAnsi="Cambria Math"/>
            <w:lang w:val="es-ES"/>
          </w:rPr>
          <m:t xml:space="preserve">= </m:t>
        </m:r>
        <m:d>
          <m:dPr>
            <m:ctrlPr>
              <w:rPr>
                <w:rFonts w:ascii="Cambria Math" w:hAnsi="Cambria Math"/>
                <w:iCs/>
                <w:lang w:val="es-ES"/>
              </w:rPr>
            </m:ctrlPr>
          </m:dPr>
          <m:e>
            <m:r>
              <m:rPr>
                <m:sty m:val="p"/>
              </m:rPr>
              <w:rPr>
                <w:rFonts w:ascii="Cambria Math" w:hAnsi="Cambria Math"/>
                <w:lang w:val="es-ES"/>
              </w:rPr>
              <m:t xml:space="preserve">21.5 </m:t>
            </m:r>
            <m:r>
              <m:rPr>
                <m:sty m:val="p"/>
              </m:rPr>
              <w:rPr>
                <w:rFonts w:ascii="Cambria Math" w:hAnsi="Cambria Math" w:cs="Cambria Math"/>
                <w:lang w:val="es-ES"/>
              </w:rPr>
              <m:t>*</m:t>
            </m:r>
            <m:r>
              <m:rPr>
                <m:sty m:val="p"/>
              </m:rPr>
              <w:rPr>
                <w:rFonts w:ascii="Cambria Math" w:hAnsi="Cambria Math"/>
                <w:lang w:val="es-ES"/>
              </w:rPr>
              <m:t xml:space="preserve"> </m:t>
            </m:r>
            <m:sSub>
              <m:sSubPr>
                <m:ctrlPr>
                  <w:rPr>
                    <w:rFonts w:ascii="Cambria Math" w:hAnsi="Cambria Math"/>
                    <w:iCs/>
                    <w:sz w:val="24"/>
                    <w:szCs w:val="24"/>
                    <w:lang w:val="es-ES"/>
                  </w:rPr>
                </m:ctrlPr>
              </m:sSubPr>
              <m:e>
                <m:r>
                  <m:rPr>
                    <m:sty m:val="p"/>
                  </m:rPr>
                  <w:rPr>
                    <w:rFonts w:ascii="Cambria Math" w:hAnsi="Cambria Math"/>
                  </w:rPr>
                  <m:t>A</m:t>
                </m:r>
              </m:e>
              <m:sub>
                <m:r>
                  <m:rPr>
                    <m:sty m:val="p"/>
                  </m:rPr>
                  <w:rPr>
                    <w:rFonts w:ascii="Cambria Math" w:hAnsi="Cambria Math"/>
                  </w:rPr>
                  <m:t>647nm</m:t>
                </m:r>
              </m:sub>
            </m:sSub>
          </m:e>
        </m:d>
        <m:r>
          <m:rPr>
            <m:sty m:val="p"/>
          </m:rPr>
          <w:rPr>
            <w:rFonts w:ascii="Cambria Math"/>
            <w:lang w:val="es-ES"/>
          </w:rPr>
          <m:t>-</m:t>
        </m:r>
        <m:r>
          <m:rPr>
            <m:sty m:val="p"/>
          </m:rPr>
          <w:rPr>
            <w:rFonts w:ascii="Cambria Math"/>
            <w:lang w:val="es-ES"/>
          </w:rPr>
          <m:t>(5.1</m:t>
        </m:r>
        <m:r>
          <m:rPr>
            <m:sty m:val="p"/>
          </m:rPr>
          <w:rPr>
            <w:rFonts w:ascii="Cambria Math" w:hAnsi="Cambria Math" w:cs="Cambria Math"/>
            <w:lang w:val="es-ES"/>
          </w:rPr>
          <m:t>*</m:t>
        </m:r>
        <m:sSub>
          <m:sSubPr>
            <m:ctrlPr>
              <w:rPr>
                <w:rFonts w:ascii="Cambria Math" w:hAnsi="Cambria Math"/>
                <w:iCs/>
                <w:sz w:val="24"/>
                <w:szCs w:val="24"/>
                <w:lang w:val="es-ES"/>
              </w:rPr>
            </m:ctrlPr>
          </m:sSubPr>
          <m:e>
            <m:r>
              <m:rPr>
                <m:sty m:val="p"/>
              </m:rPr>
              <w:rPr>
                <w:rFonts w:ascii="Cambria Math" w:hAnsi="Cambria Math"/>
              </w:rPr>
              <m:t>A</m:t>
            </m:r>
          </m:e>
          <m:sub>
            <m:r>
              <m:rPr>
                <m:sty m:val="p"/>
              </m:rPr>
              <w:rPr>
                <w:rFonts w:ascii="Cambria Math" w:hAnsi="Cambria Math"/>
              </w:rPr>
              <m:t>663nm</m:t>
            </m:r>
          </m:sub>
        </m:sSub>
        <m:r>
          <m:rPr>
            <m:sty m:val="p"/>
          </m:rPr>
          <w:rPr>
            <w:rFonts w:ascii="Cambria Math"/>
            <w:lang w:val="es-ES"/>
          </w:rPr>
          <m:t>)</m:t>
        </m:r>
      </m:oMath>
      <w:r w:rsidR="000422B2" w:rsidRPr="0013096D">
        <w:t xml:space="preserve">                                                       </w:t>
      </w:r>
      <w:r w:rsidR="000422B2">
        <w:t xml:space="preserve">                         </w:t>
      </w:r>
      <w:r w:rsidR="000422B2" w:rsidRPr="0013096D">
        <w:t xml:space="preserve">      (</w:t>
      </w:r>
      <w:r w:rsidR="000422B2">
        <w:t>3</w:t>
      </w:r>
      <w:r w:rsidR="000422B2" w:rsidRPr="0013096D">
        <w:t>)</w:t>
      </w:r>
    </w:p>
    <w:p w14:paraId="75CE9D93" w14:textId="1EA6C4F3" w:rsidR="000422B2" w:rsidRPr="0013096D" w:rsidRDefault="00B64F58" w:rsidP="000422B2">
      <w:pPr>
        <w:rPr>
          <w:rFonts w:ascii="DejaVu Serif Condensed" w:eastAsia="DejaVu Serif Condensed" w:hAnsi="DejaVu Serif Condensed"/>
        </w:rPr>
      </w:pPr>
      <m:oMath>
        <m:r>
          <m:rPr>
            <m:sty m:val="p"/>
          </m:rPr>
          <w:rPr>
            <w:rFonts w:ascii="Cambria Math" w:hAnsi="Cambria Math"/>
          </w:rPr>
          <m:t xml:space="preserve">Chlorophyll t </m:t>
        </m:r>
        <m:d>
          <m:dPr>
            <m:ctrlPr>
              <w:rPr>
                <w:rFonts w:ascii="Cambria Math" w:hAnsi="Cambria Math"/>
                <w:iCs/>
                <w:lang w:val="es-ES"/>
              </w:rPr>
            </m:ctrlPr>
          </m:dPr>
          <m:e>
            <m:r>
              <m:rPr>
                <m:sty m:val="p"/>
              </m:rPr>
              <w:rPr>
                <w:rFonts w:ascii="Cambria Math" w:hAnsi="Cambria Math"/>
              </w:rPr>
              <m:t>ChlT</m:t>
            </m:r>
          </m:e>
        </m:d>
        <m:r>
          <m:rPr>
            <m:sty m:val="p"/>
          </m:rPr>
          <w:rPr>
            <w:rFonts w:ascii="Cambria Math" w:hAnsi="Cambria Math"/>
          </w:rPr>
          <m:t xml:space="preserve"> =</m:t>
        </m:r>
        <m:d>
          <m:dPr>
            <m:ctrlPr>
              <w:rPr>
                <w:rFonts w:ascii="Cambria Math" w:hAnsi="Cambria Math"/>
                <w:iCs/>
              </w:rPr>
            </m:ctrlPr>
          </m:dPr>
          <m:e>
            <m:r>
              <m:rPr>
                <m:sty m:val="p"/>
              </m:rPr>
              <w:rPr>
                <w:rFonts w:ascii="Cambria Math" w:hAnsi="Cambria Math"/>
              </w:rPr>
              <m:t>7.15*</m:t>
            </m:r>
            <m:sSub>
              <m:sSubPr>
                <m:ctrlPr>
                  <w:rPr>
                    <w:rFonts w:ascii="Cambria Math" w:hAnsi="Cambria Math"/>
                    <w:iCs/>
                    <w:sz w:val="24"/>
                    <w:szCs w:val="24"/>
                    <w:lang w:val="es-ES"/>
                  </w:rPr>
                </m:ctrlPr>
              </m:sSubPr>
              <m:e>
                <m:r>
                  <m:rPr>
                    <m:sty m:val="p"/>
                  </m:rPr>
                  <w:rPr>
                    <w:rFonts w:ascii="Cambria Math" w:hAnsi="Cambria Math"/>
                  </w:rPr>
                  <m:t>A</m:t>
                </m:r>
              </m:e>
              <m:sub>
                <m:r>
                  <m:rPr>
                    <m:sty m:val="p"/>
                  </m:rPr>
                  <w:rPr>
                    <w:rFonts w:ascii="Cambria Math" w:hAnsi="Cambria Math"/>
                  </w:rPr>
                  <m:t>663nm</m:t>
                </m:r>
              </m:sub>
            </m:sSub>
          </m:e>
        </m:d>
        <m:r>
          <m:rPr>
            <m:sty m:val="p"/>
          </m:rPr>
          <w:rPr>
            <w:rFonts w:ascii="Cambria Math" w:hAnsi="Cambria Math"/>
          </w:rPr>
          <m:t>-(18.7*</m:t>
        </m:r>
        <m:sSub>
          <m:sSubPr>
            <m:ctrlPr>
              <w:rPr>
                <w:rFonts w:ascii="Cambria Math" w:hAnsi="Cambria Math"/>
                <w:iCs/>
                <w:sz w:val="24"/>
                <w:szCs w:val="24"/>
                <w:lang w:val="es-ES"/>
              </w:rPr>
            </m:ctrlPr>
          </m:sSubPr>
          <m:e>
            <m:r>
              <m:rPr>
                <m:sty m:val="p"/>
              </m:rPr>
              <w:rPr>
                <w:rFonts w:ascii="Cambria Math" w:hAnsi="Cambria Math"/>
              </w:rPr>
              <m:t>A</m:t>
            </m:r>
          </m:e>
          <m:sub>
            <m:r>
              <m:rPr>
                <m:sty m:val="p"/>
              </m:rPr>
              <w:rPr>
                <w:rFonts w:ascii="Cambria Math" w:hAnsi="Cambria Math"/>
              </w:rPr>
              <m:t>647nm</m:t>
            </m:r>
          </m:sub>
        </m:sSub>
        <m:r>
          <m:rPr>
            <m:sty m:val="p"/>
          </m:rPr>
          <w:rPr>
            <w:rFonts w:ascii="Cambria Math" w:hAnsi="Cambria Math"/>
          </w:rPr>
          <m:t>)</m:t>
        </m:r>
      </m:oMath>
      <w:r w:rsidR="000422B2">
        <w:t xml:space="preserve">      </w:t>
      </w:r>
      <w:r w:rsidR="000422B2" w:rsidRPr="0013096D">
        <w:t xml:space="preserve">                                                </w:t>
      </w:r>
      <w:r w:rsidR="000422B2">
        <w:t xml:space="preserve">                         </w:t>
      </w:r>
      <w:r w:rsidR="000422B2" w:rsidRPr="0013096D">
        <w:t xml:space="preserve">        (</w:t>
      </w:r>
      <w:r w:rsidR="000422B2">
        <w:t>4</w:t>
      </w:r>
      <w:r w:rsidR="000422B2" w:rsidRPr="0013096D">
        <w:t>)</w:t>
      </w:r>
    </w:p>
    <w:p w14:paraId="6D91A765" w14:textId="5974C908" w:rsidR="000422B2" w:rsidRPr="000422B2" w:rsidRDefault="000422B2" w:rsidP="00B64F58">
      <w:pPr>
        <w:pStyle w:val="CETBodytext"/>
        <w:spacing w:before="240"/>
        <w:rPr>
          <w:b/>
          <w:bCs/>
          <w:lang w:val="en-GB"/>
        </w:rPr>
      </w:pPr>
      <w:r w:rsidRPr="000422B2">
        <w:rPr>
          <w:b/>
          <w:bCs/>
          <w:lang w:val="en-GB"/>
        </w:rPr>
        <w:t xml:space="preserve">2.4. </w:t>
      </w:r>
      <w:r w:rsidR="00B64F58" w:rsidRPr="00B64F58">
        <w:rPr>
          <w:b/>
          <w:bCs/>
          <w:lang w:val="en-GB"/>
        </w:rPr>
        <w:t>Effects on growth and development variables</w:t>
      </w:r>
    </w:p>
    <w:p w14:paraId="5B2EAFE0" w14:textId="77777777" w:rsidR="00B64F58" w:rsidRDefault="00B64F58" w:rsidP="00600535">
      <w:pPr>
        <w:pStyle w:val="CETBodytext"/>
        <w:rPr>
          <w:lang w:val="en-GB"/>
        </w:rPr>
      </w:pPr>
      <w:r w:rsidRPr="00B64F58">
        <w:rPr>
          <w:lang w:val="en-GB"/>
        </w:rPr>
        <w:t>For the evaluation of the effects generated by electromagnetic fields it is necessary to use the establishment of leaf area (cm</w:t>
      </w:r>
      <w:r w:rsidRPr="00B64F58">
        <w:rPr>
          <w:vertAlign w:val="superscript"/>
          <w:lang w:val="en-GB"/>
        </w:rPr>
        <w:t>2</w:t>
      </w:r>
      <w:r w:rsidRPr="00B64F58">
        <w:rPr>
          <w:lang w:val="en-GB"/>
        </w:rPr>
        <w:t>), fresh mass (g), dry mass (g), taken as a basis for the calculation of the development indicators Relative Growth Rate - RGR, Net Assimilation Rate - TAN, Leaf Area Index - IAF, Crop Growth Rate - TCC, Absolute Growth Rate - TAC, Leaf Area Duration - DAF and Specific Leaf Area - AFE as cited by Suárez-Rivero, et al. (2016).</w:t>
      </w:r>
    </w:p>
    <w:p w14:paraId="301837FB" w14:textId="5D7FF714" w:rsidR="005A3C11" w:rsidRPr="005A3C11" w:rsidRDefault="005A3C11" w:rsidP="00B64F58">
      <w:pPr>
        <w:pStyle w:val="CETBodytext"/>
        <w:spacing w:before="240"/>
        <w:rPr>
          <w:b/>
          <w:bCs/>
          <w:lang w:val="en-GB"/>
        </w:rPr>
      </w:pPr>
      <w:r w:rsidRPr="005A3C11">
        <w:rPr>
          <w:b/>
          <w:bCs/>
          <w:lang w:val="en-GB"/>
        </w:rPr>
        <w:t xml:space="preserve">2.5. </w:t>
      </w:r>
      <w:r w:rsidR="00B64F58" w:rsidRPr="00B64F58">
        <w:rPr>
          <w:b/>
          <w:bCs/>
          <w:lang w:val="en-GB"/>
        </w:rPr>
        <w:t>Effects on productivity variables</w:t>
      </w:r>
    </w:p>
    <w:p w14:paraId="00556196" w14:textId="77777777" w:rsidR="002D7300" w:rsidRPr="002D7300" w:rsidRDefault="002D7300" w:rsidP="002D7300">
      <w:pPr>
        <w:pStyle w:val="CETBodytext"/>
        <w:rPr>
          <w:lang w:val="en-GB"/>
        </w:rPr>
      </w:pPr>
      <w:r w:rsidRPr="002D7300">
        <w:rPr>
          <w:lang w:val="en-GB"/>
        </w:rPr>
        <w:t>Yield in cob and grain: It is a magnitude of biomass expressed as t ha</w:t>
      </w:r>
      <w:r w:rsidRPr="002D7300">
        <w:rPr>
          <w:vertAlign w:val="superscript"/>
          <w:lang w:val="en-GB"/>
        </w:rPr>
        <w:t>-1</w:t>
      </w:r>
      <w:r w:rsidRPr="002D7300">
        <w:rPr>
          <w:lang w:val="en-GB"/>
        </w:rPr>
        <w:t xml:space="preserve"> on a fresh weight basis produced on 20 randomly selected plants per treatment.</w:t>
      </w:r>
    </w:p>
    <w:p w14:paraId="25A2ADC0" w14:textId="668D5DEE" w:rsidR="005A3C11" w:rsidRDefault="002D7300" w:rsidP="002D7300">
      <w:pPr>
        <w:pStyle w:val="CETBodytext"/>
        <w:rPr>
          <w:lang w:val="en-GB"/>
        </w:rPr>
      </w:pPr>
      <w:r w:rsidRPr="002D7300">
        <w:rPr>
          <w:lang w:val="en-GB"/>
        </w:rPr>
        <w:t>Ear morphology: ear weight with amero (PA), ear weight (PT), weight of grains per ear (PGr) and number of rows per ear (NH). These measurements were made directly by weighing on a semi-analytical balance Vibra AJ 2200 g X 0.01 g with external calibration, as well as counting the rows by direct counting.</w:t>
      </w:r>
    </w:p>
    <w:p w14:paraId="1BE4BE70" w14:textId="7F1660DC" w:rsidR="005A3C11" w:rsidRPr="005A3C11" w:rsidRDefault="005A3C11" w:rsidP="002D7300">
      <w:pPr>
        <w:pStyle w:val="CETBodytext"/>
        <w:spacing w:before="240"/>
        <w:rPr>
          <w:b/>
          <w:bCs/>
          <w:lang w:val="en-GB"/>
        </w:rPr>
      </w:pPr>
      <w:r w:rsidRPr="005A3C11">
        <w:rPr>
          <w:b/>
          <w:bCs/>
          <w:lang w:val="en-GB"/>
        </w:rPr>
        <w:t>2.</w:t>
      </w:r>
      <w:r>
        <w:rPr>
          <w:b/>
          <w:bCs/>
          <w:lang w:val="en-GB"/>
        </w:rPr>
        <w:t>6</w:t>
      </w:r>
      <w:r w:rsidRPr="005A3C11">
        <w:rPr>
          <w:b/>
          <w:bCs/>
          <w:lang w:val="en-GB"/>
        </w:rPr>
        <w:t xml:space="preserve">. </w:t>
      </w:r>
      <w:r w:rsidR="002D7300" w:rsidRPr="002D7300">
        <w:rPr>
          <w:b/>
          <w:bCs/>
          <w:lang w:val="en-GB"/>
        </w:rPr>
        <w:t>Statistical analysis of data</w:t>
      </w:r>
    </w:p>
    <w:p w14:paraId="3E1EC049" w14:textId="77777777" w:rsidR="002D7300" w:rsidRDefault="002D7300" w:rsidP="002D7300">
      <w:pPr>
        <w:pStyle w:val="CETHeading1"/>
        <w:numPr>
          <w:ilvl w:val="0"/>
          <w:numId w:val="0"/>
        </w:numPr>
        <w:spacing w:before="0"/>
        <w:jc w:val="both"/>
        <w:rPr>
          <w:b w:val="0"/>
          <w:sz w:val="18"/>
          <w:lang w:val="en-GB"/>
        </w:rPr>
      </w:pPr>
      <w:r w:rsidRPr="002D7300">
        <w:rPr>
          <w:b w:val="0"/>
          <w:sz w:val="18"/>
          <w:lang w:val="en-GB"/>
        </w:rPr>
        <w:t xml:space="preserve">A 3 x 4 bifactorial experimental design was used, where 3 are the field intensities and 4 are the exposure times of the seeds to be evaluated. It should be noted that sampling was carried out randomly within each of the plots for each of the variables to be analyzed. Likewise, the experimental units were grouped in two directions (rows and columns) in the field and the treatments were randomly assigned to the units using the Latin square. Multiple </w:t>
      </w:r>
      <w:r w:rsidRPr="002D7300">
        <w:rPr>
          <w:b w:val="0"/>
          <w:sz w:val="18"/>
          <w:lang w:val="en-GB"/>
        </w:rPr>
        <w:lastRenderedPageBreak/>
        <w:t>range tests were performed to establish the behavior of the variables in comparison with the control, for which SPSS software was used.</w:t>
      </w:r>
    </w:p>
    <w:p w14:paraId="5A680AE8" w14:textId="664D0DBC" w:rsidR="005A3C11" w:rsidRPr="00B57B36" w:rsidRDefault="002D7300" w:rsidP="002D7300">
      <w:pPr>
        <w:pStyle w:val="CETHeading1"/>
        <w:numPr>
          <w:ilvl w:val="0"/>
          <w:numId w:val="0"/>
        </w:numPr>
        <w:spacing w:before="0"/>
        <w:jc w:val="both"/>
        <w:rPr>
          <w:lang w:val="en-GB"/>
        </w:rPr>
      </w:pPr>
      <w:r w:rsidRPr="002D7300">
        <w:rPr>
          <w:bCs/>
          <w:sz w:val="18"/>
          <w:lang w:val="en-GB"/>
        </w:rPr>
        <w:t>3.</w:t>
      </w:r>
      <w:r>
        <w:rPr>
          <w:b w:val="0"/>
          <w:sz w:val="18"/>
          <w:lang w:val="en-GB"/>
        </w:rPr>
        <w:t xml:space="preserve"> </w:t>
      </w:r>
      <w:r w:rsidRPr="002D7300">
        <w:rPr>
          <w:lang w:val="en-GB"/>
        </w:rPr>
        <w:t>Results and Discussion</w:t>
      </w:r>
    </w:p>
    <w:p w14:paraId="5E7C14CE" w14:textId="14DC2571" w:rsidR="005A3C11" w:rsidRPr="000422B2" w:rsidRDefault="005A3C11" w:rsidP="005A3C11">
      <w:pPr>
        <w:pStyle w:val="CETBodytext"/>
        <w:rPr>
          <w:b/>
          <w:bCs/>
          <w:lang w:val="en-GB"/>
        </w:rPr>
      </w:pPr>
      <w:r>
        <w:rPr>
          <w:b/>
          <w:bCs/>
          <w:lang w:val="en-GB"/>
        </w:rPr>
        <w:t xml:space="preserve">3.1. </w:t>
      </w:r>
      <w:r w:rsidR="002D7300" w:rsidRPr="002D7300">
        <w:rPr>
          <w:b/>
          <w:bCs/>
          <w:lang w:val="en-GB"/>
        </w:rPr>
        <w:t>Analysis of the effect of electromagnetic fields on the germination process</w:t>
      </w:r>
    </w:p>
    <w:p w14:paraId="6D0EBFA2" w14:textId="22B7CE79" w:rsidR="00036E3E" w:rsidRDefault="002D7300" w:rsidP="002D7300">
      <w:pPr>
        <w:pStyle w:val="CETBodytext"/>
        <w:spacing w:after="240"/>
        <w:rPr>
          <w:lang w:val="en-GB"/>
        </w:rPr>
      </w:pPr>
      <w:r w:rsidRPr="002D7300">
        <w:rPr>
          <w:lang w:val="en-GB"/>
        </w:rPr>
        <w:t>When analyzing the capacity of the caryopses to germinate, given by the maximum germination percentage obtained in the time evaluated (15 days), it was evident that the corn grains subjected to treatments T7 and T8 showed the highest values with 96%, contrary to what occurred with C, where the maximum germination only reached 87%. The results for this variable show that the germination process was stimulated by the application of electromagnetic fields at medium intensity (70 µT) within those selected for this research, but at the highest exposure times (300ˈ and permanent for 15 days)</w:t>
      </w:r>
      <w:r w:rsidR="00561A86">
        <w:rPr>
          <w:lang w:val="en-GB"/>
        </w:rPr>
        <w:t xml:space="preserve">; </w:t>
      </w:r>
      <w:r w:rsidR="00561A86" w:rsidRPr="00561A86">
        <w:rPr>
          <w:lang w:val="en-GB"/>
        </w:rPr>
        <w:t xml:space="preserve">coinciding with the treatments proposed by </w:t>
      </w:r>
      <w:r w:rsidR="00561A86" w:rsidRPr="00B64F58">
        <w:rPr>
          <w:lang w:val="en-GB"/>
        </w:rPr>
        <w:t>Suárez-Rivero, et al., 20</w:t>
      </w:r>
      <w:r w:rsidR="00561A86">
        <w:rPr>
          <w:lang w:val="en-GB"/>
        </w:rPr>
        <w:t>23</w:t>
      </w:r>
      <w:r w:rsidR="00561A86" w:rsidRPr="00B64F58">
        <w:rPr>
          <w:lang w:val="en-GB"/>
        </w:rPr>
        <w:t>)</w:t>
      </w:r>
      <w:r w:rsidR="00561A86">
        <w:rPr>
          <w:lang w:val="en-GB"/>
        </w:rPr>
        <w:t>.</w:t>
      </w:r>
    </w:p>
    <w:p w14:paraId="4356A8D7" w14:textId="379A2E2E" w:rsidR="005A3C11" w:rsidRDefault="005A3C11" w:rsidP="00600535">
      <w:pPr>
        <w:pStyle w:val="CETBodytext"/>
        <w:rPr>
          <w:lang w:val="en-GB"/>
        </w:rPr>
      </w:pPr>
      <w:r>
        <w:rPr>
          <w:b/>
          <w:lang w:eastAsia="es-ES"/>
        </w:rPr>
        <w:t xml:space="preserve">3.2. </w:t>
      </w:r>
      <w:r w:rsidR="002D7300" w:rsidRPr="002D7300">
        <w:rPr>
          <w:b/>
          <w:lang w:eastAsia="es-ES"/>
        </w:rPr>
        <w:t>Analysis of the impact of electromagnetic fields on pigment synthesis</w:t>
      </w:r>
    </w:p>
    <w:p w14:paraId="4C5D1810" w14:textId="77777777" w:rsidR="00746E13" w:rsidRDefault="00746E13" w:rsidP="00746E13">
      <w:pPr>
        <w:keepNext/>
      </w:pPr>
      <w:r w:rsidRPr="00746E13">
        <w:t>Figures 1 to 3 show the behavior of the content of these chlorophylls (A, B and total). Thus, all the treatments show much higher values than the control, differing significantly from it in all cases.</w:t>
      </w:r>
    </w:p>
    <w:p w14:paraId="04B4D1E3" w14:textId="77777777" w:rsidR="00681CD8" w:rsidRDefault="00681CD8" w:rsidP="00746E13">
      <w:pPr>
        <w:keepNext/>
      </w:pPr>
    </w:p>
    <w:p w14:paraId="1A092385" w14:textId="5DD6B2C6" w:rsidR="00850E21" w:rsidRDefault="002B37F0" w:rsidP="00746E13">
      <w:pPr>
        <w:keepNext/>
        <w:jc w:val="center"/>
      </w:pPr>
      <w:r>
        <w:rPr>
          <w:noProof/>
          <w:lang w:val="es-CO" w:eastAsia="es-CO"/>
        </w:rPr>
        <w:drawing>
          <wp:inline distT="0" distB="0" distL="0" distR="0" wp14:anchorId="10050A37" wp14:editId="50EABEBD">
            <wp:extent cx="3540556" cy="2601974"/>
            <wp:effectExtent l="0" t="0" r="3175" b="8255"/>
            <wp:docPr id="8459364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58606" cy="2615239"/>
                    </a:xfrm>
                    <a:prstGeom prst="rect">
                      <a:avLst/>
                    </a:prstGeom>
                    <a:noFill/>
                    <a:ln>
                      <a:noFill/>
                    </a:ln>
                  </pic:spPr>
                </pic:pic>
              </a:graphicData>
            </a:graphic>
          </wp:inline>
        </w:drawing>
      </w:r>
    </w:p>
    <w:p w14:paraId="0652BFD2" w14:textId="6278A544" w:rsidR="00036E3E" w:rsidRDefault="002D7300" w:rsidP="00600535">
      <w:pPr>
        <w:pStyle w:val="CETBodytext"/>
        <w:rPr>
          <w:lang w:val="en-GB"/>
        </w:rPr>
      </w:pPr>
      <w:r w:rsidRPr="002D7300">
        <w:rPr>
          <w:rStyle w:val="CETCaptionCarattere"/>
        </w:rPr>
        <w:t xml:space="preserve">Figure 1: Chlorophyll A content behavior </w:t>
      </w:r>
      <w:r w:rsidR="009C5BD5" w:rsidRPr="009C5BD5">
        <w:rPr>
          <w:rStyle w:val="CETCaptionCarattere"/>
        </w:rPr>
        <w:t>according to electromagnetic induction compared to control plants</w:t>
      </w:r>
      <w:r w:rsidR="009C5BD5">
        <w:rPr>
          <w:rStyle w:val="CETCaptionCarattere"/>
        </w:rPr>
        <w:t xml:space="preserve"> </w:t>
      </w:r>
      <w:r w:rsidRPr="009C5BD5">
        <w:rPr>
          <w:rStyle w:val="CETCaptionCarattere"/>
        </w:rPr>
        <w:t>(</w:t>
      </w:r>
      <w:r w:rsidRPr="002D7300">
        <w:rPr>
          <w:rStyle w:val="CETCaptionCarattere"/>
        </w:rPr>
        <w:t>The bars represent the error at 95% CI).</w:t>
      </w:r>
    </w:p>
    <w:p w14:paraId="5ED1F7BD" w14:textId="2F9ECD24" w:rsidR="00850E21" w:rsidRPr="00830863" w:rsidRDefault="00520FBB" w:rsidP="00850E21">
      <w:pPr>
        <w:jc w:val="center"/>
        <w:rPr>
          <w:lang w:val="es-MX" w:bidi="en-US"/>
        </w:rPr>
      </w:pPr>
      <w:r>
        <w:rPr>
          <w:noProof/>
          <w:lang w:val="es-CO" w:eastAsia="es-CO"/>
        </w:rPr>
        <w:drawing>
          <wp:inline distT="0" distB="0" distL="0" distR="0" wp14:anchorId="19EB063E" wp14:editId="0A5F5B1C">
            <wp:extent cx="3445459" cy="2560470"/>
            <wp:effectExtent l="0" t="0" r="3175" b="0"/>
            <wp:docPr id="1699826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1826" cy="2580065"/>
                    </a:xfrm>
                    <a:prstGeom prst="rect">
                      <a:avLst/>
                    </a:prstGeom>
                    <a:noFill/>
                    <a:ln>
                      <a:noFill/>
                    </a:ln>
                  </pic:spPr>
                </pic:pic>
              </a:graphicData>
            </a:graphic>
          </wp:inline>
        </w:drawing>
      </w:r>
    </w:p>
    <w:p w14:paraId="7127C81C" w14:textId="5F00E1E8" w:rsidR="00850E21" w:rsidRPr="00850E21" w:rsidRDefault="002D7300" w:rsidP="00850E21">
      <w:pPr>
        <w:pStyle w:val="CETBodytext"/>
        <w:rPr>
          <w:i/>
          <w:iCs/>
          <w:lang w:val="en-GB"/>
        </w:rPr>
      </w:pPr>
      <w:r w:rsidRPr="002D7300">
        <w:rPr>
          <w:rStyle w:val="CETCaptionCarattere"/>
          <w:iCs/>
        </w:rPr>
        <w:t xml:space="preserve">Figure 2: Chlorophyll B content behavior </w:t>
      </w:r>
      <w:r w:rsidR="009C5BD5" w:rsidRPr="009C5BD5">
        <w:rPr>
          <w:rStyle w:val="CETCaptionCarattere"/>
          <w:iCs/>
        </w:rPr>
        <w:t>according to electromagnetic induction compared to control plants</w:t>
      </w:r>
      <w:r w:rsidR="009C5BD5">
        <w:rPr>
          <w:rStyle w:val="CETCaptionCarattere"/>
          <w:iCs/>
        </w:rPr>
        <w:t xml:space="preserve"> </w:t>
      </w:r>
      <w:r w:rsidRPr="009C5BD5">
        <w:rPr>
          <w:rStyle w:val="CETCaptionCarattere"/>
          <w:iCs/>
        </w:rPr>
        <w:t>(</w:t>
      </w:r>
      <w:r w:rsidRPr="002D7300">
        <w:rPr>
          <w:rStyle w:val="CETCaptionCarattere"/>
          <w:iCs/>
        </w:rPr>
        <w:t>The bars represent the error at 95% CI).</w:t>
      </w:r>
      <w:r w:rsidR="00850E21">
        <w:rPr>
          <w:i/>
          <w:iCs/>
          <w:lang w:val="en-GB"/>
        </w:rPr>
        <w:t xml:space="preserve"> </w:t>
      </w:r>
    </w:p>
    <w:p w14:paraId="0AF4D7D6" w14:textId="44849669" w:rsidR="00850E21" w:rsidRDefault="00681CD8" w:rsidP="00850E21">
      <w:pPr>
        <w:keepNext/>
        <w:jc w:val="center"/>
      </w:pPr>
      <w:r>
        <w:rPr>
          <w:noProof/>
          <w:lang w:val="es-CO" w:eastAsia="es-CO"/>
        </w:rPr>
        <w:drawing>
          <wp:inline distT="0" distB="0" distL="0" distR="0" wp14:anchorId="4FDCCCEF" wp14:editId="6EB75DC7">
            <wp:extent cx="3438144" cy="2562745"/>
            <wp:effectExtent l="0" t="0" r="0" b="9525"/>
            <wp:docPr id="15596665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6803" cy="2576653"/>
                    </a:xfrm>
                    <a:prstGeom prst="rect">
                      <a:avLst/>
                    </a:prstGeom>
                    <a:noFill/>
                    <a:ln>
                      <a:noFill/>
                    </a:ln>
                  </pic:spPr>
                </pic:pic>
              </a:graphicData>
            </a:graphic>
          </wp:inline>
        </w:drawing>
      </w:r>
    </w:p>
    <w:p w14:paraId="197AC593" w14:textId="77777777" w:rsidR="009C5BD5" w:rsidRPr="00850E21" w:rsidRDefault="002D7300" w:rsidP="009C5BD5">
      <w:pPr>
        <w:pStyle w:val="CETBodytext"/>
        <w:rPr>
          <w:i/>
          <w:iCs/>
          <w:lang w:val="en-GB"/>
        </w:rPr>
      </w:pPr>
      <w:r w:rsidRPr="002D7300">
        <w:rPr>
          <w:rStyle w:val="CETCaptionCarattere"/>
        </w:rPr>
        <w:t>Figure 3: Behavior of total chlorophyll content</w:t>
      </w:r>
      <w:r w:rsidR="009C5BD5">
        <w:rPr>
          <w:rStyle w:val="CETCaptionCarattere"/>
        </w:rPr>
        <w:t xml:space="preserve"> </w:t>
      </w:r>
      <w:r w:rsidR="009C5BD5" w:rsidRPr="009C5BD5">
        <w:rPr>
          <w:rStyle w:val="CETCaptionCarattere"/>
        </w:rPr>
        <w:t>according to electromagnetic induction compared to control plants</w:t>
      </w:r>
      <w:r w:rsidR="009C5BD5">
        <w:rPr>
          <w:rStyle w:val="CETCaptionCarattere"/>
        </w:rPr>
        <w:t xml:space="preserve"> </w:t>
      </w:r>
      <w:r w:rsidR="009C5BD5" w:rsidRPr="009C5BD5">
        <w:rPr>
          <w:rStyle w:val="CETCaptionCarattere"/>
          <w:iCs/>
        </w:rPr>
        <w:t>(</w:t>
      </w:r>
      <w:r w:rsidR="009C5BD5" w:rsidRPr="002D7300">
        <w:rPr>
          <w:rStyle w:val="CETCaptionCarattere"/>
          <w:iCs/>
        </w:rPr>
        <w:t>The bars represent the error at 95% CI).</w:t>
      </w:r>
      <w:r w:rsidR="009C5BD5">
        <w:rPr>
          <w:i/>
          <w:iCs/>
          <w:lang w:val="en-GB"/>
        </w:rPr>
        <w:t xml:space="preserve"> </w:t>
      </w:r>
    </w:p>
    <w:p w14:paraId="0F9840D1" w14:textId="71824BD9" w:rsidR="00850E21" w:rsidRPr="002D7300" w:rsidRDefault="002D7300" w:rsidP="009C5BD5">
      <w:pPr>
        <w:pStyle w:val="CETBodytext"/>
        <w:spacing w:before="240"/>
        <w:rPr>
          <w:i/>
          <w:iCs/>
          <w:lang w:val="en-GB"/>
        </w:rPr>
      </w:pPr>
      <w:r w:rsidRPr="002D7300">
        <w:rPr>
          <w:rStyle w:val="CETCaptionCarattere"/>
          <w:i w:val="0"/>
          <w:iCs/>
        </w:rPr>
        <w:t>The importance of analyzing photosynthetic pigments lies in the relationship between their content and photosynthetically active radiation (Dow and Bergmann, 2014), for the transformation of light energy into chemical at different wavelengths according to the light receptors in photosystem 1 (P</w:t>
      </w:r>
      <w:r w:rsidRPr="00746E13">
        <w:rPr>
          <w:rStyle w:val="CETCaptionCarattere"/>
          <w:i w:val="0"/>
          <w:iCs/>
          <w:vertAlign w:val="subscript"/>
        </w:rPr>
        <w:t>700</w:t>
      </w:r>
      <w:r w:rsidRPr="002D7300">
        <w:rPr>
          <w:rStyle w:val="CETCaptionCarattere"/>
          <w:i w:val="0"/>
          <w:iCs/>
        </w:rPr>
        <w:t>) and photosystem 2 (P</w:t>
      </w:r>
      <w:r w:rsidRPr="00746E13">
        <w:rPr>
          <w:rStyle w:val="CETCaptionCarattere"/>
          <w:i w:val="0"/>
          <w:iCs/>
          <w:vertAlign w:val="subscript"/>
        </w:rPr>
        <w:t>680</w:t>
      </w:r>
      <w:r w:rsidRPr="002D7300">
        <w:rPr>
          <w:rStyle w:val="CETCaptionCarattere"/>
          <w:i w:val="0"/>
          <w:iCs/>
        </w:rPr>
        <w:t>); which allows a higher rate of CO</w:t>
      </w:r>
      <w:r w:rsidRPr="002D7300">
        <w:rPr>
          <w:rStyle w:val="CETCaptionCarattere"/>
          <w:i w:val="0"/>
          <w:iCs/>
          <w:vertAlign w:val="subscript"/>
        </w:rPr>
        <w:t>2</w:t>
      </w:r>
      <w:r w:rsidRPr="002D7300">
        <w:rPr>
          <w:rStyle w:val="CETCaptionCarattere"/>
          <w:i w:val="0"/>
          <w:iCs/>
        </w:rPr>
        <w:t xml:space="preserve"> assimilation and synthesis of carbonaceous skeletons.</w:t>
      </w:r>
    </w:p>
    <w:p w14:paraId="1327F00D" w14:textId="77777777" w:rsidR="002D7300" w:rsidRDefault="005A3C11" w:rsidP="002D7300">
      <w:pPr>
        <w:pStyle w:val="CETBodytext"/>
        <w:spacing w:before="240"/>
        <w:rPr>
          <w:b/>
          <w:bCs/>
          <w:lang w:val="en-GB"/>
        </w:rPr>
      </w:pPr>
      <w:r>
        <w:rPr>
          <w:b/>
          <w:bCs/>
          <w:lang w:val="en-GB"/>
        </w:rPr>
        <w:t xml:space="preserve">3.3. </w:t>
      </w:r>
      <w:r w:rsidR="002D7300" w:rsidRPr="002D7300">
        <w:rPr>
          <w:b/>
          <w:bCs/>
          <w:lang w:val="en-GB"/>
        </w:rPr>
        <w:t>Effects on growth and development variables</w:t>
      </w:r>
    </w:p>
    <w:p w14:paraId="4446A73C" w14:textId="2A622B68" w:rsidR="002D7300" w:rsidRDefault="002D7300" w:rsidP="002D7300">
      <w:pPr>
        <w:pStyle w:val="CETBodytext"/>
      </w:pPr>
      <w:r w:rsidRPr="002D7300">
        <w:t>When analyzing the contents of fresh and dry mass of the aerial part and of the root, it was observed that the Control (C) presented the highest values of dry mass accumulation for the root, this could be related to the slower growth of this organ, as well as to the processes of cell division and consequent slower elongation at the apical meristematic level. The Unifactorial ANOVA allowed inferring that there are differences in the Root Dry Mass score, according to the treatments employed (F=2.504; p&lt;0.01). Thus, C accumulated 0.595 g, differing significantly from the rest of the treatments except T1, with T8 (0.363 g) and T12 (0.369 g) having the lowest values and in turn differing significantly from treatments T1, T5, T6, T7, T10 and the Control.</w:t>
      </w:r>
    </w:p>
    <w:p w14:paraId="1B9B41C3" w14:textId="35A255F5" w:rsidR="002D7300" w:rsidRDefault="002D7300" w:rsidP="00436CD6">
      <w:r w:rsidRPr="002D7300">
        <w:t>From the analysis of the aerial part in terms of fresh and dry mass, it was evident that the highest cumulative values were presented in T8 (aerial fresh mass: 1.597, aerial dry mass: 0.125), differing significantly from all treatments, except T12 for both variables. In both cases, the Unifactorial ANOVA corroborated that there are differences in the Dry and Fresh Mass score of the aerial part, according to the treatments used and the control (F=1.002; p&lt;0.01). Likewise, the lowest values were presented in both cases by the control (aerial fresh mass: 0.6425, aerial dry mass: 0.0462), differing significantly from all treatments, except T2 in terms of aerial fresh mass. There is research evidence that coincides in that the positive response to magnetic or electromagnetic fields will depend on the time the seeds are exposed to it (Anaya, et al., 2015), its intensity, the growing conditions (environmental conditions), as well as the phytogenetic material (Suárez-Rivero, et al., 2018</w:t>
      </w:r>
      <w:r w:rsidR="00561A86">
        <w:t xml:space="preserve"> b</w:t>
      </w:r>
      <w:r w:rsidRPr="002D7300">
        <w:t>); since the response of different plants to these stimuli can be given to different combinations of magnetic fields and exposure times (Aladjadjiyan, 2010).</w:t>
      </w:r>
    </w:p>
    <w:p w14:paraId="5D6F8414" w14:textId="216E7694" w:rsidR="00AC3B34" w:rsidRDefault="002D7300" w:rsidP="00036E3E">
      <w:pPr>
        <w:pStyle w:val="CETBodytext"/>
        <w:rPr>
          <w:lang w:val="en-GB"/>
        </w:rPr>
      </w:pPr>
      <w:r w:rsidRPr="002D7300">
        <w:rPr>
          <w:lang w:val="en-GB"/>
        </w:rPr>
        <w:t>When analyzing the development indicators, it can be affirmed that the best behavior in terms of plant development is presented at T12 for TCC, TAC and TAN. This shows that the seeds that were induced with EMF reacted positively to this stimulus, for the indicators evaluated, which is closely related to figures 2 to 4, referring to the synthesis of photosynthetic pigments. On the other hand, dry mass values at the final moment of the experiment for the T12 treatment (118 µT with permanent exposure for 15 days) were 5.53 times higher than control plants, so it should be noted that biomass accumulation depends on growth kinetics and distribution rate, in addition to parameters governed by leaf area, climate and nutrient availability. Thus, both IAF and TAN are components of the crop growth rate (CGR) that measures the dry matter gain in a crop or group of plants in a specific area (Hay and Porter, 2006), which is consistent with the results obtained in terms of growth acceleration, leaf development, and which will later be observed in terms of crop yields with EMF application.</w:t>
      </w:r>
    </w:p>
    <w:p w14:paraId="743447CB" w14:textId="367BB2A6" w:rsidR="005A3C11" w:rsidRPr="005A3C11" w:rsidRDefault="005A3C11" w:rsidP="002D7300">
      <w:pPr>
        <w:pStyle w:val="CETBodytext"/>
        <w:spacing w:before="240"/>
        <w:rPr>
          <w:b/>
          <w:bCs/>
          <w:lang w:val="en-GB"/>
        </w:rPr>
      </w:pPr>
      <w:r>
        <w:rPr>
          <w:b/>
          <w:bCs/>
          <w:lang w:val="en-GB"/>
        </w:rPr>
        <w:t xml:space="preserve">3.4. </w:t>
      </w:r>
      <w:r w:rsidR="002D7300" w:rsidRPr="002D7300">
        <w:rPr>
          <w:b/>
          <w:bCs/>
          <w:lang w:val="en-GB"/>
        </w:rPr>
        <w:t>Effects on productivity variables</w:t>
      </w:r>
    </w:p>
    <w:p w14:paraId="154C05F8" w14:textId="79F2A03B" w:rsidR="00F704B6" w:rsidRDefault="00F704B6" w:rsidP="00AC3B34">
      <w:r w:rsidRPr="00F704B6">
        <w:t>For the descriptive variables of the ear (see Table 1), except for ear weight (CW), the control (ears from plants not treated with EMF) showed the lowest values, differing significantly from the treatments. For the variable NH, although some treatments showed significant differences, at least 6 did not show significant differences with respect to the control; in this sense, this variable was little influenced by the EMF treatments. In addition, with respect to PT, the lowest values were found in T4 (23 µT permanently exposed for 15 days), differing significantly from the rest of the treatments and the control, although it is worth mentioning that this lower weight in the stem did not significantly affect yield with respect to the control.</w:t>
      </w:r>
    </w:p>
    <w:p w14:paraId="6CB699B0" w14:textId="65FFFFFF" w:rsidR="00AC3B34" w:rsidRDefault="00F704B6" w:rsidP="00AC3B34">
      <w:r w:rsidRPr="00F704B6">
        <w:t>On the other hand, when analyzing the significance of the variables under study, it can be seen that, except for NH, the highest values were found in T12 (118 µT permanently exposed for 15 days), which differs from all the treatments and the control. For the variable "yield in weight (t) of ear per hectare (ha) for corn under minimum tillage, as can be seen in the methodology, the yields of the control (2.46 ±0.2 t ha</w:t>
      </w:r>
      <w:r w:rsidRPr="00F704B6">
        <w:rPr>
          <w:vertAlign w:val="superscript"/>
        </w:rPr>
        <w:t>-1</w:t>
      </w:r>
      <w:r w:rsidRPr="00F704B6">
        <w:t>) are above the national average for yellow corn under traditional cultivation system (2.11 t ha</w:t>
      </w:r>
      <w:r w:rsidRPr="00F704B6">
        <w:rPr>
          <w:vertAlign w:val="superscript"/>
        </w:rPr>
        <w:t>-1</w:t>
      </w:r>
      <w:r w:rsidRPr="00F704B6">
        <w:t xml:space="preserve"> according to FENALCE, 2022). Likewise, the Federación Nacional de Cultivadores de Cereales, Leguminosas y Soya de Colombia (FENALCE) indicates that for this same type of corn (yellow corn) when cultivated in a technified manner, the national average for the year 2021 was 5.52 t ha</w:t>
      </w:r>
      <w:r w:rsidRPr="00F704B6">
        <w:rPr>
          <w:vertAlign w:val="superscript"/>
        </w:rPr>
        <w:t>-1</w:t>
      </w:r>
      <w:r w:rsidRPr="00F704B6">
        <w:t>, placing the yield of the control below this value; however, it is noteworthy that the control maintained a productive behavior in the interval of yellow corn cultivated traditionally and technified, which supports the veracity of the results obtained and allows comparison with the treatments previously established.</w:t>
      </w:r>
    </w:p>
    <w:p w14:paraId="6D9BF67A" w14:textId="26F4D4E5" w:rsidR="00AC3B34" w:rsidRPr="00AC3B34" w:rsidRDefault="00F704B6" w:rsidP="00AC3B34">
      <w:pPr>
        <w:pStyle w:val="Descripcin"/>
        <w:spacing w:before="240"/>
        <w:rPr>
          <w:b w:val="0"/>
          <w:bCs w:val="0"/>
          <w:i/>
          <w:color w:val="auto"/>
          <w:szCs w:val="20"/>
        </w:rPr>
      </w:pPr>
      <w:r w:rsidRPr="00F704B6">
        <w:rPr>
          <w:b w:val="0"/>
          <w:bCs w:val="0"/>
          <w:i/>
          <w:color w:val="auto"/>
          <w:szCs w:val="20"/>
        </w:rPr>
        <w:t xml:space="preserve">Table 1. </w:t>
      </w:r>
      <w:r w:rsidR="009C5BD5" w:rsidRPr="009C5BD5">
        <w:rPr>
          <w:b w:val="0"/>
          <w:bCs w:val="0"/>
          <w:i/>
          <w:color w:val="auto"/>
          <w:szCs w:val="20"/>
        </w:rPr>
        <w:t>Ear characteristics and crop yield as a function of electromagnetic induc</w:t>
      </w:r>
      <w:r w:rsidR="009C5BD5">
        <w:rPr>
          <w:b w:val="0"/>
          <w:bCs w:val="0"/>
          <w:i/>
          <w:color w:val="auto"/>
          <w:szCs w:val="20"/>
        </w:rPr>
        <w:t>tion compared to control plants</w:t>
      </w:r>
      <w:r w:rsidRPr="00F704B6">
        <w:rPr>
          <w:b w:val="0"/>
          <w:bCs w:val="0"/>
          <w:i/>
          <w:color w:val="auto"/>
          <w:szCs w:val="20"/>
        </w:rPr>
        <w:t>.</w:t>
      </w:r>
    </w:p>
    <w:tbl>
      <w:tblPr>
        <w:tblW w:w="6946" w:type="dxa"/>
        <w:jc w:val="center"/>
        <w:shd w:val="clear" w:color="auto" w:fill="FFFFFF"/>
        <w:tblCellMar>
          <w:left w:w="70" w:type="dxa"/>
          <w:right w:w="70" w:type="dxa"/>
        </w:tblCellMar>
        <w:tblLook w:val="04A0" w:firstRow="1" w:lastRow="0" w:firstColumn="1" w:lastColumn="0" w:noHBand="0" w:noVBand="1"/>
      </w:tblPr>
      <w:tblGrid>
        <w:gridCol w:w="1118"/>
        <w:gridCol w:w="1075"/>
        <w:gridCol w:w="1276"/>
        <w:gridCol w:w="1134"/>
        <w:gridCol w:w="1134"/>
        <w:gridCol w:w="1209"/>
      </w:tblGrid>
      <w:tr w:rsidR="00F704B6" w:rsidRPr="00F704B6" w14:paraId="53249C8C" w14:textId="77777777" w:rsidTr="00F704B6">
        <w:trPr>
          <w:trHeight w:val="436"/>
          <w:tblHeader/>
          <w:jc w:val="center"/>
        </w:trPr>
        <w:tc>
          <w:tcPr>
            <w:tcW w:w="1118" w:type="dxa"/>
            <w:tcBorders>
              <w:top w:val="single" w:sz="24" w:space="0" w:color="76923C" w:themeColor="accent3" w:themeShade="BF"/>
              <w:bottom w:val="single" w:sz="12" w:space="0" w:color="76923C" w:themeColor="accent3" w:themeShade="BF"/>
            </w:tcBorders>
            <w:shd w:val="clear" w:color="auto" w:fill="FFFFFF"/>
            <w:noWrap/>
            <w:vAlign w:val="center"/>
            <w:hideMark/>
          </w:tcPr>
          <w:p w14:paraId="134BA5DA" w14:textId="70D8845E" w:rsidR="00F704B6" w:rsidRPr="00F704B6" w:rsidRDefault="00F704B6" w:rsidP="009A5AD6">
            <w:pPr>
              <w:spacing w:line="240" w:lineRule="auto"/>
              <w:jc w:val="center"/>
              <w:rPr>
                <w:color w:val="000000"/>
                <w:sz w:val="16"/>
                <w:szCs w:val="16"/>
                <w:lang w:val="es-CO" w:eastAsia="es-CO"/>
              </w:rPr>
            </w:pPr>
            <w:r w:rsidRPr="00F704B6">
              <w:rPr>
                <w:color w:val="000000"/>
                <w:sz w:val="16"/>
                <w:szCs w:val="16"/>
                <w:lang w:val="es-CO" w:eastAsia="es-CO"/>
              </w:rPr>
              <w:t>TREATMENT</w:t>
            </w:r>
          </w:p>
        </w:tc>
        <w:tc>
          <w:tcPr>
            <w:tcW w:w="1075" w:type="dxa"/>
            <w:tcBorders>
              <w:top w:val="single" w:sz="24" w:space="0" w:color="76923C" w:themeColor="accent3" w:themeShade="BF"/>
              <w:bottom w:val="single" w:sz="12" w:space="0" w:color="76923C" w:themeColor="accent3" w:themeShade="BF"/>
            </w:tcBorders>
            <w:shd w:val="clear" w:color="auto" w:fill="FFFFFF"/>
            <w:vAlign w:val="center"/>
            <w:hideMark/>
          </w:tcPr>
          <w:p w14:paraId="582655AA" w14:textId="77777777" w:rsidR="00F704B6" w:rsidRPr="00F704B6" w:rsidRDefault="00F704B6" w:rsidP="009A5AD6">
            <w:pPr>
              <w:spacing w:line="240" w:lineRule="auto"/>
              <w:jc w:val="center"/>
              <w:rPr>
                <w:color w:val="000000"/>
                <w:sz w:val="16"/>
                <w:szCs w:val="16"/>
                <w:lang w:val="es-CO" w:eastAsia="es-CO"/>
              </w:rPr>
            </w:pPr>
            <w:r w:rsidRPr="00F704B6">
              <w:rPr>
                <w:color w:val="000000"/>
                <w:sz w:val="16"/>
                <w:szCs w:val="16"/>
                <w:lang w:val="es-CO" w:eastAsia="es-CO"/>
              </w:rPr>
              <w:t>PA (g)</w:t>
            </w:r>
          </w:p>
        </w:tc>
        <w:tc>
          <w:tcPr>
            <w:tcW w:w="1276" w:type="dxa"/>
            <w:tcBorders>
              <w:top w:val="single" w:sz="24" w:space="0" w:color="76923C" w:themeColor="accent3" w:themeShade="BF"/>
              <w:bottom w:val="single" w:sz="12" w:space="0" w:color="76923C" w:themeColor="accent3" w:themeShade="BF"/>
            </w:tcBorders>
            <w:shd w:val="clear" w:color="auto" w:fill="FFFFFF"/>
            <w:vAlign w:val="center"/>
            <w:hideMark/>
          </w:tcPr>
          <w:p w14:paraId="51B140CF" w14:textId="77777777" w:rsidR="00F704B6" w:rsidRPr="00F704B6" w:rsidRDefault="00F704B6" w:rsidP="009A5AD6">
            <w:pPr>
              <w:spacing w:line="240" w:lineRule="auto"/>
              <w:jc w:val="center"/>
              <w:rPr>
                <w:color w:val="000000"/>
                <w:sz w:val="16"/>
                <w:szCs w:val="16"/>
                <w:lang w:val="es-CO" w:eastAsia="es-CO"/>
              </w:rPr>
            </w:pPr>
            <w:r w:rsidRPr="00F704B6">
              <w:rPr>
                <w:color w:val="000000"/>
                <w:sz w:val="16"/>
                <w:szCs w:val="16"/>
                <w:lang w:val="es-CO" w:eastAsia="es-CO"/>
              </w:rPr>
              <w:t>PT (g)</w:t>
            </w:r>
          </w:p>
        </w:tc>
        <w:tc>
          <w:tcPr>
            <w:tcW w:w="1134" w:type="dxa"/>
            <w:tcBorders>
              <w:top w:val="single" w:sz="24" w:space="0" w:color="76923C" w:themeColor="accent3" w:themeShade="BF"/>
              <w:bottom w:val="single" w:sz="12" w:space="0" w:color="76923C" w:themeColor="accent3" w:themeShade="BF"/>
            </w:tcBorders>
            <w:shd w:val="clear" w:color="auto" w:fill="FFFFFF"/>
            <w:vAlign w:val="center"/>
            <w:hideMark/>
          </w:tcPr>
          <w:p w14:paraId="18102E2D" w14:textId="77777777" w:rsidR="00F704B6" w:rsidRPr="00F704B6" w:rsidRDefault="00F704B6" w:rsidP="009A5AD6">
            <w:pPr>
              <w:spacing w:line="240" w:lineRule="auto"/>
              <w:jc w:val="center"/>
              <w:rPr>
                <w:color w:val="000000"/>
                <w:sz w:val="16"/>
                <w:szCs w:val="16"/>
                <w:lang w:val="es-CO" w:eastAsia="es-CO"/>
              </w:rPr>
            </w:pPr>
            <w:r w:rsidRPr="00F704B6">
              <w:rPr>
                <w:color w:val="000000"/>
                <w:sz w:val="16"/>
                <w:szCs w:val="16"/>
                <w:lang w:val="es-CO" w:eastAsia="es-CO"/>
              </w:rPr>
              <w:t>PGr (g)</w:t>
            </w:r>
          </w:p>
        </w:tc>
        <w:tc>
          <w:tcPr>
            <w:tcW w:w="1134" w:type="dxa"/>
            <w:tcBorders>
              <w:top w:val="single" w:sz="24" w:space="0" w:color="76923C" w:themeColor="accent3" w:themeShade="BF"/>
              <w:bottom w:val="single" w:sz="12" w:space="0" w:color="76923C" w:themeColor="accent3" w:themeShade="BF"/>
            </w:tcBorders>
            <w:shd w:val="clear" w:color="auto" w:fill="FFFFFF"/>
            <w:vAlign w:val="center"/>
            <w:hideMark/>
          </w:tcPr>
          <w:p w14:paraId="3FC83A2E" w14:textId="77777777" w:rsidR="00F704B6" w:rsidRPr="00F704B6" w:rsidRDefault="00F704B6" w:rsidP="009A5AD6">
            <w:pPr>
              <w:spacing w:line="240" w:lineRule="auto"/>
              <w:jc w:val="center"/>
              <w:rPr>
                <w:color w:val="000000"/>
                <w:sz w:val="16"/>
                <w:szCs w:val="16"/>
                <w:lang w:val="es-CO" w:eastAsia="es-CO"/>
              </w:rPr>
            </w:pPr>
            <w:r w:rsidRPr="00F704B6">
              <w:rPr>
                <w:color w:val="000000"/>
                <w:sz w:val="16"/>
                <w:szCs w:val="16"/>
                <w:lang w:val="es-CO" w:eastAsia="es-CO"/>
              </w:rPr>
              <w:t>NH</w:t>
            </w:r>
          </w:p>
        </w:tc>
        <w:tc>
          <w:tcPr>
            <w:tcW w:w="1209" w:type="dxa"/>
            <w:tcBorders>
              <w:top w:val="single" w:sz="24" w:space="0" w:color="76923C" w:themeColor="accent3" w:themeShade="BF"/>
              <w:bottom w:val="single" w:sz="12" w:space="0" w:color="76923C" w:themeColor="accent3" w:themeShade="BF"/>
            </w:tcBorders>
            <w:shd w:val="clear" w:color="auto" w:fill="FFFFFF"/>
            <w:vAlign w:val="center"/>
            <w:hideMark/>
          </w:tcPr>
          <w:p w14:paraId="06CF2C8F" w14:textId="77777777" w:rsidR="00F704B6" w:rsidRDefault="00F704B6" w:rsidP="009A5AD6">
            <w:pPr>
              <w:spacing w:line="240" w:lineRule="auto"/>
              <w:jc w:val="center"/>
              <w:rPr>
                <w:color w:val="000000"/>
                <w:sz w:val="16"/>
                <w:szCs w:val="16"/>
                <w:lang w:val="es-CO" w:eastAsia="es-CO"/>
              </w:rPr>
            </w:pPr>
            <w:r w:rsidRPr="00F704B6">
              <w:rPr>
                <w:color w:val="000000"/>
                <w:sz w:val="16"/>
                <w:szCs w:val="16"/>
                <w:lang w:val="es-CO" w:eastAsia="es-CO"/>
              </w:rPr>
              <w:t xml:space="preserve">Yield in cob </w:t>
            </w:r>
          </w:p>
          <w:p w14:paraId="7F6CDBA3" w14:textId="4CE71A57" w:rsidR="00F704B6" w:rsidRPr="00F704B6" w:rsidRDefault="00F704B6" w:rsidP="00F704B6">
            <w:pPr>
              <w:spacing w:line="240" w:lineRule="auto"/>
              <w:jc w:val="center"/>
              <w:rPr>
                <w:color w:val="000000"/>
                <w:sz w:val="16"/>
                <w:szCs w:val="16"/>
                <w:lang w:val="es-CO" w:eastAsia="es-CO"/>
              </w:rPr>
            </w:pPr>
            <w:r w:rsidRPr="00F704B6">
              <w:rPr>
                <w:color w:val="000000"/>
                <w:sz w:val="16"/>
                <w:szCs w:val="16"/>
                <w:lang w:val="es-CO" w:eastAsia="es-CO"/>
              </w:rPr>
              <w:t>Weight</w:t>
            </w:r>
            <w:r>
              <w:rPr>
                <w:color w:val="000000"/>
                <w:sz w:val="16"/>
                <w:szCs w:val="16"/>
                <w:lang w:val="es-CO" w:eastAsia="es-CO"/>
              </w:rPr>
              <w:t xml:space="preserve"> </w:t>
            </w:r>
            <w:r w:rsidRPr="00F704B6">
              <w:rPr>
                <w:color w:val="000000"/>
                <w:sz w:val="16"/>
                <w:szCs w:val="16"/>
                <w:lang w:val="es-CO" w:eastAsia="es-CO"/>
              </w:rPr>
              <w:t xml:space="preserve">(t </w:t>
            </w:r>
            <w:r w:rsidRPr="00F704B6">
              <w:rPr>
                <w:sz w:val="16"/>
                <w:szCs w:val="16"/>
              </w:rPr>
              <w:t>ha</w:t>
            </w:r>
            <w:r w:rsidRPr="00F704B6">
              <w:rPr>
                <w:sz w:val="16"/>
                <w:szCs w:val="16"/>
                <w:vertAlign w:val="superscript"/>
              </w:rPr>
              <w:t>-1</w:t>
            </w:r>
            <w:r w:rsidRPr="00F704B6">
              <w:rPr>
                <w:sz w:val="16"/>
                <w:szCs w:val="16"/>
              </w:rPr>
              <w:t>)</w:t>
            </w:r>
          </w:p>
        </w:tc>
      </w:tr>
      <w:tr w:rsidR="00F704B6" w:rsidRPr="007D5898" w14:paraId="3FE8BFF5" w14:textId="77777777" w:rsidTr="00F704B6">
        <w:trPr>
          <w:trHeight w:val="289"/>
          <w:jc w:val="center"/>
        </w:trPr>
        <w:tc>
          <w:tcPr>
            <w:tcW w:w="1118" w:type="dxa"/>
            <w:tcBorders>
              <w:top w:val="single" w:sz="12" w:space="0" w:color="76923C" w:themeColor="accent3" w:themeShade="BF"/>
            </w:tcBorders>
            <w:shd w:val="clear" w:color="auto" w:fill="FFFFFF"/>
            <w:vAlign w:val="bottom"/>
            <w:hideMark/>
          </w:tcPr>
          <w:p w14:paraId="3E96941B"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Control</w:t>
            </w:r>
          </w:p>
        </w:tc>
        <w:tc>
          <w:tcPr>
            <w:tcW w:w="1075" w:type="dxa"/>
            <w:tcBorders>
              <w:top w:val="single" w:sz="12" w:space="0" w:color="76923C" w:themeColor="accent3" w:themeShade="BF"/>
            </w:tcBorders>
            <w:shd w:val="clear" w:color="auto" w:fill="FFFFFF"/>
            <w:noWrap/>
            <w:vAlign w:val="bottom"/>
            <w:hideMark/>
          </w:tcPr>
          <w:p w14:paraId="31BCA334"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61,57</w:t>
            </w:r>
            <w:r w:rsidRPr="00F704B6">
              <w:rPr>
                <w:rFonts w:ascii="Calibri" w:hAnsi="Calibri" w:cs="Calibri"/>
                <w:color w:val="000000"/>
                <w:sz w:val="16"/>
                <w:szCs w:val="16"/>
                <w:vertAlign w:val="superscript"/>
                <w:lang w:val="es-CO" w:eastAsia="es-CO"/>
              </w:rPr>
              <w:t>a</w:t>
            </w:r>
            <w:r w:rsidRPr="00F704B6">
              <w:rPr>
                <w:rFonts w:ascii="Calibri" w:hAnsi="Calibri" w:cs="Calibri"/>
                <w:color w:val="000000"/>
                <w:sz w:val="16"/>
                <w:szCs w:val="16"/>
                <w:lang w:val="es-CO" w:eastAsia="es-CO"/>
              </w:rPr>
              <w:t xml:space="preserve"> ±0,06</w:t>
            </w:r>
          </w:p>
        </w:tc>
        <w:tc>
          <w:tcPr>
            <w:tcW w:w="1276" w:type="dxa"/>
            <w:tcBorders>
              <w:top w:val="single" w:sz="12" w:space="0" w:color="76923C" w:themeColor="accent3" w:themeShade="BF"/>
            </w:tcBorders>
            <w:shd w:val="clear" w:color="auto" w:fill="FFFFFF"/>
            <w:noWrap/>
            <w:vAlign w:val="bottom"/>
            <w:hideMark/>
          </w:tcPr>
          <w:p w14:paraId="2CCDE21A"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35,68</w:t>
            </w:r>
            <w:r w:rsidRPr="00F704B6">
              <w:rPr>
                <w:rFonts w:ascii="Calibri" w:hAnsi="Calibri" w:cs="Calibri"/>
                <w:color w:val="000000"/>
                <w:sz w:val="16"/>
                <w:szCs w:val="16"/>
                <w:vertAlign w:val="superscript"/>
                <w:lang w:val="es-CO" w:eastAsia="es-CO"/>
              </w:rPr>
              <w:t>b</w:t>
            </w:r>
            <w:r w:rsidRPr="00F704B6">
              <w:rPr>
                <w:rFonts w:ascii="Calibri" w:hAnsi="Calibri" w:cs="Calibri"/>
                <w:color w:val="000000"/>
                <w:sz w:val="16"/>
                <w:szCs w:val="16"/>
                <w:lang w:val="es-CO" w:eastAsia="es-CO"/>
              </w:rPr>
              <w:t xml:space="preserve"> ±0,02</w:t>
            </w:r>
          </w:p>
        </w:tc>
        <w:tc>
          <w:tcPr>
            <w:tcW w:w="1134" w:type="dxa"/>
            <w:tcBorders>
              <w:top w:val="single" w:sz="12" w:space="0" w:color="76923C" w:themeColor="accent3" w:themeShade="BF"/>
            </w:tcBorders>
            <w:shd w:val="clear" w:color="auto" w:fill="FFFFFF"/>
            <w:noWrap/>
            <w:vAlign w:val="bottom"/>
            <w:hideMark/>
          </w:tcPr>
          <w:p w14:paraId="7167BB9C"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25,89</w:t>
            </w:r>
            <w:r w:rsidRPr="00F704B6">
              <w:rPr>
                <w:rFonts w:ascii="Calibri" w:hAnsi="Calibri" w:cs="Calibri"/>
                <w:color w:val="000000"/>
                <w:sz w:val="16"/>
                <w:szCs w:val="16"/>
                <w:vertAlign w:val="superscript"/>
                <w:lang w:val="es-CO" w:eastAsia="es-CO"/>
              </w:rPr>
              <w:t>a</w:t>
            </w:r>
            <w:r w:rsidRPr="00F704B6">
              <w:rPr>
                <w:rFonts w:ascii="Calibri" w:hAnsi="Calibri" w:cs="Calibri"/>
                <w:color w:val="000000"/>
                <w:sz w:val="16"/>
                <w:szCs w:val="16"/>
                <w:lang w:val="es-CO" w:eastAsia="es-CO"/>
              </w:rPr>
              <w:t xml:space="preserve"> ±0,05</w:t>
            </w:r>
          </w:p>
        </w:tc>
        <w:tc>
          <w:tcPr>
            <w:tcW w:w="1134" w:type="dxa"/>
            <w:tcBorders>
              <w:top w:val="single" w:sz="12" w:space="0" w:color="76923C" w:themeColor="accent3" w:themeShade="BF"/>
            </w:tcBorders>
            <w:shd w:val="clear" w:color="auto" w:fill="FFFFFF"/>
            <w:noWrap/>
            <w:vAlign w:val="bottom"/>
            <w:hideMark/>
          </w:tcPr>
          <w:p w14:paraId="33954A68"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10,44</w:t>
            </w:r>
            <w:r w:rsidRPr="00F704B6">
              <w:rPr>
                <w:rFonts w:ascii="Calibri" w:hAnsi="Calibri" w:cs="Calibri"/>
                <w:color w:val="000000"/>
                <w:sz w:val="16"/>
                <w:szCs w:val="16"/>
                <w:vertAlign w:val="superscript"/>
                <w:lang w:val="es-CO" w:eastAsia="es-CO"/>
              </w:rPr>
              <w:t>a</w:t>
            </w:r>
            <w:r w:rsidRPr="00F704B6">
              <w:rPr>
                <w:rFonts w:ascii="Calibri" w:hAnsi="Calibri" w:cs="Calibri"/>
                <w:color w:val="000000"/>
                <w:sz w:val="16"/>
                <w:szCs w:val="16"/>
                <w:lang w:val="es-CO" w:eastAsia="es-CO"/>
              </w:rPr>
              <w:t xml:space="preserve"> ±0,7</w:t>
            </w:r>
          </w:p>
        </w:tc>
        <w:tc>
          <w:tcPr>
            <w:tcW w:w="1209" w:type="dxa"/>
            <w:tcBorders>
              <w:top w:val="single" w:sz="12" w:space="0" w:color="76923C" w:themeColor="accent3" w:themeShade="BF"/>
            </w:tcBorders>
            <w:shd w:val="clear" w:color="auto" w:fill="FFFFFF"/>
            <w:noWrap/>
            <w:vAlign w:val="bottom"/>
            <w:hideMark/>
          </w:tcPr>
          <w:p w14:paraId="01543FA4"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2,46</w:t>
            </w:r>
            <w:r w:rsidRPr="00F704B6">
              <w:rPr>
                <w:rFonts w:ascii="Calibri" w:hAnsi="Calibri" w:cs="Calibri"/>
                <w:color w:val="000000"/>
                <w:sz w:val="16"/>
                <w:szCs w:val="16"/>
                <w:vertAlign w:val="superscript"/>
                <w:lang w:val="es-CO" w:eastAsia="es-CO"/>
              </w:rPr>
              <w:t>a</w:t>
            </w:r>
            <w:r w:rsidRPr="00F704B6">
              <w:rPr>
                <w:rFonts w:ascii="Calibri" w:hAnsi="Calibri" w:cs="Calibri"/>
                <w:color w:val="000000"/>
                <w:sz w:val="16"/>
                <w:szCs w:val="16"/>
                <w:lang w:val="es-CO" w:eastAsia="es-CO"/>
              </w:rPr>
              <w:t xml:space="preserve"> ±0,2</w:t>
            </w:r>
          </w:p>
        </w:tc>
      </w:tr>
      <w:tr w:rsidR="00F704B6" w:rsidRPr="007D5898" w14:paraId="55531032" w14:textId="77777777" w:rsidTr="00F704B6">
        <w:trPr>
          <w:trHeight w:val="289"/>
          <w:jc w:val="center"/>
        </w:trPr>
        <w:tc>
          <w:tcPr>
            <w:tcW w:w="1118" w:type="dxa"/>
            <w:shd w:val="clear" w:color="auto" w:fill="FFFFFF"/>
            <w:vAlign w:val="bottom"/>
            <w:hideMark/>
          </w:tcPr>
          <w:p w14:paraId="5F18E68B"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T1</w:t>
            </w:r>
          </w:p>
        </w:tc>
        <w:tc>
          <w:tcPr>
            <w:tcW w:w="1075" w:type="dxa"/>
            <w:shd w:val="clear" w:color="auto" w:fill="FFFFFF"/>
            <w:noWrap/>
            <w:vAlign w:val="bottom"/>
            <w:hideMark/>
          </w:tcPr>
          <w:p w14:paraId="59513E0F"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111,52</w:t>
            </w:r>
            <w:r w:rsidRPr="00F704B6">
              <w:rPr>
                <w:rFonts w:ascii="Calibri" w:hAnsi="Calibri" w:cs="Calibri"/>
                <w:color w:val="000000"/>
                <w:sz w:val="16"/>
                <w:szCs w:val="16"/>
                <w:vertAlign w:val="superscript"/>
                <w:lang w:val="es-CO" w:eastAsia="es-CO"/>
              </w:rPr>
              <w:t>c</w:t>
            </w:r>
            <w:r w:rsidRPr="00F704B6">
              <w:rPr>
                <w:rFonts w:ascii="Calibri" w:hAnsi="Calibri" w:cs="Calibri"/>
                <w:color w:val="000000"/>
                <w:sz w:val="16"/>
                <w:szCs w:val="16"/>
                <w:lang w:val="es-CO" w:eastAsia="es-CO"/>
              </w:rPr>
              <w:t xml:space="preserve"> ±0,14</w:t>
            </w:r>
          </w:p>
        </w:tc>
        <w:tc>
          <w:tcPr>
            <w:tcW w:w="1276" w:type="dxa"/>
            <w:shd w:val="clear" w:color="auto" w:fill="FFFFFF"/>
            <w:noWrap/>
            <w:vAlign w:val="bottom"/>
            <w:hideMark/>
          </w:tcPr>
          <w:p w14:paraId="1CC69DF1"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38,09</w:t>
            </w:r>
            <w:r w:rsidRPr="00F704B6">
              <w:rPr>
                <w:rFonts w:ascii="Calibri" w:hAnsi="Calibri" w:cs="Calibri"/>
                <w:color w:val="000000"/>
                <w:sz w:val="16"/>
                <w:szCs w:val="16"/>
                <w:vertAlign w:val="superscript"/>
                <w:lang w:val="es-CO" w:eastAsia="es-CO"/>
              </w:rPr>
              <w:t>b</w:t>
            </w:r>
            <w:r w:rsidRPr="00F704B6">
              <w:rPr>
                <w:rFonts w:ascii="Calibri" w:hAnsi="Calibri" w:cs="Calibri"/>
                <w:color w:val="000000"/>
                <w:sz w:val="16"/>
                <w:szCs w:val="16"/>
                <w:lang w:val="es-CO" w:eastAsia="es-CO"/>
              </w:rPr>
              <w:t xml:space="preserve"> ±0,07</w:t>
            </w:r>
          </w:p>
        </w:tc>
        <w:tc>
          <w:tcPr>
            <w:tcW w:w="1134" w:type="dxa"/>
            <w:shd w:val="clear" w:color="auto" w:fill="FFFFFF"/>
            <w:noWrap/>
            <w:vAlign w:val="bottom"/>
            <w:hideMark/>
          </w:tcPr>
          <w:p w14:paraId="0AA5EDE3"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73,44</w:t>
            </w:r>
            <w:r w:rsidRPr="00F704B6">
              <w:rPr>
                <w:rFonts w:ascii="Calibri" w:hAnsi="Calibri" w:cs="Calibri"/>
                <w:color w:val="000000"/>
                <w:sz w:val="16"/>
                <w:szCs w:val="16"/>
                <w:vertAlign w:val="superscript"/>
                <w:lang w:val="es-CO" w:eastAsia="es-CO"/>
              </w:rPr>
              <w:t>c</w:t>
            </w:r>
            <w:r w:rsidRPr="00F704B6">
              <w:rPr>
                <w:rFonts w:ascii="Calibri" w:hAnsi="Calibri" w:cs="Calibri"/>
                <w:color w:val="000000"/>
                <w:sz w:val="16"/>
                <w:szCs w:val="16"/>
                <w:lang w:val="es-CO" w:eastAsia="es-CO"/>
              </w:rPr>
              <w:t xml:space="preserve"> ±0,09</w:t>
            </w:r>
          </w:p>
        </w:tc>
        <w:tc>
          <w:tcPr>
            <w:tcW w:w="1134" w:type="dxa"/>
            <w:shd w:val="clear" w:color="auto" w:fill="FFFFFF"/>
            <w:noWrap/>
            <w:vAlign w:val="bottom"/>
            <w:hideMark/>
          </w:tcPr>
          <w:p w14:paraId="1AA3CDF2"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10,78</w:t>
            </w:r>
            <w:r w:rsidRPr="00F704B6">
              <w:rPr>
                <w:rFonts w:ascii="Calibri" w:hAnsi="Calibri" w:cs="Calibri"/>
                <w:color w:val="000000"/>
                <w:sz w:val="16"/>
                <w:szCs w:val="16"/>
                <w:vertAlign w:val="superscript"/>
                <w:lang w:val="es-CO" w:eastAsia="es-CO"/>
              </w:rPr>
              <w:t>ab</w:t>
            </w:r>
            <w:r w:rsidRPr="00F704B6">
              <w:rPr>
                <w:rFonts w:ascii="Calibri" w:hAnsi="Calibri" w:cs="Calibri"/>
                <w:color w:val="000000"/>
                <w:sz w:val="16"/>
                <w:szCs w:val="16"/>
                <w:lang w:val="es-CO" w:eastAsia="es-CO"/>
              </w:rPr>
              <w:t xml:space="preserve"> ±0,9</w:t>
            </w:r>
          </w:p>
        </w:tc>
        <w:tc>
          <w:tcPr>
            <w:tcW w:w="1209" w:type="dxa"/>
            <w:shd w:val="clear" w:color="auto" w:fill="FFFFFF"/>
            <w:noWrap/>
            <w:vAlign w:val="bottom"/>
            <w:hideMark/>
          </w:tcPr>
          <w:p w14:paraId="19208466"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4,46</w:t>
            </w:r>
            <w:r w:rsidRPr="00F704B6">
              <w:rPr>
                <w:rFonts w:ascii="Calibri" w:hAnsi="Calibri" w:cs="Calibri"/>
                <w:color w:val="000000"/>
                <w:sz w:val="16"/>
                <w:szCs w:val="16"/>
                <w:vertAlign w:val="superscript"/>
                <w:lang w:val="es-CO" w:eastAsia="es-CO"/>
              </w:rPr>
              <w:t>c</w:t>
            </w:r>
            <w:r w:rsidRPr="00F704B6">
              <w:rPr>
                <w:rFonts w:ascii="Calibri" w:hAnsi="Calibri" w:cs="Calibri"/>
                <w:color w:val="000000"/>
                <w:sz w:val="16"/>
                <w:szCs w:val="16"/>
                <w:lang w:val="es-CO" w:eastAsia="es-CO"/>
              </w:rPr>
              <w:t xml:space="preserve"> ±0,5</w:t>
            </w:r>
          </w:p>
        </w:tc>
      </w:tr>
      <w:tr w:rsidR="00F704B6" w:rsidRPr="007D5898" w14:paraId="0EA11433" w14:textId="77777777" w:rsidTr="00F704B6">
        <w:trPr>
          <w:trHeight w:val="289"/>
          <w:jc w:val="center"/>
        </w:trPr>
        <w:tc>
          <w:tcPr>
            <w:tcW w:w="1118" w:type="dxa"/>
            <w:shd w:val="clear" w:color="auto" w:fill="FFFFFF"/>
            <w:vAlign w:val="bottom"/>
            <w:hideMark/>
          </w:tcPr>
          <w:p w14:paraId="6EA133B0"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T2</w:t>
            </w:r>
          </w:p>
        </w:tc>
        <w:tc>
          <w:tcPr>
            <w:tcW w:w="1075" w:type="dxa"/>
            <w:shd w:val="clear" w:color="auto" w:fill="FFFFFF"/>
            <w:noWrap/>
            <w:vAlign w:val="bottom"/>
            <w:hideMark/>
          </w:tcPr>
          <w:p w14:paraId="3948EBDC"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114,41</w:t>
            </w:r>
            <w:r w:rsidRPr="00F704B6">
              <w:rPr>
                <w:rFonts w:ascii="Calibri" w:hAnsi="Calibri" w:cs="Calibri"/>
                <w:color w:val="000000"/>
                <w:sz w:val="16"/>
                <w:szCs w:val="16"/>
                <w:vertAlign w:val="superscript"/>
                <w:lang w:val="es-CO" w:eastAsia="es-CO"/>
              </w:rPr>
              <w:t>c</w:t>
            </w:r>
            <w:r w:rsidRPr="00F704B6">
              <w:rPr>
                <w:rFonts w:ascii="Calibri" w:hAnsi="Calibri" w:cs="Calibri"/>
                <w:color w:val="000000"/>
                <w:sz w:val="16"/>
                <w:szCs w:val="16"/>
                <w:lang w:val="es-CO" w:eastAsia="es-CO"/>
              </w:rPr>
              <w:t xml:space="preserve"> ±0,04</w:t>
            </w:r>
          </w:p>
        </w:tc>
        <w:tc>
          <w:tcPr>
            <w:tcW w:w="1276" w:type="dxa"/>
            <w:shd w:val="clear" w:color="auto" w:fill="FFFFFF"/>
            <w:noWrap/>
            <w:vAlign w:val="bottom"/>
            <w:hideMark/>
          </w:tcPr>
          <w:p w14:paraId="3D8D39C1"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41,93</w:t>
            </w:r>
            <w:r w:rsidRPr="00F704B6">
              <w:rPr>
                <w:rFonts w:ascii="Calibri" w:hAnsi="Calibri" w:cs="Calibri"/>
                <w:color w:val="000000"/>
                <w:sz w:val="16"/>
                <w:szCs w:val="16"/>
                <w:vertAlign w:val="superscript"/>
                <w:lang w:val="es-CO" w:eastAsia="es-CO"/>
              </w:rPr>
              <w:t>c</w:t>
            </w:r>
            <w:r w:rsidRPr="00F704B6">
              <w:rPr>
                <w:rFonts w:ascii="Calibri" w:hAnsi="Calibri" w:cs="Calibri"/>
                <w:color w:val="000000"/>
                <w:sz w:val="16"/>
                <w:szCs w:val="16"/>
                <w:lang w:val="es-CO" w:eastAsia="es-CO"/>
              </w:rPr>
              <w:t xml:space="preserve"> ±0,03</w:t>
            </w:r>
          </w:p>
        </w:tc>
        <w:tc>
          <w:tcPr>
            <w:tcW w:w="1134" w:type="dxa"/>
            <w:shd w:val="clear" w:color="auto" w:fill="FFFFFF"/>
            <w:noWrap/>
            <w:vAlign w:val="bottom"/>
            <w:hideMark/>
          </w:tcPr>
          <w:p w14:paraId="6DED6AFD"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72,48</w:t>
            </w:r>
            <w:r w:rsidRPr="00F704B6">
              <w:rPr>
                <w:rFonts w:ascii="Calibri" w:hAnsi="Calibri" w:cs="Calibri"/>
                <w:color w:val="000000"/>
                <w:sz w:val="16"/>
                <w:szCs w:val="16"/>
                <w:vertAlign w:val="superscript"/>
                <w:lang w:val="es-CO" w:eastAsia="es-CO"/>
              </w:rPr>
              <w:t>bc</w:t>
            </w:r>
            <w:r w:rsidRPr="00F704B6">
              <w:rPr>
                <w:rFonts w:ascii="Calibri" w:hAnsi="Calibri" w:cs="Calibri"/>
                <w:color w:val="000000"/>
                <w:sz w:val="16"/>
                <w:szCs w:val="16"/>
                <w:lang w:val="es-CO" w:eastAsia="es-CO"/>
              </w:rPr>
              <w:t xml:space="preserve"> ±0,01</w:t>
            </w:r>
          </w:p>
        </w:tc>
        <w:tc>
          <w:tcPr>
            <w:tcW w:w="1134" w:type="dxa"/>
            <w:shd w:val="clear" w:color="auto" w:fill="FFFFFF"/>
            <w:noWrap/>
            <w:vAlign w:val="bottom"/>
            <w:hideMark/>
          </w:tcPr>
          <w:p w14:paraId="482E6FDC"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10,75</w:t>
            </w:r>
            <w:r w:rsidRPr="00F704B6">
              <w:rPr>
                <w:rFonts w:ascii="Calibri" w:hAnsi="Calibri" w:cs="Calibri"/>
                <w:color w:val="000000"/>
                <w:sz w:val="16"/>
                <w:szCs w:val="16"/>
                <w:vertAlign w:val="superscript"/>
                <w:lang w:val="es-CO" w:eastAsia="es-CO"/>
              </w:rPr>
              <w:t>ab</w:t>
            </w:r>
            <w:r w:rsidRPr="00F704B6">
              <w:rPr>
                <w:rFonts w:ascii="Calibri" w:hAnsi="Calibri" w:cs="Calibri"/>
                <w:color w:val="000000"/>
                <w:sz w:val="16"/>
                <w:szCs w:val="16"/>
                <w:lang w:val="es-CO" w:eastAsia="es-CO"/>
              </w:rPr>
              <w:t xml:space="preserve"> ±0,9</w:t>
            </w:r>
          </w:p>
        </w:tc>
        <w:tc>
          <w:tcPr>
            <w:tcW w:w="1209" w:type="dxa"/>
            <w:shd w:val="clear" w:color="auto" w:fill="FFFFFF"/>
            <w:noWrap/>
            <w:vAlign w:val="bottom"/>
            <w:hideMark/>
          </w:tcPr>
          <w:p w14:paraId="38861FD1"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4,58</w:t>
            </w:r>
            <w:r w:rsidRPr="00F704B6">
              <w:rPr>
                <w:rFonts w:ascii="Calibri" w:hAnsi="Calibri" w:cs="Calibri"/>
                <w:color w:val="000000"/>
                <w:sz w:val="16"/>
                <w:szCs w:val="16"/>
                <w:vertAlign w:val="superscript"/>
                <w:lang w:val="es-CO" w:eastAsia="es-CO"/>
              </w:rPr>
              <w:t>c</w:t>
            </w:r>
            <w:r w:rsidRPr="00F704B6">
              <w:rPr>
                <w:rFonts w:ascii="Calibri" w:hAnsi="Calibri" w:cs="Calibri"/>
                <w:color w:val="000000"/>
                <w:sz w:val="16"/>
                <w:szCs w:val="16"/>
                <w:lang w:val="es-CO" w:eastAsia="es-CO"/>
              </w:rPr>
              <w:t xml:space="preserve"> ±0,2</w:t>
            </w:r>
          </w:p>
        </w:tc>
      </w:tr>
      <w:tr w:rsidR="00F704B6" w:rsidRPr="007D5898" w14:paraId="5AA55931" w14:textId="77777777" w:rsidTr="00F704B6">
        <w:trPr>
          <w:trHeight w:val="289"/>
          <w:jc w:val="center"/>
        </w:trPr>
        <w:tc>
          <w:tcPr>
            <w:tcW w:w="1118" w:type="dxa"/>
            <w:shd w:val="clear" w:color="auto" w:fill="FFFFFF"/>
            <w:vAlign w:val="bottom"/>
            <w:hideMark/>
          </w:tcPr>
          <w:p w14:paraId="54909E06"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T3</w:t>
            </w:r>
          </w:p>
        </w:tc>
        <w:tc>
          <w:tcPr>
            <w:tcW w:w="1075" w:type="dxa"/>
            <w:shd w:val="clear" w:color="auto" w:fill="FFFFFF"/>
            <w:noWrap/>
            <w:vAlign w:val="bottom"/>
            <w:hideMark/>
          </w:tcPr>
          <w:p w14:paraId="4B0B408B"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148,60</w:t>
            </w:r>
            <w:r w:rsidRPr="00F704B6">
              <w:rPr>
                <w:rFonts w:ascii="Calibri" w:hAnsi="Calibri" w:cs="Calibri"/>
                <w:color w:val="000000"/>
                <w:sz w:val="16"/>
                <w:szCs w:val="16"/>
                <w:vertAlign w:val="superscript"/>
                <w:lang w:val="es-CO" w:eastAsia="es-CO"/>
              </w:rPr>
              <w:t>f</w:t>
            </w:r>
            <w:r w:rsidRPr="00F704B6">
              <w:rPr>
                <w:rFonts w:ascii="Calibri" w:hAnsi="Calibri" w:cs="Calibri"/>
                <w:color w:val="000000"/>
                <w:sz w:val="16"/>
                <w:szCs w:val="16"/>
                <w:lang w:val="es-CO" w:eastAsia="es-CO"/>
              </w:rPr>
              <w:t xml:space="preserve"> ±0,09</w:t>
            </w:r>
          </w:p>
        </w:tc>
        <w:tc>
          <w:tcPr>
            <w:tcW w:w="1276" w:type="dxa"/>
            <w:shd w:val="clear" w:color="auto" w:fill="FFFFFF"/>
            <w:noWrap/>
            <w:vAlign w:val="bottom"/>
            <w:hideMark/>
          </w:tcPr>
          <w:p w14:paraId="09B7F1B6"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56,40</w:t>
            </w:r>
            <w:r w:rsidRPr="00F704B6">
              <w:rPr>
                <w:rFonts w:ascii="Calibri" w:hAnsi="Calibri" w:cs="Calibri"/>
                <w:color w:val="000000"/>
                <w:sz w:val="16"/>
                <w:szCs w:val="16"/>
                <w:vertAlign w:val="superscript"/>
                <w:lang w:val="es-CO" w:eastAsia="es-CO"/>
              </w:rPr>
              <w:t>f</w:t>
            </w:r>
            <w:r w:rsidRPr="00F704B6">
              <w:rPr>
                <w:rFonts w:ascii="Calibri" w:hAnsi="Calibri" w:cs="Calibri"/>
                <w:color w:val="000000"/>
                <w:sz w:val="16"/>
                <w:szCs w:val="16"/>
                <w:lang w:val="es-CO" w:eastAsia="es-CO"/>
              </w:rPr>
              <w:t xml:space="preserve"> ±0,03</w:t>
            </w:r>
          </w:p>
        </w:tc>
        <w:tc>
          <w:tcPr>
            <w:tcW w:w="1134" w:type="dxa"/>
            <w:shd w:val="clear" w:color="auto" w:fill="FFFFFF"/>
            <w:noWrap/>
            <w:vAlign w:val="bottom"/>
            <w:hideMark/>
          </w:tcPr>
          <w:p w14:paraId="70C08517"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92,20</w:t>
            </w:r>
            <w:r w:rsidRPr="00F704B6">
              <w:rPr>
                <w:rFonts w:ascii="Calibri" w:hAnsi="Calibri" w:cs="Calibri"/>
                <w:color w:val="000000"/>
                <w:sz w:val="16"/>
                <w:szCs w:val="16"/>
                <w:vertAlign w:val="superscript"/>
                <w:lang w:val="es-CO" w:eastAsia="es-CO"/>
              </w:rPr>
              <w:t>e</w:t>
            </w:r>
            <w:r w:rsidRPr="00F704B6">
              <w:rPr>
                <w:rFonts w:ascii="Calibri" w:hAnsi="Calibri" w:cs="Calibri"/>
                <w:color w:val="000000"/>
                <w:sz w:val="16"/>
                <w:szCs w:val="16"/>
                <w:lang w:val="es-CO" w:eastAsia="es-CO"/>
              </w:rPr>
              <w:t xml:space="preserve"> ±0,07</w:t>
            </w:r>
          </w:p>
        </w:tc>
        <w:tc>
          <w:tcPr>
            <w:tcW w:w="1134" w:type="dxa"/>
            <w:shd w:val="clear" w:color="auto" w:fill="FFFFFF"/>
            <w:noWrap/>
            <w:vAlign w:val="bottom"/>
            <w:hideMark/>
          </w:tcPr>
          <w:p w14:paraId="24BEC97B"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11,50</w:t>
            </w:r>
            <w:r w:rsidRPr="00F704B6">
              <w:rPr>
                <w:rFonts w:ascii="Calibri" w:hAnsi="Calibri" w:cs="Calibri"/>
                <w:color w:val="000000"/>
                <w:sz w:val="16"/>
                <w:szCs w:val="16"/>
                <w:vertAlign w:val="superscript"/>
                <w:lang w:val="es-CO" w:eastAsia="es-CO"/>
              </w:rPr>
              <w:t>bcd</w:t>
            </w:r>
            <w:r w:rsidRPr="00F704B6">
              <w:rPr>
                <w:rFonts w:ascii="Calibri" w:hAnsi="Calibri" w:cs="Calibri"/>
                <w:color w:val="000000"/>
                <w:sz w:val="16"/>
                <w:szCs w:val="16"/>
                <w:lang w:val="es-CO" w:eastAsia="es-CO"/>
              </w:rPr>
              <w:t xml:space="preserve"> ±0,5</w:t>
            </w:r>
          </w:p>
        </w:tc>
        <w:tc>
          <w:tcPr>
            <w:tcW w:w="1209" w:type="dxa"/>
            <w:shd w:val="clear" w:color="auto" w:fill="FFFFFF"/>
            <w:noWrap/>
            <w:vAlign w:val="bottom"/>
            <w:hideMark/>
          </w:tcPr>
          <w:p w14:paraId="46442C8E"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5,94</w:t>
            </w:r>
            <w:r w:rsidRPr="00F704B6">
              <w:rPr>
                <w:rFonts w:ascii="Calibri" w:hAnsi="Calibri" w:cs="Calibri"/>
                <w:color w:val="000000"/>
                <w:sz w:val="16"/>
                <w:szCs w:val="16"/>
                <w:vertAlign w:val="superscript"/>
                <w:lang w:val="es-CO" w:eastAsia="es-CO"/>
              </w:rPr>
              <w:t>f</w:t>
            </w:r>
            <w:r w:rsidRPr="00F704B6">
              <w:rPr>
                <w:rFonts w:ascii="Calibri" w:hAnsi="Calibri" w:cs="Calibri"/>
                <w:color w:val="000000"/>
                <w:sz w:val="16"/>
                <w:szCs w:val="16"/>
                <w:lang w:val="es-CO" w:eastAsia="es-CO"/>
              </w:rPr>
              <w:t xml:space="preserve"> ±0,4</w:t>
            </w:r>
          </w:p>
        </w:tc>
      </w:tr>
      <w:tr w:rsidR="00F704B6" w:rsidRPr="007D5898" w14:paraId="758C4E18" w14:textId="77777777" w:rsidTr="00F704B6">
        <w:trPr>
          <w:trHeight w:val="289"/>
          <w:jc w:val="center"/>
        </w:trPr>
        <w:tc>
          <w:tcPr>
            <w:tcW w:w="1118" w:type="dxa"/>
            <w:shd w:val="clear" w:color="auto" w:fill="FFFFFF"/>
            <w:vAlign w:val="bottom"/>
            <w:hideMark/>
          </w:tcPr>
          <w:p w14:paraId="145B9601"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T4</w:t>
            </w:r>
          </w:p>
        </w:tc>
        <w:tc>
          <w:tcPr>
            <w:tcW w:w="1075" w:type="dxa"/>
            <w:shd w:val="clear" w:color="auto" w:fill="FFFFFF"/>
            <w:noWrap/>
            <w:vAlign w:val="bottom"/>
            <w:hideMark/>
          </w:tcPr>
          <w:p w14:paraId="189658BE"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98,40</w:t>
            </w:r>
            <w:r w:rsidRPr="00F704B6">
              <w:rPr>
                <w:rFonts w:ascii="Calibri" w:hAnsi="Calibri" w:cs="Calibri"/>
                <w:color w:val="000000"/>
                <w:sz w:val="16"/>
                <w:szCs w:val="16"/>
                <w:vertAlign w:val="superscript"/>
                <w:lang w:val="es-CO" w:eastAsia="es-CO"/>
              </w:rPr>
              <w:t>b</w:t>
            </w:r>
            <w:r w:rsidRPr="00F704B6">
              <w:rPr>
                <w:rFonts w:ascii="Calibri" w:hAnsi="Calibri" w:cs="Calibri"/>
                <w:color w:val="000000"/>
                <w:sz w:val="16"/>
                <w:szCs w:val="16"/>
                <w:lang w:val="es-CO" w:eastAsia="es-CO"/>
              </w:rPr>
              <w:t xml:space="preserve"> ±0,05</w:t>
            </w:r>
          </w:p>
        </w:tc>
        <w:tc>
          <w:tcPr>
            <w:tcW w:w="1276" w:type="dxa"/>
            <w:shd w:val="clear" w:color="auto" w:fill="FFFFFF"/>
            <w:noWrap/>
            <w:vAlign w:val="bottom"/>
            <w:hideMark/>
          </w:tcPr>
          <w:p w14:paraId="5AD72339"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29,17</w:t>
            </w:r>
            <w:r w:rsidRPr="00F704B6">
              <w:rPr>
                <w:rFonts w:ascii="Calibri" w:hAnsi="Calibri" w:cs="Calibri"/>
                <w:color w:val="000000"/>
                <w:sz w:val="16"/>
                <w:szCs w:val="16"/>
                <w:vertAlign w:val="superscript"/>
                <w:lang w:val="es-CO" w:eastAsia="es-CO"/>
              </w:rPr>
              <w:t>a</w:t>
            </w:r>
            <w:r w:rsidRPr="00F704B6">
              <w:rPr>
                <w:rFonts w:ascii="Calibri" w:hAnsi="Calibri" w:cs="Calibri"/>
                <w:color w:val="000000"/>
                <w:sz w:val="16"/>
                <w:szCs w:val="16"/>
                <w:lang w:val="es-CO" w:eastAsia="es-CO"/>
              </w:rPr>
              <w:t xml:space="preserve"> ±0,06</w:t>
            </w:r>
          </w:p>
        </w:tc>
        <w:tc>
          <w:tcPr>
            <w:tcW w:w="1134" w:type="dxa"/>
            <w:shd w:val="clear" w:color="auto" w:fill="FFFFFF"/>
            <w:noWrap/>
            <w:vAlign w:val="bottom"/>
            <w:hideMark/>
          </w:tcPr>
          <w:p w14:paraId="0A6F3660"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69,23</w:t>
            </w:r>
            <w:r w:rsidRPr="00F704B6">
              <w:rPr>
                <w:rFonts w:ascii="Calibri" w:hAnsi="Calibri" w:cs="Calibri"/>
                <w:color w:val="000000"/>
                <w:sz w:val="16"/>
                <w:szCs w:val="16"/>
                <w:vertAlign w:val="superscript"/>
                <w:lang w:val="es-CO" w:eastAsia="es-CO"/>
              </w:rPr>
              <w:t>b</w:t>
            </w:r>
            <w:r w:rsidRPr="00F704B6">
              <w:rPr>
                <w:rFonts w:ascii="Calibri" w:hAnsi="Calibri" w:cs="Calibri"/>
                <w:color w:val="000000"/>
                <w:sz w:val="16"/>
                <w:szCs w:val="16"/>
                <w:lang w:val="es-CO" w:eastAsia="es-CO"/>
              </w:rPr>
              <w:t xml:space="preserve"> ±0,03</w:t>
            </w:r>
          </w:p>
        </w:tc>
        <w:tc>
          <w:tcPr>
            <w:tcW w:w="1134" w:type="dxa"/>
            <w:shd w:val="clear" w:color="auto" w:fill="FFFFFF"/>
            <w:noWrap/>
            <w:vAlign w:val="bottom"/>
            <w:hideMark/>
          </w:tcPr>
          <w:p w14:paraId="6785AD3B"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10,78</w:t>
            </w:r>
            <w:r w:rsidRPr="00F704B6">
              <w:rPr>
                <w:rFonts w:ascii="Calibri" w:hAnsi="Calibri" w:cs="Calibri"/>
                <w:color w:val="000000"/>
                <w:sz w:val="16"/>
                <w:szCs w:val="16"/>
                <w:vertAlign w:val="superscript"/>
                <w:lang w:val="es-CO" w:eastAsia="es-CO"/>
              </w:rPr>
              <w:t>ab</w:t>
            </w:r>
            <w:r w:rsidRPr="00F704B6">
              <w:rPr>
                <w:rFonts w:ascii="Calibri" w:hAnsi="Calibri" w:cs="Calibri"/>
                <w:color w:val="000000"/>
                <w:sz w:val="16"/>
                <w:szCs w:val="16"/>
                <w:lang w:val="es-CO" w:eastAsia="es-CO"/>
              </w:rPr>
              <w:t xml:space="preserve"> ±0,8</w:t>
            </w:r>
          </w:p>
        </w:tc>
        <w:tc>
          <w:tcPr>
            <w:tcW w:w="1209" w:type="dxa"/>
            <w:shd w:val="clear" w:color="auto" w:fill="FFFFFF"/>
            <w:noWrap/>
            <w:vAlign w:val="bottom"/>
            <w:hideMark/>
          </w:tcPr>
          <w:p w14:paraId="0E539EA8"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3,94</w:t>
            </w:r>
            <w:r w:rsidRPr="00F704B6">
              <w:rPr>
                <w:rFonts w:ascii="Calibri" w:hAnsi="Calibri" w:cs="Calibri"/>
                <w:color w:val="000000"/>
                <w:sz w:val="16"/>
                <w:szCs w:val="16"/>
                <w:vertAlign w:val="superscript"/>
                <w:lang w:val="es-CO" w:eastAsia="es-CO"/>
              </w:rPr>
              <w:t>b</w:t>
            </w:r>
            <w:r w:rsidRPr="00F704B6">
              <w:rPr>
                <w:rFonts w:ascii="Calibri" w:hAnsi="Calibri" w:cs="Calibri"/>
                <w:color w:val="000000"/>
                <w:sz w:val="16"/>
                <w:szCs w:val="16"/>
                <w:lang w:val="es-CO" w:eastAsia="es-CO"/>
              </w:rPr>
              <w:t xml:space="preserve"> ±0,2</w:t>
            </w:r>
          </w:p>
        </w:tc>
      </w:tr>
      <w:tr w:rsidR="00F704B6" w:rsidRPr="007D5898" w14:paraId="6087B3F4" w14:textId="77777777" w:rsidTr="00F704B6">
        <w:trPr>
          <w:trHeight w:val="289"/>
          <w:jc w:val="center"/>
        </w:trPr>
        <w:tc>
          <w:tcPr>
            <w:tcW w:w="1118" w:type="dxa"/>
            <w:shd w:val="clear" w:color="auto" w:fill="FFFFFF"/>
            <w:vAlign w:val="bottom"/>
            <w:hideMark/>
          </w:tcPr>
          <w:p w14:paraId="229CD61F"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T5</w:t>
            </w:r>
          </w:p>
        </w:tc>
        <w:tc>
          <w:tcPr>
            <w:tcW w:w="1075" w:type="dxa"/>
            <w:shd w:val="clear" w:color="auto" w:fill="FFFFFF"/>
            <w:noWrap/>
            <w:vAlign w:val="bottom"/>
            <w:hideMark/>
          </w:tcPr>
          <w:p w14:paraId="75CF3036"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154,03</w:t>
            </w:r>
            <w:r w:rsidRPr="00F704B6">
              <w:rPr>
                <w:rFonts w:ascii="Calibri" w:hAnsi="Calibri" w:cs="Calibri"/>
                <w:color w:val="000000"/>
                <w:sz w:val="16"/>
                <w:szCs w:val="16"/>
                <w:vertAlign w:val="superscript"/>
                <w:lang w:val="es-CO" w:eastAsia="es-CO"/>
              </w:rPr>
              <w:t>g</w:t>
            </w:r>
            <w:r w:rsidRPr="00F704B6">
              <w:rPr>
                <w:rFonts w:ascii="Calibri" w:hAnsi="Calibri" w:cs="Calibri"/>
                <w:color w:val="000000"/>
                <w:sz w:val="16"/>
                <w:szCs w:val="16"/>
                <w:lang w:val="es-CO" w:eastAsia="es-CO"/>
              </w:rPr>
              <w:t xml:space="preserve"> ±0,06</w:t>
            </w:r>
          </w:p>
        </w:tc>
        <w:tc>
          <w:tcPr>
            <w:tcW w:w="1276" w:type="dxa"/>
            <w:shd w:val="clear" w:color="auto" w:fill="FFFFFF"/>
            <w:noWrap/>
            <w:vAlign w:val="bottom"/>
            <w:hideMark/>
          </w:tcPr>
          <w:p w14:paraId="2879765D"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52,79</w:t>
            </w:r>
            <w:r w:rsidRPr="00F704B6">
              <w:rPr>
                <w:rFonts w:ascii="Calibri" w:hAnsi="Calibri" w:cs="Calibri"/>
                <w:color w:val="000000"/>
                <w:sz w:val="16"/>
                <w:szCs w:val="16"/>
                <w:vertAlign w:val="superscript"/>
                <w:lang w:val="es-CO" w:eastAsia="es-CO"/>
              </w:rPr>
              <w:t>e</w:t>
            </w:r>
            <w:r w:rsidRPr="00F704B6">
              <w:rPr>
                <w:rFonts w:ascii="Calibri" w:hAnsi="Calibri" w:cs="Calibri"/>
                <w:color w:val="000000"/>
                <w:sz w:val="16"/>
                <w:szCs w:val="16"/>
                <w:lang w:val="es-CO" w:eastAsia="es-CO"/>
              </w:rPr>
              <w:t xml:space="preserve"> ±0,03</w:t>
            </w:r>
          </w:p>
        </w:tc>
        <w:tc>
          <w:tcPr>
            <w:tcW w:w="1134" w:type="dxa"/>
            <w:shd w:val="clear" w:color="auto" w:fill="FFFFFF"/>
            <w:noWrap/>
            <w:vAlign w:val="bottom"/>
            <w:hideMark/>
          </w:tcPr>
          <w:p w14:paraId="56BE933E"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99,40</w:t>
            </w:r>
            <w:r w:rsidRPr="00F704B6">
              <w:rPr>
                <w:rFonts w:ascii="Calibri" w:hAnsi="Calibri" w:cs="Calibri"/>
                <w:color w:val="000000"/>
                <w:sz w:val="16"/>
                <w:szCs w:val="16"/>
                <w:vertAlign w:val="superscript"/>
                <w:lang w:val="es-CO" w:eastAsia="es-CO"/>
              </w:rPr>
              <w:t>f</w:t>
            </w:r>
            <w:r w:rsidRPr="00F704B6">
              <w:rPr>
                <w:rFonts w:ascii="Calibri" w:hAnsi="Calibri" w:cs="Calibri"/>
                <w:color w:val="000000"/>
                <w:sz w:val="16"/>
                <w:szCs w:val="16"/>
                <w:lang w:val="es-CO" w:eastAsia="es-CO"/>
              </w:rPr>
              <w:t xml:space="preserve"> ±0,08</w:t>
            </w:r>
          </w:p>
        </w:tc>
        <w:tc>
          <w:tcPr>
            <w:tcW w:w="1134" w:type="dxa"/>
            <w:shd w:val="clear" w:color="auto" w:fill="FFFFFF"/>
            <w:noWrap/>
            <w:vAlign w:val="bottom"/>
            <w:hideMark/>
          </w:tcPr>
          <w:p w14:paraId="682399F9"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11,00</w:t>
            </w:r>
            <w:r w:rsidRPr="00F704B6">
              <w:rPr>
                <w:rFonts w:ascii="Calibri" w:hAnsi="Calibri" w:cs="Calibri"/>
                <w:color w:val="000000"/>
                <w:sz w:val="16"/>
                <w:szCs w:val="16"/>
                <w:vertAlign w:val="superscript"/>
                <w:lang w:val="es-CO" w:eastAsia="es-CO"/>
              </w:rPr>
              <w:t>abc</w:t>
            </w:r>
            <w:r w:rsidRPr="00F704B6">
              <w:rPr>
                <w:rFonts w:ascii="Calibri" w:hAnsi="Calibri" w:cs="Calibri"/>
                <w:color w:val="000000"/>
                <w:sz w:val="16"/>
                <w:szCs w:val="16"/>
                <w:lang w:val="es-CO" w:eastAsia="es-CO"/>
              </w:rPr>
              <w:t xml:space="preserve"> ±0,8</w:t>
            </w:r>
          </w:p>
        </w:tc>
        <w:tc>
          <w:tcPr>
            <w:tcW w:w="1209" w:type="dxa"/>
            <w:shd w:val="clear" w:color="auto" w:fill="FFFFFF"/>
            <w:noWrap/>
            <w:vAlign w:val="bottom"/>
            <w:hideMark/>
          </w:tcPr>
          <w:p w14:paraId="38D6C73D"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6,09</w:t>
            </w:r>
            <w:r w:rsidRPr="00F704B6">
              <w:rPr>
                <w:rFonts w:ascii="Calibri" w:hAnsi="Calibri" w:cs="Calibri"/>
                <w:color w:val="000000"/>
                <w:sz w:val="16"/>
                <w:szCs w:val="16"/>
                <w:vertAlign w:val="superscript"/>
                <w:lang w:val="es-CO" w:eastAsia="es-CO"/>
              </w:rPr>
              <w:t>f</w:t>
            </w:r>
            <w:r w:rsidRPr="00F704B6">
              <w:rPr>
                <w:rFonts w:ascii="Calibri" w:hAnsi="Calibri" w:cs="Calibri"/>
                <w:color w:val="000000"/>
                <w:sz w:val="16"/>
                <w:szCs w:val="16"/>
                <w:lang w:val="es-CO" w:eastAsia="es-CO"/>
              </w:rPr>
              <w:t xml:space="preserve"> ±0,4</w:t>
            </w:r>
          </w:p>
        </w:tc>
      </w:tr>
      <w:tr w:rsidR="00F704B6" w:rsidRPr="007D5898" w14:paraId="2BFC0FDD" w14:textId="77777777" w:rsidTr="00F704B6">
        <w:trPr>
          <w:trHeight w:val="289"/>
          <w:jc w:val="center"/>
        </w:trPr>
        <w:tc>
          <w:tcPr>
            <w:tcW w:w="1118" w:type="dxa"/>
            <w:shd w:val="clear" w:color="auto" w:fill="FFFFFF"/>
            <w:vAlign w:val="bottom"/>
            <w:hideMark/>
          </w:tcPr>
          <w:p w14:paraId="510F8D94"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T6</w:t>
            </w:r>
          </w:p>
        </w:tc>
        <w:tc>
          <w:tcPr>
            <w:tcW w:w="1075" w:type="dxa"/>
            <w:shd w:val="clear" w:color="auto" w:fill="FFFFFF"/>
            <w:noWrap/>
            <w:vAlign w:val="bottom"/>
            <w:hideMark/>
          </w:tcPr>
          <w:p w14:paraId="5CB73CDB"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132,06</w:t>
            </w:r>
            <w:r w:rsidRPr="00F704B6">
              <w:rPr>
                <w:rFonts w:ascii="Calibri" w:hAnsi="Calibri" w:cs="Calibri"/>
                <w:color w:val="000000"/>
                <w:sz w:val="16"/>
                <w:szCs w:val="16"/>
                <w:vertAlign w:val="superscript"/>
                <w:lang w:val="es-CO" w:eastAsia="es-CO"/>
              </w:rPr>
              <w:t>e</w:t>
            </w:r>
            <w:r w:rsidRPr="00F704B6">
              <w:rPr>
                <w:rFonts w:ascii="Calibri" w:hAnsi="Calibri" w:cs="Calibri"/>
                <w:color w:val="000000"/>
                <w:sz w:val="16"/>
                <w:szCs w:val="16"/>
                <w:lang w:val="es-CO" w:eastAsia="es-CO"/>
              </w:rPr>
              <w:t xml:space="preserve"> ±0,04</w:t>
            </w:r>
          </w:p>
        </w:tc>
        <w:tc>
          <w:tcPr>
            <w:tcW w:w="1276" w:type="dxa"/>
            <w:shd w:val="clear" w:color="auto" w:fill="FFFFFF"/>
            <w:noWrap/>
            <w:vAlign w:val="bottom"/>
            <w:hideMark/>
          </w:tcPr>
          <w:p w14:paraId="7CA69271"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46,16</w:t>
            </w:r>
            <w:r w:rsidRPr="00F704B6">
              <w:rPr>
                <w:rFonts w:ascii="Calibri" w:hAnsi="Calibri" w:cs="Calibri"/>
                <w:color w:val="000000"/>
                <w:sz w:val="16"/>
                <w:szCs w:val="16"/>
                <w:vertAlign w:val="superscript"/>
                <w:lang w:val="es-CO" w:eastAsia="es-CO"/>
              </w:rPr>
              <w:t>d</w:t>
            </w:r>
            <w:r w:rsidRPr="00F704B6">
              <w:rPr>
                <w:rFonts w:ascii="Calibri" w:hAnsi="Calibri" w:cs="Calibri"/>
                <w:color w:val="000000"/>
                <w:sz w:val="16"/>
                <w:szCs w:val="16"/>
                <w:lang w:val="es-CO" w:eastAsia="es-CO"/>
              </w:rPr>
              <w:t xml:space="preserve"> ±0,04</w:t>
            </w:r>
          </w:p>
        </w:tc>
        <w:tc>
          <w:tcPr>
            <w:tcW w:w="1134" w:type="dxa"/>
            <w:shd w:val="clear" w:color="auto" w:fill="FFFFFF"/>
            <w:noWrap/>
            <w:vAlign w:val="bottom"/>
            <w:hideMark/>
          </w:tcPr>
          <w:p w14:paraId="1D4D070B"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85,89</w:t>
            </w:r>
            <w:r w:rsidRPr="00F704B6">
              <w:rPr>
                <w:rFonts w:ascii="Calibri" w:hAnsi="Calibri" w:cs="Calibri"/>
                <w:color w:val="000000"/>
                <w:sz w:val="16"/>
                <w:szCs w:val="16"/>
                <w:vertAlign w:val="superscript"/>
                <w:lang w:val="es-CO" w:eastAsia="es-CO"/>
              </w:rPr>
              <w:t>d</w:t>
            </w:r>
            <w:r w:rsidRPr="00F704B6">
              <w:rPr>
                <w:rFonts w:ascii="Calibri" w:hAnsi="Calibri" w:cs="Calibri"/>
                <w:color w:val="000000"/>
                <w:sz w:val="16"/>
                <w:szCs w:val="16"/>
                <w:lang w:val="es-CO" w:eastAsia="es-CO"/>
              </w:rPr>
              <w:t xml:space="preserve"> ±0,03</w:t>
            </w:r>
          </w:p>
        </w:tc>
        <w:tc>
          <w:tcPr>
            <w:tcW w:w="1134" w:type="dxa"/>
            <w:shd w:val="clear" w:color="auto" w:fill="FFFFFF"/>
            <w:noWrap/>
            <w:vAlign w:val="bottom"/>
            <w:hideMark/>
          </w:tcPr>
          <w:p w14:paraId="2F13EC91"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11,25</w:t>
            </w:r>
            <w:r w:rsidRPr="00F704B6">
              <w:rPr>
                <w:rFonts w:ascii="Calibri" w:hAnsi="Calibri" w:cs="Calibri"/>
                <w:color w:val="000000"/>
                <w:sz w:val="16"/>
                <w:szCs w:val="16"/>
                <w:vertAlign w:val="superscript"/>
                <w:lang w:val="es-CO" w:eastAsia="es-CO"/>
              </w:rPr>
              <w:t>abcd</w:t>
            </w:r>
            <w:r w:rsidRPr="00F704B6">
              <w:rPr>
                <w:rFonts w:ascii="Calibri" w:hAnsi="Calibri" w:cs="Calibri"/>
                <w:color w:val="000000"/>
                <w:sz w:val="16"/>
                <w:szCs w:val="16"/>
                <w:lang w:val="es-CO" w:eastAsia="es-CO"/>
              </w:rPr>
              <w:t xml:space="preserve"> ±0,5</w:t>
            </w:r>
          </w:p>
        </w:tc>
        <w:tc>
          <w:tcPr>
            <w:tcW w:w="1209" w:type="dxa"/>
            <w:shd w:val="clear" w:color="auto" w:fill="FFFFFF"/>
            <w:noWrap/>
            <w:vAlign w:val="bottom"/>
            <w:hideMark/>
          </w:tcPr>
          <w:p w14:paraId="2A6739AA"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5,28</w:t>
            </w:r>
            <w:r w:rsidRPr="00F704B6">
              <w:rPr>
                <w:rFonts w:ascii="Calibri" w:hAnsi="Calibri" w:cs="Calibri"/>
                <w:color w:val="000000"/>
                <w:sz w:val="16"/>
                <w:szCs w:val="16"/>
                <w:vertAlign w:val="superscript"/>
                <w:lang w:val="es-CO" w:eastAsia="es-CO"/>
              </w:rPr>
              <w:t>e</w:t>
            </w:r>
            <w:r w:rsidRPr="00F704B6">
              <w:rPr>
                <w:rFonts w:ascii="Calibri" w:hAnsi="Calibri" w:cs="Calibri"/>
                <w:color w:val="000000"/>
                <w:sz w:val="16"/>
                <w:szCs w:val="16"/>
                <w:lang w:val="es-CO" w:eastAsia="es-CO"/>
              </w:rPr>
              <w:t xml:space="preserve"> ±0,2</w:t>
            </w:r>
          </w:p>
        </w:tc>
      </w:tr>
      <w:tr w:rsidR="00F704B6" w:rsidRPr="007D5898" w14:paraId="6008B852" w14:textId="77777777" w:rsidTr="00F704B6">
        <w:trPr>
          <w:trHeight w:val="289"/>
          <w:jc w:val="center"/>
        </w:trPr>
        <w:tc>
          <w:tcPr>
            <w:tcW w:w="1118" w:type="dxa"/>
            <w:shd w:val="clear" w:color="auto" w:fill="FFFFFF"/>
            <w:vAlign w:val="bottom"/>
            <w:hideMark/>
          </w:tcPr>
          <w:p w14:paraId="7FF96055"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T7</w:t>
            </w:r>
          </w:p>
        </w:tc>
        <w:tc>
          <w:tcPr>
            <w:tcW w:w="1075" w:type="dxa"/>
            <w:shd w:val="clear" w:color="auto" w:fill="FFFFFF"/>
            <w:noWrap/>
            <w:vAlign w:val="bottom"/>
            <w:hideMark/>
          </w:tcPr>
          <w:p w14:paraId="1CF18EEC"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120,42</w:t>
            </w:r>
            <w:r w:rsidRPr="00F704B6">
              <w:rPr>
                <w:rFonts w:ascii="Calibri" w:hAnsi="Calibri" w:cs="Calibri"/>
                <w:color w:val="000000"/>
                <w:sz w:val="16"/>
                <w:szCs w:val="16"/>
                <w:vertAlign w:val="superscript"/>
                <w:lang w:val="es-CO" w:eastAsia="es-CO"/>
              </w:rPr>
              <w:t>d</w:t>
            </w:r>
            <w:r w:rsidRPr="00F704B6">
              <w:rPr>
                <w:rFonts w:ascii="Calibri" w:hAnsi="Calibri" w:cs="Calibri"/>
                <w:color w:val="000000"/>
                <w:sz w:val="16"/>
                <w:szCs w:val="16"/>
                <w:lang w:val="es-CO" w:eastAsia="es-CO"/>
              </w:rPr>
              <w:t xml:space="preserve"> ±0,04</w:t>
            </w:r>
          </w:p>
        </w:tc>
        <w:tc>
          <w:tcPr>
            <w:tcW w:w="1276" w:type="dxa"/>
            <w:shd w:val="clear" w:color="auto" w:fill="FFFFFF"/>
            <w:noWrap/>
            <w:vAlign w:val="bottom"/>
            <w:hideMark/>
          </w:tcPr>
          <w:p w14:paraId="7A04B8E4"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37,99</w:t>
            </w:r>
            <w:r w:rsidRPr="00F704B6">
              <w:rPr>
                <w:rFonts w:ascii="Calibri" w:hAnsi="Calibri" w:cs="Calibri"/>
                <w:color w:val="000000"/>
                <w:sz w:val="16"/>
                <w:szCs w:val="16"/>
                <w:vertAlign w:val="superscript"/>
                <w:lang w:val="es-CO" w:eastAsia="es-CO"/>
              </w:rPr>
              <w:t>b</w:t>
            </w:r>
            <w:r w:rsidRPr="00F704B6">
              <w:rPr>
                <w:rFonts w:ascii="Calibri" w:hAnsi="Calibri" w:cs="Calibri"/>
                <w:color w:val="000000"/>
                <w:sz w:val="16"/>
                <w:szCs w:val="16"/>
                <w:lang w:val="es-CO" w:eastAsia="es-CO"/>
              </w:rPr>
              <w:t xml:space="preserve"> ±0,01</w:t>
            </w:r>
          </w:p>
        </w:tc>
        <w:tc>
          <w:tcPr>
            <w:tcW w:w="1134" w:type="dxa"/>
            <w:shd w:val="clear" w:color="auto" w:fill="FFFFFF"/>
            <w:noWrap/>
            <w:vAlign w:val="bottom"/>
            <w:hideMark/>
          </w:tcPr>
          <w:p w14:paraId="2235F5C5"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82,42</w:t>
            </w:r>
            <w:r w:rsidRPr="00F704B6">
              <w:rPr>
                <w:rFonts w:ascii="Calibri" w:hAnsi="Calibri" w:cs="Calibri"/>
                <w:color w:val="000000"/>
                <w:sz w:val="16"/>
                <w:szCs w:val="16"/>
                <w:vertAlign w:val="superscript"/>
                <w:lang w:val="es-CO" w:eastAsia="es-CO"/>
              </w:rPr>
              <w:t>d</w:t>
            </w:r>
            <w:r w:rsidRPr="00F704B6">
              <w:rPr>
                <w:rFonts w:ascii="Calibri" w:hAnsi="Calibri" w:cs="Calibri"/>
                <w:color w:val="000000"/>
                <w:sz w:val="16"/>
                <w:szCs w:val="16"/>
                <w:lang w:val="es-CO" w:eastAsia="es-CO"/>
              </w:rPr>
              <w:t xml:space="preserve"> ±0,03</w:t>
            </w:r>
          </w:p>
        </w:tc>
        <w:tc>
          <w:tcPr>
            <w:tcW w:w="1134" w:type="dxa"/>
            <w:shd w:val="clear" w:color="auto" w:fill="FFFFFF"/>
            <w:noWrap/>
            <w:vAlign w:val="bottom"/>
            <w:hideMark/>
          </w:tcPr>
          <w:p w14:paraId="0B22529F"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11,75</w:t>
            </w:r>
            <w:r w:rsidRPr="00F704B6">
              <w:rPr>
                <w:rFonts w:ascii="Calibri" w:hAnsi="Calibri" w:cs="Calibri"/>
                <w:color w:val="000000"/>
                <w:sz w:val="16"/>
                <w:szCs w:val="16"/>
                <w:vertAlign w:val="superscript"/>
                <w:lang w:val="es-CO" w:eastAsia="es-CO"/>
              </w:rPr>
              <w:t>bcd</w:t>
            </w:r>
            <w:r w:rsidRPr="00F704B6">
              <w:rPr>
                <w:rFonts w:ascii="Calibri" w:hAnsi="Calibri" w:cs="Calibri"/>
                <w:color w:val="000000"/>
                <w:sz w:val="16"/>
                <w:szCs w:val="16"/>
                <w:lang w:val="es-CO" w:eastAsia="es-CO"/>
              </w:rPr>
              <w:t xml:space="preserve"> ±0,5</w:t>
            </w:r>
          </w:p>
        </w:tc>
        <w:tc>
          <w:tcPr>
            <w:tcW w:w="1209" w:type="dxa"/>
            <w:shd w:val="clear" w:color="auto" w:fill="FFFFFF"/>
            <w:noWrap/>
            <w:vAlign w:val="bottom"/>
            <w:hideMark/>
          </w:tcPr>
          <w:p w14:paraId="3EC85F40"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4,82</w:t>
            </w:r>
            <w:r w:rsidRPr="00F704B6">
              <w:rPr>
                <w:rFonts w:ascii="Calibri" w:hAnsi="Calibri" w:cs="Calibri"/>
                <w:color w:val="000000"/>
                <w:sz w:val="16"/>
                <w:szCs w:val="16"/>
                <w:vertAlign w:val="superscript"/>
                <w:lang w:val="es-CO" w:eastAsia="es-CO"/>
              </w:rPr>
              <w:t>d</w:t>
            </w:r>
            <w:r w:rsidRPr="00F704B6">
              <w:rPr>
                <w:rFonts w:ascii="Calibri" w:hAnsi="Calibri" w:cs="Calibri"/>
                <w:color w:val="000000"/>
                <w:sz w:val="16"/>
                <w:szCs w:val="16"/>
                <w:lang w:val="es-CO" w:eastAsia="es-CO"/>
              </w:rPr>
              <w:t xml:space="preserve"> ±0,2</w:t>
            </w:r>
          </w:p>
        </w:tc>
      </w:tr>
      <w:tr w:rsidR="00F704B6" w:rsidRPr="007D5898" w14:paraId="3BA38801" w14:textId="77777777" w:rsidTr="00F704B6">
        <w:trPr>
          <w:trHeight w:val="289"/>
          <w:jc w:val="center"/>
        </w:trPr>
        <w:tc>
          <w:tcPr>
            <w:tcW w:w="1118" w:type="dxa"/>
            <w:shd w:val="clear" w:color="auto" w:fill="FFFFFF"/>
            <w:vAlign w:val="bottom"/>
            <w:hideMark/>
          </w:tcPr>
          <w:p w14:paraId="49940FB5"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T8</w:t>
            </w:r>
          </w:p>
        </w:tc>
        <w:tc>
          <w:tcPr>
            <w:tcW w:w="1075" w:type="dxa"/>
            <w:shd w:val="clear" w:color="auto" w:fill="FFFFFF"/>
            <w:noWrap/>
            <w:vAlign w:val="bottom"/>
            <w:hideMark/>
          </w:tcPr>
          <w:p w14:paraId="502B7E80"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196,15</w:t>
            </w:r>
            <w:r w:rsidRPr="00F704B6">
              <w:rPr>
                <w:rFonts w:ascii="Calibri" w:hAnsi="Calibri" w:cs="Calibri"/>
                <w:color w:val="000000"/>
                <w:sz w:val="16"/>
                <w:szCs w:val="16"/>
                <w:vertAlign w:val="superscript"/>
                <w:lang w:val="es-CO" w:eastAsia="es-CO"/>
              </w:rPr>
              <w:t>i</w:t>
            </w:r>
            <w:r w:rsidRPr="00F704B6">
              <w:rPr>
                <w:rFonts w:ascii="Calibri" w:hAnsi="Calibri" w:cs="Calibri"/>
                <w:color w:val="000000"/>
                <w:sz w:val="16"/>
                <w:szCs w:val="16"/>
                <w:lang w:val="es-CO" w:eastAsia="es-CO"/>
              </w:rPr>
              <w:t xml:space="preserve"> ±0,05</w:t>
            </w:r>
          </w:p>
        </w:tc>
        <w:tc>
          <w:tcPr>
            <w:tcW w:w="1276" w:type="dxa"/>
            <w:shd w:val="clear" w:color="auto" w:fill="FFFFFF"/>
            <w:noWrap/>
            <w:vAlign w:val="bottom"/>
            <w:hideMark/>
          </w:tcPr>
          <w:p w14:paraId="2FA0D5FC"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53,92</w:t>
            </w:r>
            <w:r w:rsidRPr="00F704B6">
              <w:rPr>
                <w:rFonts w:ascii="Calibri" w:hAnsi="Calibri" w:cs="Calibri"/>
                <w:color w:val="000000"/>
                <w:sz w:val="16"/>
                <w:szCs w:val="16"/>
                <w:vertAlign w:val="superscript"/>
                <w:lang w:val="es-CO" w:eastAsia="es-CO"/>
              </w:rPr>
              <w:t>ef</w:t>
            </w:r>
            <w:r w:rsidRPr="00F704B6">
              <w:rPr>
                <w:rFonts w:ascii="Calibri" w:hAnsi="Calibri" w:cs="Calibri"/>
                <w:color w:val="000000"/>
                <w:sz w:val="16"/>
                <w:szCs w:val="16"/>
                <w:lang w:val="es-CO" w:eastAsia="es-CO"/>
              </w:rPr>
              <w:t xml:space="preserve"> ±0,06</w:t>
            </w:r>
          </w:p>
        </w:tc>
        <w:tc>
          <w:tcPr>
            <w:tcW w:w="1134" w:type="dxa"/>
            <w:shd w:val="clear" w:color="auto" w:fill="FFFFFF"/>
            <w:noWrap/>
            <w:vAlign w:val="bottom"/>
            <w:hideMark/>
          </w:tcPr>
          <w:p w14:paraId="483DE416"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142,23</w:t>
            </w:r>
            <w:r w:rsidRPr="00F704B6">
              <w:rPr>
                <w:rFonts w:ascii="Calibri" w:hAnsi="Calibri" w:cs="Calibri"/>
                <w:color w:val="000000"/>
                <w:sz w:val="16"/>
                <w:szCs w:val="16"/>
                <w:vertAlign w:val="superscript"/>
                <w:lang w:val="es-CO" w:eastAsia="es-CO"/>
              </w:rPr>
              <w:t>h</w:t>
            </w:r>
            <w:r w:rsidRPr="00F704B6">
              <w:rPr>
                <w:rFonts w:ascii="Calibri" w:hAnsi="Calibri" w:cs="Calibri"/>
                <w:color w:val="000000"/>
                <w:sz w:val="16"/>
                <w:szCs w:val="16"/>
                <w:lang w:val="es-CO" w:eastAsia="es-CO"/>
              </w:rPr>
              <w:t xml:space="preserve"> ±0,04</w:t>
            </w:r>
          </w:p>
        </w:tc>
        <w:tc>
          <w:tcPr>
            <w:tcW w:w="1134" w:type="dxa"/>
            <w:shd w:val="clear" w:color="auto" w:fill="FFFFFF"/>
            <w:noWrap/>
            <w:vAlign w:val="bottom"/>
            <w:hideMark/>
          </w:tcPr>
          <w:p w14:paraId="0963FB09"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11,85</w:t>
            </w:r>
            <w:r w:rsidRPr="00F704B6">
              <w:rPr>
                <w:rFonts w:ascii="Calibri" w:hAnsi="Calibri" w:cs="Calibri"/>
                <w:color w:val="000000"/>
                <w:sz w:val="16"/>
                <w:szCs w:val="16"/>
                <w:vertAlign w:val="superscript"/>
                <w:lang w:val="es-CO" w:eastAsia="es-CO"/>
              </w:rPr>
              <w:t>cde</w:t>
            </w:r>
            <w:r w:rsidRPr="00F704B6">
              <w:rPr>
                <w:rFonts w:ascii="Calibri" w:hAnsi="Calibri" w:cs="Calibri"/>
                <w:color w:val="000000"/>
                <w:sz w:val="16"/>
                <w:szCs w:val="16"/>
                <w:lang w:val="es-CO" w:eastAsia="es-CO"/>
              </w:rPr>
              <w:t xml:space="preserve"> ±0,9</w:t>
            </w:r>
          </w:p>
        </w:tc>
        <w:tc>
          <w:tcPr>
            <w:tcW w:w="1209" w:type="dxa"/>
            <w:shd w:val="clear" w:color="auto" w:fill="FFFFFF"/>
            <w:noWrap/>
            <w:vAlign w:val="bottom"/>
            <w:hideMark/>
          </w:tcPr>
          <w:p w14:paraId="5BA22FFB"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7,85</w:t>
            </w:r>
            <w:r w:rsidRPr="00F704B6">
              <w:rPr>
                <w:rFonts w:ascii="Calibri" w:hAnsi="Calibri" w:cs="Calibri"/>
                <w:color w:val="000000"/>
                <w:sz w:val="16"/>
                <w:szCs w:val="16"/>
                <w:vertAlign w:val="superscript"/>
                <w:lang w:val="es-CO" w:eastAsia="es-CO"/>
              </w:rPr>
              <w:t>h</w:t>
            </w:r>
            <w:r w:rsidRPr="00F704B6">
              <w:rPr>
                <w:rFonts w:ascii="Calibri" w:hAnsi="Calibri" w:cs="Calibri"/>
                <w:color w:val="000000"/>
                <w:sz w:val="16"/>
                <w:szCs w:val="16"/>
                <w:lang w:val="es-CO" w:eastAsia="es-CO"/>
              </w:rPr>
              <w:t xml:space="preserve"> ±0,2</w:t>
            </w:r>
          </w:p>
        </w:tc>
      </w:tr>
      <w:tr w:rsidR="00F704B6" w:rsidRPr="007D5898" w14:paraId="68CE8336" w14:textId="77777777" w:rsidTr="00F704B6">
        <w:trPr>
          <w:trHeight w:val="289"/>
          <w:jc w:val="center"/>
        </w:trPr>
        <w:tc>
          <w:tcPr>
            <w:tcW w:w="1118" w:type="dxa"/>
            <w:shd w:val="clear" w:color="auto" w:fill="FFFFFF"/>
            <w:vAlign w:val="bottom"/>
            <w:hideMark/>
          </w:tcPr>
          <w:p w14:paraId="0BA56E80"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T9</w:t>
            </w:r>
          </w:p>
        </w:tc>
        <w:tc>
          <w:tcPr>
            <w:tcW w:w="1075" w:type="dxa"/>
            <w:shd w:val="clear" w:color="auto" w:fill="FFFFFF"/>
            <w:noWrap/>
            <w:vAlign w:val="bottom"/>
            <w:hideMark/>
          </w:tcPr>
          <w:p w14:paraId="648CD9B2"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172,63</w:t>
            </w:r>
            <w:r w:rsidRPr="00F704B6">
              <w:rPr>
                <w:rFonts w:ascii="Calibri" w:hAnsi="Calibri" w:cs="Calibri"/>
                <w:color w:val="000000"/>
                <w:sz w:val="16"/>
                <w:szCs w:val="16"/>
                <w:vertAlign w:val="superscript"/>
                <w:lang w:val="es-CO" w:eastAsia="es-CO"/>
              </w:rPr>
              <w:t>h</w:t>
            </w:r>
            <w:r w:rsidRPr="00F704B6">
              <w:rPr>
                <w:rFonts w:ascii="Calibri" w:hAnsi="Calibri" w:cs="Calibri"/>
                <w:color w:val="000000"/>
                <w:sz w:val="16"/>
                <w:szCs w:val="16"/>
                <w:lang w:val="es-CO" w:eastAsia="es-CO"/>
              </w:rPr>
              <w:t xml:space="preserve"> ±0,04</w:t>
            </w:r>
          </w:p>
        </w:tc>
        <w:tc>
          <w:tcPr>
            <w:tcW w:w="1276" w:type="dxa"/>
            <w:shd w:val="clear" w:color="auto" w:fill="FFFFFF"/>
            <w:noWrap/>
            <w:vAlign w:val="bottom"/>
            <w:hideMark/>
          </w:tcPr>
          <w:p w14:paraId="0A888085"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47,66</w:t>
            </w:r>
            <w:r w:rsidRPr="00F704B6">
              <w:rPr>
                <w:rFonts w:ascii="Calibri" w:hAnsi="Calibri" w:cs="Calibri"/>
                <w:color w:val="000000"/>
                <w:sz w:val="16"/>
                <w:szCs w:val="16"/>
                <w:vertAlign w:val="superscript"/>
                <w:lang w:val="es-CO" w:eastAsia="es-CO"/>
              </w:rPr>
              <w:t>e</w:t>
            </w:r>
            <w:r w:rsidRPr="00F704B6">
              <w:rPr>
                <w:rFonts w:ascii="Calibri" w:hAnsi="Calibri" w:cs="Calibri"/>
                <w:color w:val="000000"/>
                <w:sz w:val="16"/>
                <w:szCs w:val="16"/>
                <w:lang w:val="es-CO" w:eastAsia="es-CO"/>
              </w:rPr>
              <w:t xml:space="preserve"> ±0,11</w:t>
            </w:r>
          </w:p>
        </w:tc>
        <w:tc>
          <w:tcPr>
            <w:tcW w:w="1134" w:type="dxa"/>
            <w:shd w:val="clear" w:color="auto" w:fill="FFFFFF"/>
            <w:noWrap/>
            <w:vAlign w:val="bottom"/>
            <w:hideMark/>
          </w:tcPr>
          <w:p w14:paraId="31B735A6"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124,97</w:t>
            </w:r>
            <w:r w:rsidRPr="00F704B6">
              <w:rPr>
                <w:rFonts w:ascii="Calibri" w:hAnsi="Calibri" w:cs="Calibri"/>
                <w:color w:val="000000"/>
                <w:sz w:val="16"/>
                <w:szCs w:val="16"/>
                <w:vertAlign w:val="superscript"/>
                <w:lang w:val="es-CO" w:eastAsia="es-CO"/>
              </w:rPr>
              <w:t>g</w:t>
            </w:r>
            <w:r w:rsidRPr="00F704B6">
              <w:rPr>
                <w:rFonts w:ascii="Calibri" w:hAnsi="Calibri" w:cs="Calibri"/>
                <w:color w:val="000000"/>
                <w:sz w:val="16"/>
                <w:szCs w:val="16"/>
                <w:lang w:val="es-CO" w:eastAsia="es-CO"/>
              </w:rPr>
              <w:t xml:space="preserve"> ±0,13</w:t>
            </w:r>
          </w:p>
        </w:tc>
        <w:tc>
          <w:tcPr>
            <w:tcW w:w="1134" w:type="dxa"/>
            <w:shd w:val="clear" w:color="auto" w:fill="FFFFFF"/>
            <w:noWrap/>
            <w:vAlign w:val="bottom"/>
            <w:hideMark/>
          </w:tcPr>
          <w:p w14:paraId="5C91F825"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12,73</w:t>
            </w:r>
            <w:r w:rsidRPr="00F704B6">
              <w:rPr>
                <w:rFonts w:ascii="Calibri" w:hAnsi="Calibri" w:cs="Calibri"/>
                <w:color w:val="000000"/>
                <w:sz w:val="16"/>
                <w:szCs w:val="16"/>
                <w:vertAlign w:val="superscript"/>
                <w:lang w:val="es-CO" w:eastAsia="es-CO"/>
              </w:rPr>
              <w:t>e</w:t>
            </w:r>
            <w:r w:rsidRPr="00F704B6">
              <w:rPr>
                <w:rFonts w:ascii="Calibri" w:hAnsi="Calibri" w:cs="Calibri"/>
                <w:color w:val="000000"/>
                <w:sz w:val="16"/>
                <w:szCs w:val="16"/>
                <w:lang w:val="es-CO" w:eastAsia="es-CO"/>
              </w:rPr>
              <w:t xml:space="preserve"> ±0,7</w:t>
            </w:r>
          </w:p>
        </w:tc>
        <w:tc>
          <w:tcPr>
            <w:tcW w:w="1209" w:type="dxa"/>
            <w:shd w:val="clear" w:color="auto" w:fill="FFFFFF"/>
            <w:noWrap/>
            <w:vAlign w:val="bottom"/>
            <w:hideMark/>
          </w:tcPr>
          <w:p w14:paraId="66E99149"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6,90</w:t>
            </w:r>
            <w:r w:rsidRPr="00F704B6">
              <w:rPr>
                <w:rFonts w:ascii="Calibri" w:hAnsi="Calibri" w:cs="Calibri"/>
                <w:color w:val="000000"/>
                <w:sz w:val="16"/>
                <w:szCs w:val="16"/>
                <w:vertAlign w:val="superscript"/>
                <w:lang w:val="es-CO" w:eastAsia="es-CO"/>
              </w:rPr>
              <w:t>g</w:t>
            </w:r>
            <w:r w:rsidRPr="00F704B6">
              <w:rPr>
                <w:rFonts w:ascii="Calibri" w:hAnsi="Calibri" w:cs="Calibri"/>
                <w:color w:val="000000"/>
                <w:sz w:val="16"/>
                <w:szCs w:val="16"/>
                <w:lang w:val="es-CO" w:eastAsia="es-CO"/>
              </w:rPr>
              <w:t xml:space="preserve"> ±0,3</w:t>
            </w:r>
          </w:p>
        </w:tc>
      </w:tr>
      <w:tr w:rsidR="00F704B6" w:rsidRPr="007D5898" w14:paraId="71A0DA01" w14:textId="77777777" w:rsidTr="00F704B6">
        <w:trPr>
          <w:trHeight w:val="289"/>
          <w:jc w:val="center"/>
        </w:trPr>
        <w:tc>
          <w:tcPr>
            <w:tcW w:w="1118" w:type="dxa"/>
            <w:shd w:val="clear" w:color="auto" w:fill="FFFFFF"/>
            <w:vAlign w:val="bottom"/>
            <w:hideMark/>
          </w:tcPr>
          <w:p w14:paraId="558C9425"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T10</w:t>
            </w:r>
          </w:p>
        </w:tc>
        <w:tc>
          <w:tcPr>
            <w:tcW w:w="1075" w:type="dxa"/>
            <w:shd w:val="clear" w:color="auto" w:fill="FFFFFF"/>
            <w:noWrap/>
            <w:vAlign w:val="bottom"/>
            <w:hideMark/>
          </w:tcPr>
          <w:p w14:paraId="0D1C2E01"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225,84</w:t>
            </w:r>
            <w:r w:rsidRPr="00F704B6">
              <w:rPr>
                <w:rFonts w:ascii="Calibri" w:hAnsi="Calibri" w:cs="Calibri"/>
                <w:color w:val="000000"/>
                <w:sz w:val="16"/>
                <w:szCs w:val="16"/>
                <w:vertAlign w:val="superscript"/>
                <w:lang w:val="es-CO" w:eastAsia="es-CO"/>
              </w:rPr>
              <w:t>j</w:t>
            </w:r>
            <w:r w:rsidRPr="00F704B6">
              <w:rPr>
                <w:rFonts w:ascii="Calibri" w:hAnsi="Calibri" w:cs="Calibri"/>
                <w:color w:val="000000"/>
                <w:sz w:val="16"/>
                <w:szCs w:val="16"/>
                <w:lang w:val="es-CO" w:eastAsia="es-CO"/>
              </w:rPr>
              <w:t xml:space="preserve"> ±0,02</w:t>
            </w:r>
          </w:p>
        </w:tc>
        <w:tc>
          <w:tcPr>
            <w:tcW w:w="1276" w:type="dxa"/>
            <w:shd w:val="clear" w:color="auto" w:fill="FFFFFF"/>
            <w:noWrap/>
            <w:vAlign w:val="bottom"/>
            <w:hideMark/>
          </w:tcPr>
          <w:p w14:paraId="0D1D98AF"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82,07</w:t>
            </w:r>
            <w:r w:rsidRPr="00F704B6">
              <w:rPr>
                <w:rFonts w:ascii="Calibri" w:hAnsi="Calibri" w:cs="Calibri"/>
                <w:color w:val="000000"/>
                <w:sz w:val="16"/>
                <w:szCs w:val="16"/>
                <w:vertAlign w:val="superscript"/>
                <w:lang w:val="es-CO" w:eastAsia="es-CO"/>
              </w:rPr>
              <w:t>g</w:t>
            </w:r>
            <w:r w:rsidRPr="00F704B6">
              <w:rPr>
                <w:rFonts w:ascii="Calibri" w:hAnsi="Calibri" w:cs="Calibri"/>
                <w:color w:val="000000"/>
                <w:sz w:val="16"/>
                <w:szCs w:val="16"/>
                <w:lang w:val="es-CO" w:eastAsia="es-CO"/>
              </w:rPr>
              <w:t xml:space="preserve"> ±0,01</w:t>
            </w:r>
          </w:p>
        </w:tc>
        <w:tc>
          <w:tcPr>
            <w:tcW w:w="1134" w:type="dxa"/>
            <w:shd w:val="clear" w:color="auto" w:fill="FFFFFF"/>
            <w:noWrap/>
            <w:vAlign w:val="bottom"/>
            <w:hideMark/>
          </w:tcPr>
          <w:p w14:paraId="43772D84"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143,77</w:t>
            </w:r>
            <w:r w:rsidRPr="00F704B6">
              <w:rPr>
                <w:rFonts w:ascii="Calibri" w:hAnsi="Calibri" w:cs="Calibri"/>
                <w:color w:val="000000"/>
                <w:sz w:val="16"/>
                <w:szCs w:val="16"/>
                <w:vertAlign w:val="superscript"/>
                <w:lang w:val="es-CO" w:eastAsia="es-CO"/>
              </w:rPr>
              <w:t>h</w:t>
            </w:r>
            <w:r w:rsidRPr="00F704B6">
              <w:rPr>
                <w:rFonts w:ascii="Calibri" w:hAnsi="Calibri" w:cs="Calibri"/>
                <w:color w:val="000000"/>
                <w:sz w:val="16"/>
                <w:szCs w:val="16"/>
                <w:lang w:val="es-CO" w:eastAsia="es-CO"/>
              </w:rPr>
              <w:t xml:space="preserve"> ±0,01</w:t>
            </w:r>
          </w:p>
        </w:tc>
        <w:tc>
          <w:tcPr>
            <w:tcW w:w="1134" w:type="dxa"/>
            <w:shd w:val="clear" w:color="auto" w:fill="FFFFFF"/>
            <w:noWrap/>
            <w:vAlign w:val="bottom"/>
            <w:hideMark/>
          </w:tcPr>
          <w:p w14:paraId="4E1A06C8"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12,00</w:t>
            </w:r>
            <w:r w:rsidRPr="00F704B6">
              <w:rPr>
                <w:rFonts w:ascii="Calibri" w:hAnsi="Calibri" w:cs="Calibri"/>
                <w:color w:val="000000"/>
                <w:sz w:val="16"/>
                <w:szCs w:val="16"/>
                <w:vertAlign w:val="superscript"/>
                <w:lang w:val="es-CO" w:eastAsia="es-CO"/>
              </w:rPr>
              <w:t>de</w:t>
            </w:r>
            <w:r w:rsidRPr="00F704B6">
              <w:rPr>
                <w:rFonts w:ascii="Calibri" w:hAnsi="Calibri" w:cs="Calibri"/>
                <w:color w:val="000000"/>
                <w:sz w:val="16"/>
                <w:szCs w:val="16"/>
                <w:lang w:val="es-CO" w:eastAsia="es-CO"/>
              </w:rPr>
              <w:t xml:space="preserve"> ±0,8</w:t>
            </w:r>
          </w:p>
        </w:tc>
        <w:tc>
          <w:tcPr>
            <w:tcW w:w="1209" w:type="dxa"/>
            <w:shd w:val="clear" w:color="auto" w:fill="FFFFFF"/>
            <w:noWrap/>
            <w:vAlign w:val="bottom"/>
            <w:hideMark/>
          </w:tcPr>
          <w:p w14:paraId="5782FABA"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9,03</w:t>
            </w:r>
            <w:r w:rsidRPr="00F704B6">
              <w:rPr>
                <w:rFonts w:ascii="Calibri" w:hAnsi="Calibri" w:cs="Calibri"/>
                <w:color w:val="000000"/>
                <w:sz w:val="16"/>
                <w:szCs w:val="16"/>
                <w:vertAlign w:val="superscript"/>
                <w:lang w:val="es-CO" w:eastAsia="es-CO"/>
              </w:rPr>
              <w:t>i</w:t>
            </w:r>
            <w:r w:rsidRPr="00F704B6">
              <w:rPr>
                <w:rFonts w:ascii="Calibri" w:hAnsi="Calibri" w:cs="Calibri"/>
                <w:color w:val="000000"/>
                <w:sz w:val="16"/>
                <w:szCs w:val="16"/>
                <w:lang w:val="es-CO" w:eastAsia="es-CO"/>
              </w:rPr>
              <w:t xml:space="preserve"> ±0,1</w:t>
            </w:r>
          </w:p>
        </w:tc>
      </w:tr>
      <w:tr w:rsidR="00F704B6" w:rsidRPr="007D5898" w14:paraId="587DF5A1" w14:textId="77777777" w:rsidTr="00F704B6">
        <w:trPr>
          <w:trHeight w:val="289"/>
          <w:jc w:val="center"/>
        </w:trPr>
        <w:tc>
          <w:tcPr>
            <w:tcW w:w="1118" w:type="dxa"/>
            <w:shd w:val="clear" w:color="auto" w:fill="FFFFFF"/>
            <w:vAlign w:val="bottom"/>
            <w:hideMark/>
          </w:tcPr>
          <w:p w14:paraId="42D85678"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T11</w:t>
            </w:r>
          </w:p>
        </w:tc>
        <w:tc>
          <w:tcPr>
            <w:tcW w:w="1075" w:type="dxa"/>
            <w:shd w:val="clear" w:color="auto" w:fill="FFFFFF"/>
            <w:noWrap/>
            <w:vAlign w:val="bottom"/>
            <w:hideMark/>
          </w:tcPr>
          <w:p w14:paraId="007A080C"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297,80</w:t>
            </w:r>
            <w:r w:rsidRPr="00F704B6">
              <w:rPr>
                <w:rFonts w:ascii="Calibri" w:hAnsi="Calibri" w:cs="Calibri"/>
                <w:color w:val="000000"/>
                <w:sz w:val="16"/>
                <w:szCs w:val="16"/>
                <w:vertAlign w:val="superscript"/>
                <w:lang w:val="es-CO" w:eastAsia="es-CO"/>
              </w:rPr>
              <w:t>k</w:t>
            </w:r>
            <w:r w:rsidRPr="00F704B6">
              <w:rPr>
                <w:rFonts w:ascii="Calibri" w:hAnsi="Calibri" w:cs="Calibri"/>
                <w:color w:val="000000"/>
                <w:sz w:val="16"/>
                <w:szCs w:val="16"/>
                <w:lang w:val="es-CO" w:eastAsia="es-CO"/>
              </w:rPr>
              <w:t xml:space="preserve"> ±0,03</w:t>
            </w:r>
          </w:p>
        </w:tc>
        <w:tc>
          <w:tcPr>
            <w:tcW w:w="1276" w:type="dxa"/>
            <w:shd w:val="clear" w:color="auto" w:fill="FFFFFF"/>
            <w:noWrap/>
            <w:vAlign w:val="bottom"/>
            <w:hideMark/>
          </w:tcPr>
          <w:p w14:paraId="64936EA7"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127,23</w:t>
            </w:r>
            <w:r w:rsidRPr="00F704B6">
              <w:rPr>
                <w:rFonts w:ascii="Calibri" w:hAnsi="Calibri" w:cs="Calibri"/>
                <w:color w:val="000000"/>
                <w:sz w:val="16"/>
                <w:szCs w:val="16"/>
                <w:vertAlign w:val="superscript"/>
                <w:lang w:val="es-CO" w:eastAsia="es-CO"/>
              </w:rPr>
              <w:t>h</w:t>
            </w:r>
            <w:r w:rsidRPr="00F704B6">
              <w:rPr>
                <w:rFonts w:ascii="Calibri" w:hAnsi="Calibri" w:cs="Calibri"/>
                <w:color w:val="000000"/>
                <w:sz w:val="16"/>
                <w:szCs w:val="16"/>
                <w:lang w:val="es-CO" w:eastAsia="es-CO"/>
              </w:rPr>
              <w:t xml:space="preserve"> ±0,02</w:t>
            </w:r>
          </w:p>
        </w:tc>
        <w:tc>
          <w:tcPr>
            <w:tcW w:w="1134" w:type="dxa"/>
            <w:shd w:val="clear" w:color="auto" w:fill="FFFFFF"/>
            <w:noWrap/>
            <w:vAlign w:val="bottom"/>
            <w:hideMark/>
          </w:tcPr>
          <w:p w14:paraId="0708E2A6"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170,58</w:t>
            </w:r>
            <w:r w:rsidRPr="00F704B6">
              <w:rPr>
                <w:rFonts w:ascii="Calibri" w:hAnsi="Calibri" w:cs="Calibri"/>
                <w:color w:val="000000"/>
                <w:sz w:val="16"/>
                <w:szCs w:val="16"/>
                <w:vertAlign w:val="superscript"/>
                <w:lang w:val="es-CO" w:eastAsia="es-CO"/>
              </w:rPr>
              <w:t>i</w:t>
            </w:r>
            <w:r w:rsidRPr="00F704B6">
              <w:rPr>
                <w:rFonts w:ascii="Calibri" w:hAnsi="Calibri" w:cs="Calibri"/>
                <w:color w:val="000000"/>
                <w:sz w:val="16"/>
                <w:szCs w:val="16"/>
                <w:lang w:val="es-CO" w:eastAsia="es-CO"/>
              </w:rPr>
              <w:t xml:space="preserve"> ±0,02</w:t>
            </w:r>
          </w:p>
        </w:tc>
        <w:tc>
          <w:tcPr>
            <w:tcW w:w="1134" w:type="dxa"/>
            <w:shd w:val="clear" w:color="auto" w:fill="FFFFFF"/>
            <w:noWrap/>
            <w:vAlign w:val="bottom"/>
            <w:hideMark/>
          </w:tcPr>
          <w:p w14:paraId="7AEBC169"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12,23</w:t>
            </w:r>
            <w:r w:rsidRPr="00F704B6">
              <w:rPr>
                <w:rFonts w:ascii="Calibri" w:hAnsi="Calibri" w:cs="Calibri"/>
                <w:color w:val="000000"/>
                <w:sz w:val="16"/>
                <w:szCs w:val="16"/>
                <w:vertAlign w:val="superscript"/>
                <w:lang w:val="es-CO" w:eastAsia="es-CO"/>
              </w:rPr>
              <w:t>de</w:t>
            </w:r>
            <w:r w:rsidRPr="00F704B6">
              <w:rPr>
                <w:rFonts w:ascii="Calibri" w:hAnsi="Calibri" w:cs="Calibri"/>
                <w:color w:val="000000"/>
                <w:sz w:val="16"/>
                <w:szCs w:val="16"/>
                <w:lang w:val="es-CO" w:eastAsia="es-CO"/>
              </w:rPr>
              <w:t xml:space="preserve"> ±0,9</w:t>
            </w:r>
          </w:p>
        </w:tc>
        <w:tc>
          <w:tcPr>
            <w:tcW w:w="1209" w:type="dxa"/>
            <w:shd w:val="clear" w:color="auto" w:fill="FFFFFF"/>
            <w:noWrap/>
            <w:vAlign w:val="bottom"/>
            <w:hideMark/>
          </w:tcPr>
          <w:p w14:paraId="4167C172"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11,91</w:t>
            </w:r>
            <w:r w:rsidRPr="00F704B6">
              <w:rPr>
                <w:rFonts w:ascii="Calibri" w:hAnsi="Calibri" w:cs="Calibri"/>
                <w:color w:val="000000"/>
                <w:sz w:val="16"/>
                <w:szCs w:val="16"/>
                <w:vertAlign w:val="superscript"/>
                <w:lang w:val="es-CO" w:eastAsia="es-CO"/>
              </w:rPr>
              <w:t>j</w:t>
            </w:r>
            <w:r w:rsidRPr="00F704B6">
              <w:rPr>
                <w:rFonts w:ascii="Calibri" w:hAnsi="Calibri" w:cs="Calibri"/>
                <w:color w:val="000000"/>
                <w:sz w:val="16"/>
                <w:szCs w:val="16"/>
                <w:lang w:val="es-CO" w:eastAsia="es-CO"/>
              </w:rPr>
              <w:t xml:space="preserve"> ±0,1</w:t>
            </w:r>
          </w:p>
        </w:tc>
      </w:tr>
      <w:tr w:rsidR="00F704B6" w:rsidRPr="007D5898" w14:paraId="16670262" w14:textId="77777777" w:rsidTr="00F704B6">
        <w:trPr>
          <w:trHeight w:val="289"/>
          <w:jc w:val="center"/>
        </w:trPr>
        <w:tc>
          <w:tcPr>
            <w:tcW w:w="1118" w:type="dxa"/>
            <w:tcBorders>
              <w:bottom w:val="single" w:sz="24" w:space="0" w:color="76923C" w:themeColor="accent3" w:themeShade="BF"/>
            </w:tcBorders>
            <w:shd w:val="clear" w:color="auto" w:fill="FFFFFF"/>
            <w:vAlign w:val="bottom"/>
            <w:hideMark/>
          </w:tcPr>
          <w:p w14:paraId="734511A7" w14:textId="77777777" w:rsidR="00F704B6" w:rsidRPr="007D5898" w:rsidRDefault="00F704B6" w:rsidP="009A5AD6">
            <w:pPr>
              <w:spacing w:line="240" w:lineRule="auto"/>
              <w:jc w:val="left"/>
              <w:rPr>
                <w:color w:val="000000"/>
                <w:szCs w:val="18"/>
                <w:lang w:val="es-CO" w:eastAsia="es-CO"/>
              </w:rPr>
            </w:pPr>
            <w:r w:rsidRPr="007D5898">
              <w:rPr>
                <w:color w:val="000000"/>
                <w:szCs w:val="18"/>
                <w:lang w:val="es-CO" w:eastAsia="es-CO"/>
              </w:rPr>
              <w:t>T12</w:t>
            </w:r>
          </w:p>
        </w:tc>
        <w:tc>
          <w:tcPr>
            <w:tcW w:w="1075" w:type="dxa"/>
            <w:tcBorders>
              <w:bottom w:val="single" w:sz="24" w:space="0" w:color="76923C" w:themeColor="accent3" w:themeShade="BF"/>
            </w:tcBorders>
            <w:shd w:val="clear" w:color="auto" w:fill="FFFFFF"/>
            <w:noWrap/>
            <w:vAlign w:val="bottom"/>
            <w:hideMark/>
          </w:tcPr>
          <w:p w14:paraId="3BC330A6"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440,95</w:t>
            </w:r>
            <w:r w:rsidRPr="00F704B6">
              <w:rPr>
                <w:rFonts w:ascii="Calibri" w:hAnsi="Calibri" w:cs="Calibri"/>
                <w:color w:val="000000"/>
                <w:sz w:val="16"/>
                <w:szCs w:val="16"/>
                <w:vertAlign w:val="superscript"/>
                <w:lang w:val="es-CO" w:eastAsia="es-CO"/>
              </w:rPr>
              <w:t>l</w:t>
            </w:r>
            <w:r w:rsidRPr="00F704B6">
              <w:rPr>
                <w:rFonts w:ascii="Calibri" w:hAnsi="Calibri" w:cs="Calibri"/>
                <w:color w:val="000000"/>
                <w:sz w:val="16"/>
                <w:szCs w:val="16"/>
                <w:lang w:val="es-CO" w:eastAsia="es-CO"/>
              </w:rPr>
              <w:t xml:space="preserve"> ±0,06</w:t>
            </w:r>
          </w:p>
        </w:tc>
        <w:tc>
          <w:tcPr>
            <w:tcW w:w="1276" w:type="dxa"/>
            <w:tcBorders>
              <w:bottom w:val="single" w:sz="24" w:space="0" w:color="76923C" w:themeColor="accent3" w:themeShade="BF"/>
            </w:tcBorders>
            <w:shd w:val="clear" w:color="auto" w:fill="FFFFFF"/>
            <w:noWrap/>
            <w:vAlign w:val="bottom"/>
            <w:hideMark/>
          </w:tcPr>
          <w:p w14:paraId="4A2E293F"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242,10</w:t>
            </w:r>
            <w:r w:rsidRPr="00F704B6">
              <w:rPr>
                <w:rFonts w:ascii="Calibri" w:hAnsi="Calibri" w:cs="Calibri"/>
                <w:color w:val="000000"/>
                <w:sz w:val="16"/>
                <w:szCs w:val="16"/>
                <w:vertAlign w:val="superscript"/>
                <w:lang w:val="es-CO" w:eastAsia="es-CO"/>
              </w:rPr>
              <w:t>i</w:t>
            </w:r>
            <w:r w:rsidRPr="00F704B6">
              <w:rPr>
                <w:rFonts w:ascii="Calibri" w:hAnsi="Calibri" w:cs="Calibri"/>
                <w:color w:val="000000"/>
                <w:sz w:val="16"/>
                <w:szCs w:val="16"/>
                <w:lang w:val="es-CO" w:eastAsia="es-CO"/>
              </w:rPr>
              <w:t xml:space="preserve"> ±0,03</w:t>
            </w:r>
          </w:p>
        </w:tc>
        <w:tc>
          <w:tcPr>
            <w:tcW w:w="1134" w:type="dxa"/>
            <w:tcBorders>
              <w:bottom w:val="single" w:sz="24" w:space="0" w:color="76923C" w:themeColor="accent3" w:themeShade="BF"/>
            </w:tcBorders>
            <w:shd w:val="clear" w:color="auto" w:fill="FFFFFF"/>
            <w:noWrap/>
            <w:vAlign w:val="bottom"/>
            <w:hideMark/>
          </w:tcPr>
          <w:p w14:paraId="67F120AA"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198,84</w:t>
            </w:r>
            <w:r w:rsidRPr="00F704B6">
              <w:rPr>
                <w:rFonts w:ascii="Calibri" w:hAnsi="Calibri" w:cs="Calibri"/>
                <w:color w:val="000000"/>
                <w:sz w:val="16"/>
                <w:szCs w:val="16"/>
                <w:vertAlign w:val="superscript"/>
                <w:lang w:val="es-CO" w:eastAsia="es-CO"/>
              </w:rPr>
              <w:t>j</w:t>
            </w:r>
            <w:r w:rsidRPr="00F704B6">
              <w:rPr>
                <w:rFonts w:ascii="Calibri" w:hAnsi="Calibri" w:cs="Calibri"/>
                <w:color w:val="000000"/>
                <w:sz w:val="16"/>
                <w:szCs w:val="16"/>
                <w:lang w:val="es-CO" w:eastAsia="es-CO"/>
              </w:rPr>
              <w:t xml:space="preserve"> ±0,07</w:t>
            </w:r>
          </w:p>
        </w:tc>
        <w:tc>
          <w:tcPr>
            <w:tcW w:w="1134" w:type="dxa"/>
            <w:tcBorders>
              <w:bottom w:val="single" w:sz="24" w:space="0" w:color="76923C" w:themeColor="accent3" w:themeShade="BF"/>
            </w:tcBorders>
            <w:shd w:val="clear" w:color="auto" w:fill="FFFFFF"/>
            <w:noWrap/>
            <w:vAlign w:val="bottom"/>
            <w:hideMark/>
          </w:tcPr>
          <w:p w14:paraId="287EFE3D"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12,47</w:t>
            </w:r>
            <w:r w:rsidRPr="00F704B6">
              <w:rPr>
                <w:rFonts w:ascii="Calibri" w:hAnsi="Calibri" w:cs="Calibri"/>
                <w:color w:val="000000"/>
                <w:sz w:val="16"/>
                <w:szCs w:val="16"/>
                <w:vertAlign w:val="superscript"/>
                <w:lang w:val="es-CO" w:eastAsia="es-CO"/>
              </w:rPr>
              <w:t>bcd</w:t>
            </w:r>
            <w:r w:rsidRPr="00F704B6">
              <w:rPr>
                <w:rFonts w:ascii="Calibri" w:hAnsi="Calibri" w:cs="Calibri"/>
                <w:color w:val="000000"/>
                <w:sz w:val="16"/>
                <w:szCs w:val="16"/>
                <w:lang w:val="es-CO" w:eastAsia="es-CO"/>
              </w:rPr>
              <w:t xml:space="preserve"> ±0,9</w:t>
            </w:r>
          </w:p>
        </w:tc>
        <w:tc>
          <w:tcPr>
            <w:tcW w:w="1209" w:type="dxa"/>
            <w:tcBorders>
              <w:bottom w:val="single" w:sz="24" w:space="0" w:color="76923C" w:themeColor="accent3" w:themeShade="BF"/>
            </w:tcBorders>
            <w:shd w:val="clear" w:color="auto" w:fill="FFFFFF"/>
            <w:noWrap/>
            <w:vAlign w:val="bottom"/>
            <w:hideMark/>
          </w:tcPr>
          <w:p w14:paraId="2AEC33E4" w14:textId="77777777" w:rsidR="00F704B6" w:rsidRPr="00F704B6" w:rsidRDefault="00F704B6" w:rsidP="009A5AD6">
            <w:pPr>
              <w:spacing w:line="240" w:lineRule="auto"/>
              <w:jc w:val="right"/>
              <w:rPr>
                <w:rFonts w:ascii="Calibri" w:hAnsi="Calibri" w:cs="Calibri"/>
                <w:color w:val="000000"/>
                <w:sz w:val="16"/>
                <w:szCs w:val="16"/>
                <w:lang w:val="es-CO" w:eastAsia="es-CO"/>
              </w:rPr>
            </w:pPr>
            <w:r w:rsidRPr="00F704B6">
              <w:rPr>
                <w:rFonts w:ascii="Calibri" w:hAnsi="Calibri" w:cs="Calibri"/>
                <w:color w:val="000000"/>
                <w:sz w:val="16"/>
                <w:szCs w:val="16"/>
                <w:lang w:val="es-CO" w:eastAsia="es-CO"/>
              </w:rPr>
              <w:t>17,64</w:t>
            </w:r>
            <w:r w:rsidRPr="00F704B6">
              <w:rPr>
                <w:rFonts w:ascii="Calibri" w:hAnsi="Calibri" w:cs="Calibri"/>
                <w:color w:val="000000"/>
                <w:sz w:val="16"/>
                <w:szCs w:val="16"/>
                <w:vertAlign w:val="superscript"/>
                <w:lang w:val="es-CO" w:eastAsia="es-CO"/>
              </w:rPr>
              <w:t>k</w:t>
            </w:r>
            <w:r w:rsidRPr="00F704B6">
              <w:rPr>
                <w:rFonts w:ascii="Calibri" w:hAnsi="Calibri" w:cs="Calibri"/>
                <w:color w:val="000000"/>
                <w:sz w:val="16"/>
                <w:szCs w:val="16"/>
                <w:lang w:val="es-CO" w:eastAsia="es-CO"/>
              </w:rPr>
              <w:t xml:space="preserve"> ±0,3</w:t>
            </w:r>
          </w:p>
        </w:tc>
      </w:tr>
    </w:tbl>
    <w:p w14:paraId="70826E62" w14:textId="77777777" w:rsidR="00F704B6" w:rsidRDefault="00F704B6" w:rsidP="00F704B6">
      <w:pPr>
        <w:pStyle w:val="CETHeading1"/>
        <w:numPr>
          <w:ilvl w:val="0"/>
          <w:numId w:val="0"/>
        </w:numPr>
        <w:spacing w:before="0"/>
        <w:rPr>
          <w:b w:val="0"/>
          <w:sz w:val="18"/>
          <w:lang w:val="en-GB"/>
        </w:rPr>
      </w:pPr>
      <w:r w:rsidRPr="00F704B6">
        <w:rPr>
          <w:b w:val="0"/>
          <w:sz w:val="18"/>
          <w:lang w:val="en-GB"/>
        </w:rPr>
        <w:t>(Equal letters no significant difference, different letters significant difference. Significance level 0.05)</w:t>
      </w:r>
    </w:p>
    <w:p w14:paraId="436B263D" w14:textId="77777777" w:rsidR="00F704B6" w:rsidRDefault="00F704B6" w:rsidP="00561A86">
      <w:pPr>
        <w:pStyle w:val="CETHeading1"/>
        <w:numPr>
          <w:ilvl w:val="0"/>
          <w:numId w:val="0"/>
        </w:numPr>
        <w:spacing w:before="0"/>
        <w:jc w:val="both"/>
        <w:rPr>
          <w:b w:val="0"/>
          <w:sz w:val="18"/>
          <w:lang w:val="en-GB"/>
        </w:rPr>
      </w:pPr>
      <w:r w:rsidRPr="00F704B6">
        <w:rPr>
          <w:b w:val="0"/>
          <w:sz w:val="18"/>
          <w:lang w:val="en-GB"/>
        </w:rPr>
        <w:t>The yield results are closely related to the development of the photosynthetic apparatus, as shown in Figures 1 to 3. In the case of photosynthetic pigment synthesis, a significant stimulus was found with respect to the control, which could translate into greater efficiency in the development of photosynthesis and be one of the determining factors in crop yield.</w:t>
      </w:r>
    </w:p>
    <w:p w14:paraId="68D26B83" w14:textId="56D1A31B" w:rsidR="00600535" w:rsidRPr="00F704B6" w:rsidRDefault="00600535" w:rsidP="00F704B6">
      <w:pPr>
        <w:pStyle w:val="CETHeading1"/>
        <w:numPr>
          <w:ilvl w:val="0"/>
          <w:numId w:val="0"/>
        </w:numPr>
        <w:spacing w:before="0"/>
        <w:rPr>
          <w:b w:val="0"/>
          <w:sz w:val="18"/>
          <w:lang w:val="en-GB"/>
        </w:rPr>
      </w:pPr>
      <w:r w:rsidRPr="00B57B36">
        <w:rPr>
          <w:lang w:val="en-GB"/>
        </w:rPr>
        <w:t>Conclusions</w:t>
      </w:r>
    </w:p>
    <w:p w14:paraId="4F0C0BC5" w14:textId="77777777" w:rsidR="00F704B6" w:rsidRDefault="00F704B6" w:rsidP="00F704B6">
      <w:pPr>
        <w:pStyle w:val="CETBodytext"/>
      </w:pPr>
      <w:r>
        <w:t xml:space="preserve">Regarding the synthesis of photosynthetic pigments (chlorophylls A, B and total) analyzed in two moments in plants of </w:t>
      </w:r>
      <w:r w:rsidRPr="00746E13">
        <w:rPr>
          <w:i/>
          <w:iCs/>
        </w:rPr>
        <w:t xml:space="preserve">Zea mays </w:t>
      </w:r>
      <w:r>
        <w:t>L. var Porva subjected to induced electromagnetic fields and comparing these results with control plants, showing a significant stimulation evidenced through the content of these.</w:t>
      </w:r>
    </w:p>
    <w:p w14:paraId="6319B2BC" w14:textId="06F549D8" w:rsidR="00FD4C91" w:rsidRDefault="00F704B6" w:rsidP="00F704B6">
      <w:pPr>
        <w:pStyle w:val="CETBodytext"/>
      </w:pPr>
      <w:r>
        <w:t>The results show a higher growth rate with EMF stimulation, both of the root system and the aerial part of the plants treated with electromagnetic fields, keeping a close relationship with the development of the photosynthetic apparatus, the consequent production of biomass and its destination (accumulation, maintenance or use in the formation of new structures) for T8 (70 µT with permanent exposure for 15 days), as well as contributing positively to the reduction of the carbon footprint generated by agricultural processes.</w:t>
      </w:r>
    </w:p>
    <w:p w14:paraId="0B1E935A" w14:textId="725ACC52" w:rsidR="009C5BD5" w:rsidRDefault="009C5BD5" w:rsidP="00F704B6">
      <w:pPr>
        <w:pStyle w:val="CETBodytext"/>
        <w:rPr>
          <w:lang w:val="en-GB"/>
        </w:rPr>
      </w:pPr>
      <w:r w:rsidRPr="009C5BD5">
        <w:rPr>
          <w:lang w:val="en-GB"/>
        </w:rPr>
        <w:t>The scientific relevance of this work lies in the significant stimulation of photosynthetic pigment synthesis in plants treated with electromagnetic fields, which is reflected in higher biomass production per unit area and lower agro-input consumption</w:t>
      </w:r>
      <w:bookmarkStart w:id="0" w:name="_GoBack"/>
      <w:bookmarkEnd w:id="0"/>
    </w:p>
    <w:p w14:paraId="07A6D20F" w14:textId="6DD545F3" w:rsidR="00280FAF" w:rsidRPr="00280FAF" w:rsidRDefault="00280FAF" w:rsidP="00746E13">
      <w:pPr>
        <w:pStyle w:val="CETHeadingxx"/>
        <w:spacing w:after="0"/>
        <w:rPr>
          <w:lang w:val="en-GB"/>
        </w:rPr>
        <w:sectPr w:rsidR="00280FAF" w:rsidRPr="00280FAF" w:rsidSect="007D0951">
          <w:type w:val="continuous"/>
          <w:pgSz w:w="11906" w:h="16838" w:code="9"/>
          <w:pgMar w:top="1701" w:right="1418" w:bottom="1701" w:left="1701" w:header="1701" w:footer="0" w:gutter="0"/>
          <w:cols w:space="708"/>
          <w:formProt w:val="0"/>
          <w:titlePg/>
          <w:docGrid w:linePitch="360"/>
        </w:sectPr>
      </w:pPr>
      <w:r>
        <w:t>Nomenclature</w:t>
      </w:r>
    </w:p>
    <w:p w14:paraId="2D83C32A" w14:textId="55354F78" w:rsidR="00F704B6" w:rsidRPr="00F704B6" w:rsidRDefault="00F704B6" w:rsidP="00F704B6">
      <w:pPr>
        <w:pStyle w:val="CETBodytext"/>
        <w:jc w:val="left"/>
        <w:rPr>
          <w:rFonts w:eastAsia="SimSun"/>
        </w:rPr>
      </w:pPr>
      <w:r w:rsidRPr="00F704B6">
        <w:rPr>
          <w:rFonts w:eastAsia="SimSun"/>
        </w:rPr>
        <w:t>T1</w:t>
      </w:r>
      <w:r w:rsidR="00746E13">
        <w:rPr>
          <w:rFonts w:eastAsia="SimSun"/>
        </w:rPr>
        <w:t xml:space="preserve">  </w:t>
      </w:r>
      <w:r w:rsidRPr="00F704B6">
        <w:rPr>
          <w:rFonts w:eastAsia="SimSun"/>
        </w:rPr>
        <w:t xml:space="preserve"> - Field strength 23 µT for 60' for 15 days </w:t>
      </w:r>
    </w:p>
    <w:p w14:paraId="32E2E5B2" w14:textId="55B9F4EE" w:rsidR="00F704B6" w:rsidRPr="00F704B6" w:rsidRDefault="00F704B6" w:rsidP="00F704B6">
      <w:pPr>
        <w:pStyle w:val="CETBodytext"/>
        <w:jc w:val="left"/>
        <w:rPr>
          <w:rFonts w:eastAsia="SimSun"/>
        </w:rPr>
      </w:pPr>
      <w:r w:rsidRPr="00F704B6">
        <w:rPr>
          <w:rFonts w:eastAsia="SimSun"/>
        </w:rPr>
        <w:t>T2</w:t>
      </w:r>
      <w:r w:rsidR="00746E13">
        <w:rPr>
          <w:rFonts w:eastAsia="SimSun"/>
        </w:rPr>
        <w:t xml:space="preserve">  </w:t>
      </w:r>
      <w:r w:rsidRPr="00F704B6">
        <w:rPr>
          <w:rFonts w:eastAsia="SimSun"/>
        </w:rPr>
        <w:t xml:space="preserve"> - Field strength 23 µT for 180' for 15 days </w:t>
      </w:r>
    </w:p>
    <w:p w14:paraId="4592A36C" w14:textId="03B7F142" w:rsidR="00F704B6" w:rsidRPr="00F704B6" w:rsidRDefault="00F704B6" w:rsidP="00F704B6">
      <w:pPr>
        <w:pStyle w:val="CETBodytext"/>
        <w:jc w:val="left"/>
        <w:rPr>
          <w:rFonts w:eastAsia="SimSun"/>
        </w:rPr>
      </w:pPr>
      <w:r w:rsidRPr="00F704B6">
        <w:rPr>
          <w:rFonts w:eastAsia="SimSun"/>
        </w:rPr>
        <w:t>T3</w:t>
      </w:r>
      <w:r w:rsidR="00746E13">
        <w:rPr>
          <w:rFonts w:eastAsia="SimSun"/>
        </w:rPr>
        <w:t xml:space="preserve">  </w:t>
      </w:r>
      <w:r w:rsidRPr="00F704B6">
        <w:rPr>
          <w:rFonts w:eastAsia="SimSun"/>
        </w:rPr>
        <w:t xml:space="preserve"> - Field strength 23 µT for 300' for 15 days </w:t>
      </w:r>
    </w:p>
    <w:p w14:paraId="25944432" w14:textId="16EB31DF" w:rsidR="00F704B6" w:rsidRPr="00F704B6" w:rsidRDefault="00F704B6" w:rsidP="00F704B6">
      <w:pPr>
        <w:pStyle w:val="CETBodytext"/>
        <w:jc w:val="left"/>
        <w:rPr>
          <w:rFonts w:eastAsia="SimSun"/>
        </w:rPr>
      </w:pPr>
      <w:r w:rsidRPr="00F704B6">
        <w:rPr>
          <w:rFonts w:eastAsia="SimSun"/>
        </w:rPr>
        <w:t>T4</w:t>
      </w:r>
      <w:r w:rsidR="00746E13">
        <w:rPr>
          <w:rFonts w:eastAsia="SimSun"/>
        </w:rPr>
        <w:t xml:space="preserve">  </w:t>
      </w:r>
      <w:r w:rsidRPr="00F704B6">
        <w:rPr>
          <w:rFonts w:eastAsia="SimSun"/>
        </w:rPr>
        <w:t xml:space="preserve"> - Permanent 23 µT Field strength for 15 days </w:t>
      </w:r>
    </w:p>
    <w:p w14:paraId="44090376" w14:textId="4D8C0510" w:rsidR="00F704B6" w:rsidRPr="00F704B6" w:rsidRDefault="00F704B6" w:rsidP="00F704B6">
      <w:pPr>
        <w:pStyle w:val="CETBodytext"/>
        <w:jc w:val="left"/>
        <w:rPr>
          <w:rFonts w:eastAsia="SimSun"/>
        </w:rPr>
      </w:pPr>
      <w:r w:rsidRPr="00F704B6">
        <w:rPr>
          <w:rFonts w:eastAsia="SimSun"/>
        </w:rPr>
        <w:t xml:space="preserve">T5 </w:t>
      </w:r>
      <w:r w:rsidR="00746E13">
        <w:rPr>
          <w:rFonts w:eastAsia="SimSun"/>
        </w:rPr>
        <w:t xml:space="preserve">  </w:t>
      </w:r>
      <w:r w:rsidRPr="00F704B6">
        <w:rPr>
          <w:rFonts w:eastAsia="SimSun"/>
        </w:rPr>
        <w:t xml:space="preserve">- 70 µT Field strength for 60' for 15 days </w:t>
      </w:r>
    </w:p>
    <w:p w14:paraId="28D6A2C8" w14:textId="3E78E092" w:rsidR="00F704B6" w:rsidRPr="00F704B6" w:rsidRDefault="00F704B6" w:rsidP="00F704B6">
      <w:pPr>
        <w:pStyle w:val="CETBodytext"/>
        <w:jc w:val="left"/>
        <w:rPr>
          <w:rFonts w:eastAsia="SimSun"/>
        </w:rPr>
      </w:pPr>
      <w:r w:rsidRPr="00F704B6">
        <w:rPr>
          <w:rFonts w:eastAsia="SimSun"/>
        </w:rPr>
        <w:t xml:space="preserve">T6 </w:t>
      </w:r>
      <w:r w:rsidR="00746E13">
        <w:rPr>
          <w:rFonts w:eastAsia="SimSun"/>
        </w:rPr>
        <w:t xml:space="preserve">  </w:t>
      </w:r>
      <w:r w:rsidRPr="00F704B6">
        <w:rPr>
          <w:rFonts w:eastAsia="SimSun"/>
        </w:rPr>
        <w:t xml:space="preserve">- Field strength 70 µT for 180' for 15 days </w:t>
      </w:r>
    </w:p>
    <w:p w14:paraId="4D2F8F1F" w14:textId="2075C19C" w:rsidR="00F704B6" w:rsidRPr="00F704B6" w:rsidRDefault="00F704B6" w:rsidP="00F704B6">
      <w:pPr>
        <w:pStyle w:val="CETBodytext"/>
        <w:jc w:val="left"/>
        <w:rPr>
          <w:rFonts w:eastAsia="SimSun"/>
        </w:rPr>
      </w:pPr>
      <w:r w:rsidRPr="00F704B6">
        <w:rPr>
          <w:rFonts w:eastAsia="SimSun"/>
        </w:rPr>
        <w:t>T7</w:t>
      </w:r>
      <w:r w:rsidR="00746E13">
        <w:rPr>
          <w:rFonts w:eastAsia="SimSun"/>
        </w:rPr>
        <w:t xml:space="preserve">  </w:t>
      </w:r>
      <w:r w:rsidRPr="00F704B6">
        <w:rPr>
          <w:rFonts w:eastAsia="SimSun"/>
        </w:rPr>
        <w:t xml:space="preserve"> - Field strength 70 µT for 300' for 15 days </w:t>
      </w:r>
    </w:p>
    <w:p w14:paraId="34928881" w14:textId="73BDFDD9" w:rsidR="00F704B6" w:rsidRPr="00F704B6" w:rsidRDefault="00F704B6" w:rsidP="00F704B6">
      <w:pPr>
        <w:pStyle w:val="CETBodytext"/>
        <w:jc w:val="left"/>
        <w:rPr>
          <w:rFonts w:eastAsia="SimSun"/>
        </w:rPr>
      </w:pPr>
      <w:r w:rsidRPr="00F704B6">
        <w:rPr>
          <w:rFonts w:eastAsia="SimSun"/>
        </w:rPr>
        <w:t>T8</w:t>
      </w:r>
      <w:r w:rsidR="00746E13">
        <w:rPr>
          <w:rFonts w:eastAsia="SimSun"/>
        </w:rPr>
        <w:t xml:space="preserve">  </w:t>
      </w:r>
      <w:r w:rsidRPr="00F704B6">
        <w:rPr>
          <w:rFonts w:eastAsia="SimSun"/>
        </w:rPr>
        <w:t xml:space="preserve"> - Field strength 70 µT permanent for 15 days </w:t>
      </w:r>
    </w:p>
    <w:p w14:paraId="748B9A72" w14:textId="6928445C" w:rsidR="00F704B6" w:rsidRPr="00F704B6" w:rsidRDefault="00F704B6" w:rsidP="00F704B6">
      <w:pPr>
        <w:pStyle w:val="CETBodytext"/>
        <w:jc w:val="left"/>
        <w:rPr>
          <w:rFonts w:eastAsia="SimSun"/>
        </w:rPr>
      </w:pPr>
      <w:r w:rsidRPr="00F704B6">
        <w:rPr>
          <w:rFonts w:eastAsia="SimSun"/>
        </w:rPr>
        <w:t>T9</w:t>
      </w:r>
      <w:r w:rsidR="00746E13">
        <w:rPr>
          <w:rFonts w:eastAsia="SimSun"/>
        </w:rPr>
        <w:t xml:space="preserve">  </w:t>
      </w:r>
      <w:r w:rsidRPr="00F704B6">
        <w:rPr>
          <w:rFonts w:eastAsia="SimSun"/>
        </w:rPr>
        <w:t xml:space="preserve"> - Field strength 118 µT for 60' for 15 days </w:t>
      </w:r>
    </w:p>
    <w:p w14:paraId="2AB10299" w14:textId="77777777" w:rsidR="00F704B6" w:rsidRPr="00F704B6" w:rsidRDefault="00F704B6" w:rsidP="00F704B6">
      <w:pPr>
        <w:pStyle w:val="CETBodytext"/>
        <w:jc w:val="left"/>
        <w:rPr>
          <w:rFonts w:eastAsia="SimSun"/>
        </w:rPr>
      </w:pPr>
      <w:r w:rsidRPr="00F704B6">
        <w:rPr>
          <w:rFonts w:eastAsia="SimSun"/>
        </w:rPr>
        <w:t xml:space="preserve">T10 - Field strength 118 µT for 180' for 15 days </w:t>
      </w:r>
    </w:p>
    <w:p w14:paraId="63BD72BC" w14:textId="77777777" w:rsidR="00F704B6" w:rsidRPr="00F704B6" w:rsidRDefault="00F704B6" w:rsidP="00F704B6">
      <w:pPr>
        <w:pStyle w:val="CETBodytext"/>
        <w:jc w:val="left"/>
        <w:rPr>
          <w:rFonts w:eastAsia="SimSun"/>
        </w:rPr>
      </w:pPr>
      <w:r w:rsidRPr="00F704B6">
        <w:rPr>
          <w:rFonts w:eastAsia="SimSun"/>
        </w:rPr>
        <w:t xml:space="preserve">T11 - Field strength 118 µT for 300' for 15 days </w:t>
      </w:r>
    </w:p>
    <w:p w14:paraId="0B93BB0C" w14:textId="77777777" w:rsidR="00F704B6" w:rsidRDefault="00F704B6" w:rsidP="00F704B6">
      <w:pPr>
        <w:pStyle w:val="CETBodytext"/>
        <w:jc w:val="left"/>
        <w:rPr>
          <w:rFonts w:eastAsia="SimSun"/>
        </w:rPr>
      </w:pPr>
      <w:r w:rsidRPr="00F704B6">
        <w:rPr>
          <w:rFonts w:eastAsia="SimSun"/>
        </w:rPr>
        <w:t>T12 - Field strength 118 µT for 15 days permanent</w:t>
      </w:r>
    </w:p>
    <w:p w14:paraId="164E5835" w14:textId="3AD482AD" w:rsidR="00436CD6" w:rsidRDefault="00436CD6" w:rsidP="00F704B6">
      <w:pPr>
        <w:pStyle w:val="CETBodytext"/>
        <w:jc w:val="left"/>
        <w:rPr>
          <w:rFonts w:eastAsia="SimSun"/>
        </w:rPr>
      </w:pPr>
      <w:r>
        <w:rPr>
          <w:rFonts w:eastAsia="SimSun"/>
        </w:rPr>
        <w:t xml:space="preserve">C    </w:t>
      </w:r>
      <w:r w:rsidR="00746E13">
        <w:rPr>
          <w:rFonts w:eastAsia="SimSun"/>
        </w:rPr>
        <w:t xml:space="preserve"> -</w:t>
      </w:r>
      <w:r>
        <w:rPr>
          <w:rFonts w:eastAsia="SimSun"/>
        </w:rPr>
        <w:t xml:space="preserve"> Control</w:t>
      </w:r>
    </w:p>
    <w:p w14:paraId="459D05E6" w14:textId="3093635B" w:rsidR="00600535" w:rsidRPr="00B57B36" w:rsidRDefault="00600535" w:rsidP="00746E13">
      <w:pPr>
        <w:pStyle w:val="CETAcknowledgementstitle"/>
        <w:spacing w:after="0"/>
      </w:pPr>
      <w:r w:rsidRPr="00B57B36">
        <w:t>Acknowledgments</w:t>
      </w:r>
    </w:p>
    <w:p w14:paraId="0ACAD4DF" w14:textId="77777777" w:rsidR="00F704B6" w:rsidRDefault="00F704B6" w:rsidP="00746E13">
      <w:pPr>
        <w:pStyle w:val="CETReference"/>
        <w:spacing w:before="0"/>
        <w:jc w:val="both"/>
        <w:rPr>
          <w:b w:val="0"/>
        </w:rPr>
      </w:pPr>
      <w:r w:rsidRPr="00F704B6">
        <w:rPr>
          <w:b w:val="0"/>
        </w:rPr>
        <w:t>To the Fundación Universitaria Agraria de Colombia - UNIAGRARIA, its laboratory section and the rest of the institutions named in the affiliation of the authors of this article, for having financed and supported the development of the project.</w:t>
      </w:r>
    </w:p>
    <w:p w14:paraId="03507984" w14:textId="59C23728" w:rsidR="00600535" w:rsidRPr="00B57B36" w:rsidRDefault="00600535" w:rsidP="00C237D7">
      <w:pPr>
        <w:pStyle w:val="CETReference"/>
      </w:pPr>
      <w:r w:rsidRPr="00B57B36">
        <w:t>References</w:t>
      </w:r>
    </w:p>
    <w:p w14:paraId="5A85DA7E" w14:textId="77777777" w:rsidR="00561A86" w:rsidRDefault="00561A86" w:rsidP="00C237D7">
      <w:pPr>
        <w:tabs>
          <w:tab w:val="left" w:pos="1830"/>
        </w:tabs>
        <w:ind w:left="426" w:hanging="425"/>
      </w:pPr>
      <w:r w:rsidRPr="007D5B18">
        <w:t>Agüero, C. G., Pereyra, G. R.</w:t>
      </w:r>
      <w:r>
        <w:t>,</w:t>
      </w:r>
      <w:r w:rsidRPr="007D5B18">
        <w:t xml:space="preserve"> Rolando, R. O.</w:t>
      </w:r>
      <w:r>
        <w:t>,</w:t>
      </w:r>
      <w:r w:rsidRPr="007D5B18">
        <w:t>2017</w:t>
      </w:r>
      <w:r>
        <w:t>,</w:t>
      </w:r>
      <w:r w:rsidRPr="007D5B18">
        <w:t xml:space="preserve"> Método alternativo de germinación para determinar la calidad de semillas en Buffel Grass (</w:t>
      </w:r>
      <w:r w:rsidRPr="000F60B8">
        <w:rPr>
          <w:i/>
          <w:iCs/>
        </w:rPr>
        <w:t>Cenchrus ciliaris</w:t>
      </w:r>
      <w:r w:rsidRPr="007D5B18">
        <w:t xml:space="preserve"> L.). Agriscientia, 34, 47-58. </w:t>
      </w:r>
      <w:r>
        <w:t>Disponible en:</w:t>
      </w:r>
      <w:r w:rsidRPr="007D5B18">
        <w:t xml:space="preserve"> </w:t>
      </w:r>
      <w:hyperlink r:id="rId14" w:history="1">
        <w:r w:rsidRPr="001140D8">
          <w:rPr>
            <w:rStyle w:val="Hipervnculo"/>
          </w:rPr>
          <w:t>https://pdfs.semanticscholar.org/8461/02b0bbcc50ce2f7e89fe99a5c07055a6696c.pdf</w:t>
        </w:r>
      </w:hyperlink>
    </w:p>
    <w:p w14:paraId="5C1BFEEB" w14:textId="77777777" w:rsidR="00561A86" w:rsidRPr="00866601" w:rsidRDefault="00561A86" w:rsidP="00C237D7">
      <w:pPr>
        <w:tabs>
          <w:tab w:val="left" w:pos="1830"/>
        </w:tabs>
        <w:ind w:left="426" w:hanging="425"/>
        <w:rPr>
          <w:lang w:val="en-US"/>
        </w:rPr>
      </w:pPr>
      <w:r w:rsidRPr="007D5B18">
        <w:rPr>
          <w:lang w:val="en-US"/>
        </w:rPr>
        <w:t>Aladjadjiyan</w:t>
      </w:r>
      <w:r>
        <w:rPr>
          <w:lang w:val="en-US"/>
        </w:rPr>
        <w:t>,</w:t>
      </w:r>
      <w:r w:rsidRPr="007D5B18">
        <w:rPr>
          <w:lang w:val="en-US"/>
        </w:rPr>
        <w:t xml:space="preserve"> A.</w:t>
      </w:r>
      <w:r>
        <w:rPr>
          <w:lang w:val="en-US"/>
        </w:rPr>
        <w:t xml:space="preserve">, </w:t>
      </w:r>
      <w:r w:rsidRPr="007D5B18">
        <w:rPr>
          <w:lang w:val="en-US"/>
        </w:rPr>
        <w:t>2012</w:t>
      </w:r>
      <w:r>
        <w:rPr>
          <w:lang w:val="en-US"/>
        </w:rPr>
        <w:t>,</w:t>
      </w:r>
      <w:r w:rsidRPr="007D5B18">
        <w:rPr>
          <w:lang w:val="en-US"/>
        </w:rPr>
        <w:t xml:space="preserve"> Physical factors for plant growth stimulation improve food quality, food production-approaches, challenges and tasks. </w:t>
      </w:r>
      <w:r w:rsidRPr="00866601">
        <w:rPr>
          <w:lang w:val="en-US"/>
        </w:rPr>
        <w:t xml:space="preserve">(Ed. Anna Aladjadjiyan), ISBN: 978-953-307-887-8. In Tech Publisher, 145-68, Rijeka, Croatia. DOI:10.5772/32039 </w:t>
      </w:r>
    </w:p>
    <w:p w14:paraId="390F73D5" w14:textId="77777777" w:rsidR="00561A86" w:rsidRPr="007D5B18" w:rsidRDefault="00561A86" w:rsidP="00C237D7">
      <w:pPr>
        <w:tabs>
          <w:tab w:val="left" w:pos="0"/>
        </w:tabs>
        <w:autoSpaceDE w:val="0"/>
        <w:autoSpaceDN w:val="0"/>
        <w:adjustRightInd w:val="0"/>
        <w:ind w:left="426" w:hanging="425"/>
        <w:rPr>
          <w:lang w:val="es-CO"/>
        </w:rPr>
      </w:pPr>
      <w:r w:rsidRPr="00D138A1">
        <w:rPr>
          <w:lang w:val="es-CO"/>
        </w:rPr>
        <w:t>AOAC</w:t>
      </w:r>
      <w:r>
        <w:rPr>
          <w:lang w:val="es-CO"/>
        </w:rPr>
        <w:t xml:space="preserve">, </w:t>
      </w:r>
      <w:r w:rsidRPr="00D138A1">
        <w:rPr>
          <w:lang w:val="es-CO"/>
        </w:rPr>
        <w:t>1990</w:t>
      </w:r>
      <w:r>
        <w:rPr>
          <w:lang w:val="es-CO"/>
        </w:rPr>
        <w:t>,</w:t>
      </w:r>
      <w:r w:rsidRPr="00D138A1">
        <w:rPr>
          <w:lang w:val="es-CO"/>
        </w:rPr>
        <w:t xml:space="preserve"> Métodos oficiales de análisis de la AOAC, 15ª ed. Métodos 932.06, 925.09, 985.29, 923.03. Asociación de químicos analíticos oficiales. Arlington, Virginia, Estados Unidos.</w:t>
      </w:r>
    </w:p>
    <w:p w14:paraId="20DB92E4" w14:textId="77777777" w:rsidR="00561A86" w:rsidRPr="002407AE" w:rsidRDefault="00561A86" w:rsidP="00C237D7">
      <w:pPr>
        <w:tabs>
          <w:tab w:val="left" w:pos="1830"/>
        </w:tabs>
        <w:ind w:left="426" w:hanging="426"/>
      </w:pPr>
      <w:r w:rsidRPr="007D5B18">
        <w:rPr>
          <w:lang w:val="en-US"/>
        </w:rPr>
        <w:t>Dow</w:t>
      </w:r>
      <w:r>
        <w:rPr>
          <w:lang w:val="en-US"/>
        </w:rPr>
        <w:t>,</w:t>
      </w:r>
      <w:r w:rsidRPr="007D5B18">
        <w:rPr>
          <w:lang w:val="en-US"/>
        </w:rPr>
        <w:t xml:space="preserve"> G. J., Bergmann</w:t>
      </w:r>
      <w:r>
        <w:rPr>
          <w:lang w:val="en-US"/>
        </w:rPr>
        <w:t>,</w:t>
      </w:r>
      <w:r w:rsidRPr="007D5B18">
        <w:rPr>
          <w:lang w:val="en-US"/>
        </w:rPr>
        <w:t xml:space="preserve"> D.</w:t>
      </w:r>
      <w:r>
        <w:rPr>
          <w:lang w:val="en-US"/>
        </w:rPr>
        <w:t xml:space="preserve"> </w:t>
      </w:r>
      <w:r w:rsidRPr="007D5B18">
        <w:rPr>
          <w:lang w:val="en-US"/>
        </w:rPr>
        <w:t>C.</w:t>
      </w:r>
      <w:r>
        <w:rPr>
          <w:lang w:val="en-US"/>
        </w:rPr>
        <w:t xml:space="preserve">, </w:t>
      </w:r>
      <w:r w:rsidRPr="007D5B18">
        <w:rPr>
          <w:lang w:val="en-US"/>
        </w:rPr>
        <w:t>2014</w:t>
      </w:r>
      <w:r>
        <w:rPr>
          <w:lang w:val="en-US"/>
        </w:rPr>
        <w:t>,</w:t>
      </w:r>
      <w:r w:rsidRPr="007D5B18">
        <w:rPr>
          <w:lang w:val="en-US"/>
        </w:rPr>
        <w:t xml:space="preserve"> Patterning and processes: how stomatal development defines physiological potential</w:t>
      </w:r>
      <w:r>
        <w:rPr>
          <w:lang w:val="en-US"/>
        </w:rPr>
        <w:t>.</w:t>
      </w:r>
      <w:r w:rsidRPr="007D5B18">
        <w:rPr>
          <w:lang w:val="en-US"/>
        </w:rPr>
        <w:t xml:space="preserve"> </w:t>
      </w:r>
      <w:r w:rsidRPr="00861793">
        <w:rPr>
          <w:lang w:val="es-CO"/>
        </w:rPr>
        <w:t>Current Opinion Plant Biol. 21, 67-74.</w:t>
      </w:r>
    </w:p>
    <w:p w14:paraId="229EE682" w14:textId="77777777" w:rsidR="00561A86" w:rsidRDefault="00561A86" w:rsidP="00C237D7">
      <w:pPr>
        <w:tabs>
          <w:tab w:val="left" w:pos="0"/>
        </w:tabs>
        <w:autoSpaceDE w:val="0"/>
        <w:autoSpaceDN w:val="0"/>
        <w:adjustRightInd w:val="0"/>
        <w:ind w:left="426" w:hanging="425"/>
        <w:rPr>
          <w:lang w:val="es-CO"/>
        </w:rPr>
      </w:pPr>
      <w:r w:rsidRPr="007D5B18">
        <w:rPr>
          <w:lang w:val="es-CO"/>
        </w:rPr>
        <w:t>FENALCE</w:t>
      </w:r>
      <w:r>
        <w:rPr>
          <w:lang w:val="es-CO"/>
        </w:rPr>
        <w:t xml:space="preserve">, </w:t>
      </w:r>
      <w:r w:rsidRPr="007D5B18">
        <w:rPr>
          <w:lang w:val="es-CO"/>
        </w:rPr>
        <w:t>2022</w:t>
      </w:r>
      <w:r>
        <w:rPr>
          <w:lang w:val="es-CO"/>
        </w:rPr>
        <w:t>,</w:t>
      </w:r>
      <w:r w:rsidRPr="007D5B18">
        <w:rPr>
          <w:lang w:val="es-CO"/>
        </w:rPr>
        <w:t xml:space="preserve"> Federación Nacional de Cultivadores de Cereales, Leguminosas y Soya. Obtenido de </w:t>
      </w:r>
      <w:hyperlink r:id="rId15" w:history="1">
        <w:r w:rsidRPr="001140D8">
          <w:rPr>
            <w:rStyle w:val="Hipervnculo"/>
            <w:lang w:val="es-CO"/>
          </w:rPr>
          <w:t>https://fenalce.co/estadisticas/</w:t>
        </w:r>
      </w:hyperlink>
    </w:p>
    <w:p w14:paraId="44FDCD1D" w14:textId="77777777" w:rsidR="00561A86" w:rsidRDefault="00561A86" w:rsidP="00C237D7">
      <w:pPr>
        <w:tabs>
          <w:tab w:val="left" w:pos="0"/>
        </w:tabs>
        <w:autoSpaceDE w:val="0"/>
        <w:autoSpaceDN w:val="0"/>
        <w:adjustRightInd w:val="0"/>
        <w:ind w:left="426" w:hanging="425"/>
        <w:rPr>
          <w:lang w:val="en-US"/>
        </w:rPr>
      </w:pPr>
      <w:r w:rsidRPr="002407AE">
        <w:rPr>
          <w:lang w:val="en-US"/>
        </w:rPr>
        <w:t>Hay, R., Porter, J.</w:t>
      </w:r>
      <w:r>
        <w:rPr>
          <w:lang w:val="en-US"/>
        </w:rPr>
        <w:t xml:space="preserve">, </w:t>
      </w:r>
      <w:r w:rsidRPr="002407AE">
        <w:rPr>
          <w:lang w:val="en-US"/>
        </w:rPr>
        <w:t>2006</w:t>
      </w:r>
      <w:r>
        <w:rPr>
          <w:lang w:val="en-US"/>
        </w:rPr>
        <w:t>,</w:t>
      </w:r>
      <w:r w:rsidRPr="002407AE">
        <w:rPr>
          <w:lang w:val="en-US"/>
        </w:rPr>
        <w:t xml:space="preserve"> The Physiology of Crop Yield. 2nd Edition, Blackwell Publishing, Oxford. </w:t>
      </w:r>
    </w:p>
    <w:p w14:paraId="57B29ABD" w14:textId="77777777" w:rsidR="00561A86" w:rsidRDefault="00561A86" w:rsidP="00600535">
      <w:pPr>
        <w:pStyle w:val="CETReferencetext"/>
      </w:pPr>
      <w:r w:rsidRPr="00436CD6">
        <w:t>Ortiz-Aguilar, J., Suárez-Rivero, D., Puentes, A. E., Velásquez Perilla, P. E. y Santis Navarro, A. M.</w:t>
      </w:r>
      <w:r>
        <w:t xml:space="preserve">, </w:t>
      </w:r>
      <w:r w:rsidRPr="00436CD6">
        <w:t>2015</w:t>
      </w:r>
      <w:r>
        <w:t>,</w:t>
      </w:r>
      <w:r w:rsidRPr="00436CD6">
        <w:t xml:space="preserve"> Comparison of the Effects in the Germination and Growth of Corn Seeds (Zea mays L.) by Exposure to Magnetic, Electrical and Electromagnetic Fields. Chemical Engineering Transactions. 43, 169-174. doi:10.3303/CET1543029</w:t>
      </w:r>
    </w:p>
    <w:p w14:paraId="79E73041" w14:textId="77777777" w:rsidR="00561A86" w:rsidRPr="007D5B18" w:rsidRDefault="00561A86" w:rsidP="00C237D7">
      <w:pPr>
        <w:tabs>
          <w:tab w:val="left" w:pos="0"/>
        </w:tabs>
        <w:autoSpaceDE w:val="0"/>
        <w:autoSpaceDN w:val="0"/>
        <w:adjustRightInd w:val="0"/>
        <w:ind w:left="426" w:hanging="425"/>
      </w:pPr>
      <w:r w:rsidRPr="007D5B18">
        <w:rPr>
          <w:lang w:val="es-CO"/>
        </w:rPr>
        <w:t>Sánchez-Soto, B. H., Pacheco-Aispuro, E., Lugo-García, G. A., Reyes-Olivas, Á.</w:t>
      </w:r>
      <w:r>
        <w:rPr>
          <w:lang w:val="es-CO"/>
        </w:rPr>
        <w:t>,</w:t>
      </w:r>
      <w:r w:rsidRPr="007D5B18">
        <w:rPr>
          <w:lang w:val="es-CO"/>
        </w:rPr>
        <w:t xml:space="preserve"> García-Moya, E.</w:t>
      </w:r>
      <w:r>
        <w:rPr>
          <w:lang w:val="es-CO"/>
        </w:rPr>
        <w:t xml:space="preserve">, </w:t>
      </w:r>
      <w:r w:rsidRPr="007D5B18">
        <w:rPr>
          <w:lang w:val="es-CO"/>
        </w:rPr>
        <w:t>2017</w:t>
      </w:r>
      <w:r>
        <w:rPr>
          <w:lang w:val="es-CO"/>
        </w:rPr>
        <w:t>,</w:t>
      </w:r>
      <w:r w:rsidRPr="007D5B18">
        <w:rPr>
          <w:lang w:val="es-CO"/>
        </w:rPr>
        <w:t xml:space="preserve"> </w:t>
      </w:r>
      <w:r w:rsidRPr="007D5B18">
        <w:t xml:space="preserve">Métodos de escarificación en semillas de </w:t>
      </w:r>
      <w:r w:rsidRPr="000A1489">
        <w:rPr>
          <w:i/>
          <w:iCs/>
        </w:rPr>
        <w:t>Guaiacum coulteri</w:t>
      </w:r>
      <w:r w:rsidRPr="007D5B18">
        <w:t>, especie amenazada del bosque tropical caducifolio del norte de Sinaloa, México. Gayana Botanical, 74(2), https://scielo.conicyt.cl/pdf/gbot/v74n2/0717-6643-gbot-74-02-00262.pdf</w:t>
      </w:r>
    </w:p>
    <w:p w14:paraId="35332786" w14:textId="77777777" w:rsidR="00561A86" w:rsidRDefault="00561A86" w:rsidP="00C237D7">
      <w:pPr>
        <w:pStyle w:val="CETReferencetext"/>
      </w:pPr>
      <w:r w:rsidRPr="00561A86">
        <w:t>Suárez-Rivero D., Marin-Mahecha O., Ojeda-Barrera L., Ortiz-Aguilar J., Guzman-Hernandez T. de J., MillanMalo B., Alonso-Gómez L.A., Rodriguez-Garcia M.E., 2023, The effect of the electromagnetic field on the physicochemical properties of isolated corn starch obtained of plants from irradiate seeds, International Journal of Biological Macromolecules, 236, 123981, https://doi.org/10.1016/j.ijbiomac.2023.12398.</w:t>
      </w:r>
    </w:p>
    <w:p w14:paraId="0680078A" w14:textId="040AD3E2" w:rsidR="00561A86" w:rsidRDefault="00561A86" w:rsidP="00C237D7">
      <w:pPr>
        <w:pStyle w:val="CETReferencetext"/>
      </w:pPr>
      <w:r w:rsidRPr="00561A86">
        <w:t>Suárez-Rivero D., Marín-Mahecha O., Ortiz-Aguilar J., Esperanza Puentes A., Ballesteros L.C., Suárez-Rivero M., 2018</w:t>
      </w:r>
      <w:r>
        <w:t xml:space="preserve"> a</w:t>
      </w:r>
      <w:r w:rsidRPr="00561A86">
        <w:t xml:space="preserve">, Biotechnology as a Tool for the Agroindustrial Exploitation of Residues of the Chain of Musa spp., Chemical Engineering Transactions, 64, 571-576, https://doi.org/10.3303/CET1864096.  </w:t>
      </w:r>
    </w:p>
    <w:p w14:paraId="78ADF406" w14:textId="7A4509AB" w:rsidR="00561A86" w:rsidRDefault="00561A86" w:rsidP="00C237D7">
      <w:pPr>
        <w:pStyle w:val="CETReferencetext"/>
      </w:pPr>
      <w:r>
        <w:t>Suárez-Rivero, D., Marin-Mahecha, O., González, A. J., Suarez-Rivero, M., Puentes, A. E., Ortiz-Aguilar, J., 2018 b, Composition and behavior of sunflower seeds (Helianthus annuus L.) from plants treated with magnetic fields for energy potential use of biomass. Chemical Engineering Transactions. 65, 679-684. DOI: 10.3303/CET1865114.</w:t>
      </w:r>
    </w:p>
    <w:p w14:paraId="4477818A" w14:textId="77777777" w:rsidR="00561A86" w:rsidRDefault="00561A86" w:rsidP="00C237D7">
      <w:pPr>
        <w:pStyle w:val="CETReferencetext"/>
      </w:pPr>
      <w:r>
        <w:t>Suárez-Rivero, D., Marín-Mahecha, O., Salazar Torres, V., Real, X., Ortiz Aguilar, J., Suárez-Rivero, M., 2017, Biomass Production And Morpho</w:t>
      </w:r>
      <w:r>
        <w:rPr>
          <w:rFonts w:ascii="Cambria Math" w:hAnsi="Cambria Math" w:cs="Cambria Math"/>
        </w:rPr>
        <w:t>‐</w:t>
      </w:r>
      <w:r>
        <w:t xml:space="preserve">Phsysiological Effects On Sunflower Plants (Helianthus annuss L.) Under Induced Magnetic Fiels. Chemical Engineering Transactions. 57, 115-120. doi:10.3303/CET1757020 </w:t>
      </w:r>
    </w:p>
    <w:p w14:paraId="37B1729C" w14:textId="77777777" w:rsidR="00561A86" w:rsidRDefault="00561A86" w:rsidP="00C237D7">
      <w:pPr>
        <w:pStyle w:val="CETReferencetext"/>
      </w:pPr>
      <w:r>
        <w:t>Suárez-Rivero, D., Ortiz-Aguilar, J., Marín-Mahecha, O., Velásquez, P., Acevedo, P., Santis, A., 2016, The Effect of Magnetic and Electromagnetic Fields on the Morpho-Anatomical Characteristics of Corn (Zea mays L.) during Biomass Production. Chemical Engineering Transactions. 50, 415-420. DOI: 10.3303/CET1650070.</w:t>
      </w:r>
    </w:p>
    <w:sectPr w:rsidR="00561A8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3301D" w14:textId="77777777" w:rsidR="003B23A9" w:rsidRDefault="003B23A9" w:rsidP="004F5E36">
      <w:r>
        <w:separator/>
      </w:r>
    </w:p>
  </w:endnote>
  <w:endnote w:type="continuationSeparator" w:id="0">
    <w:p w14:paraId="6B6687C3" w14:textId="77777777" w:rsidR="003B23A9" w:rsidRDefault="003B23A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jaVu Serif Condensed">
    <w:altName w:val="Cambria"/>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36041" w14:textId="77777777" w:rsidR="003B23A9" w:rsidRDefault="003B23A9" w:rsidP="004F5E36">
      <w:r>
        <w:separator/>
      </w:r>
    </w:p>
  </w:footnote>
  <w:footnote w:type="continuationSeparator" w:id="0">
    <w:p w14:paraId="006130AF" w14:textId="77777777" w:rsidR="003B23A9" w:rsidRDefault="003B23A9"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36E3E"/>
    <w:rsid w:val="000422B2"/>
    <w:rsid w:val="00051566"/>
    <w:rsid w:val="0005624D"/>
    <w:rsid w:val="000562A9"/>
    <w:rsid w:val="00062A9A"/>
    <w:rsid w:val="00065058"/>
    <w:rsid w:val="00086C39"/>
    <w:rsid w:val="000A03B2"/>
    <w:rsid w:val="000B2D91"/>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56F74"/>
    <w:rsid w:val="00164CF9"/>
    <w:rsid w:val="001667A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6B83"/>
    <w:rsid w:val="002B37F0"/>
    <w:rsid w:val="002B4015"/>
    <w:rsid w:val="002B78CE"/>
    <w:rsid w:val="002C2FB6"/>
    <w:rsid w:val="002D7300"/>
    <w:rsid w:val="002E5FA7"/>
    <w:rsid w:val="002F3309"/>
    <w:rsid w:val="003008CE"/>
    <w:rsid w:val="003009B7"/>
    <w:rsid w:val="00300E56"/>
    <w:rsid w:val="0030152C"/>
    <w:rsid w:val="0030469C"/>
    <w:rsid w:val="00321CA6"/>
    <w:rsid w:val="00323763"/>
    <w:rsid w:val="00323C5F"/>
    <w:rsid w:val="00334C09"/>
    <w:rsid w:val="003723D4"/>
    <w:rsid w:val="00381905"/>
    <w:rsid w:val="00384CC8"/>
    <w:rsid w:val="003871FD"/>
    <w:rsid w:val="003A1E30"/>
    <w:rsid w:val="003A2829"/>
    <w:rsid w:val="003A6FC6"/>
    <w:rsid w:val="003A7D1C"/>
    <w:rsid w:val="003B23A9"/>
    <w:rsid w:val="003B304B"/>
    <w:rsid w:val="003B3146"/>
    <w:rsid w:val="003F015E"/>
    <w:rsid w:val="00400414"/>
    <w:rsid w:val="004129B3"/>
    <w:rsid w:val="0041446B"/>
    <w:rsid w:val="00436CD6"/>
    <w:rsid w:val="0044071E"/>
    <w:rsid w:val="0044329C"/>
    <w:rsid w:val="00453E24"/>
    <w:rsid w:val="00457456"/>
    <w:rsid w:val="004577FE"/>
    <w:rsid w:val="00457B9C"/>
    <w:rsid w:val="0046164A"/>
    <w:rsid w:val="004628D2"/>
    <w:rsid w:val="00462DCD"/>
    <w:rsid w:val="004648AD"/>
    <w:rsid w:val="004703A9"/>
    <w:rsid w:val="004760DE"/>
    <w:rsid w:val="004761E9"/>
    <w:rsid w:val="004763D7"/>
    <w:rsid w:val="004A004E"/>
    <w:rsid w:val="004A24CF"/>
    <w:rsid w:val="004C3D1D"/>
    <w:rsid w:val="004C3D84"/>
    <w:rsid w:val="004C7913"/>
    <w:rsid w:val="004E4DD6"/>
    <w:rsid w:val="004F5E36"/>
    <w:rsid w:val="00507B47"/>
    <w:rsid w:val="00507BEF"/>
    <w:rsid w:val="00507CC9"/>
    <w:rsid w:val="005119A5"/>
    <w:rsid w:val="00516AAC"/>
    <w:rsid w:val="00520FBB"/>
    <w:rsid w:val="005278B7"/>
    <w:rsid w:val="00532016"/>
    <w:rsid w:val="005346C8"/>
    <w:rsid w:val="00543E7D"/>
    <w:rsid w:val="00547A68"/>
    <w:rsid w:val="005531C9"/>
    <w:rsid w:val="00561A86"/>
    <w:rsid w:val="00570C43"/>
    <w:rsid w:val="005A3C11"/>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60E3E"/>
    <w:rsid w:val="00662E74"/>
    <w:rsid w:val="00680C23"/>
    <w:rsid w:val="00681CD8"/>
    <w:rsid w:val="00693766"/>
    <w:rsid w:val="006A3281"/>
    <w:rsid w:val="006B4888"/>
    <w:rsid w:val="006C2E45"/>
    <w:rsid w:val="006C359C"/>
    <w:rsid w:val="006C5579"/>
    <w:rsid w:val="006D6E8B"/>
    <w:rsid w:val="006E737D"/>
    <w:rsid w:val="00713973"/>
    <w:rsid w:val="00720A24"/>
    <w:rsid w:val="00723169"/>
    <w:rsid w:val="00732386"/>
    <w:rsid w:val="0073514D"/>
    <w:rsid w:val="007447F3"/>
    <w:rsid w:val="00746E13"/>
    <w:rsid w:val="0075499F"/>
    <w:rsid w:val="007661C8"/>
    <w:rsid w:val="0077098D"/>
    <w:rsid w:val="007931FA"/>
    <w:rsid w:val="00797C5E"/>
    <w:rsid w:val="007A4861"/>
    <w:rsid w:val="007A7BBA"/>
    <w:rsid w:val="007B0C50"/>
    <w:rsid w:val="007B48F9"/>
    <w:rsid w:val="007C1A43"/>
    <w:rsid w:val="007D0951"/>
    <w:rsid w:val="0080013E"/>
    <w:rsid w:val="00813288"/>
    <w:rsid w:val="008168FC"/>
    <w:rsid w:val="00830996"/>
    <w:rsid w:val="008345F1"/>
    <w:rsid w:val="00843EAC"/>
    <w:rsid w:val="00850E21"/>
    <w:rsid w:val="00865B07"/>
    <w:rsid w:val="008667EA"/>
    <w:rsid w:val="0087637F"/>
    <w:rsid w:val="00892AD5"/>
    <w:rsid w:val="008A1512"/>
    <w:rsid w:val="008B7C03"/>
    <w:rsid w:val="008D32B9"/>
    <w:rsid w:val="008D433B"/>
    <w:rsid w:val="008D4A16"/>
    <w:rsid w:val="008E566E"/>
    <w:rsid w:val="0090161A"/>
    <w:rsid w:val="00901EB6"/>
    <w:rsid w:val="00904C62"/>
    <w:rsid w:val="00917C1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C37C3"/>
    <w:rsid w:val="009C5BD5"/>
    <w:rsid w:val="009C7C86"/>
    <w:rsid w:val="009D2FF7"/>
    <w:rsid w:val="009E7884"/>
    <w:rsid w:val="009E788A"/>
    <w:rsid w:val="009F0E08"/>
    <w:rsid w:val="00A034B5"/>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3B34"/>
    <w:rsid w:val="00AC7368"/>
    <w:rsid w:val="00AD16B9"/>
    <w:rsid w:val="00AE377D"/>
    <w:rsid w:val="00AF0EBA"/>
    <w:rsid w:val="00B02C8A"/>
    <w:rsid w:val="00B17FBD"/>
    <w:rsid w:val="00B315A6"/>
    <w:rsid w:val="00B31813"/>
    <w:rsid w:val="00B33365"/>
    <w:rsid w:val="00B57B36"/>
    <w:rsid w:val="00B57E6F"/>
    <w:rsid w:val="00B64F58"/>
    <w:rsid w:val="00B8686D"/>
    <w:rsid w:val="00B93F69"/>
    <w:rsid w:val="00BB1DDC"/>
    <w:rsid w:val="00BC30C9"/>
    <w:rsid w:val="00BD077D"/>
    <w:rsid w:val="00BE3E58"/>
    <w:rsid w:val="00C01616"/>
    <w:rsid w:val="00C0162B"/>
    <w:rsid w:val="00C068ED"/>
    <w:rsid w:val="00C22E0C"/>
    <w:rsid w:val="00C237D7"/>
    <w:rsid w:val="00C345B1"/>
    <w:rsid w:val="00C40142"/>
    <w:rsid w:val="00C52C3C"/>
    <w:rsid w:val="00C57182"/>
    <w:rsid w:val="00C57863"/>
    <w:rsid w:val="00C640AF"/>
    <w:rsid w:val="00C655FD"/>
    <w:rsid w:val="00C75407"/>
    <w:rsid w:val="00C870A8"/>
    <w:rsid w:val="00C94434"/>
    <w:rsid w:val="00CA0D4A"/>
    <w:rsid w:val="00CA0D75"/>
    <w:rsid w:val="00CA1C95"/>
    <w:rsid w:val="00CA5A9C"/>
    <w:rsid w:val="00CC4C20"/>
    <w:rsid w:val="00CD3517"/>
    <w:rsid w:val="00CD4186"/>
    <w:rsid w:val="00CD5FE2"/>
    <w:rsid w:val="00CE7C68"/>
    <w:rsid w:val="00D02B4C"/>
    <w:rsid w:val="00D040C4"/>
    <w:rsid w:val="00D20AD1"/>
    <w:rsid w:val="00D46B7E"/>
    <w:rsid w:val="00D57C84"/>
    <w:rsid w:val="00D6057D"/>
    <w:rsid w:val="00D63F2F"/>
    <w:rsid w:val="00D648EC"/>
    <w:rsid w:val="00D71640"/>
    <w:rsid w:val="00D836C5"/>
    <w:rsid w:val="00D84576"/>
    <w:rsid w:val="00DA1399"/>
    <w:rsid w:val="00DA24C6"/>
    <w:rsid w:val="00DA4D7B"/>
    <w:rsid w:val="00DD271C"/>
    <w:rsid w:val="00DE264A"/>
    <w:rsid w:val="00DF5072"/>
    <w:rsid w:val="00E02D18"/>
    <w:rsid w:val="00E041E7"/>
    <w:rsid w:val="00E23CA1"/>
    <w:rsid w:val="00E33DD7"/>
    <w:rsid w:val="00E409A8"/>
    <w:rsid w:val="00E50C12"/>
    <w:rsid w:val="00E65B91"/>
    <w:rsid w:val="00E7209D"/>
    <w:rsid w:val="00E72EAD"/>
    <w:rsid w:val="00E77223"/>
    <w:rsid w:val="00E80227"/>
    <w:rsid w:val="00E8528B"/>
    <w:rsid w:val="00E85B94"/>
    <w:rsid w:val="00E978D0"/>
    <w:rsid w:val="00EA4613"/>
    <w:rsid w:val="00EA7F91"/>
    <w:rsid w:val="00EB1523"/>
    <w:rsid w:val="00EC0E49"/>
    <w:rsid w:val="00EC101F"/>
    <w:rsid w:val="00EC1D9F"/>
    <w:rsid w:val="00EE0131"/>
    <w:rsid w:val="00EE17B0"/>
    <w:rsid w:val="00EF06D9"/>
    <w:rsid w:val="00F3049E"/>
    <w:rsid w:val="00F30C64"/>
    <w:rsid w:val="00F32BA2"/>
    <w:rsid w:val="00F32CDB"/>
    <w:rsid w:val="00F565FE"/>
    <w:rsid w:val="00F63A70"/>
    <w:rsid w:val="00F63D8C"/>
    <w:rsid w:val="00F704B6"/>
    <w:rsid w:val="00F7534E"/>
    <w:rsid w:val="00F93EDF"/>
    <w:rsid w:val="00FA1802"/>
    <w:rsid w:val="00FA21D0"/>
    <w:rsid w:val="00FA5F5F"/>
    <w:rsid w:val="00FB730C"/>
    <w:rsid w:val="00FC2695"/>
    <w:rsid w:val="00FC3E03"/>
    <w:rsid w:val="00FC3FC1"/>
    <w:rsid w:val="00FD4C9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unhideWhenUsed/>
    <w:rsid w:val="0003148D"/>
    <w:pPr>
      <w:spacing w:after="120"/>
    </w:pPr>
  </w:style>
  <w:style w:type="character" w:customStyle="1" w:styleId="TextoindependienteCar">
    <w:name w:val="Texto independiente Car"/>
    <w:basedOn w:val="Fuentedeprrafopredeter"/>
    <w:link w:val="Textoindependiente"/>
    <w:uiPriority w:val="99"/>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paragraph" w:styleId="Subttulo">
    <w:name w:val="Subtitle"/>
    <w:basedOn w:val="Normal"/>
    <w:next w:val="Normal"/>
    <w:link w:val="SubttuloCar"/>
    <w:uiPriority w:val="11"/>
    <w:qFormat/>
    <w:rsid w:val="00036E3E"/>
    <w:pPr>
      <w:tabs>
        <w:tab w:val="clear" w:pos="7100"/>
      </w:tabs>
      <w:spacing w:after="160" w:line="360" w:lineRule="auto"/>
      <w:jc w:val="center"/>
    </w:pPr>
    <w:rPr>
      <w:rFonts w:eastAsia="Arial" w:cs="Arial"/>
      <w:b/>
      <w:sz w:val="24"/>
      <w:szCs w:val="24"/>
      <w:lang w:val="es-ES_tradnl"/>
    </w:rPr>
  </w:style>
  <w:style w:type="character" w:customStyle="1" w:styleId="SubttuloCar">
    <w:name w:val="Subtítulo Car"/>
    <w:basedOn w:val="Fuentedeprrafopredeter"/>
    <w:link w:val="Subttulo"/>
    <w:uiPriority w:val="11"/>
    <w:rsid w:val="00036E3E"/>
    <w:rPr>
      <w:rFonts w:ascii="Arial" w:eastAsia="Arial" w:hAnsi="Arial" w:cs="Arial"/>
      <w:b/>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fenalce.co/estadisticas/" TargetMode="External"/><Relationship Id="rId10" Type="http://schemas.openxmlformats.org/officeDocument/2006/relationships/hyperlink" Target="mailto:%2Adeivissr2000@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dfs.semanticscholar.org/8461/02b0bbcc50ce2f7e89fe99a5c07055a6696c.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E73BB-511E-4DDF-A7F9-790CCE6E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3625</Words>
  <Characters>19942</Characters>
  <Application>Microsoft Office Word</Application>
  <DocSecurity>0</DocSecurity>
  <Lines>166</Lines>
  <Paragraphs>47</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DOCENTE: DEIVIS SUAREZ RIVERO</cp:lastModifiedBy>
  <cp:revision>2</cp:revision>
  <cp:lastPrinted>2015-05-12T18:31:00Z</cp:lastPrinted>
  <dcterms:created xsi:type="dcterms:W3CDTF">2024-02-26T20:25:00Z</dcterms:created>
  <dcterms:modified xsi:type="dcterms:W3CDTF">2024-02-26T20:25:00Z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