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2FAE27BF" w:rsidR="000A03B2" w:rsidRPr="00B57B36" w:rsidRDefault="000A03B2" w:rsidP="00F235BF">
            <w:pPr>
              <w:pStyle w:val="CETBodytext"/>
              <w:jc w:val="left"/>
              <w:rPr>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Pictur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F235BF">
              <w:rPr>
                <w:rFonts w:cs="Arial"/>
                <w:b/>
                <w:bCs/>
                <w:i/>
                <w:iCs/>
                <w:color w:val="000066"/>
                <w:sz w:val="24"/>
                <w:szCs w:val="24"/>
                <w:lang w:val="en-GB" w:eastAsia="it-IT"/>
              </w:rPr>
              <w:t>CHEMICAL</w:t>
            </w:r>
            <w:r w:rsidR="00F235BF">
              <w:rPr>
                <w:rFonts w:cs="Arial"/>
                <w:b/>
                <w:bCs/>
                <w:i/>
                <w:iCs/>
                <w:color w:val="000066"/>
                <w:sz w:val="24"/>
                <w:szCs w:val="24"/>
                <w:lang w:val="en-GB" w:eastAsia="it-IT"/>
              </w:rPr>
              <w:t xml:space="preserve"> </w:t>
            </w:r>
            <w:r w:rsidRPr="00F235BF">
              <w:rPr>
                <w:rFonts w:cs="Arial"/>
                <w:b/>
                <w:bCs/>
                <w:i/>
                <w:iCs/>
                <w:color w:val="000066"/>
                <w:sz w:val="24"/>
                <w:szCs w:val="24"/>
                <w:lang w:val="en-GB" w:eastAsia="it-IT"/>
              </w:rPr>
              <w:t>ENGINEERING</w:t>
            </w:r>
            <w:r w:rsidR="00F235BF">
              <w:rPr>
                <w:rFonts w:cs="Arial"/>
                <w:b/>
                <w:bCs/>
                <w:i/>
                <w:iCs/>
                <w:color w:val="000066"/>
                <w:sz w:val="24"/>
                <w:szCs w:val="24"/>
                <w:lang w:val="en-GB" w:eastAsia="it-IT"/>
              </w:rPr>
              <w:t xml:space="preserve"> </w:t>
            </w:r>
            <w:r w:rsidRPr="001E5E09">
              <w:rPr>
                <w:rFonts w:cs="Arial"/>
                <w:b/>
                <w:bCs/>
                <w:i/>
                <w:iCs/>
                <w:color w:val="666666"/>
                <w:sz w:val="24"/>
                <w:szCs w:val="24"/>
                <w:lang w:val="en-GB" w:eastAsia="it-IT"/>
              </w:rPr>
              <w:t xml:space="preserve">TRANSACTIONS </w:t>
            </w:r>
            <w:r w:rsidRPr="00B57B36">
              <w:rPr>
                <w:sz w:val="27"/>
                <w:szCs w:val="27"/>
                <w:lang w:eastAsia="it-IT"/>
              </w:rPr>
              <w:br/>
            </w:r>
          </w:p>
          <w:p w14:paraId="4B780582" w14:textId="3A05F02F"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843EAC">
              <w:rPr>
                <w:rFonts w:cs="Arial"/>
                <w:b/>
                <w:bCs/>
                <w:i/>
                <w:iCs/>
                <w:color w:val="000066"/>
                <w:sz w:val="22"/>
                <w:szCs w:val="22"/>
                <w:lang w:eastAsia="it-IT"/>
              </w:rPr>
              <w:t xml:space="preserve">    </w:t>
            </w:r>
            <w:r w:rsidR="004761E9">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723169">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Pictur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46661ED6" w:rsidR="00AA7D26" w:rsidRPr="003A6FC6"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843EAC">
              <w:rPr>
                <w:rFonts w:ascii="Tahoma" w:hAnsi="Tahoma" w:cs="Tahoma"/>
                <w:color w:val="000000"/>
                <w:sz w:val="14"/>
                <w:szCs w:val="14"/>
                <w:shd w:val="clear" w:color="auto" w:fill="FFFFFF"/>
                <w:lang w:val="it-IT"/>
              </w:rPr>
              <w:t xml:space="preserve">Marco Bravi, Antonio </w:t>
            </w:r>
            <w:proofErr w:type="spellStart"/>
            <w:r w:rsidR="00843EAC">
              <w:rPr>
                <w:rFonts w:ascii="Tahoma" w:hAnsi="Tahoma" w:cs="Tahoma"/>
                <w:color w:val="000000"/>
                <w:sz w:val="14"/>
                <w:szCs w:val="14"/>
                <w:shd w:val="clear" w:color="auto" w:fill="FFFFFF"/>
                <w:lang w:val="it-IT"/>
              </w:rPr>
              <w:t>Marzocchella</w:t>
            </w:r>
            <w:proofErr w:type="spellEnd"/>
            <w:r w:rsidR="00843EAC">
              <w:rPr>
                <w:rFonts w:ascii="Tahoma" w:hAnsi="Tahoma" w:cs="Tahoma"/>
                <w:color w:val="000000"/>
                <w:sz w:val="14"/>
                <w:szCs w:val="14"/>
                <w:shd w:val="clear" w:color="auto" w:fill="FFFFFF"/>
                <w:lang w:val="it-IT"/>
              </w:rPr>
              <w:t>, Giuseppe Caputo</w:t>
            </w:r>
          </w:p>
          <w:p w14:paraId="1B0F1814" w14:textId="62155F0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xml:space="preserve">, AIDIC Servizi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723169">
              <w:rPr>
                <w:rFonts w:ascii="Tahoma" w:hAnsi="Tahoma" w:cs="Tahoma"/>
                <w:sz w:val="14"/>
                <w:szCs w:val="14"/>
              </w:rPr>
              <w:t>10-6</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010EA59A" w:rsidR="00E978D0" w:rsidRPr="00B57B36" w:rsidRDefault="0033538E" w:rsidP="00E978D0">
      <w:pPr>
        <w:pStyle w:val="CETTitle"/>
      </w:pPr>
      <w:proofErr w:type="spellStart"/>
      <w:r w:rsidRPr="0033538E">
        <w:t>Valorization</w:t>
      </w:r>
      <w:proofErr w:type="spellEnd"/>
      <w:r w:rsidRPr="0033538E">
        <w:t xml:space="preserve"> of Oilseed Cake through the </w:t>
      </w:r>
      <w:r>
        <w:t>Isolation</w:t>
      </w:r>
      <w:r w:rsidRPr="0033538E">
        <w:t xml:space="preserve"> of Cellulose by Autohydrolysis</w:t>
      </w:r>
    </w:p>
    <w:p w14:paraId="0488FED2" w14:textId="7A2AAC83" w:rsidR="00B57E6F" w:rsidRPr="00DE340F" w:rsidRDefault="00F45CEB" w:rsidP="00B57E6F">
      <w:pPr>
        <w:pStyle w:val="CETAuthors"/>
        <w:rPr>
          <w:lang w:val="it-IT"/>
        </w:rPr>
      </w:pPr>
      <w:r w:rsidRPr="00DE340F">
        <w:rPr>
          <w:lang w:val="it-IT"/>
        </w:rPr>
        <w:t>Matteo Cipriani</w:t>
      </w:r>
      <w:r w:rsidR="00B57E6F" w:rsidRPr="00DE340F">
        <w:rPr>
          <w:lang w:val="it-IT"/>
        </w:rPr>
        <w:t xml:space="preserve">, </w:t>
      </w:r>
      <w:r w:rsidR="00816887" w:rsidRPr="00DE340F">
        <w:rPr>
          <w:lang w:val="it-IT"/>
        </w:rPr>
        <w:t>Laura Principato, Giorgia Spigno, Andrea Bassani</w:t>
      </w:r>
      <w:r w:rsidR="00B57E6F" w:rsidRPr="00DE340F">
        <w:rPr>
          <w:lang w:val="it-IT"/>
        </w:rPr>
        <w:t>*</w:t>
      </w:r>
    </w:p>
    <w:p w14:paraId="3D72B0B0" w14:textId="540EEAE7" w:rsidR="00B57E6F" w:rsidRPr="00C201B9" w:rsidRDefault="00C201B9" w:rsidP="00B57E6F">
      <w:pPr>
        <w:pStyle w:val="CETAddress"/>
        <w:rPr>
          <w:lang w:val="it-IT"/>
        </w:rPr>
      </w:pPr>
      <w:r w:rsidRPr="00C201B9">
        <w:rPr>
          <w:lang w:val="it-IT"/>
        </w:rPr>
        <w:t>Università Cattolica del Sacro Cuore, Department for Sustainbale Food Process (DiSTAS), Via Emilia Parmense 84, 29122 Piacenza, Italy</w:t>
      </w:r>
      <w:r>
        <w:rPr>
          <w:lang w:val="it-IT"/>
        </w:rPr>
        <w:t>.</w:t>
      </w:r>
      <w:r w:rsidR="00B57E6F" w:rsidRPr="00C201B9">
        <w:rPr>
          <w:lang w:val="it-IT"/>
        </w:rPr>
        <w:t xml:space="preserve"> </w:t>
      </w:r>
    </w:p>
    <w:p w14:paraId="73F1267A" w14:textId="3A99101D" w:rsidR="00B57E6F" w:rsidRPr="00296011" w:rsidRDefault="00816887" w:rsidP="00B57E6F">
      <w:pPr>
        <w:pStyle w:val="CETemail"/>
        <w:rPr>
          <w:lang w:val="en-US"/>
        </w:rPr>
      </w:pPr>
      <w:r w:rsidRPr="00296011">
        <w:rPr>
          <w:lang w:val="en-US"/>
        </w:rPr>
        <w:t>andrea</w:t>
      </w:r>
      <w:r w:rsidR="00B57E6F" w:rsidRPr="00296011">
        <w:rPr>
          <w:lang w:val="en-US"/>
        </w:rPr>
        <w:t>.</w:t>
      </w:r>
      <w:r w:rsidRPr="00296011">
        <w:rPr>
          <w:lang w:val="en-US"/>
        </w:rPr>
        <w:t>bassani</w:t>
      </w:r>
      <w:r w:rsidR="00B57E6F" w:rsidRPr="00296011">
        <w:rPr>
          <w:lang w:val="en-US"/>
        </w:rPr>
        <w:t>@</w:t>
      </w:r>
      <w:r w:rsidRPr="00296011">
        <w:rPr>
          <w:lang w:val="en-US"/>
        </w:rPr>
        <w:t>unicatt</w:t>
      </w:r>
      <w:r w:rsidR="00B57E6F" w:rsidRPr="00296011">
        <w:rPr>
          <w:lang w:val="en-US"/>
        </w:rPr>
        <w:t>.</w:t>
      </w:r>
      <w:r w:rsidRPr="00296011">
        <w:rPr>
          <w:lang w:val="en-US"/>
        </w:rPr>
        <w:t>it</w:t>
      </w:r>
    </w:p>
    <w:p w14:paraId="37A61FCE" w14:textId="0801310B" w:rsidR="00DA24C6" w:rsidRDefault="00296011" w:rsidP="00E737FD">
      <w:pPr>
        <w:pStyle w:val="CETBodytext"/>
      </w:pPr>
      <w:bookmarkStart w:id="0" w:name="_Hlk495475023"/>
      <w:r w:rsidRPr="00296011">
        <w:t>Oilseed cakes</w:t>
      </w:r>
      <w:r w:rsidR="00005DBF">
        <w:t xml:space="preserve"> are by-products of </w:t>
      </w:r>
      <w:r w:rsidR="000405E3">
        <w:t xml:space="preserve">the </w:t>
      </w:r>
      <w:r w:rsidR="00005DBF">
        <w:t>oil extraction process that are</w:t>
      </w:r>
      <w:r w:rsidRPr="00296011">
        <w:t xml:space="preserve"> commonly used as animal feed</w:t>
      </w:r>
      <w:r w:rsidR="00005DBF">
        <w:t xml:space="preserve"> due to their high protein content</w:t>
      </w:r>
      <w:r w:rsidRPr="00296011">
        <w:t xml:space="preserve">. However, they can be </w:t>
      </w:r>
      <w:r w:rsidR="00EF6AF5">
        <w:t>valorized</w:t>
      </w:r>
      <w:r w:rsidRPr="00296011">
        <w:t xml:space="preserve"> </w:t>
      </w:r>
      <w:r w:rsidR="002D7A53">
        <w:t>also in other</w:t>
      </w:r>
      <w:r w:rsidRPr="00296011">
        <w:t xml:space="preserve"> ways</w:t>
      </w:r>
      <w:r w:rsidR="006F33A5">
        <w:t xml:space="preserve"> </w:t>
      </w:r>
      <w:r w:rsidR="009E2E0D">
        <w:t xml:space="preserve">producing for instance </w:t>
      </w:r>
      <w:r w:rsidRPr="00296011">
        <w:t>protein isolates</w:t>
      </w:r>
      <w:r w:rsidR="009E2E0D">
        <w:t xml:space="preserve"> or</w:t>
      </w:r>
      <w:r w:rsidRPr="00296011">
        <w:t xml:space="preserve"> bioenergy. </w:t>
      </w:r>
      <w:r w:rsidR="00B82AED">
        <w:rPr>
          <w:lang w:val="en-GB"/>
        </w:rPr>
        <w:t>I</w:t>
      </w:r>
      <w:r w:rsidR="00E737FD" w:rsidRPr="00E737FD">
        <w:rPr>
          <w:lang w:val="en-GB"/>
        </w:rPr>
        <w:t>n this work, the application of a lignocellulosic fractionation process on an oilseed cake to recover cellulose is tested.</w:t>
      </w:r>
      <w:r w:rsidR="00BB7FCD">
        <w:rPr>
          <w:lang w:val="en-GB"/>
        </w:rPr>
        <w:t xml:space="preserve"> Indeed</w:t>
      </w:r>
      <w:r w:rsidR="00A4772A">
        <w:rPr>
          <w:lang w:val="en-GB"/>
        </w:rPr>
        <w:t>,</w:t>
      </w:r>
      <w:r w:rsidR="00BB7FCD">
        <w:rPr>
          <w:lang w:val="en-GB"/>
        </w:rPr>
        <w:t xml:space="preserve"> </w:t>
      </w:r>
      <w:r w:rsidR="00602CE9" w:rsidRPr="00E737FD">
        <w:rPr>
          <w:lang w:val="en-GB"/>
        </w:rPr>
        <w:t>oilseed cake</w:t>
      </w:r>
      <w:r w:rsidR="00602CE9">
        <w:rPr>
          <w:lang w:val="en-GB"/>
        </w:rPr>
        <w:t xml:space="preserve"> can have a relevant content of cellulose t</w:t>
      </w:r>
      <w:r w:rsidR="00A4772A">
        <w:rPr>
          <w:lang w:val="en-GB"/>
        </w:rPr>
        <w:t>hat can be isolated.</w:t>
      </w:r>
      <w:r w:rsidR="00E737FD" w:rsidRPr="00E737FD">
        <w:rPr>
          <w:lang w:val="en-GB"/>
        </w:rPr>
        <w:t xml:space="preserve"> It is important to point out that the first hydrolysis step is carried out as an auto-hydrolysis novel process instead of a conventional mild acid hydrolysis to reduce the environmental impact of the process itself. The first aim of this work is to investigate, discuss and verify the applicability of such a fractionation process on oilseed cake. In addition, to further reduce the potential environmental impact of the process, the effects of variation of both NaOH concentration and temperature in the alkaline hydrolysis are investigated and discussed as the second aim. Therefore, experimental tests are carried out at three different NaOH concentrations (i.e., 1.5, 4.0, 16.0% v/v) and two different temperatures (i.e., 25 and 60°C) to make an initial assessment of the optimal conditions for cellulose recovery and reduced environmental impact</w:t>
      </w:r>
      <w:bookmarkEnd w:id="0"/>
      <w:r w:rsidR="00E737FD">
        <w:rPr>
          <w:lang w:val="en-GB"/>
        </w:rPr>
        <w:t>.</w:t>
      </w:r>
    </w:p>
    <w:p w14:paraId="476B2F2E" w14:textId="77777777" w:rsidR="00600535" w:rsidRPr="00B57B36" w:rsidRDefault="00600535" w:rsidP="00600535">
      <w:pPr>
        <w:pStyle w:val="CETHeading1"/>
        <w:rPr>
          <w:lang w:val="en-GB"/>
        </w:rPr>
      </w:pPr>
      <w:r w:rsidRPr="00B57B36">
        <w:rPr>
          <w:lang w:val="en-GB"/>
        </w:rPr>
        <w:t>Introduction</w:t>
      </w:r>
    </w:p>
    <w:p w14:paraId="13A0D568" w14:textId="7D118F89" w:rsidR="006A7BF1" w:rsidRDefault="00B82AED" w:rsidP="00600535">
      <w:pPr>
        <w:pStyle w:val="CETBodytext"/>
      </w:pPr>
      <w:r w:rsidRPr="00E737FD">
        <w:rPr>
          <w:lang w:val="en-GB"/>
        </w:rPr>
        <w:t xml:space="preserve">Europe is a significant producer of various oilseed crops, such as rapeseed, sunflower, soybeans, and more. These oilseeds are processed to extract oil, and the by-product remaining after oil extraction is known as oilseed cake or meal. Oilseed cakes are valuable sources of protein and are commonly used as animal feed due to their nutritional content. However, they can be </w:t>
      </w:r>
      <w:proofErr w:type="spellStart"/>
      <w:r w:rsidRPr="00E737FD">
        <w:rPr>
          <w:lang w:val="en-GB"/>
        </w:rPr>
        <w:t>valorized</w:t>
      </w:r>
      <w:proofErr w:type="spellEnd"/>
      <w:r w:rsidRPr="00E737FD">
        <w:rPr>
          <w:lang w:val="en-GB"/>
        </w:rPr>
        <w:t xml:space="preserve"> also in different ways because are rich in non-starch polysaccharides, antioxidants, </w:t>
      </w:r>
      <w:proofErr w:type="spellStart"/>
      <w:r w:rsidRPr="00E737FD">
        <w:rPr>
          <w:lang w:val="en-GB"/>
        </w:rPr>
        <w:t>fib</w:t>
      </w:r>
      <w:r w:rsidR="0032542A">
        <w:rPr>
          <w:lang w:val="en-GB"/>
        </w:rPr>
        <w:t>er</w:t>
      </w:r>
      <w:r w:rsidRPr="00E737FD">
        <w:rPr>
          <w:lang w:val="en-GB"/>
        </w:rPr>
        <w:t>s</w:t>
      </w:r>
      <w:proofErr w:type="spellEnd"/>
      <w:r w:rsidRPr="00E737FD">
        <w:rPr>
          <w:lang w:val="en-GB"/>
        </w:rPr>
        <w:t xml:space="preserve">, vitamins and minerals. </w:t>
      </w:r>
      <w:r w:rsidRPr="004A23C9">
        <w:rPr>
          <w:lang w:val="en-GB"/>
        </w:rPr>
        <w:t xml:space="preserve">Indeed, applying the suitable technology, oilseed cake can be used for the production of protein isolate, bioenergy, biopolymer, pesticides, or </w:t>
      </w:r>
      <w:r w:rsidRPr="003705B3">
        <w:rPr>
          <w:lang w:val="en-GB"/>
        </w:rPr>
        <w:t>bioelectricity</w:t>
      </w:r>
      <w:r w:rsidR="004A23C9" w:rsidRPr="003705B3">
        <w:rPr>
          <w:lang w:val="en-GB"/>
        </w:rPr>
        <w:t xml:space="preserve"> (</w:t>
      </w:r>
      <w:r w:rsidR="003705B3" w:rsidRPr="003705B3">
        <w:rPr>
          <w:lang w:val="en-GB"/>
        </w:rPr>
        <w:t>Sarkar et al., 2021</w:t>
      </w:r>
      <w:r w:rsidR="004A23C9" w:rsidRPr="003705B3">
        <w:rPr>
          <w:lang w:val="en-GB"/>
        </w:rPr>
        <w:t>)</w:t>
      </w:r>
      <w:r w:rsidR="001C0734">
        <w:rPr>
          <w:lang w:val="en-GB"/>
        </w:rPr>
        <w:t>.</w:t>
      </w:r>
      <w:r w:rsidRPr="004A23C9">
        <w:rPr>
          <w:lang w:val="en-GB"/>
        </w:rPr>
        <w:t xml:space="preserve"> Another potential way to </w:t>
      </w:r>
      <w:proofErr w:type="spellStart"/>
      <w:r w:rsidRPr="004A23C9">
        <w:rPr>
          <w:lang w:val="en-GB"/>
        </w:rPr>
        <w:t>valorize</w:t>
      </w:r>
      <w:proofErr w:type="spellEnd"/>
      <w:r w:rsidRPr="004A23C9">
        <w:rPr>
          <w:lang w:val="en-GB"/>
        </w:rPr>
        <w:t xml:space="preserve"> this residue could be the recovery of the cellulose fraction</w:t>
      </w:r>
      <w:r w:rsidR="009563D9" w:rsidRPr="009563D9">
        <w:rPr>
          <w:lang w:val="en-GB"/>
        </w:rPr>
        <w:t xml:space="preserve"> </w:t>
      </w:r>
      <w:r w:rsidR="009563D9" w:rsidRPr="004A23C9">
        <w:rPr>
          <w:lang w:val="en-GB"/>
        </w:rPr>
        <w:t>due to its quite high content in oilseed cake</w:t>
      </w:r>
      <w:r w:rsidR="009563D9">
        <w:rPr>
          <w:lang w:val="en-GB"/>
        </w:rPr>
        <w:t xml:space="preserve"> (</w:t>
      </w:r>
      <w:r w:rsidR="00A94BD3" w:rsidRPr="0090052B">
        <w:rPr>
          <w:lang w:val="en-GB"/>
        </w:rPr>
        <w:t>Fernández</w:t>
      </w:r>
      <w:r w:rsidR="00A94BD3" w:rsidRPr="0090052B">
        <w:rPr>
          <w:rFonts w:ascii="Cambria Math" w:hAnsi="Cambria Math" w:cs="Cambria Math"/>
          <w:lang w:val="en-GB"/>
        </w:rPr>
        <w:t>‐</w:t>
      </w:r>
      <w:proofErr w:type="spellStart"/>
      <w:r w:rsidR="00A94BD3" w:rsidRPr="0090052B">
        <w:rPr>
          <w:lang w:val="en-GB"/>
        </w:rPr>
        <w:t>Cegr</w:t>
      </w:r>
      <w:r w:rsidR="00A94BD3" w:rsidRPr="0090052B">
        <w:rPr>
          <w:rFonts w:cs="Arial"/>
          <w:lang w:val="en-GB"/>
        </w:rPr>
        <w:t>í</w:t>
      </w:r>
      <w:proofErr w:type="spellEnd"/>
      <w:r w:rsidR="00A94BD3" w:rsidRPr="0090052B">
        <w:rPr>
          <w:lang w:val="en-GB"/>
        </w:rPr>
        <w:t xml:space="preserve"> et al.</w:t>
      </w:r>
      <w:r w:rsidR="00AF299B">
        <w:rPr>
          <w:lang w:val="en-GB"/>
        </w:rPr>
        <w:t xml:space="preserve">, </w:t>
      </w:r>
      <w:r w:rsidR="00A94BD3" w:rsidRPr="0090052B">
        <w:rPr>
          <w:lang w:val="en-GB"/>
        </w:rPr>
        <w:t>201</w:t>
      </w:r>
      <w:r w:rsidR="00A94BD3">
        <w:rPr>
          <w:lang w:val="en-GB"/>
        </w:rPr>
        <w:t>3</w:t>
      </w:r>
      <w:r w:rsidR="009563D9">
        <w:rPr>
          <w:lang w:val="en-GB"/>
        </w:rPr>
        <w:t xml:space="preserve">). </w:t>
      </w:r>
      <w:r w:rsidR="00D337D0">
        <w:rPr>
          <w:lang w:val="en-GB"/>
        </w:rPr>
        <w:t>Cellulose re</w:t>
      </w:r>
      <w:r w:rsidR="00F9173A">
        <w:rPr>
          <w:lang w:val="en-GB"/>
        </w:rPr>
        <w:t>covered</w:t>
      </w:r>
      <w:r w:rsidR="009563D9">
        <w:rPr>
          <w:lang w:val="en-GB"/>
        </w:rPr>
        <w:t xml:space="preserve"> </w:t>
      </w:r>
      <w:r w:rsidR="009563D9" w:rsidRPr="00714AA1">
        <w:t xml:space="preserve">has </w:t>
      </w:r>
      <w:r w:rsidR="009563D9" w:rsidRPr="0088773A">
        <w:t xml:space="preserve">very good properties such as </w:t>
      </w:r>
      <w:r w:rsidR="009563D9" w:rsidRPr="00714AA1">
        <w:t xml:space="preserve">renewability, biodegradability, lightweight and good mechanical </w:t>
      </w:r>
      <w:r w:rsidR="009563D9" w:rsidRPr="0088773A">
        <w:t xml:space="preserve">characteristics </w:t>
      </w:r>
      <w:r w:rsidR="009563D9" w:rsidRPr="00A94BD3">
        <w:t>(Kassab et. al., 2019),</w:t>
      </w:r>
      <w:r w:rsidR="009563D9">
        <w:t xml:space="preserve"> and can </w:t>
      </w:r>
      <w:r w:rsidR="009563D9" w:rsidRPr="004A23C9">
        <w:rPr>
          <w:lang w:val="en-GB"/>
        </w:rPr>
        <w:t>be used as packaging filler or for paper production</w:t>
      </w:r>
      <w:r w:rsidR="009563D9">
        <w:rPr>
          <w:lang w:val="en-GB"/>
        </w:rPr>
        <w:t>.</w:t>
      </w:r>
      <w:r w:rsidR="001E687B" w:rsidRPr="001E687B">
        <w:t xml:space="preserve"> </w:t>
      </w:r>
      <w:r w:rsidR="001E687B" w:rsidRPr="0088773A">
        <w:t>Different processes are available in the literature for the isolation of cellulose</w:t>
      </w:r>
      <w:r w:rsidR="001E687B">
        <w:t xml:space="preserve"> from by-products</w:t>
      </w:r>
      <w:r w:rsidR="00AC12E6">
        <w:t xml:space="preserve"> </w:t>
      </w:r>
      <w:r w:rsidR="0008155B" w:rsidRPr="0008155B">
        <w:t>and most of these involve acid and/or alkaline treatment</w:t>
      </w:r>
      <w:r w:rsidR="005A5ABC">
        <w:t>s</w:t>
      </w:r>
      <w:r w:rsidR="00400B6D">
        <w:t xml:space="preserve">. For instance, </w:t>
      </w:r>
      <w:r w:rsidR="00400B6D" w:rsidRPr="00A94BD3">
        <w:t>Sumesh et al. (2020)</w:t>
      </w:r>
      <w:r w:rsidR="00237533">
        <w:t xml:space="preserve"> obtained </w:t>
      </w:r>
      <w:r w:rsidR="00237533" w:rsidRPr="00400B6D">
        <w:t>fibers with a cellulose content of around 82.3%</w:t>
      </w:r>
      <w:r w:rsidR="00237533">
        <w:t xml:space="preserve"> w/w from p</w:t>
      </w:r>
      <w:r w:rsidR="00237533" w:rsidRPr="00237533">
        <w:t xml:space="preserve">eanut oil cake </w:t>
      </w:r>
      <w:r w:rsidR="00970BEA">
        <w:t xml:space="preserve">by </w:t>
      </w:r>
      <w:r w:rsidR="00237533">
        <w:t>performing</w:t>
      </w:r>
      <w:r w:rsidR="00400B6D" w:rsidRPr="00400B6D">
        <w:t xml:space="preserve"> an alkaline treatment with 4%</w:t>
      </w:r>
      <w:r w:rsidR="00237533">
        <w:t xml:space="preserve"> w/v of</w:t>
      </w:r>
      <w:r w:rsidR="00400B6D" w:rsidRPr="00400B6D">
        <w:t xml:space="preserve"> NaOH at 80°C for 1.5 h</w:t>
      </w:r>
      <w:r w:rsidR="00CE04F5">
        <w:t>ours</w:t>
      </w:r>
      <w:r w:rsidR="00400B6D" w:rsidRPr="00400B6D">
        <w:t xml:space="preserve"> followed by </w:t>
      </w:r>
      <w:r w:rsidR="00970BEA">
        <w:t xml:space="preserve">a </w:t>
      </w:r>
      <w:r w:rsidR="00400B6D" w:rsidRPr="00400B6D">
        <w:t xml:space="preserve">bleaching </w:t>
      </w:r>
      <w:r w:rsidR="00237533">
        <w:t xml:space="preserve">step </w:t>
      </w:r>
      <w:r w:rsidR="00CE04F5">
        <w:t xml:space="preserve">using </w:t>
      </w:r>
      <w:r w:rsidR="00EF1B13">
        <w:t>0.</w:t>
      </w:r>
      <w:r w:rsidR="004B6DAE">
        <w:t xml:space="preserve">7% v/v </w:t>
      </w:r>
      <w:r w:rsidR="00400B6D" w:rsidRPr="00400B6D">
        <w:t>NaClO</w:t>
      </w:r>
      <w:r w:rsidR="00400B6D" w:rsidRPr="00237533">
        <w:rPr>
          <w:vertAlign w:val="subscript"/>
        </w:rPr>
        <w:t>2</w:t>
      </w:r>
      <w:r w:rsidR="00400B6D" w:rsidRPr="00400B6D">
        <w:t xml:space="preserve"> at 100°C a</w:t>
      </w:r>
      <w:r w:rsidR="00CE04F5">
        <w:t xml:space="preserve">nd </w:t>
      </w:r>
      <w:r w:rsidR="00400B6D" w:rsidRPr="00400B6D">
        <w:t>further treatment with 4%</w:t>
      </w:r>
      <w:r w:rsidR="00CE04F5">
        <w:t xml:space="preserve"> w/v</w:t>
      </w:r>
      <w:r w:rsidR="00400B6D" w:rsidRPr="00400B6D">
        <w:t xml:space="preserve"> NaOH</w:t>
      </w:r>
      <w:r w:rsidR="00CE04F5">
        <w:t xml:space="preserve"> </w:t>
      </w:r>
      <w:r w:rsidR="00400B6D" w:rsidRPr="00400B6D">
        <w:t>at 20°C</w:t>
      </w:r>
      <w:r w:rsidR="00CE04F5">
        <w:t>.</w:t>
      </w:r>
      <w:r w:rsidR="00602E89">
        <w:t xml:space="preserve"> </w:t>
      </w:r>
      <w:r w:rsidR="00602E89" w:rsidRPr="00A94BD3">
        <w:t>Also Hu et al. (2017)</w:t>
      </w:r>
      <w:r w:rsidR="00602E89" w:rsidRPr="00602E89">
        <w:t xml:space="preserve"> proposed a </w:t>
      </w:r>
      <w:r w:rsidR="00A129B8" w:rsidRPr="00602E89">
        <w:t xml:space="preserve">mild </w:t>
      </w:r>
      <w:r w:rsidR="00602E89" w:rsidRPr="00602E89">
        <w:t>treatment</w:t>
      </w:r>
      <w:r w:rsidR="000B0C90">
        <w:t xml:space="preserve"> for cellulose recover</w:t>
      </w:r>
      <w:r w:rsidR="004F7F62">
        <w:t xml:space="preserve">y from </w:t>
      </w:r>
      <w:r w:rsidR="004F7F62" w:rsidRPr="004F7F62">
        <w:t>argan press cake</w:t>
      </w:r>
      <w:r w:rsidR="004F7F62">
        <w:t xml:space="preserve">. Such treatment </w:t>
      </w:r>
      <w:r w:rsidR="00F9146B">
        <w:t xml:space="preserve">was done </w:t>
      </w:r>
      <w:r w:rsidR="00602E89" w:rsidRPr="00602E89">
        <w:t>at 80°C with an aqueous solution of 12% NaOH and 8% sodium sul</w:t>
      </w:r>
      <w:r w:rsidR="00695AE6">
        <w:t>f</w:t>
      </w:r>
      <w:r w:rsidR="00602E89" w:rsidRPr="00602E89">
        <w:t xml:space="preserve">ate, followed by bleaching in different stages with various solutions containing, among others, </w:t>
      </w:r>
      <w:proofErr w:type="spellStart"/>
      <w:r w:rsidR="00602E89" w:rsidRPr="00602E89">
        <w:t>NaOCl</w:t>
      </w:r>
      <w:proofErr w:type="spellEnd"/>
      <w:r w:rsidR="00695AE6">
        <w:t xml:space="preserve">, </w:t>
      </w:r>
      <w:r w:rsidR="00602E89" w:rsidRPr="00602E89">
        <w:t>H</w:t>
      </w:r>
      <w:r w:rsidR="00602E89" w:rsidRPr="00F9146B">
        <w:rPr>
          <w:vertAlign w:val="subscript"/>
        </w:rPr>
        <w:t>2</w:t>
      </w:r>
      <w:r w:rsidR="00602E89" w:rsidRPr="00602E89">
        <w:t>O</w:t>
      </w:r>
      <w:r w:rsidR="00602E89" w:rsidRPr="00F9146B">
        <w:rPr>
          <w:vertAlign w:val="subscript"/>
        </w:rPr>
        <w:t>2</w:t>
      </w:r>
      <w:r w:rsidR="00602E89" w:rsidRPr="00602E89">
        <w:t xml:space="preserve"> and NaOH</w:t>
      </w:r>
      <w:r w:rsidR="00F9146B">
        <w:t xml:space="preserve">. </w:t>
      </w:r>
      <w:r w:rsidR="00A63BE6">
        <w:t>Specifically rega</w:t>
      </w:r>
      <w:r w:rsidR="00FA784C">
        <w:t>rding the isolation of cellulose from</w:t>
      </w:r>
      <w:r w:rsidR="0020349C">
        <w:t xml:space="preserve"> oilseed cakes</w:t>
      </w:r>
      <w:r w:rsidR="0020349C" w:rsidRPr="00A94BD3">
        <w:t>,</w:t>
      </w:r>
      <w:r w:rsidR="00EA0ADC" w:rsidRPr="00A94BD3">
        <w:t xml:space="preserve"> Kassab et. al. (2019)</w:t>
      </w:r>
      <w:r w:rsidR="00EA0ADC" w:rsidRPr="00EA0ADC">
        <w:t xml:space="preserve"> obtained </w:t>
      </w:r>
      <w:proofErr w:type="spellStart"/>
      <w:r w:rsidR="00EA0ADC" w:rsidRPr="00EA0ADC">
        <w:t>microfibres</w:t>
      </w:r>
      <w:proofErr w:type="spellEnd"/>
      <w:r w:rsidR="00FA784C">
        <w:t xml:space="preserve"> of cellulose</w:t>
      </w:r>
      <w:r w:rsidR="00EA0ADC" w:rsidRPr="00EA0ADC">
        <w:t xml:space="preserve"> by treating</w:t>
      </w:r>
      <w:r w:rsidR="00FA784C">
        <w:t xml:space="preserve"> </w:t>
      </w:r>
      <w:r w:rsidR="00A62D1D">
        <w:t>sunflower</w:t>
      </w:r>
      <w:r w:rsidR="00FA784C">
        <w:t xml:space="preserve"> cake</w:t>
      </w:r>
      <w:r w:rsidR="00EA0ADC" w:rsidRPr="00EA0ADC">
        <w:t xml:space="preserve"> </w:t>
      </w:r>
      <w:r w:rsidR="00A62D1D">
        <w:t>three</w:t>
      </w:r>
      <w:r w:rsidR="00EA0ADC" w:rsidRPr="00EA0ADC">
        <w:t xml:space="preserve"> times with NaOH 4%</w:t>
      </w:r>
      <w:r w:rsidR="00A62D1D">
        <w:t xml:space="preserve"> w/v</w:t>
      </w:r>
      <w:r w:rsidR="00EA0ADC" w:rsidRPr="00EA0ADC">
        <w:t xml:space="preserve"> at 80°C for 2</w:t>
      </w:r>
      <w:r w:rsidR="00A62D1D">
        <w:t xml:space="preserve"> </w:t>
      </w:r>
      <w:r w:rsidR="00EA0ADC" w:rsidRPr="00EA0ADC">
        <w:t>h</w:t>
      </w:r>
      <w:r w:rsidR="00A62D1D">
        <w:t>ours</w:t>
      </w:r>
      <w:r w:rsidR="008B0BE0">
        <w:t xml:space="preserve"> </w:t>
      </w:r>
      <w:r w:rsidR="0085791B">
        <w:t>followed by a bleaching step</w:t>
      </w:r>
      <w:r w:rsidR="00EA0ADC" w:rsidRPr="00EA0ADC">
        <w:t xml:space="preserve"> with acid</w:t>
      </w:r>
      <w:r w:rsidR="00B903D9">
        <w:t xml:space="preserve"> hydrolysis using sulfuric acid</w:t>
      </w:r>
      <w:r w:rsidR="00EA0ADC" w:rsidRPr="00EA0ADC">
        <w:t>.</w:t>
      </w:r>
      <w:r w:rsidR="00583A89">
        <w:t xml:space="preserve"> </w:t>
      </w:r>
      <w:r w:rsidR="00583A89" w:rsidRPr="00583A89">
        <w:t xml:space="preserve">All these treatments are effective in isolating cellulose but have a significant impact on the environment as they require several treatments with </w:t>
      </w:r>
      <w:r w:rsidR="00024BBF">
        <w:t>NaOH</w:t>
      </w:r>
      <w:r w:rsidR="00583A89" w:rsidRPr="00583A89">
        <w:t xml:space="preserve"> and</w:t>
      </w:r>
      <w:r w:rsidR="00695AE6">
        <w:t>,</w:t>
      </w:r>
      <w:r w:rsidR="00583A89" w:rsidRPr="00583A89">
        <w:t xml:space="preserve"> in some cases</w:t>
      </w:r>
      <w:r w:rsidR="00695AE6">
        <w:t>,</w:t>
      </w:r>
      <w:r w:rsidR="00583A89" w:rsidRPr="00583A89">
        <w:t xml:space="preserve"> even acid hydrolysis. </w:t>
      </w:r>
      <w:r w:rsidR="00034D6D">
        <w:t xml:space="preserve">For this reason, </w:t>
      </w:r>
      <w:r w:rsidR="00B46B82">
        <w:t xml:space="preserve">the </w:t>
      </w:r>
      <w:r w:rsidR="00E807FA">
        <w:t>reduction or removal of</w:t>
      </w:r>
      <w:r w:rsidR="00B46B82" w:rsidRPr="00B46B82">
        <w:t xml:space="preserve"> the use of </w:t>
      </w:r>
      <w:r w:rsidR="00B46B82">
        <w:t>alkaline</w:t>
      </w:r>
      <w:r w:rsidR="00B46B82" w:rsidRPr="00B46B82">
        <w:t xml:space="preserve"> or aci</w:t>
      </w:r>
      <w:r w:rsidR="00B46B82">
        <w:t>d</w:t>
      </w:r>
      <w:r w:rsidR="00B46B82" w:rsidRPr="00B46B82">
        <w:t xml:space="preserve"> solvents is crucial </w:t>
      </w:r>
      <w:r w:rsidR="00B46B82">
        <w:t>for</w:t>
      </w:r>
      <w:r w:rsidR="00B46B82" w:rsidRPr="00B46B82">
        <w:t xml:space="preserve"> the environmental sustainability of the process.</w:t>
      </w:r>
      <w:r w:rsidR="00075075">
        <w:t xml:space="preserve"> In this framework, </w:t>
      </w:r>
      <w:r w:rsidR="00220C81">
        <w:t xml:space="preserve">autohydrolysis, </w:t>
      </w:r>
      <w:r w:rsidR="00695AE6">
        <w:t>which</w:t>
      </w:r>
      <w:r w:rsidR="00220C81">
        <w:t xml:space="preserve"> is a </w:t>
      </w:r>
      <w:r w:rsidR="009F18C6">
        <w:t>high</w:t>
      </w:r>
      <w:r w:rsidR="00695AE6">
        <w:t xml:space="preserve"> temperature</w:t>
      </w:r>
      <w:r w:rsidR="009E7502">
        <w:t xml:space="preserve"> (160-200°C)</w:t>
      </w:r>
      <w:r w:rsidR="0009289A">
        <w:t xml:space="preserve"> </w:t>
      </w:r>
      <w:r w:rsidR="00695AE6">
        <w:t xml:space="preserve">and </w:t>
      </w:r>
      <w:r w:rsidR="0009289A">
        <w:t>mid</w:t>
      </w:r>
      <w:r w:rsidR="00695AE6">
        <w:t>-</w:t>
      </w:r>
      <w:r w:rsidR="0009289A">
        <w:t>pressure</w:t>
      </w:r>
      <w:r w:rsidR="009E7502">
        <w:t xml:space="preserve"> (12-14 bars)</w:t>
      </w:r>
      <w:r w:rsidR="003D0595">
        <w:t xml:space="preserve"> treatment</w:t>
      </w:r>
      <w:r w:rsidR="009F18C6">
        <w:t>,</w:t>
      </w:r>
      <w:r w:rsidR="00220C81">
        <w:t xml:space="preserve"> can be a potential solution</w:t>
      </w:r>
      <w:r w:rsidR="003D0595">
        <w:t xml:space="preserve">. Indeed </w:t>
      </w:r>
      <w:r w:rsidR="008B2226">
        <w:t xml:space="preserve">autohydrolysis </w:t>
      </w:r>
      <w:r w:rsidR="008B2226" w:rsidRPr="008B2226">
        <w:t xml:space="preserve">is attractive because </w:t>
      </w:r>
      <w:r w:rsidR="008B2226">
        <w:t xml:space="preserve">doesn’t need </w:t>
      </w:r>
      <w:r w:rsidR="00752CF8">
        <w:t>any</w:t>
      </w:r>
      <w:r w:rsidR="008B2226" w:rsidRPr="008B2226">
        <w:t xml:space="preserve"> </w:t>
      </w:r>
      <w:r w:rsidR="00752CF8">
        <w:t xml:space="preserve">acid </w:t>
      </w:r>
      <w:r w:rsidR="00752CF8">
        <w:lastRenderedPageBreak/>
        <w:t xml:space="preserve">or alkaline </w:t>
      </w:r>
      <w:r w:rsidR="008B2226" w:rsidRPr="008B2226">
        <w:t>chemicals</w:t>
      </w:r>
      <w:r w:rsidR="00752CF8">
        <w:t xml:space="preserve"> but just water</w:t>
      </w:r>
      <w:r w:rsidR="009F18C6">
        <w:t xml:space="preserve"> (</w:t>
      </w:r>
      <w:r w:rsidR="009F18C6" w:rsidRPr="009F18C6">
        <w:t>Carvalheiro et. al.</w:t>
      </w:r>
      <w:r w:rsidR="00AF299B">
        <w:t xml:space="preserve">, </w:t>
      </w:r>
      <w:r w:rsidR="009F18C6" w:rsidRPr="009F18C6">
        <w:t>2016</w:t>
      </w:r>
      <w:r w:rsidR="009F18C6">
        <w:t>)</w:t>
      </w:r>
      <w:r w:rsidR="00A641C0">
        <w:t xml:space="preserve">. </w:t>
      </w:r>
      <w:r w:rsidR="00151ADF">
        <w:t xml:space="preserve">At </w:t>
      </w:r>
      <w:r w:rsidR="00151ADF" w:rsidRPr="00151ADF">
        <w:t xml:space="preserve">optimal conditions, autohydrolysis can remove almost all of the hemicellulose </w:t>
      </w:r>
      <w:r w:rsidR="002A5D35">
        <w:t>from</w:t>
      </w:r>
      <w:r w:rsidR="00B006FE">
        <w:t xml:space="preserve"> the by-product treated </w:t>
      </w:r>
      <w:r w:rsidR="00151ADF" w:rsidRPr="00151ADF">
        <w:t xml:space="preserve">and partially degrade the lignin, while retaining most of the cellulose. For this reason, it is often necessary to combine this treatment with others (e.g., alkali treatment) to isolate the cellulose while removing the lignin. For example, Fiorentini et al. (2022) recovered cellulose from wheat straw through </w:t>
      </w:r>
      <w:r w:rsidR="00B006FE">
        <w:t>three</w:t>
      </w:r>
      <w:r w:rsidR="00151ADF" w:rsidRPr="00151ADF">
        <w:t xml:space="preserve"> consecutive treatments: autohydrolysis, alkaline hydrolysis with NaOH and bleaching.</w:t>
      </w:r>
      <w:r w:rsidR="007820C5">
        <w:t xml:space="preserve"> </w:t>
      </w:r>
      <w:r w:rsidR="007820C5" w:rsidRPr="007820C5">
        <w:t xml:space="preserve">The </w:t>
      </w:r>
      <w:r w:rsidR="007820C5">
        <w:t xml:space="preserve">aim </w:t>
      </w:r>
      <w:r w:rsidR="007820C5" w:rsidRPr="007820C5">
        <w:t xml:space="preserve">of this work was to investigate the potential isolation of cellulose from oilseed cakes by exploiting the process of autohydrolysis. For this purpose, it was decided to follow the process proposed by Fiorentini et al. (2022). In addition, while the latter focused on optimizing the operating conditions of the autohydrolysis step, in this work it was decided to investigate </w:t>
      </w:r>
      <w:r w:rsidR="007820C5">
        <w:t>in-de</w:t>
      </w:r>
      <w:r w:rsidR="00B91A64">
        <w:t>pth</w:t>
      </w:r>
      <w:r w:rsidR="007820C5">
        <w:t xml:space="preserve"> </w:t>
      </w:r>
      <w:r w:rsidR="007820C5" w:rsidRPr="007820C5">
        <w:t xml:space="preserve">the alkaline hydrolysis step by </w:t>
      </w:r>
      <w:r w:rsidR="00B91A64">
        <w:t>evaluating</w:t>
      </w:r>
      <w:r w:rsidR="007820C5" w:rsidRPr="007820C5">
        <w:t xml:space="preserve"> its effectiveness as a function of different NaOH concentrations and treatment temperatures to evaluate a potential reduction in NaOH use, thus improving the environmental impact of the process itself.</w:t>
      </w:r>
    </w:p>
    <w:p w14:paraId="5E49D73A" w14:textId="0C180945" w:rsidR="00A66F9E" w:rsidRPr="00A66F9E" w:rsidRDefault="00C822D1" w:rsidP="00A66F9E">
      <w:pPr>
        <w:pStyle w:val="CETHeading1"/>
      </w:pPr>
      <w:r w:rsidRPr="00C822D1">
        <w:t>Material and Methods</w:t>
      </w:r>
    </w:p>
    <w:p w14:paraId="553F8812" w14:textId="73FE855B" w:rsidR="007F46D2" w:rsidRDefault="009D36D1" w:rsidP="00F96DC7">
      <w:pPr>
        <w:pStyle w:val="CETBodytext"/>
      </w:pPr>
      <w:r>
        <w:t>T</w:t>
      </w:r>
      <w:r w:rsidR="00E63BCB" w:rsidRPr="00A94BD3">
        <w:t>he samples</w:t>
      </w:r>
      <w:r>
        <w:t xml:space="preserve"> of </w:t>
      </w:r>
      <w:r w:rsidR="00C22F5D" w:rsidRPr="00A94BD3">
        <w:t>oilseed cake</w:t>
      </w:r>
      <w:r w:rsidR="00E63BCB" w:rsidRPr="00A94BD3">
        <w:t xml:space="preserve"> were subjected to a lignocellulosic fractionation process</w:t>
      </w:r>
      <w:r w:rsidR="00C22F5D">
        <w:t xml:space="preserve"> </w:t>
      </w:r>
      <w:r w:rsidR="00E63BCB" w:rsidRPr="00A94BD3">
        <w:t xml:space="preserve">reported in </w:t>
      </w:r>
      <w:r w:rsidR="00E63BCB" w:rsidRPr="00A94BD3">
        <w:fldChar w:fldCharType="begin"/>
      </w:r>
      <w:r w:rsidR="00E63BCB" w:rsidRPr="00A94BD3">
        <w:instrText xml:space="preserve"> REF _Ref156397377 \h </w:instrText>
      </w:r>
      <w:r w:rsidR="00A94BD3">
        <w:instrText xml:space="preserve"> \* MERGEFORMAT </w:instrText>
      </w:r>
      <w:r w:rsidR="00E63BCB" w:rsidRPr="00A94BD3">
        <w:fldChar w:fldCharType="separate"/>
      </w:r>
      <w:r w:rsidR="00E63BCB" w:rsidRPr="00A94BD3">
        <w:t xml:space="preserve">Figure </w:t>
      </w:r>
      <w:r w:rsidR="00E63BCB" w:rsidRPr="00A94BD3">
        <w:rPr>
          <w:noProof/>
        </w:rPr>
        <w:t>1</w:t>
      </w:r>
      <w:r w:rsidR="00E63BCB" w:rsidRPr="00A94BD3">
        <w:fldChar w:fldCharType="end"/>
      </w:r>
      <w:r w:rsidR="00601835">
        <w:t xml:space="preserve"> </w:t>
      </w:r>
      <w:r w:rsidR="00601835" w:rsidRPr="00A94BD3">
        <w:t>to isolate cellulose</w:t>
      </w:r>
      <w:r w:rsidR="00601835">
        <w:t xml:space="preserve">. </w:t>
      </w:r>
      <w:r w:rsidR="000116B4">
        <w:t>T</w:t>
      </w:r>
      <w:r w:rsidR="00601835">
        <w:t>he process is</w:t>
      </w:r>
      <w:r w:rsidR="00E63BCB" w:rsidRPr="00A94BD3">
        <w:t xml:space="preserve"> similar to that used for the extraction of cellulose from wheat straw (Fiorentini et al.</w:t>
      </w:r>
      <w:r w:rsidR="00AF299B">
        <w:t xml:space="preserve">, </w:t>
      </w:r>
      <w:r w:rsidR="00E63BCB" w:rsidRPr="00A94BD3">
        <w:t>2022).</w:t>
      </w:r>
      <w:r w:rsidR="00982E28" w:rsidRPr="00A94BD3">
        <w:t xml:space="preserve"> </w:t>
      </w:r>
      <w:r w:rsidR="00F96DC7" w:rsidRPr="00A94BD3">
        <w:t xml:space="preserve">The tests were carried out starting from samples of </w:t>
      </w:r>
      <w:r w:rsidR="00E63BCB" w:rsidRPr="00A94BD3">
        <w:t>oilseed cake</w:t>
      </w:r>
      <w:r w:rsidR="00D7361E">
        <w:t>,</w:t>
      </w:r>
      <w:r w:rsidR="00F96DC7" w:rsidRPr="00A94BD3">
        <w:t xml:space="preserve"> supplied by the Cereal Docks company</w:t>
      </w:r>
      <w:r w:rsidR="00D7361E">
        <w:t xml:space="preserve">, </w:t>
      </w:r>
      <w:r w:rsidR="00F96DC7" w:rsidRPr="00A94BD3">
        <w:t>ground</w:t>
      </w:r>
      <w:r w:rsidR="00D7361E">
        <w:t>ed</w:t>
      </w:r>
      <w:r w:rsidR="00F96DC7" w:rsidRPr="00A94BD3">
        <w:t xml:space="preserve"> to a size of 2 mm with a laboratory hammer mill. </w:t>
      </w:r>
      <w:r w:rsidR="00611D1A" w:rsidRPr="00A94BD3">
        <w:t>Briefly, t</w:t>
      </w:r>
      <w:r w:rsidR="00F96DC7" w:rsidRPr="00A94BD3">
        <w:t>he autohydrolysis was carried out in a high-pressure laboratory reactor (</w:t>
      </w:r>
      <w:proofErr w:type="spellStart"/>
      <w:r w:rsidR="00F96DC7" w:rsidRPr="00A94BD3">
        <w:t>Highpreactor</w:t>
      </w:r>
      <w:proofErr w:type="spellEnd"/>
      <w:r w:rsidR="00F96DC7" w:rsidRPr="00A94BD3">
        <w:t xml:space="preserve"> BR-1000, Berghof, Germany) into which the grounded samples and water were </w:t>
      </w:r>
      <w:r w:rsidR="00C65167" w:rsidRPr="00A94BD3">
        <w:t>loaded</w:t>
      </w:r>
      <w:r w:rsidR="00F96DC7" w:rsidRPr="00A94BD3">
        <w:t xml:space="preserve"> with a</w:t>
      </w:r>
      <w:r w:rsidR="007877ED">
        <w:t xml:space="preserve"> ratio of</w:t>
      </w:r>
      <w:r w:rsidR="00F96DC7" w:rsidRPr="00A94BD3">
        <w:t xml:space="preserve"> 1:20 w/v.</w:t>
      </w:r>
      <w:r w:rsidR="00611D1A" w:rsidRPr="00A94BD3">
        <w:t xml:space="preserve"> Autohydrolysis </w:t>
      </w:r>
      <w:r w:rsidR="00F96DC7" w:rsidRPr="00A94BD3">
        <w:t xml:space="preserve">was </w:t>
      </w:r>
      <w:r w:rsidR="00DD18B3" w:rsidRPr="00A94BD3">
        <w:t>carried out</w:t>
      </w:r>
      <w:r w:rsidR="00F96DC7" w:rsidRPr="00A94BD3">
        <w:t xml:space="preserve"> at 195°C for 15 minutes, </w:t>
      </w:r>
      <w:r w:rsidR="00611D1A" w:rsidRPr="00A94BD3">
        <w:t xml:space="preserve">selecting the optimal condition for cellulose recovery highlighted by </w:t>
      </w:r>
      <w:r w:rsidR="009820B1" w:rsidRPr="00A94BD3">
        <w:t>Fiorentini et al. (2022).</w:t>
      </w:r>
    </w:p>
    <w:p w14:paraId="5F6DDCEA" w14:textId="77777777" w:rsidR="009820B1" w:rsidRDefault="009820B1" w:rsidP="00F96DC7">
      <w:pPr>
        <w:pStyle w:val="CETBodytext"/>
      </w:pPr>
    </w:p>
    <w:p w14:paraId="0BADCC1B" w14:textId="078C5E7B" w:rsidR="007F46D2" w:rsidRDefault="00A330BA" w:rsidP="007F46D2">
      <w:pPr>
        <w:pStyle w:val="CETBodytext"/>
        <w:jc w:val="left"/>
      </w:pPr>
      <w:r>
        <w:rPr>
          <w:noProof/>
        </w:rPr>
        <w:drawing>
          <wp:inline distT="0" distB="0" distL="0" distR="0" wp14:anchorId="68495D45" wp14:editId="2AC7248C">
            <wp:extent cx="4021818" cy="1976335"/>
            <wp:effectExtent l="0" t="0" r="0" b="5080"/>
            <wp:docPr id="79014141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43106" cy="1986796"/>
                    </a:xfrm>
                    <a:prstGeom prst="rect">
                      <a:avLst/>
                    </a:prstGeom>
                    <a:noFill/>
                  </pic:spPr>
                </pic:pic>
              </a:graphicData>
            </a:graphic>
          </wp:inline>
        </w:drawing>
      </w:r>
    </w:p>
    <w:p w14:paraId="73816958" w14:textId="5E83504A" w:rsidR="007F46D2" w:rsidRDefault="007F46D2" w:rsidP="007F46D2">
      <w:pPr>
        <w:pStyle w:val="CETTabletitle"/>
        <w:spacing w:line="276" w:lineRule="auto"/>
      </w:pPr>
      <w:bookmarkStart w:id="1" w:name="_Ref156397377"/>
      <w:r>
        <w:t xml:space="preserve">Figure </w:t>
      </w:r>
      <w:r>
        <w:fldChar w:fldCharType="begin"/>
      </w:r>
      <w:r>
        <w:instrText xml:space="preserve"> SEQ Figure \* ARABIC </w:instrText>
      </w:r>
      <w:r>
        <w:fldChar w:fldCharType="separate"/>
      </w:r>
      <w:r>
        <w:rPr>
          <w:noProof/>
        </w:rPr>
        <w:t>1</w:t>
      </w:r>
      <w:r>
        <w:fldChar w:fldCharType="end"/>
      </w:r>
      <w:bookmarkEnd w:id="1"/>
      <w:r>
        <w:rPr>
          <w:noProof/>
        </w:rPr>
        <w:t xml:space="preserve"> </w:t>
      </w:r>
      <w:r w:rsidR="00317B01">
        <w:rPr>
          <w:noProof/>
        </w:rPr>
        <w:t>–</w:t>
      </w:r>
      <w:r>
        <w:rPr>
          <w:noProof/>
        </w:rPr>
        <w:t xml:space="preserve"> </w:t>
      </w:r>
      <w:r w:rsidR="00317B01">
        <w:rPr>
          <w:noProof/>
        </w:rPr>
        <w:t xml:space="preserve">Fractionation process for cellulose isolation from oilseed cake - </w:t>
      </w:r>
      <w:r>
        <w:rPr>
          <w:noProof/>
        </w:rPr>
        <w:t>E</w:t>
      </w:r>
      <w:r w:rsidRPr="001A764D">
        <w:rPr>
          <w:noProof/>
        </w:rPr>
        <w:t>xperimental plan</w:t>
      </w:r>
    </w:p>
    <w:p w14:paraId="09B235E5" w14:textId="32DE5C91" w:rsidR="00611D1A" w:rsidRDefault="00F96DC7" w:rsidP="00F96DC7">
      <w:pPr>
        <w:pStyle w:val="CETBodytext"/>
      </w:pPr>
      <w:r>
        <w:t xml:space="preserve">The solid resulting from auto-hydrolysis was </w:t>
      </w:r>
      <w:r w:rsidR="004D09D9">
        <w:t>filtrated</w:t>
      </w:r>
      <w:r>
        <w:t xml:space="preserve"> using Whatman paper filters (N°589/2)</w:t>
      </w:r>
      <w:r w:rsidR="00146F20">
        <w:t xml:space="preserve"> and</w:t>
      </w:r>
      <w:r>
        <w:t xml:space="preserve"> the solid residue was then dried at 60°C for 24 hours</w:t>
      </w:r>
      <w:r w:rsidR="00611D1A">
        <w:t>.</w:t>
      </w:r>
      <w:r w:rsidR="002F773E">
        <w:t xml:space="preserve"> </w:t>
      </w:r>
      <w:r w:rsidR="002F773E" w:rsidRPr="002F773E">
        <w:t>To quantify lignin, cellulose, and hemicellulose content in the solids obtained from the auto-hydrolysis the analysis of structural carbohydrates was carried out.</w:t>
      </w:r>
      <w:r w:rsidR="002F773E">
        <w:t xml:space="preserve"> Then, t</w:t>
      </w:r>
      <w:r w:rsidR="002F773E" w:rsidRPr="002F773E">
        <w:t xml:space="preserve">he recovered solid was treated with different NaOH solutions </w:t>
      </w:r>
      <w:r w:rsidR="00A61777">
        <w:t>with a</w:t>
      </w:r>
      <w:r w:rsidR="002F773E" w:rsidRPr="002F773E">
        <w:t xml:space="preserve"> solid</w:t>
      </w:r>
      <w:r w:rsidR="00A61777">
        <w:t>-to-</w:t>
      </w:r>
      <w:r w:rsidR="002F773E" w:rsidRPr="002F773E">
        <w:t>liquid</w:t>
      </w:r>
      <w:r w:rsidR="00A61777">
        <w:t xml:space="preserve"> (S/L)</w:t>
      </w:r>
      <w:r w:rsidR="002F773E" w:rsidRPr="002F773E">
        <w:t xml:space="preserve"> ratio</w:t>
      </w:r>
      <w:r w:rsidR="00146F20">
        <w:t xml:space="preserve"> </w:t>
      </w:r>
      <w:r w:rsidR="002F773E" w:rsidRPr="002F773E">
        <w:t xml:space="preserve">of 1:20 w/v, </w:t>
      </w:r>
      <w:r w:rsidR="009A16FF">
        <w:t>to investigate</w:t>
      </w:r>
      <w:r w:rsidR="002F773E">
        <w:t xml:space="preserve"> the effect on cellulose isolation as a function of </w:t>
      </w:r>
      <w:r w:rsidR="002F773E" w:rsidRPr="002F773E">
        <w:t xml:space="preserve">the different </w:t>
      </w:r>
      <w:r w:rsidR="002F773E">
        <w:t>NaOH</w:t>
      </w:r>
      <w:r w:rsidR="002F773E" w:rsidRPr="002F773E">
        <w:t xml:space="preserve"> concentration</w:t>
      </w:r>
      <w:r w:rsidR="009A16FF">
        <w:t>s</w:t>
      </w:r>
      <w:r w:rsidR="002F773E" w:rsidRPr="002F773E">
        <w:t xml:space="preserve"> used. </w:t>
      </w:r>
      <w:r w:rsidR="002F773E" w:rsidRPr="00146F20">
        <w:t>Bassani et al. (2020)</w:t>
      </w:r>
      <w:r w:rsidR="002F773E" w:rsidRPr="002F773E">
        <w:t xml:space="preserve"> </w:t>
      </w:r>
      <w:r w:rsidR="00146F20">
        <w:t>tested</w:t>
      </w:r>
      <w:r w:rsidR="002F773E" w:rsidRPr="002F773E">
        <w:t xml:space="preserve"> a sodium hydroxide concentration of 16% </w:t>
      </w:r>
      <w:r w:rsidR="00967F0D">
        <w:t>w/</w:t>
      </w:r>
      <w:r w:rsidR="004A0A95">
        <w:t>v</w:t>
      </w:r>
      <w:r w:rsidR="00967F0D">
        <w:t xml:space="preserve"> at ambient temperature (</w:t>
      </w:r>
      <w:r w:rsidR="006F293B">
        <w:t xml:space="preserve">about </w:t>
      </w:r>
      <w:r w:rsidR="00967F0D">
        <w:t>25°C)</w:t>
      </w:r>
      <w:r w:rsidR="002F773E" w:rsidRPr="002F773E">
        <w:t xml:space="preserve">, </w:t>
      </w:r>
      <w:r w:rsidR="002F773E" w:rsidRPr="00146F20">
        <w:t>while</w:t>
      </w:r>
      <w:r w:rsidR="006F293B">
        <w:t xml:space="preserve"> </w:t>
      </w:r>
      <w:r w:rsidR="002F773E" w:rsidRPr="00146F20">
        <w:t>Camarero et al. (2004)</w:t>
      </w:r>
      <w:r w:rsidR="002F773E" w:rsidRPr="002F773E">
        <w:t xml:space="preserve"> </w:t>
      </w:r>
      <w:r w:rsidR="00967F0D">
        <w:t xml:space="preserve">carried out </w:t>
      </w:r>
      <w:r w:rsidR="006F293B">
        <w:t xml:space="preserve">an alkaline </w:t>
      </w:r>
      <w:r w:rsidR="002F773E" w:rsidRPr="002F773E">
        <w:t>hydrolysis treatment at 60°C using a NaOH concentration of 1.5%. Therefore, it was decided to compare a hydrolysis treatment at</w:t>
      </w:r>
      <w:r w:rsidR="00967F0D">
        <w:t xml:space="preserve"> 25</w:t>
      </w:r>
      <w:r w:rsidR="00DE6620">
        <w:t>°C</w:t>
      </w:r>
      <w:r w:rsidR="00C050E5">
        <w:t xml:space="preserve"> </w:t>
      </w:r>
      <w:r w:rsidR="00967F0D">
        <w:t xml:space="preserve">and </w:t>
      </w:r>
      <w:r w:rsidR="002F773E" w:rsidRPr="002F773E">
        <w:t>60°C</w:t>
      </w:r>
      <w:r w:rsidR="00C050E5">
        <w:t xml:space="preserve"> for </w:t>
      </w:r>
      <w:r w:rsidR="007159D0">
        <w:t>24 hours</w:t>
      </w:r>
      <w:r w:rsidR="002F773E" w:rsidRPr="002F773E">
        <w:t xml:space="preserve"> at three different concentrations</w:t>
      </w:r>
      <w:r w:rsidR="00967F0D">
        <w:t xml:space="preserve"> of NaOH (i.e. 1.5%, 4%, 16% w/</w:t>
      </w:r>
      <w:r w:rsidR="004A0A95">
        <w:t>v</w:t>
      </w:r>
      <w:r w:rsidR="00967F0D">
        <w:t>)</w:t>
      </w:r>
      <w:r w:rsidR="00CE3944">
        <w:t>.</w:t>
      </w:r>
      <w:r w:rsidR="004A0A95">
        <w:t xml:space="preserve"> </w:t>
      </w:r>
      <w:r w:rsidR="004A0A95" w:rsidRPr="004A0A95">
        <w:t xml:space="preserve">The </w:t>
      </w:r>
      <w:r w:rsidR="004A0A95">
        <w:t>alkaline</w:t>
      </w:r>
      <w:r w:rsidR="004A0A95" w:rsidRPr="004A0A95">
        <w:t xml:space="preserve"> hydrolysis treatment</w:t>
      </w:r>
      <w:r w:rsidR="004A0A95">
        <w:t xml:space="preserve">s </w:t>
      </w:r>
      <w:r w:rsidR="004A0A95" w:rsidRPr="004A0A95">
        <w:t>w</w:t>
      </w:r>
      <w:r w:rsidR="004A0A95">
        <w:t>ere</w:t>
      </w:r>
      <w:r w:rsidR="004A0A95" w:rsidRPr="004A0A95">
        <w:t xml:space="preserve"> conducted in an orbital shaker</w:t>
      </w:r>
      <w:r w:rsidR="004A0A95">
        <w:t xml:space="preserve">. All the solids obtained were then recovered and washed with distilled water until neutral pH was reached and finally dried at 60°C for 24 hours. Then the solids recovered were </w:t>
      </w:r>
      <w:r w:rsidR="00F16C35">
        <w:t xml:space="preserve">again </w:t>
      </w:r>
      <w:r w:rsidR="004A0A95">
        <w:t>characterized in terms of cellulose, hemicellulose and lignin. Finally</w:t>
      </w:r>
      <w:r w:rsidR="00032F38">
        <w:t>,</w:t>
      </w:r>
      <w:r w:rsidR="004A0A95">
        <w:t xml:space="preserve"> a bleaching phase was carried out with a 5% v/v H</w:t>
      </w:r>
      <w:r w:rsidR="004A0A95" w:rsidRPr="004A0A95">
        <w:rPr>
          <w:vertAlign w:val="subscript"/>
        </w:rPr>
        <w:t>2</w:t>
      </w:r>
      <w:r w:rsidR="004A0A95">
        <w:t>O</w:t>
      </w:r>
      <w:r w:rsidR="004A0A95" w:rsidRPr="004A0A95">
        <w:rPr>
          <w:vertAlign w:val="subscript"/>
        </w:rPr>
        <w:t>2</w:t>
      </w:r>
      <w:r w:rsidR="004A0A95">
        <w:t xml:space="preserve"> solution in a </w:t>
      </w:r>
      <w:r w:rsidR="006A6E0E">
        <w:t xml:space="preserve">4% </w:t>
      </w:r>
      <w:r w:rsidR="004A0A95">
        <w:t>NaOH solution (pH approximately</w:t>
      </w:r>
      <w:r w:rsidR="006A6E0E">
        <w:t xml:space="preserve"> equal to</w:t>
      </w:r>
      <w:r w:rsidR="004A0A95">
        <w:t xml:space="preserve"> 11). The solution was added to the solid residue in a 1:20 w/v ratio and the mixture was placed in the orbital shaker at 45°C, 120 rpm, for 8 hours. The solid was recovered through a filtration phase, on Whatman paper filters (N°589/2), washed with 50% acetic acid (v/v) in a ratio of 1:20 w/v, and finally brought to neutral pH by washing with distilled water. The solid was then dried at 60°C for 24 hours and stored for subsequent fiber composition analy</w:t>
      </w:r>
      <w:r w:rsidR="000926CF">
        <w:t>si</w:t>
      </w:r>
      <w:r w:rsidR="004A0A95">
        <w:t>s.</w:t>
      </w:r>
    </w:p>
    <w:p w14:paraId="1EE1A2FA" w14:textId="591FA1EE" w:rsidR="001E4FDA" w:rsidRDefault="001E4FDA" w:rsidP="001E4FDA">
      <w:pPr>
        <w:pStyle w:val="CETheadingx"/>
      </w:pPr>
      <w:r>
        <w:t>Fat</w:t>
      </w:r>
      <w:r w:rsidR="00D1567D">
        <w:t xml:space="preserve"> and Protein </w:t>
      </w:r>
      <w:r>
        <w:t>Content</w:t>
      </w:r>
    </w:p>
    <w:p w14:paraId="62324D49" w14:textId="5DBA662B" w:rsidR="0066666B" w:rsidRPr="001A6A62" w:rsidRDefault="001E4FDA" w:rsidP="001E4FDA">
      <w:pPr>
        <w:pStyle w:val="CETBodytext"/>
      </w:pPr>
      <w:r w:rsidRPr="001A6A62">
        <w:t xml:space="preserve">The fat </w:t>
      </w:r>
      <w:r w:rsidR="000B2703" w:rsidRPr="001A6A62">
        <w:t xml:space="preserve">and protein </w:t>
      </w:r>
      <w:r w:rsidRPr="001A6A62">
        <w:t>content</w:t>
      </w:r>
      <w:r w:rsidR="00CA4FB7" w:rsidRPr="001A6A62">
        <w:t>s</w:t>
      </w:r>
      <w:r w:rsidRPr="001A6A62">
        <w:t xml:space="preserve"> </w:t>
      </w:r>
      <w:r w:rsidR="00F23ECE" w:rsidRPr="001A6A62">
        <w:t>were</w:t>
      </w:r>
      <w:r w:rsidRPr="001A6A62">
        <w:t xml:space="preserve"> determined following the procedure provided by </w:t>
      </w:r>
      <w:r w:rsidR="00306612" w:rsidRPr="001A6A62">
        <w:t>Švarc-Gajić J. et. al. (2020).</w:t>
      </w:r>
    </w:p>
    <w:p w14:paraId="037DEAD0" w14:textId="32651669" w:rsidR="000B2703" w:rsidRPr="001A6A62" w:rsidRDefault="003D3078" w:rsidP="001E4FDA">
      <w:pPr>
        <w:pStyle w:val="CETBodytext"/>
      </w:pPr>
      <w:r w:rsidRPr="001A6A62">
        <w:lastRenderedPageBreak/>
        <w:t>Briefly, t</w:t>
      </w:r>
      <w:r w:rsidR="001A0A76" w:rsidRPr="001A6A62">
        <w:t xml:space="preserve">he fat content was </w:t>
      </w:r>
      <w:r w:rsidR="007C0570" w:rsidRPr="001A6A62">
        <w:t>evaluated</w:t>
      </w:r>
      <w:r w:rsidR="00645613" w:rsidRPr="001A6A62">
        <w:t xml:space="preserve"> </w:t>
      </w:r>
      <w:r w:rsidR="000B2703" w:rsidRPr="001A6A62">
        <w:t>via the Soxhlet method,</w:t>
      </w:r>
      <w:r w:rsidR="00645613" w:rsidRPr="001A6A62">
        <w:t xml:space="preserve"> using petrol</w:t>
      </w:r>
      <w:r w:rsidR="000B17DC" w:rsidRPr="001A6A62">
        <w:t>eum ether as solvent</w:t>
      </w:r>
      <w:r w:rsidR="00A2671D" w:rsidRPr="001A6A62">
        <w:t xml:space="preserve">, while the </w:t>
      </w:r>
      <w:r w:rsidR="000B17DC" w:rsidRPr="001A6A62">
        <w:t xml:space="preserve">protein content was </w:t>
      </w:r>
      <w:r w:rsidR="003F4994" w:rsidRPr="001A6A62">
        <w:t>estimated</w:t>
      </w:r>
      <w:r w:rsidR="000B17DC" w:rsidRPr="001A6A62">
        <w:t xml:space="preserve"> using the </w:t>
      </w:r>
      <w:r w:rsidR="00E83C4D" w:rsidRPr="001A6A62">
        <w:t>Kjeldahl method.</w:t>
      </w:r>
    </w:p>
    <w:p w14:paraId="55D27CD9" w14:textId="26AB027A" w:rsidR="00D1567D" w:rsidRDefault="00AF3F15" w:rsidP="00D1567D">
      <w:pPr>
        <w:pStyle w:val="CETheadingx"/>
      </w:pPr>
      <w:r w:rsidRPr="00AF3F15">
        <w:t>Water and ethanol extractives</w:t>
      </w:r>
    </w:p>
    <w:p w14:paraId="09406386" w14:textId="773FFDFB" w:rsidR="00453E24" w:rsidRDefault="00AF3F15" w:rsidP="00453E24">
      <w:pPr>
        <w:pStyle w:val="CETBodytext"/>
      </w:pPr>
      <w:r w:rsidRPr="00AF3F15">
        <w:t xml:space="preserve">The </w:t>
      </w:r>
      <w:r w:rsidR="008C5E03">
        <w:t>d</w:t>
      </w:r>
      <w:r w:rsidRPr="0066666B">
        <w:t xml:space="preserve">etermination of </w:t>
      </w:r>
      <w:r w:rsidR="008C5E03">
        <w:t>e</w:t>
      </w:r>
      <w:r w:rsidRPr="0066666B">
        <w:t xml:space="preserve">xtractives in </w:t>
      </w:r>
      <w:r w:rsidR="008C5E03">
        <w:t>the by-product</w:t>
      </w:r>
      <w:r w:rsidRPr="0066666B">
        <w:t xml:space="preserve"> was performed </w:t>
      </w:r>
      <w:r w:rsidR="000926CF">
        <w:t xml:space="preserve">by </w:t>
      </w:r>
      <w:r w:rsidRPr="0066666B">
        <w:t xml:space="preserve">applying the method </w:t>
      </w:r>
      <w:r w:rsidR="00CF60AC" w:rsidRPr="0066666B">
        <w:t xml:space="preserve">also used </w:t>
      </w:r>
      <w:r w:rsidR="00412BEA" w:rsidRPr="0066666B">
        <w:t xml:space="preserve">by </w:t>
      </w:r>
      <w:proofErr w:type="spellStart"/>
      <w:r w:rsidR="004E1128" w:rsidRPr="0066666B">
        <w:t>Mi</w:t>
      </w:r>
      <w:r w:rsidR="008A3999" w:rsidRPr="0066666B">
        <w:t>liotti</w:t>
      </w:r>
      <w:proofErr w:type="spellEnd"/>
      <w:r w:rsidR="008A3999" w:rsidRPr="0066666B">
        <w:t xml:space="preserve"> et. al. (</w:t>
      </w:r>
      <w:r w:rsidR="005950FD" w:rsidRPr="0066666B">
        <w:t>2019)</w:t>
      </w:r>
      <w:r w:rsidRPr="0066666B">
        <w:t>.</w:t>
      </w:r>
      <w:r w:rsidRPr="00AF3F15">
        <w:t xml:space="preserve"> </w:t>
      </w:r>
      <w:r w:rsidR="00A0673A">
        <w:t xml:space="preserve"> Briefly, i</w:t>
      </w:r>
      <w:r w:rsidR="002C04FC">
        <w:t xml:space="preserve">t consists </w:t>
      </w:r>
      <w:r w:rsidR="00FA07C3">
        <w:t>of</w:t>
      </w:r>
      <w:r w:rsidRPr="00AF3F15">
        <w:t xml:space="preserve"> a two-step extraction</w:t>
      </w:r>
      <w:r w:rsidR="000E0F81">
        <w:t xml:space="preserve"> </w:t>
      </w:r>
      <w:r w:rsidRPr="00AF3F15">
        <w:t>using hot water</w:t>
      </w:r>
      <w:r w:rsidR="000E0F81">
        <w:t xml:space="preserve"> for the first </w:t>
      </w:r>
      <w:r w:rsidRPr="00AF3F15">
        <w:t xml:space="preserve">(100°C) </w:t>
      </w:r>
      <w:r w:rsidR="00AF5F11">
        <w:t xml:space="preserve">and </w:t>
      </w:r>
      <w:r w:rsidRPr="00AF3F15">
        <w:t>ethanol (95% v/v)</w:t>
      </w:r>
      <w:r w:rsidR="000E0F81">
        <w:t xml:space="preserve"> for the second, </w:t>
      </w:r>
      <w:r w:rsidR="001D0573">
        <w:t xml:space="preserve">performed both in a </w:t>
      </w:r>
      <w:r w:rsidRPr="00AF3F15">
        <w:t>Soxhlet extractor.</w:t>
      </w:r>
    </w:p>
    <w:p w14:paraId="0636B784" w14:textId="4B715C08" w:rsidR="00453E24" w:rsidRDefault="00C87B63" w:rsidP="00453E24">
      <w:pPr>
        <w:pStyle w:val="CETheadingx"/>
      </w:pPr>
      <w:r w:rsidRPr="00C87B63">
        <w:t>Structural Carbohydrates</w:t>
      </w:r>
    </w:p>
    <w:p w14:paraId="7C2B0064" w14:textId="45E0D4B2" w:rsidR="00453E24" w:rsidRDefault="00AF3F15" w:rsidP="00AF3F15">
      <w:pPr>
        <w:pStyle w:val="CETBodytext"/>
      </w:pPr>
      <w:r>
        <w:t xml:space="preserve">The analysis was performed by applying the method </w:t>
      </w:r>
      <w:r w:rsidR="00E62B72">
        <w:t>reported by B</w:t>
      </w:r>
      <w:r w:rsidR="00022BF5" w:rsidRPr="008C5E03">
        <w:t>assani et. al.</w:t>
      </w:r>
      <w:r w:rsidR="00AF299B">
        <w:t xml:space="preserve">, </w:t>
      </w:r>
      <w:r w:rsidR="00022BF5" w:rsidRPr="008C5E03">
        <w:t>2020</w:t>
      </w:r>
      <w:r w:rsidR="00E62B72">
        <w:t>, starting f</w:t>
      </w:r>
      <w:r w:rsidR="00887464">
        <w:t>rom the extractives-free sample</w:t>
      </w:r>
      <w:r w:rsidR="008E1AF4">
        <w:t xml:space="preserve"> (EFS)</w:t>
      </w:r>
      <w:r w:rsidR="00887464">
        <w:t xml:space="preserve">. </w:t>
      </w:r>
      <w:r w:rsidR="00585B94">
        <w:t>Briefly,</w:t>
      </w:r>
      <w:r w:rsidR="00887464">
        <w:t xml:space="preserve"> </w:t>
      </w:r>
      <w:r w:rsidR="008E1AF4">
        <w:t xml:space="preserve">EFS </w:t>
      </w:r>
      <w:r w:rsidR="00887464">
        <w:t xml:space="preserve">were subject to </w:t>
      </w:r>
      <w:r w:rsidR="000E167A">
        <w:t>two</w:t>
      </w:r>
      <w:r>
        <w:t xml:space="preserve"> acid hydrolysis</w:t>
      </w:r>
      <w:r w:rsidR="00887464">
        <w:t xml:space="preserve"> </w:t>
      </w:r>
      <w:r>
        <w:t>(72% H</w:t>
      </w:r>
      <w:r w:rsidRPr="00F868FB">
        <w:rPr>
          <w:vertAlign w:val="subscript"/>
        </w:rPr>
        <w:t>2</w:t>
      </w:r>
      <w:r>
        <w:t>SO</w:t>
      </w:r>
      <w:r w:rsidRPr="00F868FB">
        <w:rPr>
          <w:vertAlign w:val="subscript"/>
        </w:rPr>
        <w:t>4</w:t>
      </w:r>
      <w:r>
        <w:t xml:space="preserve"> at 30°C for 1 hour an</w:t>
      </w:r>
      <w:r w:rsidR="00F868FB">
        <w:t>d</w:t>
      </w:r>
      <w:r>
        <w:t xml:space="preserve"> 4% (v/v) H</w:t>
      </w:r>
      <w:r w:rsidRPr="00F868FB">
        <w:rPr>
          <w:vertAlign w:val="subscript"/>
        </w:rPr>
        <w:t>2</w:t>
      </w:r>
      <w:r>
        <w:t>SO</w:t>
      </w:r>
      <w:r w:rsidRPr="00F868FB">
        <w:rPr>
          <w:vertAlign w:val="subscript"/>
        </w:rPr>
        <w:t>4</w:t>
      </w:r>
      <w:r>
        <w:t xml:space="preserve"> at 121°C for 1 hour).</w:t>
      </w:r>
      <w:r w:rsidR="000E167A">
        <w:t xml:space="preserve"> </w:t>
      </w:r>
      <w:r w:rsidR="003D4F09">
        <w:t xml:space="preserve">Then </w:t>
      </w:r>
      <w:r w:rsidR="00F552DA">
        <w:t>t</w:t>
      </w:r>
      <w:r w:rsidR="003D4F09">
        <w:t xml:space="preserve">he lignin content was calculated by weight difference with the initial sample </w:t>
      </w:r>
      <w:r w:rsidR="00CC7EE2">
        <w:t xml:space="preserve">while hemicellulose and cellulose were estimated from </w:t>
      </w:r>
      <w:r w:rsidR="00F35FC5">
        <w:t>glucose and xylose content</w:t>
      </w:r>
      <w:r w:rsidR="00A31D4F">
        <w:t xml:space="preserve"> in the liquor </w:t>
      </w:r>
      <w:r w:rsidR="006D65A4">
        <w:t xml:space="preserve">obtained </w:t>
      </w:r>
      <w:r w:rsidR="00887464">
        <w:t xml:space="preserve">by </w:t>
      </w:r>
      <w:r w:rsidR="000D29A9">
        <w:t>applying a factor of 0.88 and 0.9 to xylose and glucose content respectively.</w:t>
      </w:r>
      <w:r>
        <w:t xml:space="preserve"> </w:t>
      </w:r>
    </w:p>
    <w:p w14:paraId="677EBFF0" w14:textId="1775378E" w:rsidR="00600535" w:rsidRPr="00B57B36" w:rsidRDefault="00DE340F" w:rsidP="00600535">
      <w:pPr>
        <w:pStyle w:val="CETHeading1"/>
        <w:tabs>
          <w:tab w:val="clear" w:pos="360"/>
          <w:tab w:val="right" w:pos="7100"/>
        </w:tabs>
        <w:jc w:val="both"/>
        <w:rPr>
          <w:lang w:val="en-GB"/>
        </w:rPr>
      </w:pPr>
      <w:r>
        <w:rPr>
          <w:lang w:val="en-GB"/>
        </w:rPr>
        <w:t>Results and Discussion</w:t>
      </w:r>
    </w:p>
    <w:p w14:paraId="04963A06" w14:textId="7988B0E0" w:rsidR="00600535" w:rsidRPr="00B57B36" w:rsidRDefault="00014AF3" w:rsidP="00FA5F5F">
      <w:pPr>
        <w:pStyle w:val="CETheadingx"/>
      </w:pPr>
      <w:r w:rsidRPr="00014AF3">
        <w:t>Raw material characterization</w:t>
      </w:r>
    </w:p>
    <w:p w14:paraId="0A3203F6" w14:textId="2255016B" w:rsidR="0090052B" w:rsidRPr="0090052B" w:rsidRDefault="006338D0" w:rsidP="0090052B">
      <w:pPr>
        <w:pStyle w:val="CETBodytext"/>
      </w:pPr>
      <w:r w:rsidRPr="006338D0">
        <w:rPr>
          <w:lang w:val="en-GB"/>
        </w:rPr>
        <w:t>The characteri</w:t>
      </w:r>
      <w:r w:rsidR="005A589A">
        <w:rPr>
          <w:lang w:val="en-GB"/>
        </w:rPr>
        <w:t>z</w:t>
      </w:r>
      <w:r w:rsidRPr="006338D0">
        <w:rPr>
          <w:lang w:val="en-GB"/>
        </w:rPr>
        <w:t xml:space="preserve">ation of </w:t>
      </w:r>
      <w:r w:rsidR="005A589A">
        <w:rPr>
          <w:lang w:val="en-GB"/>
        </w:rPr>
        <w:t>o</w:t>
      </w:r>
      <w:r w:rsidR="00BC6844" w:rsidRPr="00BC6844">
        <w:rPr>
          <w:lang w:val="en-GB"/>
        </w:rPr>
        <w:t xml:space="preserve">ilseed </w:t>
      </w:r>
      <w:r w:rsidR="005A589A">
        <w:rPr>
          <w:lang w:val="en-GB"/>
        </w:rPr>
        <w:t>c</w:t>
      </w:r>
      <w:r w:rsidR="00BC6844" w:rsidRPr="00BC6844">
        <w:rPr>
          <w:lang w:val="en-GB"/>
        </w:rPr>
        <w:t>ake</w:t>
      </w:r>
      <w:r w:rsidRPr="006338D0">
        <w:rPr>
          <w:lang w:val="en-GB"/>
        </w:rPr>
        <w:t xml:space="preserve"> is provided in Table 1.</w:t>
      </w:r>
      <w:r w:rsidR="00BC6844">
        <w:rPr>
          <w:lang w:val="en-GB"/>
        </w:rPr>
        <w:t xml:space="preserve"> </w:t>
      </w:r>
      <w:r w:rsidR="001E4412" w:rsidRPr="001E4412">
        <w:rPr>
          <w:lang w:val="en-GB"/>
        </w:rPr>
        <w:t xml:space="preserve">It can be observed that </w:t>
      </w:r>
      <w:r w:rsidR="0090052B">
        <w:rPr>
          <w:lang w:val="en-GB"/>
        </w:rPr>
        <w:t xml:space="preserve">moisture, protein and </w:t>
      </w:r>
      <w:r w:rsidR="00691F1A">
        <w:rPr>
          <w:lang w:val="en-GB"/>
        </w:rPr>
        <w:t xml:space="preserve">ash </w:t>
      </w:r>
      <w:r w:rsidR="001E4412" w:rsidRPr="001E4412">
        <w:rPr>
          <w:lang w:val="en-GB"/>
        </w:rPr>
        <w:t>content</w:t>
      </w:r>
      <w:r w:rsidR="00691F1A">
        <w:rPr>
          <w:lang w:val="en-GB"/>
        </w:rPr>
        <w:t xml:space="preserve">s are </w:t>
      </w:r>
      <w:r w:rsidR="001E4412" w:rsidRPr="001E4412">
        <w:rPr>
          <w:lang w:val="en-GB"/>
        </w:rPr>
        <w:t>quite similar to the value</w:t>
      </w:r>
      <w:r w:rsidR="00691F1A">
        <w:rPr>
          <w:lang w:val="en-GB"/>
        </w:rPr>
        <w:t>s</w:t>
      </w:r>
      <w:r w:rsidR="001E4412" w:rsidRPr="001E4412">
        <w:rPr>
          <w:lang w:val="en-GB"/>
        </w:rPr>
        <w:t xml:space="preserve"> </w:t>
      </w:r>
      <w:r w:rsidR="00691F1A" w:rsidRPr="001E4412">
        <w:rPr>
          <w:lang w:val="en-GB"/>
        </w:rPr>
        <w:t xml:space="preserve">reported by </w:t>
      </w:r>
      <w:r w:rsidR="00691F1A" w:rsidRPr="0090052B">
        <w:rPr>
          <w:lang w:val="en-GB"/>
        </w:rPr>
        <w:t>Fernández</w:t>
      </w:r>
      <w:r w:rsidR="00691F1A" w:rsidRPr="0090052B">
        <w:rPr>
          <w:rFonts w:ascii="Cambria Math" w:hAnsi="Cambria Math" w:cs="Cambria Math"/>
          <w:lang w:val="en-GB"/>
        </w:rPr>
        <w:t>‐</w:t>
      </w:r>
      <w:proofErr w:type="spellStart"/>
      <w:r w:rsidR="00691F1A" w:rsidRPr="0090052B">
        <w:rPr>
          <w:lang w:val="en-GB"/>
        </w:rPr>
        <w:t>Cegr</w:t>
      </w:r>
      <w:r w:rsidR="00691F1A" w:rsidRPr="0090052B">
        <w:rPr>
          <w:rFonts w:cs="Arial"/>
          <w:lang w:val="en-GB"/>
        </w:rPr>
        <w:t>í</w:t>
      </w:r>
      <w:proofErr w:type="spellEnd"/>
      <w:r w:rsidR="00691F1A" w:rsidRPr="0090052B">
        <w:rPr>
          <w:lang w:val="en-GB"/>
        </w:rPr>
        <w:t xml:space="preserve"> et al. (201</w:t>
      </w:r>
      <w:r w:rsidR="0090052B">
        <w:rPr>
          <w:lang w:val="en-GB"/>
        </w:rPr>
        <w:t>3</w:t>
      </w:r>
      <w:r w:rsidR="00691F1A" w:rsidRPr="0090052B">
        <w:rPr>
          <w:lang w:val="en-GB"/>
        </w:rPr>
        <w:t>)</w:t>
      </w:r>
      <w:r w:rsidR="0090052B">
        <w:rPr>
          <w:lang w:val="en-GB"/>
        </w:rPr>
        <w:t xml:space="preserve"> </w:t>
      </w:r>
      <w:r w:rsidR="005A589A">
        <w:rPr>
          <w:lang w:val="en-GB"/>
        </w:rPr>
        <w:t>which</w:t>
      </w:r>
      <w:r w:rsidR="0090052B">
        <w:rPr>
          <w:lang w:val="en-GB"/>
        </w:rPr>
        <w:t xml:space="preserve"> are about 7.0%, 25.3% and 6.8% respectively.</w:t>
      </w:r>
      <w:r w:rsidR="00691F1A">
        <w:rPr>
          <w:lang w:val="en-GB"/>
        </w:rPr>
        <w:t xml:space="preserve"> </w:t>
      </w:r>
      <w:r w:rsidR="0090052B">
        <w:rPr>
          <w:lang w:val="en-GB"/>
        </w:rPr>
        <w:t xml:space="preserve">On the other hand, regarding the </w:t>
      </w:r>
      <w:proofErr w:type="spellStart"/>
      <w:r w:rsidR="0090052B">
        <w:rPr>
          <w:lang w:val="en-GB"/>
        </w:rPr>
        <w:t>fiber</w:t>
      </w:r>
      <w:proofErr w:type="spellEnd"/>
      <w:r w:rsidR="0090052B">
        <w:rPr>
          <w:lang w:val="en-GB"/>
        </w:rPr>
        <w:t xml:space="preserve"> composition, only cellulose seems to have a significant</w:t>
      </w:r>
      <w:r w:rsidR="005A589A">
        <w:rPr>
          <w:lang w:val="en-GB"/>
        </w:rPr>
        <w:t>ly</w:t>
      </w:r>
      <w:r w:rsidR="0090052B">
        <w:rPr>
          <w:lang w:val="en-GB"/>
        </w:rPr>
        <w:t xml:space="preserve"> different value (about 25.3% in the work of </w:t>
      </w:r>
      <w:r w:rsidR="0090052B" w:rsidRPr="0090052B">
        <w:rPr>
          <w:lang w:val="en-GB"/>
        </w:rPr>
        <w:t>Fernández</w:t>
      </w:r>
      <w:r w:rsidR="0090052B" w:rsidRPr="0090052B">
        <w:rPr>
          <w:rFonts w:ascii="Cambria Math" w:hAnsi="Cambria Math" w:cs="Cambria Math"/>
          <w:lang w:val="en-GB"/>
        </w:rPr>
        <w:t>‐</w:t>
      </w:r>
      <w:proofErr w:type="spellStart"/>
      <w:r w:rsidR="0090052B" w:rsidRPr="0090052B">
        <w:rPr>
          <w:lang w:val="en-GB"/>
        </w:rPr>
        <w:t>Cegr</w:t>
      </w:r>
      <w:r w:rsidR="0090052B" w:rsidRPr="0090052B">
        <w:rPr>
          <w:rFonts w:cs="Arial"/>
          <w:lang w:val="en-GB"/>
        </w:rPr>
        <w:t>í</w:t>
      </w:r>
      <w:proofErr w:type="spellEnd"/>
      <w:r w:rsidR="0090052B" w:rsidRPr="0090052B">
        <w:rPr>
          <w:lang w:val="en-GB"/>
        </w:rPr>
        <w:t xml:space="preserve"> et al. (201</w:t>
      </w:r>
      <w:r w:rsidR="0090052B">
        <w:rPr>
          <w:lang w:val="en-GB"/>
        </w:rPr>
        <w:t>3</w:t>
      </w:r>
      <w:r w:rsidR="0090052B" w:rsidRPr="0090052B">
        <w:rPr>
          <w:lang w:val="en-GB"/>
        </w:rPr>
        <w:t>)</w:t>
      </w:r>
      <w:r w:rsidR="0090052B" w:rsidRPr="0090052B">
        <w:t>). Th</w:t>
      </w:r>
      <w:r w:rsidR="0090052B">
        <w:t>is</w:t>
      </w:r>
      <w:r w:rsidR="0090052B" w:rsidRPr="0090052B">
        <w:t xml:space="preserve"> seems to be related to the analytical technique</w:t>
      </w:r>
      <w:r w:rsidR="0090052B">
        <w:t xml:space="preserve"> (i.e. </w:t>
      </w:r>
      <w:r w:rsidR="00395E75">
        <w:t xml:space="preserve">Van Soest NDF </w:t>
      </w:r>
      <w:r w:rsidR="0090052B">
        <w:t>fiber analysis)</w:t>
      </w:r>
      <w:r w:rsidR="0090052B" w:rsidRPr="0090052B">
        <w:t xml:space="preserve"> to</w:t>
      </w:r>
      <w:r w:rsidR="0090052B">
        <w:t xml:space="preserve"> quantify the fiber amount instead of using structural carbohydrates like in this study. </w:t>
      </w:r>
      <w:r w:rsidR="0090052B">
        <w:rPr>
          <w:lang w:val="en-GB"/>
        </w:rPr>
        <w:t xml:space="preserve">It is interesting to point out that </w:t>
      </w:r>
      <w:r w:rsidR="0090052B" w:rsidRPr="0090052B">
        <w:rPr>
          <w:lang w:val="en-GB"/>
        </w:rPr>
        <w:t>if the cellulose content presented by Fernández</w:t>
      </w:r>
      <w:r w:rsidR="0090052B" w:rsidRPr="0090052B">
        <w:rPr>
          <w:rFonts w:ascii="Cambria Math" w:hAnsi="Cambria Math" w:cs="Cambria Math"/>
          <w:lang w:val="en-GB"/>
        </w:rPr>
        <w:t>‐</w:t>
      </w:r>
      <w:proofErr w:type="spellStart"/>
      <w:r w:rsidR="0090052B" w:rsidRPr="0090052B">
        <w:rPr>
          <w:lang w:val="en-GB"/>
        </w:rPr>
        <w:t>Cegr</w:t>
      </w:r>
      <w:r w:rsidR="0090052B" w:rsidRPr="0090052B">
        <w:rPr>
          <w:rFonts w:cs="Arial"/>
          <w:lang w:val="en-GB"/>
        </w:rPr>
        <w:t>í</w:t>
      </w:r>
      <w:proofErr w:type="spellEnd"/>
      <w:r w:rsidR="0090052B" w:rsidRPr="0090052B">
        <w:rPr>
          <w:lang w:val="en-GB"/>
        </w:rPr>
        <w:t xml:space="preserve"> et al. (201</w:t>
      </w:r>
      <w:r w:rsidR="0090052B">
        <w:rPr>
          <w:lang w:val="en-GB"/>
        </w:rPr>
        <w:t>3</w:t>
      </w:r>
      <w:r w:rsidR="0090052B" w:rsidRPr="0090052B">
        <w:rPr>
          <w:lang w:val="en-GB"/>
        </w:rPr>
        <w:t>) w</w:t>
      </w:r>
      <w:r w:rsidR="0090052B">
        <w:rPr>
          <w:lang w:val="en-GB"/>
        </w:rPr>
        <w:t>as</w:t>
      </w:r>
      <w:r w:rsidR="0090052B" w:rsidRPr="0090052B">
        <w:rPr>
          <w:lang w:val="en-GB"/>
        </w:rPr>
        <w:t xml:space="preserve"> considered, the total composition </w:t>
      </w:r>
      <w:r w:rsidR="0090052B">
        <w:rPr>
          <w:lang w:val="en-GB"/>
        </w:rPr>
        <w:t xml:space="preserve">of the oilseed cake </w:t>
      </w:r>
      <w:r w:rsidR="0090052B" w:rsidRPr="0090052B">
        <w:rPr>
          <w:lang w:val="en-GB"/>
        </w:rPr>
        <w:t>would be about 100%. However, it was decided</w:t>
      </w:r>
      <w:r w:rsidR="0090052B">
        <w:rPr>
          <w:lang w:val="en-GB"/>
        </w:rPr>
        <w:t xml:space="preserve"> </w:t>
      </w:r>
      <w:r w:rsidR="0090052B" w:rsidRPr="0090052B">
        <w:rPr>
          <w:lang w:val="en-GB"/>
        </w:rPr>
        <w:t>for consistency and better comparison with subsequent analyses to retain the result obtained through structural carbohydrate analysis.</w:t>
      </w:r>
    </w:p>
    <w:p w14:paraId="76E4EFB4" w14:textId="38EAE40E" w:rsidR="0090052B" w:rsidRDefault="0090052B" w:rsidP="0090052B">
      <w:pPr>
        <w:pStyle w:val="CETTabletitle"/>
      </w:pPr>
      <w:r w:rsidRPr="00B57B36">
        <w:t xml:space="preserve">Table 1: </w:t>
      </w:r>
      <w:r w:rsidR="00214591">
        <w:t>Oilseed cake</w:t>
      </w:r>
      <w:r>
        <w:t xml:space="preserve"> </w:t>
      </w:r>
      <w:r w:rsidR="005A589A">
        <w:t>c</w:t>
      </w:r>
      <w:r w:rsidR="00500C78">
        <w:t>haracterization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551"/>
        <w:gridCol w:w="1417"/>
        <w:gridCol w:w="2553"/>
        <w:gridCol w:w="1134"/>
      </w:tblGrid>
      <w:tr w:rsidR="00132AC7" w:rsidRPr="00B57B36" w14:paraId="62281660" w14:textId="77777777" w:rsidTr="00C72A00">
        <w:tc>
          <w:tcPr>
            <w:tcW w:w="2551" w:type="dxa"/>
            <w:tcBorders>
              <w:top w:val="single" w:sz="12" w:space="0" w:color="008000"/>
              <w:bottom w:val="single" w:sz="6" w:space="0" w:color="008000"/>
            </w:tcBorders>
            <w:shd w:val="clear" w:color="auto" w:fill="FFFFFF"/>
          </w:tcPr>
          <w:p w14:paraId="43812E15" w14:textId="77777777" w:rsidR="00132AC7" w:rsidRPr="00B57B36" w:rsidRDefault="00132AC7" w:rsidP="00C72A00">
            <w:pPr>
              <w:pStyle w:val="CETBodytext"/>
              <w:jc w:val="center"/>
              <w:rPr>
                <w:lang w:val="en-GB"/>
              </w:rPr>
            </w:pPr>
          </w:p>
        </w:tc>
        <w:tc>
          <w:tcPr>
            <w:tcW w:w="1417" w:type="dxa"/>
            <w:tcBorders>
              <w:top w:val="single" w:sz="12" w:space="0" w:color="008000"/>
              <w:bottom w:val="single" w:sz="6" w:space="0" w:color="008000"/>
            </w:tcBorders>
            <w:shd w:val="clear" w:color="auto" w:fill="FFFFFF"/>
          </w:tcPr>
          <w:p w14:paraId="4DD1C115" w14:textId="77777777" w:rsidR="00132AC7" w:rsidRPr="00B57B36" w:rsidRDefault="00132AC7" w:rsidP="00C72A00">
            <w:pPr>
              <w:pStyle w:val="CETBodytext"/>
              <w:jc w:val="center"/>
              <w:rPr>
                <w:lang w:val="en-GB"/>
              </w:rPr>
            </w:pPr>
            <w:r>
              <w:rPr>
                <w:lang w:val="en-GB"/>
              </w:rPr>
              <w:t>Composition</w:t>
            </w:r>
          </w:p>
        </w:tc>
        <w:tc>
          <w:tcPr>
            <w:tcW w:w="2553" w:type="dxa"/>
            <w:tcBorders>
              <w:top w:val="single" w:sz="12" w:space="0" w:color="008000"/>
              <w:bottom w:val="single" w:sz="6" w:space="0" w:color="008000"/>
            </w:tcBorders>
            <w:shd w:val="clear" w:color="auto" w:fill="FFFFFF"/>
          </w:tcPr>
          <w:p w14:paraId="02E91A39" w14:textId="77777777" w:rsidR="00132AC7" w:rsidRDefault="00132AC7" w:rsidP="00C72A00">
            <w:pPr>
              <w:pStyle w:val="CETBodytext"/>
              <w:jc w:val="center"/>
              <w:rPr>
                <w:lang w:val="en-GB"/>
              </w:rPr>
            </w:pPr>
          </w:p>
        </w:tc>
        <w:tc>
          <w:tcPr>
            <w:tcW w:w="1134" w:type="dxa"/>
            <w:tcBorders>
              <w:top w:val="single" w:sz="12" w:space="0" w:color="008000"/>
              <w:bottom w:val="single" w:sz="6" w:space="0" w:color="008000"/>
            </w:tcBorders>
            <w:shd w:val="clear" w:color="auto" w:fill="FFFFFF"/>
          </w:tcPr>
          <w:p w14:paraId="439FBD25" w14:textId="77777777" w:rsidR="00132AC7" w:rsidRDefault="00132AC7" w:rsidP="00C72A00">
            <w:pPr>
              <w:pStyle w:val="CETBodytext"/>
              <w:jc w:val="center"/>
              <w:rPr>
                <w:lang w:val="en-GB"/>
              </w:rPr>
            </w:pPr>
            <w:r>
              <w:rPr>
                <w:lang w:val="en-GB"/>
              </w:rPr>
              <w:t>Composition</w:t>
            </w:r>
          </w:p>
        </w:tc>
      </w:tr>
      <w:tr w:rsidR="00132AC7" w:rsidRPr="00B57B36" w14:paraId="21E48DD7" w14:textId="77777777" w:rsidTr="00C72A00">
        <w:tc>
          <w:tcPr>
            <w:tcW w:w="2551" w:type="dxa"/>
            <w:shd w:val="clear" w:color="auto" w:fill="FFFFFF"/>
          </w:tcPr>
          <w:p w14:paraId="36EF3ADD" w14:textId="77777777" w:rsidR="00132AC7" w:rsidRPr="00B57B36" w:rsidRDefault="00132AC7" w:rsidP="00C72A00">
            <w:pPr>
              <w:pStyle w:val="CETBodytext"/>
              <w:jc w:val="left"/>
              <w:rPr>
                <w:lang w:val="en-GB"/>
              </w:rPr>
            </w:pPr>
            <w:r>
              <w:t>Moisture content (%)</w:t>
            </w:r>
          </w:p>
        </w:tc>
        <w:tc>
          <w:tcPr>
            <w:tcW w:w="1417" w:type="dxa"/>
            <w:shd w:val="clear" w:color="auto" w:fill="FFFFFF"/>
          </w:tcPr>
          <w:p w14:paraId="12B20FE6" w14:textId="77777777" w:rsidR="00132AC7" w:rsidRPr="00F96DC7" w:rsidRDefault="00132AC7" w:rsidP="00C72A00">
            <w:pPr>
              <w:pStyle w:val="CETBodytext"/>
              <w:jc w:val="center"/>
            </w:pPr>
            <w:r>
              <w:t xml:space="preserve">7.34 </w:t>
            </w:r>
            <w:r w:rsidRPr="00F96DC7">
              <w:t>± 0.08</w:t>
            </w:r>
          </w:p>
        </w:tc>
        <w:tc>
          <w:tcPr>
            <w:tcW w:w="2553" w:type="dxa"/>
            <w:shd w:val="clear" w:color="auto" w:fill="FFFFFF"/>
          </w:tcPr>
          <w:p w14:paraId="54189556" w14:textId="77777777" w:rsidR="00132AC7" w:rsidRDefault="00132AC7" w:rsidP="00C72A00">
            <w:pPr>
              <w:pStyle w:val="CETBodytext"/>
              <w:jc w:val="left"/>
            </w:pPr>
            <w:r>
              <w:t xml:space="preserve">Ashes (% on </w:t>
            </w:r>
            <w:proofErr w:type="spellStart"/>
            <w:r>
              <w:t>dw</w:t>
            </w:r>
            <w:proofErr w:type="spellEnd"/>
            <w:r>
              <w:t>)</w:t>
            </w:r>
          </w:p>
        </w:tc>
        <w:tc>
          <w:tcPr>
            <w:tcW w:w="1134" w:type="dxa"/>
            <w:shd w:val="clear" w:color="auto" w:fill="FFFFFF"/>
          </w:tcPr>
          <w:p w14:paraId="4E25F994" w14:textId="77777777" w:rsidR="00132AC7" w:rsidRDefault="00132AC7" w:rsidP="00C72A00">
            <w:pPr>
              <w:pStyle w:val="CETBodytext"/>
              <w:jc w:val="center"/>
            </w:pPr>
            <w:r>
              <w:t>5.79</w:t>
            </w:r>
            <w:r w:rsidRPr="00F96DC7">
              <w:t xml:space="preserve"> ± 0.24</w:t>
            </w:r>
          </w:p>
        </w:tc>
      </w:tr>
      <w:tr w:rsidR="00132AC7" w:rsidRPr="00B57B36" w14:paraId="219F410F" w14:textId="77777777" w:rsidTr="00C72A00">
        <w:tc>
          <w:tcPr>
            <w:tcW w:w="2551" w:type="dxa"/>
            <w:shd w:val="clear" w:color="auto" w:fill="FFFFFF"/>
          </w:tcPr>
          <w:p w14:paraId="58223A3C" w14:textId="77777777" w:rsidR="00132AC7" w:rsidRPr="00B57B36" w:rsidRDefault="00132AC7" w:rsidP="00C72A00">
            <w:pPr>
              <w:pStyle w:val="CETBodytext"/>
              <w:ind w:right="-1"/>
              <w:jc w:val="left"/>
              <w:rPr>
                <w:rFonts w:cs="Arial"/>
                <w:szCs w:val="18"/>
                <w:lang w:val="en-GB"/>
              </w:rPr>
            </w:pPr>
            <w:r>
              <w:t xml:space="preserve">Fat (% on </w:t>
            </w:r>
            <w:proofErr w:type="spellStart"/>
            <w:r>
              <w:t>dw</w:t>
            </w:r>
            <w:proofErr w:type="spellEnd"/>
            <w:r>
              <w:t>)</w:t>
            </w:r>
          </w:p>
        </w:tc>
        <w:tc>
          <w:tcPr>
            <w:tcW w:w="1417" w:type="dxa"/>
            <w:shd w:val="clear" w:color="auto" w:fill="FFFFFF"/>
          </w:tcPr>
          <w:p w14:paraId="3420F46D" w14:textId="77777777" w:rsidR="00132AC7" w:rsidRPr="00F96DC7" w:rsidRDefault="00132AC7" w:rsidP="00C72A00">
            <w:pPr>
              <w:pStyle w:val="CETBodytext"/>
              <w:ind w:right="-1"/>
              <w:jc w:val="center"/>
            </w:pPr>
            <w:r>
              <w:t>0.20</w:t>
            </w:r>
            <w:r w:rsidRPr="00F96DC7">
              <w:t xml:space="preserve"> ± 0.07</w:t>
            </w:r>
          </w:p>
        </w:tc>
        <w:tc>
          <w:tcPr>
            <w:tcW w:w="2553" w:type="dxa"/>
            <w:shd w:val="clear" w:color="auto" w:fill="FFFFFF"/>
          </w:tcPr>
          <w:p w14:paraId="6F4DD143" w14:textId="77777777" w:rsidR="00132AC7" w:rsidRDefault="00132AC7" w:rsidP="00C72A00">
            <w:pPr>
              <w:pStyle w:val="CETBodytext"/>
              <w:ind w:right="-1"/>
              <w:jc w:val="left"/>
            </w:pPr>
            <w:r>
              <w:t xml:space="preserve">Acid insoluble lignin (% on </w:t>
            </w:r>
            <w:proofErr w:type="spellStart"/>
            <w:r>
              <w:t>dw</w:t>
            </w:r>
            <w:proofErr w:type="spellEnd"/>
            <w:r>
              <w:t>)</w:t>
            </w:r>
          </w:p>
        </w:tc>
        <w:tc>
          <w:tcPr>
            <w:tcW w:w="1134" w:type="dxa"/>
            <w:shd w:val="clear" w:color="auto" w:fill="FFFFFF"/>
          </w:tcPr>
          <w:p w14:paraId="1761E51D" w14:textId="77777777" w:rsidR="00132AC7" w:rsidRDefault="00132AC7" w:rsidP="00C72A00">
            <w:pPr>
              <w:pStyle w:val="CETBodytext"/>
              <w:ind w:right="-1"/>
              <w:jc w:val="center"/>
            </w:pPr>
            <w:r>
              <w:t>13.05</w:t>
            </w:r>
            <w:r w:rsidRPr="00F96DC7">
              <w:t xml:space="preserve"> ± 0.70</w:t>
            </w:r>
          </w:p>
        </w:tc>
      </w:tr>
      <w:tr w:rsidR="00132AC7" w:rsidRPr="00B57B36" w14:paraId="5D782B9E" w14:textId="77777777" w:rsidTr="00C72A00">
        <w:tc>
          <w:tcPr>
            <w:tcW w:w="2551" w:type="dxa"/>
            <w:shd w:val="clear" w:color="auto" w:fill="FFFFFF"/>
          </w:tcPr>
          <w:p w14:paraId="758FA6C6" w14:textId="77777777" w:rsidR="00132AC7" w:rsidRDefault="00132AC7" w:rsidP="00C72A00">
            <w:pPr>
              <w:pStyle w:val="CETBodytext"/>
              <w:ind w:right="-1"/>
              <w:jc w:val="left"/>
            </w:pPr>
            <w:r>
              <w:t xml:space="preserve">Water Extractives (% on </w:t>
            </w:r>
            <w:proofErr w:type="spellStart"/>
            <w:r>
              <w:t>dw</w:t>
            </w:r>
            <w:proofErr w:type="spellEnd"/>
            <w:r>
              <w:t>)</w:t>
            </w:r>
          </w:p>
        </w:tc>
        <w:tc>
          <w:tcPr>
            <w:tcW w:w="1417" w:type="dxa"/>
            <w:shd w:val="clear" w:color="auto" w:fill="FFFFFF"/>
          </w:tcPr>
          <w:p w14:paraId="22FE0154" w14:textId="77777777" w:rsidR="00132AC7" w:rsidRDefault="00132AC7" w:rsidP="00C72A00">
            <w:pPr>
              <w:pStyle w:val="CETBodytext"/>
              <w:ind w:right="-1"/>
              <w:jc w:val="center"/>
            </w:pPr>
            <w:r>
              <w:t xml:space="preserve">16.40 </w:t>
            </w:r>
            <w:r w:rsidRPr="00F96DC7">
              <w:t>± 1.23</w:t>
            </w:r>
          </w:p>
        </w:tc>
        <w:tc>
          <w:tcPr>
            <w:tcW w:w="2553" w:type="dxa"/>
            <w:shd w:val="clear" w:color="auto" w:fill="FFFFFF"/>
          </w:tcPr>
          <w:p w14:paraId="0585AFB0" w14:textId="77777777" w:rsidR="00132AC7" w:rsidRDefault="00132AC7" w:rsidP="00C72A00">
            <w:pPr>
              <w:pStyle w:val="CETBodytext"/>
              <w:ind w:right="-1"/>
              <w:jc w:val="left"/>
            </w:pPr>
            <w:r>
              <w:t xml:space="preserve">Acid soluble lignin (% on </w:t>
            </w:r>
            <w:proofErr w:type="spellStart"/>
            <w:r>
              <w:t>dw</w:t>
            </w:r>
            <w:proofErr w:type="spellEnd"/>
            <w:r>
              <w:t>)</w:t>
            </w:r>
          </w:p>
        </w:tc>
        <w:tc>
          <w:tcPr>
            <w:tcW w:w="1134" w:type="dxa"/>
            <w:shd w:val="clear" w:color="auto" w:fill="FFFFFF"/>
          </w:tcPr>
          <w:p w14:paraId="74B1A0F1" w14:textId="77777777" w:rsidR="00132AC7" w:rsidRDefault="00132AC7" w:rsidP="00C72A00">
            <w:pPr>
              <w:pStyle w:val="CETBodytext"/>
              <w:ind w:right="-1"/>
              <w:jc w:val="center"/>
            </w:pPr>
            <w:r>
              <w:t>1.45</w:t>
            </w:r>
            <w:r w:rsidRPr="00F96DC7">
              <w:t xml:space="preserve"> ± 0.01</w:t>
            </w:r>
          </w:p>
        </w:tc>
      </w:tr>
      <w:tr w:rsidR="00132AC7" w:rsidRPr="00B57B36" w14:paraId="432A74B1" w14:textId="77777777" w:rsidTr="00C72A00">
        <w:tc>
          <w:tcPr>
            <w:tcW w:w="2551" w:type="dxa"/>
            <w:shd w:val="clear" w:color="auto" w:fill="FFFFFF"/>
          </w:tcPr>
          <w:p w14:paraId="662E4628" w14:textId="77777777" w:rsidR="00132AC7" w:rsidRDefault="00132AC7" w:rsidP="00C72A00">
            <w:pPr>
              <w:pStyle w:val="CETBodytext"/>
              <w:ind w:right="-1"/>
              <w:jc w:val="left"/>
            </w:pPr>
            <w:r>
              <w:t xml:space="preserve">Ethanol Extractives (% on </w:t>
            </w:r>
            <w:proofErr w:type="spellStart"/>
            <w:r>
              <w:t>dw</w:t>
            </w:r>
            <w:proofErr w:type="spellEnd"/>
            <w:r>
              <w:t>)</w:t>
            </w:r>
          </w:p>
        </w:tc>
        <w:tc>
          <w:tcPr>
            <w:tcW w:w="1417" w:type="dxa"/>
            <w:shd w:val="clear" w:color="auto" w:fill="FFFFFF"/>
          </w:tcPr>
          <w:p w14:paraId="18464CBE" w14:textId="77777777" w:rsidR="00132AC7" w:rsidRDefault="00132AC7" w:rsidP="00C72A00">
            <w:pPr>
              <w:pStyle w:val="CETBodytext"/>
              <w:ind w:right="-1"/>
              <w:jc w:val="center"/>
            </w:pPr>
            <w:r>
              <w:t xml:space="preserve">3.33 </w:t>
            </w:r>
            <w:r w:rsidRPr="00F96DC7">
              <w:t>± 0.20</w:t>
            </w:r>
          </w:p>
        </w:tc>
        <w:tc>
          <w:tcPr>
            <w:tcW w:w="2553" w:type="dxa"/>
            <w:shd w:val="clear" w:color="auto" w:fill="FFFFFF"/>
          </w:tcPr>
          <w:p w14:paraId="5BFAD131" w14:textId="77777777" w:rsidR="00132AC7" w:rsidRDefault="00132AC7" w:rsidP="00C72A00">
            <w:pPr>
              <w:pStyle w:val="CETBodytext"/>
              <w:ind w:right="-1"/>
              <w:jc w:val="left"/>
            </w:pPr>
            <w:r>
              <w:t xml:space="preserve">Hemicellulose (% on </w:t>
            </w:r>
            <w:proofErr w:type="spellStart"/>
            <w:r>
              <w:t>dw</w:t>
            </w:r>
            <w:proofErr w:type="spellEnd"/>
            <w:r>
              <w:t>)</w:t>
            </w:r>
          </w:p>
        </w:tc>
        <w:tc>
          <w:tcPr>
            <w:tcW w:w="1134" w:type="dxa"/>
            <w:shd w:val="clear" w:color="auto" w:fill="FFFFFF"/>
          </w:tcPr>
          <w:p w14:paraId="4038192C" w14:textId="77777777" w:rsidR="00132AC7" w:rsidRDefault="00132AC7" w:rsidP="00C72A00">
            <w:pPr>
              <w:pStyle w:val="CETBodytext"/>
              <w:ind w:right="-1"/>
              <w:jc w:val="center"/>
            </w:pPr>
            <w:r>
              <w:t>9.05</w:t>
            </w:r>
            <w:r w:rsidRPr="00F96DC7">
              <w:t xml:space="preserve"> ± 0.30</w:t>
            </w:r>
          </w:p>
        </w:tc>
      </w:tr>
      <w:tr w:rsidR="00132AC7" w:rsidRPr="00B57B36" w14:paraId="0C7C7AFD" w14:textId="77777777" w:rsidTr="00C72A00">
        <w:tc>
          <w:tcPr>
            <w:tcW w:w="2551" w:type="dxa"/>
            <w:shd w:val="clear" w:color="auto" w:fill="FFFFFF"/>
          </w:tcPr>
          <w:p w14:paraId="4ECB7D9F" w14:textId="77777777" w:rsidR="00132AC7" w:rsidRPr="00B57B36" w:rsidRDefault="00132AC7" w:rsidP="00C72A00">
            <w:pPr>
              <w:pStyle w:val="CETBodytext"/>
              <w:ind w:right="-1"/>
              <w:jc w:val="left"/>
              <w:rPr>
                <w:rFonts w:cs="Arial"/>
                <w:szCs w:val="18"/>
                <w:lang w:val="en-GB"/>
              </w:rPr>
            </w:pPr>
            <w:r>
              <w:t xml:space="preserve">Proteins (% on </w:t>
            </w:r>
            <w:proofErr w:type="spellStart"/>
            <w:r>
              <w:t>dw</w:t>
            </w:r>
            <w:proofErr w:type="spellEnd"/>
            <w:r>
              <w:t>)</w:t>
            </w:r>
          </w:p>
        </w:tc>
        <w:tc>
          <w:tcPr>
            <w:tcW w:w="1417" w:type="dxa"/>
            <w:shd w:val="clear" w:color="auto" w:fill="FFFFFF"/>
          </w:tcPr>
          <w:p w14:paraId="6F9F1600" w14:textId="77777777" w:rsidR="00132AC7" w:rsidRPr="00F96DC7" w:rsidRDefault="00132AC7" w:rsidP="00C72A00">
            <w:pPr>
              <w:pStyle w:val="CETBodytext"/>
              <w:ind w:right="-1"/>
              <w:jc w:val="center"/>
            </w:pPr>
            <w:r>
              <w:t>25.27</w:t>
            </w:r>
            <w:r w:rsidRPr="00F96DC7">
              <w:t xml:space="preserve"> ± 0.72</w:t>
            </w:r>
          </w:p>
        </w:tc>
        <w:tc>
          <w:tcPr>
            <w:tcW w:w="2553" w:type="dxa"/>
            <w:shd w:val="clear" w:color="auto" w:fill="FFFFFF"/>
          </w:tcPr>
          <w:p w14:paraId="451BE4A7" w14:textId="77777777" w:rsidR="00132AC7" w:rsidRDefault="00132AC7" w:rsidP="00C72A00">
            <w:pPr>
              <w:pStyle w:val="CETBodytext"/>
              <w:ind w:right="-1"/>
              <w:jc w:val="left"/>
            </w:pPr>
            <w:r>
              <w:t xml:space="preserve">Cellulose (% on </w:t>
            </w:r>
            <w:proofErr w:type="spellStart"/>
            <w:r>
              <w:t>dw</w:t>
            </w:r>
            <w:proofErr w:type="spellEnd"/>
            <w:r>
              <w:t>)</w:t>
            </w:r>
          </w:p>
        </w:tc>
        <w:tc>
          <w:tcPr>
            <w:tcW w:w="1134" w:type="dxa"/>
            <w:shd w:val="clear" w:color="auto" w:fill="FFFFFF"/>
          </w:tcPr>
          <w:p w14:paraId="5A1FAEA9" w14:textId="77777777" w:rsidR="00132AC7" w:rsidRDefault="00132AC7" w:rsidP="00C72A00">
            <w:pPr>
              <w:pStyle w:val="CETBodytext"/>
              <w:ind w:right="-1"/>
              <w:jc w:val="center"/>
            </w:pPr>
            <w:r>
              <w:t>13.68</w:t>
            </w:r>
            <w:r w:rsidRPr="00F96DC7">
              <w:t xml:space="preserve"> ± 0.27</w:t>
            </w:r>
          </w:p>
        </w:tc>
      </w:tr>
    </w:tbl>
    <w:p w14:paraId="1F96CA21" w14:textId="448E6A6C" w:rsidR="00600535" w:rsidRPr="00B57B36" w:rsidRDefault="00FE775A" w:rsidP="00FA5F5F">
      <w:pPr>
        <w:pStyle w:val="CETheadingx"/>
      </w:pPr>
      <w:r>
        <w:t>Fractionation Process</w:t>
      </w:r>
    </w:p>
    <w:p w14:paraId="2234FF63" w14:textId="1F17D1F0" w:rsidR="001C3F7D" w:rsidRDefault="005673F7" w:rsidP="00440389">
      <w:pPr>
        <w:pStyle w:val="CETBodytext"/>
        <w:rPr>
          <w:lang w:val="en-GB"/>
        </w:rPr>
      </w:pPr>
      <w:r>
        <w:rPr>
          <w:lang w:val="en-GB"/>
        </w:rPr>
        <w:t>T</w:t>
      </w:r>
      <w:r w:rsidR="00440389" w:rsidRPr="00440389">
        <w:rPr>
          <w:lang w:val="en-GB"/>
        </w:rPr>
        <w:t xml:space="preserve">he </w:t>
      </w:r>
      <w:r>
        <w:rPr>
          <w:lang w:val="en-GB"/>
        </w:rPr>
        <w:t>fractionation process reported in Figure 1</w:t>
      </w:r>
      <w:r w:rsidR="00666A2F">
        <w:rPr>
          <w:lang w:val="en-GB"/>
        </w:rPr>
        <w:t xml:space="preserve"> was </w:t>
      </w:r>
      <w:proofErr w:type="spellStart"/>
      <w:r w:rsidR="00666A2F">
        <w:rPr>
          <w:lang w:val="en-GB"/>
        </w:rPr>
        <w:t>analy</w:t>
      </w:r>
      <w:r w:rsidR="001809A8">
        <w:rPr>
          <w:lang w:val="en-GB"/>
        </w:rPr>
        <w:t>z</w:t>
      </w:r>
      <w:r w:rsidR="00666A2F">
        <w:rPr>
          <w:lang w:val="en-GB"/>
        </w:rPr>
        <w:t>ed</w:t>
      </w:r>
      <w:proofErr w:type="spellEnd"/>
      <w:r w:rsidR="00666A2F">
        <w:rPr>
          <w:lang w:val="en-GB"/>
        </w:rPr>
        <w:t xml:space="preserve"> </w:t>
      </w:r>
      <w:r w:rsidR="005725F8">
        <w:rPr>
          <w:lang w:val="en-GB"/>
        </w:rPr>
        <w:t xml:space="preserve">starting from the autohydrolysis step. </w:t>
      </w:r>
      <w:r w:rsidR="001C3F7D" w:rsidRPr="001C3F7D">
        <w:rPr>
          <w:lang w:val="en-GB"/>
        </w:rPr>
        <w:t xml:space="preserve">As mentioned </w:t>
      </w:r>
      <w:r w:rsidR="00AF79A9">
        <w:rPr>
          <w:lang w:val="en-GB"/>
        </w:rPr>
        <w:t>in “Material and Methods” section</w:t>
      </w:r>
      <w:r w:rsidR="001809A8">
        <w:rPr>
          <w:lang w:val="en-GB"/>
        </w:rPr>
        <w:t>,</w:t>
      </w:r>
      <w:r w:rsidR="001C3F7D" w:rsidRPr="001C3F7D">
        <w:rPr>
          <w:lang w:val="en-GB"/>
        </w:rPr>
        <w:t xml:space="preserve"> regarding the autohydrolysis treatment, the optimal operating conditions derived from Fiorentini et. al. (2022)</w:t>
      </w:r>
      <w:r w:rsidR="001C3F7D">
        <w:rPr>
          <w:lang w:val="en-GB"/>
        </w:rPr>
        <w:t>,</w:t>
      </w:r>
      <w:r w:rsidR="001C3F7D" w:rsidRPr="001C3F7D">
        <w:rPr>
          <w:lang w:val="en-GB"/>
        </w:rPr>
        <w:t xml:space="preserve"> were selected. As can be seen from Table 2, the main treatment objectives</w:t>
      </w:r>
      <w:r w:rsidR="001C3F7D">
        <w:rPr>
          <w:lang w:val="en-GB"/>
        </w:rPr>
        <w:t xml:space="preserve">, </w:t>
      </w:r>
      <w:r w:rsidR="001809A8">
        <w:rPr>
          <w:lang w:val="en-GB"/>
        </w:rPr>
        <w:t>which</w:t>
      </w:r>
      <w:r w:rsidR="001C3F7D">
        <w:rPr>
          <w:lang w:val="en-GB"/>
        </w:rPr>
        <w:t xml:space="preserve"> are</w:t>
      </w:r>
      <w:r w:rsidR="001C3F7D" w:rsidRPr="001C3F7D">
        <w:rPr>
          <w:lang w:val="en-GB"/>
        </w:rPr>
        <w:t xml:space="preserve"> hemicellulose removal and high cellulose recovery</w:t>
      </w:r>
      <w:r w:rsidR="001C3F7D">
        <w:rPr>
          <w:lang w:val="en-GB"/>
        </w:rPr>
        <w:t xml:space="preserve"> yield,</w:t>
      </w:r>
      <w:r w:rsidR="001C3F7D" w:rsidRPr="001C3F7D">
        <w:rPr>
          <w:lang w:val="en-GB"/>
        </w:rPr>
        <w:t xml:space="preserve"> were achieved, </w:t>
      </w:r>
      <w:r w:rsidR="001C3F7D">
        <w:rPr>
          <w:lang w:val="en-GB"/>
        </w:rPr>
        <w:t xml:space="preserve">reflecting </w:t>
      </w:r>
      <w:r w:rsidR="001C3F7D" w:rsidRPr="001C3F7D">
        <w:rPr>
          <w:lang w:val="en-GB"/>
        </w:rPr>
        <w:t xml:space="preserve">what was reported by Fiorentini et. al. (2022). </w:t>
      </w:r>
      <w:r w:rsidR="001C3F7D">
        <w:rPr>
          <w:lang w:val="en-GB"/>
        </w:rPr>
        <w:t>I</w:t>
      </w:r>
      <w:r w:rsidR="001C3F7D" w:rsidRPr="001C3F7D">
        <w:rPr>
          <w:lang w:val="en-GB"/>
        </w:rPr>
        <w:t xml:space="preserve">t is </w:t>
      </w:r>
      <w:r w:rsidR="001C3F7D">
        <w:rPr>
          <w:lang w:val="en-GB"/>
        </w:rPr>
        <w:t xml:space="preserve">important to point out </w:t>
      </w:r>
      <w:r w:rsidR="001C3F7D" w:rsidRPr="001C3F7D">
        <w:rPr>
          <w:lang w:val="en-GB"/>
        </w:rPr>
        <w:t xml:space="preserve">that a cellulose recovery </w:t>
      </w:r>
      <w:r w:rsidR="005F38F2">
        <w:rPr>
          <w:lang w:val="en-GB"/>
        </w:rPr>
        <w:t>slightly higher</w:t>
      </w:r>
      <w:r w:rsidR="001C3F7D" w:rsidRPr="001C3F7D">
        <w:rPr>
          <w:lang w:val="en-GB"/>
        </w:rPr>
        <w:t xml:space="preserve"> than 100% is due to the high variability of the analysis. Therefore, it can be reasonably assumed that cellulose recovery is around 100%.</w:t>
      </w:r>
      <w:r w:rsidR="001C3F7D">
        <w:rPr>
          <w:lang w:val="en-GB"/>
        </w:rPr>
        <w:t xml:space="preserve"> On the other hand</w:t>
      </w:r>
      <w:r w:rsidR="001C3F7D" w:rsidRPr="001C3F7D">
        <w:rPr>
          <w:lang w:val="en-GB"/>
        </w:rPr>
        <w:t xml:space="preserve">, the much higher recovery </w:t>
      </w:r>
      <w:r w:rsidR="001C3F7D">
        <w:rPr>
          <w:lang w:val="en-GB"/>
        </w:rPr>
        <w:t>than</w:t>
      </w:r>
      <w:r w:rsidR="001C3F7D" w:rsidRPr="001C3F7D">
        <w:rPr>
          <w:lang w:val="en-GB"/>
        </w:rPr>
        <w:t xml:space="preserve"> 100% </w:t>
      </w:r>
      <w:r w:rsidR="001C3F7D">
        <w:rPr>
          <w:lang w:val="en-GB"/>
        </w:rPr>
        <w:t xml:space="preserve">of lignin </w:t>
      </w:r>
      <w:r w:rsidR="001C3F7D" w:rsidRPr="001C3F7D">
        <w:rPr>
          <w:lang w:val="en-GB"/>
        </w:rPr>
        <w:t>is due to the formation of lignin-like structures. These can be generated during acid and thermal pretreatments</w:t>
      </w:r>
      <w:r w:rsidR="001C3F7D">
        <w:rPr>
          <w:lang w:val="en-GB"/>
        </w:rPr>
        <w:t>,</w:t>
      </w:r>
      <w:r w:rsidR="001C3F7D" w:rsidRPr="001C3F7D">
        <w:rPr>
          <w:lang w:val="en-GB"/>
        </w:rPr>
        <w:t xml:space="preserve"> such as autohydrolysis</w:t>
      </w:r>
      <w:r w:rsidR="001C3F7D">
        <w:rPr>
          <w:lang w:val="en-GB"/>
        </w:rPr>
        <w:t>,</w:t>
      </w:r>
      <w:r w:rsidR="001C3F7D" w:rsidRPr="001C3F7D">
        <w:rPr>
          <w:lang w:val="en-GB"/>
        </w:rPr>
        <w:t xml:space="preserve"> due to polymerization</w:t>
      </w:r>
      <w:r w:rsidR="00462D48">
        <w:rPr>
          <w:lang w:val="en-GB"/>
        </w:rPr>
        <w:t xml:space="preserve"> or </w:t>
      </w:r>
      <w:r w:rsidR="001C3F7D" w:rsidRPr="001C3F7D">
        <w:rPr>
          <w:lang w:val="en-GB"/>
        </w:rPr>
        <w:t xml:space="preserve">condensation reactions of compounds derived from furfural and </w:t>
      </w:r>
      <w:proofErr w:type="spellStart"/>
      <w:r w:rsidR="001C3F7D" w:rsidRPr="001C3F7D">
        <w:rPr>
          <w:lang w:val="en-GB"/>
        </w:rPr>
        <w:t>hydroxymethylfurfural</w:t>
      </w:r>
      <w:proofErr w:type="spellEnd"/>
      <w:r w:rsidR="001C3F7D">
        <w:rPr>
          <w:lang w:val="en-GB"/>
        </w:rPr>
        <w:t>. The latter are</w:t>
      </w:r>
      <w:r w:rsidR="001C3F7D" w:rsidRPr="001C3F7D">
        <w:rPr>
          <w:lang w:val="en-GB"/>
        </w:rPr>
        <w:t xml:space="preserve"> products of degradation of xylose</w:t>
      </w:r>
      <w:r w:rsidR="001C3F7D">
        <w:rPr>
          <w:lang w:val="en-GB"/>
        </w:rPr>
        <w:t>,</w:t>
      </w:r>
      <w:r w:rsidR="001C3F7D" w:rsidRPr="001C3F7D">
        <w:rPr>
          <w:lang w:val="en-GB"/>
        </w:rPr>
        <w:t xml:space="preserve"> glucose and sugary compounds already present in the extractives (Shinde et al.</w:t>
      </w:r>
      <w:r w:rsidR="00F109C2">
        <w:rPr>
          <w:lang w:val="en-GB"/>
        </w:rPr>
        <w:t xml:space="preserve">, </w:t>
      </w:r>
      <w:r w:rsidR="001C3F7D" w:rsidRPr="001C3F7D">
        <w:rPr>
          <w:lang w:val="en-GB"/>
        </w:rPr>
        <w:t xml:space="preserve">2018). For this reason, it is possible to estimate that the actual recovery of lignin is </w:t>
      </w:r>
      <w:r w:rsidR="001C3F7D">
        <w:rPr>
          <w:lang w:val="en-GB"/>
        </w:rPr>
        <w:t xml:space="preserve">equal </w:t>
      </w:r>
      <w:r w:rsidR="00462D48">
        <w:rPr>
          <w:lang w:val="en-GB"/>
        </w:rPr>
        <w:t xml:space="preserve">to </w:t>
      </w:r>
      <w:r w:rsidR="001C3F7D">
        <w:rPr>
          <w:lang w:val="en-GB"/>
        </w:rPr>
        <w:t>or slightly lower than</w:t>
      </w:r>
      <w:r w:rsidR="001C3F7D" w:rsidRPr="001C3F7D">
        <w:rPr>
          <w:lang w:val="en-GB"/>
        </w:rPr>
        <w:t xml:space="preserve"> 100</w:t>
      </w:r>
      <w:r w:rsidR="001C3F7D">
        <w:rPr>
          <w:lang w:val="en-GB"/>
        </w:rPr>
        <w:t>%</w:t>
      </w:r>
      <w:r w:rsidR="001C3F7D" w:rsidRPr="001C3F7D">
        <w:rPr>
          <w:lang w:val="en-GB"/>
        </w:rPr>
        <w:t xml:space="preserve">. </w:t>
      </w:r>
      <w:r w:rsidR="001C3F7D" w:rsidRPr="00405273">
        <w:rPr>
          <w:lang w:val="en-GB"/>
        </w:rPr>
        <w:t xml:space="preserve">This consideration is also supported by subsequent analysis following </w:t>
      </w:r>
      <w:r w:rsidR="00901FE6" w:rsidRPr="00405273">
        <w:rPr>
          <w:lang w:val="en-GB"/>
        </w:rPr>
        <w:t xml:space="preserve">the </w:t>
      </w:r>
      <w:r w:rsidR="001C3F7D" w:rsidRPr="00405273">
        <w:rPr>
          <w:lang w:val="en-GB"/>
        </w:rPr>
        <w:t>alkaline hydrolysis and b</w:t>
      </w:r>
      <w:r w:rsidR="00330774">
        <w:rPr>
          <w:lang w:val="en-GB"/>
        </w:rPr>
        <w:t>l</w:t>
      </w:r>
      <w:r w:rsidR="001C3F7D" w:rsidRPr="00405273">
        <w:rPr>
          <w:lang w:val="en-GB"/>
        </w:rPr>
        <w:t xml:space="preserve">eaching </w:t>
      </w:r>
      <w:r w:rsidR="00901FE6" w:rsidRPr="00405273">
        <w:rPr>
          <w:lang w:val="en-GB"/>
        </w:rPr>
        <w:t>steps</w:t>
      </w:r>
      <w:r w:rsidR="001C3F7D" w:rsidRPr="00405273">
        <w:rPr>
          <w:lang w:val="en-GB"/>
        </w:rPr>
        <w:t xml:space="preserve"> where a reduction in lignin recovery below 100</w:t>
      </w:r>
      <w:r w:rsidR="00B95011" w:rsidRPr="00405273">
        <w:rPr>
          <w:lang w:val="en-GB"/>
        </w:rPr>
        <w:t>% has been</w:t>
      </w:r>
      <w:r w:rsidR="001C3F7D" w:rsidRPr="00405273">
        <w:rPr>
          <w:lang w:val="en-GB"/>
        </w:rPr>
        <w:t xml:space="preserve"> observed as the effect of the formation of lignin-like structures is </w:t>
      </w:r>
      <w:r w:rsidR="00827DCA" w:rsidRPr="00405273">
        <w:rPr>
          <w:lang w:val="en-GB"/>
        </w:rPr>
        <w:t>diminished.</w:t>
      </w:r>
      <w:r w:rsidR="00462D48">
        <w:rPr>
          <w:lang w:val="en-GB"/>
        </w:rPr>
        <w:t xml:space="preserve"> </w:t>
      </w:r>
      <w:r w:rsidR="00462D48" w:rsidRPr="00754DD4">
        <w:rPr>
          <w:lang w:val="en-GB"/>
        </w:rPr>
        <w:t>The solid from the autohydrolysis pretreatment, suitably recovered</w:t>
      </w:r>
      <w:r w:rsidR="002470C1">
        <w:rPr>
          <w:lang w:val="en-GB"/>
        </w:rPr>
        <w:t>,</w:t>
      </w:r>
      <w:r w:rsidR="00462D48" w:rsidRPr="00754DD4">
        <w:rPr>
          <w:lang w:val="en-GB"/>
        </w:rPr>
        <w:t xml:space="preserve"> filtered and dried, was then subjected to the subsequent alkaline hydrolysis and bleaching treatments to go on to isolate the cellulose, consequently reducing the lignin content and eliminating the hemicellulose fraction.</w:t>
      </w:r>
      <w:r w:rsidR="00462D48">
        <w:rPr>
          <w:lang w:val="en-GB"/>
        </w:rPr>
        <w:t xml:space="preserve"> </w:t>
      </w:r>
      <w:r w:rsidR="00462D48" w:rsidRPr="001C7015">
        <w:rPr>
          <w:lang w:val="en-GB"/>
        </w:rPr>
        <w:t xml:space="preserve">Table 3, Table 4, </w:t>
      </w:r>
      <w:r w:rsidR="00462D48">
        <w:rPr>
          <w:lang w:val="en-GB"/>
        </w:rPr>
        <w:t xml:space="preserve">and </w:t>
      </w:r>
      <w:r w:rsidR="00462D48" w:rsidRPr="001C7015">
        <w:rPr>
          <w:lang w:val="en-GB"/>
        </w:rPr>
        <w:t xml:space="preserve">Table 5 show the results for the alkaline hydrolysis treatments at different concentrations of NaOH, room temperature (i.e. </w:t>
      </w:r>
      <w:r w:rsidR="00462D48">
        <w:rPr>
          <w:lang w:val="en-GB"/>
        </w:rPr>
        <w:t xml:space="preserve">about </w:t>
      </w:r>
      <w:r w:rsidR="00462D48" w:rsidRPr="001C7015">
        <w:rPr>
          <w:lang w:val="en-GB"/>
        </w:rPr>
        <w:t>25 °C) and the subsequent bleaching step.</w:t>
      </w:r>
      <w:r w:rsidR="00A440D1">
        <w:rPr>
          <w:lang w:val="en-GB"/>
        </w:rPr>
        <w:t xml:space="preserve"> </w:t>
      </w:r>
      <w:r w:rsidR="00A440D1" w:rsidRPr="0046756B">
        <w:rPr>
          <w:lang w:val="en-GB"/>
        </w:rPr>
        <w:t xml:space="preserve">Hemicellulose underwent further degradation is reduced as </w:t>
      </w:r>
      <w:r w:rsidR="00A440D1">
        <w:rPr>
          <w:lang w:val="en-GB"/>
        </w:rPr>
        <w:t>NaOH</w:t>
      </w:r>
      <w:r w:rsidR="00A440D1" w:rsidRPr="0046756B">
        <w:rPr>
          <w:lang w:val="en-GB"/>
        </w:rPr>
        <w:t xml:space="preserve"> content increases and is almost eliminated in the final bleaching step.</w:t>
      </w:r>
      <w:r w:rsidR="00A440D1">
        <w:rPr>
          <w:lang w:val="en-GB"/>
        </w:rPr>
        <w:t xml:space="preserve"> Regarding</w:t>
      </w:r>
      <w:r w:rsidR="00A440D1" w:rsidRPr="00132EB3">
        <w:rPr>
          <w:lang w:val="en-GB"/>
        </w:rPr>
        <w:t xml:space="preserve"> the lignin content, this is effectively reduced to a maximum of about 21% w/w after the alkali step with 1.5%</w:t>
      </w:r>
      <w:r w:rsidR="00A440D1">
        <w:rPr>
          <w:lang w:val="en-GB"/>
        </w:rPr>
        <w:t xml:space="preserve"> w/v of</w:t>
      </w:r>
      <w:r w:rsidR="00A440D1" w:rsidRPr="00132EB3">
        <w:rPr>
          <w:lang w:val="en-GB"/>
        </w:rPr>
        <w:t xml:space="preserve"> NaOH.</w:t>
      </w:r>
    </w:p>
    <w:p w14:paraId="5F91FA57" w14:textId="2D0F99C3" w:rsidR="00E364A0" w:rsidRPr="00B57B36" w:rsidRDefault="00E364A0" w:rsidP="00E364A0">
      <w:pPr>
        <w:pStyle w:val="CETTabletitle"/>
      </w:pPr>
      <w:r w:rsidRPr="00B57B36">
        <w:lastRenderedPageBreak/>
        <w:t xml:space="preserve">Table </w:t>
      </w:r>
      <w:r>
        <w:t>2</w:t>
      </w:r>
      <w:r w:rsidRPr="00B57B36">
        <w:t xml:space="preserve">: </w:t>
      </w:r>
      <w:r w:rsidR="00F23768">
        <w:t xml:space="preserve">Composition of the solid residue and recovery percentage </w:t>
      </w:r>
      <w:r w:rsidR="00B1537E">
        <w:t>after autohydrolysis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551"/>
        <w:gridCol w:w="1417"/>
        <w:gridCol w:w="1417"/>
      </w:tblGrid>
      <w:tr w:rsidR="00706EB8" w:rsidRPr="00B57B36" w14:paraId="52F41B58" w14:textId="77777777" w:rsidTr="000914DD">
        <w:tc>
          <w:tcPr>
            <w:tcW w:w="2551" w:type="dxa"/>
            <w:tcBorders>
              <w:top w:val="single" w:sz="12" w:space="0" w:color="008000"/>
              <w:bottom w:val="single" w:sz="6" w:space="0" w:color="008000"/>
            </w:tcBorders>
            <w:shd w:val="clear" w:color="auto" w:fill="FFFFFF"/>
          </w:tcPr>
          <w:p w14:paraId="7352FE1D" w14:textId="77777777" w:rsidR="00706EB8" w:rsidRPr="00B57B36" w:rsidRDefault="00706EB8" w:rsidP="00C94EAC">
            <w:pPr>
              <w:pStyle w:val="CETBodytext"/>
              <w:jc w:val="center"/>
              <w:rPr>
                <w:lang w:val="en-GB"/>
              </w:rPr>
            </w:pPr>
          </w:p>
        </w:tc>
        <w:tc>
          <w:tcPr>
            <w:tcW w:w="1417" w:type="dxa"/>
            <w:tcBorders>
              <w:top w:val="single" w:sz="12" w:space="0" w:color="008000"/>
              <w:bottom w:val="single" w:sz="6" w:space="0" w:color="008000"/>
            </w:tcBorders>
            <w:shd w:val="clear" w:color="auto" w:fill="FFFFFF"/>
          </w:tcPr>
          <w:p w14:paraId="0E568992" w14:textId="542E3DFF" w:rsidR="00706EB8" w:rsidRPr="00B57B36" w:rsidRDefault="00DE224E" w:rsidP="00C94EAC">
            <w:pPr>
              <w:pStyle w:val="CETBodytext"/>
              <w:jc w:val="center"/>
              <w:rPr>
                <w:lang w:val="en-GB"/>
              </w:rPr>
            </w:pPr>
            <w:r>
              <w:rPr>
                <w:lang w:val="en-GB"/>
              </w:rPr>
              <w:t xml:space="preserve">Composition (% on </w:t>
            </w:r>
            <w:proofErr w:type="spellStart"/>
            <w:r>
              <w:rPr>
                <w:lang w:val="en-GB"/>
              </w:rPr>
              <w:t>dw</w:t>
            </w:r>
            <w:proofErr w:type="spellEnd"/>
            <w:r>
              <w:rPr>
                <w:lang w:val="en-GB"/>
              </w:rPr>
              <w:t xml:space="preserve">) </w:t>
            </w:r>
          </w:p>
        </w:tc>
        <w:tc>
          <w:tcPr>
            <w:tcW w:w="1417" w:type="dxa"/>
            <w:tcBorders>
              <w:top w:val="single" w:sz="12" w:space="0" w:color="008000"/>
              <w:bottom w:val="single" w:sz="6" w:space="0" w:color="008000"/>
            </w:tcBorders>
            <w:shd w:val="clear" w:color="auto" w:fill="FFFFFF"/>
          </w:tcPr>
          <w:p w14:paraId="51EB8257" w14:textId="72F3AE10" w:rsidR="00706EB8" w:rsidRPr="00B57B36" w:rsidRDefault="00FA0BB3" w:rsidP="00C94EAC">
            <w:pPr>
              <w:pStyle w:val="CETBodytext"/>
              <w:jc w:val="center"/>
              <w:rPr>
                <w:lang w:val="en-GB"/>
              </w:rPr>
            </w:pPr>
            <w:r>
              <w:rPr>
                <w:lang w:val="en-GB"/>
              </w:rPr>
              <w:t>Recove</w:t>
            </w:r>
            <w:r w:rsidR="00135E7C">
              <w:rPr>
                <w:lang w:val="en-GB"/>
              </w:rPr>
              <w:t>ry (%)</w:t>
            </w:r>
          </w:p>
        </w:tc>
      </w:tr>
      <w:tr w:rsidR="00F15D39" w:rsidRPr="00B57B36" w14:paraId="6878E014" w14:textId="77777777" w:rsidTr="004C7D99">
        <w:tc>
          <w:tcPr>
            <w:tcW w:w="2551" w:type="dxa"/>
            <w:shd w:val="clear" w:color="auto" w:fill="FFFFFF"/>
          </w:tcPr>
          <w:p w14:paraId="3A1832BF" w14:textId="77777777" w:rsidR="00F15D39" w:rsidRPr="00B57B36" w:rsidRDefault="00F15D39" w:rsidP="00F15D39">
            <w:pPr>
              <w:pStyle w:val="CETBodytext"/>
              <w:ind w:right="-1"/>
              <w:jc w:val="left"/>
              <w:rPr>
                <w:rFonts w:cs="Arial"/>
                <w:szCs w:val="18"/>
                <w:lang w:val="en-GB"/>
              </w:rPr>
            </w:pPr>
            <w:r>
              <w:t xml:space="preserve">Acid insoluble lignin (% on </w:t>
            </w:r>
            <w:proofErr w:type="spellStart"/>
            <w:r>
              <w:t>dw</w:t>
            </w:r>
            <w:proofErr w:type="spellEnd"/>
            <w:r>
              <w:t>)</w:t>
            </w:r>
          </w:p>
        </w:tc>
        <w:tc>
          <w:tcPr>
            <w:tcW w:w="1417" w:type="dxa"/>
            <w:tcBorders>
              <w:top w:val="nil"/>
              <w:left w:val="nil"/>
              <w:bottom w:val="nil"/>
              <w:right w:val="nil"/>
            </w:tcBorders>
            <w:shd w:val="clear" w:color="auto" w:fill="auto"/>
            <w:vAlign w:val="bottom"/>
          </w:tcPr>
          <w:p w14:paraId="35A7A4F3" w14:textId="2F65A1DA" w:rsidR="00F15D39" w:rsidRDefault="00F15D39" w:rsidP="00F15D39">
            <w:pPr>
              <w:pStyle w:val="CETBodytext"/>
              <w:ind w:right="-1"/>
              <w:jc w:val="center"/>
            </w:pPr>
            <w:r w:rsidRPr="00F15D39">
              <w:t>34.37</w:t>
            </w:r>
            <w:r>
              <w:t xml:space="preserve"> </w:t>
            </w:r>
            <w:r w:rsidRPr="00F15D39">
              <w:t>± 0.</w:t>
            </w:r>
            <w:r w:rsidR="00873CB5">
              <w:t>56</w:t>
            </w:r>
          </w:p>
        </w:tc>
        <w:tc>
          <w:tcPr>
            <w:tcW w:w="1417" w:type="dxa"/>
            <w:shd w:val="clear" w:color="auto" w:fill="FFFFFF"/>
          </w:tcPr>
          <w:p w14:paraId="4D5F9F8E" w14:textId="55802470" w:rsidR="00F15D39" w:rsidRPr="00F15D39" w:rsidRDefault="0097741D" w:rsidP="00F15D39">
            <w:pPr>
              <w:pStyle w:val="CETBodytext"/>
              <w:ind w:right="-1"/>
              <w:jc w:val="center"/>
            </w:pPr>
            <w:r>
              <w:t>123.26</w:t>
            </w:r>
            <w:r w:rsidR="00F15D39" w:rsidRPr="00F15D39">
              <w:t xml:space="preserve"> ± </w:t>
            </w:r>
            <w:r>
              <w:t>2.01</w:t>
            </w:r>
          </w:p>
        </w:tc>
      </w:tr>
      <w:tr w:rsidR="00F15D39" w:rsidRPr="00B57B36" w14:paraId="758BADF8" w14:textId="77777777" w:rsidTr="004C7D99">
        <w:tc>
          <w:tcPr>
            <w:tcW w:w="2551" w:type="dxa"/>
            <w:shd w:val="clear" w:color="auto" w:fill="FFFFFF"/>
          </w:tcPr>
          <w:p w14:paraId="003942C6" w14:textId="77777777" w:rsidR="00F15D39" w:rsidRPr="00B57B36" w:rsidRDefault="00F15D39" w:rsidP="00F15D39">
            <w:pPr>
              <w:pStyle w:val="CETBodytext"/>
              <w:ind w:right="-1"/>
              <w:jc w:val="left"/>
              <w:rPr>
                <w:rFonts w:cs="Arial"/>
                <w:szCs w:val="18"/>
                <w:lang w:val="en-GB"/>
              </w:rPr>
            </w:pPr>
            <w:r>
              <w:t xml:space="preserve">Acid soluble lignin (% on </w:t>
            </w:r>
            <w:proofErr w:type="spellStart"/>
            <w:r>
              <w:t>dw</w:t>
            </w:r>
            <w:proofErr w:type="spellEnd"/>
            <w:r>
              <w:t>)</w:t>
            </w:r>
          </w:p>
        </w:tc>
        <w:tc>
          <w:tcPr>
            <w:tcW w:w="1417" w:type="dxa"/>
            <w:tcBorders>
              <w:top w:val="nil"/>
              <w:left w:val="nil"/>
              <w:bottom w:val="nil"/>
              <w:right w:val="nil"/>
            </w:tcBorders>
            <w:shd w:val="clear" w:color="auto" w:fill="auto"/>
            <w:vAlign w:val="bottom"/>
          </w:tcPr>
          <w:p w14:paraId="17D5DB02" w14:textId="40AF764B" w:rsidR="00F15D39" w:rsidRDefault="00F15D39" w:rsidP="00F15D39">
            <w:pPr>
              <w:pStyle w:val="CETBodytext"/>
              <w:ind w:right="-1"/>
              <w:jc w:val="center"/>
            </w:pPr>
            <w:r w:rsidRPr="00F15D39">
              <w:t>1.37</w:t>
            </w:r>
            <w:r>
              <w:t xml:space="preserve"> </w:t>
            </w:r>
            <w:r w:rsidRPr="00F15D39">
              <w:t>± 0.</w:t>
            </w:r>
            <w:r w:rsidR="00873CB5">
              <w:t>31</w:t>
            </w:r>
          </w:p>
        </w:tc>
        <w:tc>
          <w:tcPr>
            <w:tcW w:w="1417" w:type="dxa"/>
            <w:shd w:val="clear" w:color="auto" w:fill="FFFFFF"/>
          </w:tcPr>
          <w:p w14:paraId="2FC361CC" w14:textId="5DE5A4DF" w:rsidR="00F15D39" w:rsidRPr="00F15D39" w:rsidRDefault="0097741D" w:rsidP="00F15D39">
            <w:pPr>
              <w:pStyle w:val="CETBodytext"/>
              <w:ind w:right="-1"/>
              <w:jc w:val="center"/>
            </w:pPr>
            <w:r>
              <w:t>43.97</w:t>
            </w:r>
            <w:r w:rsidR="00F15D39" w:rsidRPr="00F15D39">
              <w:t xml:space="preserve"> ± </w:t>
            </w:r>
            <w:r w:rsidR="007226E1">
              <w:t>9.98</w:t>
            </w:r>
          </w:p>
        </w:tc>
      </w:tr>
      <w:tr w:rsidR="00F15D39" w:rsidRPr="00B57B36" w14:paraId="73F9A8CF" w14:textId="77777777" w:rsidTr="004C7D99">
        <w:tc>
          <w:tcPr>
            <w:tcW w:w="2551" w:type="dxa"/>
            <w:shd w:val="clear" w:color="auto" w:fill="FFFFFF"/>
          </w:tcPr>
          <w:p w14:paraId="0A9DE9AD" w14:textId="565E74CE" w:rsidR="00F15D39" w:rsidRPr="00B57B36" w:rsidRDefault="00F15D39" w:rsidP="00F15D39">
            <w:pPr>
              <w:pStyle w:val="CETBodytext"/>
              <w:ind w:right="-1"/>
              <w:jc w:val="left"/>
              <w:rPr>
                <w:rFonts w:cs="Arial"/>
                <w:szCs w:val="18"/>
                <w:lang w:val="en-GB"/>
              </w:rPr>
            </w:pPr>
            <w:r>
              <w:t xml:space="preserve">Cellulose (% on </w:t>
            </w:r>
            <w:proofErr w:type="spellStart"/>
            <w:r>
              <w:t>dw</w:t>
            </w:r>
            <w:proofErr w:type="spellEnd"/>
            <w:r>
              <w:t>)</w:t>
            </w:r>
          </w:p>
        </w:tc>
        <w:tc>
          <w:tcPr>
            <w:tcW w:w="1417" w:type="dxa"/>
            <w:tcBorders>
              <w:top w:val="nil"/>
              <w:left w:val="nil"/>
              <w:bottom w:val="nil"/>
              <w:right w:val="nil"/>
            </w:tcBorders>
            <w:shd w:val="clear" w:color="auto" w:fill="auto"/>
            <w:vAlign w:val="bottom"/>
          </w:tcPr>
          <w:p w14:paraId="04E90E12" w14:textId="6B815797" w:rsidR="00F15D39" w:rsidRDefault="00F15D39" w:rsidP="00F15D39">
            <w:pPr>
              <w:pStyle w:val="CETBodytext"/>
              <w:ind w:right="-1"/>
              <w:jc w:val="center"/>
            </w:pPr>
            <w:r w:rsidRPr="00F15D39">
              <w:t>33.27</w:t>
            </w:r>
            <w:r>
              <w:t xml:space="preserve"> </w:t>
            </w:r>
            <w:r w:rsidRPr="00F15D39">
              <w:t xml:space="preserve">± </w:t>
            </w:r>
            <w:r w:rsidR="00873CB5">
              <w:t>3.32</w:t>
            </w:r>
          </w:p>
        </w:tc>
        <w:tc>
          <w:tcPr>
            <w:tcW w:w="1417" w:type="dxa"/>
            <w:shd w:val="clear" w:color="auto" w:fill="FFFFFF"/>
          </w:tcPr>
          <w:p w14:paraId="671A3895" w14:textId="441A4BCA" w:rsidR="00F15D39" w:rsidRPr="00F15D39" w:rsidRDefault="007226E1" w:rsidP="00F15D39">
            <w:pPr>
              <w:pStyle w:val="CETBodytext"/>
              <w:ind w:right="-1"/>
              <w:jc w:val="center"/>
            </w:pPr>
            <w:r>
              <w:t>113.74</w:t>
            </w:r>
            <w:r w:rsidR="00F15D39" w:rsidRPr="00F15D39">
              <w:t xml:space="preserve"> ± </w:t>
            </w:r>
            <w:r>
              <w:t>11.37</w:t>
            </w:r>
          </w:p>
        </w:tc>
      </w:tr>
      <w:tr w:rsidR="00F15D39" w:rsidRPr="00B57B36" w14:paraId="13BF279B" w14:textId="77777777" w:rsidTr="000914DD">
        <w:tc>
          <w:tcPr>
            <w:tcW w:w="2551" w:type="dxa"/>
            <w:shd w:val="clear" w:color="auto" w:fill="FFFFFF"/>
          </w:tcPr>
          <w:p w14:paraId="4BCDF0A1" w14:textId="6A20F007" w:rsidR="00F15D39" w:rsidRPr="00B57B36" w:rsidRDefault="00F15D39" w:rsidP="00F15D39">
            <w:pPr>
              <w:pStyle w:val="CETBodytext"/>
              <w:ind w:right="-1"/>
              <w:jc w:val="left"/>
              <w:rPr>
                <w:rFonts w:cs="Arial"/>
                <w:szCs w:val="18"/>
                <w:lang w:val="en-GB"/>
              </w:rPr>
            </w:pPr>
            <w:r>
              <w:t xml:space="preserve">Hemicellulose (% on </w:t>
            </w:r>
            <w:proofErr w:type="spellStart"/>
            <w:r>
              <w:t>dw</w:t>
            </w:r>
            <w:proofErr w:type="spellEnd"/>
            <w:r>
              <w:t>)</w:t>
            </w:r>
          </w:p>
        </w:tc>
        <w:tc>
          <w:tcPr>
            <w:tcW w:w="1417" w:type="dxa"/>
            <w:shd w:val="clear" w:color="auto" w:fill="FFFFFF"/>
          </w:tcPr>
          <w:p w14:paraId="23912ED5" w14:textId="220E29CC" w:rsidR="00F15D39" w:rsidRDefault="00F15D39" w:rsidP="00F15D39">
            <w:pPr>
              <w:pStyle w:val="CETBodytext"/>
              <w:ind w:right="-1"/>
              <w:jc w:val="center"/>
            </w:pPr>
            <w:r w:rsidRPr="00F15D39">
              <w:t>2.50</w:t>
            </w:r>
            <w:r>
              <w:t xml:space="preserve"> </w:t>
            </w:r>
            <w:r w:rsidRPr="00F15D39">
              <w:t xml:space="preserve">± </w:t>
            </w:r>
            <w:r w:rsidR="00873CB5">
              <w:t>0.32</w:t>
            </w:r>
          </w:p>
        </w:tc>
        <w:tc>
          <w:tcPr>
            <w:tcW w:w="1417" w:type="dxa"/>
            <w:shd w:val="clear" w:color="auto" w:fill="FFFFFF"/>
          </w:tcPr>
          <w:p w14:paraId="36952BD4" w14:textId="39DE2641" w:rsidR="00F15D39" w:rsidRPr="00F15D39" w:rsidRDefault="00F15D39" w:rsidP="00F15D39">
            <w:pPr>
              <w:pStyle w:val="CETBodytext"/>
              <w:ind w:right="-1"/>
              <w:jc w:val="center"/>
            </w:pPr>
            <w:r>
              <w:t>1</w:t>
            </w:r>
            <w:r w:rsidR="00266DF0">
              <w:t>2.94</w:t>
            </w:r>
            <w:r w:rsidRPr="00F15D39">
              <w:t xml:space="preserve"> ± </w:t>
            </w:r>
            <w:r w:rsidR="007226E1">
              <w:t>1.68</w:t>
            </w:r>
          </w:p>
        </w:tc>
      </w:tr>
    </w:tbl>
    <w:p w14:paraId="3C9B9F99" w14:textId="77777777" w:rsidR="00440389" w:rsidRDefault="00440389" w:rsidP="00600535">
      <w:pPr>
        <w:pStyle w:val="CETBodytext"/>
        <w:rPr>
          <w:lang w:val="en-GB"/>
        </w:rPr>
      </w:pPr>
    </w:p>
    <w:p w14:paraId="1778D6D6" w14:textId="47C2CEEE" w:rsidR="00E1280B" w:rsidRDefault="00021ED0" w:rsidP="00600535">
      <w:pPr>
        <w:pStyle w:val="CETBodytext"/>
        <w:rPr>
          <w:lang w:val="en-GB"/>
        </w:rPr>
      </w:pPr>
      <w:r w:rsidRPr="00132EB3">
        <w:rPr>
          <w:lang w:val="en-GB"/>
        </w:rPr>
        <w:t xml:space="preserve">The lignin was then further degraded during bleaching treatment to a maximum </w:t>
      </w:r>
      <w:r>
        <w:rPr>
          <w:lang w:val="en-GB"/>
        </w:rPr>
        <w:t xml:space="preserve">of </w:t>
      </w:r>
      <w:r w:rsidRPr="00132EB3">
        <w:rPr>
          <w:lang w:val="en-GB"/>
        </w:rPr>
        <w:t>about 72%, resulting in a minimum lignin content in the final solid of about 14%</w:t>
      </w:r>
      <w:r>
        <w:rPr>
          <w:lang w:val="en-GB"/>
        </w:rPr>
        <w:t xml:space="preserve"> w/w</w:t>
      </w:r>
      <w:r w:rsidRPr="00132EB3">
        <w:rPr>
          <w:lang w:val="en-GB"/>
        </w:rPr>
        <w:t>.</w:t>
      </w:r>
      <w:r>
        <w:rPr>
          <w:lang w:val="en-GB"/>
        </w:rPr>
        <w:t xml:space="preserve"> </w:t>
      </w:r>
      <w:r w:rsidRPr="009C4A02">
        <w:rPr>
          <w:lang w:val="en-GB"/>
        </w:rPr>
        <w:t>For alkaline hydrolysis with 4</w:t>
      </w:r>
      <w:r>
        <w:rPr>
          <w:lang w:val="en-GB"/>
        </w:rPr>
        <w:t>%</w:t>
      </w:r>
      <w:r w:rsidRPr="009C4A02">
        <w:rPr>
          <w:lang w:val="en-GB"/>
        </w:rPr>
        <w:t xml:space="preserve"> and 16</w:t>
      </w:r>
      <w:r>
        <w:rPr>
          <w:lang w:val="en-GB"/>
        </w:rPr>
        <w:t xml:space="preserve">% w/v of </w:t>
      </w:r>
      <w:r w:rsidRPr="009C4A02">
        <w:rPr>
          <w:lang w:val="en-GB"/>
        </w:rPr>
        <w:t>NaOH, no substantial differences related to lignin reduction are shown.</w:t>
      </w:r>
      <w:r>
        <w:rPr>
          <w:lang w:val="en-GB"/>
        </w:rPr>
        <w:t xml:space="preserve"> </w:t>
      </w:r>
    </w:p>
    <w:p w14:paraId="7857B24C" w14:textId="2B7B00E4" w:rsidR="00E1280B" w:rsidRDefault="00E1280B" w:rsidP="00E1280B">
      <w:pPr>
        <w:pStyle w:val="CETTabletitle"/>
      </w:pPr>
      <w:r w:rsidRPr="00B57B36">
        <w:t xml:space="preserve">Table </w:t>
      </w:r>
      <w:r>
        <w:t>3</w:t>
      </w:r>
      <w:r w:rsidRPr="00B57B36">
        <w:t xml:space="preserve">: </w:t>
      </w:r>
      <w:r w:rsidR="00B1537E">
        <w:t xml:space="preserve">Composition of the solid residues and recovery percentage after </w:t>
      </w:r>
      <w:r w:rsidR="00C70358">
        <w:t>a</w:t>
      </w:r>
      <w:r w:rsidR="00B1537E">
        <w:t xml:space="preserve">lkaline </w:t>
      </w:r>
      <w:r w:rsidR="00C70358">
        <w:t>h</w:t>
      </w:r>
      <w:r w:rsidR="00B1537E">
        <w:t>ydrolysis (16%</w:t>
      </w:r>
      <w:r w:rsidR="00AD0C8E">
        <w:t xml:space="preserve"> w/v</w:t>
      </w:r>
      <w:r w:rsidR="00B1537E">
        <w:t xml:space="preserve"> NaOH</w:t>
      </w:r>
      <w:r w:rsidR="00FC4DAD">
        <w:t>, ambient temperature</w:t>
      </w:r>
      <w:r w:rsidR="00B1537E">
        <w:t>)</w:t>
      </w:r>
      <w:r w:rsidR="00AD0C8E">
        <w:t xml:space="preserve"> and bleaching</w:t>
      </w:r>
      <w:r w:rsidR="00FC4DAD">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551"/>
        <w:gridCol w:w="1417"/>
        <w:gridCol w:w="1561"/>
        <w:gridCol w:w="1273"/>
        <w:gridCol w:w="1417"/>
      </w:tblGrid>
      <w:tr w:rsidR="00E1280B" w:rsidRPr="00B57B36" w14:paraId="47B4C53F" w14:textId="77777777" w:rsidTr="00B1537E">
        <w:tc>
          <w:tcPr>
            <w:tcW w:w="2551" w:type="dxa"/>
            <w:tcBorders>
              <w:top w:val="single" w:sz="12" w:space="0" w:color="008000"/>
              <w:bottom w:val="single" w:sz="6" w:space="0" w:color="008000"/>
            </w:tcBorders>
            <w:shd w:val="clear" w:color="auto" w:fill="FFFFFF"/>
          </w:tcPr>
          <w:p w14:paraId="57600006" w14:textId="77777777" w:rsidR="00E1280B" w:rsidRPr="00B57B36" w:rsidRDefault="00E1280B" w:rsidP="00DA385A">
            <w:pPr>
              <w:pStyle w:val="CETBodytext"/>
              <w:jc w:val="center"/>
              <w:rPr>
                <w:lang w:val="en-GB"/>
              </w:rPr>
            </w:pPr>
          </w:p>
        </w:tc>
        <w:tc>
          <w:tcPr>
            <w:tcW w:w="2978" w:type="dxa"/>
            <w:gridSpan w:val="2"/>
            <w:tcBorders>
              <w:top w:val="single" w:sz="12" w:space="0" w:color="008000"/>
              <w:bottom w:val="single" w:sz="6" w:space="0" w:color="008000"/>
            </w:tcBorders>
            <w:shd w:val="clear" w:color="auto" w:fill="FFFFFF"/>
          </w:tcPr>
          <w:p w14:paraId="18EDCE1C" w14:textId="37369707" w:rsidR="00E1280B" w:rsidRDefault="00E1280B" w:rsidP="00DA385A">
            <w:pPr>
              <w:pStyle w:val="CETBodytext"/>
              <w:jc w:val="center"/>
              <w:rPr>
                <w:lang w:val="en-GB"/>
              </w:rPr>
            </w:pPr>
            <w:r>
              <w:rPr>
                <w:lang w:val="en-GB"/>
              </w:rPr>
              <w:t>Alkaline Hydrolysis (16%</w:t>
            </w:r>
            <w:r w:rsidR="00B1537E">
              <w:rPr>
                <w:lang w:val="en-GB"/>
              </w:rPr>
              <w:t xml:space="preserve"> w/v</w:t>
            </w:r>
            <w:r>
              <w:rPr>
                <w:lang w:val="en-GB"/>
              </w:rPr>
              <w:t xml:space="preserve"> NaOH)</w:t>
            </w:r>
          </w:p>
        </w:tc>
        <w:tc>
          <w:tcPr>
            <w:tcW w:w="2690" w:type="dxa"/>
            <w:gridSpan w:val="2"/>
            <w:tcBorders>
              <w:top w:val="single" w:sz="12" w:space="0" w:color="008000"/>
              <w:bottom w:val="single" w:sz="6" w:space="0" w:color="008000"/>
            </w:tcBorders>
            <w:shd w:val="clear" w:color="auto" w:fill="FFFFFF"/>
          </w:tcPr>
          <w:p w14:paraId="7608B92C" w14:textId="77777777" w:rsidR="00E1280B" w:rsidRDefault="00E1280B" w:rsidP="00DA385A">
            <w:pPr>
              <w:pStyle w:val="CETBodytext"/>
              <w:jc w:val="center"/>
              <w:rPr>
                <w:lang w:val="en-GB"/>
              </w:rPr>
            </w:pPr>
            <w:r>
              <w:rPr>
                <w:lang w:val="en-GB"/>
              </w:rPr>
              <w:t>Bleaching</w:t>
            </w:r>
          </w:p>
        </w:tc>
      </w:tr>
      <w:tr w:rsidR="00E1280B" w:rsidRPr="00B57B36" w14:paraId="665C676D" w14:textId="77777777" w:rsidTr="00B1537E">
        <w:tc>
          <w:tcPr>
            <w:tcW w:w="2551" w:type="dxa"/>
            <w:shd w:val="clear" w:color="auto" w:fill="FFFFFF"/>
          </w:tcPr>
          <w:p w14:paraId="7CFFC9E4" w14:textId="77777777" w:rsidR="00E1280B" w:rsidRPr="00B57B36" w:rsidRDefault="00E1280B" w:rsidP="00DA385A">
            <w:pPr>
              <w:pStyle w:val="CETBodytext"/>
              <w:ind w:right="-1"/>
              <w:jc w:val="left"/>
              <w:rPr>
                <w:rFonts w:cs="Arial"/>
                <w:szCs w:val="18"/>
                <w:lang w:val="en-GB"/>
              </w:rPr>
            </w:pPr>
          </w:p>
        </w:tc>
        <w:tc>
          <w:tcPr>
            <w:tcW w:w="1417" w:type="dxa"/>
            <w:tcBorders>
              <w:top w:val="nil"/>
              <w:left w:val="nil"/>
              <w:bottom w:val="nil"/>
              <w:right w:val="nil"/>
            </w:tcBorders>
            <w:shd w:val="clear" w:color="auto" w:fill="auto"/>
          </w:tcPr>
          <w:p w14:paraId="7BF11F05" w14:textId="77777777" w:rsidR="00E1280B" w:rsidRDefault="00E1280B" w:rsidP="00DA385A">
            <w:pPr>
              <w:pStyle w:val="CETBodytext"/>
              <w:ind w:right="-1"/>
              <w:jc w:val="center"/>
              <w:rPr>
                <w:lang w:val="en-GB"/>
              </w:rPr>
            </w:pPr>
            <w:r>
              <w:rPr>
                <w:lang w:val="en-GB"/>
              </w:rPr>
              <w:t xml:space="preserve">Composition </w:t>
            </w:r>
          </w:p>
          <w:p w14:paraId="6C3FF1EF" w14:textId="77777777" w:rsidR="00E1280B" w:rsidRDefault="00E1280B" w:rsidP="00DA385A">
            <w:pPr>
              <w:pStyle w:val="CETBodytext"/>
              <w:ind w:right="-1"/>
              <w:jc w:val="center"/>
            </w:pPr>
            <w:r>
              <w:rPr>
                <w:lang w:val="en-GB"/>
              </w:rPr>
              <w:t xml:space="preserve">(% on </w:t>
            </w:r>
            <w:proofErr w:type="spellStart"/>
            <w:r>
              <w:rPr>
                <w:lang w:val="en-GB"/>
              </w:rPr>
              <w:t>dw</w:t>
            </w:r>
            <w:proofErr w:type="spellEnd"/>
            <w:r>
              <w:rPr>
                <w:lang w:val="en-GB"/>
              </w:rPr>
              <w:t>)</w:t>
            </w:r>
          </w:p>
        </w:tc>
        <w:tc>
          <w:tcPr>
            <w:tcW w:w="1561" w:type="dxa"/>
            <w:shd w:val="clear" w:color="auto" w:fill="FFFFFF"/>
          </w:tcPr>
          <w:p w14:paraId="6C31460C" w14:textId="77777777" w:rsidR="00E1280B" w:rsidRPr="00F15D39" w:rsidRDefault="00E1280B" w:rsidP="00DA385A">
            <w:pPr>
              <w:pStyle w:val="CETBodytext"/>
              <w:ind w:right="-1"/>
              <w:jc w:val="center"/>
            </w:pPr>
            <w:r>
              <w:rPr>
                <w:lang w:val="en-GB"/>
              </w:rPr>
              <w:t>Recovery (%)</w:t>
            </w:r>
          </w:p>
        </w:tc>
        <w:tc>
          <w:tcPr>
            <w:tcW w:w="1273" w:type="dxa"/>
            <w:shd w:val="clear" w:color="auto" w:fill="FFFFFF"/>
          </w:tcPr>
          <w:p w14:paraId="39592DAD" w14:textId="77777777" w:rsidR="00E1280B" w:rsidRDefault="00E1280B" w:rsidP="00DA385A">
            <w:pPr>
              <w:pStyle w:val="CETBodytext"/>
              <w:ind w:right="-1"/>
              <w:jc w:val="center"/>
              <w:rPr>
                <w:lang w:val="en-GB"/>
              </w:rPr>
            </w:pPr>
            <w:r>
              <w:rPr>
                <w:lang w:val="en-GB"/>
              </w:rPr>
              <w:t xml:space="preserve">Composition </w:t>
            </w:r>
          </w:p>
          <w:p w14:paraId="2D3A0E4E" w14:textId="77777777" w:rsidR="00E1280B" w:rsidRDefault="00E1280B" w:rsidP="00DA385A">
            <w:pPr>
              <w:pStyle w:val="CETBodytext"/>
              <w:ind w:right="-1"/>
              <w:jc w:val="center"/>
            </w:pPr>
            <w:r>
              <w:rPr>
                <w:lang w:val="en-GB"/>
              </w:rPr>
              <w:t xml:space="preserve">(% on </w:t>
            </w:r>
            <w:proofErr w:type="spellStart"/>
            <w:r>
              <w:rPr>
                <w:lang w:val="en-GB"/>
              </w:rPr>
              <w:t>dw</w:t>
            </w:r>
            <w:proofErr w:type="spellEnd"/>
            <w:r>
              <w:rPr>
                <w:lang w:val="en-GB"/>
              </w:rPr>
              <w:t>)</w:t>
            </w:r>
          </w:p>
        </w:tc>
        <w:tc>
          <w:tcPr>
            <w:tcW w:w="1417" w:type="dxa"/>
            <w:shd w:val="clear" w:color="auto" w:fill="FFFFFF"/>
          </w:tcPr>
          <w:p w14:paraId="2743929D" w14:textId="77777777" w:rsidR="00E1280B" w:rsidRDefault="00E1280B" w:rsidP="00DA385A">
            <w:pPr>
              <w:pStyle w:val="CETBodytext"/>
              <w:ind w:right="-1"/>
              <w:jc w:val="center"/>
            </w:pPr>
            <w:r>
              <w:rPr>
                <w:lang w:val="en-GB"/>
              </w:rPr>
              <w:t>Recovery (%)</w:t>
            </w:r>
          </w:p>
        </w:tc>
      </w:tr>
      <w:tr w:rsidR="00E1280B" w:rsidRPr="00B57B36" w14:paraId="68C5ED86" w14:textId="77777777" w:rsidTr="00B1537E">
        <w:tc>
          <w:tcPr>
            <w:tcW w:w="2551" w:type="dxa"/>
            <w:shd w:val="clear" w:color="auto" w:fill="FFFFFF"/>
          </w:tcPr>
          <w:p w14:paraId="01F8AB00" w14:textId="77777777" w:rsidR="00E1280B" w:rsidRDefault="00E1280B" w:rsidP="00DA385A">
            <w:pPr>
              <w:pStyle w:val="CETBodytext"/>
              <w:ind w:right="-1"/>
              <w:jc w:val="left"/>
            </w:pPr>
            <w:r>
              <w:t xml:space="preserve">Acid insoluble lignin (% on </w:t>
            </w:r>
            <w:proofErr w:type="spellStart"/>
            <w:r>
              <w:t>dw</w:t>
            </w:r>
            <w:proofErr w:type="spellEnd"/>
            <w:r>
              <w:t>)</w:t>
            </w:r>
          </w:p>
        </w:tc>
        <w:tc>
          <w:tcPr>
            <w:tcW w:w="1417" w:type="dxa"/>
            <w:tcBorders>
              <w:top w:val="nil"/>
              <w:left w:val="nil"/>
              <w:bottom w:val="nil"/>
              <w:right w:val="nil"/>
            </w:tcBorders>
            <w:shd w:val="clear" w:color="auto" w:fill="auto"/>
            <w:vAlign w:val="bottom"/>
          </w:tcPr>
          <w:p w14:paraId="3BC4CFC7" w14:textId="77777777" w:rsidR="00E1280B" w:rsidRPr="00F15D39" w:rsidRDefault="00E1280B" w:rsidP="00DA385A">
            <w:pPr>
              <w:pStyle w:val="CETBodytext"/>
              <w:ind w:right="-1"/>
              <w:jc w:val="center"/>
            </w:pPr>
            <w:r>
              <w:t xml:space="preserve">28.13 </w:t>
            </w:r>
            <w:r w:rsidRPr="00F15D39">
              <w:t xml:space="preserve">± </w:t>
            </w:r>
            <w:r>
              <w:t>1.75</w:t>
            </w:r>
          </w:p>
        </w:tc>
        <w:tc>
          <w:tcPr>
            <w:tcW w:w="1561" w:type="dxa"/>
            <w:shd w:val="clear" w:color="auto" w:fill="FFFFFF"/>
            <w:vAlign w:val="bottom"/>
          </w:tcPr>
          <w:p w14:paraId="0863E8A7" w14:textId="77777777" w:rsidR="00E1280B" w:rsidRDefault="00E1280B" w:rsidP="00DA385A">
            <w:pPr>
              <w:pStyle w:val="CETBodytext"/>
              <w:ind w:right="-1"/>
              <w:jc w:val="center"/>
            </w:pPr>
            <w:r>
              <w:t xml:space="preserve">72.53 </w:t>
            </w:r>
            <w:r w:rsidRPr="00F15D39">
              <w:t xml:space="preserve">± </w:t>
            </w:r>
            <w:r>
              <w:t>4.51</w:t>
            </w:r>
          </w:p>
        </w:tc>
        <w:tc>
          <w:tcPr>
            <w:tcW w:w="1273" w:type="dxa"/>
            <w:shd w:val="clear" w:color="auto" w:fill="FFFFFF"/>
            <w:vAlign w:val="bottom"/>
          </w:tcPr>
          <w:p w14:paraId="7BE11399" w14:textId="77777777" w:rsidR="00E1280B" w:rsidRDefault="00E1280B" w:rsidP="00DA385A">
            <w:pPr>
              <w:pStyle w:val="CETBodytext"/>
              <w:ind w:right="-1"/>
              <w:jc w:val="center"/>
            </w:pPr>
            <w:r>
              <w:t xml:space="preserve">15.10 </w:t>
            </w:r>
            <w:r w:rsidRPr="00F15D39">
              <w:t xml:space="preserve">± </w:t>
            </w:r>
            <w:r>
              <w:t>1.17</w:t>
            </w:r>
          </w:p>
        </w:tc>
        <w:tc>
          <w:tcPr>
            <w:tcW w:w="1417" w:type="dxa"/>
            <w:shd w:val="clear" w:color="auto" w:fill="FFFFFF"/>
            <w:vAlign w:val="bottom"/>
          </w:tcPr>
          <w:p w14:paraId="04B9D8FC" w14:textId="77777777" w:rsidR="00E1280B" w:rsidRDefault="00E1280B" w:rsidP="00DA385A">
            <w:pPr>
              <w:pStyle w:val="CETBodytext"/>
              <w:ind w:right="-1"/>
              <w:jc w:val="center"/>
            </w:pPr>
            <w:r>
              <w:t xml:space="preserve">28.34 </w:t>
            </w:r>
            <w:r w:rsidRPr="00F15D39">
              <w:t xml:space="preserve">± </w:t>
            </w:r>
            <w:r>
              <w:t>2.20</w:t>
            </w:r>
          </w:p>
        </w:tc>
      </w:tr>
      <w:tr w:rsidR="00E1280B" w:rsidRPr="00B57B36" w14:paraId="11DB3CBF" w14:textId="77777777" w:rsidTr="00B1537E">
        <w:tc>
          <w:tcPr>
            <w:tcW w:w="2551" w:type="dxa"/>
            <w:shd w:val="clear" w:color="auto" w:fill="FFFFFF"/>
          </w:tcPr>
          <w:p w14:paraId="0C360D71" w14:textId="77777777" w:rsidR="00E1280B" w:rsidRPr="00B57B36" w:rsidRDefault="00E1280B" w:rsidP="00DA385A">
            <w:pPr>
              <w:pStyle w:val="CETBodytext"/>
              <w:ind w:right="-1"/>
              <w:jc w:val="left"/>
              <w:rPr>
                <w:rFonts w:cs="Arial"/>
                <w:szCs w:val="18"/>
                <w:lang w:val="en-GB"/>
              </w:rPr>
            </w:pPr>
            <w:r>
              <w:t xml:space="preserve">Acid soluble lignin (% on </w:t>
            </w:r>
            <w:proofErr w:type="spellStart"/>
            <w:r>
              <w:t>dw</w:t>
            </w:r>
            <w:proofErr w:type="spellEnd"/>
            <w:r>
              <w:t>)</w:t>
            </w:r>
          </w:p>
        </w:tc>
        <w:tc>
          <w:tcPr>
            <w:tcW w:w="1417" w:type="dxa"/>
            <w:tcBorders>
              <w:top w:val="nil"/>
              <w:left w:val="nil"/>
              <w:bottom w:val="nil"/>
              <w:right w:val="nil"/>
            </w:tcBorders>
            <w:shd w:val="clear" w:color="auto" w:fill="auto"/>
            <w:vAlign w:val="bottom"/>
          </w:tcPr>
          <w:p w14:paraId="10AE60C6" w14:textId="77777777" w:rsidR="00E1280B" w:rsidRDefault="00E1280B" w:rsidP="00DA385A">
            <w:pPr>
              <w:pStyle w:val="CETBodytext"/>
              <w:ind w:right="-1"/>
              <w:jc w:val="center"/>
            </w:pPr>
            <w:r>
              <w:t xml:space="preserve">0.49 </w:t>
            </w:r>
            <w:r w:rsidRPr="00F15D39">
              <w:t>± 0</w:t>
            </w:r>
            <w:r>
              <w:t>.01</w:t>
            </w:r>
          </w:p>
        </w:tc>
        <w:tc>
          <w:tcPr>
            <w:tcW w:w="1561" w:type="dxa"/>
            <w:shd w:val="clear" w:color="auto" w:fill="FFFFFF"/>
            <w:vAlign w:val="bottom"/>
          </w:tcPr>
          <w:p w14:paraId="0CC352AA" w14:textId="77777777" w:rsidR="00E1280B" w:rsidRPr="00F15D39" w:rsidRDefault="00E1280B" w:rsidP="00DA385A">
            <w:pPr>
              <w:pStyle w:val="CETBodytext"/>
              <w:ind w:right="-1"/>
              <w:jc w:val="center"/>
            </w:pPr>
            <w:r w:rsidRPr="00F15D39">
              <w:t>1</w:t>
            </w:r>
            <w:r>
              <w:t xml:space="preserve">1.45 </w:t>
            </w:r>
            <w:r w:rsidRPr="00F15D39">
              <w:t>± 0</w:t>
            </w:r>
            <w:r>
              <w:t>.25</w:t>
            </w:r>
          </w:p>
        </w:tc>
        <w:tc>
          <w:tcPr>
            <w:tcW w:w="1273" w:type="dxa"/>
            <w:shd w:val="clear" w:color="auto" w:fill="FFFFFF"/>
            <w:vAlign w:val="bottom"/>
          </w:tcPr>
          <w:p w14:paraId="3C470938" w14:textId="77777777" w:rsidR="00E1280B" w:rsidRDefault="00E1280B" w:rsidP="00DA385A">
            <w:pPr>
              <w:pStyle w:val="CETBodytext"/>
              <w:ind w:right="-1"/>
              <w:jc w:val="center"/>
            </w:pPr>
            <w:r>
              <w:t xml:space="preserve">0.37 </w:t>
            </w:r>
            <w:r w:rsidRPr="00F15D39">
              <w:t>± 0</w:t>
            </w:r>
            <w:r>
              <w:t>.04</w:t>
            </w:r>
          </w:p>
        </w:tc>
        <w:tc>
          <w:tcPr>
            <w:tcW w:w="1417" w:type="dxa"/>
            <w:shd w:val="clear" w:color="auto" w:fill="FFFFFF"/>
            <w:vAlign w:val="bottom"/>
          </w:tcPr>
          <w:p w14:paraId="0C396B6F" w14:textId="77777777" w:rsidR="00E1280B" w:rsidRDefault="00E1280B" w:rsidP="00DA385A">
            <w:pPr>
              <w:pStyle w:val="CETBodytext"/>
              <w:ind w:right="-1"/>
              <w:jc w:val="center"/>
            </w:pPr>
            <w:r>
              <w:t xml:space="preserve">6.19 </w:t>
            </w:r>
            <w:r w:rsidRPr="00F15D39">
              <w:t>± 0</w:t>
            </w:r>
            <w:r>
              <w:t>.64</w:t>
            </w:r>
          </w:p>
        </w:tc>
      </w:tr>
      <w:tr w:rsidR="00E1280B" w:rsidRPr="00B57B36" w14:paraId="463D3082" w14:textId="77777777" w:rsidTr="00B1537E">
        <w:tc>
          <w:tcPr>
            <w:tcW w:w="2551" w:type="dxa"/>
            <w:shd w:val="clear" w:color="auto" w:fill="FFFFFF"/>
          </w:tcPr>
          <w:p w14:paraId="22B62070" w14:textId="77777777" w:rsidR="00E1280B" w:rsidRPr="00B57B36" w:rsidRDefault="00E1280B" w:rsidP="00DA385A">
            <w:pPr>
              <w:pStyle w:val="CETBodytext"/>
              <w:ind w:right="-1"/>
              <w:jc w:val="left"/>
              <w:rPr>
                <w:rFonts w:cs="Arial"/>
                <w:szCs w:val="18"/>
                <w:lang w:val="en-GB"/>
              </w:rPr>
            </w:pPr>
            <w:r>
              <w:t xml:space="preserve">Cellulose (% on </w:t>
            </w:r>
            <w:proofErr w:type="spellStart"/>
            <w:r>
              <w:t>dw</w:t>
            </w:r>
            <w:proofErr w:type="spellEnd"/>
            <w:r>
              <w:t>)</w:t>
            </w:r>
          </w:p>
        </w:tc>
        <w:tc>
          <w:tcPr>
            <w:tcW w:w="1417" w:type="dxa"/>
            <w:tcBorders>
              <w:top w:val="nil"/>
              <w:left w:val="nil"/>
              <w:bottom w:val="nil"/>
              <w:right w:val="nil"/>
            </w:tcBorders>
            <w:shd w:val="clear" w:color="auto" w:fill="auto"/>
            <w:vAlign w:val="bottom"/>
          </w:tcPr>
          <w:p w14:paraId="4007333E" w14:textId="77777777" w:rsidR="00E1280B" w:rsidRDefault="00E1280B" w:rsidP="00DA385A">
            <w:pPr>
              <w:pStyle w:val="CETBodytext"/>
              <w:ind w:right="-1"/>
              <w:jc w:val="center"/>
            </w:pPr>
            <w:r>
              <w:t xml:space="preserve">40.89 </w:t>
            </w:r>
            <w:r w:rsidRPr="00F15D39">
              <w:t xml:space="preserve">± </w:t>
            </w:r>
            <w:r>
              <w:t>1.93</w:t>
            </w:r>
          </w:p>
        </w:tc>
        <w:tc>
          <w:tcPr>
            <w:tcW w:w="1561" w:type="dxa"/>
            <w:shd w:val="clear" w:color="auto" w:fill="FFFFFF"/>
            <w:vAlign w:val="bottom"/>
          </w:tcPr>
          <w:p w14:paraId="6F45A118" w14:textId="77777777" w:rsidR="00E1280B" w:rsidRPr="00F15D39" w:rsidRDefault="00E1280B" w:rsidP="00DA385A">
            <w:pPr>
              <w:pStyle w:val="CETBodytext"/>
              <w:ind w:right="-1"/>
              <w:jc w:val="center"/>
            </w:pPr>
            <w:r>
              <w:t xml:space="preserve">100.49 </w:t>
            </w:r>
            <w:r w:rsidRPr="00F15D39">
              <w:t xml:space="preserve">± </w:t>
            </w:r>
            <w:r>
              <w:t>4.73</w:t>
            </w:r>
          </w:p>
        </w:tc>
        <w:tc>
          <w:tcPr>
            <w:tcW w:w="1273" w:type="dxa"/>
            <w:shd w:val="clear" w:color="auto" w:fill="FFFFFF"/>
            <w:vAlign w:val="bottom"/>
          </w:tcPr>
          <w:p w14:paraId="5D42122C" w14:textId="77777777" w:rsidR="00E1280B" w:rsidRDefault="00E1280B" w:rsidP="00DA385A">
            <w:pPr>
              <w:pStyle w:val="CETBodytext"/>
              <w:ind w:right="-1"/>
              <w:jc w:val="center"/>
            </w:pPr>
            <w:r>
              <w:t xml:space="preserve">55.23 </w:t>
            </w:r>
            <w:r w:rsidRPr="00F15D39">
              <w:t xml:space="preserve">± </w:t>
            </w:r>
            <w:r>
              <w:t>0.30</w:t>
            </w:r>
          </w:p>
        </w:tc>
        <w:tc>
          <w:tcPr>
            <w:tcW w:w="1417" w:type="dxa"/>
            <w:shd w:val="clear" w:color="auto" w:fill="FFFFFF"/>
            <w:vAlign w:val="bottom"/>
          </w:tcPr>
          <w:p w14:paraId="4AC016F2" w14:textId="77777777" w:rsidR="00E1280B" w:rsidRDefault="00E1280B" w:rsidP="00DA385A">
            <w:pPr>
              <w:pStyle w:val="CETBodytext"/>
              <w:ind w:right="-1"/>
              <w:jc w:val="center"/>
            </w:pPr>
            <w:r>
              <w:t xml:space="preserve">98.82 </w:t>
            </w:r>
            <w:r w:rsidRPr="00F15D39">
              <w:t xml:space="preserve">± </w:t>
            </w:r>
            <w:r>
              <w:t>0.54</w:t>
            </w:r>
          </w:p>
        </w:tc>
      </w:tr>
      <w:tr w:rsidR="00E1280B" w:rsidRPr="00B57B36" w14:paraId="131078E2" w14:textId="77777777" w:rsidTr="00B1537E">
        <w:tc>
          <w:tcPr>
            <w:tcW w:w="2551" w:type="dxa"/>
            <w:shd w:val="clear" w:color="auto" w:fill="FFFFFF"/>
          </w:tcPr>
          <w:p w14:paraId="347AC8F6" w14:textId="77777777" w:rsidR="00E1280B" w:rsidRPr="00B57B36" w:rsidRDefault="00E1280B" w:rsidP="00DA385A">
            <w:pPr>
              <w:pStyle w:val="CETBodytext"/>
              <w:ind w:right="-1"/>
              <w:jc w:val="left"/>
              <w:rPr>
                <w:rFonts w:cs="Arial"/>
                <w:szCs w:val="18"/>
                <w:lang w:val="en-GB"/>
              </w:rPr>
            </w:pPr>
            <w:r>
              <w:t xml:space="preserve">Hemicellulose (% on </w:t>
            </w:r>
            <w:proofErr w:type="spellStart"/>
            <w:r>
              <w:t>dw</w:t>
            </w:r>
            <w:proofErr w:type="spellEnd"/>
            <w:r>
              <w:t>)</w:t>
            </w:r>
          </w:p>
        </w:tc>
        <w:tc>
          <w:tcPr>
            <w:tcW w:w="1417" w:type="dxa"/>
            <w:shd w:val="clear" w:color="auto" w:fill="FFFFFF"/>
          </w:tcPr>
          <w:p w14:paraId="657C681F" w14:textId="77777777" w:rsidR="00E1280B" w:rsidRDefault="00E1280B" w:rsidP="00DA385A">
            <w:pPr>
              <w:pStyle w:val="CETBodytext"/>
              <w:ind w:right="-1"/>
              <w:jc w:val="center"/>
            </w:pPr>
            <w:r>
              <w:t xml:space="preserve">0.39 </w:t>
            </w:r>
            <w:r w:rsidRPr="00F15D39">
              <w:t xml:space="preserve">± </w:t>
            </w:r>
            <w:r>
              <w:t>0.08</w:t>
            </w:r>
          </w:p>
        </w:tc>
        <w:tc>
          <w:tcPr>
            <w:tcW w:w="1561" w:type="dxa"/>
            <w:shd w:val="clear" w:color="auto" w:fill="FFFFFF"/>
          </w:tcPr>
          <w:p w14:paraId="70B35689" w14:textId="77777777" w:rsidR="00E1280B" w:rsidRPr="00F15D39" w:rsidRDefault="00E1280B" w:rsidP="00DA385A">
            <w:pPr>
              <w:pStyle w:val="CETBodytext"/>
              <w:ind w:right="-1"/>
              <w:jc w:val="center"/>
            </w:pPr>
            <w:r>
              <w:t xml:space="preserve">1.45 </w:t>
            </w:r>
            <w:r w:rsidRPr="00F15D39">
              <w:t xml:space="preserve">± </w:t>
            </w:r>
            <w:r>
              <w:t>0.29</w:t>
            </w:r>
          </w:p>
        </w:tc>
        <w:tc>
          <w:tcPr>
            <w:tcW w:w="1273" w:type="dxa"/>
            <w:shd w:val="clear" w:color="auto" w:fill="FFFFFF"/>
          </w:tcPr>
          <w:p w14:paraId="2B0BA77A" w14:textId="77777777" w:rsidR="00E1280B" w:rsidRDefault="00E1280B" w:rsidP="00DA385A">
            <w:pPr>
              <w:pStyle w:val="CETBodytext"/>
              <w:ind w:right="-1"/>
              <w:jc w:val="center"/>
            </w:pPr>
            <w:r>
              <w:t xml:space="preserve">0.43 </w:t>
            </w:r>
            <w:r w:rsidRPr="00F15D39">
              <w:t xml:space="preserve">± </w:t>
            </w:r>
            <w:r>
              <w:t>0.04</w:t>
            </w:r>
          </w:p>
        </w:tc>
        <w:tc>
          <w:tcPr>
            <w:tcW w:w="1417" w:type="dxa"/>
            <w:shd w:val="clear" w:color="auto" w:fill="FFFFFF"/>
          </w:tcPr>
          <w:p w14:paraId="7924C7C3" w14:textId="77777777" w:rsidR="00E1280B" w:rsidRDefault="00E1280B" w:rsidP="00DA385A">
            <w:pPr>
              <w:pStyle w:val="CETBodytext"/>
              <w:ind w:right="-1"/>
              <w:jc w:val="center"/>
            </w:pPr>
            <w:r>
              <w:t xml:space="preserve">1.17 </w:t>
            </w:r>
            <w:r w:rsidRPr="00F15D39">
              <w:t xml:space="preserve">± </w:t>
            </w:r>
            <w:r>
              <w:t>0.11</w:t>
            </w:r>
          </w:p>
        </w:tc>
      </w:tr>
    </w:tbl>
    <w:p w14:paraId="79FA1F16" w14:textId="4E123ED4" w:rsidR="00E1280B" w:rsidRDefault="00E1280B" w:rsidP="00E1280B">
      <w:pPr>
        <w:pStyle w:val="CETTabletitle"/>
      </w:pPr>
      <w:r w:rsidRPr="00B57B36">
        <w:t xml:space="preserve">Table </w:t>
      </w:r>
      <w:r>
        <w:t>4</w:t>
      </w:r>
      <w:r w:rsidRPr="00B57B36">
        <w:t xml:space="preserve">: </w:t>
      </w:r>
      <w:r w:rsidR="00FC4DAD">
        <w:t>Composition of the solid residues and recovery percentage after alkaline hydrolysis (4% w/v NaOH, ambient temperature) and bleaching.</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551"/>
        <w:gridCol w:w="1417"/>
        <w:gridCol w:w="1417"/>
        <w:gridCol w:w="1417"/>
        <w:gridCol w:w="1417"/>
      </w:tblGrid>
      <w:tr w:rsidR="00E1280B" w:rsidRPr="00B57B36" w14:paraId="7561D8A5" w14:textId="77777777" w:rsidTr="00DA385A">
        <w:tc>
          <w:tcPr>
            <w:tcW w:w="2551" w:type="dxa"/>
            <w:tcBorders>
              <w:top w:val="single" w:sz="12" w:space="0" w:color="008000"/>
              <w:bottom w:val="single" w:sz="6" w:space="0" w:color="008000"/>
            </w:tcBorders>
            <w:shd w:val="clear" w:color="auto" w:fill="FFFFFF"/>
          </w:tcPr>
          <w:p w14:paraId="0B87768C" w14:textId="77777777" w:rsidR="00E1280B" w:rsidRPr="00B57B36" w:rsidRDefault="00E1280B" w:rsidP="00DA385A">
            <w:pPr>
              <w:pStyle w:val="CETBodytext"/>
              <w:jc w:val="center"/>
              <w:rPr>
                <w:lang w:val="en-GB"/>
              </w:rPr>
            </w:pPr>
          </w:p>
        </w:tc>
        <w:tc>
          <w:tcPr>
            <w:tcW w:w="2834" w:type="dxa"/>
            <w:gridSpan w:val="2"/>
            <w:tcBorders>
              <w:top w:val="single" w:sz="12" w:space="0" w:color="008000"/>
              <w:bottom w:val="single" w:sz="6" w:space="0" w:color="008000"/>
            </w:tcBorders>
            <w:shd w:val="clear" w:color="auto" w:fill="FFFFFF"/>
          </w:tcPr>
          <w:p w14:paraId="66DB8D88" w14:textId="0656FC2A" w:rsidR="00E1280B" w:rsidRDefault="00E1280B" w:rsidP="00DA385A">
            <w:pPr>
              <w:pStyle w:val="CETBodytext"/>
              <w:jc w:val="center"/>
              <w:rPr>
                <w:lang w:val="en-GB"/>
              </w:rPr>
            </w:pPr>
            <w:r>
              <w:rPr>
                <w:lang w:val="en-GB"/>
              </w:rPr>
              <w:t>Alkaline Hydrolysis (4%</w:t>
            </w:r>
            <w:r w:rsidR="00B1537E">
              <w:rPr>
                <w:lang w:val="en-GB"/>
              </w:rPr>
              <w:t xml:space="preserve"> w/v</w:t>
            </w:r>
            <w:r>
              <w:rPr>
                <w:lang w:val="en-GB"/>
              </w:rPr>
              <w:t xml:space="preserve"> NaOH)</w:t>
            </w:r>
          </w:p>
        </w:tc>
        <w:tc>
          <w:tcPr>
            <w:tcW w:w="2834" w:type="dxa"/>
            <w:gridSpan w:val="2"/>
            <w:tcBorders>
              <w:top w:val="single" w:sz="12" w:space="0" w:color="008000"/>
              <w:bottom w:val="single" w:sz="6" w:space="0" w:color="008000"/>
            </w:tcBorders>
            <w:shd w:val="clear" w:color="auto" w:fill="FFFFFF"/>
          </w:tcPr>
          <w:p w14:paraId="0FD18ED9" w14:textId="77777777" w:rsidR="00E1280B" w:rsidRDefault="00E1280B" w:rsidP="00DA385A">
            <w:pPr>
              <w:pStyle w:val="CETBodytext"/>
              <w:jc w:val="center"/>
              <w:rPr>
                <w:lang w:val="en-GB"/>
              </w:rPr>
            </w:pPr>
            <w:r>
              <w:rPr>
                <w:lang w:val="en-GB"/>
              </w:rPr>
              <w:t>Bleaching</w:t>
            </w:r>
          </w:p>
        </w:tc>
      </w:tr>
      <w:tr w:rsidR="00E1280B" w:rsidRPr="00B57B36" w14:paraId="332B0C36" w14:textId="77777777" w:rsidTr="00DA385A">
        <w:tc>
          <w:tcPr>
            <w:tcW w:w="2551" w:type="dxa"/>
            <w:shd w:val="clear" w:color="auto" w:fill="FFFFFF"/>
          </w:tcPr>
          <w:p w14:paraId="45C12C86" w14:textId="77777777" w:rsidR="00E1280B" w:rsidRPr="00B57B36" w:rsidRDefault="00E1280B" w:rsidP="00DA385A">
            <w:pPr>
              <w:pStyle w:val="CETBodytext"/>
              <w:ind w:right="-1"/>
              <w:jc w:val="left"/>
              <w:rPr>
                <w:rFonts w:cs="Arial"/>
                <w:szCs w:val="18"/>
                <w:lang w:val="en-GB"/>
              </w:rPr>
            </w:pPr>
          </w:p>
        </w:tc>
        <w:tc>
          <w:tcPr>
            <w:tcW w:w="1417" w:type="dxa"/>
            <w:tcBorders>
              <w:top w:val="nil"/>
              <w:left w:val="nil"/>
              <w:bottom w:val="nil"/>
              <w:right w:val="nil"/>
            </w:tcBorders>
            <w:shd w:val="clear" w:color="auto" w:fill="auto"/>
          </w:tcPr>
          <w:p w14:paraId="1ED5F0D1" w14:textId="77777777" w:rsidR="00E1280B" w:rsidRDefault="00E1280B" w:rsidP="00DA385A">
            <w:pPr>
              <w:pStyle w:val="CETBodytext"/>
              <w:ind w:right="-1"/>
              <w:jc w:val="center"/>
              <w:rPr>
                <w:lang w:val="en-GB"/>
              </w:rPr>
            </w:pPr>
            <w:r>
              <w:rPr>
                <w:lang w:val="en-GB"/>
              </w:rPr>
              <w:t xml:space="preserve">Composition </w:t>
            </w:r>
          </w:p>
          <w:p w14:paraId="10843721" w14:textId="77777777" w:rsidR="00E1280B" w:rsidRDefault="00E1280B" w:rsidP="00DA385A">
            <w:pPr>
              <w:pStyle w:val="CETBodytext"/>
              <w:ind w:right="-1"/>
              <w:jc w:val="center"/>
            </w:pPr>
            <w:r>
              <w:rPr>
                <w:lang w:val="en-GB"/>
              </w:rPr>
              <w:t xml:space="preserve">(% on </w:t>
            </w:r>
            <w:proofErr w:type="spellStart"/>
            <w:r>
              <w:rPr>
                <w:lang w:val="en-GB"/>
              </w:rPr>
              <w:t>dw</w:t>
            </w:r>
            <w:proofErr w:type="spellEnd"/>
            <w:r>
              <w:rPr>
                <w:lang w:val="en-GB"/>
              </w:rPr>
              <w:t>)</w:t>
            </w:r>
          </w:p>
        </w:tc>
        <w:tc>
          <w:tcPr>
            <w:tcW w:w="1417" w:type="dxa"/>
            <w:shd w:val="clear" w:color="auto" w:fill="FFFFFF"/>
          </w:tcPr>
          <w:p w14:paraId="3B439F1E" w14:textId="77777777" w:rsidR="00E1280B" w:rsidRPr="00F15D39" w:rsidRDefault="00E1280B" w:rsidP="00DA385A">
            <w:pPr>
              <w:pStyle w:val="CETBodytext"/>
              <w:ind w:right="-1"/>
              <w:jc w:val="center"/>
            </w:pPr>
            <w:r>
              <w:rPr>
                <w:lang w:val="en-GB"/>
              </w:rPr>
              <w:t>Recovery (%)</w:t>
            </w:r>
          </w:p>
        </w:tc>
        <w:tc>
          <w:tcPr>
            <w:tcW w:w="1417" w:type="dxa"/>
            <w:shd w:val="clear" w:color="auto" w:fill="FFFFFF"/>
          </w:tcPr>
          <w:p w14:paraId="2C3C093B" w14:textId="77777777" w:rsidR="00E1280B" w:rsidRDefault="00E1280B" w:rsidP="00DA385A">
            <w:pPr>
              <w:pStyle w:val="CETBodytext"/>
              <w:ind w:right="-1"/>
              <w:jc w:val="center"/>
              <w:rPr>
                <w:lang w:val="en-GB"/>
              </w:rPr>
            </w:pPr>
            <w:r>
              <w:rPr>
                <w:lang w:val="en-GB"/>
              </w:rPr>
              <w:t xml:space="preserve">Composition </w:t>
            </w:r>
          </w:p>
          <w:p w14:paraId="163AF347" w14:textId="77777777" w:rsidR="00E1280B" w:rsidRDefault="00E1280B" w:rsidP="00DA385A">
            <w:pPr>
              <w:pStyle w:val="CETBodytext"/>
              <w:ind w:right="-1"/>
              <w:jc w:val="center"/>
            </w:pPr>
            <w:r>
              <w:rPr>
                <w:lang w:val="en-GB"/>
              </w:rPr>
              <w:t xml:space="preserve">(% on </w:t>
            </w:r>
            <w:proofErr w:type="spellStart"/>
            <w:r>
              <w:rPr>
                <w:lang w:val="en-GB"/>
              </w:rPr>
              <w:t>dw</w:t>
            </w:r>
            <w:proofErr w:type="spellEnd"/>
            <w:r>
              <w:rPr>
                <w:lang w:val="en-GB"/>
              </w:rPr>
              <w:t>)</w:t>
            </w:r>
          </w:p>
        </w:tc>
        <w:tc>
          <w:tcPr>
            <w:tcW w:w="1417" w:type="dxa"/>
            <w:shd w:val="clear" w:color="auto" w:fill="FFFFFF"/>
          </w:tcPr>
          <w:p w14:paraId="6E93B246" w14:textId="77777777" w:rsidR="00E1280B" w:rsidRDefault="00E1280B" w:rsidP="00DA385A">
            <w:pPr>
              <w:pStyle w:val="CETBodytext"/>
              <w:ind w:right="-1"/>
              <w:jc w:val="center"/>
            </w:pPr>
            <w:r>
              <w:rPr>
                <w:lang w:val="en-GB"/>
              </w:rPr>
              <w:t>Recovery (%)</w:t>
            </w:r>
          </w:p>
        </w:tc>
      </w:tr>
      <w:tr w:rsidR="00E1280B" w:rsidRPr="00B57B36" w14:paraId="29697B55" w14:textId="77777777" w:rsidTr="00DA385A">
        <w:tc>
          <w:tcPr>
            <w:tcW w:w="2551" w:type="dxa"/>
            <w:shd w:val="clear" w:color="auto" w:fill="FFFFFF"/>
          </w:tcPr>
          <w:p w14:paraId="158032EF" w14:textId="77777777" w:rsidR="00E1280B" w:rsidRDefault="00E1280B" w:rsidP="00DA385A">
            <w:pPr>
              <w:pStyle w:val="CETBodytext"/>
              <w:ind w:right="-1"/>
              <w:jc w:val="left"/>
            </w:pPr>
            <w:r>
              <w:t xml:space="preserve">Acid insoluble lignin (% on </w:t>
            </w:r>
            <w:proofErr w:type="spellStart"/>
            <w:r>
              <w:t>dw</w:t>
            </w:r>
            <w:proofErr w:type="spellEnd"/>
            <w:r>
              <w:t>)</w:t>
            </w:r>
          </w:p>
        </w:tc>
        <w:tc>
          <w:tcPr>
            <w:tcW w:w="1417" w:type="dxa"/>
            <w:tcBorders>
              <w:top w:val="nil"/>
              <w:left w:val="nil"/>
              <w:bottom w:val="nil"/>
              <w:right w:val="nil"/>
            </w:tcBorders>
            <w:shd w:val="clear" w:color="auto" w:fill="auto"/>
            <w:vAlign w:val="bottom"/>
          </w:tcPr>
          <w:p w14:paraId="722EC0F4" w14:textId="77777777" w:rsidR="00E1280B" w:rsidRPr="00F15D39" w:rsidRDefault="00E1280B" w:rsidP="00DA385A">
            <w:pPr>
              <w:pStyle w:val="CETBodytext"/>
              <w:ind w:right="-1"/>
              <w:jc w:val="center"/>
            </w:pPr>
            <w:r w:rsidRPr="00E27931">
              <w:t>29.50</w:t>
            </w:r>
            <w:r>
              <w:t xml:space="preserve"> </w:t>
            </w:r>
            <w:r w:rsidRPr="00F15D39">
              <w:t>±</w:t>
            </w:r>
            <w:r>
              <w:t xml:space="preserve"> 2.46</w:t>
            </w:r>
          </w:p>
        </w:tc>
        <w:tc>
          <w:tcPr>
            <w:tcW w:w="1417" w:type="dxa"/>
            <w:shd w:val="clear" w:color="auto" w:fill="FFFFFF"/>
            <w:vAlign w:val="bottom"/>
          </w:tcPr>
          <w:p w14:paraId="06AD5172" w14:textId="77777777" w:rsidR="00E1280B" w:rsidRDefault="00E1280B" w:rsidP="00DA385A">
            <w:pPr>
              <w:pStyle w:val="CETBodytext"/>
              <w:ind w:right="-1"/>
              <w:jc w:val="center"/>
            </w:pPr>
            <w:r w:rsidRPr="00E27931">
              <w:t xml:space="preserve">81.85 </w:t>
            </w:r>
            <w:r w:rsidRPr="00F15D39">
              <w:t>±</w:t>
            </w:r>
            <w:r>
              <w:t xml:space="preserve"> 6.83</w:t>
            </w:r>
          </w:p>
        </w:tc>
        <w:tc>
          <w:tcPr>
            <w:tcW w:w="1417" w:type="dxa"/>
            <w:shd w:val="clear" w:color="auto" w:fill="FFFFFF"/>
            <w:vAlign w:val="bottom"/>
          </w:tcPr>
          <w:p w14:paraId="421A3F2E" w14:textId="77777777" w:rsidR="00E1280B" w:rsidRDefault="00E1280B" w:rsidP="00DA385A">
            <w:pPr>
              <w:pStyle w:val="CETBodytext"/>
              <w:ind w:right="-1"/>
              <w:jc w:val="center"/>
            </w:pPr>
            <w:r w:rsidRPr="00E27931">
              <w:t xml:space="preserve">19.23 </w:t>
            </w:r>
            <w:r w:rsidRPr="00F15D39">
              <w:t>±</w:t>
            </w:r>
            <w:r>
              <w:t xml:space="preserve"> 1.71</w:t>
            </w:r>
          </w:p>
        </w:tc>
        <w:tc>
          <w:tcPr>
            <w:tcW w:w="1417" w:type="dxa"/>
            <w:shd w:val="clear" w:color="auto" w:fill="FFFFFF"/>
            <w:vAlign w:val="bottom"/>
          </w:tcPr>
          <w:p w14:paraId="03F6AD78" w14:textId="77777777" w:rsidR="00E1280B" w:rsidRDefault="00E1280B" w:rsidP="00DA385A">
            <w:pPr>
              <w:pStyle w:val="CETBodytext"/>
              <w:ind w:right="-1"/>
              <w:jc w:val="center"/>
            </w:pPr>
            <w:r w:rsidRPr="00E27931">
              <w:t xml:space="preserve">41.33 </w:t>
            </w:r>
            <w:r w:rsidRPr="00F15D39">
              <w:t>±</w:t>
            </w:r>
            <w:r>
              <w:t xml:space="preserve"> 3.68</w:t>
            </w:r>
          </w:p>
        </w:tc>
      </w:tr>
      <w:tr w:rsidR="00E1280B" w:rsidRPr="00B57B36" w14:paraId="434257BF" w14:textId="77777777" w:rsidTr="00DA385A">
        <w:tc>
          <w:tcPr>
            <w:tcW w:w="2551" w:type="dxa"/>
            <w:shd w:val="clear" w:color="auto" w:fill="FFFFFF"/>
          </w:tcPr>
          <w:p w14:paraId="4EAD4232" w14:textId="77777777" w:rsidR="00E1280B" w:rsidRPr="00B57B36" w:rsidRDefault="00E1280B" w:rsidP="00DA385A">
            <w:pPr>
              <w:pStyle w:val="CETBodytext"/>
              <w:ind w:right="-1"/>
              <w:jc w:val="left"/>
              <w:rPr>
                <w:rFonts w:cs="Arial"/>
                <w:szCs w:val="18"/>
                <w:lang w:val="en-GB"/>
              </w:rPr>
            </w:pPr>
            <w:r>
              <w:t xml:space="preserve">Acid soluble lignin (% on </w:t>
            </w:r>
            <w:proofErr w:type="spellStart"/>
            <w:r>
              <w:t>dw</w:t>
            </w:r>
            <w:proofErr w:type="spellEnd"/>
            <w:r>
              <w:t>)</w:t>
            </w:r>
          </w:p>
        </w:tc>
        <w:tc>
          <w:tcPr>
            <w:tcW w:w="1417" w:type="dxa"/>
            <w:tcBorders>
              <w:top w:val="nil"/>
              <w:left w:val="nil"/>
              <w:bottom w:val="nil"/>
              <w:right w:val="nil"/>
            </w:tcBorders>
            <w:shd w:val="clear" w:color="auto" w:fill="auto"/>
            <w:vAlign w:val="bottom"/>
          </w:tcPr>
          <w:p w14:paraId="67D15B98" w14:textId="77777777" w:rsidR="00E1280B" w:rsidRDefault="00E1280B" w:rsidP="00DA385A">
            <w:pPr>
              <w:pStyle w:val="CETBodytext"/>
              <w:ind w:right="-1"/>
              <w:jc w:val="center"/>
            </w:pPr>
            <w:r w:rsidRPr="00E27931">
              <w:t>0.61</w:t>
            </w:r>
            <w:r>
              <w:t xml:space="preserve"> </w:t>
            </w:r>
            <w:r w:rsidRPr="00F15D39">
              <w:t>± 0</w:t>
            </w:r>
            <w:r>
              <w:t>.06</w:t>
            </w:r>
          </w:p>
        </w:tc>
        <w:tc>
          <w:tcPr>
            <w:tcW w:w="1417" w:type="dxa"/>
            <w:shd w:val="clear" w:color="auto" w:fill="FFFFFF"/>
            <w:vAlign w:val="bottom"/>
          </w:tcPr>
          <w:p w14:paraId="65B3B17B" w14:textId="77777777" w:rsidR="00E1280B" w:rsidRPr="00F15D39" w:rsidRDefault="00E1280B" w:rsidP="00DA385A">
            <w:pPr>
              <w:pStyle w:val="CETBodytext"/>
              <w:ind w:right="-1"/>
              <w:jc w:val="center"/>
            </w:pPr>
            <w:r w:rsidRPr="00E27931">
              <w:t>15.12</w:t>
            </w:r>
            <w:r>
              <w:t xml:space="preserve"> </w:t>
            </w:r>
            <w:r w:rsidRPr="00F15D39">
              <w:t>±</w:t>
            </w:r>
            <w:r>
              <w:t xml:space="preserve"> 1.38</w:t>
            </w:r>
          </w:p>
        </w:tc>
        <w:tc>
          <w:tcPr>
            <w:tcW w:w="1417" w:type="dxa"/>
            <w:shd w:val="clear" w:color="auto" w:fill="FFFFFF"/>
            <w:vAlign w:val="bottom"/>
          </w:tcPr>
          <w:p w14:paraId="39AC9EAA" w14:textId="77777777" w:rsidR="00E1280B" w:rsidRDefault="00E1280B" w:rsidP="00DA385A">
            <w:pPr>
              <w:pStyle w:val="CETBodytext"/>
              <w:ind w:right="-1"/>
              <w:jc w:val="center"/>
            </w:pPr>
            <w:r w:rsidRPr="00E27931">
              <w:t xml:space="preserve">0.77 </w:t>
            </w:r>
            <w:r w:rsidRPr="00F15D39">
              <w:t>±</w:t>
            </w:r>
            <w:r>
              <w:t xml:space="preserve"> 0.16</w:t>
            </w:r>
          </w:p>
        </w:tc>
        <w:tc>
          <w:tcPr>
            <w:tcW w:w="1417" w:type="dxa"/>
            <w:shd w:val="clear" w:color="auto" w:fill="FFFFFF"/>
            <w:vAlign w:val="bottom"/>
          </w:tcPr>
          <w:p w14:paraId="2E4FB793" w14:textId="77777777" w:rsidR="00E1280B" w:rsidRDefault="00E1280B" w:rsidP="00DA385A">
            <w:pPr>
              <w:pStyle w:val="CETBodytext"/>
              <w:ind w:right="-1"/>
              <w:jc w:val="center"/>
            </w:pPr>
            <w:r w:rsidRPr="00E27931">
              <w:t xml:space="preserve">14.89 </w:t>
            </w:r>
            <w:r w:rsidRPr="00F15D39">
              <w:t>±</w:t>
            </w:r>
            <w:r>
              <w:t xml:space="preserve"> 3.02</w:t>
            </w:r>
          </w:p>
        </w:tc>
      </w:tr>
      <w:tr w:rsidR="00E1280B" w:rsidRPr="00B57B36" w14:paraId="23996109" w14:textId="77777777" w:rsidTr="00DA385A">
        <w:tc>
          <w:tcPr>
            <w:tcW w:w="2551" w:type="dxa"/>
            <w:shd w:val="clear" w:color="auto" w:fill="FFFFFF"/>
          </w:tcPr>
          <w:p w14:paraId="632D0FF4" w14:textId="77777777" w:rsidR="00E1280B" w:rsidRPr="00B57B36" w:rsidRDefault="00E1280B" w:rsidP="00DA385A">
            <w:pPr>
              <w:pStyle w:val="CETBodytext"/>
              <w:ind w:right="-1"/>
              <w:jc w:val="left"/>
              <w:rPr>
                <w:rFonts w:cs="Arial"/>
                <w:szCs w:val="18"/>
                <w:lang w:val="en-GB"/>
              </w:rPr>
            </w:pPr>
            <w:r>
              <w:t xml:space="preserve">Cellulose (% on </w:t>
            </w:r>
            <w:proofErr w:type="spellStart"/>
            <w:r>
              <w:t>dw</w:t>
            </w:r>
            <w:proofErr w:type="spellEnd"/>
            <w:r>
              <w:t>)</w:t>
            </w:r>
          </w:p>
        </w:tc>
        <w:tc>
          <w:tcPr>
            <w:tcW w:w="1417" w:type="dxa"/>
            <w:tcBorders>
              <w:top w:val="nil"/>
              <w:left w:val="nil"/>
              <w:bottom w:val="nil"/>
              <w:right w:val="nil"/>
            </w:tcBorders>
            <w:shd w:val="clear" w:color="auto" w:fill="auto"/>
            <w:vAlign w:val="bottom"/>
          </w:tcPr>
          <w:p w14:paraId="52C9EE1D" w14:textId="77777777" w:rsidR="00E1280B" w:rsidRDefault="00E1280B" w:rsidP="00DA385A">
            <w:pPr>
              <w:pStyle w:val="CETBodytext"/>
              <w:ind w:right="-1"/>
              <w:jc w:val="center"/>
            </w:pPr>
            <w:r w:rsidRPr="00E27931">
              <w:t>43.64</w:t>
            </w:r>
            <w:r>
              <w:t xml:space="preserve"> </w:t>
            </w:r>
            <w:r w:rsidRPr="00F15D39">
              <w:t>±</w:t>
            </w:r>
            <w:r>
              <w:t xml:space="preserve"> 2.99</w:t>
            </w:r>
          </w:p>
        </w:tc>
        <w:tc>
          <w:tcPr>
            <w:tcW w:w="1417" w:type="dxa"/>
            <w:shd w:val="clear" w:color="auto" w:fill="FFFFFF"/>
            <w:vAlign w:val="bottom"/>
          </w:tcPr>
          <w:p w14:paraId="27C0ACA6" w14:textId="77777777" w:rsidR="00E1280B" w:rsidRPr="00F15D39" w:rsidRDefault="00E1280B" w:rsidP="00DA385A">
            <w:pPr>
              <w:pStyle w:val="CETBodytext"/>
              <w:ind w:right="-1"/>
              <w:jc w:val="center"/>
            </w:pPr>
            <w:r w:rsidRPr="00E27931">
              <w:t>115.42</w:t>
            </w:r>
            <w:r>
              <w:t xml:space="preserve"> </w:t>
            </w:r>
            <w:r w:rsidRPr="00F15D39">
              <w:t>±</w:t>
            </w:r>
            <w:r>
              <w:t xml:space="preserve"> 7.91</w:t>
            </w:r>
          </w:p>
        </w:tc>
        <w:tc>
          <w:tcPr>
            <w:tcW w:w="1417" w:type="dxa"/>
            <w:shd w:val="clear" w:color="auto" w:fill="FFFFFF"/>
            <w:vAlign w:val="bottom"/>
          </w:tcPr>
          <w:p w14:paraId="25AC152D" w14:textId="77777777" w:rsidR="00E1280B" w:rsidRDefault="00E1280B" w:rsidP="00DA385A">
            <w:pPr>
              <w:pStyle w:val="CETBodytext"/>
              <w:ind w:right="-1"/>
              <w:jc w:val="center"/>
            </w:pPr>
            <w:r w:rsidRPr="00E27931">
              <w:t xml:space="preserve">53.25 </w:t>
            </w:r>
            <w:r w:rsidRPr="00F15D39">
              <w:t>±</w:t>
            </w:r>
            <w:r>
              <w:t xml:space="preserve"> 0.80</w:t>
            </w:r>
          </w:p>
        </w:tc>
        <w:tc>
          <w:tcPr>
            <w:tcW w:w="1417" w:type="dxa"/>
            <w:shd w:val="clear" w:color="auto" w:fill="FFFFFF"/>
            <w:vAlign w:val="bottom"/>
          </w:tcPr>
          <w:p w14:paraId="55B53404" w14:textId="77777777" w:rsidR="00E1280B" w:rsidRDefault="00E1280B" w:rsidP="00DA385A">
            <w:pPr>
              <w:pStyle w:val="CETBodytext"/>
              <w:ind w:right="-1"/>
              <w:jc w:val="center"/>
            </w:pPr>
            <w:r w:rsidRPr="00E27931">
              <w:t xml:space="preserve">109.08 </w:t>
            </w:r>
            <w:r w:rsidRPr="00F15D39">
              <w:t>±</w:t>
            </w:r>
            <w:r>
              <w:t xml:space="preserve"> 1.64</w:t>
            </w:r>
          </w:p>
        </w:tc>
      </w:tr>
      <w:tr w:rsidR="00E1280B" w:rsidRPr="00B57B36" w14:paraId="5B3CF285" w14:textId="77777777" w:rsidTr="00DA385A">
        <w:tc>
          <w:tcPr>
            <w:tcW w:w="2551" w:type="dxa"/>
            <w:shd w:val="clear" w:color="auto" w:fill="FFFFFF"/>
          </w:tcPr>
          <w:p w14:paraId="4E2C591B" w14:textId="77777777" w:rsidR="00E1280B" w:rsidRPr="00B57B36" w:rsidRDefault="00E1280B" w:rsidP="00DA385A">
            <w:pPr>
              <w:pStyle w:val="CETBodytext"/>
              <w:ind w:right="-1"/>
              <w:jc w:val="left"/>
              <w:rPr>
                <w:rFonts w:cs="Arial"/>
                <w:szCs w:val="18"/>
                <w:lang w:val="en-GB"/>
              </w:rPr>
            </w:pPr>
            <w:r>
              <w:t xml:space="preserve">Hemicellulose (% on </w:t>
            </w:r>
            <w:proofErr w:type="spellStart"/>
            <w:r>
              <w:t>dw</w:t>
            </w:r>
            <w:proofErr w:type="spellEnd"/>
            <w:r>
              <w:t>)</w:t>
            </w:r>
          </w:p>
        </w:tc>
        <w:tc>
          <w:tcPr>
            <w:tcW w:w="1417" w:type="dxa"/>
            <w:shd w:val="clear" w:color="auto" w:fill="FFFFFF"/>
            <w:vAlign w:val="bottom"/>
          </w:tcPr>
          <w:p w14:paraId="16633B8D" w14:textId="77777777" w:rsidR="00E1280B" w:rsidRDefault="00E1280B" w:rsidP="00DA385A">
            <w:pPr>
              <w:pStyle w:val="CETBodytext"/>
              <w:ind w:right="-1"/>
              <w:jc w:val="center"/>
            </w:pPr>
            <w:r w:rsidRPr="00E27931">
              <w:t>1.21</w:t>
            </w:r>
            <w:r>
              <w:t xml:space="preserve"> </w:t>
            </w:r>
            <w:r w:rsidRPr="00F15D39">
              <w:t>±</w:t>
            </w:r>
            <w:r>
              <w:t xml:space="preserve"> 0.15</w:t>
            </w:r>
          </w:p>
        </w:tc>
        <w:tc>
          <w:tcPr>
            <w:tcW w:w="1417" w:type="dxa"/>
            <w:shd w:val="clear" w:color="auto" w:fill="FFFFFF"/>
            <w:vAlign w:val="bottom"/>
          </w:tcPr>
          <w:p w14:paraId="77F0426C" w14:textId="77777777" w:rsidR="00E1280B" w:rsidRPr="00F15D39" w:rsidRDefault="00E1280B" w:rsidP="00DA385A">
            <w:pPr>
              <w:pStyle w:val="CETBodytext"/>
              <w:ind w:right="-1"/>
              <w:jc w:val="center"/>
            </w:pPr>
            <w:r w:rsidRPr="00E27931">
              <w:t>4.86</w:t>
            </w:r>
            <w:r>
              <w:t xml:space="preserve"> </w:t>
            </w:r>
            <w:r w:rsidRPr="00F15D39">
              <w:t>±</w:t>
            </w:r>
            <w:r>
              <w:t xml:space="preserve"> 0.60</w:t>
            </w:r>
          </w:p>
        </w:tc>
        <w:tc>
          <w:tcPr>
            <w:tcW w:w="1417" w:type="dxa"/>
            <w:shd w:val="clear" w:color="auto" w:fill="FFFFFF"/>
            <w:vAlign w:val="bottom"/>
          </w:tcPr>
          <w:p w14:paraId="57311DE6" w14:textId="77777777" w:rsidR="00E1280B" w:rsidRDefault="00E1280B" w:rsidP="00DA385A">
            <w:pPr>
              <w:pStyle w:val="CETBodytext"/>
              <w:ind w:right="-1"/>
              <w:jc w:val="center"/>
            </w:pPr>
            <w:r w:rsidRPr="00E27931">
              <w:t xml:space="preserve">0.63 </w:t>
            </w:r>
            <w:r w:rsidRPr="00F15D39">
              <w:t>±</w:t>
            </w:r>
            <w:r>
              <w:t xml:space="preserve"> 0.63</w:t>
            </w:r>
          </w:p>
        </w:tc>
        <w:tc>
          <w:tcPr>
            <w:tcW w:w="1417" w:type="dxa"/>
            <w:shd w:val="clear" w:color="auto" w:fill="FFFFFF"/>
            <w:vAlign w:val="bottom"/>
          </w:tcPr>
          <w:p w14:paraId="1254D35B" w14:textId="77777777" w:rsidR="00E1280B" w:rsidRDefault="00E1280B" w:rsidP="00DA385A">
            <w:pPr>
              <w:pStyle w:val="CETBodytext"/>
              <w:ind w:right="-1"/>
              <w:jc w:val="center"/>
            </w:pPr>
            <w:r>
              <w:t>1.</w:t>
            </w:r>
            <w:r w:rsidRPr="00E27931">
              <w:t>96</w:t>
            </w:r>
            <w:r>
              <w:t xml:space="preserve"> </w:t>
            </w:r>
            <w:r w:rsidRPr="00F15D39">
              <w:t xml:space="preserve">± </w:t>
            </w:r>
            <w:r>
              <w:t>0.22</w:t>
            </w:r>
          </w:p>
        </w:tc>
      </w:tr>
    </w:tbl>
    <w:p w14:paraId="4C30B574" w14:textId="6813ABD9" w:rsidR="00E1280B" w:rsidRPr="008E1417" w:rsidRDefault="00E1280B" w:rsidP="00E1280B">
      <w:pPr>
        <w:pStyle w:val="CETTabletitle"/>
      </w:pPr>
      <w:r w:rsidRPr="00B57B36">
        <w:t xml:space="preserve">Table </w:t>
      </w:r>
      <w:r>
        <w:t>5</w:t>
      </w:r>
      <w:r w:rsidRPr="00B57B36">
        <w:t xml:space="preserve">: </w:t>
      </w:r>
      <w:r w:rsidR="00FC4DAD">
        <w:t>Composition of the solid residues and recovery percentage after alkaline hydrolysis (1.5% w/v NaOH, ambient temperature) and bleaching.</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551"/>
        <w:gridCol w:w="1417"/>
        <w:gridCol w:w="1561"/>
        <w:gridCol w:w="1273"/>
        <w:gridCol w:w="1417"/>
      </w:tblGrid>
      <w:tr w:rsidR="00E1280B" w:rsidRPr="00B57B36" w14:paraId="2868DD97" w14:textId="77777777" w:rsidTr="00B1537E">
        <w:tc>
          <w:tcPr>
            <w:tcW w:w="2551" w:type="dxa"/>
            <w:tcBorders>
              <w:top w:val="single" w:sz="12" w:space="0" w:color="008000"/>
              <w:bottom w:val="single" w:sz="6" w:space="0" w:color="008000"/>
            </w:tcBorders>
            <w:shd w:val="clear" w:color="auto" w:fill="FFFFFF"/>
          </w:tcPr>
          <w:p w14:paraId="03ADF484" w14:textId="77777777" w:rsidR="00E1280B" w:rsidRPr="00FC4DAD" w:rsidRDefault="00E1280B" w:rsidP="00DA385A">
            <w:pPr>
              <w:pStyle w:val="CETBodytext"/>
              <w:jc w:val="center"/>
            </w:pPr>
          </w:p>
        </w:tc>
        <w:tc>
          <w:tcPr>
            <w:tcW w:w="2978" w:type="dxa"/>
            <w:gridSpan w:val="2"/>
            <w:tcBorders>
              <w:top w:val="single" w:sz="12" w:space="0" w:color="008000"/>
              <w:bottom w:val="single" w:sz="6" w:space="0" w:color="008000"/>
            </w:tcBorders>
            <w:shd w:val="clear" w:color="auto" w:fill="FFFFFF"/>
          </w:tcPr>
          <w:p w14:paraId="438A2978" w14:textId="780FCBFE" w:rsidR="00E1280B" w:rsidRDefault="00E1280B" w:rsidP="00DA385A">
            <w:pPr>
              <w:pStyle w:val="CETBodytext"/>
              <w:jc w:val="center"/>
              <w:rPr>
                <w:lang w:val="en-GB"/>
              </w:rPr>
            </w:pPr>
            <w:r>
              <w:rPr>
                <w:lang w:val="en-GB"/>
              </w:rPr>
              <w:t>Alkaline Hydrolysis (1.5%</w:t>
            </w:r>
            <w:r w:rsidR="00B1537E">
              <w:rPr>
                <w:lang w:val="en-GB"/>
              </w:rPr>
              <w:t xml:space="preserve"> w/v</w:t>
            </w:r>
            <w:r>
              <w:rPr>
                <w:lang w:val="en-GB"/>
              </w:rPr>
              <w:t xml:space="preserve"> NaOH)</w:t>
            </w:r>
          </w:p>
        </w:tc>
        <w:tc>
          <w:tcPr>
            <w:tcW w:w="2690" w:type="dxa"/>
            <w:gridSpan w:val="2"/>
            <w:tcBorders>
              <w:top w:val="single" w:sz="12" w:space="0" w:color="008000"/>
              <w:bottom w:val="single" w:sz="6" w:space="0" w:color="008000"/>
            </w:tcBorders>
            <w:shd w:val="clear" w:color="auto" w:fill="FFFFFF"/>
          </w:tcPr>
          <w:p w14:paraId="2665BF4E" w14:textId="77777777" w:rsidR="00E1280B" w:rsidRDefault="00E1280B" w:rsidP="00DA385A">
            <w:pPr>
              <w:pStyle w:val="CETBodytext"/>
              <w:jc w:val="center"/>
              <w:rPr>
                <w:lang w:val="en-GB"/>
              </w:rPr>
            </w:pPr>
            <w:r>
              <w:rPr>
                <w:lang w:val="en-GB"/>
              </w:rPr>
              <w:t>Bleaching</w:t>
            </w:r>
          </w:p>
        </w:tc>
      </w:tr>
      <w:tr w:rsidR="00E1280B" w:rsidRPr="00B57B36" w14:paraId="7C502FC6" w14:textId="77777777" w:rsidTr="00B1537E">
        <w:tc>
          <w:tcPr>
            <w:tcW w:w="2551" w:type="dxa"/>
            <w:shd w:val="clear" w:color="auto" w:fill="FFFFFF"/>
          </w:tcPr>
          <w:p w14:paraId="5A09C3EB" w14:textId="77777777" w:rsidR="00E1280B" w:rsidRPr="00B57B36" w:rsidRDefault="00E1280B" w:rsidP="00DA385A">
            <w:pPr>
              <w:pStyle w:val="CETBodytext"/>
              <w:ind w:right="-1"/>
              <w:jc w:val="left"/>
              <w:rPr>
                <w:rFonts w:cs="Arial"/>
                <w:szCs w:val="18"/>
                <w:lang w:val="en-GB"/>
              </w:rPr>
            </w:pPr>
          </w:p>
        </w:tc>
        <w:tc>
          <w:tcPr>
            <w:tcW w:w="1417" w:type="dxa"/>
            <w:tcBorders>
              <w:top w:val="nil"/>
              <w:left w:val="nil"/>
              <w:bottom w:val="nil"/>
              <w:right w:val="nil"/>
            </w:tcBorders>
            <w:shd w:val="clear" w:color="auto" w:fill="auto"/>
          </w:tcPr>
          <w:p w14:paraId="43ADF4F3" w14:textId="77777777" w:rsidR="00E1280B" w:rsidRDefault="00E1280B" w:rsidP="00DA385A">
            <w:pPr>
              <w:pStyle w:val="CETBodytext"/>
              <w:ind w:right="-1"/>
              <w:jc w:val="center"/>
              <w:rPr>
                <w:lang w:val="en-GB"/>
              </w:rPr>
            </w:pPr>
            <w:r>
              <w:rPr>
                <w:lang w:val="en-GB"/>
              </w:rPr>
              <w:t xml:space="preserve">Composition </w:t>
            </w:r>
          </w:p>
          <w:p w14:paraId="039ADB4F" w14:textId="77777777" w:rsidR="00E1280B" w:rsidRDefault="00E1280B" w:rsidP="00DA385A">
            <w:pPr>
              <w:pStyle w:val="CETBodytext"/>
              <w:ind w:right="-1"/>
              <w:jc w:val="center"/>
            </w:pPr>
            <w:r>
              <w:rPr>
                <w:lang w:val="en-GB"/>
              </w:rPr>
              <w:t xml:space="preserve">(% on </w:t>
            </w:r>
            <w:proofErr w:type="spellStart"/>
            <w:r>
              <w:rPr>
                <w:lang w:val="en-GB"/>
              </w:rPr>
              <w:t>dw</w:t>
            </w:r>
            <w:proofErr w:type="spellEnd"/>
            <w:r>
              <w:rPr>
                <w:lang w:val="en-GB"/>
              </w:rPr>
              <w:t>)</w:t>
            </w:r>
          </w:p>
        </w:tc>
        <w:tc>
          <w:tcPr>
            <w:tcW w:w="1561" w:type="dxa"/>
            <w:shd w:val="clear" w:color="auto" w:fill="FFFFFF"/>
          </w:tcPr>
          <w:p w14:paraId="66DC0EAF" w14:textId="77777777" w:rsidR="00E1280B" w:rsidRPr="00F15D39" w:rsidRDefault="00E1280B" w:rsidP="00DA385A">
            <w:pPr>
              <w:pStyle w:val="CETBodytext"/>
              <w:ind w:right="-1"/>
              <w:jc w:val="center"/>
            </w:pPr>
            <w:r>
              <w:rPr>
                <w:lang w:val="en-GB"/>
              </w:rPr>
              <w:t>Recovery (%)</w:t>
            </w:r>
          </w:p>
        </w:tc>
        <w:tc>
          <w:tcPr>
            <w:tcW w:w="1273" w:type="dxa"/>
            <w:shd w:val="clear" w:color="auto" w:fill="FFFFFF"/>
          </w:tcPr>
          <w:p w14:paraId="232C3721" w14:textId="77777777" w:rsidR="00E1280B" w:rsidRDefault="00E1280B" w:rsidP="00DA385A">
            <w:pPr>
              <w:pStyle w:val="CETBodytext"/>
              <w:ind w:right="-1"/>
              <w:jc w:val="center"/>
              <w:rPr>
                <w:lang w:val="en-GB"/>
              </w:rPr>
            </w:pPr>
            <w:r>
              <w:rPr>
                <w:lang w:val="en-GB"/>
              </w:rPr>
              <w:t xml:space="preserve">Composition </w:t>
            </w:r>
          </w:p>
          <w:p w14:paraId="724BA183" w14:textId="77777777" w:rsidR="00E1280B" w:rsidRDefault="00E1280B" w:rsidP="00DA385A">
            <w:pPr>
              <w:pStyle w:val="CETBodytext"/>
              <w:ind w:right="-1"/>
              <w:jc w:val="center"/>
            </w:pPr>
            <w:r>
              <w:rPr>
                <w:lang w:val="en-GB"/>
              </w:rPr>
              <w:t xml:space="preserve">(% on </w:t>
            </w:r>
            <w:proofErr w:type="spellStart"/>
            <w:r>
              <w:rPr>
                <w:lang w:val="en-GB"/>
              </w:rPr>
              <w:t>dw</w:t>
            </w:r>
            <w:proofErr w:type="spellEnd"/>
            <w:r>
              <w:rPr>
                <w:lang w:val="en-GB"/>
              </w:rPr>
              <w:t>)</w:t>
            </w:r>
          </w:p>
        </w:tc>
        <w:tc>
          <w:tcPr>
            <w:tcW w:w="1417" w:type="dxa"/>
            <w:shd w:val="clear" w:color="auto" w:fill="FFFFFF"/>
          </w:tcPr>
          <w:p w14:paraId="5A800517" w14:textId="77777777" w:rsidR="00E1280B" w:rsidRDefault="00E1280B" w:rsidP="00DA385A">
            <w:pPr>
              <w:pStyle w:val="CETBodytext"/>
              <w:ind w:right="-1"/>
              <w:jc w:val="center"/>
            </w:pPr>
            <w:r>
              <w:rPr>
                <w:lang w:val="en-GB"/>
              </w:rPr>
              <w:t>Recovery (%)</w:t>
            </w:r>
          </w:p>
        </w:tc>
      </w:tr>
      <w:tr w:rsidR="00E1280B" w:rsidRPr="00B57B36" w14:paraId="33B7370B" w14:textId="77777777" w:rsidTr="00B1537E">
        <w:tc>
          <w:tcPr>
            <w:tcW w:w="2551" w:type="dxa"/>
            <w:shd w:val="clear" w:color="auto" w:fill="FFFFFF"/>
          </w:tcPr>
          <w:p w14:paraId="2B45B8C4" w14:textId="77777777" w:rsidR="00E1280B" w:rsidRDefault="00E1280B" w:rsidP="00DA385A">
            <w:pPr>
              <w:pStyle w:val="CETBodytext"/>
              <w:ind w:right="-1"/>
              <w:jc w:val="left"/>
            </w:pPr>
            <w:r>
              <w:t xml:space="preserve">Acid insoluble lignin (% on </w:t>
            </w:r>
            <w:proofErr w:type="spellStart"/>
            <w:r>
              <w:t>dw</w:t>
            </w:r>
            <w:proofErr w:type="spellEnd"/>
            <w:r>
              <w:t>)</w:t>
            </w:r>
          </w:p>
        </w:tc>
        <w:tc>
          <w:tcPr>
            <w:tcW w:w="1417" w:type="dxa"/>
            <w:tcBorders>
              <w:top w:val="nil"/>
              <w:left w:val="nil"/>
              <w:bottom w:val="nil"/>
              <w:right w:val="nil"/>
            </w:tcBorders>
            <w:shd w:val="clear" w:color="auto" w:fill="auto"/>
            <w:vAlign w:val="bottom"/>
          </w:tcPr>
          <w:p w14:paraId="2CCDF82B" w14:textId="77777777" w:rsidR="00E1280B" w:rsidRPr="00F15D39" w:rsidRDefault="00E1280B" w:rsidP="00DA385A">
            <w:pPr>
              <w:pStyle w:val="CETBodytext"/>
              <w:ind w:right="-1"/>
              <w:jc w:val="center"/>
            </w:pPr>
            <w:r w:rsidRPr="00CE02E1">
              <w:t>21.19</w:t>
            </w:r>
            <w:r>
              <w:t xml:space="preserve"> </w:t>
            </w:r>
            <w:r w:rsidRPr="00F15D39">
              <w:t>±</w:t>
            </w:r>
            <w:r>
              <w:t xml:space="preserve"> 0.79</w:t>
            </w:r>
          </w:p>
        </w:tc>
        <w:tc>
          <w:tcPr>
            <w:tcW w:w="1561" w:type="dxa"/>
            <w:shd w:val="clear" w:color="auto" w:fill="FFFFFF"/>
            <w:vAlign w:val="bottom"/>
          </w:tcPr>
          <w:p w14:paraId="74B64F9A" w14:textId="77777777" w:rsidR="00E1280B" w:rsidRDefault="00E1280B" w:rsidP="00DA385A">
            <w:pPr>
              <w:pStyle w:val="CETBodytext"/>
              <w:ind w:right="-1"/>
              <w:jc w:val="center"/>
            </w:pPr>
            <w:r w:rsidRPr="00CE02E1">
              <w:t>58.42</w:t>
            </w:r>
            <w:r>
              <w:t xml:space="preserve"> </w:t>
            </w:r>
            <w:r w:rsidRPr="00F15D39">
              <w:t>±</w:t>
            </w:r>
            <w:r>
              <w:t xml:space="preserve"> 2.16</w:t>
            </w:r>
          </w:p>
        </w:tc>
        <w:tc>
          <w:tcPr>
            <w:tcW w:w="1273" w:type="dxa"/>
            <w:shd w:val="clear" w:color="auto" w:fill="FFFFFF"/>
            <w:vAlign w:val="bottom"/>
          </w:tcPr>
          <w:p w14:paraId="1118B9D0" w14:textId="77777777" w:rsidR="00E1280B" w:rsidRDefault="00E1280B" w:rsidP="00DA385A">
            <w:pPr>
              <w:pStyle w:val="CETBodytext"/>
              <w:ind w:right="-1"/>
              <w:jc w:val="center"/>
            </w:pPr>
            <w:r w:rsidRPr="00CE02E1">
              <w:t>14.14</w:t>
            </w:r>
            <w:r>
              <w:t xml:space="preserve"> </w:t>
            </w:r>
            <w:r w:rsidRPr="00F15D39">
              <w:t>±</w:t>
            </w:r>
            <w:r>
              <w:t xml:space="preserve"> 0.07</w:t>
            </w:r>
          </w:p>
        </w:tc>
        <w:tc>
          <w:tcPr>
            <w:tcW w:w="1417" w:type="dxa"/>
            <w:shd w:val="clear" w:color="auto" w:fill="FFFFFF"/>
            <w:vAlign w:val="bottom"/>
          </w:tcPr>
          <w:p w14:paraId="7C9D2591" w14:textId="77777777" w:rsidR="00E1280B" w:rsidRDefault="00E1280B" w:rsidP="00DA385A">
            <w:pPr>
              <w:pStyle w:val="CETBodytext"/>
              <w:ind w:right="-1"/>
              <w:jc w:val="center"/>
            </w:pPr>
            <w:r w:rsidRPr="00CE02E1">
              <w:t>28.25</w:t>
            </w:r>
            <w:r>
              <w:t xml:space="preserve"> </w:t>
            </w:r>
            <w:r w:rsidRPr="00F15D39">
              <w:t>±</w:t>
            </w:r>
            <w:r>
              <w:t xml:space="preserve"> 0.13</w:t>
            </w:r>
          </w:p>
        </w:tc>
      </w:tr>
      <w:tr w:rsidR="00E1280B" w:rsidRPr="00B57B36" w14:paraId="359C6220" w14:textId="77777777" w:rsidTr="00B1537E">
        <w:tc>
          <w:tcPr>
            <w:tcW w:w="2551" w:type="dxa"/>
            <w:shd w:val="clear" w:color="auto" w:fill="FFFFFF"/>
          </w:tcPr>
          <w:p w14:paraId="16C77525" w14:textId="77777777" w:rsidR="00E1280B" w:rsidRPr="00B57B36" w:rsidRDefault="00E1280B" w:rsidP="00DA385A">
            <w:pPr>
              <w:pStyle w:val="CETBodytext"/>
              <w:ind w:right="-1"/>
              <w:jc w:val="left"/>
              <w:rPr>
                <w:rFonts w:cs="Arial"/>
                <w:szCs w:val="18"/>
                <w:lang w:val="en-GB"/>
              </w:rPr>
            </w:pPr>
            <w:r>
              <w:t xml:space="preserve">Acid soluble lignin (% on </w:t>
            </w:r>
            <w:proofErr w:type="spellStart"/>
            <w:r>
              <w:t>dw</w:t>
            </w:r>
            <w:proofErr w:type="spellEnd"/>
            <w:r>
              <w:t>)</w:t>
            </w:r>
          </w:p>
        </w:tc>
        <w:tc>
          <w:tcPr>
            <w:tcW w:w="1417" w:type="dxa"/>
            <w:tcBorders>
              <w:top w:val="nil"/>
              <w:left w:val="nil"/>
              <w:bottom w:val="nil"/>
              <w:right w:val="nil"/>
            </w:tcBorders>
            <w:shd w:val="clear" w:color="auto" w:fill="auto"/>
            <w:vAlign w:val="bottom"/>
          </w:tcPr>
          <w:p w14:paraId="7CE5BF3D" w14:textId="77777777" w:rsidR="00E1280B" w:rsidRDefault="00E1280B" w:rsidP="00DA385A">
            <w:pPr>
              <w:pStyle w:val="CETBodytext"/>
              <w:ind w:right="-1"/>
              <w:jc w:val="center"/>
            </w:pPr>
            <w:r>
              <w:t>0.</w:t>
            </w:r>
            <w:r w:rsidRPr="00CE02E1">
              <w:t>47</w:t>
            </w:r>
            <w:r>
              <w:t xml:space="preserve"> </w:t>
            </w:r>
            <w:r w:rsidRPr="00F15D39">
              <w:t>± 0</w:t>
            </w:r>
            <w:r>
              <w:t>.02</w:t>
            </w:r>
          </w:p>
        </w:tc>
        <w:tc>
          <w:tcPr>
            <w:tcW w:w="1561" w:type="dxa"/>
            <w:shd w:val="clear" w:color="auto" w:fill="FFFFFF"/>
            <w:vAlign w:val="bottom"/>
          </w:tcPr>
          <w:p w14:paraId="14E68D36" w14:textId="77777777" w:rsidR="00E1280B" w:rsidRPr="00F15D39" w:rsidRDefault="00E1280B" w:rsidP="00DA385A">
            <w:pPr>
              <w:pStyle w:val="CETBodytext"/>
              <w:ind w:right="-1"/>
              <w:jc w:val="center"/>
            </w:pPr>
            <w:r w:rsidRPr="00F15D39">
              <w:t>1</w:t>
            </w:r>
            <w:r>
              <w:t>1.</w:t>
            </w:r>
            <w:r w:rsidRPr="00CE02E1">
              <w:t>56</w:t>
            </w:r>
            <w:r>
              <w:t xml:space="preserve"> </w:t>
            </w:r>
            <w:r w:rsidRPr="00F15D39">
              <w:t>± 0</w:t>
            </w:r>
            <w:r>
              <w:t>.57</w:t>
            </w:r>
          </w:p>
        </w:tc>
        <w:tc>
          <w:tcPr>
            <w:tcW w:w="1273" w:type="dxa"/>
            <w:shd w:val="clear" w:color="auto" w:fill="FFFFFF"/>
            <w:vAlign w:val="bottom"/>
          </w:tcPr>
          <w:p w14:paraId="6BC40271" w14:textId="77777777" w:rsidR="00E1280B" w:rsidRDefault="00E1280B" w:rsidP="00DA385A">
            <w:pPr>
              <w:pStyle w:val="CETBodytext"/>
              <w:ind w:right="-1"/>
              <w:jc w:val="center"/>
            </w:pPr>
            <w:r>
              <w:t>0.</w:t>
            </w:r>
            <w:r w:rsidRPr="00CE02E1">
              <w:t>77</w:t>
            </w:r>
            <w:r>
              <w:t xml:space="preserve"> </w:t>
            </w:r>
            <w:r w:rsidRPr="00F15D39">
              <w:t>± 0</w:t>
            </w:r>
            <w:r>
              <w:t>.09</w:t>
            </w:r>
          </w:p>
        </w:tc>
        <w:tc>
          <w:tcPr>
            <w:tcW w:w="1417" w:type="dxa"/>
            <w:shd w:val="clear" w:color="auto" w:fill="FFFFFF"/>
            <w:vAlign w:val="bottom"/>
          </w:tcPr>
          <w:p w14:paraId="599EA13C" w14:textId="77777777" w:rsidR="00E1280B" w:rsidRDefault="00E1280B" w:rsidP="00DA385A">
            <w:pPr>
              <w:pStyle w:val="CETBodytext"/>
              <w:ind w:right="-1"/>
              <w:jc w:val="center"/>
            </w:pPr>
            <w:r w:rsidRPr="00CE02E1">
              <w:t>13.76</w:t>
            </w:r>
            <w:r>
              <w:t xml:space="preserve"> </w:t>
            </w:r>
            <w:r w:rsidRPr="00F15D39">
              <w:t>±</w:t>
            </w:r>
            <w:r>
              <w:t xml:space="preserve"> 1.63</w:t>
            </w:r>
          </w:p>
        </w:tc>
      </w:tr>
      <w:tr w:rsidR="00E1280B" w:rsidRPr="00B57B36" w14:paraId="5421D7F7" w14:textId="77777777" w:rsidTr="00B1537E">
        <w:tc>
          <w:tcPr>
            <w:tcW w:w="2551" w:type="dxa"/>
            <w:shd w:val="clear" w:color="auto" w:fill="FFFFFF"/>
          </w:tcPr>
          <w:p w14:paraId="4B6D2B9C" w14:textId="77777777" w:rsidR="00E1280B" w:rsidRPr="00B57B36" w:rsidRDefault="00E1280B" w:rsidP="00DA385A">
            <w:pPr>
              <w:pStyle w:val="CETBodytext"/>
              <w:ind w:right="-1"/>
              <w:jc w:val="left"/>
              <w:rPr>
                <w:rFonts w:cs="Arial"/>
                <w:szCs w:val="18"/>
                <w:lang w:val="en-GB"/>
              </w:rPr>
            </w:pPr>
            <w:r>
              <w:t xml:space="preserve">Cellulose (% on </w:t>
            </w:r>
            <w:proofErr w:type="spellStart"/>
            <w:r>
              <w:t>dw</w:t>
            </w:r>
            <w:proofErr w:type="spellEnd"/>
            <w:r>
              <w:t>)</w:t>
            </w:r>
          </w:p>
        </w:tc>
        <w:tc>
          <w:tcPr>
            <w:tcW w:w="1417" w:type="dxa"/>
            <w:tcBorders>
              <w:top w:val="nil"/>
              <w:left w:val="nil"/>
              <w:bottom w:val="nil"/>
              <w:right w:val="nil"/>
            </w:tcBorders>
            <w:shd w:val="clear" w:color="auto" w:fill="auto"/>
            <w:vAlign w:val="bottom"/>
          </w:tcPr>
          <w:p w14:paraId="362ECC2D" w14:textId="77777777" w:rsidR="00E1280B" w:rsidRDefault="00E1280B" w:rsidP="00DA385A">
            <w:pPr>
              <w:pStyle w:val="CETBodytext"/>
              <w:ind w:right="-1"/>
              <w:jc w:val="center"/>
            </w:pPr>
            <w:r w:rsidRPr="00CE02E1">
              <w:t>39.96</w:t>
            </w:r>
            <w:r>
              <w:t xml:space="preserve"> </w:t>
            </w:r>
            <w:r w:rsidRPr="00F15D39">
              <w:t>±</w:t>
            </w:r>
            <w:r>
              <w:t xml:space="preserve"> 2.72</w:t>
            </w:r>
          </w:p>
        </w:tc>
        <w:tc>
          <w:tcPr>
            <w:tcW w:w="1561" w:type="dxa"/>
            <w:shd w:val="clear" w:color="auto" w:fill="FFFFFF"/>
            <w:vAlign w:val="bottom"/>
          </w:tcPr>
          <w:p w14:paraId="3C5B9F48" w14:textId="77777777" w:rsidR="00E1280B" w:rsidRPr="00F15D39" w:rsidRDefault="00E1280B" w:rsidP="00DA385A">
            <w:pPr>
              <w:pStyle w:val="CETBodytext"/>
              <w:ind w:right="-1"/>
              <w:jc w:val="center"/>
            </w:pPr>
            <w:r w:rsidRPr="00CE02E1">
              <w:t>105.02</w:t>
            </w:r>
            <w:r>
              <w:t xml:space="preserve"> </w:t>
            </w:r>
            <w:r w:rsidRPr="00F15D39">
              <w:t>±</w:t>
            </w:r>
            <w:r>
              <w:t xml:space="preserve"> 7.16</w:t>
            </w:r>
          </w:p>
        </w:tc>
        <w:tc>
          <w:tcPr>
            <w:tcW w:w="1273" w:type="dxa"/>
            <w:shd w:val="clear" w:color="auto" w:fill="FFFFFF"/>
            <w:vAlign w:val="bottom"/>
          </w:tcPr>
          <w:p w14:paraId="21FA6B32" w14:textId="77777777" w:rsidR="00E1280B" w:rsidRDefault="00E1280B" w:rsidP="00DA385A">
            <w:pPr>
              <w:pStyle w:val="CETBodytext"/>
              <w:ind w:right="-1"/>
              <w:jc w:val="center"/>
            </w:pPr>
            <w:r w:rsidRPr="00CE02E1">
              <w:t>61</w:t>
            </w:r>
            <w:r>
              <w:t xml:space="preserve">.23 </w:t>
            </w:r>
            <w:r w:rsidRPr="00F15D39">
              <w:t xml:space="preserve">± </w:t>
            </w:r>
            <w:r>
              <w:t>3.59</w:t>
            </w:r>
          </w:p>
        </w:tc>
        <w:tc>
          <w:tcPr>
            <w:tcW w:w="1417" w:type="dxa"/>
            <w:shd w:val="clear" w:color="auto" w:fill="FFFFFF"/>
            <w:vAlign w:val="bottom"/>
          </w:tcPr>
          <w:p w14:paraId="1EEF0F12" w14:textId="77777777" w:rsidR="00E1280B" w:rsidRDefault="00E1280B" w:rsidP="00DA385A">
            <w:pPr>
              <w:pStyle w:val="CETBodytext"/>
              <w:ind w:right="-1"/>
              <w:jc w:val="center"/>
            </w:pPr>
            <w:r w:rsidRPr="00CE02E1">
              <w:t>116.64</w:t>
            </w:r>
            <w:r>
              <w:t xml:space="preserve"> </w:t>
            </w:r>
            <w:r w:rsidRPr="00F15D39">
              <w:t>±</w:t>
            </w:r>
            <w:r>
              <w:t xml:space="preserve"> 6.84</w:t>
            </w:r>
          </w:p>
        </w:tc>
      </w:tr>
      <w:tr w:rsidR="00E1280B" w:rsidRPr="00B57B36" w14:paraId="1765F77A" w14:textId="77777777" w:rsidTr="00B1537E">
        <w:tc>
          <w:tcPr>
            <w:tcW w:w="2551" w:type="dxa"/>
            <w:shd w:val="clear" w:color="auto" w:fill="FFFFFF"/>
          </w:tcPr>
          <w:p w14:paraId="316701F0" w14:textId="77777777" w:rsidR="00E1280B" w:rsidRPr="00B57B36" w:rsidRDefault="00E1280B" w:rsidP="00DA385A">
            <w:pPr>
              <w:pStyle w:val="CETBodytext"/>
              <w:ind w:right="-1"/>
              <w:jc w:val="left"/>
              <w:rPr>
                <w:rFonts w:cs="Arial"/>
                <w:szCs w:val="18"/>
                <w:lang w:val="en-GB"/>
              </w:rPr>
            </w:pPr>
            <w:r>
              <w:t xml:space="preserve">Hemicellulose (% on </w:t>
            </w:r>
            <w:proofErr w:type="spellStart"/>
            <w:r>
              <w:t>dw</w:t>
            </w:r>
            <w:proofErr w:type="spellEnd"/>
            <w:r>
              <w:t>)</w:t>
            </w:r>
          </w:p>
        </w:tc>
        <w:tc>
          <w:tcPr>
            <w:tcW w:w="1417" w:type="dxa"/>
            <w:shd w:val="clear" w:color="auto" w:fill="FFFFFF"/>
            <w:vAlign w:val="bottom"/>
          </w:tcPr>
          <w:p w14:paraId="57C21A8B" w14:textId="77777777" w:rsidR="00E1280B" w:rsidRDefault="00E1280B" w:rsidP="00DA385A">
            <w:pPr>
              <w:pStyle w:val="CETBodytext"/>
              <w:ind w:right="-1"/>
              <w:jc w:val="center"/>
            </w:pPr>
            <w:r w:rsidRPr="00CE02E1">
              <w:t>1.98</w:t>
            </w:r>
            <w:r>
              <w:t xml:space="preserve"> </w:t>
            </w:r>
            <w:r w:rsidRPr="00F15D39">
              <w:t>±</w:t>
            </w:r>
            <w:r>
              <w:t xml:space="preserve"> 0.12</w:t>
            </w:r>
          </w:p>
        </w:tc>
        <w:tc>
          <w:tcPr>
            <w:tcW w:w="1561" w:type="dxa"/>
            <w:shd w:val="clear" w:color="auto" w:fill="FFFFFF"/>
            <w:vAlign w:val="bottom"/>
          </w:tcPr>
          <w:p w14:paraId="4C8135D7" w14:textId="77777777" w:rsidR="00E1280B" w:rsidRPr="00F15D39" w:rsidRDefault="00E1280B" w:rsidP="00DA385A">
            <w:pPr>
              <w:pStyle w:val="CETBodytext"/>
              <w:ind w:right="-1"/>
              <w:jc w:val="center"/>
            </w:pPr>
            <w:r w:rsidRPr="00CE02E1">
              <w:t>7.87</w:t>
            </w:r>
            <w:r>
              <w:t xml:space="preserve"> </w:t>
            </w:r>
            <w:r w:rsidRPr="00F15D39">
              <w:t xml:space="preserve">± </w:t>
            </w:r>
            <w:r>
              <w:t>0.49</w:t>
            </w:r>
          </w:p>
        </w:tc>
        <w:tc>
          <w:tcPr>
            <w:tcW w:w="1273" w:type="dxa"/>
            <w:shd w:val="clear" w:color="auto" w:fill="FFFFFF"/>
            <w:vAlign w:val="bottom"/>
          </w:tcPr>
          <w:p w14:paraId="13FB4FCD" w14:textId="77777777" w:rsidR="00E1280B" w:rsidRDefault="00E1280B" w:rsidP="00DA385A">
            <w:pPr>
              <w:pStyle w:val="CETBodytext"/>
              <w:ind w:right="-1"/>
              <w:jc w:val="center"/>
            </w:pPr>
            <w:r>
              <w:t>0.</w:t>
            </w:r>
            <w:r w:rsidRPr="00CE02E1">
              <w:t>72</w:t>
            </w:r>
            <w:r>
              <w:t xml:space="preserve"> </w:t>
            </w:r>
            <w:r w:rsidRPr="00F15D39">
              <w:t xml:space="preserve">± </w:t>
            </w:r>
            <w:r>
              <w:t>0.09</w:t>
            </w:r>
          </w:p>
        </w:tc>
        <w:tc>
          <w:tcPr>
            <w:tcW w:w="1417" w:type="dxa"/>
            <w:shd w:val="clear" w:color="auto" w:fill="FFFFFF"/>
            <w:vAlign w:val="bottom"/>
          </w:tcPr>
          <w:p w14:paraId="2B312505" w14:textId="77777777" w:rsidR="00E1280B" w:rsidRDefault="00E1280B" w:rsidP="00DA385A">
            <w:pPr>
              <w:pStyle w:val="CETBodytext"/>
              <w:ind w:right="-1"/>
              <w:jc w:val="center"/>
            </w:pPr>
            <w:r w:rsidRPr="00CE02E1">
              <w:t>2.07</w:t>
            </w:r>
            <w:r>
              <w:t xml:space="preserve"> </w:t>
            </w:r>
            <w:r w:rsidRPr="00F15D39">
              <w:t>±</w:t>
            </w:r>
            <w:r>
              <w:t>0.26</w:t>
            </w:r>
          </w:p>
        </w:tc>
      </w:tr>
    </w:tbl>
    <w:p w14:paraId="3DD3C1D0" w14:textId="77777777" w:rsidR="00E1280B" w:rsidRDefault="00E1280B" w:rsidP="00E1280B">
      <w:pPr>
        <w:pStyle w:val="CETBodytext"/>
        <w:rPr>
          <w:lang w:val="en-GB"/>
        </w:rPr>
      </w:pPr>
    </w:p>
    <w:p w14:paraId="6C459C93" w14:textId="1090C0BA" w:rsidR="00E94EEA" w:rsidRDefault="000D29A9" w:rsidP="00600535">
      <w:pPr>
        <w:pStyle w:val="CETBodytext"/>
        <w:rPr>
          <w:lang w:val="en-GB"/>
        </w:rPr>
      </w:pPr>
      <w:r w:rsidRPr="009E23AF">
        <w:rPr>
          <w:lang w:val="en-GB"/>
        </w:rPr>
        <w:t xml:space="preserve">These considerations are in agreement with what has been reported by </w:t>
      </w:r>
      <w:r w:rsidRPr="007E671E">
        <w:t>Wunna</w:t>
      </w:r>
      <w:r w:rsidRPr="009E23AF">
        <w:rPr>
          <w:lang w:val="en-GB"/>
        </w:rPr>
        <w:t xml:space="preserve"> et al.</w:t>
      </w:r>
      <w:r>
        <w:rPr>
          <w:lang w:val="en-GB"/>
        </w:rPr>
        <w:t xml:space="preserve"> (2017)</w:t>
      </w:r>
      <w:r w:rsidR="002F2121">
        <w:rPr>
          <w:lang w:val="en-GB"/>
        </w:rPr>
        <w:t xml:space="preserve"> that </w:t>
      </w:r>
      <w:r w:rsidR="001566AD">
        <w:rPr>
          <w:lang w:val="en-GB"/>
        </w:rPr>
        <w:t xml:space="preserve">investigated, </w:t>
      </w:r>
      <w:r w:rsidR="001566AD" w:rsidRPr="00F13EDE">
        <w:rPr>
          <w:lang w:val="en-GB"/>
        </w:rPr>
        <w:t>although</w:t>
      </w:r>
      <w:r w:rsidR="001566AD" w:rsidRPr="009E23AF">
        <w:rPr>
          <w:lang w:val="en-GB"/>
        </w:rPr>
        <w:t xml:space="preserve"> on a different </w:t>
      </w:r>
      <w:r w:rsidR="001566AD">
        <w:rPr>
          <w:lang w:val="en-GB"/>
        </w:rPr>
        <w:t>raw material</w:t>
      </w:r>
      <w:r w:rsidR="001566AD">
        <w:rPr>
          <w:lang w:val="en-GB"/>
        </w:rPr>
        <w:t>,</w:t>
      </w:r>
      <w:r w:rsidR="001B0729">
        <w:rPr>
          <w:lang w:val="en-GB"/>
        </w:rPr>
        <w:t xml:space="preserve"> the effect of alkaline pretreatment </w:t>
      </w:r>
      <w:r w:rsidR="001566AD">
        <w:rPr>
          <w:lang w:val="en-GB"/>
        </w:rPr>
        <w:t>highlighting the</w:t>
      </w:r>
      <w:r w:rsidRPr="009E23AF">
        <w:rPr>
          <w:lang w:val="en-GB"/>
        </w:rPr>
        <w:t xml:space="preserve"> maximum degradation of lignin at </w:t>
      </w:r>
      <w:r>
        <w:rPr>
          <w:lang w:val="en-GB"/>
        </w:rPr>
        <w:t xml:space="preserve">NaOH </w:t>
      </w:r>
      <w:r w:rsidRPr="009E23AF">
        <w:rPr>
          <w:lang w:val="en-GB"/>
        </w:rPr>
        <w:t>concentrations of 2.0% w/v.</w:t>
      </w:r>
      <w:r w:rsidR="00712FBC">
        <w:rPr>
          <w:lang w:val="en-GB"/>
        </w:rPr>
        <w:t xml:space="preserve"> </w:t>
      </w:r>
      <w:r w:rsidR="005E3C0B">
        <w:rPr>
          <w:lang w:val="en-GB"/>
        </w:rPr>
        <w:t xml:space="preserve">Regarding cellulose, </w:t>
      </w:r>
      <w:r w:rsidR="009D421A" w:rsidRPr="009D421A">
        <w:rPr>
          <w:lang w:val="en-GB"/>
        </w:rPr>
        <w:t>its content increases up to a maximum of about 61% w/w during the alkaline step using 1.5% w/v of NaOH</w:t>
      </w:r>
      <w:r w:rsidR="009C2C7A" w:rsidRPr="009C2C7A">
        <w:rPr>
          <w:lang w:val="en-GB"/>
        </w:rPr>
        <w:t>. Cellulose recovery remains about 100</w:t>
      </w:r>
      <w:r w:rsidR="0064242D">
        <w:rPr>
          <w:lang w:val="en-GB"/>
        </w:rPr>
        <w:t xml:space="preserve">% </w:t>
      </w:r>
      <w:r w:rsidR="009C2C7A" w:rsidRPr="009C2C7A">
        <w:rPr>
          <w:lang w:val="en-GB"/>
        </w:rPr>
        <w:t>for all cases at different NaOH concentrations</w:t>
      </w:r>
      <w:r w:rsidR="00BB096B">
        <w:rPr>
          <w:lang w:val="en-GB"/>
        </w:rPr>
        <w:t xml:space="preserve"> al</w:t>
      </w:r>
      <w:r w:rsidR="00BB096B" w:rsidRPr="00BB096B">
        <w:rPr>
          <w:lang w:val="en-GB"/>
        </w:rPr>
        <w:t>though it is interesting to note that cellulose recovery begins to drop slightly as the NaOH concentration increases.</w:t>
      </w:r>
      <w:r w:rsidR="00046929">
        <w:rPr>
          <w:lang w:val="en-GB"/>
        </w:rPr>
        <w:t xml:space="preserve"> </w:t>
      </w:r>
      <w:r w:rsidR="00076A8A" w:rsidRPr="00076A8A">
        <w:rPr>
          <w:lang w:val="en-GB"/>
        </w:rPr>
        <w:t>This may be attributed to a more severe hydrolysis, which in turn initiates the degradation of cellulose</w:t>
      </w:r>
      <w:r w:rsidR="00046929" w:rsidRPr="00046929">
        <w:rPr>
          <w:lang w:val="en-GB"/>
        </w:rPr>
        <w:t>.</w:t>
      </w:r>
      <w:r w:rsidR="00E6070D">
        <w:rPr>
          <w:lang w:val="en-GB"/>
        </w:rPr>
        <w:t xml:space="preserve"> </w:t>
      </w:r>
      <w:r w:rsidR="00E94EEA" w:rsidRPr="00E94EEA">
        <w:rPr>
          <w:lang w:val="en-GB"/>
        </w:rPr>
        <w:t>It was then decided to carry out the same treatments, varying only the temperature (i.e. 60°), to investigate the effect</w:t>
      </w:r>
      <w:r w:rsidR="00E94EEA">
        <w:rPr>
          <w:lang w:val="en-GB"/>
        </w:rPr>
        <w:t xml:space="preserve"> of the temperature variation on cellulose isolation</w:t>
      </w:r>
      <w:r w:rsidR="00E94EEA" w:rsidRPr="00E94EEA">
        <w:rPr>
          <w:lang w:val="en-GB"/>
        </w:rPr>
        <w:t xml:space="preserve">. The results are shown in Table 6, Table 7, </w:t>
      </w:r>
      <w:r w:rsidR="001A7465">
        <w:rPr>
          <w:lang w:val="en-GB"/>
        </w:rPr>
        <w:t xml:space="preserve">and </w:t>
      </w:r>
      <w:r w:rsidR="00E94EEA" w:rsidRPr="00E94EEA">
        <w:rPr>
          <w:lang w:val="en-GB"/>
        </w:rPr>
        <w:t xml:space="preserve">Table 8 and reflect what was found for the </w:t>
      </w:r>
      <w:r w:rsidR="005C7466">
        <w:rPr>
          <w:lang w:val="en-GB"/>
        </w:rPr>
        <w:t xml:space="preserve">alkaline </w:t>
      </w:r>
      <w:r w:rsidR="00E94EEA" w:rsidRPr="00E94EEA">
        <w:rPr>
          <w:lang w:val="en-GB"/>
        </w:rPr>
        <w:t xml:space="preserve">hydrolysis treatment at </w:t>
      </w:r>
      <w:r w:rsidR="005C7466">
        <w:rPr>
          <w:lang w:val="en-GB"/>
        </w:rPr>
        <w:t>ambient temperature</w:t>
      </w:r>
      <w:r w:rsidR="00E94EEA" w:rsidRPr="00E94EEA">
        <w:rPr>
          <w:lang w:val="en-GB"/>
        </w:rPr>
        <w:t>.</w:t>
      </w:r>
      <w:r w:rsidR="00F32ADB">
        <w:rPr>
          <w:lang w:val="en-GB"/>
        </w:rPr>
        <w:t xml:space="preserve"> Indeed</w:t>
      </w:r>
      <w:r w:rsidR="00F32ADB" w:rsidRPr="00F32ADB">
        <w:rPr>
          <w:lang w:val="en-GB"/>
        </w:rPr>
        <w:t>, the hemicellulose is almost completely removed, while the lignin is degraded to a maximum of about 85% by alkaline hydrolysis treatment with 1.5% NaOH, reaching</w:t>
      </w:r>
      <w:r w:rsidR="00F32ADB">
        <w:rPr>
          <w:lang w:val="en-GB"/>
        </w:rPr>
        <w:t>,</w:t>
      </w:r>
      <w:r w:rsidR="00F32ADB" w:rsidRPr="00F32ADB">
        <w:rPr>
          <w:lang w:val="en-GB"/>
        </w:rPr>
        <w:t xml:space="preserve"> after bleaching</w:t>
      </w:r>
      <w:r w:rsidR="00F32ADB">
        <w:rPr>
          <w:lang w:val="en-GB"/>
        </w:rPr>
        <w:t>,</w:t>
      </w:r>
      <w:r w:rsidR="00F32ADB" w:rsidRPr="00F32ADB">
        <w:rPr>
          <w:lang w:val="en-GB"/>
        </w:rPr>
        <w:t xml:space="preserve"> a lignin content in the residual solid of about 8% w/w.</w:t>
      </w:r>
      <w:r w:rsidR="0040037F">
        <w:rPr>
          <w:lang w:val="en-GB"/>
        </w:rPr>
        <w:t xml:space="preserve"> </w:t>
      </w:r>
      <w:r w:rsidR="00332C94" w:rsidRPr="00332C94">
        <w:rPr>
          <w:lang w:val="en-GB"/>
        </w:rPr>
        <w:t xml:space="preserve">Regarding cellulose, </w:t>
      </w:r>
      <w:r w:rsidR="00332C94">
        <w:rPr>
          <w:lang w:val="en-GB"/>
        </w:rPr>
        <w:t xml:space="preserve">its </w:t>
      </w:r>
      <w:r w:rsidR="00332C94" w:rsidRPr="00332C94">
        <w:rPr>
          <w:lang w:val="en-GB"/>
        </w:rPr>
        <w:t xml:space="preserve">total recovery can again be found, with a </w:t>
      </w:r>
      <w:r w:rsidR="00332C94" w:rsidRPr="00332C94">
        <w:rPr>
          <w:lang w:val="en-GB"/>
        </w:rPr>
        <w:lastRenderedPageBreak/>
        <w:t>fraction of</w:t>
      </w:r>
      <w:r w:rsidR="00332C94">
        <w:rPr>
          <w:lang w:val="en-GB"/>
        </w:rPr>
        <w:t xml:space="preserve"> about</w:t>
      </w:r>
      <w:r w:rsidR="00332C94" w:rsidRPr="00332C94">
        <w:rPr>
          <w:lang w:val="en-GB"/>
        </w:rPr>
        <w:t xml:space="preserve"> 55</w:t>
      </w:r>
      <w:r w:rsidR="00332C94">
        <w:rPr>
          <w:lang w:val="en-GB"/>
        </w:rPr>
        <w:t>%</w:t>
      </w:r>
      <w:r w:rsidR="00332C94" w:rsidRPr="00332C94">
        <w:rPr>
          <w:lang w:val="en-GB"/>
        </w:rPr>
        <w:t xml:space="preserve"> w/w for all the various cases </w:t>
      </w:r>
      <w:r w:rsidR="00692926">
        <w:rPr>
          <w:lang w:val="en-GB"/>
        </w:rPr>
        <w:t>in</w:t>
      </w:r>
      <w:r w:rsidR="00332C94" w:rsidRPr="00332C94">
        <w:rPr>
          <w:lang w:val="en-GB"/>
        </w:rPr>
        <w:t xml:space="preserve"> the final solid</w:t>
      </w:r>
      <w:r w:rsidR="00692926">
        <w:rPr>
          <w:lang w:val="en-GB"/>
        </w:rPr>
        <w:t xml:space="preserve"> recovered</w:t>
      </w:r>
      <w:r w:rsidR="00332C94" w:rsidRPr="00332C94">
        <w:rPr>
          <w:lang w:val="en-GB"/>
        </w:rPr>
        <w:t>. Again, a slight reduction in cellulose recovery can be found through treatment with higher NaOH content.</w:t>
      </w:r>
    </w:p>
    <w:p w14:paraId="68177568" w14:textId="4216C329" w:rsidR="009D37AB" w:rsidRDefault="00FA01AC" w:rsidP="00FA01AC">
      <w:pPr>
        <w:pStyle w:val="CETTabletitle"/>
      </w:pPr>
      <w:r w:rsidRPr="00B57B36">
        <w:t xml:space="preserve">Table </w:t>
      </w:r>
      <w:r>
        <w:t>6</w:t>
      </w:r>
      <w:r w:rsidRPr="00B57B36">
        <w:t xml:space="preserve">: </w:t>
      </w:r>
      <w:r w:rsidR="00FC4DAD">
        <w:t>Composition of the solid residues and recovery percentage after alkaline hydrolysis (16% w/v NaOH, 60°C) and bleaching.</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551"/>
        <w:gridCol w:w="1417"/>
        <w:gridCol w:w="1561"/>
        <w:gridCol w:w="1273"/>
        <w:gridCol w:w="1417"/>
      </w:tblGrid>
      <w:tr w:rsidR="009D37AB" w:rsidRPr="00B57B36" w14:paraId="30B54945" w14:textId="77777777" w:rsidTr="00B1537E">
        <w:tc>
          <w:tcPr>
            <w:tcW w:w="2551" w:type="dxa"/>
            <w:tcBorders>
              <w:top w:val="single" w:sz="12" w:space="0" w:color="008000"/>
              <w:bottom w:val="single" w:sz="6" w:space="0" w:color="008000"/>
            </w:tcBorders>
            <w:shd w:val="clear" w:color="auto" w:fill="FFFFFF"/>
          </w:tcPr>
          <w:p w14:paraId="58B8D3F8" w14:textId="77777777" w:rsidR="009D37AB" w:rsidRPr="00B57B36" w:rsidRDefault="009D37AB" w:rsidP="00C94EAC">
            <w:pPr>
              <w:pStyle w:val="CETBodytext"/>
              <w:jc w:val="center"/>
              <w:rPr>
                <w:lang w:val="en-GB"/>
              </w:rPr>
            </w:pPr>
          </w:p>
        </w:tc>
        <w:tc>
          <w:tcPr>
            <w:tcW w:w="2978" w:type="dxa"/>
            <w:gridSpan w:val="2"/>
            <w:tcBorders>
              <w:top w:val="single" w:sz="12" w:space="0" w:color="008000"/>
              <w:bottom w:val="single" w:sz="6" w:space="0" w:color="008000"/>
            </w:tcBorders>
            <w:shd w:val="clear" w:color="auto" w:fill="FFFFFF"/>
          </w:tcPr>
          <w:p w14:paraId="45A8B772" w14:textId="5A0218FF" w:rsidR="009D37AB" w:rsidRDefault="009D37AB" w:rsidP="00C94EAC">
            <w:pPr>
              <w:pStyle w:val="CETBodytext"/>
              <w:jc w:val="center"/>
              <w:rPr>
                <w:lang w:val="en-GB"/>
              </w:rPr>
            </w:pPr>
            <w:r>
              <w:rPr>
                <w:lang w:val="en-GB"/>
              </w:rPr>
              <w:t>Alkaline Hydrolysis (16%</w:t>
            </w:r>
            <w:r w:rsidR="00B1537E">
              <w:rPr>
                <w:lang w:val="en-GB"/>
              </w:rPr>
              <w:t xml:space="preserve"> w/v</w:t>
            </w:r>
            <w:r>
              <w:rPr>
                <w:lang w:val="en-GB"/>
              </w:rPr>
              <w:t xml:space="preserve"> NaOH)</w:t>
            </w:r>
          </w:p>
        </w:tc>
        <w:tc>
          <w:tcPr>
            <w:tcW w:w="2690" w:type="dxa"/>
            <w:gridSpan w:val="2"/>
            <w:tcBorders>
              <w:top w:val="single" w:sz="12" w:space="0" w:color="008000"/>
              <w:bottom w:val="single" w:sz="6" w:space="0" w:color="008000"/>
            </w:tcBorders>
            <w:shd w:val="clear" w:color="auto" w:fill="FFFFFF"/>
          </w:tcPr>
          <w:p w14:paraId="74926EE5" w14:textId="77777777" w:rsidR="009D37AB" w:rsidRDefault="009D37AB" w:rsidP="00C94EAC">
            <w:pPr>
              <w:pStyle w:val="CETBodytext"/>
              <w:jc w:val="center"/>
              <w:rPr>
                <w:lang w:val="en-GB"/>
              </w:rPr>
            </w:pPr>
            <w:r>
              <w:rPr>
                <w:lang w:val="en-GB"/>
              </w:rPr>
              <w:t>Bleaching</w:t>
            </w:r>
          </w:p>
        </w:tc>
      </w:tr>
      <w:tr w:rsidR="009D37AB" w:rsidRPr="00B57B36" w14:paraId="791A2B41" w14:textId="77777777" w:rsidTr="00B1537E">
        <w:tc>
          <w:tcPr>
            <w:tcW w:w="2551" w:type="dxa"/>
            <w:shd w:val="clear" w:color="auto" w:fill="FFFFFF"/>
          </w:tcPr>
          <w:p w14:paraId="35C89C22" w14:textId="77777777" w:rsidR="009D37AB" w:rsidRPr="00B57B36" w:rsidRDefault="009D37AB" w:rsidP="00C94EAC">
            <w:pPr>
              <w:pStyle w:val="CETBodytext"/>
              <w:ind w:right="-1"/>
              <w:jc w:val="left"/>
              <w:rPr>
                <w:rFonts w:cs="Arial"/>
                <w:szCs w:val="18"/>
                <w:lang w:val="en-GB"/>
              </w:rPr>
            </w:pPr>
          </w:p>
        </w:tc>
        <w:tc>
          <w:tcPr>
            <w:tcW w:w="1417" w:type="dxa"/>
            <w:tcBorders>
              <w:top w:val="nil"/>
              <w:left w:val="nil"/>
              <w:bottom w:val="nil"/>
              <w:right w:val="nil"/>
            </w:tcBorders>
            <w:shd w:val="clear" w:color="auto" w:fill="auto"/>
          </w:tcPr>
          <w:p w14:paraId="6C1A8370" w14:textId="77777777" w:rsidR="009D37AB" w:rsidRDefault="009D37AB" w:rsidP="00C94EAC">
            <w:pPr>
              <w:pStyle w:val="CETBodytext"/>
              <w:ind w:right="-1"/>
              <w:jc w:val="center"/>
              <w:rPr>
                <w:lang w:val="en-GB"/>
              </w:rPr>
            </w:pPr>
            <w:r>
              <w:rPr>
                <w:lang w:val="en-GB"/>
              </w:rPr>
              <w:t xml:space="preserve">Composition </w:t>
            </w:r>
          </w:p>
          <w:p w14:paraId="50315DA4" w14:textId="77777777" w:rsidR="009D37AB" w:rsidRDefault="009D37AB" w:rsidP="00C94EAC">
            <w:pPr>
              <w:pStyle w:val="CETBodytext"/>
              <w:ind w:right="-1"/>
              <w:jc w:val="center"/>
            </w:pPr>
            <w:r>
              <w:rPr>
                <w:lang w:val="en-GB"/>
              </w:rPr>
              <w:t xml:space="preserve">(% on </w:t>
            </w:r>
            <w:proofErr w:type="spellStart"/>
            <w:r>
              <w:rPr>
                <w:lang w:val="en-GB"/>
              </w:rPr>
              <w:t>dw</w:t>
            </w:r>
            <w:proofErr w:type="spellEnd"/>
            <w:r>
              <w:rPr>
                <w:lang w:val="en-GB"/>
              </w:rPr>
              <w:t>)</w:t>
            </w:r>
          </w:p>
        </w:tc>
        <w:tc>
          <w:tcPr>
            <w:tcW w:w="1561" w:type="dxa"/>
            <w:shd w:val="clear" w:color="auto" w:fill="FFFFFF"/>
          </w:tcPr>
          <w:p w14:paraId="10E24375" w14:textId="77777777" w:rsidR="009D37AB" w:rsidRPr="00F15D39" w:rsidRDefault="009D37AB" w:rsidP="00C94EAC">
            <w:pPr>
              <w:pStyle w:val="CETBodytext"/>
              <w:ind w:right="-1"/>
              <w:jc w:val="center"/>
            </w:pPr>
            <w:r>
              <w:rPr>
                <w:lang w:val="en-GB"/>
              </w:rPr>
              <w:t>Recovery (%)</w:t>
            </w:r>
          </w:p>
        </w:tc>
        <w:tc>
          <w:tcPr>
            <w:tcW w:w="1273" w:type="dxa"/>
            <w:shd w:val="clear" w:color="auto" w:fill="FFFFFF"/>
          </w:tcPr>
          <w:p w14:paraId="5342A20A" w14:textId="77777777" w:rsidR="009D37AB" w:rsidRDefault="009D37AB" w:rsidP="00C94EAC">
            <w:pPr>
              <w:pStyle w:val="CETBodytext"/>
              <w:ind w:right="-1"/>
              <w:jc w:val="center"/>
              <w:rPr>
                <w:lang w:val="en-GB"/>
              </w:rPr>
            </w:pPr>
            <w:r>
              <w:rPr>
                <w:lang w:val="en-GB"/>
              </w:rPr>
              <w:t xml:space="preserve">Composition </w:t>
            </w:r>
          </w:p>
          <w:p w14:paraId="3E4F3EDD" w14:textId="77777777" w:rsidR="009D37AB" w:rsidRDefault="009D37AB" w:rsidP="00C94EAC">
            <w:pPr>
              <w:pStyle w:val="CETBodytext"/>
              <w:ind w:right="-1"/>
              <w:jc w:val="center"/>
            </w:pPr>
            <w:r>
              <w:rPr>
                <w:lang w:val="en-GB"/>
              </w:rPr>
              <w:t xml:space="preserve">(% on </w:t>
            </w:r>
            <w:proofErr w:type="spellStart"/>
            <w:r>
              <w:rPr>
                <w:lang w:val="en-GB"/>
              </w:rPr>
              <w:t>dw</w:t>
            </w:r>
            <w:proofErr w:type="spellEnd"/>
            <w:r>
              <w:rPr>
                <w:lang w:val="en-GB"/>
              </w:rPr>
              <w:t>)</w:t>
            </w:r>
          </w:p>
        </w:tc>
        <w:tc>
          <w:tcPr>
            <w:tcW w:w="1417" w:type="dxa"/>
            <w:shd w:val="clear" w:color="auto" w:fill="FFFFFF"/>
          </w:tcPr>
          <w:p w14:paraId="012B66FA" w14:textId="77777777" w:rsidR="009D37AB" w:rsidRDefault="009D37AB" w:rsidP="00C94EAC">
            <w:pPr>
              <w:pStyle w:val="CETBodytext"/>
              <w:ind w:right="-1"/>
              <w:jc w:val="center"/>
            </w:pPr>
            <w:r>
              <w:rPr>
                <w:lang w:val="en-GB"/>
              </w:rPr>
              <w:t>Recovery (%)</w:t>
            </w:r>
          </w:p>
        </w:tc>
      </w:tr>
      <w:tr w:rsidR="009D37AB" w:rsidRPr="00B57B36" w14:paraId="748F8BD1" w14:textId="77777777" w:rsidTr="00B1537E">
        <w:tc>
          <w:tcPr>
            <w:tcW w:w="2551" w:type="dxa"/>
            <w:shd w:val="clear" w:color="auto" w:fill="FFFFFF"/>
          </w:tcPr>
          <w:p w14:paraId="7BFA63C8" w14:textId="77777777" w:rsidR="009D37AB" w:rsidRDefault="009D37AB" w:rsidP="00C94EAC">
            <w:pPr>
              <w:pStyle w:val="CETBodytext"/>
              <w:ind w:right="-1"/>
              <w:jc w:val="left"/>
            </w:pPr>
            <w:r>
              <w:t xml:space="preserve">Acid insoluble lignin (% on </w:t>
            </w:r>
            <w:proofErr w:type="spellStart"/>
            <w:r>
              <w:t>dw</w:t>
            </w:r>
            <w:proofErr w:type="spellEnd"/>
            <w:r>
              <w:t>)</w:t>
            </w:r>
          </w:p>
        </w:tc>
        <w:tc>
          <w:tcPr>
            <w:tcW w:w="1417" w:type="dxa"/>
            <w:tcBorders>
              <w:top w:val="nil"/>
              <w:left w:val="nil"/>
              <w:bottom w:val="nil"/>
              <w:right w:val="nil"/>
            </w:tcBorders>
            <w:shd w:val="clear" w:color="auto" w:fill="auto"/>
            <w:vAlign w:val="bottom"/>
          </w:tcPr>
          <w:p w14:paraId="4FD2EF1C" w14:textId="344DCD87" w:rsidR="009D37AB" w:rsidRPr="00F15D39" w:rsidRDefault="00162E5B" w:rsidP="00C94EAC">
            <w:pPr>
              <w:pStyle w:val="CETBodytext"/>
              <w:ind w:right="-1"/>
              <w:jc w:val="center"/>
            </w:pPr>
            <w:r w:rsidRPr="00D45381">
              <w:t>30.98</w:t>
            </w:r>
            <w:r w:rsidR="009D37AB">
              <w:t xml:space="preserve"> </w:t>
            </w:r>
            <w:r w:rsidR="009D37AB" w:rsidRPr="00F15D39">
              <w:t xml:space="preserve">± </w:t>
            </w:r>
            <w:r w:rsidR="009D37AB">
              <w:t>1.</w:t>
            </w:r>
            <w:r>
              <w:t>76</w:t>
            </w:r>
          </w:p>
        </w:tc>
        <w:tc>
          <w:tcPr>
            <w:tcW w:w="1561" w:type="dxa"/>
            <w:shd w:val="clear" w:color="auto" w:fill="FFFFFF"/>
            <w:vAlign w:val="bottom"/>
          </w:tcPr>
          <w:p w14:paraId="6A2BDDF6" w14:textId="4068AFBD" w:rsidR="009D37AB" w:rsidRDefault="00162E5B" w:rsidP="00C94EAC">
            <w:pPr>
              <w:pStyle w:val="CETBodytext"/>
              <w:ind w:right="-1"/>
              <w:jc w:val="center"/>
            </w:pPr>
            <w:r w:rsidRPr="00D45381">
              <w:t>79.88</w:t>
            </w:r>
            <w:r w:rsidR="009D37AB">
              <w:t xml:space="preserve"> </w:t>
            </w:r>
            <w:r w:rsidR="009D37AB" w:rsidRPr="00F15D39">
              <w:t xml:space="preserve">± </w:t>
            </w:r>
            <w:r w:rsidR="009D37AB">
              <w:t>4.</w:t>
            </w:r>
            <w:r>
              <w:t>54</w:t>
            </w:r>
          </w:p>
        </w:tc>
        <w:tc>
          <w:tcPr>
            <w:tcW w:w="1273" w:type="dxa"/>
            <w:shd w:val="clear" w:color="auto" w:fill="FFFFFF"/>
            <w:vAlign w:val="bottom"/>
          </w:tcPr>
          <w:p w14:paraId="2FEF0993" w14:textId="6BBD6A39" w:rsidR="009D37AB" w:rsidRDefault="00162E5B" w:rsidP="00C94EAC">
            <w:pPr>
              <w:pStyle w:val="CETBodytext"/>
              <w:ind w:right="-1"/>
              <w:jc w:val="center"/>
            </w:pPr>
            <w:r w:rsidRPr="00D45381">
              <w:t>13.25</w:t>
            </w:r>
            <w:r w:rsidR="009D37AB">
              <w:t xml:space="preserve"> </w:t>
            </w:r>
            <w:r w:rsidR="009D37AB" w:rsidRPr="00F15D39">
              <w:t xml:space="preserve">± </w:t>
            </w:r>
            <w:r w:rsidR="009D37AB">
              <w:t>1.</w:t>
            </w:r>
            <w:r>
              <w:t>33</w:t>
            </w:r>
          </w:p>
        </w:tc>
        <w:tc>
          <w:tcPr>
            <w:tcW w:w="1417" w:type="dxa"/>
            <w:shd w:val="clear" w:color="auto" w:fill="FFFFFF"/>
            <w:vAlign w:val="bottom"/>
          </w:tcPr>
          <w:p w14:paraId="004F12C4" w14:textId="75D2F3E6" w:rsidR="009D37AB" w:rsidRDefault="00162E5B" w:rsidP="00C94EAC">
            <w:pPr>
              <w:pStyle w:val="CETBodytext"/>
              <w:ind w:right="-1"/>
              <w:jc w:val="center"/>
            </w:pPr>
            <w:r w:rsidRPr="00D45381">
              <w:t>24.86</w:t>
            </w:r>
            <w:r w:rsidR="009D37AB">
              <w:t xml:space="preserve"> </w:t>
            </w:r>
            <w:r w:rsidR="009D37AB" w:rsidRPr="00F15D39">
              <w:t xml:space="preserve">± </w:t>
            </w:r>
            <w:r w:rsidR="009D37AB">
              <w:t>2.</w:t>
            </w:r>
            <w:r>
              <w:t>49</w:t>
            </w:r>
          </w:p>
        </w:tc>
      </w:tr>
      <w:tr w:rsidR="009D37AB" w:rsidRPr="00B57B36" w14:paraId="1D9230B4" w14:textId="77777777" w:rsidTr="00B1537E">
        <w:tc>
          <w:tcPr>
            <w:tcW w:w="2551" w:type="dxa"/>
            <w:shd w:val="clear" w:color="auto" w:fill="FFFFFF"/>
          </w:tcPr>
          <w:p w14:paraId="41F3CDFC" w14:textId="77777777" w:rsidR="009D37AB" w:rsidRPr="00B57B36" w:rsidRDefault="009D37AB" w:rsidP="00C94EAC">
            <w:pPr>
              <w:pStyle w:val="CETBodytext"/>
              <w:ind w:right="-1"/>
              <w:jc w:val="left"/>
              <w:rPr>
                <w:rFonts w:cs="Arial"/>
                <w:szCs w:val="18"/>
                <w:lang w:val="en-GB"/>
              </w:rPr>
            </w:pPr>
            <w:r>
              <w:t xml:space="preserve">Acid soluble lignin (% on </w:t>
            </w:r>
            <w:proofErr w:type="spellStart"/>
            <w:r>
              <w:t>dw</w:t>
            </w:r>
            <w:proofErr w:type="spellEnd"/>
            <w:r>
              <w:t>)</w:t>
            </w:r>
          </w:p>
        </w:tc>
        <w:tc>
          <w:tcPr>
            <w:tcW w:w="1417" w:type="dxa"/>
            <w:tcBorders>
              <w:top w:val="nil"/>
              <w:left w:val="nil"/>
              <w:bottom w:val="nil"/>
              <w:right w:val="nil"/>
            </w:tcBorders>
            <w:shd w:val="clear" w:color="auto" w:fill="auto"/>
            <w:vAlign w:val="bottom"/>
          </w:tcPr>
          <w:p w14:paraId="4132048E" w14:textId="5163A240" w:rsidR="009D37AB" w:rsidRDefault="009D37AB" w:rsidP="00C94EAC">
            <w:pPr>
              <w:pStyle w:val="CETBodytext"/>
              <w:ind w:right="-1"/>
              <w:jc w:val="center"/>
            </w:pPr>
            <w:r w:rsidRPr="00D45381">
              <w:t>0.</w:t>
            </w:r>
            <w:r w:rsidR="00162E5B" w:rsidRPr="00D45381">
              <w:t>56</w:t>
            </w:r>
            <w:r>
              <w:t xml:space="preserve"> </w:t>
            </w:r>
            <w:r w:rsidRPr="00F15D39">
              <w:t>± 0</w:t>
            </w:r>
            <w:r>
              <w:t>.</w:t>
            </w:r>
            <w:r w:rsidR="00162E5B">
              <w:t>06</w:t>
            </w:r>
          </w:p>
        </w:tc>
        <w:tc>
          <w:tcPr>
            <w:tcW w:w="1561" w:type="dxa"/>
            <w:shd w:val="clear" w:color="auto" w:fill="FFFFFF"/>
            <w:vAlign w:val="bottom"/>
          </w:tcPr>
          <w:p w14:paraId="36E5846B" w14:textId="302818FD" w:rsidR="009D37AB" w:rsidRPr="00F15D39" w:rsidRDefault="00162E5B" w:rsidP="00C94EAC">
            <w:pPr>
              <w:pStyle w:val="CETBodytext"/>
              <w:ind w:right="-1"/>
              <w:jc w:val="center"/>
            </w:pPr>
            <w:r w:rsidRPr="00D45381">
              <w:t>12.88</w:t>
            </w:r>
            <w:r>
              <w:t xml:space="preserve"> </w:t>
            </w:r>
            <w:r w:rsidRPr="00F15D39">
              <w:t>±</w:t>
            </w:r>
            <w:r>
              <w:t xml:space="preserve"> 1.30</w:t>
            </w:r>
          </w:p>
        </w:tc>
        <w:tc>
          <w:tcPr>
            <w:tcW w:w="1273" w:type="dxa"/>
            <w:shd w:val="clear" w:color="auto" w:fill="FFFFFF"/>
            <w:vAlign w:val="bottom"/>
          </w:tcPr>
          <w:p w14:paraId="1E15C5A1" w14:textId="50B81082" w:rsidR="009D37AB" w:rsidRDefault="009D37AB" w:rsidP="00C94EAC">
            <w:pPr>
              <w:pStyle w:val="CETBodytext"/>
              <w:ind w:right="-1"/>
              <w:jc w:val="center"/>
            </w:pPr>
            <w:r w:rsidRPr="00D45381">
              <w:t>0.</w:t>
            </w:r>
            <w:r w:rsidR="00162E5B" w:rsidRPr="00D45381">
              <w:t>83</w:t>
            </w:r>
            <w:r>
              <w:t xml:space="preserve"> </w:t>
            </w:r>
            <w:r w:rsidRPr="00F15D39">
              <w:t>± 0</w:t>
            </w:r>
            <w:r>
              <w:t>.</w:t>
            </w:r>
            <w:r w:rsidR="00162E5B">
              <w:t>12</w:t>
            </w:r>
          </w:p>
        </w:tc>
        <w:tc>
          <w:tcPr>
            <w:tcW w:w="1417" w:type="dxa"/>
            <w:shd w:val="clear" w:color="auto" w:fill="FFFFFF"/>
            <w:vAlign w:val="bottom"/>
          </w:tcPr>
          <w:p w14:paraId="444B7346" w14:textId="788BB9BE" w:rsidR="009D37AB" w:rsidRDefault="00162E5B" w:rsidP="00C94EAC">
            <w:pPr>
              <w:pStyle w:val="CETBodytext"/>
              <w:ind w:right="-1"/>
              <w:jc w:val="center"/>
            </w:pPr>
            <w:r w:rsidRPr="00D45381">
              <w:t>13.98</w:t>
            </w:r>
            <w:r>
              <w:t xml:space="preserve"> </w:t>
            </w:r>
            <w:r w:rsidRPr="00F15D39">
              <w:t>±</w:t>
            </w:r>
            <w:r>
              <w:t xml:space="preserve"> 1.95</w:t>
            </w:r>
          </w:p>
        </w:tc>
      </w:tr>
      <w:tr w:rsidR="009D37AB" w:rsidRPr="00B57B36" w14:paraId="437C92DA" w14:textId="77777777" w:rsidTr="00B1537E">
        <w:tc>
          <w:tcPr>
            <w:tcW w:w="2551" w:type="dxa"/>
            <w:shd w:val="clear" w:color="auto" w:fill="FFFFFF"/>
          </w:tcPr>
          <w:p w14:paraId="0C632EED" w14:textId="77777777" w:rsidR="009D37AB" w:rsidRPr="00B57B36" w:rsidRDefault="009D37AB" w:rsidP="00C94EAC">
            <w:pPr>
              <w:pStyle w:val="CETBodytext"/>
              <w:ind w:right="-1"/>
              <w:jc w:val="left"/>
              <w:rPr>
                <w:rFonts w:cs="Arial"/>
                <w:szCs w:val="18"/>
                <w:lang w:val="en-GB"/>
              </w:rPr>
            </w:pPr>
            <w:r>
              <w:t xml:space="preserve">Cellulose (% on </w:t>
            </w:r>
            <w:proofErr w:type="spellStart"/>
            <w:r>
              <w:t>dw</w:t>
            </w:r>
            <w:proofErr w:type="spellEnd"/>
            <w:r>
              <w:t>)</w:t>
            </w:r>
          </w:p>
        </w:tc>
        <w:tc>
          <w:tcPr>
            <w:tcW w:w="1417" w:type="dxa"/>
            <w:tcBorders>
              <w:top w:val="nil"/>
              <w:left w:val="nil"/>
              <w:bottom w:val="nil"/>
              <w:right w:val="nil"/>
            </w:tcBorders>
            <w:shd w:val="clear" w:color="auto" w:fill="auto"/>
            <w:vAlign w:val="bottom"/>
          </w:tcPr>
          <w:p w14:paraId="540C0327" w14:textId="1BAED912" w:rsidR="009D37AB" w:rsidRDefault="00162E5B" w:rsidP="00C94EAC">
            <w:pPr>
              <w:pStyle w:val="CETBodytext"/>
              <w:ind w:right="-1"/>
              <w:jc w:val="center"/>
            </w:pPr>
            <w:r w:rsidRPr="00D45381">
              <w:t>37.24</w:t>
            </w:r>
            <w:r>
              <w:t xml:space="preserve"> </w:t>
            </w:r>
            <w:r w:rsidRPr="00F15D39">
              <w:t>±</w:t>
            </w:r>
            <w:r>
              <w:t xml:space="preserve"> 2.45</w:t>
            </w:r>
          </w:p>
        </w:tc>
        <w:tc>
          <w:tcPr>
            <w:tcW w:w="1561" w:type="dxa"/>
            <w:shd w:val="clear" w:color="auto" w:fill="FFFFFF"/>
            <w:vAlign w:val="bottom"/>
          </w:tcPr>
          <w:p w14:paraId="6BE1CCD3" w14:textId="21EAEB35" w:rsidR="009D37AB" w:rsidRPr="00F15D39" w:rsidRDefault="00162E5B" w:rsidP="00C94EAC">
            <w:pPr>
              <w:pStyle w:val="CETBodytext"/>
              <w:ind w:right="-1"/>
              <w:jc w:val="center"/>
            </w:pPr>
            <w:r w:rsidRPr="00D45381">
              <w:t>91.54</w:t>
            </w:r>
            <w:r>
              <w:t xml:space="preserve"> </w:t>
            </w:r>
            <w:r w:rsidRPr="00F15D39">
              <w:t>±</w:t>
            </w:r>
            <w:r>
              <w:t xml:space="preserve"> 6.01</w:t>
            </w:r>
          </w:p>
        </w:tc>
        <w:tc>
          <w:tcPr>
            <w:tcW w:w="1273" w:type="dxa"/>
            <w:shd w:val="clear" w:color="auto" w:fill="FFFFFF"/>
            <w:vAlign w:val="bottom"/>
          </w:tcPr>
          <w:p w14:paraId="507BBCCD" w14:textId="479BA1B0" w:rsidR="009D37AB" w:rsidRDefault="00162E5B" w:rsidP="00C94EAC">
            <w:pPr>
              <w:pStyle w:val="CETBodytext"/>
              <w:ind w:right="-1"/>
              <w:jc w:val="center"/>
            </w:pPr>
            <w:r w:rsidRPr="00D45381">
              <w:t>58.51</w:t>
            </w:r>
            <w:r w:rsidR="009D37AB">
              <w:t xml:space="preserve"> </w:t>
            </w:r>
            <w:r w:rsidR="009D37AB" w:rsidRPr="00F15D39">
              <w:t xml:space="preserve">± </w:t>
            </w:r>
            <w:r w:rsidR="009D37AB">
              <w:t>0.</w:t>
            </w:r>
            <w:r>
              <w:t>90</w:t>
            </w:r>
          </w:p>
        </w:tc>
        <w:tc>
          <w:tcPr>
            <w:tcW w:w="1417" w:type="dxa"/>
            <w:shd w:val="clear" w:color="auto" w:fill="FFFFFF"/>
            <w:vAlign w:val="bottom"/>
          </w:tcPr>
          <w:p w14:paraId="3606F1F2" w14:textId="4788F4AF" w:rsidR="009D37AB" w:rsidRDefault="00162E5B" w:rsidP="00C94EAC">
            <w:pPr>
              <w:pStyle w:val="CETBodytext"/>
              <w:ind w:right="-1"/>
              <w:jc w:val="center"/>
            </w:pPr>
            <w:r w:rsidRPr="00D45381">
              <w:t>104.67</w:t>
            </w:r>
            <w:r>
              <w:t xml:space="preserve"> </w:t>
            </w:r>
            <w:r w:rsidRPr="00F15D39">
              <w:t>±</w:t>
            </w:r>
            <w:r>
              <w:t xml:space="preserve"> 1.61</w:t>
            </w:r>
          </w:p>
        </w:tc>
      </w:tr>
      <w:tr w:rsidR="009D37AB" w:rsidRPr="00B57B36" w14:paraId="312613E6" w14:textId="77777777" w:rsidTr="00B1537E">
        <w:tc>
          <w:tcPr>
            <w:tcW w:w="2551" w:type="dxa"/>
            <w:shd w:val="clear" w:color="auto" w:fill="FFFFFF"/>
          </w:tcPr>
          <w:p w14:paraId="1D1A890B" w14:textId="77777777" w:rsidR="009D37AB" w:rsidRPr="00B57B36" w:rsidRDefault="009D37AB" w:rsidP="00C94EAC">
            <w:pPr>
              <w:pStyle w:val="CETBodytext"/>
              <w:ind w:right="-1"/>
              <w:jc w:val="left"/>
              <w:rPr>
                <w:rFonts w:cs="Arial"/>
                <w:szCs w:val="18"/>
                <w:lang w:val="en-GB"/>
              </w:rPr>
            </w:pPr>
            <w:r>
              <w:t xml:space="preserve">Hemicellulose (% on </w:t>
            </w:r>
            <w:proofErr w:type="spellStart"/>
            <w:r>
              <w:t>dw</w:t>
            </w:r>
            <w:proofErr w:type="spellEnd"/>
            <w:r>
              <w:t>)</w:t>
            </w:r>
          </w:p>
        </w:tc>
        <w:tc>
          <w:tcPr>
            <w:tcW w:w="1417" w:type="dxa"/>
            <w:shd w:val="clear" w:color="auto" w:fill="FFFFFF"/>
            <w:vAlign w:val="bottom"/>
          </w:tcPr>
          <w:p w14:paraId="1E08284A" w14:textId="7668AA88" w:rsidR="009D37AB" w:rsidRDefault="009D37AB" w:rsidP="00C94EAC">
            <w:pPr>
              <w:pStyle w:val="CETBodytext"/>
              <w:ind w:right="-1"/>
              <w:jc w:val="center"/>
            </w:pPr>
            <w:r w:rsidRPr="00D45381">
              <w:t>0.</w:t>
            </w:r>
            <w:r w:rsidR="00162E5B" w:rsidRPr="00D45381">
              <w:t>79</w:t>
            </w:r>
            <w:r>
              <w:t xml:space="preserve"> </w:t>
            </w:r>
            <w:r w:rsidRPr="00F15D39">
              <w:t xml:space="preserve">± </w:t>
            </w:r>
            <w:r>
              <w:t>0.</w:t>
            </w:r>
            <w:r w:rsidR="00162E5B">
              <w:t>34</w:t>
            </w:r>
          </w:p>
        </w:tc>
        <w:tc>
          <w:tcPr>
            <w:tcW w:w="1561" w:type="dxa"/>
            <w:shd w:val="clear" w:color="auto" w:fill="FFFFFF"/>
            <w:vAlign w:val="bottom"/>
          </w:tcPr>
          <w:p w14:paraId="39FE68B0" w14:textId="0B68376A" w:rsidR="009D37AB" w:rsidRPr="00F15D39" w:rsidRDefault="00162E5B" w:rsidP="00C94EAC">
            <w:pPr>
              <w:pStyle w:val="CETBodytext"/>
              <w:ind w:right="-1"/>
              <w:jc w:val="center"/>
            </w:pPr>
            <w:r w:rsidRPr="00D45381">
              <w:t>2.95</w:t>
            </w:r>
            <w:r>
              <w:t xml:space="preserve"> </w:t>
            </w:r>
            <w:r w:rsidRPr="00F15D39">
              <w:t>±</w:t>
            </w:r>
            <w:r>
              <w:t xml:space="preserve"> 1.27</w:t>
            </w:r>
          </w:p>
        </w:tc>
        <w:tc>
          <w:tcPr>
            <w:tcW w:w="1273" w:type="dxa"/>
            <w:shd w:val="clear" w:color="auto" w:fill="FFFFFF"/>
            <w:vAlign w:val="bottom"/>
          </w:tcPr>
          <w:p w14:paraId="7002FE8D" w14:textId="2BE947FF" w:rsidR="009D37AB" w:rsidRDefault="009D37AB" w:rsidP="00C94EAC">
            <w:pPr>
              <w:pStyle w:val="CETBodytext"/>
              <w:ind w:right="-1"/>
              <w:jc w:val="center"/>
            </w:pPr>
            <w:r w:rsidRPr="00D45381">
              <w:t>0.</w:t>
            </w:r>
            <w:r w:rsidR="00162E5B" w:rsidRPr="00D45381">
              <w:t>60</w:t>
            </w:r>
            <w:r>
              <w:t xml:space="preserve"> </w:t>
            </w:r>
            <w:r w:rsidRPr="00F15D39">
              <w:t xml:space="preserve">± </w:t>
            </w:r>
            <w:r>
              <w:t>0.</w:t>
            </w:r>
            <w:r w:rsidR="00162E5B">
              <w:t>02</w:t>
            </w:r>
          </w:p>
        </w:tc>
        <w:tc>
          <w:tcPr>
            <w:tcW w:w="1417" w:type="dxa"/>
            <w:shd w:val="clear" w:color="auto" w:fill="FFFFFF"/>
            <w:vAlign w:val="bottom"/>
          </w:tcPr>
          <w:p w14:paraId="3DEC6687" w14:textId="720E9ACB" w:rsidR="009D37AB" w:rsidRDefault="009D37AB" w:rsidP="00C94EAC">
            <w:pPr>
              <w:pStyle w:val="CETBodytext"/>
              <w:ind w:right="-1"/>
              <w:jc w:val="center"/>
            </w:pPr>
            <w:r w:rsidRPr="00D45381">
              <w:t>1.</w:t>
            </w:r>
            <w:r w:rsidR="00162E5B" w:rsidRPr="00D45381">
              <w:t>63</w:t>
            </w:r>
            <w:r>
              <w:t xml:space="preserve"> </w:t>
            </w:r>
            <w:r w:rsidRPr="00F15D39">
              <w:t xml:space="preserve">± </w:t>
            </w:r>
            <w:r>
              <w:t>0.</w:t>
            </w:r>
            <w:r w:rsidR="00162E5B">
              <w:t>05</w:t>
            </w:r>
          </w:p>
        </w:tc>
      </w:tr>
    </w:tbl>
    <w:p w14:paraId="40BD02D9" w14:textId="24882ACF" w:rsidR="00FA01AC" w:rsidRDefault="00FA01AC" w:rsidP="00FA01AC">
      <w:pPr>
        <w:pStyle w:val="CETTabletitle"/>
      </w:pPr>
      <w:r w:rsidRPr="00B57B36">
        <w:t xml:space="preserve">Table </w:t>
      </w:r>
      <w:r>
        <w:t>7</w:t>
      </w:r>
      <w:r w:rsidRPr="00B57B36">
        <w:t xml:space="preserve">: </w:t>
      </w:r>
      <w:r w:rsidR="00FC4DAD">
        <w:t>Composition of the solid residues and recovery percentage after alkaline hydrolysis (4% w/v NaOH, 60°C) and bleaching.</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551"/>
        <w:gridCol w:w="1417"/>
        <w:gridCol w:w="1417"/>
        <w:gridCol w:w="1417"/>
        <w:gridCol w:w="1417"/>
      </w:tblGrid>
      <w:tr w:rsidR="009D37AB" w:rsidRPr="00B57B36" w14:paraId="07E55B35" w14:textId="77777777" w:rsidTr="00C94EAC">
        <w:tc>
          <w:tcPr>
            <w:tcW w:w="2551" w:type="dxa"/>
            <w:tcBorders>
              <w:top w:val="single" w:sz="12" w:space="0" w:color="008000"/>
              <w:bottom w:val="single" w:sz="6" w:space="0" w:color="008000"/>
            </w:tcBorders>
            <w:shd w:val="clear" w:color="auto" w:fill="FFFFFF"/>
          </w:tcPr>
          <w:p w14:paraId="41A58AD3" w14:textId="77777777" w:rsidR="009D37AB" w:rsidRPr="00B57B36" w:rsidRDefault="009D37AB" w:rsidP="00C94EAC">
            <w:pPr>
              <w:pStyle w:val="CETBodytext"/>
              <w:jc w:val="center"/>
              <w:rPr>
                <w:lang w:val="en-GB"/>
              </w:rPr>
            </w:pPr>
          </w:p>
        </w:tc>
        <w:tc>
          <w:tcPr>
            <w:tcW w:w="2834" w:type="dxa"/>
            <w:gridSpan w:val="2"/>
            <w:tcBorders>
              <w:top w:val="single" w:sz="12" w:space="0" w:color="008000"/>
              <w:bottom w:val="single" w:sz="6" w:space="0" w:color="008000"/>
            </w:tcBorders>
            <w:shd w:val="clear" w:color="auto" w:fill="FFFFFF"/>
          </w:tcPr>
          <w:p w14:paraId="06CB8A76" w14:textId="43270E27" w:rsidR="009D37AB" w:rsidRDefault="009D37AB" w:rsidP="00C94EAC">
            <w:pPr>
              <w:pStyle w:val="CETBodytext"/>
              <w:jc w:val="center"/>
              <w:rPr>
                <w:lang w:val="en-GB"/>
              </w:rPr>
            </w:pPr>
            <w:r>
              <w:rPr>
                <w:lang w:val="en-GB"/>
              </w:rPr>
              <w:t xml:space="preserve">Alkaline Hydrolysis (4% </w:t>
            </w:r>
            <w:r w:rsidR="00B1537E">
              <w:rPr>
                <w:lang w:val="en-GB"/>
              </w:rPr>
              <w:t xml:space="preserve">w/v </w:t>
            </w:r>
            <w:r>
              <w:rPr>
                <w:lang w:val="en-GB"/>
              </w:rPr>
              <w:t>NaOH)</w:t>
            </w:r>
          </w:p>
        </w:tc>
        <w:tc>
          <w:tcPr>
            <w:tcW w:w="2834" w:type="dxa"/>
            <w:gridSpan w:val="2"/>
            <w:tcBorders>
              <w:top w:val="single" w:sz="12" w:space="0" w:color="008000"/>
              <w:bottom w:val="single" w:sz="6" w:space="0" w:color="008000"/>
            </w:tcBorders>
            <w:shd w:val="clear" w:color="auto" w:fill="FFFFFF"/>
          </w:tcPr>
          <w:p w14:paraId="498B811F" w14:textId="77777777" w:rsidR="009D37AB" w:rsidRDefault="009D37AB" w:rsidP="00C94EAC">
            <w:pPr>
              <w:pStyle w:val="CETBodytext"/>
              <w:jc w:val="center"/>
              <w:rPr>
                <w:lang w:val="en-GB"/>
              </w:rPr>
            </w:pPr>
            <w:r>
              <w:rPr>
                <w:lang w:val="en-GB"/>
              </w:rPr>
              <w:t>Bleaching</w:t>
            </w:r>
          </w:p>
        </w:tc>
      </w:tr>
      <w:tr w:rsidR="009D37AB" w:rsidRPr="00B57B36" w14:paraId="71B1BB12" w14:textId="77777777" w:rsidTr="00C94EAC">
        <w:tc>
          <w:tcPr>
            <w:tcW w:w="2551" w:type="dxa"/>
            <w:shd w:val="clear" w:color="auto" w:fill="FFFFFF"/>
          </w:tcPr>
          <w:p w14:paraId="04E8A4AC" w14:textId="77777777" w:rsidR="009D37AB" w:rsidRPr="00B57B36" w:rsidRDefault="009D37AB" w:rsidP="00C94EAC">
            <w:pPr>
              <w:pStyle w:val="CETBodytext"/>
              <w:ind w:right="-1"/>
              <w:jc w:val="left"/>
              <w:rPr>
                <w:rFonts w:cs="Arial"/>
                <w:szCs w:val="18"/>
                <w:lang w:val="en-GB"/>
              </w:rPr>
            </w:pPr>
          </w:p>
        </w:tc>
        <w:tc>
          <w:tcPr>
            <w:tcW w:w="1417" w:type="dxa"/>
            <w:tcBorders>
              <w:top w:val="nil"/>
              <w:left w:val="nil"/>
              <w:bottom w:val="nil"/>
              <w:right w:val="nil"/>
            </w:tcBorders>
            <w:shd w:val="clear" w:color="auto" w:fill="auto"/>
          </w:tcPr>
          <w:p w14:paraId="6C021899" w14:textId="77777777" w:rsidR="009D37AB" w:rsidRDefault="009D37AB" w:rsidP="00C94EAC">
            <w:pPr>
              <w:pStyle w:val="CETBodytext"/>
              <w:ind w:right="-1"/>
              <w:jc w:val="center"/>
              <w:rPr>
                <w:lang w:val="en-GB"/>
              </w:rPr>
            </w:pPr>
            <w:r>
              <w:rPr>
                <w:lang w:val="en-GB"/>
              </w:rPr>
              <w:t xml:space="preserve">Composition </w:t>
            </w:r>
          </w:p>
          <w:p w14:paraId="277695AD" w14:textId="77777777" w:rsidR="009D37AB" w:rsidRDefault="009D37AB" w:rsidP="00C94EAC">
            <w:pPr>
              <w:pStyle w:val="CETBodytext"/>
              <w:ind w:right="-1"/>
              <w:jc w:val="center"/>
            </w:pPr>
            <w:r>
              <w:rPr>
                <w:lang w:val="en-GB"/>
              </w:rPr>
              <w:t xml:space="preserve">(% on </w:t>
            </w:r>
            <w:proofErr w:type="spellStart"/>
            <w:r>
              <w:rPr>
                <w:lang w:val="en-GB"/>
              </w:rPr>
              <w:t>dw</w:t>
            </w:r>
            <w:proofErr w:type="spellEnd"/>
            <w:r>
              <w:rPr>
                <w:lang w:val="en-GB"/>
              </w:rPr>
              <w:t>)</w:t>
            </w:r>
          </w:p>
        </w:tc>
        <w:tc>
          <w:tcPr>
            <w:tcW w:w="1417" w:type="dxa"/>
            <w:shd w:val="clear" w:color="auto" w:fill="FFFFFF"/>
          </w:tcPr>
          <w:p w14:paraId="0B58DD80" w14:textId="77777777" w:rsidR="009D37AB" w:rsidRPr="00F15D39" w:rsidRDefault="009D37AB" w:rsidP="00C94EAC">
            <w:pPr>
              <w:pStyle w:val="CETBodytext"/>
              <w:ind w:right="-1"/>
              <w:jc w:val="center"/>
            </w:pPr>
            <w:r>
              <w:rPr>
                <w:lang w:val="en-GB"/>
              </w:rPr>
              <w:t>Recovery (%)</w:t>
            </w:r>
          </w:p>
        </w:tc>
        <w:tc>
          <w:tcPr>
            <w:tcW w:w="1417" w:type="dxa"/>
            <w:shd w:val="clear" w:color="auto" w:fill="FFFFFF"/>
          </w:tcPr>
          <w:p w14:paraId="6B362E32" w14:textId="77777777" w:rsidR="009D37AB" w:rsidRDefault="009D37AB" w:rsidP="00C94EAC">
            <w:pPr>
              <w:pStyle w:val="CETBodytext"/>
              <w:ind w:right="-1"/>
              <w:jc w:val="center"/>
              <w:rPr>
                <w:lang w:val="en-GB"/>
              </w:rPr>
            </w:pPr>
            <w:r>
              <w:rPr>
                <w:lang w:val="en-GB"/>
              </w:rPr>
              <w:t xml:space="preserve">Composition </w:t>
            </w:r>
          </w:p>
          <w:p w14:paraId="189724EF" w14:textId="77777777" w:rsidR="009D37AB" w:rsidRDefault="009D37AB" w:rsidP="00C94EAC">
            <w:pPr>
              <w:pStyle w:val="CETBodytext"/>
              <w:ind w:right="-1"/>
              <w:jc w:val="center"/>
            </w:pPr>
            <w:r>
              <w:rPr>
                <w:lang w:val="en-GB"/>
              </w:rPr>
              <w:t xml:space="preserve">(% on </w:t>
            </w:r>
            <w:proofErr w:type="spellStart"/>
            <w:r>
              <w:rPr>
                <w:lang w:val="en-GB"/>
              </w:rPr>
              <w:t>dw</w:t>
            </w:r>
            <w:proofErr w:type="spellEnd"/>
            <w:r>
              <w:rPr>
                <w:lang w:val="en-GB"/>
              </w:rPr>
              <w:t>)</w:t>
            </w:r>
          </w:p>
        </w:tc>
        <w:tc>
          <w:tcPr>
            <w:tcW w:w="1417" w:type="dxa"/>
            <w:shd w:val="clear" w:color="auto" w:fill="FFFFFF"/>
          </w:tcPr>
          <w:p w14:paraId="7970A688" w14:textId="77777777" w:rsidR="009D37AB" w:rsidRDefault="009D37AB" w:rsidP="00C94EAC">
            <w:pPr>
              <w:pStyle w:val="CETBodytext"/>
              <w:ind w:right="-1"/>
              <w:jc w:val="center"/>
            </w:pPr>
            <w:r>
              <w:rPr>
                <w:lang w:val="en-GB"/>
              </w:rPr>
              <w:t>Recovery (%)</w:t>
            </w:r>
          </w:p>
        </w:tc>
      </w:tr>
      <w:tr w:rsidR="009D37AB" w:rsidRPr="00B57B36" w14:paraId="46EF9D7B" w14:textId="77777777" w:rsidTr="00C94EAC">
        <w:tc>
          <w:tcPr>
            <w:tcW w:w="2551" w:type="dxa"/>
            <w:shd w:val="clear" w:color="auto" w:fill="FFFFFF"/>
          </w:tcPr>
          <w:p w14:paraId="4A62918E" w14:textId="77777777" w:rsidR="009D37AB" w:rsidRDefault="009D37AB" w:rsidP="00C94EAC">
            <w:pPr>
              <w:pStyle w:val="CETBodytext"/>
              <w:ind w:right="-1"/>
              <w:jc w:val="left"/>
            </w:pPr>
            <w:r>
              <w:t xml:space="preserve">Acid insoluble lignin (% on </w:t>
            </w:r>
            <w:proofErr w:type="spellStart"/>
            <w:r>
              <w:t>dw</w:t>
            </w:r>
            <w:proofErr w:type="spellEnd"/>
            <w:r>
              <w:t>)</w:t>
            </w:r>
          </w:p>
        </w:tc>
        <w:tc>
          <w:tcPr>
            <w:tcW w:w="1417" w:type="dxa"/>
            <w:tcBorders>
              <w:top w:val="nil"/>
              <w:left w:val="nil"/>
              <w:bottom w:val="nil"/>
              <w:right w:val="nil"/>
            </w:tcBorders>
            <w:shd w:val="clear" w:color="auto" w:fill="auto"/>
            <w:vAlign w:val="bottom"/>
          </w:tcPr>
          <w:p w14:paraId="4276E3B4" w14:textId="4D6B2D6C" w:rsidR="009D37AB" w:rsidRPr="00F15D39" w:rsidRDefault="00DE6A1E" w:rsidP="00C94EAC">
            <w:pPr>
              <w:pStyle w:val="CETBodytext"/>
              <w:ind w:right="-1"/>
              <w:jc w:val="center"/>
            </w:pPr>
            <w:r w:rsidRPr="00D45381">
              <w:t>29.09</w:t>
            </w:r>
            <w:r w:rsidR="009D37AB">
              <w:t xml:space="preserve"> </w:t>
            </w:r>
            <w:r w:rsidR="009D37AB" w:rsidRPr="00F15D39">
              <w:t xml:space="preserve">± </w:t>
            </w:r>
            <w:r w:rsidR="009D37AB">
              <w:t>1.</w:t>
            </w:r>
            <w:r>
              <w:t>26</w:t>
            </w:r>
          </w:p>
        </w:tc>
        <w:tc>
          <w:tcPr>
            <w:tcW w:w="1417" w:type="dxa"/>
            <w:shd w:val="clear" w:color="auto" w:fill="FFFFFF"/>
            <w:vAlign w:val="bottom"/>
          </w:tcPr>
          <w:p w14:paraId="660A588A" w14:textId="6B53EE13" w:rsidR="009D37AB" w:rsidRDefault="00DE6A1E" w:rsidP="00C94EAC">
            <w:pPr>
              <w:pStyle w:val="CETBodytext"/>
              <w:ind w:right="-1"/>
              <w:jc w:val="center"/>
            </w:pPr>
            <w:r w:rsidRPr="00D45381">
              <w:t>80.69</w:t>
            </w:r>
            <w:r>
              <w:t xml:space="preserve"> </w:t>
            </w:r>
            <w:r w:rsidRPr="00F15D39">
              <w:t>±</w:t>
            </w:r>
            <w:r>
              <w:t xml:space="preserve"> 3.48</w:t>
            </w:r>
          </w:p>
        </w:tc>
        <w:tc>
          <w:tcPr>
            <w:tcW w:w="1417" w:type="dxa"/>
            <w:shd w:val="clear" w:color="auto" w:fill="FFFFFF"/>
            <w:vAlign w:val="bottom"/>
          </w:tcPr>
          <w:p w14:paraId="35F39268" w14:textId="0D984463" w:rsidR="009D37AB" w:rsidRDefault="00DE6A1E" w:rsidP="00C94EAC">
            <w:pPr>
              <w:pStyle w:val="CETBodytext"/>
              <w:ind w:right="-1"/>
              <w:jc w:val="center"/>
            </w:pPr>
            <w:r w:rsidRPr="00D45381">
              <w:t>16.62</w:t>
            </w:r>
            <w:r>
              <w:t xml:space="preserve"> </w:t>
            </w:r>
            <w:r w:rsidRPr="00F15D39">
              <w:t>±</w:t>
            </w:r>
            <w:r>
              <w:t xml:space="preserve"> 2.74</w:t>
            </w:r>
          </w:p>
        </w:tc>
        <w:tc>
          <w:tcPr>
            <w:tcW w:w="1417" w:type="dxa"/>
            <w:shd w:val="clear" w:color="auto" w:fill="FFFFFF"/>
            <w:vAlign w:val="bottom"/>
          </w:tcPr>
          <w:p w14:paraId="5C446550" w14:textId="60911256" w:rsidR="009D37AB" w:rsidRDefault="00DE6A1E" w:rsidP="00C94EAC">
            <w:pPr>
              <w:pStyle w:val="CETBodytext"/>
              <w:ind w:right="-1"/>
              <w:jc w:val="center"/>
            </w:pPr>
            <w:r w:rsidRPr="00D45381">
              <w:t>35.70</w:t>
            </w:r>
            <w:r>
              <w:t xml:space="preserve"> </w:t>
            </w:r>
            <w:r w:rsidRPr="00F15D39">
              <w:t>±</w:t>
            </w:r>
            <w:r>
              <w:t xml:space="preserve"> 5.88</w:t>
            </w:r>
          </w:p>
        </w:tc>
      </w:tr>
      <w:tr w:rsidR="009D37AB" w:rsidRPr="00B57B36" w14:paraId="614A7A90" w14:textId="77777777" w:rsidTr="00C94EAC">
        <w:tc>
          <w:tcPr>
            <w:tcW w:w="2551" w:type="dxa"/>
            <w:shd w:val="clear" w:color="auto" w:fill="FFFFFF"/>
          </w:tcPr>
          <w:p w14:paraId="71795557" w14:textId="77777777" w:rsidR="009D37AB" w:rsidRPr="00B57B36" w:rsidRDefault="009D37AB" w:rsidP="00C94EAC">
            <w:pPr>
              <w:pStyle w:val="CETBodytext"/>
              <w:ind w:right="-1"/>
              <w:jc w:val="left"/>
              <w:rPr>
                <w:rFonts w:cs="Arial"/>
                <w:szCs w:val="18"/>
                <w:lang w:val="en-GB"/>
              </w:rPr>
            </w:pPr>
            <w:r>
              <w:t xml:space="preserve">Acid soluble lignin (% on </w:t>
            </w:r>
            <w:proofErr w:type="spellStart"/>
            <w:r>
              <w:t>dw</w:t>
            </w:r>
            <w:proofErr w:type="spellEnd"/>
            <w:r>
              <w:t>)</w:t>
            </w:r>
          </w:p>
        </w:tc>
        <w:tc>
          <w:tcPr>
            <w:tcW w:w="1417" w:type="dxa"/>
            <w:tcBorders>
              <w:top w:val="nil"/>
              <w:left w:val="nil"/>
              <w:bottom w:val="nil"/>
              <w:right w:val="nil"/>
            </w:tcBorders>
            <w:shd w:val="clear" w:color="auto" w:fill="auto"/>
            <w:vAlign w:val="bottom"/>
          </w:tcPr>
          <w:p w14:paraId="56CBECC1" w14:textId="7A26D8C1" w:rsidR="009D37AB" w:rsidRDefault="009D37AB" w:rsidP="00C94EAC">
            <w:pPr>
              <w:pStyle w:val="CETBodytext"/>
              <w:ind w:right="-1"/>
              <w:jc w:val="center"/>
            </w:pPr>
            <w:r w:rsidRPr="00D45381">
              <w:t>0.</w:t>
            </w:r>
            <w:r w:rsidR="00DE6A1E" w:rsidRPr="00D45381">
              <w:t>68</w:t>
            </w:r>
            <w:r>
              <w:t xml:space="preserve"> </w:t>
            </w:r>
            <w:r w:rsidRPr="00F15D39">
              <w:t>± 0</w:t>
            </w:r>
            <w:r>
              <w:t>.01</w:t>
            </w:r>
          </w:p>
        </w:tc>
        <w:tc>
          <w:tcPr>
            <w:tcW w:w="1417" w:type="dxa"/>
            <w:shd w:val="clear" w:color="auto" w:fill="FFFFFF"/>
            <w:vAlign w:val="bottom"/>
          </w:tcPr>
          <w:p w14:paraId="68469595" w14:textId="192BA6C7" w:rsidR="009D37AB" w:rsidRPr="00F15D39" w:rsidRDefault="00DE6A1E" w:rsidP="00C94EAC">
            <w:pPr>
              <w:pStyle w:val="CETBodytext"/>
              <w:ind w:right="-1"/>
              <w:jc w:val="center"/>
            </w:pPr>
            <w:r w:rsidRPr="00D45381">
              <w:t>16.90</w:t>
            </w:r>
            <w:r w:rsidR="009D37AB">
              <w:t xml:space="preserve"> </w:t>
            </w:r>
            <w:r w:rsidR="009D37AB" w:rsidRPr="00F15D39">
              <w:t>± 0</w:t>
            </w:r>
            <w:r w:rsidR="009D37AB">
              <w:t>.</w:t>
            </w:r>
            <w:r>
              <w:t>15</w:t>
            </w:r>
          </w:p>
        </w:tc>
        <w:tc>
          <w:tcPr>
            <w:tcW w:w="1417" w:type="dxa"/>
            <w:shd w:val="clear" w:color="auto" w:fill="FFFFFF"/>
            <w:vAlign w:val="bottom"/>
          </w:tcPr>
          <w:p w14:paraId="76E55D6D" w14:textId="1F36A0C9" w:rsidR="009D37AB" w:rsidRDefault="009D37AB" w:rsidP="00C94EAC">
            <w:pPr>
              <w:pStyle w:val="CETBodytext"/>
              <w:ind w:right="-1"/>
              <w:jc w:val="center"/>
            </w:pPr>
            <w:r w:rsidRPr="00D45381">
              <w:t>0.</w:t>
            </w:r>
            <w:r w:rsidR="00DE6A1E" w:rsidRPr="00D45381">
              <w:t>81</w:t>
            </w:r>
            <w:r>
              <w:t xml:space="preserve"> </w:t>
            </w:r>
            <w:r w:rsidRPr="00F15D39">
              <w:t>± 0</w:t>
            </w:r>
            <w:r>
              <w:t>.</w:t>
            </w:r>
            <w:r w:rsidR="00DE6A1E">
              <w:t>03</w:t>
            </w:r>
          </w:p>
        </w:tc>
        <w:tc>
          <w:tcPr>
            <w:tcW w:w="1417" w:type="dxa"/>
            <w:shd w:val="clear" w:color="auto" w:fill="FFFFFF"/>
            <w:vAlign w:val="bottom"/>
          </w:tcPr>
          <w:p w14:paraId="583E18CE" w14:textId="4B108A04" w:rsidR="009D37AB" w:rsidRDefault="00DE6A1E" w:rsidP="00C94EAC">
            <w:pPr>
              <w:pStyle w:val="CETBodytext"/>
              <w:ind w:right="-1"/>
              <w:jc w:val="center"/>
            </w:pPr>
            <w:r w:rsidRPr="00D45381">
              <w:t>15.68</w:t>
            </w:r>
            <w:r w:rsidR="009D37AB">
              <w:t xml:space="preserve"> </w:t>
            </w:r>
            <w:r w:rsidR="009D37AB" w:rsidRPr="00F15D39">
              <w:t>± 0</w:t>
            </w:r>
            <w:r w:rsidR="009D37AB">
              <w:t>.</w:t>
            </w:r>
            <w:r>
              <w:t>51</w:t>
            </w:r>
          </w:p>
        </w:tc>
      </w:tr>
      <w:tr w:rsidR="009D37AB" w:rsidRPr="00B57B36" w14:paraId="5A9460B0" w14:textId="77777777" w:rsidTr="00C94EAC">
        <w:tc>
          <w:tcPr>
            <w:tcW w:w="2551" w:type="dxa"/>
            <w:shd w:val="clear" w:color="auto" w:fill="FFFFFF"/>
          </w:tcPr>
          <w:p w14:paraId="014CDD74" w14:textId="77777777" w:rsidR="009D37AB" w:rsidRPr="00B57B36" w:rsidRDefault="009D37AB" w:rsidP="00C94EAC">
            <w:pPr>
              <w:pStyle w:val="CETBodytext"/>
              <w:ind w:right="-1"/>
              <w:jc w:val="left"/>
              <w:rPr>
                <w:rFonts w:cs="Arial"/>
                <w:szCs w:val="18"/>
                <w:lang w:val="en-GB"/>
              </w:rPr>
            </w:pPr>
            <w:r>
              <w:t xml:space="preserve">Cellulose (% on </w:t>
            </w:r>
            <w:proofErr w:type="spellStart"/>
            <w:r>
              <w:t>dw</w:t>
            </w:r>
            <w:proofErr w:type="spellEnd"/>
            <w:r>
              <w:t>)</w:t>
            </w:r>
          </w:p>
        </w:tc>
        <w:tc>
          <w:tcPr>
            <w:tcW w:w="1417" w:type="dxa"/>
            <w:tcBorders>
              <w:top w:val="nil"/>
              <w:left w:val="nil"/>
              <w:bottom w:val="nil"/>
              <w:right w:val="nil"/>
            </w:tcBorders>
            <w:shd w:val="clear" w:color="auto" w:fill="auto"/>
            <w:vAlign w:val="bottom"/>
          </w:tcPr>
          <w:p w14:paraId="7CD85745" w14:textId="206C6D1F" w:rsidR="009D37AB" w:rsidRDefault="00DE6A1E" w:rsidP="00C94EAC">
            <w:pPr>
              <w:pStyle w:val="CETBodytext"/>
              <w:ind w:right="-1"/>
              <w:jc w:val="center"/>
            </w:pPr>
            <w:r w:rsidRPr="00D45381">
              <w:t>43.26</w:t>
            </w:r>
            <w:r>
              <w:t xml:space="preserve"> </w:t>
            </w:r>
            <w:r w:rsidRPr="00F15D39">
              <w:t>±</w:t>
            </w:r>
            <w:r>
              <w:t xml:space="preserve"> 7.17</w:t>
            </w:r>
          </w:p>
        </w:tc>
        <w:tc>
          <w:tcPr>
            <w:tcW w:w="1417" w:type="dxa"/>
            <w:shd w:val="clear" w:color="auto" w:fill="FFFFFF"/>
            <w:vAlign w:val="bottom"/>
          </w:tcPr>
          <w:p w14:paraId="1298F1C0" w14:textId="2CD1ED83" w:rsidR="009D37AB" w:rsidRPr="00F15D39" w:rsidRDefault="00DE6A1E" w:rsidP="00C94EAC">
            <w:pPr>
              <w:pStyle w:val="CETBodytext"/>
              <w:ind w:right="-1"/>
              <w:jc w:val="center"/>
            </w:pPr>
            <w:r w:rsidRPr="00D45381">
              <w:t>114.42</w:t>
            </w:r>
            <w:r>
              <w:t xml:space="preserve"> </w:t>
            </w:r>
            <w:r w:rsidRPr="00F15D39">
              <w:t>±</w:t>
            </w:r>
            <w:r>
              <w:t xml:space="preserve"> 18.97</w:t>
            </w:r>
          </w:p>
        </w:tc>
        <w:tc>
          <w:tcPr>
            <w:tcW w:w="1417" w:type="dxa"/>
            <w:shd w:val="clear" w:color="auto" w:fill="FFFFFF"/>
            <w:vAlign w:val="bottom"/>
          </w:tcPr>
          <w:p w14:paraId="107EFF30" w14:textId="620B3679" w:rsidR="009D37AB" w:rsidRDefault="00DE6A1E" w:rsidP="00C94EAC">
            <w:pPr>
              <w:pStyle w:val="CETBodytext"/>
              <w:ind w:right="-1"/>
              <w:jc w:val="center"/>
            </w:pPr>
            <w:r w:rsidRPr="00D45381">
              <w:t>55.36</w:t>
            </w:r>
            <w:r>
              <w:t xml:space="preserve"> </w:t>
            </w:r>
            <w:r w:rsidRPr="00F15D39">
              <w:t>±</w:t>
            </w:r>
            <w:r>
              <w:t xml:space="preserve"> 2.09</w:t>
            </w:r>
          </w:p>
        </w:tc>
        <w:tc>
          <w:tcPr>
            <w:tcW w:w="1417" w:type="dxa"/>
            <w:shd w:val="clear" w:color="auto" w:fill="FFFFFF"/>
            <w:vAlign w:val="bottom"/>
          </w:tcPr>
          <w:p w14:paraId="73107CE5" w14:textId="63345287" w:rsidR="009D37AB" w:rsidRDefault="00DE6A1E" w:rsidP="00C94EAC">
            <w:pPr>
              <w:pStyle w:val="CETBodytext"/>
              <w:ind w:right="-1"/>
              <w:jc w:val="center"/>
            </w:pPr>
            <w:r w:rsidRPr="00D45381">
              <w:t>113.41</w:t>
            </w:r>
            <w:r>
              <w:t xml:space="preserve"> </w:t>
            </w:r>
            <w:r w:rsidRPr="00F15D39">
              <w:t>±</w:t>
            </w:r>
            <w:r>
              <w:t xml:space="preserve"> 4.28</w:t>
            </w:r>
          </w:p>
        </w:tc>
      </w:tr>
      <w:tr w:rsidR="009D37AB" w:rsidRPr="00B57B36" w14:paraId="01A280D1" w14:textId="77777777">
        <w:tc>
          <w:tcPr>
            <w:tcW w:w="2551" w:type="dxa"/>
            <w:shd w:val="clear" w:color="auto" w:fill="FFFFFF"/>
          </w:tcPr>
          <w:p w14:paraId="094E37C0" w14:textId="77777777" w:rsidR="009D37AB" w:rsidRPr="00B57B36" w:rsidRDefault="009D37AB" w:rsidP="00C94EAC">
            <w:pPr>
              <w:pStyle w:val="CETBodytext"/>
              <w:ind w:right="-1"/>
              <w:jc w:val="left"/>
              <w:rPr>
                <w:rFonts w:cs="Arial"/>
                <w:szCs w:val="18"/>
                <w:lang w:val="en-GB"/>
              </w:rPr>
            </w:pPr>
            <w:r>
              <w:t xml:space="preserve">Hemicellulose (% on </w:t>
            </w:r>
            <w:proofErr w:type="spellStart"/>
            <w:r>
              <w:t>dw</w:t>
            </w:r>
            <w:proofErr w:type="spellEnd"/>
            <w:r>
              <w:t>)</w:t>
            </w:r>
          </w:p>
        </w:tc>
        <w:tc>
          <w:tcPr>
            <w:tcW w:w="1417" w:type="dxa"/>
            <w:shd w:val="clear" w:color="auto" w:fill="FFFFFF"/>
            <w:vAlign w:val="bottom"/>
          </w:tcPr>
          <w:p w14:paraId="18BD853D" w14:textId="4D349C92" w:rsidR="009D37AB" w:rsidRDefault="009D37AB" w:rsidP="00C94EAC">
            <w:pPr>
              <w:pStyle w:val="CETBodytext"/>
              <w:ind w:right="-1"/>
              <w:jc w:val="center"/>
            </w:pPr>
            <w:r w:rsidRPr="00D45381">
              <w:t>0.</w:t>
            </w:r>
            <w:r w:rsidR="00DE6A1E" w:rsidRPr="00D45381">
              <w:t>98</w:t>
            </w:r>
            <w:r>
              <w:t xml:space="preserve"> </w:t>
            </w:r>
            <w:r w:rsidRPr="00F15D39">
              <w:t xml:space="preserve">± </w:t>
            </w:r>
            <w:r>
              <w:t>0.</w:t>
            </w:r>
            <w:r w:rsidR="00DE6A1E">
              <w:t>16</w:t>
            </w:r>
          </w:p>
        </w:tc>
        <w:tc>
          <w:tcPr>
            <w:tcW w:w="1417" w:type="dxa"/>
            <w:shd w:val="clear" w:color="auto" w:fill="FFFFFF"/>
            <w:vAlign w:val="bottom"/>
          </w:tcPr>
          <w:p w14:paraId="39AD2963" w14:textId="3877E1AA" w:rsidR="009D37AB" w:rsidRPr="00F15D39" w:rsidRDefault="00DE6A1E" w:rsidP="00C94EAC">
            <w:pPr>
              <w:pStyle w:val="CETBodytext"/>
              <w:ind w:right="-1"/>
              <w:jc w:val="center"/>
            </w:pPr>
            <w:r w:rsidRPr="00D45381">
              <w:t>3.91</w:t>
            </w:r>
            <w:r w:rsidR="009D37AB">
              <w:t xml:space="preserve"> </w:t>
            </w:r>
            <w:r w:rsidR="009D37AB" w:rsidRPr="00F15D39">
              <w:t xml:space="preserve">± </w:t>
            </w:r>
            <w:r w:rsidR="009D37AB">
              <w:t>0.</w:t>
            </w:r>
            <w:r>
              <w:t>66</w:t>
            </w:r>
          </w:p>
        </w:tc>
        <w:tc>
          <w:tcPr>
            <w:tcW w:w="1417" w:type="dxa"/>
            <w:shd w:val="clear" w:color="auto" w:fill="FFFFFF"/>
            <w:vAlign w:val="bottom"/>
          </w:tcPr>
          <w:p w14:paraId="43198598" w14:textId="576220E3" w:rsidR="009D37AB" w:rsidRDefault="00DE6A1E" w:rsidP="00C94EAC">
            <w:pPr>
              <w:pStyle w:val="CETBodytext"/>
              <w:ind w:right="-1"/>
              <w:jc w:val="center"/>
            </w:pPr>
            <w:r w:rsidRPr="00D45381">
              <w:t>1.39</w:t>
            </w:r>
            <w:r>
              <w:t xml:space="preserve"> </w:t>
            </w:r>
            <w:r w:rsidRPr="00F15D39">
              <w:t>±</w:t>
            </w:r>
            <w:r>
              <w:t xml:space="preserve"> 0.32</w:t>
            </w:r>
          </w:p>
        </w:tc>
        <w:tc>
          <w:tcPr>
            <w:tcW w:w="1417" w:type="dxa"/>
            <w:shd w:val="clear" w:color="auto" w:fill="FFFFFF"/>
            <w:vAlign w:val="bottom"/>
          </w:tcPr>
          <w:p w14:paraId="4526EEC3" w14:textId="5D8A0792" w:rsidR="009D37AB" w:rsidRDefault="00DE6A1E" w:rsidP="00C94EAC">
            <w:pPr>
              <w:pStyle w:val="CETBodytext"/>
              <w:ind w:right="-1"/>
              <w:jc w:val="center"/>
            </w:pPr>
            <w:r w:rsidRPr="00D45381">
              <w:t>4.30</w:t>
            </w:r>
            <w:r w:rsidR="009D37AB">
              <w:t xml:space="preserve"> </w:t>
            </w:r>
            <w:r w:rsidR="009D37AB" w:rsidRPr="00F15D39">
              <w:t xml:space="preserve">± </w:t>
            </w:r>
            <w:r w:rsidR="009D37AB">
              <w:t>0.</w:t>
            </w:r>
            <w:r>
              <w:t>98</w:t>
            </w:r>
          </w:p>
        </w:tc>
      </w:tr>
    </w:tbl>
    <w:p w14:paraId="3C4F6271" w14:textId="7367B851" w:rsidR="00FA01AC" w:rsidRDefault="00FA01AC" w:rsidP="00FA01AC">
      <w:pPr>
        <w:pStyle w:val="CETTabletitle"/>
      </w:pPr>
      <w:r w:rsidRPr="00B57B36">
        <w:t xml:space="preserve">Table </w:t>
      </w:r>
      <w:r>
        <w:t>8</w:t>
      </w:r>
      <w:r w:rsidRPr="00B57B36">
        <w:t xml:space="preserve">: </w:t>
      </w:r>
      <w:r w:rsidR="00FC4DAD">
        <w:t>Composition of the solid residues and recovery percentage after alkaline hydrolysis (1.5% w/v NaOH, 60°C) and bleaching.</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551"/>
        <w:gridCol w:w="1417"/>
        <w:gridCol w:w="1561"/>
        <w:gridCol w:w="1273"/>
        <w:gridCol w:w="1417"/>
      </w:tblGrid>
      <w:tr w:rsidR="009D37AB" w:rsidRPr="00B57B36" w14:paraId="0B3EE00C" w14:textId="77777777" w:rsidTr="00B1537E">
        <w:tc>
          <w:tcPr>
            <w:tcW w:w="2551" w:type="dxa"/>
            <w:tcBorders>
              <w:top w:val="single" w:sz="12" w:space="0" w:color="008000"/>
              <w:bottom w:val="single" w:sz="6" w:space="0" w:color="008000"/>
            </w:tcBorders>
            <w:shd w:val="clear" w:color="auto" w:fill="FFFFFF"/>
          </w:tcPr>
          <w:p w14:paraId="4E3EFD2C" w14:textId="77777777" w:rsidR="009D37AB" w:rsidRPr="00B57B36" w:rsidRDefault="009D37AB" w:rsidP="00C94EAC">
            <w:pPr>
              <w:pStyle w:val="CETBodytext"/>
              <w:jc w:val="center"/>
              <w:rPr>
                <w:lang w:val="en-GB"/>
              </w:rPr>
            </w:pPr>
          </w:p>
        </w:tc>
        <w:tc>
          <w:tcPr>
            <w:tcW w:w="2978" w:type="dxa"/>
            <w:gridSpan w:val="2"/>
            <w:tcBorders>
              <w:top w:val="single" w:sz="12" w:space="0" w:color="008000"/>
              <w:bottom w:val="single" w:sz="6" w:space="0" w:color="008000"/>
            </w:tcBorders>
            <w:shd w:val="clear" w:color="auto" w:fill="FFFFFF"/>
          </w:tcPr>
          <w:p w14:paraId="61835D38" w14:textId="14EDEFD4" w:rsidR="009D37AB" w:rsidRDefault="009D37AB" w:rsidP="00C94EAC">
            <w:pPr>
              <w:pStyle w:val="CETBodytext"/>
              <w:jc w:val="center"/>
              <w:rPr>
                <w:lang w:val="en-GB"/>
              </w:rPr>
            </w:pPr>
            <w:r>
              <w:rPr>
                <w:lang w:val="en-GB"/>
              </w:rPr>
              <w:t xml:space="preserve">Alkaline Hydrolysis (1.5% </w:t>
            </w:r>
            <w:r w:rsidR="00B1537E">
              <w:rPr>
                <w:lang w:val="en-GB"/>
              </w:rPr>
              <w:t xml:space="preserve">w/v </w:t>
            </w:r>
            <w:r>
              <w:rPr>
                <w:lang w:val="en-GB"/>
              </w:rPr>
              <w:t>NaOH)</w:t>
            </w:r>
          </w:p>
        </w:tc>
        <w:tc>
          <w:tcPr>
            <w:tcW w:w="2690" w:type="dxa"/>
            <w:gridSpan w:val="2"/>
            <w:tcBorders>
              <w:top w:val="single" w:sz="12" w:space="0" w:color="008000"/>
              <w:bottom w:val="single" w:sz="6" w:space="0" w:color="008000"/>
            </w:tcBorders>
            <w:shd w:val="clear" w:color="auto" w:fill="FFFFFF"/>
          </w:tcPr>
          <w:p w14:paraId="079C1E31" w14:textId="77777777" w:rsidR="009D37AB" w:rsidRDefault="009D37AB" w:rsidP="00C94EAC">
            <w:pPr>
              <w:pStyle w:val="CETBodytext"/>
              <w:jc w:val="center"/>
              <w:rPr>
                <w:lang w:val="en-GB"/>
              </w:rPr>
            </w:pPr>
            <w:r>
              <w:rPr>
                <w:lang w:val="en-GB"/>
              </w:rPr>
              <w:t>Bleaching</w:t>
            </w:r>
          </w:p>
        </w:tc>
      </w:tr>
      <w:tr w:rsidR="009D37AB" w:rsidRPr="00B57B36" w14:paraId="4400B342" w14:textId="77777777" w:rsidTr="00B1537E">
        <w:tc>
          <w:tcPr>
            <w:tcW w:w="2551" w:type="dxa"/>
            <w:shd w:val="clear" w:color="auto" w:fill="FFFFFF"/>
          </w:tcPr>
          <w:p w14:paraId="0625E037" w14:textId="77777777" w:rsidR="009D37AB" w:rsidRPr="00B57B36" w:rsidRDefault="009D37AB" w:rsidP="00C94EAC">
            <w:pPr>
              <w:pStyle w:val="CETBodytext"/>
              <w:ind w:right="-1"/>
              <w:jc w:val="left"/>
              <w:rPr>
                <w:rFonts w:cs="Arial"/>
                <w:szCs w:val="18"/>
                <w:lang w:val="en-GB"/>
              </w:rPr>
            </w:pPr>
          </w:p>
        </w:tc>
        <w:tc>
          <w:tcPr>
            <w:tcW w:w="1417" w:type="dxa"/>
            <w:tcBorders>
              <w:top w:val="nil"/>
              <w:left w:val="nil"/>
              <w:bottom w:val="nil"/>
              <w:right w:val="nil"/>
            </w:tcBorders>
            <w:shd w:val="clear" w:color="auto" w:fill="auto"/>
          </w:tcPr>
          <w:p w14:paraId="761745C4" w14:textId="77777777" w:rsidR="009D37AB" w:rsidRDefault="009D37AB" w:rsidP="00C94EAC">
            <w:pPr>
              <w:pStyle w:val="CETBodytext"/>
              <w:ind w:right="-1"/>
              <w:jc w:val="center"/>
              <w:rPr>
                <w:lang w:val="en-GB"/>
              </w:rPr>
            </w:pPr>
            <w:r>
              <w:rPr>
                <w:lang w:val="en-GB"/>
              </w:rPr>
              <w:t xml:space="preserve">Composition </w:t>
            </w:r>
          </w:p>
          <w:p w14:paraId="75DC5B59" w14:textId="77777777" w:rsidR="009D37AB" w:rsidRDefault="009D37AB" w:rsidP="00C94EAC">
            <w:pPr>
              <w:pStyle w:val="CETBodytext"/>
              <w:ind w:right="-1"/>
              <w:jc w:val="center"/>
            </w:pPr>
            <w:r>
              <w:rPr>
                <w:lang w:val="en-GB"/>
              </w:rPr>
              <w:t xml:space="preserve">(% on </w:t>
            </w:r>
            <w:proofErr w:type="spellStart"/>
            <w:r>
              <w:rPr>
                <w:lang w:val="en-GB"/>
              </w:rPr>
              <w:t>dw</w:t>
            </w:r>
            <w:proofErr w:type="spellEnd"/>
            <w:r>
              <w:rPr>
                <w:lang w:val="en-GB"/>
              </w:rPr>
              <w:t>)</w:t>
            </w:r>
          </w:p>
        </w:tc>
        <w:tc>
          <w:tcPr>
            <w:tcW w:w="1561" w:type="dxa"/>
            <w:shd w:val="clear" w:color="auto" w:fill="FFFFFF"/>
          </w:tcPr>
          <w:p w14:paraId="21A95BF2" w14:textId="77777777" w:rsidR="009D37AB" w:rsidRPr="00F15D39" w:rsidRDefault="009D37AB" w:rsidP="00C94EAC">
            <w:pPr>
              <w:pStyle w:val="CETBodytext"/>
              <w:ind w:right="-1"/>
              <w:jc w:val="center"/>
            </w:pPr>
            <w:r>
              <w:rPr>
                <w:lang w:val="en-GB"/>
              </w:rPr>
              <w:t>Recovery (%)</w:t>
            </w:r>
          </w:p>
        </w:tc>
        <w:tc>
          <w:tcPr>
            <w:tcW w:w="1273" w:type="dxa"/>
            <w:shd w:val="clear" w:color="auto" w:fill="FFFFFF"/>
          </w:tcPr>
          <w:p w14:paraId="79391B11" w14:textId="77777777" w:rsidR="009D37AB" w:rsidRDefault="009D37AB" w:rsidP="00C94EAC">
            <w:pPr>
              <w:pStyle w:val="CETBodytext"/>
              <w:ind w:right="-1"/>
              <w:jc w:val="center"/>
              <w:rPr>
                <w:lang w:val="en-GB"/>
              </w:rPr>
            </w:pPr>
            <w:r>
              <w:rPr>
                <w:lang w:val="en-GB"/>
              </w:rPr>
              <w:t xml:space="preserve">Composition </w:t>
            </w:r>
          </w:p>
          <w:p w14:paraId="1ED0584F" w14:textId="77777777" w:rsidR="009D37AB" w:rsidRDefault="009D37AB" w:rsidP="00C94EAC">
            <w:pPr>
              <w:pStyle w:val="CETBodytext"/>
              <w:ind w:right="-1"/>
              <w:jc w:val="center"/>
            </w:pPr>
            <w:r>
              <w:rPr>
                <w:lang w:val="en-GB"/>
              </w:rPr>
              <w:t xml:space="preserve">(% on </w:t>
            </w:r>
            <w:proofErr w:type="spellStart"/>
            <w:r>
              <w:rPr>
                <w:lang w:val="en-GB"/>
              </w:rPr>
              <w:t>dw</w:t>
            </w:r>
            <w:proofErr w:type="spellEnd"/>
            <w:r>
              <w:rPr>
                <w:lang w:val="en-GB"/>
              </w:rPr>
              <w:t>)</w:t>
            </w:r>
          </w:p>
        </w:tc>
        <w:tc>
          <w:tcPr>
            <w:tcW w:w="1417" w:type="dxa"/>
            <w:shd w:val="clear" w:color="auto" w:fill="FFFFFF"/>
          </w:tcPr>
          <w:p w14:paraId="39D88F5D" w14:textId="77777777" w:rsidR="009D37AB" w:rsidRDefault="009D37AB" w:rsidP="00C94EAC">
            <w:pPr>
              <w:pStyle w:val="CETBodytext"/>
              <w:ind w:right="-1"/>
              <w:jc w:val="center"/>
            </w:pPr>
            <w:r>
              <w:rPr>
                <w:lang w:val="en-GB"/>
              </w:rPr>
              <w:t>Recovery (%)</w:t>
            </w:r>
          </w:p>
        </w:tc>
      </w:tr>
      <w:tr w:rsidR="009D37AB" w:rsidRPr="00D45381" w14:paraId="4F25A090" w14:textId="77777777" w:rsidTr="00B1537E">
        <w:tc>
          <w:tcPr>
            <w:tcW w:w="2551" w:type="dxa"/>
            <w:shd w:val="clear" w:color="auto" w:fill="FFFFFF"/>
          </w:tcPr>
          <w:p w14:paraId="69E9C7F6" w14:textId="77777777" w:rsidR="009D37AB" w:rsidRDefault="009D37AB" w:rsidP="00C94EAC">
            <w:pPr>
              <w:pStyle w:val="CETBodytext"/>
              <w:ind w:right="-1"/>
              <w:jc w:val="left"/>
            </w:pPr>
            <w:r>
              <w:t xml:space="preserve">Acid insoluble lignin (% on </w:t>
            </w:r>
            <w:proofErr w:type="spellStart"/>
            <w:r>
              <w:t>dw</w:t>
            </w:r>
            <w:proofErr w:type="spellEnd"/>
            <w:r>
              <w:t>)</w:t>
            </w:r>
          </w:p>
        </w:tc>
        <w:tc>
          <w:tcPr>
            <w:tcW w:w="1417" w:type="dxa"/>
            <w:tcBorders>
              <w:top w:val="nil"/>
              <w:left w:val="nil"/>
              <w:bottom w:val="nil"/>
              <w:right w:val="nil"/>
            </w:tcBorders>
            <w:shd w:val="clear" w:color="auto" w:fill="auto"/>
            <w:vAlign w:val="bottom"/>
          </w:tcPr>
          <w:p w14:paraId="48A9122A" w14:textId="23DB440C" w:rsidR="009D37AB" w:rsidRPr="00F15D39" w:rsidRDefault="00C22C63" w:rsidP="00C94EAC">
            <w:pPr>
              <w:pStyle w:val="CETBodytext"/>
              <w:ind w:right="-1"/>
              <w:jc w:val="center"/>
            </w:pPr>
            <w:r w:rsidRPr="00D45381">
              <w:t>22.05</w:t>
            </w:r>
            <w:r w:rsidR="00597B70">
              <w:t xml:space="preserve"> </w:t>
            </w:r>
            <w:r w:rsidR="00597B70" w:rsidRPr="00F15D39">
              <w:t>±</w:t>
            </w:r>
            <w:r w:rsidR="00597B70">
              <w:t xml:space="preserve"> 2.07</w:t>
            </w:r>
          </w:p>
        </w:tc>
        <w:tc>
          <w:tcPr>
            <w:tcW w:w="1561" w:type="dxa"/>
            <w:shd w:val="clear" w:color="auto" w:fill="FFFFFF"/>
            <w:vAlign w:val="bottom"/>
          </w:tcPr>
          <w:p w14:paraId="192AC162" w14:textId="2BBDD477" w:rsidR="009D37AB" w:rsidRDefault="00D45381" w:rsidP="00C94EAC">
            <w:pPr>
              <w:pStyle w:val="CETBodytext"/>
              <w:ind w:right="-1"/>
              <w:jc w:val="center"/>
            </w:pPr>
            <w:r w:rsidRPr="00D45381">
              <w:t>60.78</w:t>
            </w:r>
            <w:r>
              <w:t xml:space="preserve"> </w:t>
            </w:r>
            <w:r w:rsidRPr="00F15D39">
              <w:t>±</w:t>
            </w:r>
            <w:r>
              <w:t xml:space="preserve"> 5.69</w:t>
            </w:r>
          </w:p>
        </w:tc>
        <w:tc>
          <w:tcPr>
            <w:tcW w:w="1273" w:type="dxa"/>
            <w:shd w:val="clear" w:color="auto" w:fill="FFFFFF"/>
            <w:vAlign w:val="bottom"/>
          </w:tcPr>
          <w:p w14:paraId="18498433" w14:textId="05FEF505" w:rsidR="009D37AB" w:rsidRDefault="00D45381" w:rsidP="00C94EAC">
            <w:pPr>
              <w:pStyle w:val="CETBodytext"/>
              <w:ind w:right="-1"/>
              <w:jc w:val="center"/>
            </w:pPr>
            <w:r w:rsidRPr="00D45381">
              <w:t>7.83</w:t>
            </w:r>
            <w:r>
              <w:t xml:space="preserve"> </w:t>
            </w:r>
            <w:r w:rsidRPr="00F15D39">
              <w:t>±</w:t>
            </w:r>
            <w:r>
              <w:t xml:space="preserve"> 2.16</w:t>
            </w:r>
          </w:p>
        </w:tc>
        <w:tc>
          <w:tcPr>
            <w:tcW w:w="1417" w:type="dxa"/>
            <w:shd w:val="clear" w:color="auto" w:fill="FFFFFF"/>
            <w:vAlign w:val="bottom"/>
          </w:tcPr>
          <w:p w14:paraId="576169D3" w14:textId="2D07AABC" w:rsidR="009D37AB" w:rsidRDefault="00D45381" w:rsidP="00C94EAC">
            <w:pPr>
              <w:pStyle w:val="CETBodytext"/>
              <w:ind w:right="-1"/>
              <w:jc w:val="center"/>
            </w:pPr>
            <w:r w:rsidRPr="00D45381">
              <w:t>15.65</w:t>
            </w:r>
            <w:r>
              <w:t xml:space="preserve"> </w:t>
            </w:r>
            <w:r w:rsidRPr="00F15D39">
              <w:t>±</w:t>
            </w:r>
            <w:r>
              <w:t xml:space="preserve"> 4.32</w:t>
            </w:r>
          </w:p>
        </w:tc>
      </w:tr>
      <w:tr w:rsidR="009D37AB" w:rsidRPr="00D45381" w14:paraId="6DD7474A" w14:textId="77777777" w:rsidTr="00B1537E">
        <w:tc>
          <w:tcPr>
            <w:tcW w:w="2551" w:type="dxa"/>
            <w:shd w:val="clear" w:color="auto" w:fill="FFFFFF"/>
          </w:tcPr>
          <w:p w14:paraId="718D9724" w14:textId="77777777" w:rsidR="009D37AB" w:rsidRPr="00B57B36" w:rsidRDefault="009D37AB" w:rsidP="00C94EAC">
            <w:pPr>
              <w:pStyle w:val="CETBodytext"/>
              <w:ind w:right="-1"/>
              <w:jc w:val="left"/>
              <w:rPr>
                <w:rFonts w:cs="Arial"/>
                <w:szCs w:val="18"/>
                <w:lang w:val="en-GB"/>
              </w:rPr>
            </w:pPr>
            <w:r>
              <w:t xml:space="preserve">Acid soluble lignin (% on </w:t>
            </w:r>
            <w:proofErr w:type="spellStart"/>
            <w:r>
              <w:t>dw</w:t>
            </w:r>
            <w:proofErr w:type="spellEnd"/>
            <w:r>
              <w:t>)</w:t>
            </w:r>
          </w:p>
        </w:tc>
        <w:tc>
          <w:tcPr>
            <w:tcW w:w="1417" w:type="dxa"/>
            <w:tcBorders>
              <w:top w:val="nil"/>
              <w:left w:val="nil"/>
              <w:bottom w:val="nil"/>
              <w:right w:val="nil"/>
            </w:tcBorders>
            <w:shd w:val="clear" w:color="auto" w:fill="auto"/>
            <w:vAlign w:val="bottom"/>
          </w:tcPr>
          <w:p w14:paraId="5FEC3052" w14:textId="3DD5BFE1" w:rsidR="009D37AB" w:rsidRDefault="00C22C63" w:rsidP="00C94EAC">
            <w:pPr>
              <w:pStyle w:val="CETBodytext"/>
              <w:ind w:right="-1"/>
              <w:jc w:val="center"/>
            </w:pPr>
            <w:r w:rsidRPr="00D45381">
              <w:t>0</w:t>
            </w:r>
            <w:r w:rsidR="00597B70" w:rsidRPr="00D45381">
              <w:t>.</w:t>
            </w:r>
            <w:r w:rsidRPr="00D45381">
              <w:t>50</w:t>
            </w:r>
            <w:r w:rsidR="00597B70">
              <w:t xml:space="preserve"> </w:t>
            </w:r>
            <w:r w:rsidR="00597B70" w:rsidRPr="00F15D39">
              <w:t>±</w:t>
            </w:r>
            <w:r w:rsidR="00597B70">
              <w:t xml:space="preserve"> 0.01</w:t>
            </w:r>
          </w:p>
        </w:tc>
        <w:tc>
          <w:tcPr>
            <w:tcW w:w="1561" w:type="dxa"/>
            <w:shd w:val="clear" w:color="auto" w:fill="FFFFFF"/>
            <w:vAlign w:val="bottom"/>
          </w:tcPr>
          <w:p w14:paraId="03069787" w14:textId="5BC2FB4A" w:rsidR="009D37AB" w:rsidRPr="00F15D39" w:rsidRDefault="00D45381" w:rsidP="00C94EAC">
            <w:pPr>
              <w:pStyle w:val="CETBodytext"/>
              <w:ind w:right="-1"/>
              <w:jc w:val="center"/>
            </w:pPr>
            <w:r w:rsidRPr="00D45381">
              <w:t>12.48</w:t>
            </w:r>
            <w:r w:rsidR="009D37AB">
              <w:t xml:space="preserve"> </w:t>
            </w:r>
            <w:r w:rsidR="009D37AB" w:rsidRPr="00F15D39">
              <w:t>± 0</w:t>
            </w:r>
            <w:r w:rsidR="009D37AB">
              <w:t>.</w:t>
            </w:r>
            <w:r>
              <w:t>17</w:t>
            </w:r>
          </w:p>
        </w:tc>
        <w:tc>
          <w:tcPr>
            <w:tcW w:w="1273" w:type="dxa"/>
            <w:shd w:val="clear" w:color="auto" w:fill="FFFFFF"/>
            <w:vAlign w:val="bottom"/>
          </w:tcPr>
          <w:p w14:paraId="2EEFD270" w14:textId="484A93C0" w:rsidR="009D37AB" w:rsidRDefault="009D37AB" w:rsidP="00C94EAC">
            <w:pPr>
              <w:pStyle w:val="CETBodytext"/>
              <w:ind w:right="-1"/>
              <w:jc w:val="center"/>
            </w:pPr>
            <w:r>
              <w:t>0.</w:t>
            </w:r>
            <w:r w:rsidR="00D45381" w:rsidRPr="00D45381">
              <w:t>62</w:t>
            </w:r>
            <w:r>
              <w:t xml:space="preserve"> </w:t>
            </w:r>
            <w:r w:rsidRPr="00F15D39">
              <w:t>± 0</w:t>
            </w:r>
            <w:r>
              <w:t>.</w:t>
            </w:r>
            <w:r w:rsidR="00D45381">
              <w:t>01</w:t>
            </w:r>
          </w:p>
        </w:tc>
        <w:tc>
          <w:tcPr>
            <w:tcW w:w="1417" w:type="dxa"/>
            <w:shd w:val="clear" w:color="auto" w:fill="FFFFFF"/>
            <w:vAlign w:val="bottom"/>
          </w:tcPr>
          <w:p w14:paraId="4168D59A" w14:textId="337514A2" w:rsidR="009D37AB" w:rsidRDefault="00D45381" w:rsidP="00C94EAC">
            <w:pPr>
              <w:pStyle w:val="CETBodytext"/>
              <w:ind w:right="-1"/>
              <w:jc w:val="center"/>
            </w:pPr>
            <w:r w:rsidRPr="00D45381">
              <w:t>11.14</w:t>
            </w:r>
            <w:r w:rsidR="009D37AB">
              <w:t xml:space="preserve"> </w:t>
            </w:r>
            <w:r w:rsidR="009D37AB" w:rsidRPr="00F15D39">
              <w:t>± 0</w:t>
            </w:r>
            <w:r w:rsidR="009D37AB">
              <w:t>.</w:t>
            </w:r>
            <w:r>
              <w:t>13</w:t>
            </w:r>
          </w:p>
        </w:tc>
      </w:tr>
      <w:tr w:rsidR="009D37AB" w:rsidRPr="00D45381" w14:paraId="6CBCF95E" w14:textId="77777777" w:rsidTr="00B1537E">
        <w:tc>
          <w:tcPr>
            <w:tcW w:w="2551" w:type="dxa"/>
            <w:shd w:val="clear" w:color="auto" w:fill="FFFFFF"/>
          </w:tcPr>
          <w:p w14:paraId="76D6D39F" w14:textId="77777777" w:rsidR="009D37AB" w:rsidRPr="00B57B36" w:rsidRDefault="009D37AB" w:rsidP="00C94EAC">
            <w:pPr>
              <w:pStyle w:val="CETBodytext"/>
              <w:ind w:right="-1"/>
              <w:jc w:val="left"/>
              <w:rPr>
                <w:rFonts w:cs="Arial"/>
                <w:szCs w:val="18"/>
                <w:lang w:val="en-GB"/>
              </w:rPr>
            </w:pPr>
            <w:r>
              <w:t xml:space="preserve">Cellulose (% on </w:t>
            </w:r>
            <w:proofErr w:type="spellStart"/>
            <w:r>
              <w:t>dw</w:t>
            </w:r>
            <w:proofErr w:type="spellEnd"/>
            <w:r>
              <w:t>)</w:t>
            </w:r>
          </w:p>
        </w:tc>
        <w:tc>
          <w:tcPr>
            <w:tcW w:w="1417" w:type="dxa"/>
            <w:tcBorders>
              <w:top w:val="nil"/>
              <w:left w:val="nil"/>
              <w:bottom w:val="nil"/>
              <w:right w:val="nil"/>
            </w:tcBorders>
            <w:shd w:val="clear" w:color="auto" w:fill="auto"/>
            <w:vAlign w:val="bottom"/>
          </w:tcPr>
          <w:p w14:paraId="2A8170C7" w14:textId="048272D8" w:rsidR="009D37AB" w:rsidRDefault="00C22C63" w:rsidP="00C94EAC">
            <w:pPr>
              <w:pStyle w:val="CETBodytext"/>
              <w:ind w:right="-1"/>
              <w:jc w:val="center"/>
            </w:pPr>
            <w:r w:rsidRPr="00D45381">
              <w:t>41</w:t>
            </w:r>
            <w:r w:rsidR="00597B70" w:rsidRPr="00D45381">
              <w:t>.</w:t>
            </w:r>
            <w:r w:rsidRPr="00D45381">
              <w:t>71</w:t>
            </w:r>
            <w:r w:rsidR="00597B70">
              <w:t xml:space="preserve"> </w:t>
            </w:r>
            <w:r w:rsidR="00597B70" w:rsidRPr="00F15D39">
              <w:t>±</w:t>
            </w:r>
            <w:r w:rsidR="00597B70">
              <w:t xml:space="preserve"> 0.04</w:t>
            </w:r>
          </w:p>
        </w:tc>
        <w:tc>
          <w:tcPr>
            <w:tcW w:w="1561" w:type="dxa"/>
            <w:shd w:val="clear" w:color="auto" w:fill="FFFFFF"/>
            <w:vAlign w:val="bottom"/>
          </w:tcPr>
          <w:p w14:paraId="42D03911" w14:textId="237B5BAF" w:rsidR="009D37AB" w:rsidRPr="00F15D39" w:rsidRDefault="00D45381" w:rsidP="00C94EAC">
            <w:pPr>
              <w:pStyle w:val="CETBodytext"/>
              <w:ind w:right="-1"/>
              <w:jc w:val="center"/>
            </w:pPr>
            <w:r w:rsidRPr="00D45381">
              <w:t>109.59</w:t>
            </w:r>
            <w:r>
              <w:t xml:space="preserve"> </w:t>
            </w:r>
            <w:r w:rsidRPr="00F15D39">
              <w:t>±</w:t>
            </w:r>
            <w:r>
              <w:t xml:space="preserve"> 0.12</w:t>
            </w:r>
          </w:p>
        </w:tc>
        <w:tc>
          <w:tcPr>
            <w:tcW w:w="1273" w:type="dxa"/>
            <w:shd w:val="clear" w:color="auto" w:fill="FFFFFF"/>
            <w:vAlign w:val="bottom"/>
          </w:tcPr>
          <w:p w14:paraId="492A128C" w14:textId="6D48F38A" w:rsidR="009D37AB" w:rsidRDefault="00D45381" w:rsidP="00C94EAC">
            <w:pPr>
              <w:pStyle w:val="CETBodytext"/>
              <w:ind w:right="-1"/>
              <w:jc w:val="center"/>
            </w:pPr>
            <w:r w:rsidRPr="00D45381">
              <w:t>55.18</w:t>
            </w:r>
            <w:r>
              <w:t xml:space="preserve"> </w:t>
            </w:r>
            <w:r w:rsidRPr="00F15D39">
              <w:t>±</w:t>
            </w:r>
            <w:r>
              <w:t xml:space="preserve"> 1.25</w:t>
            </w:r>
          </w:p>
        </w:tc>
        <w:tc>
          <w:tcPr>
            <w:tcW w:w="1417" w:type="dxa"/>
            <w:shd w:val="clear" w:color="auto" w:fill="FFFFFF"/>
            <w:vAlign w:val="bottom"/>
          </w:tcPr>
          <w:p w14:paraId="6E1668BC" w14:textId="01B064F4" w:rsidR="009D37AB" w:rsidRDefault="00D45381" w:rsidP="00C94EAC">
            <w:pPr>
              <w:pStyle w:val="CETBodytext"/>
              <w:ind w:right="-1"/>
              <w:jc w:val="center"/>
            </w:pPr>
            <w:r w:rsidRPr="00D45381">
              <w:t>105.11</w:t>
            </w:r>
            <w:r>
              <w:t xml:space="preserve"> </w:t>
            </w:r>
            <w:r w:rsidRPr="00F15D39">
              <w:t>±</w:t>
            </w:r>
            <w:r>
              <w:t xml:space="preserve"> 2.38</w:t>
            </w:r>
          </w:p>
        </w:tc>
      </w:tr>
      <w:tr w:rsidR="002F773E" w:rsidRPr="00D45381" w14:paraId="1E576A07" w14:textId="77777777" w:rsidTr="00B1537E">
        <w:tc>
          <w:tcPr>
            <w:tcW w:w="2551" w:type="dxa"/>
            <w:shd w:val="clear" w:color="auto" w:fill="FFFFFF"/>
          </w:tcPr>
          <w:p w14:paraId="28B77BC4" w14:textId="77777777" w:rsidR="009D37AB" w:rsidRPr="00B57B36" w:rsidRDefault="009D37AB" w:rsidP="00C94EAC">
            <w:pPr>
              <w:pStyle w:val="CETBodytext"/>
              <w:ind w:right="-1"/>
              <w:jc w:val="left"/>
              <w:rPr>
                <w:rFonts w:cs="Arial"/>
                <w:szCs w:val="18"/>
                <w:lang w:val="en-GB"/>
              </w:rPr>
            </w:pPr>
            <w:r>
              <w:t xml:space="preserve">Hemicellulose (% on </w:t>
            </w:r>
            <w:proofErr w:type="spellStart"/>
            <w:r>
              <w:t>dw</w:t>
            </w:r>
            <w:proofErr w:type="spellEnd"/>
            <w:r>
              <w:t>)</w:t>
            </w:r>
          </w:p>
        </w:tc>
        <w:tc>
          <w:tcPr>
            <w:tcW w:w="1417" w:type="dxa"/>
            <w:shd w:val="clear" w:color="auto" w:fill="FFFFFF"/>
            <w:vAlign w:val="bottom"/>
          </w:tcPr>
          <w:p w14:paraId="2213E858" w14:textId="7CEA8C40" w:rsidR="009D37AB" w:rsidRDefault="00C22C63" w:rsidP="00C94EAC">
            <w:pPr>
              <w:pStyle w:val="CETBodytext"/>
              <w:ind w:right="-1"/>
              <w:jc w:val="center"/>
            </w:pPr>
            <w:r w:rsidRPr="00D45381">
              <w:t>2</w:t>
            </w:r>
            <w:r w:rsidR="00597B70" w:rsidRPr="00D45381">
              <w:t>.</w:t>
            </w:r>
            <w:r w:rsidRPr="00D45381">
              <w:t>08</w:t>
            </w:r>
            <w:r w:rsidR="00597B70">
              <w:t xml:space="preserve"> </w:t>
            </w:r>
            <w:r w:rsidR="00597B70" w:rsidRPr="00F15D39">
              <w:t>±</w:t>
            </w:r>
            <w:r w:rsidR="00597B70">
              <w:t xml:space="preserve"> 0.14</w:t>
            </w:r>
          </w:p>
        </w:tc>
        <w:tc>
          <w:tcPr>
            <w:tcW w:w="1561" w:type="dxa"/>
            <w:shd w:val="clear" w:color="auto" w:fill="FFFFFF"/>
            <w:vAlign w:val="bottom"/>
          </w:tcPr>
          <w:p w14:paraId="70C53F26" w14:textId="073582A7" w:rsidR="009D37AB" w:rsidRPr="00F15D39" w:rsidRDefault="00D45381" w:rsidP="00C94EAC">
            <w:pPr>
              <w:pStyle w:val="CETBodytext"/>
              <w:ind w:right="-1"/>
              <w:jc w:val="center"/>
            </w:pPr>
            <w:r w:rsidRPr="00D45381">
              <w:t>8.28</w:t>
            </w:r>
            <w:r w:rsidR="009D37AB">
              <w:t xml:space="preserve"> </w:t>
            </w:r>
            <w:r w:rsidR="009D37AB" w:rsidRPr="00F15D39">
              <w:t xml:space="preserve">± </w:t>
            </w:r>
            <w:r w:rsidR="009D37AB">
              <w:t>0.</w:t>
            </w:r>
            <w:r>
              <w:t>56</w:t>
            </w:r>
          </w:p>
        </w:tc>
        <w:tc>
          <w:tcPr>
            <w:tcW w:w="1273" w:type="dxa"/>
            <w:shd w:val="clear" w:color="auto" w:fill="FFFFFF"/>
            <w:vAlign w:val="bottom"/>
          </w:tcPr>
          <w:p w14:paraId="5A148412" w14:textId="5883C8FC" w:rsidR="009D37AB" w:rsidRDefault="00D45381" w:rsidP="00C94EAC">
            <w:pPr>
              <w:pStyle w:val="CETBodytext"/>
              <w:ind w:right="-1"/>
              <w:jc w:val="center"/>
            </w:pPr>
            <w:r w:rsidRPr="00D45381">
              <w:t>2.14</w:t>
            </w:r>
            <w:r>
              <w:t xml:space="preserve"> </w:t>
            </w:r>
            <w:r w:rsidRPr="00F15D39">
              <w:t>±</w:t>
            </w:r>
            <w:r>
              <w:t xml:space="preserve"> 0.30</w:t>
            </w:r>
          </w:p>
        </w:tc>
        <w:tc>
          <w:tcPr>
            <w:tcW w:w="1417" w:type="dxa"/>
            <w:shd w:val="clear" w:color="auto" w:fill="FFFFFF"/>
            <w:vAlign w:val="bottom"/>
          </w:tcPr>
          <w:p w14:paraId="601B9CB3" w14:textId="1F1395ED" w:rsidR="009D37AB" w:rsidRDefault="00D45381" w:rsidP="00C94EAC">
            <w:pPr>
              <w:pStyle w:val="CETBodytext"/>
              <w:ind w:right="-1"/>
              <w:jc w:val="center"/>
            </w:pPr>
            <w:r w:rsidRPr="00D45381">
              <w:t>6.16</w:t>
            </w:r>
            <w:r w:rsidR="009D37AB">
              <w:t xml:space="preserve"> </w:t>
            </w:r>
            <w:r w:rsidR="009D37AB" w:rsidRPr="00F15D39">
              <w:t xml:space="preserve">± </w:t>
            </w:r>
            <w:r w:rsidR="009D37AB">
              <w:t>0.</w:t>
            </w:r>
            <w:r>
              <w:t>86</w:t>
            </w:r>
          </w:p>
        </w:tc>
      </w:tr>
    </w:tbl>
    <w:p w14:paraId="1C442B5B" w14:textId="77777777" w:rsidR="00440389" w:rsidRDefault="00440389" w:rsidP="00600535">
      <w:pPr>
        <w:pStyle w:val="CETBodytext"/>
        <w:rPr>
          <w:lang w:val="en-GB"/>
        </w:rPr>
      </w:pPr>
    </w:p>
    <w:p w14:paraId="2C06A451" w14:textId="22FF65D9" w:rsidR="0092755C" w:rsidRDefault="0092755C" w:rsidP="0092755C">
      <w:pPr>
        <w:pStyle w:val="CETBodytext"/>
        <w:rPr>
          <w:lang w:val="en-GB"/>
        </w:rPr>
      </w:pPr>
      <w:r w:rsidRPr="00C84554">
        <w:rPr>
          <w:lang w:val="en-GB"/>
        </w:rPr>
        <w:t xml:space="preserve">Comparing the cases at different temperatures, it can be seen that there is a positive effect of temperature in terms of reducing lignin content. </w:t>
      </w:r>
      <w:r w:rsidR="00B917BE" w:rsidRPr="00B917BE">
        <w:rPr>
          <w:lang w:val="en-GB"/>
        </w:rPr>
        <w:t>For instance, considering the optimal scenario targeted in this study (i.e., alkaline hydrolysis with 1.5% w/v NaOH)</w:t>
      </w:r>
      <w:r w:rsidRPr="00C84554">
        <w:rPr>
          <w:lang w:val="en-GB"/>
        </w:rPr>
        <w:t>, the lignin content drops from about 14</w:t>
      </w:r>
      <w:r>
        <w:rPr>
          <w:lang w:val="en-GB"/>
        </w:rPr>
        <w:t xml:space="preserve">% </w:t>
      </w:r>
      <w:r w:rsidRPr="00C84554">
        <w:rPr>
          <w:lang w:val="en-GB"/>
        </w:rPr>
        <w:t xml:space="preserve">to </w:t>
      </w:r>
      <w:r>
        <w:rPr>
          <w:lang w:val="en-GB"/>
        </w:rPr>
        <w:t>8%</w:t>
      </w:r>
      <w:r w:rsidRPr="00C84554">
        <w:rPr>
          <w:lang w:val="en-GB"/>
        </w:rPr>
        <w:t xml:space="preserve"> w/w and consequently</w:t>
      </w:r>
      <w:r w:rsidR="00B054BB">
        <w:rPr>
          <w:lang w:val="en-GB"/>
        </w:rPr>
        <w:t>,</w:t>
      </w:r>
      <w:r w:rsidRPr="00C84554">
        <w:rPr>
          <w:lang w:val="en-GB"/>
        </w:rPr>
        <w:t xml:space="preserve"> the lignin removal increased from about 72</w:t>
      </w:r>
      <w:r>
        <w:rPr>
          <w:lang w:val="en-GB"/>
        </w:rPr>
        <w:t xml:space="preserve">% </w:t>
      </w:r>
      <w:r w:rsidRPr="00C84554">
        <w:rPr>
          <w:lang w:val="en-GB"/>
        </w:rPr>
        <w:t>to 85</w:t>
      </w:r>
      <w:r>
        <w:rPr>
          <w:lang w:val="en-GB"/>
        </w:rPr>
        <w:t>%</w:t>
      </w:r>
      <w:r w:rsidRPr="00C84554">
        <w:rPr>
          <w:lang w:val="en-GB"/>
        </w:rPr>
        <w:t>.</w:t>
      </w:r>
      <w:r>
        <w:rPr>
          <w:lang w:val="en-GB"/>
        </w:rPr>
        <w:t xml:space="preserve"> </w:t>
      </w:r>
      <w:r w:rsidRPr="00722DC7">
        <w:rPr>
          <w:lang w:val="en-GB"/>
        </w:rPr>
        <w:t xml:space="preserve">However, it is useful </w:t>
      </w:r>
      <w:r>
        <w:rPr>
          <w:lang w:val="en-GB"/>
        </w:rPr>
        <w:t xml:space="preserve">to point out </w:t>
      </w:r>
      <w:r w:rsidRPr="00722DC7">
        <w:rPr>
          <w:lang w:val="en-GB"/>
        </w:rPr>
        <w:t>that treatment at 60°C has higher energy consumption</w:t>
      </w:r>
      <w:r>
        <w:rPr>
          <w:lang w:val="en-GB"/>
        </w:rPr>
        <w:t xml:space="preserve"> so</w:t>
      </w:r>
      <w:r w:rsidRPr="00722DC7">
        <w:rPr>
          <w:lang w:val="en-GB"/>
        </w:rPr>
        <w:t xml:space="preserve"> it will be necessary to investigate</w:t>
      </w:r>
      <w:r>
        <w:rPr>
          <w:lang w:val="en-GB"/>
        </w:rPr>
        <w:t>, as</w:t>
      </w:r>
      <w:r w:rsidR="002204DC">
        <w:rPr>
          <w:lang w:val="en-GB"/>
        </w:rPr>
        <w:t xml:space="preserve"> </w:t>
      </w:r>
      <w:r w:rsidR="00F3409B">
        <w:rPr>
          <w:lang w:val="en-GB"/>
        </w:rPr>
        <w:t xml:space="preserve">a </w:t>
      </w:r>
      <w:r>
        <w:rPr>
          <w:lang w:val="en-GB"/>
        </w:rPr>
        <w:t xml:space="preserve">future step of this work, </w:t>
      </w:r>
      <w:r w:rsidRPr="00722DC7">
        <w:rPr>
          <w:lang w:val="en-GB"/>
        </w:rPr>
        <w:t>the cost-effectiveness of treatments at higher temperatures. An</w:t>
      </w:r>
      <w:r>
        <w:rPr>
          <w:lang w:val="en-GB"/>
        </w:rPr>
        <w:t>other</w:t>
      </w:r>
      <w:r w:rsidRPr="00722DC7">
        <w:rPr>
          <w:lang w:val="en-GB"/>
        </w:rPr>
        <w:t xml:space="preserve"> interesting aspect to </w:t>
      </w:r>
      <w:r>
        <w:rPr>
          <w:lang w:val="en-GB"/>
        </w:rPr>
        <w:t>be investigated</w:t>
      </w:r>
      <w:r w:rsidRPr="00722DC7">
        <w:rPr>
          <w:lang w:val="en-GB"/>
        </w:rPr>
        <w:t xml:space="preserve"> will be </w:t>
      </w:r>
      <w:r>
        <w:rPr>
          <w:lang w:val="en-GB"/>
        </w:rPr>
        <w:t xml:space="preserve">the effect of the treatment </w:t>
      </w:r>
      <w:r w:rsidRPr="00722DC7">
        <w:rPr>
          <w:lang w:val="en-GB"/>
        </w:rPr>
        <w:t>time</w:t>
      </w:r>
      <w:r w:rsidR="00AE3F82">
        <w:rPr>
          <w:lang w:val="en-GB"/>
        </w:rPr>
        <w:t xml:space="preserve">. </w:t>
      </w:r>
      <w:r w:rsidR="00AE3F82" w:rsidRPr="00AE3F82">
        <w:rPr>
          <w:lang w:val="en-GB"/>
        </w:rPr>
        <w:t>It may be feasible to reduce this duration by operating at higher temperatures to attain comparable results, thus offsetting the increased costs associated with elevated operating temperatures</w:t>
      </w:r>
      <w:r w:rsidRPr="00722DC7">
        <w:rPr>
          <w:lang w:val="en-GB"/>
        </w:rPr>
        <w:t>.</w:t>
      </w:r>
      <w:r>
        <w:rPr>
          <w:lang w:val="en-GB"/>
        </w:rPr>
        <w:t xml:space="preserve"> Moreover</w:t>
      </w:r>
      <w:r w:rsidRPr="00DA7934">
        <w:rPr>
          <w:lang w:val="en-GB"/>
        </w:rPr>
        <w:t xml:space="preserve">, it is interesting to point out that although a lignin </w:t>
      </w:r>
      <w:r>
        <w:rPr>
          <w:lang w:val="en-GB"/>
        </w:rPr>
        <w:t xml:space="preserve">removal </w:t>
      </w:r>
      <w:r w:rsidRPr="00DA7934">
        <w:rPr>
          <w:lang w:val="en-GB"/>
        </w:rPr>
        <w:t>between</w:t>
      </w:r>
      <w:r>
        <w:rPr>
          <w:lang w:val="en-GB"/>
        </w:rPr>
        <w:t xml:space="preserve"> about</w:t>
      </w:r>
      <w:r w:rsidRPr="00DA7934">
        <w:rPr>
          <w:lang w:val="en-GB"/>
        </w:rPr>
        <w:t xml:space="preserve"> 60</w:t>
      </w:r>
      <w:r>
        <w:rPr>
          <w:lang w:val="en-GB"/>
        </w:rPr>
        <w:t>%</w:t>
      </w:r>
      <w:r w:rsidRPr="00DA7934">
        <w:rPr>
          <w:lang w:val="en-GB"/>
        </w:rPr>
        <w:t xml:space="preserve"> and 85</w:t>
      </w:r>
      <w:r>
        <w:rPr>
          <w:lang w:val="en-GB"/>
        </w:rPr>
        <w:t>%</w:t>
      </w:r>
      <w:r w:rsidRPr="00DA7934">
        <w:rPr>
          <w:lang w:val="en-GB"/>
        </w:rPr>
        <w:t xml:space="preserve"> could be considered high, further investigation can be done to further reduce the lignin content and thus purify the final cellulose obtained by increasing the severity of the alkali treatment (e.g., with higher temperatures and/or longer treatment times). However, this could lead to increased degradation not only of lignin but also of cellulose. Therefore, an optimization of the process will be necessary through also the use of phenomenological </w:t>
      </w:r>
      <w:r>
        <w:rPr>
          <w:lang w:val="en-GB"/>
        </w:rPr>
        <w:t xml:space="preserve">mathematical </w:t>
      </w:r>
      <w:r w:rsidRPr="00DA7934">
        <w:rPr>
          <w:lang w:val="en-GB"/>
        </w:rPr>
        <w:t>models and</w:t>
      </w:r>
      <w:r>
        <w:rPr>
          <w:lang w:val="en-GB"/>
        </w:rPr>
        <w:t>/</w:t>
      </w:r>
      <w:r w:rsidRPr="00DA7934">
        <w:rPr>
          <w:lang w:val="en-GB"/>
        </w:rPr>
        <w:t>or models based on the response surface methodology</w:t>
      </w:r>
      <w:r>
        <w:rPr>
          <w:lang w:val="en-GB"/>
        </w:rPr>
        <w:t xml:space="preserve"> (</w:t>
      </w:r>
      <w:r w:rsidR="00813A81" w:rsidRPr="00813A81">
        <w:t>Dhara</w:t>
      </w:r>
      <w:r w:rsidR="00813A81">
        <w:t xml:space="preserve"> et al., 2023</w:t>
      </w:r>
      <w:r>
        <w:rPr>
          <w:lang w:val="en-GB"/>
        </w:rPr>
        <w:t>)</w:t>
      </w:r>
      <w:r w:rsidRPr="00DA7934">
        <w:rPr>
          <w:lang w:val="en-GB"/>
        </w:rPr>
        <w:t>.</w:t>
      </w:r>
    </w:p>
    <w:p w14:paraId="68D26B83" w14:textId="77777777" w:rsidR="00600535" w:rsidRPr="00B57B36" w:rsidRDefault="00600535" w:rsidP="00600535">
      <w:pPr>
        <w:pStyle w:val="CETHeading1"/>
        <w:rPr>
          <w:lang w:val="en-GB"/>
        </w:rPr>
      </w:pPr>
      <w:r w:rsidRPr="00B57B36">
        <w:rPr>
          <w:lang w:val="en-GB"/>
        </w:rPr>
        <w:t>Conclusions</w:t>
      </w:r>
    </w:p>
    <w:p w14:paraId="52DAFDE0" w14:textId="40B4BCB4" w:rsidR="001D0CFB" w:rsidRDefault="00811BE3" w:rsidP="00BE6A2C">
      <w:pPr>
        <w:pStyle w:val="CETBodytext"/>
        <w:rPr>
          <w:lang w:val="en-GB"/>
        </w:rPr>
      </w:pPr>
      <w:r>
        <w:rPr>
          <w:lang w:val="en-GB"/>
        </w:rPr>
        <w:t>In</w:t>
      </w:r>
      <w:r w:rsidR="00896AE6" w:rsidRPr="00896AE6">
        <w:rPr>
          <w:lang w:val="en-GB"/>
        </w:rPr>
        <w:t xml:space="preserve"> this work </w:t>
      </w:r>
      <w:r w:rsidRPr="00896AE6">
        <w:rPr>
          <w:lang w:val="en-GB"/>
        </w:rPr>
        <w:t xml:space="preserve">a new process for cellulose isolation by enhancing oilseed cakes as a raw material </w:t>
      </w:r>
      <w:r w:rsidR="00896AE6" w:rsidRPr="00896AE6">
        <w:rPr>
          <w:lang w:val="en-GB"/>
        </w:rPr>
        <w:t>was investigate</w:t>
      </w:r>
      <w:r>
        <w:rPr>
          <w:lang w:val="en-GB"/>
        </w:rPr>
        <w:t>d</w:t>
      </w:r>
      <w:r w:rsidR="00896AE6" w:rsidRPr="00896AE6">
        <w:rPr>
          <w:lang w:val="en-GB"/>
        </w:rPr>
        <w:t>. This process involves three treatment steps, namely alkaline hydrolysis with NaOH and bleaching preceded by an autohydrolysis step. The latter allows almost all of the hemicellulose and some of the lignin to be degraded, replacing the traditional and more impactful acid hydrolysis treatment</w:t>
      </w:r>
      <w:r w:rsidR="006279DB">
        <w:rPr>
          <w:lang w:val="en-GB"/>
        </w:rPr>
        <w:t>.</w:t>
      </w:r>
      <w:r w:rsidR="00DE0664">
        <w:rPr>
          <w:lang w:val="en-GB"/>
        </w:rPr>
        <w:t xml:space="preserve"> Moreover</w:t>
      </w:r>
      <w:r w:rsidR="00DE0664" w:rsidRPr="00DE0664">
        <w:rPr>
          <w:lang w:val="en-GB"/>
        </w:rPr>
        <w:t xml:space="preserve">, the effects of NaOH concentration and temperature on the alkaline hydrolysis treatment were investigated. </w:t>
      </w:r>
      <w:r w:rsidR="00DE0664">
        <w:rPr>
          <w:lang w:val="en-GB"/>
        </w:rPr>
        <w:t>I</w:t>
      </w:r>
      <w:r w:rsidR="00DE0664" w:rsidRPr="00DE0664">
        <w:rPr>
          <w:lang w:val="en-GB"/>
        </w:rPr>
        <w:t>t was observed that the best conditions for cellulose isolation were obtained through alkaline hydrolysis with 1.5</w:t>
      </w:r>
      <w:r w:rsidR="00FC5B43">
        <w:rPr>
          <w:lang w:val="en-GB"/>
        </w:rPr>
        <w:t>%</w:t>
      </w:r>
      <w:r w:rsidR="00DE0664" w:rsidRPr="00DE0664">
        <w:rPr>
          <w:lang w:val="en-GB"/>
        </w:rPr>
        <w:t xml:space="preserve"> w/v of NaOH at 60°C </w:t>
      </w:r>
      <w:r w:rsidR="00DE0664" w:rsidRPr="00DE0664">
        <w:rPr>
          <w:lang w:val="en-GB"/>
        </w:rPr>
        <w:lastRenderedPageBreak/>
        <w:t xml:space="preserve">where </w:t>
      </w:r>
      <w:r w:rsidR="00264DB0">
        <w:rPr>
          <w:lang w:val="en-GB"/>
        </w:rPr>
        <w:t xml:space="preserve">a </w:t>
      </w:r>
      <w:r w:rsidR="00DE0664" w:rsidRPr="00DE0664">
        <w:rPr>
          <w:lang w:val="en-GB"/>
        </w:rPr>
        <w:t xml:space="preserve">lignin degradation of 85%, while cellulose </w:t>
      </w:r>
      <w:r w:rsidR="00830E15">
        <w:rPr>
          <w:lang w:val="en-GB"/>
        </w:rPr>
        <w:t xml:space="preserve">was </w:t>
      </w:r>
      <w:r w:rsidR="00DE0664" w:rsidRPr="00DE0664">
        <w:rPr>
          <w:lang w:val="en-GB"/>
        </w:rPr>
        <w:t>recovered almost totally.</w:t>
      </w:r>
      <w:r w:rsidR="00F97F87">
        <w:rPr>
          <w:lang w:val="en-GB"/>
        </w:rPr>
        <w:t xml:space="preserve"> </w:t>
      </w:r>
      <w:r w:rsidR="00F97F87" w:rsidRPr="00F97F87">
        <w:rPr>
          <w:lang w:val="en-GB"/>
        </w:rPr>
        <w:t xml:space="preserve">From the point of view of environmental impact, the use of a low concentration of NaOH is a positive aspect </w:t>
      </w:r>
      <w:r w:rsidR="00CE4284" w:rsidRPr="00CE4284">
        <w:rPr>
          <w:lang w:val="en-GB"/>
        </w:rPr>
        <w:t>as opposed to using highe</w:t>
      </w:r>
      <w:r w:rsidR="00CE4284">
        <w:rPr>
          <w:lang w:val="en-GB"/>
        </w:rPr>
        <w:t>r</w:t>
      </w:r>
      <w:r w:rsidR="00F97F87" w:rsidRPr="00F97F87">
        <w:rPr>
          <w:lang w:val="en-GB"/>
        </w:rPr>
        <w:t xml:space="preserve"> temperatures (i.e., 60 °C). Therefore, in the future it will be necessary to investigate these aspects further to find the optimal operating conditions for alkali treatment, also introducing treatment time as an additional factor.</w:t>
      </w:r>
      <w:r w:rsidR="00A04A24">
        <w:rPr>
          <w:lang w:val="en-GB"/>
        </w:rPr>
        <w:t xml:space="preserve"> </w:t>
      </w:r>
      <w:r w:rsidR="008866C0" w:rsidRPr="008866C0">
        <w:rPr>
          <w:lang w:val="en-GB"/>
        </w:rPr>
        <w:t xml:space="preserve">Finally, to make this isolation process more economically and environmentally sustainable, it </w:t>
      </w:r>
      <w:r w:rsidR="001430D7">
        <w:rPr>
          <w:lang w:val="en-GB"/>
        </w:rPr>
        <w:t>would</w:t>
      </w:r>
      <w:r w:rsidR="008866C0" w:rsidRPr="008866C0">
        <w:rPr>
          <w:lang w:val="en-GB"/>
        </w:rPr>
        <w:t xml:space="preserve"> be interesting to </w:t>
      </w:r>
      <w:proofErr w:type="spellStart"/>
      <w:r w:rsidR="008866C0" w:rsidRPr="008866C0">
        <w:rPr>
          <w:lang w:val="en-GB"/>
        </w:rPr>
        <w:t>analyze</w:t>
      </w:r>
      <w:proofErr w:type="spellEnd"/>
      <w:r w:rsidR="008866C0" w:rsidRPr="008866C0">
        <w:rPr>
          <w:lang w:val="en-GB"/>
        </w:rPr>
        <w:t xml:space="preserve"> the content of the </w:t>
      </w:r>
      <w:r w:rsidR="004049DD">
        <w:rPr>
          <w:lang w:val="en-GB"/>
        </w:rPr>
        <w:t xml:space="preserve">liquor </w:t>
      </w:r>
      <w:r w:rsidR="008866C0" w:rsidRPr="008866C0">
        <w:rPr>
          <w:lang w:val="en-GB"/>
        </w:rPr>
        <w:t xml:space="preserve">produced by </w:t>
      </w:r>
      <w:r w:rsidR="00295730">
        <w:rPr>
          <w:lang w:val="en-GB"/>
        </w:rPr>
        <w:t xml:space="preserve">the </w:t>
      </w:r>
      <w:r w:rsidR="008866C0" w:rsidRPr="008866C0">
        <w:rPr>
          <w:lang w:val="en-GB"/>
        </w:rPr>
        <w:t>autohydrolysis</w:t>
      </w:r>
      <w:r w:rsidR="00E1552B">
        <w:rPr>
          <w:lang w:val="en-GB"/>
        </w:rPr>
        <w:t xml:space="preserve"> </w:t>
      </w:r>
      <w:r w:rsidR="004049DD">
        <w:rPr>
          <w:lang w:val="en-GB"/>
        </w:rPr>
        <w:t xml:space="preserve">step </w:t>
      </w:r>
      <w:r w:rsidR="008866C0" w:rsidRPr="008866C0">
        <w:rPr>
          <w:lang w:val="en-GB"/>
        </w:rPr>
        <w:t>(Figure 1), which could potentially be rich in phenolic and antioxidant compounds.</w:t>
      </w:r>
    </w:p>
    <w:p w14:paraId="459D05E6" w14:textId="0DC89F72" w:rsidR="00600535" w:rsidRPr="00B57B36" w:rsidRDefault="00600535" w:rsidP="00600535">
      <w:pPr>
        <w:pStyle w:val="CETAcknowledgementstitle"/>
      </w:pPr>
      <w:r w:rsidRPr="00B57B36">
        <w:t>Acknowledgments</w:t>
      </w:r>
      <w:r w:rsidR="008866C0">
        <w:t xml:space="preserve"> </w:t>
      </w:r>
    </w:p>
    <w:p w14:paraId="3F53D84F" w14:textId="0568A74D" w:rsidR="00500C78" w:rsidRPr="00B57B36" w:rsidRDefault="0086374C" w:rsidP="00953C2A">
      <w:pPr>
        <w:pStyle w:val="CETBodytext"/>
        <w:rPr>
          <w:lang w:val="en-GB"/>
        </w:rPr>
      </w:pPr>
      <w:r w:rsidRPr="0086374C">
        <w:rPr>
          <w:lang w:val="en-GB"/>
        </w:rPr>
        <w:t>This research was supported</w:t>
      </w:r>
      <w:r w:rsidR="00953C2A">
        <w:rPr>
          <w:lang w:val="en-GB"/>
        </w:rPr>
        <w:t xml:space="preserve"> and funded</w:t>
      </w:r>
      <w:r w:rsidRPr="0086374C">
        <w:rPr>
          <w:lang w:val="en-GB"/>
        </w:rPr>
        <w:t xml:space="preserve"> by Fondazione Cariplo through the project “</w:t>
      </w:r>
      <w:r w:rsidR="005545D1">
        <w:rPr>
          <w:lang w:val="en-GB"/>
        </w:rPr>
        <w:t>CYCLEVIT</w:t>
      </w:r>
      <w:r w:rsidRPr="0086374C">
        <w:rPr>
          <w:lang w:val="en-GB"/>
        </w:rPr>
        <w:t xml:space="preserve"> - </w:t>
      </w:r>
      <w:r w:rsidR="0006480B" w:rsidRPr="0006480B">
        <w:rPr>
          <w:lang w:val="en-GB"/>
        </w:rPr>
        <w:t xml:space="preserve">Closing the loop: Green process for transforming highly heterogeneous biomasses into novel bio-based </w:t>
      </w:r>
      <w:proofErr w:type="spellStart"/>
      <w:r w:rsidR="0006480B" w:rsidRPr="0006480B">
        <w:rPr>
          <w:lang w:val="en-GB"/>
        </w:rPr>
        <w:t>vitrimer</w:t>
      </w:r>
      <w:proofErr w:type="spellEnd"/>
      <w:r w:rsidR="0006480B" w:rsidRPr="0006480B">
        <w:rPr>
          <w:lang w:val="en-GB"/>
        </w:rPr>
        <w:t xml:space="preserve"> composites</w:t>
      </w:r>
      <w:r w:rsidR="0006480B">
        <w:rPr>
          <w:lang w:val="en-GB"/>
        </w:rPr>
        <w:t>”</w:t>
      </w:r>
      <w:r w:rsidRPr="0086374C">
        <w:rPr>
          <w:lang w:val="en-GB"/>
        </w:rPr>
        <w:t xml:space="preserve"> (20</w:t>
      </w:r>
      <w:r w:rsidR="00F324D4">
        <w:rPr>
          <w:lang w:val="en-GB"/>
        </w:rPr>
        <w:t>21</w:t>
      </w:r>
      <w:r w:rsidRPr="0086374C">
        <w:rPr>
          <w:lang w:val="en-GB"/>
        </w:rPr>
        <w:t>-</w:t>
      </w:r>
      <w:r w:rsidR="00F324D4">
        <w:rPr>
          <w:lang w:val="en-GB"/>
        </w:rPr>
        <w:t>0757</w:t>
      </w:r>
      <w:r w:rsidRPr="0086374C">
        <w:rPr>
          <w:lang w:val="en-GB"/>
        </w:rPr>
        <w:t xml:space="preserve"> grant)</w:t>
      </w:r>
      <w:r w:rsidR="0019372E">
        <w:rPr>
          <w:lang w:val="en-GB"/>
        </w:rPr>
        <w:t xml:space="preserve"> and </w:t>
      </w:r>
      <w:r w:rsidR="00500C78">
        <w:rPr>
          <w:lang w:val="en-GB"/>
        </w:rPr>
        <w:t xml:space="preserve">by </w:t>
      </w:r>
      <w:r w:rsidR="00953C2A" w:rsidRPr="00953C2A">
        <w:rPr>
          <w:lang w:val="en-GB"/>
        </w:rPr>
        <w:t>the Italian Ministry of University (MIUR) call</w:t>
      </w:r>
      <w:r w:rsidR="00953C2A">
        <w:rPr>
          <w:lang w:val="en-GB"/>
        </w:rPr>
        <w:t xml:space="preserve"> </w:t>
      </w:r>
      <w:r w:rsidR="00953C2A" w:rsidRPr="00953C2A">
        <w:rPr>
          <w:lang w:val="en-GB"/>
        </w:rPr>
        <w:t xml:space="preserve">PRIN2017, project 2017LEPH3M “PANACEA: A technology </w:t>
      </w:r>
      <w:proofErr w:type="spellStart"/>
      <w:r w:rsidR="00953C2A" w:rsidRPr="00953C2A">
        <w:rPr>
          <w:lang w:val="en-GB"/>
        </w:rPr>
        <w:t>PlAtform</w:t>
      </w:r>
      <w:proofErr w:type="spellEnd"/>
      <w:r w:rsidR="00953C2A" w:rsidRPr="00953C2A">
        <w:rPr>
          <w:lang w:val="en-GB"/>
        </w:rPr>
        <w:t xml:space="preserve"> for the</w:t>
      </w:r>
      <w:r w:rsidR="00953C2A">
        <w:rPr>
          <w:lang w:val="en-GB"/>
        </w:rPr>
        <w:t xml:space="preserve"> </w:t>
      </w:r>
      <w:r w:rsidR="00953C2A" w:rsidRPr="00953C2A">
        <w:rPr>
          <w:lang w:val="en-GB"/>
        </w:rPr>
        <w:t xml:space="preserve">sustainable recovery and advanced use of </w:t>
      </w:r>
      <w:proofErr w:type="spellStart"/>
      <w:r w:rsidR="00953C2A" w:rsidRPr="00953C2A">
        <w:rPr>
          <w:lang w:val="en-GB"/>
        </w:rPr>
        <w:t>NAnostructured</w:t>
      </w:r>
      <w:proofErr w:type="spellEnd"/>
      <w:r w:rsidR="00953C2A" w:rsidRPr="00953C2A">
        <w:rPr>
          <w:lang w:val="en-GB"/>
        </w:rPr>
        <w:t xml:space="preserve"> </w:t>
      </w:r>
      <w:proofErr w:type="spellStart"/>
      <w:r w:rsidR="00953C2A" w:rsidRPr="00953C2A">
        <w:rPr>
          <w:lang w:val="en-GB"/>
        </w:rPr>
        <w:t>CEllulose</w:t>
      </w:r>
      <w:proofErr w:type="spellEnd"/>
      <w:r w:rsidR="00953C2A" w:rsidRPr="00953C2A">
        <w:rPr>
          <w:lang w:val="en-GB"/>
        </w:rPr>
        <w:t xml:space="preserve"> from</w:t>
      </w:r>
      <w:r w:rsidR="00953C2A">
        <w:rPr>
          <w:lang w:val="en-GB"/>
        </w:rPr>
        <w:t xml:space="preserve"> </w:t>
      </w:r>
      <w:proofErr w:type="spellStart"/>
      <w:r w:rsidR="00953C2A" w:rsidRPr="00953C2A">
        <w:rPr>
          <w:lang w:val="en-GB"/>
        </w:rPr>
        <w:t>Agro</w:t>
      </w:r>
      <w:proofErr w:type="spellEnd"/>
      <w:r w:rsidR="00953C2A" w:rsidRPr="00953C2A">
        <w:rPr>
          <w:lang w:val="en-GB"/>
        </w:rPr>
        <w:t>-food residues”</w:t>
      </w:r>
      <w:r w:rsidR="00500C78" w:rsidRPr="00500C78">
        <w:rPr>
          <w:lang w:val="en-GB"/>
        </w:rPr>
        <w:t>.</w:t>
      </w:r>
    </w:p>
    <w:p w14:paraId="4F1327F8" w14:textId="77777777" w:rsidR="00600535" w:rsidRPr="00B57B36" w:rsidRDefault="00600535" w:rsidP="00600535">
      <w:pPr>
        <w:pStyle w:val="CETReference"/>
      </w:pPr>
      <w:r w:rsidRPr="00B57B36">
        <w:t>References</w:t>
      </w:r>
    </w:p>
    <w:p w14:paraId="1B904DDF" w14:textId="77777777" w:rsidR="0047485E" w:rsidRPr="0047485E" w:rsidRDefault="0047485E" w:rsidP="0047485E">
      <w:pPr>
        <w:pStyle w:val="CETReferencetext"/>
      </w:pPr>
      <w:r w:rsidRPr="0047485E">
        <w:t xml:space="preserve">Bassani A., Fiorentini C., Vadivel V., </w:t>
      </w:r>
      <w:proofErr w:type="spellStart"/>
      <w:r w:rsidRPr="0047485E">
        <w:t>Moncalvo</w:t>
      </w:r>
      <w:proofErr w:type="spellEnd"/>
      <w:r w:rsidRPr="0047485E">
        <w:t xml:space="preserve"> A., Spigno G., 2020, Implementation of auto-hydrolysis process for the recovery of antioxidants and cellulose from wheat straw. Applied Sciences, 10(17), 6112.</w:t>
      </w:r>
    </w:p>
    <w:p w14:paraId="0A081970" w14:textId="77777777" w:rsidR="0047485E" w:rsidRPr="0047485E" w:rsidRDefault="0047485E" w:rsidP="0047485E">
      <w:pPr>
        <w:pStyle w:val="CETReferencetext"/>
      </w:pPr>
      <w:r w:rsidRPr="0047485E">
        <w:t xml:space="preserve">Camarero S., </w:t>
      </w:r>
      <w:proofErr w:type="spellStart"/>
      <w:r w:rsidRPr="0047485E">
        <w:t>Garcıa</w:t>
      </w:r>
      <w:proofErr w:type="spellEnd"/>
      <w:r w:rsidRPr="0047485E">
        <w:t xml:space="preserve"> O., Vidal T., Colom J., del </w:t>
      </w:r>
      <w:proofErr w:type="spellStart"/>
      <w:r w:rsidRPr="0047485E">
        <w:t>Rıo</w:t>
      </w:r>
      <w:proofErr w:type="spellEnd"/>
      <w:r w:rsidRPr="0047485E">
        <w:t xml:space="preserve"> J. C., Gutiérrez A., </w:t>
      </w:r>
      <w:proofErr w:type="spellStart"/>
      <w:r w:rsidRPr="0047485E">
        <w:t>Martınez</w:t>
      </w:r>
      <w:proofErr w:type="spellEnd"/>
      <w:r w:rsidRPr="0047485E">
        <w:t xml:space="preserve"> Á. T., 2004, Efficient bleaching of non-wood high-quality paper pulp using laccase-mediator system, Enzyme and Microbial Technology, 35(2-3), 113-120.</w:t>
      </w:r>
    </w:p>
    <w:p w14:paraId="73C4A4B7" w14:textId="77777777" w:rsidR="0047485E" w:rsidRDefault="0047485E" w:rsidP="0047485E">
      <w:pPr>
        <w:pStyle w:val="CETReferencetext"/>
      </w:pPr>
      <w:r w:rsidRPr="0047485E">
        <w:t xml:space="preserve">Carvalheiro F., Duarte L. C., </w:t>
      </w:r>
      <w:proofErr w:type="spellStart"/>
      <w:r w:rsidRPr="0047485E">
        <w:t>Gírio</w:t>
      </w:r>
      <w:proofErr w:type="spellEnd"/>
      <w:r w:rsidRPr="0047485E">
        <w:t xml:space="preserve"> F., Moniz P., 2016, Hydrothermal/liquid hot water pretreatment (autohydrolysis): A multipurpose process for biomass upgrading, In Biomass fractionation technologies for a lignocellulosic feedstock based biorefinery, 315-347, Elsevier. </w:t>
      </w:r>
    </w:p>
    <w:p w14:paraId="76240A65" w14:textId="78C5F3D5" w:rsidR="00813A81" w:rsidRPr="0047485E" w:rsidRDefault="00813A81" w:rsidP="0047485E">
      <w:pPr>
        <w:pStyle w:val="CETReferencetext"/>
      </w:pPr>
      <w:r w:rsidRPr="00813A81">
        <w:rPr>
          <w:lang w:val="en-US"/>
        </w:rPr>
        <w:t xml:space="preserve">Dhara S., Samanta N. S., </w:t>
      </w:r>
      <w:proofErr w:type="spellStart"/>
      <w:r w:rsidRPr="00813A81">
        <w:rPr>
          <w:lang w:val="en-US"/>
        </w:rPr>
        <w:t>Uppaluri</w:t>
      </w:r>
      <w:proofErr w:type="spellEnd"/>
      <w:r w:rsidRPr="00813A81">
        <w:rPr>
          <w:lang w:val="en-US"/>
        </w:rPr>
        <w:t xml:space="preserve"> R., &amp; Purkait M. K., 2023</w:t>
      </w:r>
      <w:r>
        <w:rPr>
          <w:lang w:val="en-US"/>
        </w:rPr>
        <w:t>,</w:t>
      </w:r>
      <w:r w:rsidRPr="00813A81">
        <w:rPr>
          <w:lang w:val="en-US"/>
        </w:rPr>
        <w:t xml:space="preserve"> </w:t>
      </w:r>
      <w:r w:rsidRPr="00813A81">
        <w:t xml:space="preserve">High-purity alkaline lignin extraction from Saccharum </w:t>
      </w:r>
      <w:proofErr w:type="spellStart"/>
      <w:r w:rsidRPr="00813A81">
        <w:t>ravannae</w:t>
      </w:r>
      <w:proofErr w:type="spellEnd"/>
      <w:r w:rsidRPr="00813A81">
        <w:t xml:space="preserve"> and optimization of lignin recovery through response surface methodology</w:t>
      </w:r>
      <w:r>
        <w:t>,</w:t>
      </w:r>
      <w:r w:rsidRPr="00813A81">
        <w:t xml:space="preserve"> International Journal of Biological Macromolecules, 234, 123594.</w:t>
      </w:r>
    </w:p>
    <w:p w14:paraId="59F0082D" w14:textId="77777777" w:rsidR="0047485E" w:rsidRPr="0047485E" w:rsidRDefault="0047485E" w:rsidP="0047485E">
      <w:pPr>
        <w:pStyle w:val="CETReferencetext"/>
      </w:pPr>
      <w:r w:rsidRPr="0047485E">
        <w:t>Fernández</w:t>
      </w:r>
      <w:r w:rsidRPr="0047485E">
        <w:rPr>
          <w:rFonts w:ascii="Cambria Math" w:hAnsi="Cambria Math" w:cs="Cambria Math"/>
        </w:rPr>
        <w:t>‐</w:t>
      </w:r>
      <w:proofErr w:type="spellStart"/>
      <w:r w:rsidRPr="0047485E">
        <w:t>Cegrí</w:t>
      </w:r>
      <w:proofErr w:type="spellEnd"/>
      <w:r w:rsidRPr="0047485E">
        <w:t xml:space="preserve"> V., Raposo F., de la Rubia M. A., Borja R., 2013, Effects of chemical and thermochemical pretreatments on sunflower oil cake in biochemical methane potential assays, Journal of Chemical Technology &amp; Biotechnology, 88(5), 924-929.</w:t>
      </w:r>
    </w:p>
    <w:p w14:paraId="68767E63" w14:textId="77777777" w:rsidR="0047485E" w:rsidRPr="0047485E" w:rsidRDefault="0047485E" w:rsidP="0047485E">
      <w:pPr>
        <w:pStyle w:val="CETReferencetext"/>
      </w:pPr>
      <w:r w:rsidRPr="0047485E">
        <w:t>Fiorentini C., Bassani A., Garrido G. D., Merino D., Perotto G., Athanassiou A., Spigno G., 2022, High-pressure autohydrolysis process of wheat straw for cellulose recovery and subsequent use in PBAT composites preparation, Biocatalysis and Agricultural Biotechnology, 39, 102282.</w:t>
      </w:r>
    </w:p>
    <w:p w14:paraId="24DB8637" w14:textId="77777777" w:rsidR="0047485E" w:rsidRPr="0047485E" w:rsidRDefault="0047485E" w:rsidP="0047485E">
      <w:pPr>
        <w:pStyle w:val="CETReferencetext"/>
      </w:pPr>
      <w:r w:rsidRPr="0047485E">
        <w:t xml:space="preserve">Hu Y., Hamed O., </w:t>
      </w:r>
      <w:proofErr w:type="spellStart"/>
      <w:r w:rsidRPr="0047485E">
        <w:t>Salghi</w:t>
      </w:r>
      <w:proofErr w:type="spellEnd"/>
      <w:r w:rsidRPr="0047485E">
        <w:t xml:space="preserve"> R., Abidi N., </w:t>
      </w:r>
      <w:proofErr w:type="spellStart"/>
      <w:r w:rsidRPr="0047485E">
        <w:t>Jodeh</w:t>
      </w:r>
      <w:proofErr w:type="spellEnd"/>
      <w:r w:rsidRPr="0047485E">
        <w:t xml:space="preserve"> S., Hattb R., 2017, Extraction and characterization of cellulose from agricultural waste argan press cake, </w:t>
      </w:r>
      <w:proofErr w:type="spellStart"/>
      <w:r w:rsidRPr="0047485E">
        <w:t>Cellul</w:t>
      </w:r>
      <w:proofErr w:type="spellEnd"/>
      <w:r w:rsidRPr="0047485E">
        <w:t xml:space="preserve">. Chem. </w:t>
      </w:r>
      <w:proofErr w:type="spellStart"/>
      <w:r w:rsidRPr="0047485E">
        <w:t>Technol</w:t>
      </w:r>
      <w:proofErr w:type="spellEnd"/>
      <w:r w:rsidRPr="0047485E">
        <w:t>, 51, 263-272.</w:t>
      </w:r>
    </w:p>
    <w:p w14:paraId="14B8B530" w14:textId="77777777" w:rsidR="0047485E" w:rsidRPr="0047485E" w:rsidRDefault="0047485E" w:rsidP="0047485E">
      <w:pPr>
        <w:pStyle w:val="CETReferencetext"/>
      </w:pPr>
      <w:r w:rsidRPr="0047485E">
        <w:t xml:space="preserve">Kassab Z., El </w:t>
      </w:r>
      <w:proofErr w:type="spellStart"/>
      <w:r w:rsidRPr="0047485E">
        <w:t>Achaby</w:t>
      </w:r>
      <w:proofErr w:type="spellEnd"/>
      <w:r w:rsidRPr="0047485E">
        <w:t xml:space="preserve"> M., </w:t>
      </w:r>
      <w:proofErr w:type="spellStart"/>
      <w:r w:rsidRPr="0047485E">
        <w:t>Tamraoui</w:t>
      </w:r>
      <w:proofErr w:type="spellEnd"/>
      <w:r w:rsidRPr="0047485E">
        <w:t xml:space="preserve"> Y., </w:t>
      </w:r>
      <w:proofErr w:type="spellStart"/>
      <w:r w:rsidRPr="0047485E">
        <w:t>Sehaqui</w:t>
      </w:r>
      <w:proofErr w:type="spellEnd"/>
      <w:r w:rsidRPr="0047485E">
        <w:t xml:space="preserve"> H., </w:t>
      </w:r>
      <w:proofErr w:type="spellStart"/>
      <w:r w:rsidRPr="0047485E">
        <w:t>Bouhfid</w:t>
      </w:r>
      <w:proofErr w:type="spellEnd"/>
      <w:r w:rsidRPr="0047485E">
        <w:t xml:space="preserve"> R., 2019, Sunflower oil cake-derived cellulose nanocrystals: Extraction, </w:t>
      </w:r>
      <w:proofErr w:type="spellStart"/>
      <w:r w:rsidRPr="0047485E">
        <w:t>physico</w:t>
      </w:r>
      <w:proofErr w:type="spellEnd"/>
      <w:r w:rsidRPr="0047485E">
        <w:t>-chemical characteristics and potential application, International journal of biological macromolecules, 136, 241-252.</w:t>
      </w:r>
    </w:p>
    <w:p w14:paraId="0D0BB7AD" w14:textId="77777777" w:rsidR="0047485E" w:rsidRDefault="0047485E" w:rsidP="0047485E">
      <w:pPr>
        <w:pStyle w:val="CETReferencetext"/>
      </w:pPr>
      <w:proofErr w:type="spellStart"/>
      <w:r w:rsidRPr="0047485E">
        <w:t>Miliotti</w:t>
      </w:r>
      <w:proofErr w:type="spellEnd"/>
      <w:r w:rsidRPr="0047485E">
        <w:t xml:space="preserve"> E., </w:t>
      </w:r>
      <w:proofErr w:type="spellStart"/>
      <w:r w:rsidRPr="0047485E">
        <w:t>Dell’Orco</w:t>
      </w:r>
      <w:proofErr w:type="spellEnd"/>
      <w:r w:rsidRPr="0047485E">
        <w:t xml:space="preserve"> S., Lotti G., Rizzo A. M., Rosi L., </w:t>
      </w:r>
      <w:proofErr w:type="spellStart"/>
      <w:r w:rsidRPr="0047485E">
        <w:t>Chiaramonti</w:t>
      </w:r>
      <w:proofErr w:type="spellEnd"/>
      <w:r w:rsidRPr="0047485E">
        <w:t xml:space="preserve"> D., 2019, Lignocellulosic ethanol biorefinery: </w:t>
      </w:r>
      <w:proofErr w:type="spellStart"/>
      <w:r w:rsidRPr="0047485E">
        <w:t>Valorization</w:t>
      </w:r>
      <w:proofErr w:type="spellEnd"/>
      <w:r w:rsidRPr="0047485E">
        <w:t xml:space="preserve"> of lignin-rich stream through hydrothermal liquefaction, Energies, 12(4), 723.</w:t>
      </w:r>
    </w:p>
    <w:p w14:paraId="713D05C3" w14:textId="77D308EF" w:rsidR="003705B3" w:rsidRPr="0047485E" w:rsidRDefault="003705B3" w:rsidP="0047485E">
      <w:pPr>
        <w:pStyle w:val="CETReferencetext"/>
      </w:pPr>
      <w:r w:rsidRPr="003705B3">
        <w:t>Sarkar N., Chakraborty, D., Dutta R., Agrahari P., Bharathi S. D., Singh A. A., &amp; Jacob, S.</w:t>
      </w:r>
      <w:r>
        <w:t xml:space="preserve">, </w:t>
      </w:r>
      <w:r w:rsidRPr="003705B3">
        <w:t>2021</w:t>
      </w:r>
      <w:r>
        <w:t>,</w:t>
      </w:r>
      <w:r w:rsidRPr="003705B3">
        <w:t xml:space="preserve"> A comprehensive review on oilseed cakes and their potential as a feedstock for integrated biorefinery</w:t>
      </w:r>
      <w:r>
        <w:t>,</w:t>
      </w:r>
      <w:r w:rsidRPr="003705B3">
        <w:t xml:space="preserve"> Journal of Advanced Biotechnology and Experimental Therapeutics, 4(3), 376-387.</w:t>
      </w:r>
    </w:p>
    <w:p w14:paraId="1CDAEA52" w14:textId="35C3C2C5" w:rsidR="00032F38" w:rsidRDefault="00032F38" w:rsidP="00032F38">
      <w:pPr>
        <w:pStyle w:val="CETReferencetext"/>
      </w:pPr>
      <w:r w:rsidRPr="00BE6A2C">
        <w:t xml:space="preserve">Shinde S. D., Meng X., Kumar R., </w:t>
      </w:r>
      <w:proofErr w:type="spellStart"/>
      <w:r w:rsidRPr="00BE6A2C">
        <w:t>Ragauskas</w:t>
      </w:r>
      <w:proofErr w:type="spellEnd"/>
      <w:r w:rsidRPr="00BE6A2C">
        <w:t xml:space="preserve"> A. J.</w:t>
      </w:r>
      <w:r w:rsidR="00BE6A2C" w:rsidRPr="00BE6A2C">
        <w:t xml:space="preserve">, </w:t>
      </w:r>
      <w:r w:rsidRPr="00BE6A2C">
        <w:t>2018</w:t>
      </w:r>
      <w:r w:rsidR="00BE6A2C" w:rsidRPr="00BE6A2C">
        <w:t>,</w:t>
      </w:r>
      <w:r w:rsidRPr="00BE6A2C">
        <w:t xml:space="preserve"> Recent advances in understanding the pseudo-lignin formation in a lignocellulosic biorefinery</w:t>
      </w:r>
      <w:r w:rsidR="00BE6A2C" w:rsidRPr="00BE6A2C">
        <w:t>,</w:t>
      </w:r>
      <w:r w:rsidRPr="00BE6A2C">
        <w:t xml:space="preserve"> Green Chemistry, 20(10), 2192-2205.</w:t>
      </w:r>
    </w:p>
    <w:p w14:paraId="498DA702" w14:textId="0F7509CA" w:rsidR="00D35F56" w:rsidRDefault="0047485E" w:rsidP="0047485E">
      <w:pPr>
        <w:pStyle w:val="CETReferencetext"/>
      </w:pPr>
      <w:r w:rsidRPr="0047485E">
        <w:t xml:space="preserve">Sumesh K. R., Kanthavel K., Kavimani V., 2020, Peanut oil cake-derived cellulose </w:t>
      </w:r>
      <w:proofErr w:type="spellStart"/>
      <w:r w:rsidRPr="0047485E">
        <w:t>fiber</w:t>
      </w:r>
      <w:proofErr w:type="spellEnd"/>
      <w:r w:rsidRPr="0047485E">
        <w:t xml:space="preserve">: Extraction, application of mechanical and thermal properties in pineapple/flax natural </w:t>
      </w:r>
      <w:proofErr w:type="spellStart"/>
      <w:r w:rsidRPr="0047485E">
        <w:t>fiber</w:t>
      </w:r>
      <w:proofErr w:type="spellEnd"/>
      <w:r w:rsidRPr="0047485E">
        <w:t xml:space="preserve"> composites, International Journal of Biological Macromolecules, 150, 775-785.</w:t>
      </w:r>
    </w:p>
    <w:p w14:paraId="763E594C" w14:textId="77777777" w:rsidR="00B15A31" w:rsidRPr="00306612" w:rsidRDefault="00B15A31" w:rsidP="00B15A31">
      <w:pPr>
        <w:pStyle w:val="CETReferencetext"/>
        <w:rPr>
          <w:lang w:val="en-US"/>
        </w:rPr>
      </w:pPr>
      <w:r w:rsidRPr="00306612">
        <w:rPr>
          <w:lang w:val="en-US"/>
        </w:rPr>
        <w:t>Švarc-Gajić J., Morais S., Delerue-Matos C., Vieira E. F., Spigno G., 2020, Valorization potential of oilseed cakes by subcritical water extraction, Applied Sciences, 10(24), 8815.</w:t>
      </w:r>
    </w:p>
    <w:p w14:paraId="4068D66D" w14:textId="08581BA6" w:rsidR="00AD5DB6" w:rsidRDefault="00BE6A2C" w:rsidP="003C242C">
      <w:pPr>
        <w:pStyle w:val="CETReferencetext"/>
      </w:pPr>
      <w:r w:rsidRPr="00BE6A2C">
        <w:rPr>
          <w:lang w:val="en-US"/>
        </w:rPr>
        <w:t xml:space="preserve">Wunna K., </w:t>
      </w:r>
      <w:proofErr w:type="spellStart"/>
      <w:r w:rsidRPr="00BE6A2C">
        <w:rPr>
          <w:lang w:val="en-US"/>
        </w:rPr>
        <w:t>Nakasaki</w:t>
      </w:r>
      <w:proofErr w:type="spellEnd"/>
      <w:r w:rsidRPr="00BE6A2C">
        <w:rPr>
          <w:lang w:val="en-US"/>
        </w:rPr>
        <w:t xml:space="preserve"> K., </w:t>
      </w:r>
      <w:proofErr w:type="spellStart"/>
      <w:r w:rsidRPr="00BE6A2C">
        <w:rPr>
          <w:lang w:val="en-US"/>
        </w:rPr>
        <w:t>Auresenia</w:t>
      </w:r>
      <w:proofErr w:type="spellEnd"/>
      <w:r w:rsidRPr="00BE6A2C">
        <w:rPr>
          <w:lang w:val="en-US"/>
        </w:rPr>
        <w:t xml:space="preserve"> J. L., Abella L. C., </w:t>
      </w:r>
      <w:proofErr w:type="spellStart"/>
      <w:r w:rsidRPr="00BE6A2C">
        <w:rPr>
          <w:lang w:val="en-US"/>
        </w:rPr>
        <w:t>Gaspillo</w:t>
      </w:r>
      <w:proofErr w:type="spellEnd"/>
      <w:r w:rsidRPr="00BE6A2C">
        <w:rPr>
          <w:lang w:val="en-US"/>
        </w:rPr>
        <w:t xml:space="preserve"> P. A. D., 2017, </w:t>
      </w:r>
      <w:r w:rsidRPr="008A0FF2">
        <w:t>Effect of alkali pretreatment on removal of lignin from sugarcane bagasse</w:t>
      </w:r>
      <w:r>
        <w:t>,</w:t>
      </w:r>
      <w:r w:rsidRPr="008A0FF2">
        <w:t xml:space="preserve"> Chemical Engineering Transactions, 56, 1831-1836.</w:t>
      </w:r>
    </w:p>
    <w:p w14:paraId="5A13856B" w14:textId="77777777" w:rsidR="006B4888" w:rsidRPr="000D56D6" w:rsidRDefault="006B4888" w:rsidP="006B4888">
      <w:pPr>
        <w:pStyle w:val="CETReferencetext"/>
      </w:pPr>
    </w:p>
    <w:p w14:paraId="19C4FC68" w14:textId="77777777" w:rsidR="004628D2" w:rsidRDefault="004628D2" w:rsidP="00FA5F5F">
      <w:pPr>
        <w:pStyle w:val="CETHeading1"/>
        <w:numPr>
          <w:ilvl w:val="0"/>
          <w:numId w:val="0"/>
        </w:numPr>
      </w:pPr>
    </w:p>
    <w:sectPr w:rsidR="004628D2" w:rsidSect="007F0ED2">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69148" w14:textId="77777777" w:rsidR="007F0ED2" w:rsidRDefault="007F0ED2" w:rsidP="004F5E36">
      <w:r>
        <w:separator/>
      </w:r>
    </w:p>
  </w:endnote>
  <w:endnote w:type="continuationSeparator" w:id="0">
    <w:p w14:paraId="406E4600" w14:textId="77777777" w:rsidR="007F0ED2" w:rsidRDefault="007F0ED2" w:rsidP="004F5E36">
      <w:r>
        <w:continuationSeparator/>
      </w:r>
    </w:p>
  </w:endnote>
  <w:endnote w:type="continuationNotice" w:id="1">
    <w:p w14:paraId="1278E776" w14:textId="77777777" w:rsidR="007F0ED2" w:rsidRDefault="007F0ED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009DD" w14:textId="77777777" w:rsidR="007F0ED2" w:rsidRDefault="007F0ED2" w:rsidP="004F5E36">
      <w:r>
        <w:separator/>
      </w:r>
    </w:p>
  </w:footnote>
  <w:footnote w:type="continuationSeparator" w:id="0">
    <w:p w14:paraId="24037AA9" w14:textId="77777777" w:rsidR="007F0ED2" w:rsidRDefault="007F0ED2" w:rsidP="004F5E36">
      <w:r>
        <w:continuationSeparator/>
      </w:r>
    </w:p>
  </w:footnote>
  <w:footnote w:type="continuationNotice" w:id="1">
    <w:p w14:paraId="7C869F79" w14:textId="77777777" w:rsidR="007F0ED2" w:rsidRDefault="007F0ED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CFD080E"/>
    <w:multiLevelType w:val="multilevel"/>
    <w:tmpl w:val="5464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D06EC4"/>
    <w:multiLevelType w:val="multilevel"/>
    <w:tmpl w:val="5F8E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68F7687"/>
    <w:multiLevelType w:val="multilevel"/>
    <w:tmpl w:val="E79A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AFD36D1"/>
    <w:multiLevelType w:val="multilevel"/>
    <w:tmpl w:val="65EE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6882765">
    <w:abstractNumId w:val="12"/>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9"/>
  </w:num>
  <w:num w:numId="13" w16cid:durableId="695733619">
    <w:abstractNumId w:val="14"/>
  </w:num>
  <w:num w:numId="14" w16cid:durableId="145903400">
    <w:abstractNumId w:val="21"/>
  </w:num>
  <w:num w:numId="15" w16cid:durableId="19162326">
    <w:abstractNumId w:val="23"/>
  </w:num>
  <w:num w:numId="16" w16cid:durableId="1977102699">
    <w:abstractNumId w:val="22"/>
  </w:num>
  <w:num w:numId="17" w16cid:durableId="860774865">
    <w:abstractNumId w:val="13"/>
  </w:num>
  <w:num w:numId="18" w16cid:durableId="313221457">
    <w:abstractNumId w:val="14"/>
    <w:lvlOverride w:ilvl="0">
      <w:startOverride w:val="1"/>
    </w:lvlOverride>
  </w:num>
  <w:num w:numId="19" w16cid:durableId="534971577">
    <w:abstractNumId w:val="18"/>
  </w:num>
  <w:num w:numId="20" w16cid:durableId="1150947773">
    <w:abstractNumId w:val="17"/>
  </w:num>
  <w:num w:numId="21" w16cid:durableId="124660497">
    <w:abstractNumId w:val="16"/>
  </w:num>
  <w:num w:numId="22" w16cid:durableId="2099861471">
    <w:abstractNumId w:val="15"/>
  </w:num>
  <w:num w:numId="23" w16cid:durableId="575289252">
    <w:abstractNumId w:val="24"/>
  </w:num>
  <w:num w:numId="24" w16cid:durableId="868494493">
    <w:abstractNumId w:val="11"/>
  </w:num>
  <w:num w:numId="25" w16cid:durableId="687027364">
    <w:abstractNumId w:val="10"/>
  </w:num>
  <w:num w:numId="26" w16cid:durableId="3226611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tKwFACPUJ00tAAAA"/>
  </w:docVars>
  <w:rsids>
    <w:rsidRoot w:val="000E414A"/>
    <w:rsid w:val="0000274A"/>
    <w:rsid w:val="000027C0"/>
    <w:rsid w:val="00002DC6"/>
    <w:rsid w:val="000052FB"/>
    <w:rsid w:val="00005DBF"/>
    <w:rsid w:val="000116B4"/>
    <w:rsid w:val="000117CB"/>
    <w:rsid w:val="00014AF3"/>
    <w:rsid w:val="00021ED0"/>
    <w:rsid w:val="00022BF5"/>
    <w:rsid w:val="00023E2C"/>
    <w:rsid w:val="00024BBF"/>
    <w:rsid w:val="00025DEC"/>
    <w:rsid w:val="00026954"/>
    <w:rsid w:val="00027E64"/>
    <w:rsid w:val="0003148D"/>
    <w:rsid w:val="00031EEC"/>
    <w:rsid w:val="00032A45"/>
    <w:rsid w:val="00032F38"/>
    <w:rsid w:val="00034CDB"/>
    <w:rsid w:val="00034D6D"/>
    <w:rsid w:val="000405E3"/>
    <w:rsid w:val="00040D68"/>
    <w:rsid w:val="00046929"/>
    <w:rsid w:val="00051566"/>
    <w:rsid w:val="00053602"/>
    <w:rsid w:val="00054938"/>
    <w:rsid w:val="000562A9"/>
    <w:rsid w:val="00062A9A"/>
    <w:rsid w:val="0006480B"/>
    <w:rsid w:val="00065058"/>
    <w:rsid w:val="00070C12"/>
    <w:rsid w:val="000718A7"/>
    <w:rsid w:val="000729E3"/>
    <w:rsid w:val="00075075"/>
    <w:rsid w:val="00076A8A"/>
    <w:rsid w:val="0008155B"/>
    <w:rsid w:val="000819A0"/>
    <w:rsid w:val="00086C39"/>
    <w:rsid w:val="0008721A"/>
    <w:rsid w:val="000904DA"/>
    <w:rsid w:val="000926CF"/>
    <w:rsid w:val="0009289A"/>
    <w:rsid w:val="000A03B2"/>
    <w:rsid w:val="000A099A"/>
    <w:rsid w:val="000A1223"/>
    <w:rsid w:val="000A2AD2"/>
    <w:rsid w:val="000A5037"/>
    <w:rsid w:val="000A5F19"/>
    <w:rsid w:val="000B0C90"/>
    <w:rsid w:val="000B17DC"/>
    <w:rsid w:val="000B2489"/>
    <w:rsid w:val="000B2703"/>
    <w:rsid w:val="000C4DA2"/>
    <w:rsid w:val="000D0268"/>
    <w:rsid w:val="000D29A9"/>
    <w:rsid w:val="000D34BE"/>
    <w:rsid w:val="000D6D61"/>
    <w:rsid w:val="000E092D"/>
    <w:rsid w:val="000E0F81"/>
    <w:rsid w:val="000E102F"/>
    <w:rsid w:val="000E167A"/>
    <w:rsid w:val="000E36F1"/>
    <w:rsid w:val="000E3A73"/>
    <w:rsid w:val="000E414A"/>
    <w:rsid w:val="000F093C"/>
    <w:rsid w:val="000F3725"/>
    <w:rsid w:val="000F787B"/>
    <w:rsid w:val="00104D45"/>
    <w:rsid w:val="00110E88"/>
    <w:rsid w:val="00113206"/>
    <w:rsid w:val="0012091F"/>
    <w:rsid w:val="00126BC2"/>
    <w:rsid w:val="001308B6"/>
    <w:rsid w:val="0013121F"/>
    <w:rsid w:val="00131375"/>
    <w:rsid w:val="00131FE6"/>
    <w:rsid w:val="0013263F"/>
    <w:rsid w:val="00132AC7"/>
    <w:rsid w:val="00132EB3"/>
    <w:rsid w:val="001331DF"/>
    <w:rsid w:val="001338FF"/>
    <w:rsid w:val="00134DE4"/>
    <w:rsid w:val="00135048"/>
    <w:rsid w:val="00135E7C"/>
    <w:rsid w:val="0014034D"/>
    <w:rsid w:val="001430D7"/>
    <w:rsid w:val="00144D16"/>
    <w:rsid w:val="00146EA2"/>
    <w:rsid w:val="00146F20"/>
    <w:rsid w:val="0014732D"/>
    <w:rsid w:val="00150A92"/>
    <w:rsid w:val="00150E59"/>
    <w:rsid w:val="00151ADF"/>
    <w:rsid w:val="00152DE3"/>
    <w:rsid w:val="001566AD"/>
    <w:rsid w:val="00156F74"/>
    <w:rsid w:val="00162E5B"/>
    <w:rsid w:val="00164CF9"/>
    <w:rsid w:val="001667A6"/>
    <w:rsid w:val="0016787A"/>
    <w:rsid w:val="00174B58"/>
    <w:rsid w:val="00174FCD"/>
    <w:rsid w:val="0017580F"/>
    <w:rsid w:val="00176790"/>
    <w:rsid w:val="001809A8"/>
    <w:rsid w:val="0018226C"/>
    <w:rsid w:val="00184AD6"/>
    <w:rsid w:val="001851F9"/>
    <w:rsid w:val="0019372E"/>
    <w:rsid w:val="00197F64"/>
    <w:rsid w:val="001A0A76"/>
    <w:rsid w:val="001A4AF7"/>
    <w:rsid w:val="001A6A62"/>
    <w:rsid w:val="001A7465"/>
    <w:rsid w:val="001B0349"/>
    <w:rsid w:val="001B05CF"/>
    <w:rsid w:val="001B0729"/>
    <w:rsid w:val="001B1239"/>
    <w:rsid w:val="001B1E93"/>
    <w:rsid w:val="001B65C1"/>
    <w:rsid w:val="001B71F5"/>
    <w:rsid w:val="001C0734"/>
    <w:rsid w:val="001C2702"/>
    <w:rsid w:val="001C3F7D"/>
    <w:rsid w:val="001C684B"/>
    <w:rsid w:val="001C6D3B"/>
    <w:rsid w:val="001C7015"/>
    <w:rsid w:val="001D0573"/>
    <w:rsid w:val="001D0CFB"/>
    <w:rsid w:val="001D21AF"/>
    <w:rsid w:val="001D28C8"/>
    <w:rsid w:val="001D53FC"/>
    <w:rsid w:val="001D7C1E"/>
    <w:rsid w:val="001E3D10"/>
    <w:rsid w:val="001E3F69"/>
    <w:rsid w:val="001E4412"/>
    <w:rsid w:val="001E4FDA"/>
    <w:rsid w:val="001E5E09"/>
    <w:rsid w:val="001E687B"/>
    <w:rsid w:val="001E77A2"/>
    <w:rsid w:val="001F42A5"/>
    <w:rsid w:val="001F4FDD"/>
    <w:rsid w:val="001F5639"/>
    <w:rsid w:val="001F7673"/>
    <w:rsid w:val="001F7B9D"/>
    <w:rsid w:val="00200D5D"/>
    <w:rsid w:val="002016E9"/>
    <w:rsid w:val="00201C93"/>
    <w:rsid w:val="0020349C"/>
    <w:rsid w:val="002043ED"/>
    <w:rsid w:val="00214591"/>
    <w:rsid w:val="002204DC"/>
    <w:rsid w:val="00220C81"/>
    <w:rsid w:val="002224B4"/>
    <w:rsid w:val="002255B9"/>
    <w:rsid w:val="00233DB8"/>
    <w:rsid w:val="002341C7"/>
    <w:rsid w:val="00237533"/>
    <w:rsid w:val="00241514"/>
    <w:rsid w:val="002447EF"/>
    <w:rsid w:val="002470C1"/>
    <w:rsid w:val="00251550"/>
    <w:rsid w:val="002518D1"/>
    <w:rsid w:val="002555FE"/>
    <w:rsid w:val="00255A49"/>
    <w:rsid w:val="002562F8"/>
    <w:rsid w:val="00261634"/>
    <w:rsid w:val="00261E1B"/>
    <w:rsid w:val="00263B05"/>
    <w:rsid w:val="00264DB0"/>
    <w:rsid w:val="00266DF0"/>
    <w:rsid w:val="00272143"/>
    <w:rsid w:val="0027221A"/>
    <w:rsid w:val="00275375"/>
    <w:rsid w:val="00275B61"/>
    <w:rsid w:val="0027707D"/>
    <w:rsid w:val="00280FAF"/>
    <w:rsid w:val="00282656"/>
    <w:rsid w:val="00284541"/>
    <w:rsid w:val="002878C6"/>
    <w:rsid w:val="002901AC"/>
    <w:rsid w:val="00295730"/>
    <w:rsid w:val="00296011"/>
    <w:rsid w:val="00296B83"/>
    <w:rsid w:val="002A1CB0"/>
    <w:rsid w:val="002A5D35"/>
    <w:rsid w:val="002B06CA"/>
    <w:rsid w:val="002B4015"/>
    <w:rsid w:val="002B5FFE"/>
    <w:rsid w:val="002B78CE"/>
    <w:rsid w:val="002C04FC"/>
    <w:rsid w:val="002C2FB6"/>
    <w:rsid w:val="002C7329"/>
    <w:rsid w:val="002D7A53"/>
    <w:rsid w:val="002E2972"/>
    <w:rsid w:val="002E3A45"/>
    <w:rsid w:val="002E56CF"/>
    <w:rsid w:val="002E5FA7"/>
    <w:rsid w:val="002F1405"/>
    <w:rsid w:val="002F2121"/>
    <w:rsid w:val="002F3309"/>
    <w:rsid w:val="002F773E"/>
    <w:rsid w:val="003008CE"/>
    <w:rsid w:val="003008DA"/>
    <w:rsid w:val="003009B7"/>
    <w:rsid w:val="00300E56"/>
    <w:rsid w:val="0030152C"/>
    <w:rsid w:val="00301BAB"/>
    <w:rsid w:val="0030469C"/>
    <w:rsid w:val="003046E4"/>
    <w:rsid w:val="00305746"/>
    <w:rsid w:val="00305B9C"/>
    <w:rsid w:val="00306612"/>
    <w:rsid w:val="0031264A"/>
    <w:rsid w:val="00312CA5"/>
    <w:rsid w:val="0031677C"/>
    <w:rsid w:val="00317B01"/>
    <w:rsid w:val="00321CA6"/>
    <w:rsid w:val="00322575"/>
    <w:rsid w:val="00323321"/>
    <w:rsid w:val="00323763"/>
    <w:rsid w:val="00323C5F"/>
    <w:rsid w:val="00323C98"/>
    <w:rsid w:val="0032542A"/>
    <w:rsid w:val="003269E4"/>
    <w:rsid w:val="00330774"/>
    <w:rsid w:val="00332C94"/>
    <w:rsid w:val="0033419B"/>
    <w:rsid w:val="00334C09"/>
    <w:rsid w:val="00334D16"/>
    <w:rsid w:val="0033538E"/>
    <w:rsid w:val="0033662C"/>
    <w:rsid w:val="00365F19"/>
    <w:rsid w:val="003705B3"/>
    <w:rsid w:val="003723D4"/>
    <w:rsid w:val="003808E0"/>
    <w:rsid w:val="00380DA8"/>
    <w:rsid w:val="00381905"/>
    <w:rsid w:val="00384CC8"/>
    <w:rsid w:val="003871FD"/>
    <w:rsid w:val="0039482F"/>
    <w:rsid w:val="00395E75"/>
    <w:rsid w:val="003A1E30"/>
    <w:rsid w:val="003A2829"/>
    <w:rsid w:val="003A3314"/>
    <w:rsid w:val="003A6FC6"/>
    <w:rsid w:val="003A7D1C"/>
    <w:rsid w:val="003B304B"/>
    <w:rsid w:val="003B3146"/>
    <w:rsid w:val="003B6132"/>
    <w:rsid w:val="003C242C"/>
    <w:rsid w:val="003C3C48"/>
    <w:rsid w:val="003C6F02"/>
    <w:rsid w:val="003D0595"/>
    <w:rsid w:val="003D3078"/>
    <w:rsid w:val="003D4F09"/>
    <w:rsid w:val="003D5D2E"/>
    <w:rsid w:val="003E50D3"/>
    <w:rsid w:val="003F015E"/>
    <w:rsid w:val="003F4994"/>
    <w:rsid w:val="003F68DF"/>
    <w:rsid w:val="0040037F"/>
    <w:rsid w:val="00400414"/>
    <w:rsid w:val="00400B6D"/>
    <w:rsid w:val="00401D0C"/>
    <w:rsid w:val="0040273C"/>
    <w:rsid w:val="004049DD"/>
    <w:rsid w:val="00405273"/>
    <w:rsid w:val="00405D10"/>
    <w:rsid w:val="00412BEA"/>
    <w:rsid w:val="0041446B"/>
    <w:rsid w:val="00421BD7"/>
    <w:rsid w:val="00431915"/>
    <w:rsid w:val="00432D3C"/>
    <w:rsid w:val="004332FE"/>
    <w:rsid w:val="00434D19"/>
    <w:rsid w:val="00440389"/>
    <w:rsid w:val="0044071E"/>
    <w:rsid w:val="00440C64"/>
    <w:rsid w:val="0044329C"/>
    <w:rsid w:val="00444A29"/>
    <w:rsid w:val="00445BFF"/>
    <w:rsid w:val="00450E81"/>
    <w:rsid w:val="00452450"/>
    <w:rsid w:val="0045365A"/>
    <w:rsid w:val="00453E24"/>
    <w:rsid w:val="00457456"/>
    <w:rsid w:val="004577FE"/>
    <w:rsid w:val="00457B9C"/>
    <w:rsid w:val="0046164A"/>
    <w:rsid w:val="00461C0B"/>
    <w:rsid w:val="004628D2"/>
    <w:rsid w:val="00462D48"/>
    <w:rsid w:val="00462DCD"/>
    <w:rsid w:val="004648AD"/>
    <w:rsid w:val="0046756B"/>
    <w:rsid w:val="0046760E"/>
    <w:rsid w:val="004703A9"/>
    <w:rsid w:val="0047485E"/>
    <w:rsid w:val="004760DE"/>
    <w:rsid w:val="004761E9"/>
    <w:rsid w:val="004763D7"/>
    <w:rsid w:val="00477BA5"/>
    <w:rsid w:val="00490F3E"/>
    <w:rsid w:val="00492130"/>
    <w:rsid w:val="00493661"/>
    <w:rsid w:val="004A004E"/>
    <w:rsid w:val="004A0A95"/>
    <w:rsid w:val="004A106E"/>
    <w:rsid w:val="004A23C9"/>
    <w:rsid w:val="004A24CF"/>
    <w:rsid w:val="004B473F"/>
    <w:rsid w:val="004B6DAE"/>
    <w:rsid w:val="004C0953"/>
    <w:rsid w:val="004C3D1D"/>
    <w:rsid w:val="004C3D84"/>
    <w:rsid w:val="004C7399"/>
    <w:rsid w:val="004C7913"/>
    <w:rsid w:val="004D09D9"/>
    <w:rsid w:val="004E1128"/>
    <w:rsid w:val="004E4DD6"/>
    <w:rsid w:val="004E4EB6"/>
    <w:rsid w:val="004E6DAD"/>
    <w:rsid w:val="004F4644"/>
    <w:rsid w:val="004F5E36"/>
    <w:rsid w:val="004F67B2"/>
    <w:rsid w:val="004F7F62"/>
    <w:rsid w:val="00500C78"/>
    <w:rsid w:val="00501D72"/>
    <w:rsid w:val="00504FFF"/>
    <w:rsid w:val="00505BCD"/>
    <w:rsid w:val="00507B47"/>
    <w:rsid w:val="00507BEF"/>
    <w:rsid w:val="00507CC9"/>
    <w:rsid w:val="005119A5"/>
    <w:rsid w:val="00516AAC"/>
    <w:rsid w:val="0052581B"/>
    <w:rsid w:val="005266BB"/>
    <w:rsid w:val="005278B7"/>
    <w:rsid w:val="00530D1E"/>
    <w:rsid w:val="00532016"/>
    <w:rsid w:val="00532CE8"/>
    <w:rsid w:val="005346C8"/>
    <w:rsid w:val="00543E7D"/>
    <w:rsid w:val="00546A0C"/>
    <w:rsid w:val="00547A68"/>
    <w:rsid w:val="00551F73"/>
    <w:rsid w:val="005526D9"/>
    <w:rsid w:val="005531C9"/>
    <w:rsid w:val="005545D1"/>
    <w:rsid w:val="00555441"/>
    <w:rsid w:val="00556CFA"/>
    <w:rsid w:val="00560F93"/>
    <w:rsid w:val="005673F7"/>
    <w:rsid w:val="00570C43"/>
    <w:rsid w:val="00570EC0"/>
    <w:rsid w:val="005725F8"/>
    <w:rsid w:val="0057639D"/>
    <w:rsid w:val="00577991"/>
    <w:rsid w:val="00582320"/>
    <w:rsid w:val="005826C7"/>
    <w:rsid w:val="00583A89"/>
    <w:rsid w:val="00585B94"/>
    <w:rsid w:val="00585E76"/>
    <w:rsid w:val="0058614B"/>
    <w:rsid w:val="0059395A"/>
    <w:rsid w:val="00593D39"/>
    <w:rsid w:val="00593F47"/>
    <w:rsid w:val="005950FD"/>
    <w:rsid w:val="00597B70"/>
    <w:rsid w:val="005A3EA6"/>
    <w:rsid w:val="005A589A"/>
    <w:rsid w:val="005A5ABC"/>
    <w:rsid w:val="005A6DAB"/>
    <w:rsid w:val="005A733F"/>
    <w:rsid w:val="005B00C7"/>
    <w:rsid w:val="005B2110"/>
    <w:rsid w:val="005B61E6"/>
    <w:rsid w:val="005B7223"/>
    <w:rsid w:val="005C0B40"/>
    <w:rsid w:val="005C1624"/>
    <w:rsid w:val="005C1DD0"/>
    <w:rsid w:val="005C21B2"/>
    <w:rsid w:val="005C7466"/>
    <w:rsid w:val="005C77E1"/>
    <w:rsid w:val="005D48B9"/>
    <w:rsid w:val="005D668A"/>
    <w:rsid w:val="005D6A2F"/>
    <w:rsid w:val="005D72D6"/>
    <w:rsid w:val="005E1A82"/>
    <w:rsid w:val="005E3C0B"/>
    <w:rsid w:val="005E794C"/>
    <w:rsid w:val="005F0A28"/>
    <w:rsid w:val="005F0E5E"/>
    <w:rsid w:val="005F2240"/>
    <w:rsid w:val="005F38F2"/>
    <w:rsid w:val="00600535"/>
    <w:rsid w:val="00601835"/>
    <w:rsid w:val="006018A9"/>
    <w:rsid w:val="006019E5"/>
    <w:rsid w:val="00602CE9"/>
    <w:rsid w:val="00602E89"/>
    <w:rsid w:val="00610CD6"/>
    <w:rsid w:val="00611D1A"/>
    <w:rsid w:val="006121F5"/>
    <w:rsid w:val="00613DA7"/>
    <w:rsid w:val="00615EE3"/>
    <w:rsid w:val="00620C25"/>
    <w:rsid w:val="00620DEE"/>
    <w:rsid w:val="00621F92"/>
    <w:rsid w:val="0062280A"/>
    <w:rsid w:val="00623097"/>
    <w:rsid w:val="00625639"/>
    <w:rsid w:val="006279DB"/>
    <w:rsid w:val="006303F1"/>
    <w:rsid w:val="00631B33"/>
    <w:rsid w:val="0063299C"/>
    <w:rsid w:val="006338D0"/>
    <w:rsid w:val="0064184D"/>
    <w:rsid w:val="006422CC"/>
    <w:rsid w:val="0064242D"/>
    <w:rsid w:val="00645613"/>
    <w:rsid w:val="00650380"/>
    <w:rsid w:val="00651463"/>
    <w:rsid w:val="00652A3D"/>
    <w:rsid w:val="00652E77"/>
    <w:rsid w:val="00654E6F"/>
    <w:rsid w:val="0065506E"/>
    <w:rsid w:val="00660E3E"/>
    <w:rsid w:val="00662196"/>
    <w:rsid w:val="00662E74"/>
    <w:rsid w:val="0066666B"/>
    <w:rsid w:val="00666A2F"/>
    <w:rsid w:val="00666CA3"/>
    <w:rsid w:val="00670780"/>
    <w:rsid w:val="00672202"/>
    <w:rsid w:val="006729E4"/>
    <w:rsid w:val="00673FD5"/>
    <w:rsid w:val="00675466"/>
    <w:rsid w:val="0067790A"/>
    <w:rsid w:val="00680C23"/>
    <w:rsid w:val="00681521"/>
    <w:rsid w:val="0068353C"/>
    <w:rsid w:val="00691F1A"/>
    <w:rsid w:val="0069227B"/>
    <w:rsid w:val="00692926"/>
    <w:rsid w:val="00693766"/>
    <w:rsid w:val="00695AE6"/>
    <w:rsid w:val="00697EA9"/>
    <w:rsid w:val="006A093B"/>
    <w:rsid w:val="006A3281"/>
    <w:rsid w:val="006A4B43"/>
    <w:rsid w:val="006A6E0E"/>
    <w:rsid w:val="006A7BF1"/>
    <w:rsid w:val="006B1A25"/>
    <w:rsid w:val="006B21F1"/>
    <w:rsid w:val="006B4888"/>
    <w:rsid w:val="006B65D2"/>
    <w:rsid w:val="006B77A2"/>
    <w:rsid w:val="006C1EAE"/>
    <w:rsid w:val="006C2E45"/>
    <w:rsid w:val="006C359C"/>
    <w:rsid w:val="006C4D7C"/>
    <w:rsid w:val="006C5579"/>
    <w:rsid w:val="006C5FEF"/>
    <w:rsid w:val="006D385E"/>
    <w:rsid w:val="006D65A4"/>
    <w:rsid w:val="006D6E8B"/>
    <w:rsid w:val="006E737D"/>
    <w:rsid w:val="006F293B"/>
    <w:rsid w:val="006F33A5"/>
    <w:rsid w:val="006F41D2"/>
    <w:rsid w:val="006F5ED8"/>
    <w:rsid w:val="007019BE"/>
    <w:rsid w:val="00706EB8"/>
    <w:rsid w:val="00710498"/>
    <w:rsid w:val="00712FBC"/>
    <w:rsid w:val="00713973"/>
    <w:rsid w:val="00714AA1"/>
    <w:rsid w:val="007159D0"/>
    <w:rsid w:val="00717CA0"/>
    <w:rsid w:val="00720A24"/>
    <w:rsid w:val="007226E1"/>
    <w:rsid w:val="00722DC7"/>
    <w:rsid w:val="00722DF6"/>
    <w:rsid w:val="00723169"/>
    <w:rsid w:val="00730696"/>
    <w:rsid w:val="007316D6"/>
    <w:rsid w:val="007321EB"/>
    <w:rsid w:val="00732386"/>
    <w:rsid w:val="0073482B"/>
    <w:rsid w:val="0073514D"/>
    <w:rsid w:val="007364E6"/>
    <w:rsid w:val="00744055"/>
    <w:rsid w:val="007447F3"/>
    <w:rsid w:val="007506CF"/>
    <w:rsid w:val="00752CF8"/>
    <w:rsid w:val="00753408"/>
    <w:rsid w:val="0075499F"/>
    <w:rsid w:val="00754DD4"/>
    <w:rsid w:val="00755327"/>
    <w:rsid w:val="007577B5"/>
    <w:rsid w:val="00763486"/>
    <w:rsid w:val="007661C8"/>
    <w:rsid w:val="0077098D"/>
    <w:rsid w:val="007726E3"/>
    <w:rsid w:val="00777533"/>
    <w:rsid w:val="007820C5"/>
    <w:rsid w:val="00784612"/>
    <w:rsid w:val="007855D5"/>
    <w:rsid w:val="007877ED"/>
    <w:rsid w:val="0079184C"/>
    <w:rsid w:val="007928F0"/>
    <w:rsid w:val="007931FA"/>
    <w:rsid w:val="00796CC7"/>
    <w:rsid w:val="00797BC2"/>
    <w:rsid w:val="00797C5E"/>
    <w:rsid w:val="007A4861"/>
    <w:rsid w:val="007A503F"/>
    <w:rsid w:val="007A7BBA"/>
    <w:rsid w:val="007B0C50"/>
    <w:rsid w:val="007B2F03"/>
    <w:rsid w:val="007B48F9"/>
    <w:rsid w:val="007C0570"/>
    <w:rsid w:val="007C1A43"/>
    <w:rsid w:val="007C384D"/>
    <w:rsid w:val="007C594B"/>
    <w:rsid w:val="007C6883"/>
    <w:rsid w:val="007D0951"/>
    <w:rsid w:val="007D0A06"/>
    <w:rsid w:val="007D481D"/>
    <w:rsid w:val="007E03D6"/>
    <w:rsid w:val="007E0F6D"/>
    <w:rsid w:val="007E671E"/>
    <w:rsid w:val="007F0959"/>
    <w:rsid w:val="007F0C65"/>
    <w:rsid w:val="007F0ED2"/>
    <w:rsid w:val="007F24F3"/>
    <w:rsid w:val="007F4682"/>
    <w:rsid w:val="007F46D2"/>
    <w:rsid w:val="007F743A"/>
    <w:rsid w:val="0080013E"/>
    <w:rsid w:val="008004C8"/>
    <w:rsid w:val="00805287"/>
    <w:rsid w:val="008111FA"/>
    <w:rsid w:val="00811BE3"/>
    <w:rsid w:val="00813288"/>
    <w:rsid w:val="00813A81"/>
    <w:rsid w:val="00814506"/>
    <w:rsid w:val="0081557F"/>
    <w:rsid w:val="00816887"/>
    <w:rsid w:val="008168FC"/>
    <w:rsid w:val="00816C12"/>
    <w:rsid w:val="0082212F"/>
    <w:rsid w:val="0082752F"/>
    <w:rsid w:val="00827DCA"/>
    <w:rsid w:val="00830996"/>
    <w:rsid w:val="00830E15"/>
    <w:rsid w:val="008345F1"/>
    <w:rsid w:val="0083633A"/>
    <w:rsid w:val="00840E41"/>
    <w:rsid w:val="008426C2"/>
    <w:rsid w:val="00843EAC"/>
    <w:rsid w:val="00851CC7"/>
    <w:rsid w:val="0085439C"/>
    <w:rsid w:val="0085791B"/>
    <w:rsid w:val="0086373F"/>
    <w:rsid w:val="0086374C"/>
    <w:rsid w:val="0086493A"/>
    <w:rsid w:val="00865B07"/>
    <w:rsid w:val="008667EA"/>
    <w:rsid w:val="0087194B"/>
    <w:rsid w:val="00873376"/>
    <w:rsid w:val="00873CB5"/>
    <w:rsid w:val="0087637F"/>
    <w:rsid w:val="00876A9E"/>
    <w:rsid w:val="008866C0"/>
    <w:rsid w:val="00886940"/>
    <w:rsid w:val="00887464"/>
    <w:rsid w:val="0088773A"/>
    <w:rsid w:val="00892AD5"/>
    <w:rsid w:val="0089403E"/>
    <w:rsid w:val="00896AE6"/>
    <w:rsid w:val="008A0A40"/>
    <w:rsid w:val="008A0FF2"/>
    <w:rsid w:val="008A1512"/>
    <w:rsid w:val="008A3999"/>
    <w:rsid w:val="008A4B8E"/>
    <w:rsid w:val="008A5213"/>
    <w:rsid w:val="008B0BE0"/>
    <w:rsid w:val="008B2226"/>
    <w:rsid w:val="008B2F8E"/>
    <w:rsid w:val="008B4956"/>
    <w:rsid w:val="008B7C03"/>
    <w:rsid w:val="008C0391"/>
    <w:rsid w:val="008C2CB7"/>
    <w:rsid w:val="008C5E03"/>
    <w:rsid w:val="008C793A"/>
    <w:rsid w:val="008D30A3"/>
    <w:rsid w:val="008D32B9"/>
    <w:rsid w:val="008D3A84"/>
    <w:rsid w:val="008D433B"/>
    <w:rsid w:val="008D4A16"/>
    <w:rsid w:val="008D5317"/>
    <w:rsid w:val="008E1417"/>
    <w:rsid w:val="008E1AF4"/>
    <w:rsid w:val="008E566E"/>
    <w:rsid w:val="008F0356"/>
    <w:rsid w:val="008F0D96"/>
    <w:rsid w:val="008F4D3C"/>
    <w:rsid w:val="008F6B1F"/>
    <w:rsid w:val="008F73B2"/>
    <w:rsid w:val="008F7A85"/>
    <w:rsid w:val="0090052B"/>
    <w:rsid w:val="0090161A"/>
    <w:rsid w:val="00901EB6"/>
    <w:rsid w:val="00901FE6"/>
    <w:rsid w:val="00904C62"/>
    <w:rsid w:val="0090581D"/>
    <w:rsid w:val="009067F4"/>
    <w:rsid w:val="009075E4"/>
    <w:rsid w:val="00907CE5"/>
    <w:rsid w:val="009101AF"/>
    <w:rsid w:val="0091194F"/>
    <w:rsid w:val="00913D9E"/>
    <w:rsid w:val="009146CE"/>
    <w:rsid w:val="0091792C"/>
    <w:rsid w:val="00917C12"/>
    <w:rsid w:val="00922BA8"/>
    <w:rsid w:val="00924DAC"/>
    <w:rsid w:val="009269B5"/>
    <w:rsid w:val="00927058"/>
    <w:rsid w:val="0092755C"/>
    <w:rsid w:val="00931242"/>
    <w:rsid w:val="00933862"/>
    <w:rsid w:val="00933F95"/>
    <w:rsid w:val="00934414"/>
    <w:rsid w:val="0093624B"/>
    <w:rsid w:val="009415F3"/>
    <w:rsid w:val="00942750"/>
    <w:rsid w:val="009450CE"/>
    <w:rsid w:val="009459BB"/>
    <w:rsid w:val="00947179"/>
    <w:rsid w:val="00951228"/>
    <w:rsid w:val="0095164B"/>
    <w:rsid w:val="00953C2A"/>
    <w:rsid w:val="00954090"/>
    <w:rsid w:val="00954D26"/>
    <w:rsid w:val="009563D9"/>
    <w:rsid w:val="009573E7"/>
    <w:rsid w:val="0096108F"/>
    <w:rsid w:val="00962CF2"/>
    <w:rsid w:val="009632F2"/>
    <w:rsid w:val="00963E05"/>
    <w:rsid w:val="00964A45"/>
    <w:rsid w:val="00967843"/>
    <w:rsid w:val="00967D54"/>
    <w:rsid w:val="00967F0D"/>
    <w:rsid w:val="0097063D"/>
    <w:rsid w:val="00970BEA"/>
    <w:rsid w:val="00971028"/>
    <w:rsid w:val="00974345"/>
    <w:rsid w:val="0097741D"/>
    <w:rsid w:val="009820B1"/>
    <w:rsid w:val="00982E28"/>
    <w:rsid w:val="009830C3"/>
    <w:rsid w:val="00986F98"/>
    <w:rsid w:val="009912D2"/>
    <w:rsid w:val="00992BA0"/>
    <w:rsid w:val="00993B84"/>
    <w:rsid w:val="00996483"/>
    <w:rsid w:val="00996DFF"/>
    <w:rsid w:val="00996F5A"/>
    <w:rsid w:val="009A14BA"/>
    <w:rsid w:val="009A16FF"/>
    <w:rsid w:val="009A7A6E"/>
    <w:rsid w:val="009A7FB0"/>
    <w:rsid w:val="009B041A"/>
    <w:rsid w:val="009C09E9"/>
    <w:rsid w:val="009C2C7A"/>
    <w:rsid w:val="009C37C3"/>
    <w:rsid w:val="009C4A02"/>
    <w:rsid w:val="009C517A"/>
    <w:rsid w:val="009C522E"/>
    <w:rsid w:val="009C7C86"/>
    <w:rsid w:val="009D19A8"/>
    <w:rsid w:val="009D2FF7"/>
    <w:rsid w:val="009D36D1"/>
    <w:rsid w:val="009D37AB"/>
    <w:rsid w:val="009D421A"/>
    <w:rsid w:val="009E094E"/>
    <w:rsid w:val="009E1873"/>
    <w:rsid w:val="009E23AF"/>
    <w:rsid w:val="009E2E0D"/>
    <w:rsid w:val="009E3FE7"/>
    <w:rsid w:val="009E7502"/>
    <w:rsid w:val="009E7884"/>
    <w:rsid w:val="009E788A"/>
    <w:rsid w:val="009F0E08"/>
    <w:rsid w:val="009F0E13"/>
    <w:rsid w:val="009F18C6"/>
    <w:rsid w:val="009F29C4"/>
    <w:rsid w:val="009F56B3"/>
    <w:rsid w:val="009F7BFB"/>
    <w:rsid w:val="009F7FA9"/>
    <w:rsid w:val="00A0418D"/>
    <w:rsid w:val="00A04A24"/>
    <w:rsid w:val="00A0673A"/>
    <w:rsid w:val="00A10B1C"/>
    <w:rsid w:val="00A11766"/>
    <w:rsid w:val="00A129B8"/>
    <w:rsid w:val="00A142E5"/>
    <w:rsid w:val="00A1763D"/>
    <w:rsid w:val="00A17CEC"/>
    <w:rsid w:val="00A22F0E"/>
    <w:rsid w:val="00A2671D"/>
    <w:rsid w:val="00A27EF0"/>
    <w:rsid w:val="00A3106D"/>
    <w:rsid w:val="00A31D4F"/>
    <w:rsid w:val="00A330BA"/>
    <w:rsid w:val="00A3552C"/>
    <w:rsid w:val="00A405C4"/>
    <w:rsid w:val="00A42361"/>
    <w:rsid w:val="00A440D1"/>
    <w:rsid w:val="00A4772A"/>
    <w:rsid w:val="00A50B20"/>
    <w:rsid w:val="00A51390"/>
    <w:rsid w:val="00A546CB"/>
    <w:rsid w:val="00A55C04"/>
    <w:rsid w:val="00A60D13"/>
    <w:rsid w:val="00A61777"/>
    <w:rsid w:val="00A62D1D"/>
    <w:rsid w:val="00A63BE6"/>
    <w:rsid w:val="00A641C0"/>
    <w:rsid w:val="00A6482C"/>
    <w:rsid w:val="00A65EB7"/>
    <w:rsid w:val="00A66F9E"/>
    <w:rsid w:val="00A7223D"/>
    <w:rsid w:val="00A72745"/>
    <w:rsid w:val="00A75736"/>
    <w:rsid w:val="00A76EFC"/>
    <w:rsid w:val="00A85A2A"/>
    <w:rsid w:val="00A867EF"/>
    <w:rsid w:val="00A874E7"/>
    <w:rsid w:val="00A87D50"/>
    <w:rsid w:val="00A87EC8"/>
    <w:rsid w:val="00A91010"/>
    <w:rsid w:val="00A94BD3"/>
    <w:rsid w:val="00A97F29"/>
    <w:rsid w:val="00AA00D7"/>
    <w:rsid w:val="00AA0ED8"/>
    <w:rsid w:val="00AA702E"/>
    <w:rsid w:val="00AA7D26"/>
    <w:rsid w:val="00AB0802"/>
    <w:rsid w:val="00AB0964"/>
    <w:rsid w:val="00AB2BBE"/>
    <w:rsid w:val="00AB45EC"/>
    <w:rsid w:val="00AB4955"/>
    <w:rsid w:val="00AB5011"/>
    <w:rsid w:val="00AC12E6"/>
    <w:rsid w:val="00AC7368"/>
    <w:rsid w:val="00AD082B"/>
    <w:rsid w:val="00AD0C8E"/>
    <w:rsid w:val="00AD0F43"/>
    <w:rsid w:val="00AD16B9"/>
    <w:rsid w:val="00AD1BCB"/>
    <w:rsid w:val="00AD5DB6"/>
    <w:rsid w:val="00AE00EC"/>
    <w:rsid w:val="00AE19C5"/>
    <w:rsid w:val="00AE377D"/>
    <w:rsid w:val="00AE3F82"/>
    <w:rsid w:val="00AF0EBA"/>
    <w:rsid w:val="00AF299B"/>
    <w:rsid w:val="00AF3F15"/>
    <w:rsid w:val="00AF5A0B"/>
    <w:rsid w:val="00AF5F11"/>
    <w:rsid w:val="00AF79A9"/>
    <w:rsid w:val="00B006FE"/>
    <w:rsid w:val="00B02C8A"/>
    <w:rsid w:val="00B044E2"/>
    <w:rsid w:val="00B054BB"/>
    <w:rsid w:val="00B14701"/>
    <w:rsid w:val="00B1537E"/>
    <w:rsid w:val="00B15A31"/>
    <w:rsid w:val="00B15C51"/>
    <w:rsid w:val="00B17FBD"/>
    <w:rsid w:val="00B20E52"/>
    <w:rsid w:val="00B215C9"/>
    <w:rsid w:val="00B23A06"/>
    <w:rsid w:val="00B30408"/>
    <w:rsid w:val="00B315A6"/>
    <w:rsid w:val="00B31813"/>
    <w:rsid w:val="00B32D71"/>
    <w:rsid w:val="00B33365"/>
    <w:rsid w:val="00B409E3"/>
    <w:rsid w:val="00B454D0"/>
    <w:rsid w:val="00B45A1C"/>
    <w:rsid w:val="00B46B82"/>
    <w:rsid w:val="00B470D0"/>
    <w:rsid w:val="00B55BD1"/>
    <w:rsid w:val="00B57B36"/>
    <w:rsid w:val="00B57E6F"/>
    <w:rsid w:val="00B77E59"/>
    <w:rsid w:val="00B803FE"/>
    <w:rsid w:val="00B82AED"/>
    <w:rsid w:val="00B83409"/>
    <w:rsid w:val="00B83F17"/>
    <w:rsid w:val="00B85B18"/>
    <w:rsid w:val="00B8686D"/>
    <w:rsid w:val="00B8709B"/>
    <w:rsid w:val="00B903D9"/>
    <w:rsid w:val="00B917BE"/>
    <w:rsid w:val="00B917D8"/>
    <w:rsid w:val="00B91A64"/>
    <w:rsid w:val="00B93708"/>
    <w:rsid w:val="00B93F69"/>
    <w:rsid w:val="00B95011"/>
    <w:rsid w:val="00B96B6F"/>
    <w:rsid w:val="00BA2257"/>
    <w:rsid w:val="00BA24D3"/>
    <w:rsid w:val="00BA6BEA"/>
    <w:rsid w:val="00BA6DCB"/>
    <w:rsid w:val="00BA7763"/>
    <w:rsid w:val="00BB096B"/>
    <w:rsid w:val="00BB1273"/>
    <w:rsid w:val="00BB1DDC"/>
    <w:rsid w:val="00BB7FCD"/>
    <w:rsid w:val="00BC30C9"/>
    <w:rsid w:val="00BC3322"/>
    <w:rsid w:val="00BC3553"/>
    <w:rsid w:val="00BC4B95"/>
    <w:rsid w:val="00BC4C46"/>
    <w:rsid w:val="00BC6844"/>
    <w:rsid w:val="00BC7B66"/>
    <w:rsid w:val="00BD077D"/>
    <w:rsid w:val="00BD3113"/>
    <w:rsid w:val="00BD3212"/>
    <w:rsid w:val="00BD4D1A"/>
    <w:rsid w:val="00BE0349"/>
    <w:rsid w:val="00BE0D2A"/>
    <w:rsid w:val="00BE1921"/>
    <w:rsid w:val="00BE3C70"/>
    <w:rsid w:val="00BE3E58"/>
    <w:rsid w:val="00BE6A2C"/>
    <w:rsid w:val="00BF357B"/>
    <w:rsid w:val="00BF3611"/>
    <w:rsid w:val="00C00FB2"/>
    <w:rsid w:val="00C01616"/>
    <w:rsid w:val="00C0162B"/>
    <w:rsid w:val="00C04BB2"/>
    <w:rsid w:val="00C050E5"/>
    <w:rsid w:val="00C068ED"/>
    <w:rsid w:val="00C14410"/>
    <w:rsid w:val="00C16FC9"/>
    <w:rsid w:val="00C201B9"/>
    <w:rsid w:val="00C20F75"/>
    <w:rsid w:val="00C22C63"/>
    <w:rsid w:val="00C22E0C"/>
    <w:rsid w:val="00C22F5D"/>
    <w:rsid w:val="00C23DF3"/>
    <w:rsid w:val="00C32727"/>
    <w:rsid w:val="00C345B1"/>
    <w:rsid w:val="00C40142"/>
    <w:rsid w:val="00C42CED"/>
    <w:rsid w:val="00C52C3C"/>
    <w:rsid w:val="00C531DB"/>
    <w:rsid w:val="00C57182"/>
    <w:rsid w:val="00C57863"/>
    <w:rsid w:val="00C640AF"/>
    <w:rsid w:val="00C65167"/>
    <w:rsid w:val="00C655FD"/>
    <w:rsid w:val="00C70358"/>
    <w:rsid w:val="00C72221"/>
    <w:rsid w:val="00C75407"/>
    <w:rsid w:val="00C822D1"/>
    <w:rsid w:val="00C84554"/>
    <w:rsid w:val="00C870A8"/>
    <w:rsid w:val="00C8762F"/>
    <w:rsid w:val="00C87B63"/>
    <w:rsid w:val="00C94434"/>
    <w:rsid w:val="00CA0D4A"/>
    <w:rsid w:val="00CA0D6C"/>
    <w:rsid w:val="00CA0D75"/>
    <w:rsid w:val="00CA1C95"/>
    <w:rsid w:val="00CA40AE"/>
    <w:rsid w:val="00CA4FB7"/>
    <w:rsid w:val="00CA5A9C"/>
    <w:rsid w:val="00CC29C5"/>
    <w:rsid w:val="00CC35F6"/>
    <w:rsid w:val="00CC4B45"/>
    <w:rsid w:val="00CC4C20"/>
    <w:rsid w:val="00CC7EE2"/>
    <w:rsid w:val="00CD1B82"/>
    <w:rsid w:val="00CD2C11"/>
    <w:rsid w:val="00CD3517"/>
    <w:rsid w:val="00CD5FE2"/>
    <w:rsid w:val="00CD67D5"/>
    <w:rsid w:val="00CE02E1"/>
    <w:rsid w:val="00CE04F5"/>
    <w:rsid w:val="00CE357E"/>
    <w:rsid w:val="00CE3944"/>
    <w:rsid w:val="00CE4284"/>
    <w:rsid w:val="00CE4FC7"/>
    <w:rsid w:val="00CE5AFB"/>
    <w:rsid w:val="00CE7C68"/>
    <w:rsid w:val="00CF42E4"/>
    <w:rsid w:val="00CF60AC"/>
    <w:rsid w:val="00D022D6"/>
    <w:rsid w:val="00D02B4C"/>
    <w:rsid w:val="00D03CCA"/>
    <w:rsid w:val="00D040C4"/>
    <w:rsid w:val="00D04F2C"/>
    <w:rsid w:val="00D05704"/>
    <w:rsid w:val="00D0590D"/>
    <w:rsid w:val="00D1567D"/>
    <w:rsid w:val="00D164FC"/>
    <w:rsid w:val="00D178F0"/>
    <w:rsid w:val="00D17B3C"/>
    <w:rsid w:val="00D17B7C"/>
    <w:rsid w:val="00D20AD1"/>
    <w:rsid w:val="00D2558F"/>
    <w:rsid w:val="00D32D85"/>
    <w:rsid w:val="00D337D0"/>
    <w:rsid w:val="00D35F56"/>
    <w:rsid w:val="00D44BAF"/>
    <w:rsid w:val="00D45381"/>
    <w:rsid w:val="00D4590F"/>
    <w:rsid w:val="00D46B7E"/>
    <w:rsid w:val="00D53275"/>
    <w:rsid w:val="00D57C84"/>
    <w:rsid w:val="00D6057D"/>
    <w:rsid w:val="00D631A4"/>
    <w:rsid w:val="00D63E34"/>
    <w:rsid w:val="00D648EC"/>
    <w:rsid w:val="00D71640"/>
    <w:rsid w:val="00D7361E"/>
    <w:rsid w:val="00D80B18"/>
    <w:rsid w:val="00D836C5"/>
    <w:rsid w:val="00D84576"/>
    <w:rsid w:val="00D94AA7"/>
    <w:rsid w:val="00DA1399"/>
    <w:rsid w:val="00DA23C4"/>
    <w:rsid w:val="00DA24C6"/>
    <w:rsid w:val="00DA4D7B"/>
    <w:rsid w:val="00DA7934"/>
    <w:rsid w:val="00DB2D48"/>
    <w:rsid w:val="00DB30F0"/>
    <w:rsid w:val="00DC0461"/>
    <w:rsid w:val="00DC2DC5"/>
    <w:rsid w:val="00DC3397"/>
    <w:rsid w:val="00DC7AB1"/>
    <w:rsid w:val="00DD18B3"/>
    <w:rsid w:val="00DD271C"/>
    <w:rsid w:val="00DD4C2B"/>
    <w:rsid w:val="00DE0664"/>
    <w:rsid w:val="00DE224E"/>
    <w:rsid w:val="00DE264A"/>
    <w:rsid w:val="00DE2ED3"/>
    <w:rsid w:val="00DE340F"/>
    <w:rsid w:val="00DE467F"/>
    <w:rsid w:val="00DE6620"/>
    <w:rsid w:val="00DE6A1E"/>
    <w:rsid w:val="00DF5072"/>
    <w:rsid w:val="00E0204D"/>
    <w:rsid w:val="00E02D18"/>
    <w:rsid w:val="00E041E7"/>
    <w:rsid w:val="00E07126"/>
    <w:rsid w:val="00E11284"/>
    <w:rsid w:val="00E11387"/>
    <w:rsid w:val="00E1280B"/>
    <w:rsid w:val="00E15341"/>
    <w:rsid w:val="00E1552B"/>
    <w:rsid w:val="00E167E1"/>
    <w:rsid w:val="00E22526"/>
    <w:rsid w:val="00E23CA1"/>
    <w:rsid w:val="00E259E0"/>
    <w:rsid w:val="00E25F47"/>
    <w:rsid w:val="00E27931"/>
    <w:rsid w:val="00E33A32"/>
    <w:rsid w:val="00E33DD7"/>
    <w:rsid w:val="00E364A0"/>
    <w:rsid w:val="00E409A8"/>
    <w:rsid w:val="00E45BA8"/>
    <w:rsid w:val="00E50C12"/>
    <w:rsid w:val="00E51D37"/>
    <w:rsid w:val="00E6070D"/>
    <w:rsid w:val="00E62B72"/>
    <w:rsid w:val="00E63BCB"/>
    <w:rsid w:val="00E64E70"/>
    <w:rsid w:val="00E65B91"/>
    <w:rsid w:val="00E7209D"/>
    <w:rsid w:val="00E72EAD"/>
    <w:rsid w:val="00E737FD"/>
    <w:rsid w:val="00E77223"/>
    <w:rsid w:val="00E803C0"/>
    <w:rsid w:val="00E807FA"/>
    <w:rsid w:val="00E82D0F"/>
    <w:rsid w:val="00E830A2"/>
    <w:rsid w:val="00E83C4D"/>
    <w:rsid w:val="00E8528B"/>
    <w:rsid w:val="00E85B94"/>
    <w:rsid w:val="00E85BA3"/>
    <w:rsid w:val="00E94EEA"/>
    <w:rsid w:val="00E978D0"/>
    <w:rsid w:val="00EA0ADC"/>
    <w:rsid w:val="00EA1E0C"/>
    <w:rsid w:val="00EA4185"/>
    <w:rsid w:val="00EA4613"/>
    <w:rsid w:val="00EA7F91"/>
    <w:rsid w:val="00EB1523"/>
    <w:rsid w:val="00EB423B"/>
    <w:rsid w:val="00EC077F"/>
    <w:rsid w:val="00EC0E49"/>
    <w:rsid w:val="00EC101F"/>
    <w:rsid w:val="00EC18C0"/>
    <w:rsid w:val="00EC1D9F"/>
    <w:rsid w:val="00EC3EAE"/>
    <w:rsid w:val="00ED2F52"/>
    <w:rsid w:val="00ED3487"/>
    <w:rsid w:val="00ED5939"/>
    <w:rsid w:val="00EE0131"/>
    <w:rsid w:val="00EE17B0"/>
    <w:rsid w:val="00EE3671"/>
    <w:rsid w:val="00EF06D9"/>
    <w:rsid w:val="00EF0857"/>
    <w:rsid w:val="00EF1B13"/>
    <w:rsid w:val="00EF4CC1"/>
    <w:rsid w:val="00EF6AF5"/>
    <w:rsid w:val="00F0015A"/>
    <w:rsid w:val="00F0289B"/>
    <w:rsid w:val="00F05AB3"/>
    <w:rsid w:val="00F10358"/>
    <w:rsid w:val="00F109C2"/>
    <w:rsid w:val="00F12605"/>
    <w:rsid w:val="00F13EDE"/>
    <w:rsid w:val="00F152AF"/>
    <w:rsid w:val="00F15D39"/>
    <w:rsid w:val="00F16C35"/>
    <w:rsid w:val="00F16E05"/>
    <w:rsid w:val="00F17357"/>
    <w:rsid w:val="00F235BF"/>
    <w:rsid w:val="00F23768"/>
    <w:rsid w:val="00F23ECE"/>
    <w:rsid w:val="00F257D3"/>
    <w:rsid w:val="00F3049E"/>
    <w:rsid w:val="00F30C64"/>
    <w:rsid w:val="00F324D4"/>
    <w:rsid w:val="00F32ADB"/>
    <w:rsid w:val="00F32BA2"/>
    <w:rsid w:val="00F32CDB"/>
    <w:rsid w:val="00F33732"/>
    <w:rsid w:val="00F3409B"/>
    <w:rsid w:val="00F35FC5"/>
    <w:rsid w:val="00F37E18"/>
    <w:rsid w:val="00F413A8"/>
    <w:rsid w:val="00F45CEB"/>
    <w:rsid w:val="00F47102"/>
    <w:rsid w:val="00F4772D"/>
    <w:rsid w:val="00F5012C"/>
    <w:rsid w:val="00F552DA"/>
    <w:rsid w:val="00F56230"/>
    <w:rsid w:val="00F565FE"/>
    <w:rsid w:val="00F575A8"/>
    <w:rsid w:val="00F62933"/>
    <w:rsid w:val="00F63A70"/>
    <w:rsid w:val="00F63D8C"/>
    <w:rsid w:val="00F7187F"/>
    <w:rsid w:val="00F7534E"/>
    <w:rsid w:val="00F757E0"/>
    <w:rsid w:val="00F77C96"/>
    <w:rsid w:val="00F8398F"/>
    <w:rsid w:val="00F868FB"/>
    <w:rsid w:val="00F9146B"/>
    <w:rsid w:val="00F9173A"/>
    <w:rsid w:val="00F9303A"/>
    <w:rsid w:val="00F93EDF"/>
    <w:rsid w:val="00F96DC7"/>
    <w:rsid w:val="00F97C81"/>
    <w:rsid w:val="00F97F87"/>
    <w:rsid w:val="00FA01AC"/>
    <w:rsid w:val="00FA07C3"/>
    <w:rsid w:val="00FA0BB3"/>
    <w:rsid w:val="00FA1802"/>
    <w:rsid w:val="00FA21D0"/>
    <w:rsid w:val="00FA4D91"/>
    <w:rsid w:val="00FA5F5F"/>
    <w:rsid w:val="00FA6162"/>
    <w:rsid w:val="00FA784C"/>
    <w:rsid w:val="00FB1E79"/>
    <w:rsid w:val="00FB4D95"/>
    <w:rsid w:val="00FB676F"/>
    <w:rsid w:val="00FB730C"/>
    <w:rsid w:val="00FC1ACE"/>
    <w:rsid w:val="00FC2695"/>
    <w:rsid w:val="00FC3E03"/>
    <w:rsid w:val="00FC3FC1"/>
    <w:rsid w:val="00FC4DAD"/>
    <w:rsid w:val="00FC5B43"/>
    <w:rsid w:val="00FD0F57"/>
    <w:rsid w:val="00FD410F"/>
    <w:rsid w:val="00FD4BF0"/>
    <w:rsid w:val="00FD64B9"/>
    <w:rsid w:val="00FE339C"/>
    <w:rsid w:val="00FE775A"/>
    <w:rsid w:val="00FF15E0"/>
    <w:rsid w:val="00FF2D47"/>
    <w:rsid w:val="00FF546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apple-converted-space">
    <w:name w:val="apple-converted-space"/>
    <w:basedOn w:val="Carpredefinitoparagrafo"/>
    <w:rsid w:val="00C04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765312">
      <w:bodyDiv w:val="1"/>
      <w:marLeft w:val="0"/>
      <w:marRight w:val="0"/>
      <w:marTop w:val="0"/>
      <w:marBottom w:val="0"/>
      <w:divBdr>
        <w:top w:val="none" w:sz="0" w:space="0" w:color="auto"/>
        <w:left w:val="none" w:sz="0" w:space="0" w:color="auto"/>
        <w:bottom w:val="none" w:sz="0" w:space="0" w:color="auto"/>
        <w:right w:val="none" w:sz="0" w:space="0" w:color="auto"/>
      </w:divBdr>
      <w:divsChild>
        <w:div w:id="2780104">
          <w:marLeft w:val="0"/>
          <w:marRight w:val="0"/>
          <w:marTop w:val="0"/>
          <w:marBottom w:val="0"/>
          <w:divBdr>
            <w:top w:val="none" w:sz="0" w:space="0" w:color="auto"/>
            <w:left w:val="none" w:sz="0" w:space="0" w:color="auto"/>
            <w:bottom w:val="none" w:sz="0" w:space="0" w:color="auto"/>
            <w:right w:val="none" w:sz="0" w:space="0" w:color="auto"/>
          </w:divBdr>
          <w:divsChild>
            <w:div w:id="878468012">
              <w:marLeft w:val="0"/>
              <w:marRight w:val="0"/>
              <w:marTop w:val="0"/>
              <w:marBottom w:val="0"/>
              <w:divBdr>
                <w:top w:val="none" w:sz="0" w:space="0" w:color="auto"/>
                <w:left w:val="none" w:sz="0" w:space="0" w:color="auto"/>
                <w:bottom w:val="none" w:sz="0" w:space="0" w:color="auto"/>
                <w:right w:val="none" w:sz="0" w:space="0" w:color="auto"/>
              </w:divBdr>
              <w:divsChild>
                <w:div w:id="90861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9648">
      <w:bodyDiv w:val="1"/>
      <w:marLeft w:val="0"/>
      <w:marRight w:val="0"/>
      <w:marTop w:val="0"/>
      <w:marBottom w:val="0"/>
      <w:divBdr>
        <w:top w:val="none" w:sz="0" w:space="0" w:color="auto"/>
        <w:left w:val="none" w:sz="0" w:space="0" w:color="auto"/>
        <w:bottom w:val="none" w:sz="0" w:space="0" w:color="auto"/>
        <w:right w:val="none" w:sz="0" w:space="0" w:color="auto"/>
      </w:divBdr>
    </w:div>
    <w:div w:id="370688707">
      <w:bodyDiv w:val="1"/>
      <w:marLeft w:val="0"/>
      <w:marRight w:val="0"/>
      <w:marTop w:val="0"/>
      <w:marBottom w:val="0"/>
      <w:divBdr>
        <w:top w:val="none" w:sz="0" w:space="0" w:color="auto"/>
        <w:left w:val="none" w:sz="0" w:space="0" w:color="auto"/>
        <w:bottom w:val="none" w:sz="0" w:space="0" w:color="auto"/>
        <w:right w:val="none" w:sz="0" w:space="0" w:color="auto"/>
      </w:divBdr>
      <w:divsChild>
        <w:div w:id="1350178391">
          <w:marLeft w:val="0"/>
          <w:marRight w:val="0"/>
          <w:marTop w:val="0"/>
          <w:marBottom w:val="0"/>
          <w:divBdr>
            <w:top w:val="none" w:sz="0" w:space="0" w:color="auto"/>
            <w:left w:val="none" w:sz="0" w:space="0" w:color="auto"/>
            <w:bottom w:val="none" w:sz="0" w:space="0" w:color="auto"/>
            <w:right w:val="none" w:sz="0" w:space="0" w:color="auto"/>
          </w:divBdr>
          <w:divsChild>
            <w:div w:id="1891189560">
              <w:marLeft w:val="0"/>
              <w:marRight w:val="0"/>
              <w:marTop w:val="0"/>
              <w:marBottom w:val="0"/>
              <w:divBdr>
                <w:top w:val="none" w:sz="0" w:space="0" w:color="auto"/>
                <w:left w:val="none" w:sz="0" w:space="0" w:color="auto"/>
                <w:bottom w:val="none" w:sz="0" w:space="0" w:color="auto"/>
                <w:right w:val="none" w:sz="0" w:space="0" w:color="auto"/>
              </w:divBdr>
              <w:divsChild>
                <w:div w:id="198882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87125">
      <w:bodyDiv w:val="1"/>
      <w:marLeft w:val="0"/>
      <w:marRight w:val="0"/>
      <w:marTop w:val="0"/>
      <w:marBottom w:val="0"/>
      <w:divBdr>
        <w:top w:val="none" w:sz="0" w:space="0" w:color="auto"/>
        <w:left w:val="none" w:sz="0" w:space="0" w:color="auto"/>
        <w:bottom w:val="none" w:sz="0" w:space="0" w:color="auto"/>
        <w:right w:val="none" w:sz="0" w:space="0" w:color="auto"/>
      </w:divBdr>
      <w:divsChild>
        <w:div w:id="200364856">
          <w:marLeft w:val="0"/>
          <w:marRight w:val="0"/>
          <w:marTop w:val="0"/>
          <w:marBottom w:val="0"/>
          <w:divBdr>
            <w:top w:val="none" w:sz="0" w:space="0" w:color="auto"/>
            <w:left w:val="none" w:sz="0" w:space="0" w:color="auto"/>
            <w:bottom w:val="none" w:sz="0" w:space="0" w:color="auto"/>
            <w:right w:val="none" w:sz="0" w:space="0" w:color="auto"/>
          </w:divBdr>
          <w:divsChild>
            <w:div w:id="1881235116">
              <w:marLeft w:val="0"/>
              <w:marRight w:val="0"/>
              <w:marTop w:val="0"/>
              <w:marBottom w:val="0"/>
              <w:divBdr>
                <w:top w:val="none" w:sz="0" w:space="0" w:color="auto"/>
                <w:left w:val="none" w:sz="0" w:space="0" w:color="auto"/>
                <w:bottom w:val="none" w:sz="0" w:space="0" w:color="auto"/>
                <w:right w:val="none" w:sz="0" w:space="0" w:color="auto"/>
              </w:divBdr>
              <w:divsChild>
                <w:div w:id="202874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10015">
      <w:bodyDiv w:val="1"/>
      <w:marLeft w:val="0"/>
      <w:marRight w:val="0"/>
      <w:marTop w:val="0"/>
      <w:marBottom w:val="0"/>
      <w:divBdr>
        <w:top w:val="none" w:sz="0" w:space="0" w:color="auto"/>
        <w:left w:val="none" w:sz="0" w:space="0" w:color="auto"/>
        <w:bottom w:val="none" w:sz="0" w:space="0" w:color="auto"/>
        <w:right w:val="none" w:sz="0" w:space="0" w:color="auto"/>
      </w:divBdr>
    </w:div>
    <w:div w:id="700863322">
      <w:bodyDiv w:val="1"/>
      <w:marLeft w:val="0"/>
      <w:marRight w:val="0"/>
      <w:marTop w:val="0"/>
      <w:marBottom w:val="0"/>
      <w:divBdr>
        <w:top w:val="none" w:sz="0" w:space="0" w:color="auto"/>
        <w:left w:val="none" w:sz="0" w:space="0" w:color="auto"/>
        <w:bottom w:val="none" w:sz="0" w:space="0" w:color="auto"/>
        <w:right w:val="none" w:sz="0" w:space="0" w:color="auto"/>
      </w:divBdr>
    </w:div>
    <w:div w:id="777523149">
      <w:bodyDiv w:val="1"/>
      <w:marLeft w:val="0"/>
      <w:marRight w:val="0"/>
      <w:marTop w:val="0"/>
      <w:marBottom w:val="0"/>
      <w:divBdr>
        <w:top w:val="none" w:sz="0" w:space="0" w:color="auto"/>
        <w:left w:val="none" w:sz="0" w:space="0" w:color="auto"/>
        <w:bottom w:val="none" w:sz="0" w:space="0" w:color="auto"/>
        <w:right w:val="none" w:sz="0" w:space="0" w:color="auto"/>
      </w:divBdr>
      <w:divsChild>
        <w:div w:id="1880320806">
          <w:marLeft w:val="0"/>
          <w:marRight w:val="0"/>
          <w:marTop w:val="0"/>
          <w:marBottom w:val="0"/>
          <w:divBdr>
            <w:top w:val="none" w:sz="0" w:space="0" w:color="auto"/>
            <w:left w:val="none" w:sz="0" w:space="0" w:color="auto"/>
            <w:bottom w:val="none" w:sz="0" w:space="0" w:color="auto"/>
            <w:right w:val="none" w:sz="0" w:space="0" w:color="auto"/>
          </w:divBdr>
          <w:divsChild>
            <w:div w:id="1903561641">
              <w:marLeft w:val="0"/>
              <w:marRight w:val="0"/>
              <w:marTop w:val="0"/>
              <w:marBottom w:val="0"/>
              <w:divBdr>
                <w:top w:val="none" w:sz="0" w:space="0" w:color="auto"/>
                <w:left w:val="none" w:sz="0" w:space="0" w:color="auto"/>
                <w:bottom w:val="none" w:sz="0" w:space="0" w:color="auto"/>
                <w:right w:val="none" w:sz="0" w:space="0" w:color="auto"/>
              </w:divBdr>
              <w:divsChild>
                <w:div w:id="1447697930">
                  <w:marLeft w:val="0"/>
                  <w:marRight w:val="0"/>
                  <w:marTop w:val="0"/>
                  <w:marBottom w:val="0"/>
                  <w:divBdr>
                    <w:top w:val="none" w:sz="0" w:space="0" w:color="auto"/>
                    <w:left w:val="none" w:sz="0" w:space="0" w:color="auto"/>
                    <w:bottom w:val="none" w:sz="0" w:space="0" w:color="auto"/>
                    <w:right w:val="none" w:sz="0" w:space="0" w:color="auto"/>
                  </w:divBdr>
                  <w:divsChild>
                    <w:div w:id="12037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51996">
      <w:bodyDiv w:val="1"/>
      <w:marLeft w:val="0"/>
      <w:marRight w:val="0"/>
      <w:marTop w:val="0"/>
      <w:marBottom w:val="0"/>
      <w:divBdr>
        <w:top w:val="none" w:sz="0" w:space="0" w:color="auto"/>
        <w:left w:val="none" w:sz="0" w:space="0" w:color="auto"/>
        <w:bottom w:val="none" w:sz="0" w:space="0" w:color="auto"/>
        <w:right w:val="none" w:sz="0" w:space="0" w:color="auto"/>
      </w:divBdr>
      <w:divsChild>
        <w:div w:id="1856797876">
          <w:marLeft w:val="0"/>
          <w:marRight w:val="0"/>
          <w:marTop w:val="0"/>
          <w:marBottom w:val="0"/>
          <w:divBdr>
            <w:top w:val="none" w:sz="0" w:space="0" w:color="auto"/>
            <w:left w:val="none" w:sz="0" w:space="0" w:color="auto"/>
            <w:bottom w:val="none" w:sz="0" w:space="0" w:color="auto"/>
            <w:right w:val="none" w:sz="0" w:space="0" w:color="auto"/>
          </w:divBdr>
          <w:divsChild>
            <w:div w:id="132531121">
              <w:marLeft w:val="0"/>
              <w:marRight w:val="0"/>
              <w:marTop w:val="0"/>
              <w:marBottom w:val="0"/>
              <w:divBdr>
                <w:top w:val="none" w:sz="0" w:space="0" w:color="auto"/>
                <w:left w:val="none" w:sz="0" w:space="0" w:color="auto"/>
                <w:bottom w:val="none" w:sz="0" w:space="0" w:color="auto"/>
                <w:right w:val="none" w:sz="0" w:space="0" w:color="auto"/>
              </w:divBdr>
              <w:divsChild>
                <w:div w:id="87288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8468233">
      <w:bodyDiv w:val="1"/>
      <w:marLeft w:val="0"/>
      <w:marRight w:val="0"/>
      <w:marTop w:val="0"/>
      <w:marBottom w:val="0"/>
      <w:divBdr>
        <w:top w:val="none" w:sz="0" w:space="0" w:color="auto"/>
        <w:left w:val="none" w:sz="0" w:space="0" w:color="auto"/>
        <w:bottom w:val="none" w:sz="0" w:space="0" w:color="auto"/>
        <w:right w:val="none" w:sz="0" w:space="0" w:color="auto"/>
      </w:divBdr>
      <w:divsChild>
        <w:div w:id="1057096615">
          <w:marLeft w:val="0"/>
          <w:marRight w:val="0"/>
          <w:marTop w:val="0"/>
          <w:marBottom w:val="0"/>
          <w:divBdr>
            <w:top w:val="none" w:sz="0" w:space="0" w:color="auto"/>
            <w:left w:val="none" w:sz="0" w:space="0" w:color="auto"/>
            <w:bottom w:val="none" w:sz="0" w:space="0" w:color="auto"/>
            <w:right w:val="none" w:sz="0" w:space="0" w:color="auto"/>
          </w:divBdr>
          <w:divsChild>
            <w:div w:id="872763132">
              <w:marLeft w:val="0"/>
              <w:marRight w:val="0"/>
              <w:marTop w:val="0"/>
              <w:marBottom w:val="0"/>
              <w:divBdr>
                <w:top w:val="none" w:sz="0" w:space="0" w:color="auto"/>
                <w:left w:val="none" w:sz="0" w:space="0" w:color="auto"/>
                <w:bottom w:val="none" w:sz="0" w:space="0" w:color="auto"/>
                <w:right w:val="none" w:sz="0" w:space="0" w:color="auto"/>
              </w:divBdr>
              <w:divsChild>
                <w:div w:id="215941231">
                  <w:marLeft w:val="0"/>
                  <w:marRight w:val="0"/>
                  <w:marTop w:val="0"/>
                  <w:marBottom w:val="0"/>
                  <w:divBdr>
                    <w:top w:val="none" w:sz="0" w:space="0" w:color="auto"/>
                    <w:left w:val="none" w:sz="0" w:space="0" w:color="auto"/>
                    <w:bottom w:val="none" w:sz="0" w:space="0" w:color="auto"/>
                    <w:right w:val="none" w:sz="0" w:space="0" w:color="auto"/>
                  </w:divBdr>
                  <w:divsChild>
                    <w:div w:id="4009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87839">
      <w:bodyDiv w:val="1"/>
      <w:marLeft w:val="0"/>
      <w:marRight w:val="0"/>
      <w:marTop w:val="0"/>
      <w:marBottom w:val="0"/>
      <w:divBdr>
        <w:top w:val="none" w:sz="0" w:space="0" w:color="auto"/>
        <w:left w:val="none" w:sz="0" w:space="0" w:color="auto"/>
        <w:bottom w:val="none" w:sz="0" w:space="0" w:color="auto"/>
        <w:right w:val="none" w:sz="0" w:space="0" w:color="auto"/>
      </w:divBdr>
      <w:divsChild>
        <w:div w:id="1931237424">
          <w:marLeft w:val="0"/>
          <w:marRight w:val="0"/>
          <w:marTop w:val="0"/>
          <w:marBottom w:val="0"/>
          <w:divBdr>
            <w:top w:val="none" w:sz="0" w:space="0" w:color="auto"/>
            <w:left w:val="none" w:sz="0" w:space="0" w:color="auto"/>
            <w:bottom w:val="none" w:sz="0" w:space="0" w:color="auto"/>
            <w:right w:val="none" w:sz="0" w:space="0" w:color="auto"/>
          </w:divBdr>
          <w:divsChild>
            <w:div w:id="180125634">
              <w:marLeft w:val="0"/>
              <w:marRight w:val="0"/>
              <w:marTop w:val="0"/>
              <w:marBottom w:val="0"/>
              <w:divBdr>
                <w:top w:val="none" w:sz="0" w:space="0" w:color="auto"/>
                <w:left w:val="none" w:sz="0" w:space="0" w:color="auto"/>
                <w:bottom w:val="none" w:sz="0" w:space="0" w:color="auto"/>
                <w:right w:val="none" w:sz="0" w:space="0" w:color="auto"/>
              </w:divBdr>
              <w:divsChild>
                <w:div w:id="1456488289">
                  <w:marLeft w:val="0"/>
                  <w:marRight w:val="0"/>
                  <w:marTop w:val="0"/>
                  <w:marBottom w:val="0"/>
                  <w:divBdr>
                    <w:top w:val="none" w:sz="0" w:space="0" w:color="auto"/>
                    <w:left w:val="none" w:sz="0" w:space="0" w:color="auto"/>
                    <w:bottom w:val="none" w:sz="0" w:space="0" w:color="auto"/>
                    <w:right w:val="none" w:sz="0" w:space="0" w:color="auto"/>
                  </w:divBdr>
                  <w:divsChild>
                    <w:div w:id="15124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220625">
      <w:bodyDiv w:val="1"/>
      <w:marLeft w:val="0"/>
      <w:marRight w:val="0"/>
      <w:marTop w:val="0"/>
      <w:marBottom w:val="0"/>
      <w:divBdr>
        <w:top w:val="none" w:sz="0" w:space="0" w:color="auto"/>
        <w:left w:val="none" w:sz="0" w:space="0" w:color="auto"/>
        <w:bottom w:val="none" w:sz="0" w:space="0" w:color="auto"/>
        <w:right w:val="none" w:sz="0" w:space="0" w:color="auto"/>
      </w:divBdr>
      <w:divsChild>
        <w:div w:id="724063874">
          <w:marLeft w:val="0"/>
          <w:marRight w:val="0"/>
          <w:marTop w:val="0"/>
          <w:marBottom w:val="0"/>
          <w:divBdr>
            <w:top w:val="none" w:sz="0" w:space="0" w:color="auto"/>
            <w:left w:val="none" w:sz="0" w:space="0" w:color="auto"/>
            <w:bottom w:val="none" w:sz="0" w:space="0" w:color="auto"/>
            <w:right w:val="none" w:sz="0" w:space="0" w:color="auto"/>
          </w:divBdr>
          <w:divsChild>
            <w:div w:id="1660495846">
              <w:marLeft w:val="0"/>
              <w:marRight w:val="0"/>
              <w:marTop w:val="0"/>
              <w:marBottom w:val="0"/>
              <w:divBdr>
                <w:top w:val="none" w:sz="0" w:space="0" w:color="auto"/>
                <w:left w:val="none" w:sz="0" w:space="0" w:color="auto"/>
                <w:bottom w:val="none" w:sz="0" w:space="0" w:color="auto"/>
                <w:right w:val="none" w:sz="0" w:space="0" w:color="auto"/>
              </w:divBdr>
              <w:divsChild>
                <w:div w:id="161829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07651">
      <w:bodyDiv w:val="1"/>
      <w:marLeft w:val="0"/>
      <w:marRight w:val="0"/>
      <w:marTop w:val="0"/>
      <w:marBottom w:val="0"/>
      <w:divBdr>
        <w:top w:val="none" w:sz="0" w:space="0" w:color="auto"/>
        <w:left w:val="none" w:sz="0" w:space="0" w:color="auto"/>
        <w:bottom w:val="none" w:sz="0" w:space="0" w:color="auto"/>
        <w:right w:val="none" w:sz="0" w:space="0" w:color="auto"/>
      </w:divBdr>
      <w:divsChild>
        <w:div w:id="1038042469">
          <w:marLeft w:val="0"/>
          <w:marRight w:val="0"/>
          <w:marTop w:val="0"/>
          <w:marBottom w:val="0"/>
          <w:divBdr>
            <w:top w:val="none" w:sz="0" w:space="0" w:color="auto"/>
            <w:left w:val="none" w:sz="0" w:space="0" w:color="auto"/>
            <w:bottom w:val="none" w:sz="0" w:space="0" w:color="auto"/>
            <w:right w:val="none" w:sz="0" w:space="0" w:color="auto"/>
          </w:divBdr>
          <w:divsChild>
            <w:div w:id="1252934796">
              <w:marLeft w:val="0"/>
              <w:marRight w:val="0"/>
              <w:marTop w:val="0"/>
              <w:marBottom w:val="0"/>
              <w:divBdr>
                <w:top w:val="none" w:sz="0" w:space="0" w:color="auto"/>
                <w:left w:val="none" w:sz="0" w:space="0" w:color="auto"/>
                <w:bottom w:val="none" w:sz="0" w:space="0" w:color="auto"/>
                <w:right w:val="none" w:sz="0" w:space="0" w:color="auto"/>
              </w:divBdr>
              <w:divsChild>
                <w:div w:id="1874805947">
                  <w:marLeft w:val="0"/>
                  <w:marRight w:val="0"/>
                  <w:marTop w:val="0"/>
                  <w:marBottom w:val="0"/>
                  <w:divBdr>
                    <w:top w:val="none" w:sz="0" w:space="0" w:color="auto"/>
                    <w:left w:val="none" w:sz="0" w:space="0" w:color="auto"/>
                    <w:bottom w:val="none" w:sz="0" w:space="0" w:color="auto"/>
                    <w:right w:val="none" w:sz="0" w:space="0" w:color="auto"/>
                  </w:divBdr>
                  <w:divsChild>
                    <w:div w:id="59710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96405">
      <w:bodyDiv w:val="1"/>
      <w:marLeft w:val="0"/>
      <w:marRight w:val="0"/>
      <w:marTop w:val="0"/>
      <w:marBottom w:val="0"/>
      <w:divBdr>
        <w:top w:val="none" w:sz="0" w:space="0" w:color="auto"/>
        <w:left w:val="none" w:sz="0" w:space="0" w:color="auto"/>
        <w:bottom w:val="none" w:sz="0" w:space="0" w:color="auto"/>
        <w:right w:val="none" w:sz="0" w:space="0" w:color="auto"/>
      </w:divBdr>
      <w:divsChild>
        <w:div w:id="605386543">
          <w:marLeft w:val="0"/>
          <w:marRight w:val="0"/>
          <w:marTop w:val="0"/>
          <w:marBottom w:val="0"/>
          <w:divBdr>
            <w:top w:val="none" w:sz="0" w:space="0" w:color="auto"/>
            <w:left w:val="none" w:sz="0" w:space="0" w:color="auto"/>
            <w:bottom w:val="none" w:sz="0" w:space="0" w:color="auto"/>
            <w:right w:val="none" w:sz="0" w:space="0" w:color="auto"/>
          </w:divBdr>
          <w:divsChild>
            <w:div w:id="851263967">
              <w:marLeft w:val="0"/>
              <w:marRight w:val="0"/>
              <w:marTop w:val="0"/>
              <w:marBottom w:val="0"/>
              <w:divBdr>
                <w:top w:val="none" w:sz="0" w:space="0" w:color="auto"/>
                <w:left w:val="none" w:sz="0" w:space="0" w:color="auto"/>
                <w:bottom w:val="none" w:sz="0" w:space="0" w:color="auto"/>
                <w:right w:val="none" w:sz="0" w:space="0" w:color="auto"/>
              </w:divBdr>
              <w:divsChild>
                <w:div w:id="199710787">
                  <w:marLeft w:val="0"/>
                  <w:marRight w:val="0"/>
                  <w:marTop w:val="0"/>
                  <w:marBottom w:val="0"/>
                  <w:divBdr>
                    <w:top w:val="none" w:sz="0" w:space="0" w:color="auto"/>
                    <w:left w:val="none" w:sz="0" w:space="0" w:color="auto"/>
                    <w:bottom w:val="none" w:sz="0" w:space="0" w:color="auto"/>
                    <w:right w:val="none" w:sz="0" w:space="0" w:color="auto"/>
                  </w:divBdr>
                  <w:divsChild>
                    <w:div w:id="128399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053098">
      <w:bodyDiv w:val="1"/>
      <w:marLeft w:val="0"/>
      <w:marRight w:val="0"/>
      <w:marTop w:val="0"/>
      <w:marBottom w:val="0"/>
      <w:divBdr>
        <w:top w:val="none" w:sz="0" w:space="0" w:color="auto"/>
        <w:left w:val="none" w:sz="0" w:space="0" w:color="auto"/>
        <w:bottom w:val="none" w:sz="0" w:space="0" w:color="auto"/>
        <w:right w:val="none" w:sz="0" w:space="0" w:color="auto"/>
      </w:divBdr>
      <w:divsChild>
        <w:div w:id="623535407">
          <w:marLeft w:val="0"/>
          <w:marRight w:val="0"/>
          <w:marTop w:val="0"/>
          <w:marBottom w:val="0"/>
          <w:divBdr>
            <w:top w:val="none" w:sz="0" w:space="0" w:color="auto"/>
            <w:left w:val="none" w:sz="0" w:space="0" w:color="auto"/>
            <w:bottom w:val="none" w:sz="0" w:space="0" w:color="auto"/>
            <w:right w:val="none" w:sz="0" w:space="0" w:color="auto"/>
          </w:divBdr>
          <w:divsChild>
            <w:div w:id="70659690">
              <w:marLeft w:val="0"/>
              <w:marRight w:val="0"/>
              <w:marTop w:val="0"/>
              <w:marBottom w:val="0"/>
              <w:divBdr>
                <w:top w:val="none" w:sz="0" w:space="0" w:color="auto"/>
                <w:left w:val="none" w:sz="0" w:space="0" w:color="auto"/>
                <w:bottom w:val="none" w:sz="0" w:space="0" w:color="auto"/>
                <w:right w:val="none" w:sz="0" w:space="0" w:color="auto"/>
              </w:divBdr>
              <w:divsChild>
                <w:div w:id="48663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90454">
      <w:bodyDiv w:val="1"/>
      <w:marLeft w:val="0"/>
      <w:marRight w:val="0"/>
      <w:marTop w:val="0"/>
      <w:marBottom w:val="0"/>
      <w:divBdr>
        <w:top w:val="none" w:sz="0" w:space="0" w:color="auto"/>
        <w:left w:val="none" w:sz="0" w:space="0" w:color="auto"/>
        <w:bottom w:val="none" w:sz="0" w:space="0" w:color="auto"/>
        <w:right w:val="none" w:sz="0" w:space="0" w:color="auto"/>
      </w:divBdr>
      <w:divsChild>
        <w:div w:id="2079866403">
          <w:marLeft w:val="0"/>
          <w:marRight w:val="0"/>
          <w:marTop w:val="0"/>
          <w:marBottom w:val="0"/>
          <w:divBdr>
            <w:top w:val="none" w:sz="0" w:space="0" w:color="auto"/>
            <w:left w:val="none" w:sz="0" w:space="0" w:color="auto"/>
            <w:bottom w:val="none" w:sz="0" w:space="0" w:color="auto"/>
            <w:right w:val="none" w:sz="0" w:space="0" w:color="auto"/>
          </w:divBdr>
          <w:divsChild>
            <w:div w:id="859778441">
              <w:marLeft w:val="0"/>
              <w:marRight w:val="0"/>
              <w:marTop w:val="0"/>
              <w:marBottom w:val="0"/>
              <w:divBdr>
                <w:top w:val="none" w:sz="0" w:space="0" w:color="auto"/>
                <w:left w:val="none" w:sz="0" w:space="0" w:color="auto"/>
                <w:bottom w:val="none" w:sz="0" w:space="0" w:color="auto"/>
                <w:right w:val="none" w:sz="0" w:space="0" w:color="auto"/>
              </w:divBdr>
              <w:divsChild>
                <w:div w:id="203465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46552">
      <w:bodyDiv w:val="1"/>
      <w:marLeft w:val="0"/>
      <w:marRight w:val="0"/>
      <w:marTop w:val="0"/>
      <w:marBottom w:val="0"/>
      <w:divBdr>
        <w:top w:val="none" w:sz="0" w:space="0" w:color="auto"/>
        <w:left w:val="none" w:sz="0" w:space="0" w:color="auto"/>
        <w:bottom w:val="none" w:sz="0" w:space="0" w:color="auto"/>
        <w:right w:val="none" w:sz="0" w:space="0" w:color="auto"/>
      </w:divBdr>
      <w:divsChild>
        <w:div w:id="643853045">
          <w:marLeft w:val="0"/>
          <w:marRight w:val="0"/>
          <w:marTop w:val="0"/>
          <w:marBottom w:val="0"/>
          <w:divBdr>
            <w:top w:val="none" w:sz="0" w:space="0" w:color="auto"/>
            <w:left w:val="none" w:sz="0" w:space="0" w:color="auto"/>
            <w:bottom w:val="none" w:sz="0" w:space="0" w:color="auto"/>
            <w:right w:val="none" w:sz="0" w:space="0" w:color="auto"/>
          </w:divBdr>
          <w:divsChild>
            <w:div w:id="1140225767">
              <w:marLeft w:val="0"/>
              <w:marRight w:val="0"/>
              <w:marTop w:val="0"/>
              <w:marBottom w:val="0"/>
              <w:divBdr>
                <w:top w:val="none" w:sz="0" w:space="0" w:color="auto"/>
                <w:left w:val="none" w:sz="0" w:space="0" w:color="auto"/>
                <w:bottom w:val="none" w:sz="0" w:space="0" w:color="auto"/>
                <w:right w:val="none" w:sz="0" w:space="0" w:color="auto"/>
              </w:divBdr>
              <w:divsChild>
                <w:div w:id="1491017628">
                  <w:marLeft w:val="0"/>
                  <w:marRight w:val="0"/>
                  <w:marTop w:val="0"/>
                  <w:marBottom w:val="0"/>
                  <w:divBdr>
                    <w:top w:val="none" w:sz="0" w:space="0" w:color="auto"/>
                    <w:left w:val="none" w:sz="0" w:space="0" w:color="auto"/>
                    <w:bottom w:val="none" w:sz="0" w:space="0" w:color="auto"/>
                    <w:right w:val="none" w:sz="0" w:space="0" w:color="auto"/>
                  </w:divBdr>
                  <w:divsChild>
                    <w:div w:id="141462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1737">
      <w:bodyDiv w:val="1"/>
      <w:marLeft w:val="0"/>
      <w:marRight w:val="0"/>
      <w:marTop w:val="0"/>
      <w:marBottom w:val="0"/>
      <w:divBdr>
        <w:top w:val="none" w:sz="0" w:space="0" w:color="auto"/>
        <w:left w:val="none" w:sz="0" w:space="0" w:color="auto"/>
        <w:bottom w:val="none" w:sz="0" w:space="0" w:color="auto"/>
        <w:right w:val="none" w:sz="0" w:space="0" w:color="auto"/>
      </w:divBdr>
      <w:divsChild>
        <w:div w:id="1805266807">
          <w:marLeft w:val="0"/>
          <w:marRight w:val="0"/>
          <w:marTop w:val="0"/>
          <w:marBottom w:val="0"/>
          <w:divBdr>
            <w:top w:val="none" w:sz="0" w:space="0" w:color="auto"/>
            <w:left w:val="none" w:sz="0" w:space="0" w:color="auto"/>
            <w:bottom w:val="none" w:sz="0" w:space="0" w:color="auto"/>
            <w:right w:val="none" w:sz="0" w:space="0" w:color="auto"/>
          </w:divBdr>
          <w:divsChild>
            <w:div w:id="1195269529">
              <w:marLeft w:val="0"/>
              <w:marRight w:val="0"/>
              <w:marTop w:val="0"/>
              <w:marBottom w:val="0"/>
              <w:divBdr>
                <w:top w:val="none" w:sz="0" w:space="0" w:color="auto"/>
                <w:left w:val="none" w:sz="0" w:space="0" w:color="auto"/>
                <w:bottom w:val="none" w:sz="0" w:space="0" w:color="auto"/>
                <w:right w:val="none" w:sz="0" w:space="0" w:color="auto"/>
              </w:divBdr>
              <w:divsChild>
                <w:div w:id="483087331">
                  <w:marLeft w:val="0"/>
                  <w:marRight w:val="0"/>
                  <w:marTop w:val="0"/>
                  <w:marBottom w:val="0"/>
                  <w:divBdr>
                    <w:top w:val="none" w:sz="0" w:space="0" w:color="auto"/>
                    <w:left w:val="none" w:sz="0" w:space="0" w:color="auto"/>
                    <w:bottom w:val="none" w:sz="0" w:space="0" w:color="auto"/>
                    <w:right w:val="none" w:sz="0" w:space="0" w:color="auto"/>
                  </w:divBdr>
                  <w:divsChild>
                    <w:div w:id="67033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142731">
      <w:bodyDiv w:val="1"/>
      <w:marLeft w:val="0"/>
      <w:marRight w:val="0"/>
      <w:marTop w:val="0"/>
      <w:marBottom w:val="0"/>
      <w:divBdr>
        <w:top w:val="none" w:sz="0" w:space="0" w:color="auto"/>
        <w:left w:val="none" w:sz="0" w:space="0" w:color="auto"/>
        <w:bottom w:val="none" w:sz="0" w:space="0" w:color="auto"/>
        <w:right w:val="none" w:sz="0" w:space="0" w:color="auto"/>
      </w:divBdr>
      <w:divsChild>
        <w:div w:id="635141182">
          <w:marLeft w:val="0"/>
          <w:marRight w:val="0"/>
          <w:marTop w:val="0"/>
          <w:marBottom w:val="0"/>
          <w:divBdr>
            <w:top w:val="none" w:sz="0" w:space="0" w:color="auto"/>
            <w:left w:val="none" w:sz="0" w:space="0" w:color="auto"/>
            <w:bottom w:val="none" w:sz="0" w:space="0" w:color="auto"/>
            <w:right w:val="none" w:sz="0" w:space="0" w:color="auto"/>
          </w:divBdr>
          <w:divsChild>
            <w:div w:id="1007516651">
              <w:marLeft w:val="0"/>
              <w:marRight w:val="0"/>
              <w:marTop w:val="0"/>
              <w:marBottom w:val="0"/>
              <w:divBdr>
                <w:top w:val="none" w:sz="0" w:space="0" w:color="auto"/>
                <w:left w:val="none" w:sz="0" w:space="0" w:color="auto"/>
                <w:bottom w:val="none" w:sz="0" w:space="0" w:color="auto"/>
                <w:right w:val="none" w:sz="0" w:space="0" w:color="auto"/>
              </w:divBdr>
              <w:divsChild>
                <w:div w:id="133321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FC2C281-5D60-4725-9B4D-25361789CAF8}">
  <we:reference id="f78a3046-9e99-4300-aa2b-5814002b01a2" version="1.55.1.0" store="EXCatalog" storeType="EXCatalog"/>
  <we:alternateReferences>
    <we:reference id="WA104382081" version="1.55.1.0" store="it-IT"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6</Pages>
  <Words>3830</Words>
  <Characters>21832</Characters>
  <Application>Microsoft Office Word</Application>
  <DocSecurity>0</DocSecurity>
  <Lines>181</Lines>
  <Paragraphs>51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Bassani Andrea (andrea.bassani)</cp:lastModifiedBy>
  <cp:revision>22</cp:revision>
  <cp:lastPrinted>2015-05-12T18:31:00Z</cp:lastPrinted>
  <dcterms:created xsi:type="dcterms:W3CDTF">2024-04-11T09:40:00Z</dcterms:created>
  <dcterms:modified xsi:type="dcterms:W3CDTF">2024-04-11T12:33:00Z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