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0CDF1B8B"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ZA" w:eastAsia="en-ZA"/>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ZA" w:eastAsia="en-ZA"/>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C9B2704" w:rsidR="00E978D0" w:rsidRPr="00B57B36" w:rsidRDefault="00F32956" w:rsidP="00E978D0">
      <w:pPr>
        <w:pStyle w:val="CETTitle"/>
      </w:pPr>
      <w:r>
        <w:t xml:space="preserve">Continuous Microbial Pb Removal </w:t>
      </w:r>
      <w:r w:rsidR="002949B6">
        <w:t>by</w:t>
      </w:r>
      <w:r>
        <w:t xml:space="preserve"> </w:t>
      </w:r>
      <w:r w:rsidR="002949B6">
        <w:t>an</w:t>
      </w:r>
      <w:r>
        <w:t xml:space="preserve"> Industrially Obtained Consortium Using an </w:t>
      </w:r>
      <w:proofErr w:type="spellStart"/>
      <w:r>
        <w:t>Upflow</w:t>
      </w:r>
      <w:proofErr w:type="spellEnd"/>
      <w:r>
        <w:t xml:space="preserve"> Anaerobic Sludge Blanket Reactor</w:t>
      </w:r>
      <w:r w:rsidR="00600535" w:rsidRPr="00B57B36">
        <w:t xml:space="preserve"> </w:t>
      </w:r>
    </w:p>
    <w:p w14:paraId="0488FED2" w14:textId="784632B8" w:rsidR="00B57E6F" w:rsidRPr="00B57B36" w:rsidRDefault="00F32956" w:rsidP="00B57E6F">
      <w:pPr>
        <w:pStyle w:val="CETAuthors"/>
      </w:pPr>
      <w:r>
        <w:t>Bayandza M. Manzini</w:t>
      </w:r>
      <w:r w:rsidR="007C675E">
        <w:rPr>
          <w:vertAlign w:val="superscript"/>
        </w:rPr>
        <w:t>a</w:t>
      </w:r>
      <w:r w:rsidR="00374573">
        <w:t>, Carla Cilliers</w:t>
      </w:r>
      <w:r>
        <w:t xml:space="preserve">, Evans </w:t>
      </w:r>
      <w:r w:rsidR="00374573">
        <w:t>M N Chirwa</w:t>
      </w:r>
      <w:r>
        <w:t>, Hendrik G</w:t>
      </w:r>
      <w:r w:rsidR="00374573">
        <w:t xml:space="preserve"> Brink</w:t>
      </w:r>
      <w:r w:rsidR="007A0C8F">
        <w:t>*</w:t>
      </w:r>
      <w:r>
        <w:t xml:space="preserve">. </w:t>
      </w:r>
    </w:p>
    <w:p w14:paraId="3C0D6629" w14:textId="77777777" w:rsidR="007A0C8F" w:rsidRDefault="007A0C8F" w:rsidP="00D157F1">
      <w:pPr>
        <w:pStyle w:val="CETAddress"/>
      </w:pPr>
      <w:r w:rsidRPr="007A0C8F">
        <w:t>University of Pretoria, Department of Chemical Engineering, University of Pretoria Main Campus, Corner Lynwood &amp; Roper Street, Hatfield, Pretoria, 0002, South Africa</w:t>
      </w:r>
      <w:r w:rsidRPr="007A0C8F">
        <w:t xml:space="preserve"> </w:t>
      </w:r>
    </w:p>
    <w:p w14:paraId="73F1267A" w14:textId="19005018" w:rsidR="00B57E6F" w:rsidRDefault="00081381" w:rsidP="00D157F1">
      <w:pPr>
        <w:pStyle w:val="CETAddress"/>
      </w:pPr>
      <w:r>
        <w:t>deon.brink@up.ac.za | deonbrink@gmail.com</w:t>
      </w:r>
      <w:r w:rsidR="00D157F1">
        <w:t xml:space="preserve"> </w:t>
      </w:r>
    </w:p>
    <w:p w14:paraId="7E76DE35" w14:textId="77777777" w:rsidR="00D157F1" w:rsidRPr="00B57B36" w:rsidRDefault="00D157F1" w:rsidP="00D157F1">
      <w:pPr>
        <w:pStyle w:val="CETAddress"/>
      </w:pPr>
    </w:p>
    <w:p w14:paraId="40A9C4B9" w14:textId="0130AB20" w:rsidR="007B5193" w:rsidRPr="00B57B36" w:rsidRDefault="00EE5412" w:rsidP="00600535">
      <w:pPr>
        <w:pStyle w:val="CETBodytext"/>
        <w:rPr>
          <w:lang w:val="en-GB"/>
        </w:rPr>
      </w:pPr>
      <w:r>
        <w:rPr>
          <w:lang w:val="en-GB"/>
        </w:rPr>
        <w:t>The objective of the research outlined in this article was to gain a deeper understanding of the microbiome involved in</w:t>
      </w:r>
      <w:r w:rsidR="00F72AE0">
        <w:rPr>
          <w:lang w:val="en-GB"/>
        </w:rPr>
        <w:t xml:space="preserve"> the</w:t>
      </w:r>
      <w:r>
        <w:rPr>
          <w:lang w:val="en-GB"/>
        </w:rPr>
        <w:t xml:space="preserve"> </w:t>
      </w:r>
      <w:proofErr w:type="spellStart"/>
      <w:r>
        <w:rPr>
          <w:lang w:val="en-GB"/>
        </w:rPr>
        <w:t>bioremoval</w:t>
      </w:r>
      <w:proofErr w:type="spellEnd"/>
      <w:r>
        <w:rPr>
          <w:lang w:val="en-GB"/>
        </w:rPr>
        <w:t xml:space="preserve"> of Pb under continuous flow conditions. A continuous lead removal system, utilizing an </w:t>
      </w:r>
      <w:proofErr w:type="spellStart"/>
      <w:r>
        <w:rPr>
          <w:lang w:val="en-GB"/>
        </w:rPr>
        <w:t>upflow</w:t>
      </w:r>
      <w:proofErr w:type="spellEnd"/>
      <w:r>
        <w:rPr>
          <w:lang w:val="en-GB"/>
        </w:rPr>
        <w:t xml:space="preserve"> anaerobic sludge blanket reactor (UASB) was employed to remove </w:t>
      </w:r>
      <w:proofErr w:type="gramStart"/>
      <w:r>
        <w:rPr>
          <w:lang w:val="en-GB"/>
        </w:rPr>
        <w:t>Pb(</w:t>
      </w:r>
      <w:proofErr w:type="gramEnd"/>
      <w:r>
        <w:rPr>
          <w:lang w:val="en-GB"/>
        </w:rPr>
        <w:t>II) while monitoring factor</w:t>
      </w:r>
      <w:r w:rsidR="00F72AE0">
        <w:rPr>
          <w:lang w:val="en-GB"/>
        </w:rPr>
        <w:t>s such as microbial growth along with Pb(II) and</w:t>
      </w:r>
      <w:r>
        <w:rPr>
          <w:lang w:val="en-GB"/>
        </w:rPr>
        <w:t xml:space="preserve"> nitrate concentration</w:t>
      </w:r>
      <w:r w:rsidR="00F72AE0">
        <w:rPr>
          <w:lang w:val="en-GB"/>
        </w:rPr>
        <w:t>s</w:t>
      </w:r>
      <w:r>
        <w:rPr>
          <w:lang w:val="en-GB"/>
        </w:rPr>
        <w:t xml:space="preserve"> at two axial heights in the system. The microbiome was assessed to identify any alt</w:t>
      </w:r>
      <w:r w:rsidR="00C73954">
        <w:rPr>
          <w:lang w:val="en-GB"/>
        </w:rPr>
        <w:t>erati</w:t>
      </w:r>
      <w:r w:rsidR="00F72AE0">
        <w:rPr>
          <w:lang w:val="en-GB"/>
        </w:rPr>
        <w:t>ons resultin</w:t>
      </w:r>
      <w:r w:rsidR="008A1BF6">
        <w:rPr>
          <w:lang w:val="en-GB"/>
        </w:rPr>
        <w:t xml:space="preserve">g from changing the amounts of </w:t>
      </w:r>
      <w:proofErr w:type="gramStart"/>
      <w:r w:rsidR="008A1BF6">
        <w:rPr>
          <w:lang w:val="en-GB"/>
        </w:rPr>
        <w:t>Pb(</w:t>
      </w:r>
      <w:proofErr w:type="gramEnd"/>
      <w:r w:rsidR="008A1BF6">
        <w:rPr>
          <w:lang w:val="en-GB"/>
        </w:rPr>
        <w:t>II)</w:t>
      </w:r>
      <w:r w:rsidR="00F72AE0">
        <w:rPr>
          <w:lang w:val="en-GB"/>
        </w:rPr>
        <w:t xml:space="preserve"> in the reactor feed</w:t>
      </w:r>
      <w:r w:rsidR="00C73954">
        <w:rPr>
          <w:lang w:val="en-GB"/>
        </w:rPr>
        <w:t xml:space="preserve">. The UASB was operated under anaerobic conditions, and a nutrient-rich broth comprising exclusively of </w:t>
      </w:r>
      <w:r w:rsidR="00F72AE0">
        <w:rPr>
          <w:lang w:val="en-GB"/>
        </w:rPr>
        <w:t xml:space="preserve">5 g/L </w:t>
      </w:r>
      <w:r w:rsidR="00C73954">
        <w:rPr>
          <w:lang w:val="en-GB"/>
        </w:rPr>
        <w:t>yeast ext</w:t>
      </w:r>
      <w:r w:rsidR="00F72AE0">
        <w:rPr>
          <w:lang w:val="en-GB"/>
        </w:rPr>
        <w:t xml:space="preserve">ract (YE) </w:t>
      </w:r>
      <w:r w:rsidR="00C73954">
        <w:rPr>
          <w:lang w:val="en-GB"/>
        </w:rPr>
        <w:t>along with</w:t>
      </w:r>
      <w:r w:rsidR="00F72AE0">
        <w:rPr>
          <w:lang w:val="en-GB"/>
        </w:rPr>
        <w:t xml:space="preserve"> 1g/L of</w:t>
      </w:r>
      <w:r w:rsidR="00C73954">
        <w:rPr>
          <w:lang w:val="en-GB"/>
        </w:rPr>
        <w:t xml:space="preserve"> sodium chloride</w:t>
      </w:r>
      <w:r w:rsidR="00F72AE0">
        <w:rPr>
          <w:lang w:val="en-GB"/>
        </w:rPr>
        <w:t xml:space="preserve"> (NaCl)</w:t>
      </w:r>
      <w:r w:rsidR="00C73954">
        <w:rPr>
          <w:lang w:val="en-GB"/>
        </w:rPr>
        <w:t xml:space="preserve"> served as the growth medium. </w:t>
      </w:r>
      <w:r w:rsidR="0018454F" w:rsidRPr="0018454F">
        <w:rPr>
          <w:lang w:val="en-GB"/>
        </w:rPr>
        <w:t>The r</w:t>
      </w:r>
      <w:r w:rsidR="0018454F">
        <w:rPr>
          <w:lang w:val="en-GB"/>
        </w:rPr>
        <w:t xml:space="preserve">esults indicated an effective, </w:t>
      </w:r>
      <w:r w:rsidR="0018454F" w:rsidRPr="0018454F">
        <w:rPr>
          <w:lang w:val="en-GB"/>
        </w:rPr>
        <w:t xml:space="preserve">robust method of </w:t>
      </w:r>
      <w:proofErr w:type="gramStart"/>
      <w:r w:rsidR="0018454F" w:rsidRPr="0018454F">
        <w:rPr>
          <w:lang w:val="en-GB"/>
        </w:rPr>
        <w:t>Pb(</w:t>
      </w:r>
      <w:proofErr w:type="gramEnd"/>
      <w:r w:rsidR="0018454F" w:rsidRPr="0018454F">
        <w:rPr>
          <w:lang w:val="en-GB"/>
        </w:rPr>
        <w:t xml:space="preserve">II) removal. </w:t>
      </w:r>
      <w:r w:rsidR="00F72AE0">
        <w:rPr>
          <w:lang w:val="en-GB"/>
        </w:rPr>
        <w:t>In this study th</w:t>
      </w:r>
      <w:r w:rsidR="00B0216B">
        <w:rPr>
          <w:lang w:val="en-GB"/>
        </w:rPr>
        <w:t xml:space="preserve">e growth medium was spiked with: 80, 500 and 1000 ppm of </w:t>
      </w:r>
      <w:proofErr w:type="gramStart"/>
      <w:r w:rsidR="00B0216B">
        <w:rPr>
          <w:lang w:val="en-GB"/>
        </w:rPr>
        <w:t>Pb(</w:t>
      </w:r>
      <w:proofErr w:type="gramEnd"/>
      <w:r w:rsidR="00B0216B">
        <w:rPr>
          <w:lang w:val="en-GB"/>
        </w:rPr>
        <w:t>II). The results showed that</w:t>
      </w:r>
      <w:r w:rsidR="00E549F1">
        <w:rPr>
          <w:lang w:val="en-GB"/>
        </w:rPr>
        <w:t xml:space="preserve"> lower </w:t>
      </w:r>
      <w:r w:rsidR="0018454F" w:rsidRPr="0018454F">
        <w:rPr>
          <w:lang w:val="en-GB"/>
        </w:rPr>
        <w:t xml:space="preserve">concentrations of </w:t>
      </w:r>
      <w:proofErr w:type="gramStart"/>
      <w:r w:rsidR="0018454F" w:rsidRPr="0018454F">
        <w:rPr>
          <w:lang w:val="en-GB"/>
        </w:rPr>
        <w:t>Pb(</w:t>
      </w:r>
      <w:proofErr w:type="gramEnd"/>
      <w:r w:rsidR="0018454F" w:rsidRPr="0018454F">
        <w:rPr>
          <w:lang w:val="en-GB"/>
        </w:rPr>
        <w:t>II)</w:t>
      </w:r>
      <w:r w:rsidR="00E549F1">
        <w:rPr>
          <w:lang w:val="en-GB"/>
        </w:rPr>
        <w:t xml:space="preserve"> </w:t>
      </w:r>
      <w:r w:rsidR="0018454F" w:rsidRPr="0018454F">
        <w:rPr>
          <w:lang w:val="en-GB"/>
        </w:rPr>
        <w:t>were effectively remo</w:t>
      </w:r>
      <w:r w:rsidR="0018454F">
        <w:rPr>
          <w:lang w:val="en-GB"/>
        </w:rPr>
        <w:t xml:space="preserve">ved with only 5 g/L YE, </w:t>
      </w:r>
      <w:r w:rsidR="0018454F" w:rsidRPr="0018454F">
        <w:rPr>
          <w:lang w:val="en-GB"/>
        </w:rPr>
        <w:t>suggesting a cost-effecti</w:t>
      </w:r>
      <w:r w:rsidR="00E549F1">
        <w:rPr>
          <w:lang w:val="en-GB"/>
        </w:rPr>
        <w:t xml:space="preserve">ve option for Pb(II) </w:t>
      </w:r>
      <w:proofErr w:type="spellStart"/>
      <w:r w:rsidR="00E549F1">
        <w:rPr>
          <w:lang w:val="en-GB"/>
        </w:rPr>
        <w:t>bioremoval</w:t>
      </w:r>
      <w:proofErr w:type="spellEnd"/>
      <w:r w:rsidR="00E549F1">
        <w:rPr>
          <w:lang w:val="en-GB"/>
        </w:rPr>
        <w:t xml:space="preserve">. </w:t>
      </w:r>
      <w:r w:rsidR="0018454F" w:rsidRPr="0018454F">
        <w:rPr>
          <w:lang w:val="en-GB"/>
        </w:rPr>
        <w:t xml:space="preserve"> A ma</w:t>
      </w:r>
      <w:r w:rsidR="0018454F">
        <w:rPr>
          <w:lang w:val="en-GB"/>
        </w:rPr>
        <w:t xml:space="preserve">ximum Pb-removal rate of 350.6 </w:t>
      </w:r>
      <w:r w:rsidR="0018454F" w:rsidRPr="0018454F">
        <w:rPr>
          <w:lang w:val="en-GB"/>
        </w:rPr>
        <w:t xml:space="preserve">ppm/d </w:t>
      </w:r>
      <w:proofErr w:type="gramStart"/>
      <w:r w:rsidR="0018454F" w:rsidRPr="0018454F">
        <w:rPr>
          <w:lang w:val="en-GB"/>
        </w:rPr>
        <w:t>Pb(</w:t>
      </w:r>
      <w:proofErr w:type="gramEnd"/>
      <w:r w:rsidR="0018454F" w:rsidRPr="0018454F">
        <w:rPr>
          <w:lang w:val="en-GB"/>
        </w:rPr>
        <w:t>II) and a maximum specific growth rate of 2.25 per day were observed.</w:t>
      </w:r>
      <w:r w:rsidR="00D60B93">
        <w:rPr>
          <w:lang w:val="en-GB"/>
        </w:rPr>
        <w:t xml:space="preserve"> </w:t>
      </w:r>
      <w:r w:rsidR="00E470A8">
        <w:rPr>
          <w:lang w:val="en-GB"/>
        </w:rPr>
        <w:t xml:space="preserve">Increased </w:t>
      </w:r>
      <w:r w:rsidR="00D2778B">
        <w:rPr>
          <w:lang w:val="en-GB"/>
        </w:rPr>
        <w:t xml:space="preserve">concentrations of </w:t>
      </w:r>
      <w:proofErr w:type="gramStart"/>
      <w:r w:rsidR="00D2778B">
        <w:rPr>
          <w:lang w:val="en-GB"/>
        </w:rPr>
        <w:t>Pb(</w:t>
      </w:r>
      <w:proofErr w:type="gramEnd"/>
      <w:r w:rsidR="00D2778B">
        <w:rPr>
          <w:lang w:val="en-GB"/>
        </w:rPr>
        <w:t>II)</w:t>
      </w:r>
      <w:r w:rsidR="00B0216B">
        <w:rPr>
          <w:lang w:val="en-GB"/>
        </w:rPr>
        <w:t xml:space="preserve"> </w:t>
      </w:r>
      <w:r w:rsidR="00D60B93">
        <w:rPr>
          <w:lang w:val="en-GB"/>
        </w:rPr>
        <w:t>resulted in reduced metabolic activi</w:t>
      </w:r>
      <w:r w:rsidR="004E0DB2">
        <w:rPr>
          <w:lang w:val="en-GB"/>
        </w:rPr>
        <w:t>ty (MA) and Pb removal. As is, t</w:t>
      </w:r>
      <w:r w:rsidR="00D60B93">
        <w:rPr>
          <w:lang w:val="en-GB"/>
        </w:rPr>
        <w:t>he system is able to</w:t>
      </w:r>
      <w:r w:rsidR="004E0DB2">
        <w:rPr>
          <w:lang w:val="en-GB"/>
        </w:rPr>
        <w:t xml:space="preserve"> achieve approximately 100% of lower concentrations of Pb and increasing the yeast extract concentration </w:t>
      </w:r>
      <w:r w:rsidR="00E470A8">
        <w:rPr>
          <w:lang w:val="en-GB"/>
        </w:rPr>
        <w:t>c</w:t>
      </w:r>
      <w:r w:rsidR="004E0DB2">
        <w:rPr>
          <w:lang w:val="en-GB"/>
        </w:rPr>
        <w:t xml:space="preserve">ould improve the system. </w:t>
      </w:r>
      <w:r w:rsidR="007B5193">
        <w:t xml:space="preserve">This is the first known study conducted </w:t>
      </w:r>
      <w:r w:rsidR="00E470A8">
        <w:t>on a continuous flow column</w:t>
      </w:r>
      <w:r w:rsidR="007B5193">
        <w:t xml:space="preserve"> </w:t>
      </w:r>
      <w:bookmarkStart w:id="0" w:name="_Hlk495475023"/>
      <w:proofErr w:type="gramStart"/>
      <w:r w:rsidR="00B0216B">
        <w:t>Pb(</w:t>
      </w:r>
      <w:proofErr w:type="gramEnd"/>
      <w:r w:rsidR="00B0216B">
        <w:t>II) removal system. It provides a basis towards developing methods to remove lead (and by extension other heavy metals) which can be carried out at ambient temperatures. This study also provides basis for development of methods to recover and reuse lead from industrial effluents</w:t>
      </w:r>
      <w:r w:rsidR="008A1BF6">
        <w:t xml:space="preserve"> and lead waste sites</w:t>
      </w:r>
      <w:r w:rsidR="00B0216B">
        <w:t xml:space="preserve">. </w:t>
      </w:r>
    </w:p>
    <w:bookmarkEnd w:id="0"/>
    <w:p w14:paraId="476B2F2E" w14:textId="77777777" w:rsidR="00600535" w:rsidRPr="00B57B36" w:rsidRDefault="00600535" w:rsidP="00600535">
      <w:pPr>
        <w:pStyle w:val="CETHeading1"/>
        <w:rPr>
          <w:lang w:val="en-GB"/>
        </w:rPr>
      </w:pPr>
      <w:r w:rsidRPr="00B57B36">
        <w:rPr>
          <w:lang w:val="en-GB"/>
        </w:rPr>
        <w:t>Introduction</w:t>
      </w:r>
    </w:p>
    <w:p w14:paraId="1FEE2130" w14:textId="00C9A502" w:rsidR="008E4BEB" w:rsidRDefault="007B5193" w:rsidP="008E4BEB">
      <w:pPr>
        <w:pStyle w:val="CETBodytext"/>
        <w:rPr>
          <w:lang w:val="en-GB"/>
        </w:rPr>
      </w:pPr>
      <w:r>
        <w:rPr>
          <w:lang w:val="en-GB"/>
        </w:rPr>
        <w:t>Lead (Pb) is amongst the most toxic and noxious heavy metals and is a major pollutant of soil, plants and water</w:t>
      </w:r>
      <w:r w:rsidR="000D75FB">
        <w:rPr>
          <w:lang w:val="en-GB"/>
        </w:rPr>
        <w:t>. Therefore, the removal and recovery of heavy metals is of maximum importance</w:t>
      </w:r>
      <w:sdt>
        <w:sdtPr>
          <w:rPr>
            <w:lang w:val="en-GB"/>
          </w:rPr>
          <w:id w:val="1041554428"/>
          <w:citation/>
        </w:sdtPr>
        <w:sdtEndPr/>
        <w:sdtContent>
          <w:r w:rsidR="000D75FB">
            <w:rPr>
              <w:lang w:val="en-GB"/>
            </w:rPr>
            <w:fldChar w:fldCharType="begin"/>
          </w:r>
          <w:r w:rsidR="000D75FB">
            <w:instrText xml:space="preserve"> CITATION Cha14 \l 1033 </w:instrText>
          </w:r>
          <w:r w:rsidR="000D75FB">
            <w:rPr>
              <w:lang w:val="en-GB"/>
            </w:rPr>
            <w:fldChar w:fldCharType="separate"/>
          </w:r>
          <w:r w:rsidR="007C785D">
            <w:rPr>
              <w:noProof/>
            </w:rPr>
            <w:t xml:space="preserve"> (Chatterjee, et al., 2014)</w:t>
          </w:r>
          <w:r w:rsidR="000D75FB">
            <w:rPr>
              <w:lang w:val="en-GB"/>
            </w:rPr>
            <w:fldChar w:fldCharType="end"/>
          </w:r>
        </w:sdtContent>
      </w:sdt>
      <w:r w:rsidR="000D75FB">
        <w:rPr>
          <w:lang w:val="en-GB"/>
        </w:rPr>
        <w:t>.</w:t>
      </w:r>
      <w:r w:rsidR="004E0DB2" w:rsidRPr="004E0DB2">
        <w:rPr>
          <w:lang w:val="en-GB"/>
        </w:rPr>
        <w:t xml:space="preserve"> </w:t>
      </w:r>
      <w:r w:rsidR="004E0DB2" w:rsidRPr="00483E77">
        <w:rPr>
          <w:lang w:val="en-GB"/>
        </w:rPr>
        <w:t>Pb is one of four heavy metals known to be most damaging to human health. The other heavy metals in this category are cadmium, mercury, and arsenic</w:t>
      </w:r>
      <w:r w:rsidR="004E0DB2">
        <w:rPr>
          <w:lang w:val="en-GB"/>
        </w:rPr>
        <w:t>. Pb</w:t>
      </w:r>
      <w:r w:rsidR="00A110A6">
        <w:rPr>
          <w:lang w:val="en-GB"/>
        </w:rPr>
        <w:t xml:space="preserve"> can affect the peripheral and central nervous systems, along with </w:t>
      </w:r>
      <w:r w:rsidR="00DE2052">
        <w:rPr>
          <w:lang w:val="en-GB"/>
        </w:rPr>
        <w:t xml:space="preserve">having </w:t>
      </w:r>
      <w:r w:rsidR="00A110A6">
        <w:rPr>
          <w:lang w:val="en-GB"/>
        </w:rPr>
        <w:t>detrimental effect</w:t>
      </w:r>
      <w:r w:rsidR="00DE2052">
        <w:rPr>
          <w:lang w:val="en-GB"/>
        </w:rPr>
        <w:t>s</w:t>
      </w:r>
      <w:r w:rsidR="00A110A6">
        <w:rPr>
          <w:lang w:val="en-GB"/>
        </w:rPr>
        <w:t xml:space="preserve"> on the kidneys and blood pressure</w:t>
      </w:r>
      <w:sdt>
        <w:sdtPr>
          <w:rPr>
            <w:lang w:val="en-GB"/>
          </w:rPr>
          <w:id w:val="-1403985737"/>
          <w:citation/>
        </w:sdtPr>
        <w:sdtEndPr/>
        <w:sdtContent>
          <w:r w:rsidR="00A110A6">
            <w:rPr>
              <w:lang w:val="en-GB"/>
            </w:rPr>
            <w:fldChar w:fldCharType="begin"/>
          </w:r>
          <w:r w:rsidR="00A110A6">
            <w:instrText xml:space="preserve"> CITATION Tiw13 \l 1033 </w:instrText>
          </w:r>
          <w:r w:rsidR="00A110A6">
            <w:rPr>
              <w:lang w:val="en-GB"/>
            </w:rPr>
            <w:fldChar w:fldCharType="separate"/>
          </w:r>
          <w:r w:rsidR="007C785D">
            <w:rPr>
              <w:noProof/>
            </w:rPr>
            <w:t xml:space="preserve"> (Tiwari, et al., 2013)</w:t>
          </w:r>
          <w:r w:rsidR="00A110A6">
            <w:rPr>
              <w:lang w:val="en-GB"/>
            </w:rPr>
            <w:fldChar w:fldCharType="end"/>
          </w:r>
        </w:sdtContent>
      </w:sdt>
      <w:r w:rsidR="005D43BC">
        <w:rPr>
          <w:lang w:val="en-GB"/>
        </w:rPr>
        <w:t xml:space="preserve">. </w:t>
      </w:r>
      <w:r w:rsidR="00987CC0">
        <w:rPr>
          <w:lang w:val="en-GB"/>
        </w:rPr>
        <w:t>It has also been observed that lead has the propensi</w:t>
      </w:r>
      <w:r w:rsidR="00F75187">
        <w:rPr>
          <w:lang w:val="en-GB"/>
        </w:rPr>
        <w:t>ty to accumulate in human bones. T</w:t>
      </w:r>
      <w:r w:rsidR="00987CC0">
        <w:rPr>
          <w:lang w:val="en-GB"/>
        </w:rPr>
        <w:t xml:space="preserve">his </w:t>
      </w:r>
      <w:r w:rsidR="00BE6CBE">
        <w:rPr>
          <w:lang w:val="en-GB"/>
        </w:rPr>
        <w:t>results in a</w:t>
      </w:r>
      <w:r w:rsidR="00987CC0">
        <w:rPr>
          <w:lang w:val="en-GB"/>
        </w:rPr>
        <w:t xml:space="preserve"> subsequent gradual release of lead in the body even after a long period of time has elapsed following exposure </w:t>
      </w:r>
      <w:sdt>
        <w:sdtPr>
          <w:rPr>
            <w:lang w:val="en-GB"/>
          </w:rPr>
          <w:id w:val="-934974041"/>
          <w:citation/>
        </w:sdtPr>
        <w:sdtEndPr/>
        <w:sdtContent>
          <w:r w:rsidR="00987CC0">
            <w:rPr>
              <w:lang w:val="en-GB"/>
            </w:rPr>
            <w:fldChar w:fldCharType="begin"/>
          </w:r>
          <w:r w:rsidR="00987CC0">
            <w:instrText xml:space="preserve"> CITATION Nee04 \l 1033 </w:instrText>
          </w:r>
          <w:r w:rsidR="00987CC0">
            <w:rPr>
              <w:lang w:val="en-GB"/>
            </w:rPr>
            <w:fldChar w:fldCharType="separate"/>
          </w:r>
          <w:r w:rsidR="007C785D">
            <w:rPr>
              <w:noProof/>
            </w:rPr>
            <w:t>(Needleman, 2004)</w:t>
          </w:r>
          <w:r w:rsidR="00987CC0">
            <w:rPr>
              <w:lang w:val="en-GB"/>
            </w:rPr>
            <w:fldChar w:fldCharType="end"/>
          </w:r>
        </w:sdtContent>
      </w:sdt>
      <w:r w:rsidR="00F75187">
        <w:rPr>
          <w:lang w:val="en-GB"/>
        </w:rPr>
        <w:t>,</w:t>
      </w:r>
      <w:r w:rsidR="00674120">
        <w:rPr>
          <w:lang w:val="en-GB"/>
        </w:rPr>
        <w:t xml:space="preserve"> too much of which can result i</w:t>
      </w:r>
      <w:r w:rsidR="00F75187">
        <w:rPr>
          <w:lang w:val="en-GB"/>
        </w:rPr>
        <w:t>n lead poisoning with side effects such as:</w:t>
      </w:r>
      <w:r w:rsidR="00CD7FBB">
        <w:rPr>
          <w:lang w:val="en-GB"/>
        </w:rPr>
        <w:t xml:space="preserve"> mental retardati</w:t>
      </w:r>
      <w:r w:rsidR="00F75187">
        <w:rPr>
          <w:lang w:val="en-GB"/>
        </w:rPr>
        <w:t>on,</w:t>
      </w:r>
      <w:r w:rsidR="00247FE7">
        <w:rPr>
          <w:lang w:val="en-GB"/>
        </w:rPr>
        <w:t xml:space="preserve"> behavioural disorders </w:t>
      </w:r>
      <w:r w:rsidR="00CD7FBB">
        <w:rPr>
          <w:lang w:val="en-GB"/>
        </w:rPr>
        <w:t>as well as low sperm count in men if concentration exc</w:t>
      </w:r>
      <w:r w:rsidR="00F719C2">
        <w:rPr>
          <w:lang w:val="en-GB"/>
        </w:rPr>
        <w:t xml:space="preserve">eeds 0.4 ppm in the blood </w:t>
      </w:r>
      <w:sdt>
        <w:sdtPr>
          <w:rPr>
            <w:lang w:val="en-GB"/>
          </w:rPr>
          <w:id w:val="-729990980"/>
          <w:citation/>
        </w:sdtPr>
        <w:sdtEndPr/>
        <w:sdtContent>
          <w:r w:rsidR="00F719C2">
            <w:rPr>
              <w:lang w:val="en-GB"/>
            </w:rPr>
            <w:fldChar w:fldCharType="begin"/>
          </w:r>
          <w:r w:rsidR="00F719C2">
            <w:instrText xml:space="preserve"> CITATION Hor19 \l 1033 </w:instrText>
          </w:r>
          <w:r w:rsidR="00F719C2">
            <w:rPr>
              <w:lang w:val="en-GB"/>
            </w:rPr>
            <w:fldChar w:fldCharType="separate"/>
          </w:r>
          <w:r w:rsidR="007C785D">
            <w:rPr>
              <w:noProof/>
            </w:rPr>
            <w:t>(Horstmann &amp; Brink, 2019)</w:t>
          </w:r>
          <w:r w:rsidR="00F719C2">
            <w:rPr>
              <w:lang w:val="en-GB"/>
            </w:rPr>
            <w:fldChar w:fldCharType="end"/>
          </w:r>
        </w:sdtContent>
      </w:sdt>
      <w:r w:rsidR="00CD7FBB">
        <w:rPr>
          <w:lang w:val="en-GB"/>
        </w:rPr>
        <w:t>.</w:t>
      </w:r>
      <w:r w:rsidR="002F1B7B">
        <w:rPr>
          <w:lang w:val="en-GB"/>
        </w:rPr>
        <w:t xml:space="preserve"> </w:t>
      </w:r>
      <w:r w:rsidR="00C148CA">
        <w:rPr>
          <w:lang w:val="en-GB"/>
        </w:rPr>
        <w:t>As reported</w:t>
      </w:r>
      <w:r w:rsidR="00F7617A">
        <w:rPr>
          <w:lang w:val="en-GB"/>
        </w:rPr>
        <w:t xml:space="preserve"> by</w:t>
      </w:r>
      <w:r w:rsidR="00B44688">
        <w:rPr>
          <w:lang w:val="en-GB"/>
        </w:rPr>
        <w:t xml:space="preserve"> Naik and </w:t>
      </w:r>
      <w:r w:rsidR="00C148CA">
        <w:rPr>
          <w:lang w:val="en-GB"/>
        </w:rPr>
        <w:t xml:space="preserve">Dubey (2013), </w:t>
      </w:r>
      <w:r w:rsidR="008A54DB">
        <w:rPr>
          <w:lang w:val="en-GB"/>
        </w:rPr>
        <w:t>anthropogenic activities have led to an increase in the accumulation of lead in the environment which is over 1000 times greater than it was 300 years ago.</w:t>
      </w:r>
      <w:r w:rsidR="008E4BEB">
        <w:rPr>
          <w:lang w:val="en-GB"/>
        </w:rPr>
        <w:t xml:space="preserve"> </w:t>
      </w:r>
      <w:r w:rsidR="00924102">
        <w:rPr>
          <w:lang w:val="en-GB"/>
        </w:rPr>
        <w:t xml:space="preserve">This </w:t>
      </w:r>
      <w:r w:rsidR="008E4BEB">
        <w:rPr>
          <w:lang w:val="en-GB"/>
        </w:rPr>
        <w:t>increase of Pb concentration in the environment i</w:t>
      </w:r>
      <w:r w:rsidR="00924102">
        <w:rPr>
          <w:lang w:val="en-GB"/>
        </w:rPr>
        <w:t>s correlated to</w:t>
      </w:r>
      <w:r w:rsidR="008E4BEB">
        <w:rPr>
          <w:lang w:val="en-GB"/>
        </w:rPr>
        <w:t xml:space="preserve"> activities such as metal working and the use of Pb-additives in products such as paints and gasoline. Th</w:t>
      </w:r>
      <w:r w:rsidR="00924102">
        <w:rPr>
          <w:lang w:val="en-GB"/>
        </w:rPr>
        <w:t xml:space="preserve">ese multiple functions of lead also result in the </w:t>
      </w:r>
      <w:r w:rsidR="008E4BEB">
        <w:rPr>
          <w:lang w:val="en-GB"/>
        </w:rPr>
        <w:t>Pb recir</w:t>
      </w:r>
      <w:r w:rsidR="00924102">
        <w:rPr>
          <w:lang w:val="en-GB"/>
        </w:rPr>
        <w:t xml:space="preserve">culation cycle which </w:t>
      </w:r>
      <w:r w:rsidR="008E4BEB">
        <w:rPr>
          <w:lang w:val="en-GB"/>
        </w:rPr>
        <w:t>has been observed to be a far m</w:t>
      </w:r>
      <w:r w:rsidR="00924102">
        <w:rPr>
          <w:lang w:val="en-GB"/>
        </w:rPr>
        <w:t>ore potent cause of Pb pollution</w:t>
      </w:r>
      <w:r w:rsidR="008E4BEB">
        <w:rPr>
          <w:lang w:val="en-GB"/>
        </w:rPr>
        <w:t xml:space="preserve"> in the environment than the natural Pb cycle. </w:t>
      </w:r>
      <w:sdt>
        <w:sdtPr>
          <w:rPr>
            <w:lang w:val="en-GB"/>
          </w:rPr>
          <w:id w:val="740524238"/>
          <w:citation/>
        </w:sdtPr>
        <w:sdtEndPr/>
        <w:sdtContent>
          <w:r w:rsidR="008E4BEB">
            <w:rPr>
              <w:lang w:val="en-GB"/>
            </w:rPr>
            <w:fldChar w:fldCharType="begin"/>
          </w:r>
          <w:r w:rsidR="008E4BEB">
            <w:instrText xml:space="preserve"> CITATION Bri19 \l 1033 </w:instrText>
          </w:r>
          <w:r w:rsidR="008E4BEB">
            <w:rPr>
              <w:lang w:val="en-GB"/>
            </w:rPr>
            <w:fldChar w:fldCharType="separate"/>
          </w:r>
          <w:r w:rsidR="007C785D">
            <w:rPr>
              <w:noProof/>
            </w:rPr>
            <w:t>(Brink, et al., 2019)</w:t>
          </w:r>
          <w:r w:rsidR="008E4BEB">
            <w:rPr>
              <w:lang w:val="en-GB"/>
            </w:rPr>
            <w:fldChar w:fldCharType="end"/>
          </w:r>
        </w:sdtContent>
      </w:sdt>
      <w:r w:rsidR="008E4BEB">
        <w:rPr>
          <w:lang w:val="en-GB"/>
        </w:rPr>
        <w:t>.</w:t>
      </w:r>
    </w:p>
    <w:p w14:paraId="7308067F" w14:textId="63C6DB3A" w:rsidR="00777622" w:rsidRDefault="00D14FB5" w:rsidP="00600535">
      <w:pPr>
        <w:pStyle w:val="CETBodytext"/>
        <w:rPr>
          <w:lang w:val="en-GB"/>
        </w:rPr>
      </w:pPr>
      <w:r>
        <w:rPr>
          <w:lang w:val="en-GB"/>
        </w:rPr>
        <w:t xml:space="preserve">Human exposure to </w:t>
      </w:r>
      <w:proofErr w:type="gramStart"/>
      <w:r>
        <w:rPr>
          <w:lang w:val="en-GB"/>
        </w:rPr>
        <w:t>Pb(</w:t>
      </w:r>
      <w:proofErr w:type="gramEnd"/>
      <w:r>
        <w:rPr>
          <w:lang w:val="en-GB"/>
        </w:rPr>
        <w:t>II) occurs through the ingestion</w:t>
      </w:r>
      <w:r w:rsidR="00C148CA">
        <w:rPr>
          <w:lang w:val="en-GB"/>
        </w:rPr>
        <w:t xml:space="preserve"> of contaminated food and water along with </w:t>
      </w:r>
      <w:r>
        <w:rPr>
          <w:lang w:val="en-GB"/>
        </w:rPr>
        <w:t xml:space="preserve">the inhalation of aerosols and dust particles </w:t>
      </w:r>
      <w:sdt>
        <w:sdtPr>
          <w:rPr>
            <w:lang w:val="en-GB"/>
          </w:rPr>
          <w:id w:val="-287132317"/>
          <w:citation/>
        </w:sdtPr>
        <w:sdtEndPr/>
        <w:sdtContent>
          <w:r>
            <w:rPr>
              <w:lang w:val="en-GB"/>
            </w:rPr>
            <w:fldChar w:fldCharType="begin"/>
          </w:r>
          <w:r>
            <w:instrText xml:space="preserve"> CITATION Chi21 \l 1033 </w:instrText>
          </w:r>
          <w:r>
            <w:rPr>
              <w:lang w:val="en-GB"/>
            </w:rPr>
            <w:fldChar w:fldCharType="separate"/>
          </w:r>
          <w:r w:rsidR="007C785D">
            <w:rPr>
              <w:noProof/>
            </w:rPr>
            <w:t>(Chimhundi, et al., 2021)</w:t>
          </w:r>
          <w:r>
            <w:rPr>
              <w:lang w:val="en-GB"/>
            </w:rPr>
            <w:fldChar w:fldCharType="end"/>
          </w:r>
        </w:sdtContent>
      </w:sdt>
      <w:r w:rsidR="00CE3A1C">
        <w:rPr>
          <w:lang w:val="en-GB"/>
        </w:rPr>
        <w:t xml:space="preserve">. </w:t>
      </w:r>
      <w:r w:rsidR="00DD6AF4">
        <w:rPr>
          <w:lang w:val="en-GB"/>
        </w:rPr>
        <w:t>According to the WHO t</w:t>
      </w:r>
      <w:r w:rsidR="00CE3A1C">
        <w:rPr>
          <w:lang w:val="en-GB"/>
        </w:rPr>
        <w:t xml:space="preserve">he threshold limits of </w:t>
      </w:r>
      <w:proofErr w:type="gramStart"/>
      <w:r w:rsidR="00CE3A1C">
        <w:rPr>
          <w:lang w:val="en-GB"/>
        </w:rPr>
        <w:t>Pb(</w:t>
      </w:r>
      <w:proofErr w:type="gramEnd"/>
      <w:r w:rsidR="00CE3A1C">
        <w:rPr>
          <w:lang w:val="en-GB"/>
        </w:rPr>
        <w:t xml:space="preserve">II) </w:t>
      </w:r>
      <w:r w:rsidR="001E1DA2">
        <w:rPr>
          <w:lang w:val="en-GB"/>
        </w:rPr>
        <w:t xml:space="preserve">in </w:t>
      </w:r>
      <w:r w:rsidR="00DD6AF4">
        <w:rPr>
          <w:lang w:val="en-GB"/>
        </w:rPr>
        <w:lastRenderedPageBreak/>
        <w:t>drinking water</w:t>
      </w:r>
      <w:r w:rsidR="001E1DA2">
        <w:rPr>
          <w:lang w:val="en-GB"/>
        </w:rPr>
        <w:t xml:space="preserve"> are 0.05ppm</w:t>
      </w:r>
      <w:r w:rsidR="002F1B7B">
        <w:rPr>
          <w:lang w:val="en-GB"/>
        </w:rPr>
        <w:t>,</w:t>
      </w:r>
      <w:r w:rsidR="00416E40">
        <w:rPr>
          <w:lang w:val="en-GB"/>
        </w:rPr>
        <w:t xml:space="preserve"> </w:t>
      </w:r>
      <w:r w:rsidR="00C148CA">
        <w:rPr>
          <w:lang w:val="en-GB"/>
        </w:rPr>
        <w:t xml:space="preserve">the </w:t>
      </w:r>
      <w:r w:rsidR="00DD6AF4">
        <w:rPr>
          <w:lang w:val="en-GB"/>
        </w:rPr>
        <w:t>Environmental Protection Agency</w:t>
      </w:r>
      <w:r w:rsidR="00416E40">
        <w:rPr>
          <w:lang w:val="en-GB"/>
        </w:rPr>
        <w:t xml:space="preserve"> also uses this</w:t>
      </w:r>
      <w:r w:rsidR="00C148CA">
        <w:rPr>
          <w:lang w:val="en-GB"/>
        </w:rPr>
        <w:t xml:space="preserve"> same</w:t>
      </w:r>
      <w:r w:rsidR="00416E40">
        <w:rPr>
          <w:lang w:val="en-GB"/>
        </w:rPr>
        <w:t xml:space="preserve"> threshold limit for</w:t>
      </w:r>
      <w:r w:rsidR="00DD6AF4">
        <w:rPr>
          <w:lang w:val="en-GB"/>
        </w:rPr>
        <w:t xml:space="preserve"> industrial wastewater</w:t>
      </w:r>
      <w:r w:rsidR="00416E40">
        <w:rPr>
          <w:lang w:val="en-GB"/>
        </w:rPr>
        <w:t xml:space="preserve"> discharge</w:t>
      </w:r>
      <w:r w:rsidR="00DD6AF4">
        <w:rPr>
          <w:lang w:val="en-GB"/>
        </w:rPr>
        <w:t xml:space="preserve"> </w:t>
      </w:r>
      <w:sdt>
        <w:sdtPr>
          <w:rPr>
            <w:lang w:val="en-GB"/>
          </w:rPr>
          <w:id w:val="1466465158"/>
          <w:citation/>
        </w:sdtPr>
        <w:sdtEndPr/>
        <w:sdtContent>
          <w:r w:rsidR="001E1DA2">
            <w:rPr>
              <w:lang w:val="en-GB"/>
            </w:rPr>
            <w:fldChar w:fldCharType="begin"/>
          </w:r>
          <w:r w:rsidR="001E1DA2">
            <w:instrText xml:space="preserve"> CITATION Arb15 \l 1033 </w:instrText>
          </w:r>
          <w:r w:rsidR="001E1DA2">
            <w:rPr>
              <w:lang w:val="en-GB"/>
            </w:rPr>
            <w:fldChar w:fldCharType="separate"/>
          </w:r>
          <w:r w:rsidR="007C785D">
            <w:rPr>
              <w:noProof/>
            </w:rPr>
            <w:t>(Arbabi, et al., 2015)</w:t>
          </w:r>
          <w:r w:rsidR="001E1DA2">
            <w:rPr>
              <w:lang w:val="en-GB"/>
            </w:rPr>
            <w:fldChar w:fldCharType="end"/>
          </w:r>
        </w:sdtContent>
      </w:sdt>
      <w:r w:rsidR="00DD6AF4">
        <w:rPr>
          <w:lang w:val="en-GB"/>
        </w:rPr>
        <w:t>.</w:t>
      </w:r>
      <w:r w:rsidR="00DD6AF4" w:rsidRPr="00DD6AF4">
        <w:rPr>
          <w:lang w:val="en-GB"/>
        </w:rPr>
        <w:t xml:space="preserve"> </w:t>
      </w:r>
      <w:r w:rsidR="00CB5A32">
        <w:rPr>
          <w:lang w:val="en-GB"/>
        </w:rPr>
        <w:t>For these reasons</w:t>
      </w:r>
      <w:r w:rsidR="00416E40">
        <w:rPr>
          <w:lang w:val="en-GB"/>
        </w:rPr>
        <w:t>, a</w:t>
      </w:r>
      <w:r w:rsidR="00DD6AF4">
        <w:rPr>
          <w:lang w:val="en-GB"/>
        </w:rPr>
        <w:t xml:space="preserve"> suitable and effective treatment</w:t>
      </w:r>
      <w:r w:rsidR="00416E40">
        <w:rPr>
          <w:lang w:val="en-GB"/>
        </w:rPr>
        <w:t xml:space="preserve"> method</w:t>
      </w:r>
      <w:r w:rsidR="00DD6AF4">
        <w:rPr>
          <w:lang w:val="en-GB"/>
        </w:rPr>
        <w:t xml:space="preserve"> for</w:t>
      </w:r>
      <w:r w:rsidR="00416E40">
        <w:rPr>
          <w:lang w:val="en-GB"/>
        </w:rPr>
        <w:t xml:space="preserve"> </w:t>
      </w:r>
      <w:proofErr w:type="gramStart"/>
      <w:r w:rsidR="00416E40">
        <w:rPr>
          <w:lang w:val="en-GB"/>
        </w:rPr>
        <w:t>Pb(</w:t>
      </w:r>
      <w:proofErr w:type="gramEnd"/>
      <w:r w:rsidR="00416E40">
        <w:rPr>
          <w:lang w:val="en-GB"/>
        </w:rPr>
        <w:t>II)</w:t>
      </w:r>
      <w:r w:rsidR="00DD6AF4">
        <w:rPr>
          <w:lang w:val="en-GB"/>
        </w:rPr>
        <w:t xml:space="preserve"> contaminated </w:t>
      </w:r>
      <w:r w:rsidR="00416E40">
        <w:rPr>
          <w:lang w:val="en-GB"/>
        </w:rPr>
        <w:t xml:space="preserve">water and </w:t>
      </w:r>
      <w:r w:rsidR="00DD6AF4">
        <w:rPr>
          <w:lang w:val="en-GB"/>
        </w:rPr>
        <w:t>wastewater</w:t>
      </w:r>
      <w:r w:rsidR="00416E40">
        <w:rPr>
          <w:lang w:val="en-GB"/>
        </w:rPr>
        <w:t xml:space="preserve"> is required.</w:t>
      </w:r>
    </w:p>
    <w:p w14:paraId="3ED3D9AE" w14:textId="0EB78D4A" w:rsidR="001D6830" w:rsidRDefault="008E4BEB" w:rsidP="00600535">
      <w:pPr>
        <w:pStyle w:val="CETBodytext"/>
        <w:rPr>
          <w:lang w:val="en-GB"/>
        </w:rPr>
      </w:pPr>
      <w:r>
        <w:rPr>
          <w:lang w:val="en-GB"/>
        </w:rPr>
        <w:t xml:space="preserve">In </w:t>
      </w:r>
      <w:r w:rsidR="00BC2168">
        <w:rPr>
          <w:lang w:val="en-GB"/>
        </w:rPr>
        <w:t>order to reduce the potential detrimental effects on water sources and the environment there are already several treatment methods in place. These conventional treatment methods which are already in t</w:t>
      </w:r>
      <w:r w:rsidR="00A6748F">
        <w:rPr>
          <w:lang w:val="en-GB"/>
        </w:rPr>
        <w:t>he implementation phase include:</w:t>
      </w:r>
      <w:r w:rsidR="00BC2168">
        <w:rPr>
          <w:lang w:val="en-GB"/>
        </w:rPr>
        <w:t xml:space="preserve"> sand filtration, Granular Activated Carbon (GAC) adsorption, precipitation sedimentation and ion exchange </w:t>
      </w:r>
      <w:sdt>
        <w:sdtPr>
          <w:rPr>
            <w:lang w:val="en-GB"/>
          </w:rPr>
          <w:id w:val="-357509422"/>
          <w:citation/>
        </w:sdtPr>
        <w:sdtEndPr/>
        <w:sdtContent>
          <w:r w:rsidR="00BC2168">
            <w:rPr>
              <w:lang w:val="en-GB"/>
            </w:rPr>
            <w:fldChar w:fldCharType="begin"/>
          </w:r>
          <w:r w:rsidR="00BC2168">
            <w:instrText xml:space="preserve"> CITATION Bri19 \l 1033 </w:instrText>
          </w:r>
          <w:r w:rsidR="00BC2168">
            <w:rPr>
              <w:lang w:val="en-GB"/>
            </w:rPr>
            <w:fldChar w:fldCharType="separate"/>
          </w:r>
          <w:r w:rsidR="007C785D">
            <w:rPr>
              <w:noProof/>
            </w:rPr>
            <w:t>(Brink, et al., 2019)</w:t>
          </w:r>
          <w:r w:rsidR="00BC2168">
            <w:rPr>
              <w:lang w:val="en-GB"/>
            </w:rPr>
            <w:fldChar w:fldCharType="end"/>
          </w:r>
        </w:sdtContent>
      </w:sdt>
      <w:r w:rsidR="00BC2168">
        <w:rPr>
          <w:lang w:val="en-GB"/>
        </w:rPr>
        <w:t xml:space="preserve">. </w:t>
      </w:r>
      <w:r w:rsidR="000121DD">
        <w:rPr>
          <w:lang w:val="en-GB"/>
        </w:rPr>
        <w:t xml:space="preserve">These methods have shown efficacy in removing </w:t>
      </w:r>
      <w:r w:rsidR="00776CFB">
        <w:rPr>
          <w:lang w:val="en-GB"/>
        </w:rPr>
        <w:t xml:space="preserve">a variety of toxic heavy metals such as Cd, Pb, Fe and </w:t>
      </w:r>
      <w:proofErr w:type="gramStart"/>
      <w:r w:rsidR="00776CFB">
        <w:rPr>
          <w:lang w:val="en-GB"/>
        </w:rPr>
        <w:t>As</w:t>
      </w:r>
      <w:proofErr w:type="gramEnd"/>
      <w:r w:rsidR="00776CFB">
        <w:rPr>
          <w:lang w:val="en-GB"/>
        </w:rPr>
        <w:t xml:space="preserve"> from water </w:t>
      </w:r>
      <w:sdt>
        <w:sdtPr>
          <w:rPr>
            <w:lang w:val="en-GB"/>
          </w:rPr>
          <w:id w:val="-957939127"/>
          <w:citation/>
        </w:sdtPr>
        <w:sdtEndPr/>
        <w:sdtContent>
          <w:r w:rsidR="00776CFB">
            <w:rPr>
              <w:lang w:val="en-GB"/>
            </w:rPr>
            <w:fldChar w:fldCharType="begin"/>
          </w:r>
          <w:r w:rsidR="00776CFB">
            <w:instrText xml:space="preserve"> CITATION Bri19 \l 1033 </w:instrText>
          </w:r>
          <w:r w:rsidR="00776CFB">
            <w:rPr>
              <w:lang w:val="en-GB"/>
            </w:rPr>
            <w:fldChar w:fldCharType="separate"/>
          </w:r>
          <w:r w:rsidR="007C785D">
            <w:rPr>
              <w:noProof/>
            </w:rPr>
            <w:t>(Brink, et al., 2019)</w:t>
          </w:r>
          <w:r w:rsidR="00776CFB">
            <w:rPr>
              <w:lang w:val="en-GB"/>
            </w:rPr>
            <w:fldChar w:fldCharType="end"/>
          </w:r>
        </w:sdtContent>
      </w:sdt>
      <w:r w:rsidR="00776CFB">
        <w:rPr>
          <w:lang w:val="en-GB"/>
        </w:rPr>
        <w:t xml:space="preserve">. The major disadvantage of relying on these methods is that they display non-selectivity, low efficiency, costly steps and increased waste production. </w:t>
      </w:r>
      <w:r w:rsidR="00311D00">
        <w:rPr>
          <w:lang w:val="en-GB"/>
        </w:rPr>
        <w:t xml:space="preserve">These process usually also require high activation energy to initiate the reactions required for lead reduction. </w:t>
      </w:r>
      <w:r w:rsidR="00776CFB">
        <w:rPr>
          <w:lang w:val="en-GB"/>
        </w:rPr>
        <w:t xml:space="preserve">This indicates a necessity for economically viable and environmentally conscious alternatives </w:t>
      </w:r>
      <w:sdt>
        <w:sdtPr>
          <w:rPr>
            <w:lang w:val="en-GB"/>
          </w:rPr>
          <w:id w:val="413592947"/>
          <w:citation/>
        </w:sdtPr>
        <w:sdtEndPr/>
        <w:sdtContent>
          <w:r w:rsidR="00776CFB">
            <w:rPr>
              <w:lang w:val="en-GB"/>
            </w:rPr>
            <w:fldChar w:fldCharType="begin"/>
          </w:r>
          <w:r w:rsidR="00776CFB">
            <w:instrText xml:space="preserve"> CITATION Ngw10 \l 1033 </w:instrText>
          </w:r>
          <w:r w:rsidR="00776CFB">
            <w:rPr>
              <w:lang w:val="en-GB"/>
            </w:rPr>
            <w:fldChar w:fldCharType="separate"/>
          </w:r>
          <w:r w:rsidR="007C785D">
            <w:rPr>
              <w:noProof/>
            </w:rPr>
            <w:t>(Ngwenya &amp; Chirwa, 2010)</w:t>
          </w:r>
          <w:r w:rsidR="00776CFB">
            <w:rPr>
              <w:lang w:val="en-GB"/>
            </w:rPr>
            <w:fldChar w:fldCharType="end"/>
          </w:r>
        </w:sdtContent>
      </w:sdt>
      <w:r w:rsidR="00E15DC2">
        <w:rPr>
          <w:lang w:val="en-GB"/>
        </w:rPr>
        <w:t>.</w:t>
      </w:r>
    </w:p>
    <w:p w14:paraId="1A5E7677" w14:textId="103E5072" w:rsidR="007A036A" w:rsidRDefault="001D6830" w:rsidP="00600535">
      <w:pPr>
        <w:pStyle w:val="CETBodytext"/>
        <w:rPr>
          <w:lang w:val="en-GB"/>
        </w:rPr>
      </w:pPr>
      <w:r>
        <w:rPr>
          <w:lang w:val="en-GB"/>
        </w:rPr>
        <w:t>It ha</w:t>
      </w:r>
      <w:r w:rsidR="003E0D50">
        <w:rPr>
          <w:lang w:val="en-GB"/>
        </w:rPr>
        <w:t xml:space="preserve">s been noted by some researchers </w:t>
      </w:r>
      <w:r>
        <w:rPr>
          <w:lang w:val="en-GB"/>
        </w:rPr>
        <w:t xml:space="preserve">that not enough alternatives have been developed to offset this reliance on these previously mentioned techniques. Hence it is of great benefit to both human and environmental health that they should be researched and developed </w:t>
      </w:r>
      <w:sdt>
        <w:sdtPr>
          <w:rPr>
            <w:lang w:val="en-GB"/>
          </w:rPr>
          <w:id w:val="-1831902216"/>
          <w:citation/>
        </w:sdtPr>
        <w:sdtEndPr/>
        <w:sdtContent>
          <w:r>
            <w:rPr>
              <w:lang w:val="en-GB"/>
            </w:rPr>
            <w:fldChar w:fldCharType="begin"/>
          </w:r>
          <w:r>
            <w:instrText xml:space="preserve"> CITATION Tiq18 \l 1033 </w:instrText>
          </w:r>
          <w:r>
            <w:rPr>
              <w:lang w:val="en-GB"/>
            </w:rPr>
            <w:fldChar w:fldCharType="separate"/>
          </w:r>
          <w:r w:rsidR="007C785D">
            <w:rPr>
              <w:noProof/>
            </w:rPr>
            <w:t>(Tiquia-Arashiro, 2018)</w:t>
          </w:r>
          <w:r>
            <w:rPr>
              <w:lang w:val="en-GB"/>
            </w:rPr>
            <w:fldChar w:fldCharType="end"/>
          </w:r>
        </w:sdtContent>
      </w:sdt>
      <w:r>
        <w:rPr>
          <w:lang w:val="en-GB"/>
        </w:rPr>
        <w:t xml:space="preserve">. </w:t>
      </w:r>
      <w:r w:rsidR="00CA479B">
        <w:rPr>
          <w:lang w:val="en-GB"/>
        </w:rPr>
        <w:t xml:space="preserve">It would also be of major consequence that these developments also factor in the recovery of lead from waste sites (for example mining tailings) and industrial effluents. This is because the current global depletion rate of lead is estimated to be at 5 Mt/Year while the reserves stand at 85 Mt, the </w:t>
      </w:r>
      <w:r w:rsidR="00A94978">
        <w:rPr>
          <w:lang w:val="en-GB"/>
        </w:rPr>
        <w:t xml:space="preserve">consequence of this is an estimation that the reserves will be depleted within the next 15-17 years </w:t>
      </w:r>
      <w:sdt>
        <w:sdtPr>
          <w:rPr>
            <w:lang w:val="en-GB"/>
          </w:rPr>
          <w:id w:val="1960366702"/>
          <w:citation/>
        </w:sdtPr>
        <w:sdtEndPr/>
        <w:sdtContent>
          <w:r w:rsidR="00A94978">
            <w:rPr>
              <w:lang w:val="en-GB"/>
            </w:rPr>
            <w:fldChar w:fldCharType="begin"/>
          </w:r>
          <w:r w:rsidR="00A94978">
            <w:instrText xml:space="preserve"> CITATION Chi21 \l 1033 </w:instrText>
          </w:r>
          <w:r w:rsidR="00A94978">
            <w:rPr>
              <w:lang w:val="en-GB"/>
            </w:rPr>
            <w:fldChar w:fldCharType="separate"/>
          </w:r>
          <w:r w:rsidR="007C785D">
            <w:rPr>
              <w:noProof/>
            </w:rPr>
            <w:t>(Chimhundi, et al., 2021)</w:t>
          </w:r>
          <w:r w:rsidR="00A94978">
            <w:rPr>
              <w:lang w:val="en-GB"/>
            </w:rPr>
            <w:fldChar w:fldCharType="end"/>
          </w:r>
        </w:sdtContent>
      </w:sdt>
      <w:r w:rsidR="00A94978">
        <w:rPr>
          <w:lang w:val="en-GB"/>
        </w:rPr>
        <w:t xml:space="preserve">. </w:t>
      </w:r>
      <w:r w:rsidR="00161779">
        <w:rPr>
          <w:lang w:val="en-GB"/>
        </w:rPr>
        <w:t xml:space="preserve">Existing recovery processes have proved to be disadvantageous in that they produce toxic waste in high volumes which have hazardous waste disposal processes while being high cost </w:t>
      </w:r>
      <w:sdt>
        <w:sdtPr>
          <w:rPr>
            <w:lang w:val="en-GB"/>
          </w:rPr>
          <w:id w:val="-1821729119"/>
          <w:citation/>
        </w:sdtPr>
        <w:sdtEndPr/>
        <w:sdtContent>
          <w:r w:rsidR="00161779">
            <w:rPr>
              <w:lang w:val="en-GB"/>
            </w:rPr>
            <w:fldChar w:fldCharType="begin"/>
          </w:r>
          <w:r w:rsidR="00161779">
            <w:instrText xml:space="preserve"> CITATION Chi21 \l 1033 </w:instrText>
          </w:r>
          <w:r w:rsidR="00161779">
            <w:rPr>
              <w:lang w:val="en-GB"/>
            </w:rPr>
            <w:fldChar w:fldCharType="separate"/>
          </w:r>
          <w:r w:rsidR="007C785D">
            <w:rPr>
              <w:noProof/>
            </w:rPr>
            <w:t>(Chimhundi, et al., 2021)</w:t>
          </w:r>
          <w:r w:rsidR="00161779">
            <w:rPr>
              <w:lang w:val="en-GB"/>
            </w:rPr>
            <w:fldChar w:fldCharType="end"/>
          </w:r>
        </w:sdtContent>
      </w:sdt>
      <w:r w:rsidR="00161779">
        <w:rPr>
          <w:lang w:val="en-GB"/>
        </w:rPr>
        <w:t xml:space="preserve">. </w:t>
      </w:r>
    </w:p>
    <w:p w14:paraId="000504C8" w14:textId="122892D3" w:rsidR="00AD27E4" w:rsidRDefault="00D00C36" w:rsidP="00600535">
      <w:pPr>
        <w:pStyle w:val="CETBodytext"/>
        <w:rPr>
          <w:lang w:val="en-GB"/>
        </w:rPr>
      </w:pPr>
      <w:r>
        <w:rPr>
          <w:lang w:val="en-GB"/>
        </w:rPr>
        <w:t xml:space="preserve">Taking this into consideration, along with other work done by researchers to study the capability of biological removal and recovery of Pb this current study was conducted. Some researchers have shown that removing Pb from water and wastewater using biological means is possible, these studies have mostly been conducted using microorganisms as </w:t>
      </w:r>
      <w:proofErr w:type="spellStart"/>
      <w:r>
        <w:rPr>
          <w:lang w:val="en-GB"/>
        </w:rPr>
        <w:t>biosorbents</w:t>
      </w:r>
      <w:proofErr w:type="spellEnd"/>
      <w:r>
        <w:rPr>
          <w:lang w:val="en-GB"/>
        </w:rPr>
        <w:t xml:space="preserve"> using dead or reconditioned biomass</w:t>
      </w:r>
      <w:sdt>
        <w:sdtPr>
          <w:rPr>
            <w:lang w:val="en-GB"/>
          </w:rPr>
          <w:id w:val="1524430892"/>
          <w:citation/>
        </w:sdtPr>
        <w:sdtEndPr/>
        <w:sdtContent>
          <w:r>
            <w:rPr>
              <w:lang w:val="en-GB"/>
            </w:rPr>
            <w:fldChar w:fldCharType="begin"/>
          </w:r>
          <w:r>
            <w:instrText xml:space="preserve"> CITATION Bri19 \l 1033 </w:instrText>
          </w:r>
          <w:r>
            <w:rPr>
              <w:lang w:val="en-GB"/>
            </w:rPr>
            <w:fldChar w:fldCharType="separate"/>
          </w:r>
          <w:r w:rsidR="007C785D">
            <w:rPr>
              <w:noProof/>
            </w:rPr>
            <w:t xml:space="preserve"> (Brink, et al., 2019)</w:t>
          </w:r>
          <w:r>
            <w:rPr>
              <w:lang w:val="en-GB"/>
            </w:rPr>
            <w:fldChar w:fldCharType="end"/>
          </w:r>
        </w:sdtContent>
      </w:sdt>
      <w:r>
        <w:rPr>
          <w:lang w:val="en-GB"/>
        </w:rPr>
        <w:t xml:space="preserve">. </w:t>
      </w:r>
      <w:r w:rsidR="00FD1C8F">
        <w:rPr>
          <w:lang w:val="en-GB"/>
        </w:rPr>
        <w:t xml:space="preserve">The possible mechanisms which lead to removal of Pb which have been noted include; reducing soluble </w:t>
      </w:r>
      <w:proofErr w:type="gramStart"/>
      <w:r w:rsidR="00FD1C8F">
        <w:rPr>
          <w:lang w:val="en-GB"/>
        </w:rPr>
        <w:t>Pb(</w:t>
      </w:r>
      <w:proofErr w:type="gramEnd"/>
      <w:r w:rsidR="00FD1C8F">
        <w:rPr>
          <w:lang w:val="en-GB"/>
        </w:rPr>
        <w:t xml:space="preserve">II) to its insoluble elemental Pb form, biosorption of Pb and bioprecipitation of Pb </w:t>
      </w:r>
      <w:sdt>
        <w:sdtPr>
          <w:rPr>
            <w:lang w:val="en-GB"/>
          </w:rPr>
          <w:id w:val="358009637"/>
          <w:citation/>
        </w:sdtPr>
        <w:sdtEndPr/>
        <w:sdtContent>
          <w:r w:rsidR="00FD1C8F">
            <w:rPr>
              <w:lang w:val="en-GB"/>
            </w:rPr>
            <w:fldChar w:fldCharType="begin"/>
          </w:r>
          <w:r w:rsidR="00FD1C8F">
            <w:instrText xml:space="preserve"> CITATION Bri19 \l 1033 </w:instrText>
          </w:r>
          <w:r w:rsidR="00FD1C8F">
            <w:rPr>
              <w:lang w:val="en-GB"/>
            </w:rPr>
            <w:fldChar w:fldCharType="separate"/>
          </w:r>
          <w:r w:rsidR="007C785D">
            <w:rPr>
              <w:noProof/>
            </w:rPr>
            <w:t>(Brink, et al., 2019)</w:t>
          </w:r>
          <w:r w:rsidR="00FD1C8F">
            <w:rPr>
              <w:lang w:val="en-GB"/>
            </w:rPr>
            <w:fldChar w:fldCharType="end"/>
          </w:r>
        </w:sdtContent>
      </w:sdt>
      <w:r w:rsidR="00FD1C8F">
        <w:rPr>
          <w:lang w:val="en-GB"/>
        </w:rPr>
        <w:t xml:space="preserve">. </w:t>
      </w:r>
    </w:p>
    <w:p w14:paraId="23F86FEF" w14:textId="6E608262" w:rsidR="00600535" w:rsidRDefault="00AD27E4" w:rsidP="00600535">
      <w:pPr>
        <w:pStyle w:val="CETBodytext"/>
        <w:rPr>
          <w:lang w:val="en-GB"/>
        </w:rPr>
      </w:pPr>
      <w:r>
        <w:rPr>
          <w:lang w:val="en-GB"/>
        </w:rPr>
        <w:t>In this current study, a locally sourced industrial c</w:t>
      </w:r>
      <w:r w:rsidR="00DD7183">
        <w:rPr>
          <w:lang w:val="en-GB"/>
        </w:rPr>
        <w:t xml:space="preserve">onsortia of bacteria was used in a UASB to continuously remove </w:t>
      </w:r>
      <w:proofErr w:type="gramStart"/>
      <w:r w:rsidR="00DD7183">
        <w:rPr>
          <w:lang w:val="en-GB"/>
        </w:rPr>
        <w:t>Pb(</w:t>
      </w:r>
      <w:proofErr w:type="gramEnd"/>
      <w:r w:rsidR="00DD7183">
        <w:rPr>
          <w:lang w:val="en-GB"/>
        </w:rPr>
        <w:t xml:space="preserve">II) from an aqueous environment. </w:t>
      </w:r>
      <w:r w:rsidR="00324CA8">
        <w:rPr>
          <w:lang w:val="en-GB"/>
        </w:rPr>
        <w:t xml:space="preserve">The effects of </w:t>
      </w:r>
      <w:proofErr w:type="gramStart"/>
      <w:r w:rsidR="00324CA8">
        <w:rPr>
          <w:lang w:val="en-GB"/>
        </w:rPr>
        <w:t>Pb(</w:t>
      </w:r>
      <w:proofErr w:type="gramEnd"/>
      <w:r w:rsidR="00324CA8">
        <w:rPr>
          <w:lang w:val="en-GB"/>
        </w:rPr>
        <w:t>II) concentrations along with nutrient conc</w:t>
      </w:r>
      <w:r w:rsidR="0064226C">
        <w:rPr>
          <w:lang w:val="en-GB"/>
        </w:rPr>
        <w:t xml:space="preserve">entrations in the feed were also noted to gather more insight into the behaviour of the microbiome during continuous Pb(II) removal. </w:t>
      </w:r>
      <w:r w:rsidR="00D00C36">
        <w:rPr>
          <w:lang w:val="en-GB"/>
        </w:rPr>
        <w:t xml:space="preserve"> </w:t>
      </w:r>
      <w:r w:rsidR="007A036A">
        <w:rPr>
          <w:lang w:val="en-GB"/>
        </w:rPr>
        <w:t xml:space="preserve"> </w:t>
      </w:r>
      <w:r w:rsidR="00776CFB">
        <w:rPr>
          <w:lang w:val="en-GB"/>
        </w:rPr>
        <w:t xml:space="preserve"> </w:t>
      </w:r>
      <w:r w:rsidR="00987CC0">
        <w:rPr>
          <w:lang w:val="en-GB"/>
        </w:rPr>
        <w:t xml:space="preserve"> </w:t>
      </w:r>
      <w:r w:rsidR="007B5193">
        <w:rPr>
          <w:lang w:val="en-GB"/>
        </w:rPr>
        <w:t xml:space="preserve"> </w:t>
      </w:r>
      <w:r w:rsidR="00600535" w:rsidRPr="00FA5F5F">
        <w:rPr>
          <w:lang w:val="en-GB"/>
        </w:rPr>
        <w:t xml:space="preserve"> </w:t>
      </w:r>
    </w:p>
    <w:p w14:paraId="21B9A280" w14:textId="77777777" w:rsidR="007D0951" w:rsidRPr="00B57B36" w:rsidRDefault="007D0951" w:rsidP="006B0AC9">
      <w:pPr>
        <w:pStyle w:val="CETListbullets"/>
      </w:pPr>
    </w:p>
    <w:p w14:paraId="5741900F" w14:textId="188CCD8B" w:rsidR="00453E24" w:rsidRDefault="00C6474C" w:rsidP="00453E24">
      <w:pPr>
        <w:pStyle w:val="CETHeading1"/>
      </w:pPr>
      <w:r>
        <w:t>Experimental methods and materials</w:t>
      </w:r>
    </w:p>
    <w:p w14:paraId="0636B784" w14:textId="0A556126" w:rsidR="00453E24" w:rsidRDefault="00B21E87" w:rsidP="00453E24">
      <w:pPr>
        <w:pStyle w:val="CETheadingx"/>
      </w:pPr>
      <w:r>
        <w:t xml:space="preserve">Reactor design and sampling </w:t>
      </w:r>
    </w:p>
    <w:p w14:paraId="77CA081D" w14:textId="77777777" w:rsidR="00960430" w:rsidRDefault="00CE4B7C" w:rsidP="00960430">
      <w:pPr>
        <w:pStyle w:val="CETBodytext"/>
        <w:spacing w:before="240"/>
      </w:pPr>
      <w:r>
        <w:t xml:space="preserve">The </w:t>
      </w:r>
      <w:r w:rsidR="00B21E87">
        <w:t>UASB</w:t>
      </w:r>
      <w:r w:rsidR="00200BA2">
        <w:t xml:space="preserve"> reactor was desig</w:t>
      </w:r>
      <w:r w:rsidR="00481BA5">
        <w:t>ned based on the work</w:t>
      </w:r>
      <w:r w:rsidR="00200BA2">
        <w:t xml:space="preserve"> which was presented in the st</w:t>
      </w:r>
      <w:r>
        <w:t xml:space="preserve">udy by </w:t>
      </w:r>
      <w:proofErr w:type="spellStart"/>
      <w:r>
        <w:t>Chimhundi</w:t>
      </w:r>
      <w:proofErr w:type="spellEnd"/>
      <w:r>
        <w:t xml:space="preserve">, et al. (2021). </w:t>
      </w:r>
      <w:r w:rsidR="00200BA2">
        <w:t xml:space="preserve">The design </w:t>
      </w:r>
      <w:r w:rsidR="006A7468">
        <w:t>was altered by introducing the flow of feed from the bottom of the column. There are 4 possible points of egress for the effluent along the column height and two of these points along the axial height</w:t>
      </w:r>
      <w:r w:rsidR="00CA403E">
        <w:t>,</w:t>
      </w:r>
      <w:r w:rsidR="006A7468">
        <w:t xml:space="preserve"> named ports 1 and 3 respectively, were employed as the sample points for the study. </w:t>
      </w:r>
      <w:r w:rsidR="00CA403E">
        <w:t xml:space="preserve">The fourth port was used as for the overflow to a waste collection point. </w:t>
      </w:r>
      <w:r w:rsidR="00B75390">
        <w:t>The column was placed in a warm room which was maintained at temperatures between 30-35</w:t>
      </w:r>
      <w:r w:rsidR="00B75390">
        <w:rPr>
          <w:rFonts w:cs="Arial"/>
        </w:rPr>
        <w:t>⁰</w:t>
      </w:r>
      <w:r w:rsidR="00B75390">
        <w:t>C and the reactor feed was placed in a separate room which is kept at 5</w:t>
      </w:r>
      <w:r w:rsidR="00B75390">
        <w:rPr>
          <w:rFonts w:cs="Arial"/>
        </w:rPr>
        <w:t>⁰</w:t>
      </w:r>
      <w:r w:rsidR="00B75390">
        <w:t xml:space="preserve">C. The column and feed were kept in separate rooms as a measure to prevent chances of cross contamination via growth into the feed, the feed was spiked with the relevant </w:t>
      </w:r>
      <w:proofErr w:type="gramStart"/>
      <w:r w:rsidR="00B75390">
        <w:t>Pb(</w:t>
      </w:r>
      <w:proofErr w:type="gramEnd"/>
      <w:r w:rsidR="00B75390">
        <w:t>II) conc</w:t>
      </w:r>
      <w:r w:rsidR="005B2469">
        <w:t>entrations with 5 g/L</w:t>
      </w:r>
      <w:r w:rsidR="00B75390">
        <w:t xml:space="preserve"> of Yeast Extract and 1 g/L of NaCl. The fed was pumped at a constant flow of 0.86 mL/min which is equivalent to 1238 mL/day and a Hydraulic Residence Time (HRT) of 8 days. The feed was dripped into the column using a dripper system into</w:t>
      </w:r>
      <w:r w:rsidR="00960430">
        <w:t xml:space="preserve"> the feed line. Figure 1</w:t>
      </w:r>
      <w:r w:rsidR="00B75390">
        <w:t xml:space="preserve"> is a visual representation of the UASB column.</w:t>
      </w:r>
    </w:p>
    <w:p w14:paraId="4C9F6347" w14:textId="16904957" w:rsidR="00960430" w:rsidRDefault="00960430" w:rsidP="00960430">
      <w:pPr>
        <w:pStyle w:val="CETBodytext"/>
        <w:spacing w:before="240"/>
      </w:pPr>
      <w:r>
        <w:t xml:space="preserve">Samples were taken daily by removing 10 mL from the column. In order to ensure that each sample was representative of the column contents the first 10 mL was discarded to empty the sampling tube. Prior to conducting any sampling or any analysis of the column contents the reactor was primed at a constant concentration of 80 ppm </w:t>
      </w:r>
      <w:proofErr w:type="gramStart"/>
      <w:r>
        <w:t>Pb(</w:t>
      </w:r>
      <w:proofErr w:type="gramEnd"/>
      <w:r>
        <w:t xml:space="preserve">II) for a period of one month, inoculated with the consortium preculture, after which the official experimentation commenced. </w:t>
      </w:r>
      <w:proofErr w:type="spellStart"/>
      <w:r>
        <w:t>PbCl</w:t>
      </w:r>
      <w:proofErr w:type="spellEnd"/>
      <w:r>
        <w:t xml:space="preserve"> tends to precipitate at lower temperatures (like in the cold room), this led to lower </w:t>
      </w:r>
      <w:proofErr w:type="gramStart"/>
      <w:r>
        <w:t>Pb(</w:t>
      </w:r>
      <w:proofErr w:type="gramEnd"/>
      <w:r>
        <w:t>II) concentrations being measured in the feed. This discrepancy is accounted for by reporting both the theoretical (predicted) Pb concentration along with the actual measured value which is in the feed stream. The study was conducted over a 21-day period. During this period the reactor was loaded with three different concentrations of Pb 80, 500 and 1000 ppm respectively. The experimental timeframe is shown in figure 2.</w:t>
      </w:r>
    </w:p>
    <w:p w14:paraId="2D0D8144" w14:textId="34B1A772" w:rsidR="00B75390" w:rsidRPr="00960430" w:rsidRDefault="00960430" w:rsidP="00960430">
      <w:pPr>
        <w:pStyle w:val="CETBodytext"/>
        <w:spacing w:before="240"/>
        <w:rPr>
          <w:i/>
        </w:rPr>
      </w:pPr>
      <w:r w:rsidRPr="00960430">
        <w:rPr>
          <w:i/>
          <w:noProof/>
          <w:lang w:val="en-ZA" w:eastAsia="en-ZA"/>
        </w:rPr>
        <w:lastRenderedPageBreak/>
        <w:drawing>
          <wp:anchor distT="0" distB="0" distL="114300" distR="114300" simplePos="0" relativeHeight="251658240" behindDoc="0" locked="0" layoutInCell="1" allowOverlap="1" wp14:anchorId="2E0A3D41" wp14:editId="629DB181">
            <wp:simplePos x="0" y="0"/>
            <wp:positionH relativeFrom="margin">
              <wp:align>left</wp:align>
            </wp:positionH>
            <wp:positionV relativeFrom="paragraph">
              <wp:posOffset>0</wp:posOffset>
            </wp:positionV>
            <wp:extent cx="4349750" cy="2277101"/>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1-08 101436.png"/>
                    <pic:cNvPicPr/>
                  </pic:nvPicPr>
                  <pic:blipFill>
                    <a:blip r:embed="rId10">
                      <a:extLst>
                        <a:ext uri="{28A0092B-C50C-407E-A947-70E740481C1C}">
                          <a14:useLocalDpi xmlns:a14="http://schemas.microsoft.com/office/drawing/2010/main" val="0"/>
                        </a:ext>
                      </a:extLst>
                    </a:blip>
                    <a:stretch>
                      <a:fillRect/>
                    </a:stretch>
                  </pic:blipFill>
                  <pic:spPr>
                    <a:xfrm>
                      <a:off x="0" y="0"/>
                      <a:ext cx="4349750" cy="2277101"/>
                    </a:xfrm>
                    <a:prstGeom prst="rect">
                      <a:avLst/>
                    </a:prstGeom>
                  </pic:spPr>
                </pic:pic>
              </a:graphicData>
            </a:graphic>
          </wp:anchor>
        </w:drawing>
      </w:r>
      <w:r w:rsidR="00B75390" w:rsidRPr="00960430">
        <w:rPr>
          <w:i/>
        </w:rPr>
        <w:t xml:space="preserve">Figure </w:t>
      </w:r>
      <w:r w:rsidR="00B75390" w:rsidRPr="00960430">
        <w:rPr>
          <w:i/>
        </w:rPr>
        <w:fldChar w:fldCharType="begin"/>
      </w:r>
      <w:r w:rsidR="00B75390" w:rsidRPr="00960430">
        <w:rPr>
          <w:i/>
        </w:rPr>
        <w:instrText xml:space="preserve"> SEQ Figure \* ARABIC </w:instrText>
      </w:r>
      <w:r w:rsidR="00B75390" w:rsidRPr="00960430">
        <w:rPr>
          <w:i/>
        </w:rPr>
        <w:fldChar w:fldCharType="separate"/>
      </w:r>
      <w:r w:rsidR="00314257" w:rsidRPr="00960430">
        <w:rPr>
          <w:i/>
          <w:noProof/>
        </w:rPr>
        <w:t>1</w:t>
      </w:r>
      <w:r w:rsidR="00B75390" w:rsidRPr="00960430">
        <w:rPr>
          <w:i/>
        </w:rPr>
        <w:fldChar w:fldCharType="end"/>
      </w:r>
      <w:r w:rsidR="00B75390" w:rsidRPr="00960430">
        <w:rPr>
          <w:i/>
        </w:rPr>
        <w:t xml:space="preserve">:  </w:t>
      </w:r>
      <w:proofErr w:type="spellStart"/>
      <w:r w:rsidR="00B75390" w:rsidRPr="00960430">
        <w:rPr>
          <w:i/>
        </w:rPr>
        <w:t>Upflow</w:t>
      </w:r>
      <w:proofErr w:type="spellEnd"/>
      <w:r w:rsidR="00B75390" w:rsidRPr="00960430">
        <w:rPr>
          <w:i/>
        </w:rPr>
        <w:t xml:space="preserve"> Anaerobic sludge blanket reactor (UASBR) column design alongside real image</w:t>
      </w:r>
    </w:p>
    <w:p w14:paraId="14F6D521" w14:textId="77777777" w:rsidR="0038240E" w:rsidRDefault="00C43D99" w:rsidP="0038240E">
      <w:pPr>
        <w:pStyle w:val="CETBodytext"/>
        <w:keepNext/>
        <w:spacing w:before="240"/>
      </w:pPr>
      <w:r>
        <w:rPr>
          <w:noProof/>
          <w:lang w:val="en-ZA" w:eastAsia="en-ZA"/>
        </w:rPr>
        <w:drawing>
          <wp:inline distT="0" distB="0" distL="0" distR="0" wp14:anchorId="5065604F" wp14:editId="0D6BF8D4">
            <wp:extent cx="5018181"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1-08 104156.png"/>
                    <pic:cNvPicPr/>
                  </pic:nvPicPr>
                  <pic:blipFill>
                    <a:blip r:embed="rId11">
                      <a:extLst>
                        <a:ext uri="{28A0092B-C50C-407E-A947-70E740481C1C}">
                          <a14:useLocalDpi xmlns:a14="http://schemas.microsoft.com/office/drawing/2010/main" val="0"/>
                        </a:ext>
                      </a:extLst>
                    </a:blip>
                    <a:stretch>
                      <a:fillRect/>
                    </a:stretch>
                  </pic:blipFill>
                  <pic:spPr>
                    <a:xfrm>
                      <a:off x="0" y="0"/>
                      <a:ext cx="5110230" cy="1086368"/>
                    </a:xfrm>
                    <a:prstGeom prst="rect">
                      <a:avLst/>
                    </a:prstGeom>
                  </pic:spPr>
                </pic:pic>
              </a:graphicData>
            </a:graphic>
          </wp:inline>
        </w:drawing>
      </w:r>
    </w:p>
    <w:p w14:paraId="1A128E50" w14:textId="5AC13C34" w:rsidR="00C43D99" w:rsidRDefault="0038240E" w:rsidP="00C505B0">
      <w:pPr>
        <w:pStyle w:val="CETCaption"/>
      </w:pPr>
      <w:r>
        <w:t xml:space="preserve">Figure </w:t>
      </w:r>
      <w:r>
        <w:fldChar w:fldCharType="begin"/>
      </w:r>
      <w:r>
        <w:instrText xml:space="preserve"> SEQ Figure \* ARABIC </w:instrText>
      </w:r>
      <w:r>
        <w:fldChar w:fldCharType="separate"/>
      </w:r>
      <w:r w:rsidR="00314257">
        <w:rPr>
          <w:noProof/>
        </w:rPr>
        <w:t>2</w:t>
      </w:r>
      <w:r>
        <w:fldChar w:fldCharType="end"/>
      </w:r>
      <w:r>
        <w:t>: Experimental timeframe</w:t>
      </w:r>
      <w:r w:rsidR="00CE4B7C">
        <w:t xml:space="preserve"> (days)</w:t>
      </w:r>
    </w:p>
    <w:p w14:paraId="18BAFA6F" w14:textId="2652E995" w:rsidR="00453E24" w:rsidRDefault="00941B49" w:rsidP="00453E24">
      <w:pPr>
        <w:pStyle w:val="CETheadingx"/>
      </w:pPr>
      <w:r>
        <w:t>Microbial culture preparation</w:t>
      </w:r>
    </w:p>
    <w:p w14:paraId="08A47A92" w14:textId="584BAA43" w:rsidR="009E24EE" w:rsidRDefault="0021675F" w:rsidP="009E24EE">
      <w:pPr>
        <w:pStyle w:val="CETBodytext"/>
      </w:pPr>
      <w:r>
        <w:t xml:space="preserve">The </w:t>
      </w:r>
      <w:proofErr w:type="gramStart"/>
      <w:r>
        <w:t>Pb(</w:t>
      </w:r>
      <w:proofErr w:type="gramEnd"/>
      <w:r>
        <w:t xml:space="preserve">II) resistant microbial consortium was obtained from a borehole at an automotive-battery recycling plant in Gauteng, South Africa </w:t>
      </w:r>
      <w:sdt>
        <w:sdtPr>
          <w:id w:val="140938181"/>
          <w:citation/>
        </w:sdtPr>
        <w:sdtEndPr/>
        <w:sdtContent>
          <w:r>
            <w:fldChar w:fldCharType="begin"/>
          </w:r>
          <w:r>
            <w:instrText xml:space="preserve"> CITATION Bri17 \l 1033 </w:instrText>
          </w:r>
          <w:r>
            <w:fldChar w:fldCharType="separate"/>
          </w:r>
          <w:r w:rsidR="007C785D">
            <w:rPr>
              <w:noProof/>
            </w:rPr>
            <w:t>(Brink, et al., 2017)</w:t>
          </w:r>
          <w:r>
            <w:fldChar w:fldCharType="end"/>
          </w:r>
        </w:sdtContent>
      </w:sdt>
      <w:r w:rsidR="00F548F1">
        <w:t xml:space="preserve">. The initial inoculum was prepared by adding 1 g of </w:t>
      </w:r>
      <w:proofErr w:type="gramStart"/>
      <w:r w:rsidR="00F548F1">
        <w:t>Pb(</w:t>
      </w:r>
      <w:proofErr w:type="gramEnd"/>
      <w:r w:rsidR="00F548F1">
        <w:t>II) contaminated soil to LB broth spiked with 80 ppm Pb(II) in a 100 mL anaerobic serum bottle, which was then incubated for 24 h at 32 °C and 120 rpm. The inoculum was cryogenically stored with glycerol at a final ratio of 20% v/v at -77 °C. Precultures were prepared from the stored inoculum by inoculating 100 mL anaerobic serum bottles s</w:t>
      </w:r>
      <w:r w:rsidR="00411499">
        <w:t>piked with approximately 80, 500, and 1000 ppm</w:t>
      </w:r>
      <w:r w:rsidR="00F548F1">
        <w:t xml:space="preserve"> </w:t>
      </w:r>
      <w:proofErr w:type="gramStart"/>
      <w:r w:rsidR="00F548F1">
        <w:t>Pb(</w:t>
      </w:r>
      <w:proofErr w:type="gramEnd"/>
      <w:r w:rsidR="00F548F1">
        <w:t xml:space="preserve">II) respectively. The serum bottles were sealed and incubated at 30°C and 120 rpm until precipitation was visible. The new precultures were again cryogenically stored for direct inoculation of the experiments </w:t>
      </w:r>
      <w:sdt>
        <w:sdtPr>
          <w:id w:val="1676225124"/>
          <w:citation/>
        </w:sdtPr>
        <w:sdtEndPr/>
        <w:sdtContent>
          <w:r w:rsidR="00F548F1">
            <w:fldChar w:fldCharType="begin"/>
          </w:r>
          <w:r w:rsidR="00F548F1">
            <w:instrText xml:space="preserve"> CITATION Bri19 \l 1033 </w:instrText>
          </w:r>
          <w:r w:rsidR="00F548F1">
            <w:fldChar w:fldCharType="separate"/>
          </w:r>
          <w:r w:rsidR="007C785D">
            <w:rPr>
              <w:noProof/>
            </w:rPr>
            <w:t>(Brink, et al., 2019)</w:t>
          </w:r>
          <w:r w:rsidR="00F548F1">
            <w:fldChar w:fldCharType="end"/>
          </w:r>
        </w:sdtContent>
      </w:sdt>
      <w:r w:rsidR="00F548F1">
        <w:t xml:space="preserve">. </w:t>
      </w:r>
    </w:p>
    <w:p w14:paraId="39F4BFD0" w14:textId="30B6EF7C" w:rsidR="009E24EE" w:rsidRDefault="009E24EE" w:rsidP="009E24EE">
      <w:pPr>
        <w:pStyle w:val="CETheadingx"/>
      </w:pPr>
      <w:r>
        <w:t xml:space="preserve">Materials </w:t>
      </w:r>
    </w:p>
    <w:p w14:paraId="43FC4798" w14:textId="570AFB6E" w:rsidR="009E24EE" w:rsidRDefault="00B24052" w:rsidP="009E24EE">
      <w:pPr>
        <w:pStyle w:val="CETBodytext"/>
        <w:rPr>
          <w:rFonts w:cs="Arial"/>
          <w:color w:val="040C28"/>
          <w:szCs w:val="30"/>
        </w:rPr>
      </w:pPr>
      <w:r>
        <w:t xml:space="preserve">The reactor feed was spiked with a lead stock solution prepared with </w:t>
      </w:r>
      <w:proofErr w:type="gramStart"/>
      <w:r>
        <w:t>Pb(</w:t>
      </w:r>
      <w:proofErr w:type="gramEnd"/>
      <w:r>
        <w:t>NO</w:t>
      </w:r>
      <w:r>
        <w:rPr>
          <w:vertAlign w:val="subscript"/>
        </w:rPr>
        <w:t>3</w:t>
      </w:r>
      <w:r>
        <w:t>)</w:t>
      </w:r>
      <w:r>
        <w:rPr>
          <w:vertAlign w:val="subscript"/>
        </w:rPr>
        <w:t xml:space="preserve">2 </w:t>
      </w:r>
      <w:r>
        <w:t xml:space="preserve">(Merck, </w:t>
      </w:r>
      <w:proofErr w:type="spellStart"/>
      <w:r>
        <w:t>Kennelworth</w:t>
      </w:r>
      <w:proofErr w:type="spellEnd"/>
      <w:r>
        <w:t>, NJ), the growth medium contained 5 g/L of Yeast extract</w:t>
      </w:r>
      <w:r w:rsidR="008F73BA">
        <w:t xml:space="preserve"> (YE)</w:t>
      </w:r>
      <w:r>
        <w:t xml:space="preserve"> and 1 g/L NaCl. Viable cell activity was assessed using </w:t>
      </w:r>
      <w:r w:rsidRPr="00B24052">
        <w:rPr>
          <w:rFonts w:cs="Arial"/>
          <w:color w:val="040C28"/>
          <w:szCs w:val="30"/>
        </w:rPr>
        <w:t>3-(4,5-Dimethylthiazol-2-yl)-2,5-Diphenyltetrazolium Bromide</w:t>
      </w:r>
      <w:r>
        <w:rPr>
          <w:rFonts w:cs="Arial"/>
          <w:color w:val="040C28"/>
          <w:szCs w:val="30"/>
        </w:rPr>
        <w:t xml:space="preserve"> (MTT) </w:t>
      </w:r>
      <w:r w:rsidRPr="00B24052">
        <w:rPr>
          <w:rFonts w:cs="Arial"/>
          <w:color w:val="040C28"/>
          <w:szCs w:val="30"/>
        </w:rPr>
        <w:t>and dimethyl sulfoxide (DMSO</w:t>
      </w:r>
      <w:r w:rsidR="009069F7">
        <w:rPr>
          <w:rFonts w:cs="Arial"/>
          <w:color w:val="040C28"/>
          <w:szCs w:val="30"/>
        </w:rPr>
        <w:t xml:space="preserve">) (Sigma Aldrich, St Louis, MO) </w:t>
      </w:r>
      <w:sdt>
        <w:sdtPr>
          <w:rPr>
            <w:rFonts w:cs="Arial"/>
            <w:color w:val="040C28"/>
            <w:szCs w:val="30"/>
          </w:rPr>
          <w:id w:val="-1627695029"/>
          <w:citation/>
        </w:sdtPr>
        <w:sdtEndPr/>
        <w:sdtContent>
          <w:r w:rsidR="009069F7">
            <w:rPr>
              <w:rFonts w:cs="Arial"/>
              <w:color w:val="040C28"/>
              <w:szCs w:val="30"/>
            </w:rPr>
            <w:fldChar w:fldCharType="begin"/>
          </w:r>
          <w:r w:rsidR="009069F7">
            <w:rPr>
              <w:rFonts w:cs="Arial"/>
              <w:color w:val="040C28"/>
              <w:szCs w:val="30"/>
              <w:lang w:val="en-ZA"/>
            </w:rPr>
            <w:instrText xml:space="preserve"> CITATION Chi21 \l 7177 </w:instrText>
          </w:r>
          <w:r w:rsidR="009069F7">
            <w:rPr>
              <w:rFonts w:cs="Arial"/>
              <w:color w:val="040C28"/>
              <w:szCs w:val="30"/>
            </w:rPr>
            <w:fldChar w:fldCharType="separate"/>
          </w:r>
          <w:r w:rsidR="007C785D" w:rsidRPr="007C785D">
            <w:rPr>
              <w:rFonts w:cs="Arial"/>
              <w:noProof/>
              <w:color w:val="040C28"/>
              <w:szCs w:val="30"/>
              <w:lang w:val="en-ZA"/>
            </w:rPr>
            <w:t>(Chimhundi, et al., 2021)</w:t>
          </w:r>
          <w:r w:rsidR="009069F7">
            <w:rPr>
              <w:rFonts w:cs="Arial"/>
              <w:color w:val="040C28"/>
              <w:szCs w:val="30"/>
            </w:rPr>
            <w:fldChar w:fldCharType="end"/>
          </w:r>
        </w:sdtContent>
      </w:sdt>
      <w:r w:rsidR="009069F7">
        <w:rPr>
          <w:rFonts w:cs="Arial"/>
          <w:color w:val="040C28"/>
          <w:szCs w:val="30"/>
        </w:rPr>
        <w:t xml:space="preserve">. </w:t>
      </w:r>
    </w:p>
    <w:p w14:paraId="506F9968" w14:textId="2744ABC6" w:rsidR="00EC312D" w:rsidRDefault="00EC312D" w:rsidP="00EC312D">
      <w:pPr>
        <w:pStyle w:val="CETheadingx"/>
      </w:pPr>
      <w:r>
        <w:t xml:space="preserve">Ion Measurements </w:t>
      </w:r>
    </w:p>
    <w:p w14:paraId="48810D82" w14:textId="2730D1C4" w:rsidR="00EC312D" w:rsidRDefault="003B1F5E" w:rsidP="009E24EE">
      <w:pPr>
        <w:pStyle w:val="CETBodytext"/>
      </w:pPr>
      <w:proofErr w:type="gramStart"/>
      <w:r>
        <w:t>Pb(</w:t>
      </w:r>
      <w:proofErr w:type="gramEnd"/>
      <w:r>
        <w:t>II) and NO</w:t>
      </w:r>
      <w:r>
        <w:rPr>
          <w:vertAlign w:val="subscript"/>
        </w:rPr>
        <w:t>3</w:t>
      </w:r>
      <w:r>
        <w:rPr>
          <w:vertAlign w:val="superscript"/>
        </w:rPr>
        <w:t>-</w:t>
      </w:r>
      <w:r>
        <w:t xml:space="preserve"> ions were measured using Ion Chromatography (IC). A 940 Professional IC </w:t>
      </w:r>
      <w:proofErr w:type="spellStart"/>
      <w:r>
        <w:t>vario</w:t>
      </w:r>
      <w:proofErr w:type="spellEnd"/>
      <w:r>
        <w:t xml:space="preserve"> ion chromatography (</w:t>
      </w:r>
      <w:proofErr w:type="spellStart"/>
      <w:r>
        <w:t>Metrohm</w:t>
      </w:r>
      <w:proofErr w:type="spellEnd"/>
      <w:r>
        <w:t xml:space="preserve">, </w:t>
      </w:r>
      <w:proofErr w:type="spellStart"/>
      <w:r>
        <w:t>Herisau</w:t>
      </w:r>
      <w:proofErr w:type="spellEnd"/>
      <w:r>
        <w:t xml:space="preserve">, Switzerland) with a </w:t>
      </w:r>
      <w:proofErr w:type="spellStart"/>
      <w:r>
        <w:t>Metrosep</w:t>
      </w:r>
      <w:proofErr w:type="spellEnd"/>
      <w:r>
        <w:t xml:space="preserve"> C 6–250/4.0 (</w:t>
      </w:r>
      <w:proofErr w:type="spellStart"/>
      <w:r>
        <w:t>Metrohm</w:t>
      </w:r>
      <w:proofErr w:type="spellEnd"/>
      <w:r>
        <w:t xml:space="preserve">, </w:t>
      </w:r>
      <w:proofErr w:type="spellStart"/>
      <w:r>
        <w:t>Herisau</w:t>
      </w:r>
      <w:proofErr w:type="spellEnd"/>
      <w:r>
        <w:t>, Switzerland) separation column and C 6- eluent- 8 mM oxalic acid (</w:t>
      </w:r>
      <w:proofErr w:type="spellStart"/>
      <w:r>
        <w:t>Metrohm</w:t>
      </w:r>
      <w:proofErr w:type="spellEnd"/>
      <w:r>
        <w:t xml:space="preserve">, </w:t>
      </w:r>
      <w:proofErr w:type="spellStart"/>
      <w:r>
        <w:t>Herisau</w:t>
      </w:r>
      <w:proofErr w:type="spellEnd"/>
      <w:r>
        <w:t>, Switz</w:t>
      </w:r>
      <w:r w:rsidR="009069F7">
        <w:t xml:space="preserve">erland) was used. </w:t>
      </w:r>
      <w:proofErr w:type="gramStart"/>
      <w:r w:rsidR="009069F7">
        <w:t>Pb(</w:t>
      </w:r>
      <w:proofErr w:type="gramEnd"/>
      <w:r w:rsidR="009069F7">
        <w:t>II) was measured by</w:t>
      </w:r>
      <w:r>
        <w:t xml:space="preserve"> UV-Vis (</w:t>
      </w:r>
      <w:proofErr w:type="spellStart"/>
      <w:r>
        <w:t>Met</w:t>
      </w:r>
      <w:r w:rsidR="009069F7">
        <w:t>rohm</w:t>
      </w:r>
      <w:proofErr w:type="spellEnd"/>
      <w:r w:rsidR="009069F7">
        <w:t xml:space="preserve">, </w:t>
      </w:r>
      <w:proofErr w:type="spellStart"/>
      <w:r w:rsidR="009069F7">
        <w:t>Herisau</w:t>
      </w:r>
      <w:proofErr w:type="spellEnd"/>
      <w:r w:rsidR="009069F7">
        <w:t xml:space="preserve">, Switzerland). </w:t>
      </w:r>
      <w:proofErr w:type="gramStart"/>
      <w:r w:rsidR="009069F7">
        <w:t>The  wavelength</w:t>
      </w:r>
      <w:proofErr w:type="gramEnd"/>
      <w:r w:rsidR="009069F7">
        <w:t xml:space="preserve"> used was 520 nm</w:t>
      </w:r>
      <w:r>
        <w:t xml:space="preserve"> with a post-column reagent PAR (</w:t>
      </w:r>
      <w:proofErr w:type="spellStart"/>
      <w:r>
        <w:t>pyridylazoresorcinol</w:t>
      </w:r>
      <w:proofErr w:type="spellEnd"/>
      <w:r>
        <w:t>: Thermo Fisher Scientific, Waltham, Massach</w:t>
      </w:r>
      <w:r w:rsidR="00962BC6">
        <w:t>usetts, United States) with HNO</w:t>
      </w:r>
      <w:r w:rsidR="00962BC6">
        <w:rPr>
          <w:vertAlign w:val="subscript"/>
        </w:rPr>
        <w:t>3</w:t>
      </w:r>
      <w:r>
        <w:t xml:space="preserve"> (</w:t>
      </w:r>
      <w:proofErr w:type="spellStart"/>
      <w:r>
        <w:t>Glassworld</w:t>
      </w:r>
      <w:proofErr w:type="spellEnd"/>
      <w:r>
        <w:t xml:space="preserve">, </w:t>
      </w:r>
      <w:proofErr w:type="spellStart"/>
      <w:r>
        <w:t>Robertville</w:t>
      </w:r>
      <w:proofErr w:type="spellEnd"/>
      <w:r>
        <w:t>, Johannesburg, South Africa) and NH4OH (25%) (</w:t>
      </w:r>
      <w:proofErr w:type="spellStart"/>
      <w:r>
        <w:t>Glassworld</w:t>
      </w:r>
      <w:proofErr w:type="spellEnd"/>
      <w:r>
        <w:t xml:space="preserve">, </w:t>
      </w:r>
      <w:proofErr w:type="spellStart"/>
      <w:r>
        <w:t>Robertville</w:t>
      </w:r>
      <w:proofErr w:type="spellEnd"/>
      <w:r>
        <w:t xml:space="preserve">, Johannesburg, South Africa) </w:t>
      </w:r>
      <w:sdt>
        <w:sdtPr>
          <w:id w:val="-1476290873"/>
          <w:citation/>
        </w:sdtPr>
        <w:sdtEndPr/>
        <w:sdtContent>
          <w:r w:rsidR="0034692D">
            <w:fldChar w:fldCharType="begin"/>
          </w:r>
          <w:r w:rsidR="0034692D">
            <w:instrText xml:space="preserve"> CITATION Ten22 \l 1033 </w:instrText>
          </w:r>
          <w:r w:rsidR="0034692D">
            <w:fldChar w:fldCharType="separate"/>
          </w:r>
          <w:r w:rsidR="007C785D">
            <w:rPr>
              <w:noProof/>
            </w:rPr>
            <w:t>(Tendendzai, et al., 2022)</w:t>
          </w:r>
          <w:r w:rsidR="0034692D">
            <w:fldChar w:fldCharType="end"/>
          </w:r>
        </w:sdtContent>
      </w:sdt>
      <w:r w:rsidR="0034692D">
        <w:t xml:space="preserve">. </w:t>
      </w:r>
    </w:p>
    <w:p w14:paraId="5CC45288" w14:textId="46159848" w:rsidR="00447099" w:rsidRDefault="00447099" w:rsidP="00447099">
      <w:pPr>
        <w:pStyle w:val="CETheadingx"/>
      </w:pPr>
      <w:r>
        <w:t xml:space="preserve">Growth </w:t>
      </w:r>
    </w:p>
    <w:p w14:paraId="582642C6" w14:textId="26F5D9D8" w:rsidR="00453E24" w:rsidRPr="006B0AC9" w:rsidRDefault="006C5F6D" w:rsidP="00453E24">
      <w:pPr>
        <w:pStyle w:val="CETBodytext"/>
      </w:pPr>
      <w:r>
        <w:t>MTT was used as a growth analysis to directly measure viable cell activity directl</w:t>
      </w:r>
      <w:r w:rsidR="00962BC6">
        <w:t>y</w:t>
      </w:r>
      <w:r>
        <w:t xml:space="preserve"> after sampling similar to the work done by Wang, et al (2010). </w:t>
      </w:r>
      <w:r w:rsidR="00962BC6">
        <w:t xml:space="preserve">Two measurements were taken of each sample, namely a measurement with biomass and a measurement without; to eliminate background noise and act as a zero for quantification. The </w:t>
      </w:r>
      <w:r w:rsidR="00962BC6">
        <w:lastRenderedPageBreak/>
        <w:t xml:space="preserve">measurement without biomass was obtained by filtering each sample with 25 mm nylon syringe filters with 0.45 </w:t>
      </w:r>
      <w:proofErr w:type="spellStart"/>
      <w:r w:rsidR="00962BC6">
        <w:t>μm</w:t>
      </w:r>
      <w:proofErr w:type="spellEnd"/>
      <w:r w:rsidR="00962BC6">
        <w:t xml:space="preserve"> pores (</w:t>
      </w:r>
      <w:proofErr w:type="spellStart"/>
      <w:r w:rsidR="00962BC6">
        <w:t>Anatech</w:t>
      </w:r>
      <w:proofErr w:type="spellEnd"/>
      <w:r w:rsidR="00962BC6">
        <w:t xml:space="preserve">, </w:t>
      </w:r>
      <w:proofErr w:type="spellStart"/>
      <w:r w:rsidR="00962BC6">
        <w:t>Olivedale</w:t>
      </w:r>
      <w:proofErr w:type="spellEnd"/>
      <w:r w:rsidR="00962BC6">
        <w:t xml:space="preserve">, Johannesburg, South Africa). The pre-made MTT stock solution was then added to both the filtered and unfiltered samples and incubated for 60 min at 35 °C. The treated samples were then dissolved using DMSO and their absorbance measurements were obtained at 550 nm, indicating a measurement of cell viability. </w:t>
      </w:r>
    </w:p>
    <w:p w14:paraId="677EBFF0" w14:textId="2ACA2B3A" w:rsidR="00600535" w:rsidRPr="00B57B36" w:rsidRDefault="00745AD9" w:rsidP="00600535">
      <w:pPr>
        <w:pStyle w:val="CETHeading1"/>
        <w:tabs>
          <w:tab w:val="clear" w:pos="360"/>
          <w:tab w:val="right" w:pos="7100"/>
        </w:tabs>
        <w:jc w:val="both"/>
        <w:rPr>
          <w:lang w:val="en-GB"/>
        </w:rPr>
      </w:pPr>
      <w:r>
        <w:rPr>
          <w:lang w:val="en-GB"/>
        </w:rPr>
        <w:t>Results</w:t>
      </w:r>
      <w:r w:rsidR="001E06D3">
        <w:rPr>
          <w:lang w:val="en-GB"/>
        </w:rPr>
        <w:t xml:space="preserve"> and discussion</w:t>
      </w:r>
      <w:r>
        <w:rPr>
          <w:lang w:val="en-GB"/>
        </w:rPr>
        <w:t xml:space="preserve"> </w:t>
      </w:r>
    </w:p>
    <w:p w14:paraId="04963A06" w14:textId="17D87C15" w:rsidR="00600535" w:rsidRDefault="00745AD9" w:rsidP="00FA5F5F">
      <w:pPr>
        <w:pStyle w:val="CETheadingx"/>
      </w:pPr>
      <w:r>
        <w:t xml:space="preserve">Lead Removal </w:t>
      </w:r>
    </w:p>
    <w:p w14:paraId="232A18F1" w14:textId="2DE459F4" w:rsidR="00003D26" w:rsidRDefault="007C785D" w:rsidP="00745AD9">
      <w:pPr>
        <w:pStyle w:val="CETBodytext"/>
      </w:pPr>
      <w:r>
        <w:t>T</w:t>
      </w:r>
      <w:r w:rsidR="0056188D">
        <w:t>he initial</w:t>
      </w:r>
      <w:r>
        <w:t xml:space="preserve"> nitrate and lead</w:t>
      </w:r>
      <w:r w:rsidR="0056188D">
        <w:t xml:space="preserve"> concentration</w:t>
      </w:r>
      <w:r>
        <w:t xml:space="preserve">s were measured and </w:t>
      </w:r>
      <w:r w:rsidR="0056188D">
        <w:t>are p</w:t>
      </w:r>
      <w:r>
        <w:t xml:space="preserve">resented in the table below. True inlet concentrations are presented along with the theoretical (predicted) concentrations. </w:t>
      </w:r>
      <w:r w:rsidR="0056188D">
        <w:t xml:space="preserve"> </w:t>
      </w:r>
    </w:p>
    <w:p w14:paraId="520A5C8C" w14:textId="2A8A9EC5" w:rsidR="009F4E5F" w:rsidRDefault="009F4E5F" w:rsidP="00C505B0">
      <w:pPr>
        <w:pStyle w:val="CETTabletitle"/>
      </w:pPr>
      <w:r>
        <w:t xml:space="preserve">Table </w:t>
      </w:r>
      <w:r>
        <w:fldChar w:fldCharType="begin"/>
      </w:r>
      <w:r>
        <w:instrText xml:space="preserve"> SEQ Table \* ARABIC </w:instrText>
      </w:r>
      <w:r>
        <w:fldChar w:fldCharType="separate"/>
      </w:r>
      <w:r>
        <w:rPr>
          <w:noProof/>
        </w:rPr>
        <w:t>1</w:t>
      </w:r>
      <w:r>
        <w:fldChar w:fldCharType="end"/>
      </w:r>
      <w:r>
        <w:t xml:space="preserve">: Initial UASB reactor feed </w:t>
      </w:r>
      <w:proofErr w:type="gramStart"/>
      <w:r>
        <w:t>Pb(</w:t>
      </w:r>
      <w:proofErr w:type="gramEnd"/>
      <w:r>
        <w:t>II) and Nitrate concentrations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74"/>
        <w:gridCol w:w="1974"/>
        <w:gridCol w:w="1974"/>
      </w:tblGrid>
      <w:tr w:rsidR="00003D26" w:rsidRPr="00B57B36" w14:paraId="22DD164E" w14:textId="77777777" w:rsidTr="00314257">
        <w:trPr>
          <w:trHeight w:val="443"/>
        </w:trPr>
        <w:tc>
          <w:tcPr>
            <w:tcW w:w="1974" w:type="dxa"/>
            <w:tcBorders>
              <w:top w:val="single" w:sz="12" w:space="0" w:color="008000"/>
              <w:bottom w:val="single" w:sz="6" w:space="0" w:color="008000"/>
            </w:tcBorders>
            <w:shd w:val="clear" w:color="auto" w:fill="FFFFFF"/>
          </w:tcPr>
          <w:p w14:paraId="7CD0E72E" w14:textId="28507E31" w:rsidR="00003D26" w:rsidRPr="00B57B36" w:rsidRDefault="00003D26" w:rsidP="00003D26">
            <w:pPr>
              <w:pStyle w:val="CETBodytext"/>
              <w:jc w:val="left"/>
              <w:rPr>
                <w:lang w:val="en-GB"/>
              </w:rPr>
            </w:pPr>
            <w:r>
              <w:rPr>
                <w:lang w:val="en-GB"/>
              </w:rPr>
              <w:t xml:space="preserve">Anticipated initial </w:t>
            </w:r>
            <w:proofErr w:type="gramStart"/>
            <w:r>
              <w:rPr>
                <w:lang w:val="en-GB"/>
              </w:rPr>
              <w:t>Pb(</w:t>
            </w:r>
            <w:proofErr w:type="gramEnd"/>
            <w:r>
              <w:rPr>
                <w:lang w:val="en-GB"/>
              </w:rPr>
              <w:t>II) concentration (ppm)</w:t>
            </w:r>
            <w:r w:rsidRPr="00B57B36">
              <w:rPr>
                <w:lang w:val="en-GB"/>
              </w:rPr>
              <w:t xml:space="preserve"> </w:t>
            </w:r>
          </w:p>
        </w:tc>
        <w:tc>
          <w:tcPr>
            <w:tcW w:w="1974" w:type="dxa"/>
            <w:tcBorders>
              <w:top w:val="single" w:sz="12" w:space="0" w:color="008000"/>
              <w:bottom w:val="single" w:sz="6" w:space="0" w:color="008000"/>
            </w:tcBorders>
            <w:shd w:val="clear" w:color="auto" w:fill="FFFFFF"/>
          </w:tcPr>
          <w:p w14:paraId="7541C44C" w14:textId="0E05259D" w:rsidR="00003D26" w:rsidRPr="00B57B36" w:rsidRDefault="00003D26" w:rsidP="00003D26">
            <w:pPr>
              <w:pStyle w:val="CETBodytext"/>
              <w:jc w:val="left"/>
              <w:rPr>
                <w:lang w:val="en-GB"/>
              </w:rPr>
            </w:pPr>
            <w:r>
              <w:rPr>
                <w:lang w:val="en-GB"/>
              </w:rPr>
              <w:t xml:space="preserve">  True inlet </w:t>
            </w:r>
            <w:proofErr w:type="gramStart"/>
            <w:r>
              <w:rPr>
                <w:lang w:val="en-GB"/>
              </w:rPr>
              <w:t>Pb(</w:t>
            </w:r>
            <w:proofErr w:type="gramEnd"/>
            <w:r>
              <w:rPr>
                <w:lang w:val="en-GB"/>
              </w:rPr>
              <w:t>II) concentration (ppm)</w:t>
            </w:r>
          </w:p>
        </w:tc>
        <w:tc>
          <w:tcPr>
            <w:tcW w:w="1974" w:type="dxa"/>
            <w:tcBorders>
              <w:top w:val="single" w:sz="12" w:space="0" w:color="008000"/>
              <w:bottom w:val="single" w:sz="6" w:space="0" w:color="008000"/>
            </w:tcBorders>
            <w:shd w:val="clear" w:color="auto" w:fill="FFFFFF"/>
          </w:tcPr>
          <w:p w14:paraId="771489B9" w14:textId="2B8C3A23" w:rsidR="00003D26" w:rsidRPr="00B57B36" w:rsidRDefault="00003D26" w:rsidP="00003D26">
            <w:pPr>
              <w:pStyle w:val="CETBodytext"/>
              <w:jc w:val="left"/>
              <w:rPr>
                <w:lang w:val="en-GB"/>
              </w:rPr>
            </w:pPr>
            <w:r>
              <w:rPr>
                <w:lang w:val="en-GB"/>
              </w:rPr>
              <w:t xml:space="preserve">      Inlet nitrate concentration (ppm)</w:t>
            </w:r>
          </w:p>
        </w:tc>
      </w:tr>
      <w:tr w:rsidR="00003D26" w:rsidRPr="00B57B36" w14:paraId="4D425E95" w14:textId="77777777" w:rsidTr="00314257">
        <w:trPr>
          <w:trHeight w:val="209"/>
        </w:trPr>
        <w:tc>
          <w:tcPr>
            <w:tcW w:w="1974" w:type="dxa"/>
            <w:shd w:val="clear" w:color="auto" w:fill="FFFFFF"/>
          </w:tcPr>
          <w:p w14:paraId="16AD803C" w14:textId="6C3171B1" w:rsidR="00003D26" w:rsidRPr="00B57B36" w:rsidRDefault="00003D26" w:rsidP="009F64D7">
            <w:pPr>
              <w:pStyle w:val="CETBodytext"/>
              <w:rPr>
                <w:lang w:val="en-GB"/>
              </w:rPr>
            </w:pPr>
            <w:r>
              <w:rPr>
                <w:lang w:val="en-GB"/>
              </w:rPr>
              <w:t>80 ppm (A)</w:t>
            </w:r>
          </w:p>
        </w:tc>
        <w:tc>
          <w:tcPr>
            <w:tcW w:w="1974" w:type="dxa"/>
            <w:shd w:val="clear" w:color="auto" w:fill="FFFFFF"/>
          </w:tcPr>
          <w:p w14:paraId="191D45BB" w14:textId="3FE393BA" w:rsidR="00003D26" w:rsidRPr="00B57B36" w:rsidRDefault="00003D26" w:rsidP="009F64D7">
            <w:pPr>
              <w:pStyle w:val="CETBodytext"/>
              <w:rPr>
                <w:lang w:val="en-GB"/>
              </w:rPr>
            </w:pPr>
            <w:r>
              <w:rPr>
                <w:lang w:val="en-GB"/>
              </w:rPr>
              <w:t>69.6</w:t>
            </w:r>
          </w:p>
        </w:tc>
        <w:tc>
          <w:tcPr>
            <w:tcW w:w="1974" w:type="dxa"/>
            <w:shd w:val="clear" w:color="auto" w:fill="FFFFFF"/>
          </w:tcPr>
          <w:p w14:paraId="1308D8CC" w14:textId="18A72D4D" w:rsidR="00003D26" w:rsidRPr="00B57B36" w:rsidRDefault="00003D26" w:rsidP="009F64D7">
            <w:pPr>
              <w:pStyle w:val="CETBodytext"/>
              <w:rPr>
                <w:lang w:val="en-GB"/>
              </w:rPr>
            </w:pPr>
            <w:r>
              <w:rPr>
                <w:lang w:val="en-GB"/>
              </w:rPr>
              <w:t>42.7</w:t>
            </w:r>
          </w:p>
        </w:tc>
      </w:tr>
      <w:tr w:rsidR="00003D26" w:rsidRPr="00B57B36" w14:paraId="66FA471D" w14:textId="77777777" w:rsidTr="00314257">
        <w:trPr>
          <w:trHeight w:val="209"/>
        </w:trPr>
        <w:tc>
          <w:tcPr>
            <w:tcW w:w="1974" w:type="dxa"/>
            <w:shd w:val="clear" w:color="auto" w:fill="FFFFFF"/>
          </w:tcPr>
          <w:p w14:paraId="06335446" w14:textId="716A312C" w:rsidR="00003D26" w:rsidRPr="00B57B36" w:rsidRDefault="007B5435" w:rsidP="009F64D7">
            <w:pPr>
              <w:pStyle w:val="CETBodytext"/>
              <w:ind w:right="-1"/>
              <w:rPr>
                <w:rFonts w:cs="Arial"/>
                <w:szCs w:val="18"/>
                <w:lang w:val="en-GB"/>
              </w:rPr>
            </w:pPr>
            <w:r>
              <w:rPr>
                <w:rFonts w:cs="Arial"/>
                <w:szCs w:val="18"/>
                <w:lang w:val="en-GB"/>
              </w:rPr>
              <w:t>500 ppm (C)</w:t>
            </w:r>
          </w:p>
        </w:tc>
        <w:tc>
          <w:tcPr>
            <w:tcW w:w="1974" w:type="dxa"/>
            <w:shd w:val="clear" w:color="auto" w:fill="FFFFFF"/>
          </w:tcPr>
          <w:p w14:paraId="7A34A23F" w14:textId="2F537B26" w:rsidR="00003D26" w:rsidRPr="00B57B36" w:rsidRDefault="007B5435" w:rsidP="009F64D7">
            <w:pPr>
              <w:pStyle w:val="CETBodytext"/>
              <w:ind w:right="-1"/>
              <w:rPr>
                <w:rFonts w:cs="Arial"/>
                <w:szCs w:val="18"/>
                <w:lang w:val="en-GB"/>
              </w:rPr>
            </w:pPr>
            <w:r>
              <w:rPr>
                <w:rFonts w:cs="Arial"/>
                <w:szCs w:val="18"/>
                <w:lang w:val="en-GB"/>
              </w:rPr>
              <w:t>210.8</w:t>
            </w:r>
          </w:p>
        </w:tc>
        <w:tc>
          <w:tcPr>
            <w:tcW w:w="1974" w:type="dxa"/>
            <w:shd w:val="clear" w:color="auto" w:fill="FFFFFF"/>
          </w:tcPr>
          <w:p w14:paraId="50413A28" w14:textId="3D24488D" w:rsidR="00003D26" w:rsidRPr="00B57B36" w:rsidRDefault="007B5435" w:rsidP="009F64D7">
            <w:pPr>
              <w:pStyle w:val="CETBodytext"/>
              <w:ind w:right="-1"/>
              <w:rPr>
                <w:rFonts w:cs="Arial"/>
                <w:szCs w:val="18"/>
                <w:lang w:val="en-GB"/>
              </w:rPr>
            </w:pPr>
            <w:r>
              <w:rPr>
                <w:rFonts w:cs="Arial"/>
                <w:szCs w:val="18"/>
                <w:lang w:val="en-GB"/>
              </w:rPr>
              <w:t>326.4</w:t>
            </w:r>
          </w:p>
        </w:tc>
      </w:tr>
      <w:tr w:rsidR="00003D26" w:rsidRPr="00B57B36" w14:paraId="3C42B9F4" w14:textId="77777777" w:rsidTr="00314257">
        <w:trPr>
          <w:trHeight w:val="209"/>
        </w:trPr>
        <w:tc>
          <w:tcPr>
            <w:tcW w:w="1974" w:type="dxa"/>
            <w:shd w:val="clear" w:color="auto" w:fill="FFFFFF"/>
          </w:tcPr>
          <w:p w14:paraId="311C4227" w14:textId="48E193C2" w:rsidR="00003D26" w:rsidRPr="00B57B36" w:rsidRDefault="007B5435" w:rsidP="009F64D7">
            <w:pPr>
              <w:pStyle w:val="CETBodytext"/>
              <w:ind w:right="-1"/>
              <w:rPr>
                <w:rFonts w:cs="Arial"/>
                <w:szCs w:val="18"/>
                <w:lang w:val="en-GB"/>
              </w:rPr>
            </w:pPr>
            <w:r>
              <w:rPr>
                <w:rFonts w:cs="Arial"/>
                <w:szCs w:val="18"/>
                <w:lang w:val="en-GB"/>
              </w:rPr>
              <w:t>1000</w:t>
            </w:r>
            <w:r w:rsidR="00003D26">
              <w:rPr>
                <w:rFonts w:cs="Arial"/>
                <w:szCs w:val="18"/>
                <w:lang w:val="en-GB"/>
              </w:rPr>
              <w:t xml:space="preserve"> ppm </w:t>
            </w:r>
            <w:r>
              <w:rPr>
                <w:rFonts w:cs="Arial"/>
                <w:szCs w:val="18"/>
                <w:lang w:val="en-GB"/>
              </w:rPr>
              <w:t>(D</w:t>
            </w:r>
            <w:r w:rsidR="00003D26">
              <w:rPr>
                <w:rFonts w:cs="Arial"/>
                <w:szCs w:val="18"/>
                <w:lang w:val="en-GB"/>
              </w:rPr>
              <w:t>)</w:t>
            </w:r>
          </w:p>
        </w:tc>
        <w:tc>
          <w:tcPr>
            <w:tcW w:w="1974" w:type="dxa"/>
            <w:shd w:val="clear" w:color="auto" w:fill="FFFFFF"/>
          </w:tcPr>
          <w:p w14:paraId="24229634" w14:textId="024E4582" w:rsidR="00003D26" w:rsidRPr="00B57B36" w:rsidRDefault="007B5435" w:rsidP="009F64D7">
            <w:pPr>
              <w:pStyle w:val="CETBodytext"/>
              <w:ind w:right="-1"/>
              <w:rPr>
                <w:rFonts w:cs="Arial"/>
                <w:szCs w:val="18"/>
                <w:lang w:val="en-GB"/>
              </w:rPr>
            </w:pPr>
            <w:r>
              <w:rPr>
                <w:rFonts w:cs="Arial"/>
                <w:szCs w:val="18"/>
                <w:lang w:val="en-GB"/>
              </w:rPr>
              <w:t>357.0</w:t>
            </w:r>
          </w:p>
        </w:tc>
        <w:tc>
          <w:tcPr>
            <w:tcW w:w="1974" w:type="dxa"/>
            <w:shd w:val="clear" w:color="auto" w:fill="FFFFFF"/>
          </w:tcPr>
          <w:p w14:paraId="5DE92008" w14:textId="70B6B614" w:rsidR="00003D26" w:rsidRPr="00B57B36" w:rsidRDefault="007B5435" w:rsidP="009F64D7">
            <w:pPr>
              <w:pStyle w:val="CETBodytext"/>
              <w:ind w:right="-1"/>
              <w:rPr>
                <w:rFonts w:cs="Arial"/>
                <w:szCs w:val="18"/>
                <w:lang w:val="en-GB"/>
              </w:rPr>
            </w:pPr>
            <w:r>
              <w:rPr>
                <w:rFonts w:cs="Arial"/>
                <w:szCs w:val="18"/>
                <w:lang w:val="en-GB"/>
              </w:rPr>
              <w:t>680.4</w:t>
            </w:r>
          </w:p>
        </w:tc>
      </w:tr>
    </w:tbl>
    <w:p w14:paraId="403EC31E" w14:textId="77777777" w:rsidR="0056188D" w:rsidRDefault="0056188D" w:rsidP="00745AD9">
      <w:pPr>
        <w:pStyle w:val="CETBodytext"/>
      </w:pPr>
    </w:p>
    <w:p w14:paraId="31FB2E76" w14:textId="615B02CC" w:rsidR="0056188D" w:rsidRDefault="00DC3D4F" w:rsidP="00745AD9">
      <w:pPr>
        <w:pStyle w:val="CETBodytext"/>
      </w:pPr>
      <w:r>
        <w:t>F</w:t>
      </w:r>
      <w:r w:rsidR="00AF061B">
        <w:t xml:space="preserve">igure 3 </w:t>
      </w:r>
      <w:r>
        <w:t xml:space="preserve">displays </w:t>
      </w:r>
      <w:r w:rsidR="00AF061B">
        <w:t xml:space="preserve">the </w:t>
      </w:r>
      <w:r>
        <w:t>measured</w:t>
      </w:r>
      <w:r w:rsidR="000652AC">
        <w:t xml:space="preserve"> </w:t>
      </w:r>
      <w:proofErr w:type="gramStart"/>
      <w:r w:rsidR="000652AC">
        <w:t>Pb(</w:t>
      </w:r>
      <w:proofErr w:type="gramEnd"/>
      <w:r w:rsidR="000652AC">
        <w:t xml:space="preserve">II) </w:t>
      </w:r>
      <w:r>
        <w:t>concentrations</w:t>
      </w:r>
      <w:r w:rsidR="00960430">
        <w:t xml:space="preserve">. The measured concentration from port 1 is shown by the blue line with blue circular markers and port 3 is represented by the grey line </w:t>
      </w:r>
      <w:r w:rsidR="00311D00">
        <w:t>with grey square</w:t>
      </w:r>
      <w:r w:rsidR="00960430">
        <w:t xml:space="preserve"> markers. The horizontal lines indicate the feed Pb concentration. </w:t>
      </w:r>
      <w:r w:rsidR="000652AC">
        <w:t>The graph has been split into sections (</w:t>
      </w:r>
      <w:proofErr w:type="gramStart"/>
      <w:r w:rsidR="000652AC">
        <w:t>A</w:t>
      </w:r>
      <w:r w:rsidR="00EE50E2">
        <w:t>,C</w:t>
      </w:r>
      <w:proofErr w:type="gramEnd"/>
      <w:r w:rsidR="000652AC">
        <w:t xml:space="preserve"> </w:t>
      </w:r>
      <w:r>
        <w:t xml:space="preserve">and D) to reflect the inlets </w:t>
      </w:r>
      <w:r w:rsidR="00AF061B">
        <w:t xml:space="preserve">described in table 1. </w:t>
      </w:r>
      <w:r w:rsidR="00EE50E2">
        <w:t>The figure is followed by figure 4 which is a visual representation of the progression of the reac</w:t>
      </w:r>
      <w:r w:rsidR="001B2791">
        <w:t>tor from the 14</w:t>
      </w:r>
      <w:r w:rsidR="001B2791" w:rsidRPr="001B2791">
        <w:rPr>
          <w:vertAlign w:val="superscript"/>
        </w:rPr>
        <w:t>th</w:t>
      </w:r>
      <w:r w:rsidR="001B2791">
        <w:t xml:space="preserve"> day to the 21</w:t>
      </w:r>
      <w:r w:rsidR="001B2791" w:rsidRPr="001B2791">
        <w:rPr>
          <w:vertAlign w:val="superscript"/>
        </w:rPr>
        <w:t>st</w:t>
      </w:r>
      <w:r w:rsidR="001B2791">
        <w:t xml:space="preserve"> day</w:t>
      </w:r>
      <w:r w:rsidR="00EE50E2">
        <w:t xml:space="preserve">. </w:t>
      </w:r>
    </w:p>
    <w:p w14:paraId="3667415C" w14:textId="77777777" w:rsidR="001529C3" w:rsidRDefault="001529C3" w:rsidP="001529C3">
      <w:pPr>
        <w:pStyle w:val="CETBodytext"/>
        <w:keepNext/>
      </w:pPr>
      <w:r>
        <w:rPr>
          <w:noProof/>
          <w:lang w:val="en-ZA" w:eastAsia="en-ZA"/>
        </w:rPr>
        <w:drawing>
          <wp:inline distT="0" distB="0" distL="0" distR="0" wp14:anchorId="6BDDA6F3" wp14:editId="2FFC5E0F">
            <wp:extent cx="3240000" cy="2030400"/>
            <wp:effectExtent l="0" t="0" r="0" b="825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Run 1.png"/>
                    <pic:cNvPicPr/>
                  </pic:nvPicPr>
                  <pic:blipFill>
                    <a:blip r:embed="rId12">
                      <a:extLst>
                        <a:ext uri="{28A0092B-C50C-407E-A947-70E740481C1C}">
                          <a14:useLocalDpi xmlns:a14="http://schemas.microsoft.com/office/drawing/2010/main" val="0"/>
                        </a:ext>
                      </a:extLst>
                    </a:blip>
                    <a:stretch>
                      <a:fillRect/>
                    </a:stretch>
                  </pic:blipFill>
                  <pic:spPr>
                    <a:xfrm>
                      <a:off x="0" y="0"/>
                      <a:ext cx="3240000" cy="2030400"/>
                    </a:xfrm>
                    <a:prstGeom prst="rect">
                      <a:avLst/>
                    </a:prstGeom>
                  </pic:spPr>
                </pic:pic>
              </a:graphicData>
            </a:graphic>
          </wp:inline>
        </w:drawing>
      </w:r>
    </w:p>
    <w:p w14:paraId="242BDFF1" w14:textId="4672D672" w:rsidR="00EE50E2" w:rsidRDefault="001529C3" w:rsidP="00C505B0">
      <w:pPr>
        <w:pStyle w:val="CETCaption"/>
      </w:pPr>
      <w:r>
        <w:t xml:space="preserve">Figure </w:t>
      </w:r>
      <w:r>
        <w:fldChar w:fldCharType="begin"/>
      </w:r>
      <w:r>
        <w:instrText xml:space="preserve"> SEQ Figure \* ARABIC </w:instrText>
      </w:r>
      <w:r>
        <w:fldChar w:fldCharType="separate"/>
      </w:r>
      <w:r w:rsidR="00314257">
        <w:rPr>
          <w:noProof/>
        </w:rPr>
        <w:t>3</w:t>
      </w:r>
      <w:r>
        <w:fldChar w:fldCharType="end"/>
      </w:r>
      <w:r>
        <w:t xml:space="preserve">: </w:t>
      </w:r>
      <w:proofErr w:type="gramStart"/>
      <w:r>
        <w:t>Pb(</w:t>
      </w:r>
      <w:proofErr w:type="gramEnd"/>
      <w:r>
        <w:t>II) concentrations measured at ports 1 and 3 respectively</w:t>
      </w:r>
    </w:p>
    <w:p w14:paraId="2ABEDF8F" w14:textId="082B7880" w:rsidR="00E470A8" w:rsidRPr="00601AC2" w:rsidRDefault="00E470A8" w:rsidP="00601AC2">
      <w:pPr>
        <w:pStyle w:val="CETBodytext"/>
      </w:pPr>
      <w:r w:rsidRPr="00F05E33">
        <w:t>Figure 3 shows that biological removal of Pb from aqueous environments is indeed possible with the use of the bacterial consortium.</w:t>
      </w:r>
      <w:r w:rsidR="00311D00">
        <w:t xml:space="preserve"> The advantage of this observation is that the process displays success in</w:t>
      </w:r>
      <w:r w:rsidR="004977F0">
        <w:t xml:space="preserve"> </w:t>
      </w:r>
      <w:r w:rsidR="001757A4">
        <w:t>continuous</w:t>
      </w:r>
      <w:r w:rsidR="00311D00">
        <w:t xml:space="preserve"> lead reduction performed at ambient temperatures without high activation energy required.</w:t>
      </w:r>
      <w:r w:rsidR="004977F0">
        <w:t xml:space="preserve"> In addition to this, the use of live biomass is a positive shift from the use of dead or reconditioned biomass. In live biosystems enzymes act as catalysts which allow the reactions to continue at ambient temperatures</w:t>
      </w:r>
      <w:r w:rsidR="001757A4">
        <w:t xml:space="preserve"> without the need of introducing chemical catalysts</w:t>
      </w:r>
      <w:r w:rsidR="004977F0">
        <w:t xml:space="preserve"> </w:t>
      </w:r>
      <w:sdt>
        <w:sdtPr>
          <w:id w:val="-328363867"/>
          <w:citation/>
        </w:sdtPr>
        <w:sdtEndPr/>
        <w:sdtContent>
          <w:r w:rsidR="004977F0">
            <w:fldChar w:fldCharType="begin"/>
          </w:r>
          <w:r w:rsidR="004977F0">
            <w:rPr>
              <w:lang w:val="en-GB"/>
            </w:rPr>
            <w:instrText xml:space="preserve"> CITATION Bri19 \l 2057 </w:instrText>
          </w:r>
          <w:r w:rsidR="004977F0">
            <w:fldChar w:fldCharType="separate"/>
          </w:r>
          <w:r w:rsidR="007C785D" w:rsidRPr="007C785D">
            <w:rPr>
              <w:noProof/>
              <w:lang w:val="en-GB"/>
            </w:rPr>
            <w:t>(Brink, et al., 2019)</w:t>
          </w:r>
          <w:r w:rsidR="004977F0">
            <w:fldChar w:fldCharType="end"/>
          </w:r>
        </w:sdtContent>
      </w:sdt>
      <w:r w:rsidR="004977F0">
        <w:t xml:space="preserve">. </w:t>
      </w:r>
      <w:r w:rsidRPr="00F05E33">
        <w:t xml:space="preserve">Up to day 15 there is near complete removal of Pb from samples taken at both ports, the removal is only hindered at the maximum inlet Pb </w:t>
      </w:r>
      <w:r w:rsidR="00311D00">
        <w:t>concentration. After day 14</w:t>
      </w:r>
      <w:r w:rsidRPr="00F05E33">
        <w:t xml:space="preserve"> the P</w:t>
      </w:r>
      <w:r w:rsidR="006F0928">
        <w:t xml:space="preserve">b concentrations were </w:t>
      </w:r>
      <w:r w:rsidRPr="00F05E33">
        <w:t xml:space="preserve">higher at port </w:t>
      </w:r>
      <w:r w:rsidR="00B2313B">
        <w:t>1</w:t>
      </w:r>
      <w:r w:rsidRPr="00F05E33">
        <w:t xml:space="preserve"> than port </w:t>
      </w:r>
      <w:r w:rsidR="00B2313B">
        <w:t>3</w:t>
      </w:r>
      <w:r w:rsidR="00C85FC8">
        <w:t>. T</w:t>
      </w:r>
      <w:r w:rsidR="001757A4">
        <w:t xml:space="preserve">he primary cause of this observation is </w:t>
      </w:r>
      <w:r w:rsidR="00055BBA">
        <w:t>the</w:t>
      </w:r>
      <w:r w:rsidR="001757A4">
        <w:t xml:space="preserve"> high</w:t>
      </w:r>
      <w:r w:rsidR="00055BBA">
        <w:t xml:space="preserve"> feed concentration</w:t>
      </w:r>
      <w:r w:rsidR="001757A4">
        <w:t xml:space="preserve"> at this point</w:t>
      </w:r>
      <w:r w:rsidR="00055BBA">
        <w:t>. The system was put under stress and the nutrient availability wa</w:t>
      </w:r>
      <w:r w:rsidR="001757A4">
        <w:t>s not sufficient leading to hindered</w:t>
      </w:r>
      <w:r w:rsidR="00055BBA">
        <w:t xml:space="preserve"> lead removal</w:t>
      </w:r>
      <w:r w:rsidRPr="00F05E33">
        <w:t>. In addition to this, with reference to figure 4</w:t>
      </w:r>
      <w:r w:rsidR="00006350">
        <w:t>,</w:t>
      </w:r>
      <w:r w:rsidRPr="00F05E33">
        <w:t xml:space="preserve"> it is observed that there is </w:t>
      </w:r>
      <w:r w:rsidR="009F792A">
        <w:t xml:space="preserve">significant </w:t>
      </w:r>
      <w:r w:rsidRPr="00F05E33">
        <w:t>precipitate</w:t>
      </w:r>
      <w:r w:rsidR="009F792A">
        <w:t xml:space="preserve"> production</w:t>
      </w:r>
      <w:r w:rsidR="005C791F">
        <w:t>. Lead exists in</w:t>
      </w:r>
      <w:r w:rsidR="00006350">
        <w:t xml:space="preserve"> a</w:t>
      </w:r>
      <w:r w:rsidR="005C791F">
        <w:t xml:space="preserve"> liquid or solid form at temperatures below 1749</w:t>
      </w:r>
      <w:r w:rsidR="005C791F">
        <w:rPr>
          <w:rFonts w:cs="Arial"/>
        </w:rPr>
        <w:t>°</w:t>
      </w:r>
      <w:r w:rsidR="001757A4">
        <w:rPr>
          <w:rFonts w:cs="Arial"/>
        </w:rPr>
        <w:t>C indicating the detect</w:t>
      </w:r>
      <w:r w:rsidR="005C791F">
        <w:rPr>
          <w:rFonts w:cs="Arial"/>
        </w:rPr>
        <w:t>ed lead is from</w:t>
      </w:r>
      <w:r w:rsidR="001757A4">
        <w:rPr>
          <w:rFonts w:cs="Arial"/>
        </w:rPr>
        <w:t xml:space="preserve"> the precipitate</w:t>
      </w:r>
      <w:r w:rsidR="005C791F">
        <w:rPr>
          <w:rFonts w:cs="Arial"/>
        </w:rPr>
        <w:t xml:space="preserve"> or is in liquid state </w:t>
      </w:r>
      <w:sdt>
        <w:sdtPr>
          <w:rPr>
            <w:rFonts w:cs="Arial"/>
          </w:rPr>
          <w:id w:val="43339590"/>
          <w:citation/>
        </w:sdtPr>
        <w:sdtEndPr/>
        <w:sdtContent>
          <w:r w:rsidR="005C791F">
            <w:rPr>
              <w:rFonts w:cs="Arial"/>
            </w:rPr>
            <w:fldChar w:fldCharType="begin"/>
          </w:r>
          <w:r w:rsidR="005C791F">
            <w:rPr>
              <w:rFonts w:cs="Arial"/>
              <w:lang w:val="en-ZA"/>
            </w:rPr>
            <w:instrText xml:space="preserve"> CITATION Bro00 \l 7177 </w:instrText>
          </w:r>
          <w:r w:rsidR="005C791F">
            <w:rPr>
              <w:rFonts w:cs="Arial"/>
            </w:rPr>
            <w:fldChar w:fldCharType="separate"/>
          </w:r>
          <w:r w:rsidR="007C785D" w:rsidRPr="007C785D">
            <w:rPr>
              <w:rFonts w:cs="Arial"/>
              <w:noProof/>
              <w:lang w:val="en-ZA"/>
            </w:rPr>
            <w:t>(Brown, et al., 2000)</w:t>
          </w:r>
          <w:r w:rsidR="005C791F">
            <w:rPr>
              <w:rFonts w:cs="Arial"/>
            </w:rPr>
            <w:fldChar w:fldCharType="end"/>
          </w:r>
        </w:sdtContent>
      </w:sdt>
      <w:r w:rsidR="005C791F">
        <w:rPr>
          <w:rFonts w:cs="Arial"/>
        </w:rPr>
        <w:t xml:space="preserve">. </w:t>
      </w:r>
      <w:r w:rsidR="00006350">
        <w:rPr>
          <w:rFonts w:cs="Arial"/>
        </w:rPr>
        <w:t>Because the samples at port 3 reflect that Pb was removed completely at this height the liquid phase cannot be the</w:t>
      </w:r>
      <w:r w:rsidR="001757A4">
        <w:rPr>
          <w:rFonts w:cs="Arial"/>
        </w:rPr>
        <w:t xml:space="preserve"> major</w:t>
      </w:r>
      <w:r w:rsidR="00006350">
        <w:rPr>
          <w:rFonts w:cs="Arial"/>
        </w:rPr>
        <w:t xml:space="preserve"> cause of lead being picked up in the samples. The lead was </w:t>
      </w:r>
      <w:r w:rsidR="000F2D6A">
        <w:rPr>
          <w:rFonts w:cs="Arial"/>
        </w:rPr>
        <w:t>only det</w:t>
      </w:r>
      <w:r w:rsidR="009A25FD">
        <w:rPr>
          <w:rFonts w:cs="Arial"/>
        </w:rPr>
        <w:t>ected in the lower region of the reactor where the precipitate was most concentrated.</w:t>
      </w:r>
      <w:r w:rsidR="001757A4">
        <w:rPr>
          <w:rFonts w:cs="Arial"/>
        </w:rPr>
        <w:t xml:space="preserve"> </w:t>
      </w:r>
      <w:r w:rsidR="00601AC2">
        <w:rPr>
          <w:rFonts w:cs="Arial"/>
        </w:rPr>
        <w:t xml:space="preserve">The observations in the study by </w:t>
      </w:r>
      <w:proofErr w:type="spellStart"/>
      <w:r w:rsidR="00601AC2">
        <w:t>Chimhundi</w:t>
      </w:r>
      <w:proofErr w:type="spellEnd"/>
      <w:r w:rsidR="00601AC2">
        <w:t xml:space="preserve">, et al. (2021) showed that the precipitate in the study is likely to contain </w:t>
      </w:r>
      <w:proofErr w:type="spellStart"/>
      <w:r w:rsidR="00601AC2">
        <w:t>PbS</w:t>
      </w:r>
      <w:proofErr w:type="spellEnd"/>
      <w:r w:rsidR="00601AC2">
        <w:t>, PbSO</w:t>
      </w:r>
      <w:r w:rsidR="00601AC2">
        <w:rPr>
          <w:vertAlign w:val="subscript"/>
        </w:rPr>
        <w:t>4</w:t>
      </w:r>
      <w:r w:rsidR="00601AC2">
        <w:t xml:space="preserve"> and Pb</w:t>
      </w:r>
      <w:r w:rsidR="00601AC2">
        <w:rPr>
          <w:vertAlign w:val="superscript"/>
        </w:rPr>
        <w:t>0</w:t>
      </w:r>
      <w:r w:rsidR="00601AC2">
        <w:t xml:space="preserve"> which would contribute to higher concentrations of lead at </w:t>
      </w:r>
      <w:r w:rsidR="00601AC2">
        <w:lastRenderedPageBreak/>
        <w:t xml:space="preserve">the bottom of the column. </w:t>
      </w:r>
      <w:r w:rsidR="00AD056B">
        <w:t xml:space="preserve">The washout of the precipitate also presents a possible avenue in lead recovery. The precipitate containing lead can be recovered and used as feed to a lead sintering process. </w:t>
      </w:r>
    </w:p>
    <w:p w14:paraId="5A1C8A70" w14:textId="77777777" w:rsidR="001B2791" w:rsidRDefault="001529C3" w:rsidP="001B2791">
      <w:pPr>
        <w:pStyle w:val="CETBodytext"/>
        <w:keepNext/>
      </w:pPr>
      <w:r>
        <w:rPr>
          <w:noProof/>
          <w:lang w:val="en-ZA" w:eastAsia="en-ZA"/>
        </w:rPr>
        <w:drawing>
          <wp:anchor distT="0" distB="0" distL="114300" distR="114300" simplePos="0" relativeHeight="251659264" behindDoc="0" locked="0" layoutInCell="1" allowOverlap="1" wp14:anchorId="733D257C" wp14:editId="5D011973">
            <wp:simplePos x="0" y="0"/>
            <wp:positionH relativeFrom="column">
              <wp:posOffset>-3810</wp:posOffset>
            </wp:positionH>
            <wp:positionV relativeFrom="paragraph">
              <wp:posOffset>0</wp:posOffset>
            </wp:positionV>
            <wp:extent cx="3624888" cy="1778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un 1 visual.png"/>
                    <pic:cNvPicPr/>
                  </pic:nvPicPr>
                  <pic:blipFill>
                    <a:blip r:embed="rId13">
                      <a:extLst>
                        <a:ext uri="{28A0092B-C50C-407E-A947-70E740481C1C}">
                          <a14:useLocalDpi xmlns:a14="http://schemas.microsoft.com/office/drawing/2010/main" val="0"/>
                        </a:ext>
                      </a:extLst>
                    </a:blip>
                    <a:stretch>
                      <a:fillRect/>
                    </a:stretch>
                  </pic:blipFill>
                  <pic:spPr>
                    <a:xfrm>
                      <a:off x="0" y="0"/>
                      <a:ext cx="3624888" cy="1778000"/>
                    </a:xfrm>
                    <a:prstGeom prst="rect">
                      <a:avLst/>
                    </a:prstGeom>
                  </pic:spPr>
                </pic:pic>
              </a:graphicData>
            </a:graphic>
            <wp14:sizeRelH relativeFrom="page">
              <wp14:pctWidth>0</wp14:pctWidth>
            </wp14:sizeRelH>
            <wp14:sizeRelV relativeFrom="page">
              <wp14:pctHeight>0</wp14:pctHeight>
            </wp14:sizeRelV>
          </wp:anchor>
        </w:drawing>
      </w:r>
    </w:p>
    <w:p w14:paraId="5592F6F1" w14:textId="77777777" w:rsidR="001529C3" w:rsidRDefault="001B2791" w:rsidP="00C505B0">
      <w:pPr>
        <w:pStyle w:val="CETCaption"/>
      </w:pPr>
      <w:r>
        <w:t xml:space="preserve">Figure </w:t>
      </w:r>
      <w:r>
        <w:fldChar w:fldCharType="begin"/>
      </w:r>
      <w:r>
        <w:instrText xml:space="preserve"> SEQ Figure \* ARABIC </w:instrText>
      </w:r>
      <w:r>
        <w:fldChar w:fldCharType="separate"/>
      </w:r>
      <w:r w:rsidR="00314257">
        <w:rPr>
          <w:noProof/>
        </w:rPr>
        <w:t>4</w:t>
      </w:r>
      <w:r>
        <w:fldChar w:fldCharType="end"/>
      </w:r>
      <w:r>
        <w:t>: Visual progression of the UASB reactor from day 14 to the end of the run</w:t>
      </w:r>
    </w:p>
    <w:p w14:paraId="699793E4" w14:textId="267F5A5C" w:rsidR="00411499" w:rsidRPr="00F05E33" w:rsidRDefault="00411499" w:rsidP="00F05E33">
      <w:pPr>
        <w:pStyle w:val="CETBodytext"/>
      </w:pPr>
      <w:r w:rsidRPr="00F05E33">
        <w:t>I</w:t>
      </w:r>
      <w:r w:rsidR="00055BBA">
        <w:t xml:space="preserve">n figure 5 </w:t>
      </w:r>
      <w:r w:rsidR="00E45541">
        <w:t xml:space="preserve">the </w:t>
      </w:r>
      <w:r w:rsidRPr="00F05E33">
        <w:t>metabolic activity of the microbiome is presented. From the figure it is observed that up until day 15 there was significant</w:t>
      </w:r>
      <w:r w:rsidR="00AD056B">
        <w:t xml:space="preserve"> metabolic</w:t>
      </w:r>
      <w:r w:rsidRPr="00F05E33">
        <w:t xml:space="preserve"> activity which gradually decreased. This lends support to the above observations that the system is robust enough to handle Pb concentrations up to 1000ppm, however there is a breakpoint which is reached at this elevated lead concentration. </w:t>
      </w:r>
      <w:r w:rsidR="00AD056B">
        <w:t>At this concentration nutrient starvation is observed and an increase in nutrient availability would improve lead bioremediation.</w:t>
      </w:r>
    </w:p>
    <w:p w14:paraId="1222FBF3" w14:textId="6BE220DB" w:rsidR="00411499" w:rsidRDefault="00411499" w:rsidP="00411499">
      <w:pPr>
        <w:pStyle w:val="CETBodytext"/>
        <w:keepNext/>
      </w:pPr>
      <w:r>
        <w:rPr>
          <w:noProof/>
          <w:lang w:val="en-ZA" w:eastAsia="en-ZA"/>
        </w:rPr>
        <w:drawing>
          <wp:anchor distT="0" distB="0" distL="114300" distR="114300" simplePos="0" relativeHeight="251661312" behindDoc="0" locked="0" layoutInCell="1" allowOverlap="1" wp14:anchorId="22E20395" wp14:editId="5601877A">
            <wp:simplePos x="0" y="0"/>
            <wp:positionH relativeFrom="column">
              <wp:posOffset>-3810</wp:posOffset>
            </wp:positionH>
            <wp:positionV relativeFrom="paragraph">
              <wp:posOffset>-3810</wp:posOffset>
            </wp:positionV>
            <wp:extent cx="3107260" cy="18360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tabolic activity run 1.png"/>
                    <pic:cNvPicPr/>
                  </pic:nvPicPr>
                  <pic:blipFill>
                    <a:blip r:embed="rId14">
                      <a:extLst>
                        <a:ext uri="{28A0092B-C50C-407E-A947-70E740481C1C}">
                          <a14:useLocalDpi xmlns:a14="http://schemas.microsoft.com/office/drawing/2010/main" val="0"/>
                        </a:ext>
                      </a:extLst>
                    </a:blip>
                    <a:stretch>
                      <a:fillRect/>
                    </a:stretch>
                  </pic:blipFill>
                  <pic:spPr>
                    <a:xfrm>
                      <a:off x="0" y="0"/>
                      <a:ext cx="3107260" cy="1836000"/>
                    </a:xfrm>
                    <a:prstGeom prst="rect">
                      <a:avLst/>
                    </a:prstGeom>
                  </pic:spPr>
                </pic:pic>
              </a:graphicData>
            </a:graphic>
            <wp14:sizeRelH relativeFrom="page">
              <wp14:pctWidth>0</wp14:pctWidth>
            </wp14:sizeRelH>
            <wp14:sizeRelV relativeFrom="page">
              <wp14:pctHeight>0</wp14:pctHeight>
            </wp14:sizeRelV>
          </wp:anchor>
        </w:drawing>
      </w:r>
    </w:p>
    <w:p w14:paraId="088A134E" w14:textId="0CBBC6ED" w:rsidR="00600535" w:rsidRDefault="00AD056B" w:rsidP="00C505B0">
      <w:pPr>
        <w:pStyle w:val="CETCaption"/>
      </w:pPr>
      <w:r>
        <w:rPr>
          <w:noProof/>
          <w:lang w:val="en-ZA" w:eastAsia="en-ZA"/>
        </w:rPr>
        <w:drawing>
          <wp:anchor distT="0" distB="0" distL="114300" distR="114300" simplePos="0" relativeHeight="251660288" behindDoc="0" locked="0" layoutInCell="1" allowOverlap="1" wp14:anchorId="3654668B" wp14:editId="4F38DEC0">
            <wp:simplePos x="0" y="0"/>
            <wp:positionH relativeFrom="margin">
              <wp:align>left</wp:align>
            </wp:positionH>
            <wp:positionV relativeFrom="paragraph">
              <wp:posOffset>591185</wp:posOffset>
            </wp:positionV>
            <wp:extent cx="2930021" cy="183600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trate measurements.png"/>
                    <pic:cNvPicPr/>
                  </pic:nvPicPr>
                  <pic:blipFill>
                    <a:blip r:embed="rId15">
                      <a:extLst>
                        <a:ext uri="{28A0092B-C50C-407E-A947-70E740481C1C}">
                          <a14:useLocalDpi xmlns:a14="http://schemas.microsoft.com/office/drawing/2010/main" val="0"/>
                        </a:ext>
                      </a:extLst>
                    </a:blip>
                    <a:stretch>
                      <a:fillRect/>
                    </a:stretch>
                  </pic:blipFill>
                  <pic:spPr>
                    <a:xfrm>
                      <a:off x="0" y="0"/>
                      <a:ext cx="2930021" cy="1836000"/>
                    </a:xfrm>
                    <a:prstGeom prst="rect">
                      <a:avLst/>
                    </a:prstGeom>
                  </pic:spPr>
                </pic:pic>
              </a:graphicData>
            </a:graphic>
            <wp14:sizeRelH relativeFrom="page">
              <wp14:pctWidth>0</wp14:pctWidth>
            </wp14:sizeRelH>
            <wp14:sizeRelV relativeFrom="page">
              <wp14:pctHeight>0</wp14:pctHeight>
            </wp14:sizeRelV>
          </wp:anchor>
        </w:drawing>
      </w:r>
      <w:r w:rsidR="00411499">
        <w:t xml:space="preserve">Figure </w:t>
      </w:r>
      <w:r w:rsidR="00411499">
        <w:fldChar w:fldCharType="begin"/>
      </w:r>
      <w:r w:rsidR="00411499">
        <w:instrText xml:space="preserve"> SEQ Figure \* ARABIC </w:instrText>
      </w:r>
      <w:r w:rsidR="00411499">
        <w:fldChar w:fldCharType="separate"/>
      </w:r>
      <w:r w:rsidR="00314257">
        <w:rPr>
          <w:noProof/>
        </w:rPr>
        <w:t>5</w:t>
      </w:r>
      <w:r w:rsidR="00411499">
        <w:fldChar w:fldCharType="end"/>
      </w:r>
      <w:r w:rsidR="00411499">
        <w:t>: Calculated metabolic activity of the microbiome</w:t>
      </w:r>
    </w:p>
    <w:p w14:paraId="42B18802" w14:textId="2191A934" w:rsidR="00314257" w:rsidRDefault="00314257" w:rsidP="00314257">
      <w:pPr>
        <w:pStyle w:val="CETCaption"/>
        <w:keepNext/>
      </w:pPr>
    </w:p>
    <w:p w14:paraId="0DB28D70" w14:textId="12C22D30" w:rsidR="00DC5D14" w:rsidRDefault="00314257" w:rsidP="00314257">
      <w:pPr>
        <w:pStyle w:val="CETCaption"/>
      </w:pPr>
      <w:r>
        <w:t xml:space="preserve">Figure </w:t>
      </w:r>
      <w:r>
        <w:fldChar w:fldCharType="begin"/>
      </w:r>
      <w:r>
        <w:instrText xml:space="preserve"> SEQ Figure \* ARABIC </w:instrText>
      </w:r>
      <w:r>
        <w:fldChar w:fldCharType="separate"/>
      </w:r>
      <w:r>
        <w:rPr>
          <w:noProof/>
        </w:rPr>
        <w:t>6</w:t>
      </w:r>
      <w:r>
        <w:fldChar w:fldCharType="end"/>
      </w:r>
      <w:r>
        <w:t>: Change in nitrate concentrations over 21 days</w:t>
      </w:r>
    </w:p>
    <w:p w14:paraId="2AB5F249" w14:textId="28E270BC" w:rsidR="00EC1D4A" w:rsidRPr="00314257" w:rsidRDefault="00E45541" w:rsidP="00EC1D4A">
      <w:pPr>
        <w:pStyle w:val="CETBodytext"/>
      </w:pPr>
      <w:r>
        <w:t>M</w:t>
      </w:r>
      <w:r w:rsidR="00EC1D4A">
        <w:t xml:space="preserve">icrobial metabolic and detoxifying mechanisms involving </w:t>
      </w:r>
      <w:proofErr w:type="gramStart"/>
      <w:r w:rsidR="00EC1D4A">
        <w:t>Pb(</w:t>
      </w:r>
      <w:proofErr w:type="gramEnd"/>
      <w:r w:rsidR="00EC1D4A">
        <w:t>II) include anaerobic de</w:t>
      </w:r>
      <w:r w:rsidR="00C85FC8">
        <w:t xml:space="preserve">nitrification, and </w:t>
      </w:r>
      <w:r w:rsidR="00EC1D4A">
        <w:t xml:space="preserve">biotransformation </w:t>
      </w:r>
      <w:sdt>
        <w:sdtPr>
          <w:id w:val="929079295"/>
          <w:citation/>
        </w:sdtPr>
        <w:sdtEndPr/>
        <w:sdtContent>
          <w:r w:rsidR="00EC1D4A">
            <w:fldChar w:fldCharType="begin"/>
          </w:r>
          <w:r w:rsidR="00EC1D4A">
            <w:instrText xml:space="preserve"> CITATION Nai13 \l 1033 </w:instrText>
          </w:r>
          <w:r w:rsidR="00EC1D4A">
            <w:fldChar w:fldCharType="separate"/>
          </w:r>
          <w:r w:rsidR="007C785D">
            <w:rPr>
              <w:noProof/>
            </w:rPr>
            <w:t>(M.M &amp; Dubey, 2013)</w:t>
          </w:r>
          <w:r w:rsidR="00EC1D4A">
            <w:fldChar w:fldCharType="end"/>
          </w:r>
        </w:sdtContent>
      </w:sdt>
      <w:r w:rsidR="00AD056B">
        <w:t>. In figure 6</w:t>
      </w:r>
      <w:r w:rsidR="00EC1D4A">
        <w:t xml:space="preserve">, it is shown that at lower concentration of </w:t>
      </w:r>
      <w:proofErr w:type="gramStart"/>
      <w:r w:rsidR="00EC1D4A">
        <w:t>Pb(</w:t>
      </w:r>
      <w:proofErr w:type="gramEnd"/>
      <w:r w:rsidR="00EC1D4A">
        <w:t>II) nitrate concentrations are low showing denitrification as the primary detoxifying mechanism up to the 8</w:t>
      </w:r>
      <w:r w:rsidR="00EC1D4A" w:rsidRPr="00F05E33">
        <w:rPr>
          <w:vertAlign w:val="superscript"/>
        </w:rPr>
        <w:t>th</w:t>
      </w:r>
      <w:r w:rsidR="00EC1D4A">
        <w:t xml:space="preserve"> day. Between </w:t>
      </w:r>
      <w:r w:rsidR="00EC1D4A">
        <w:lastRenderedPageBreak/>
        <w:t xml:space="preserve">day 8 and 14 nitrate concentrations increase with an increase in inlet </w:t>
      </w:r>
      <w:proofErr w:type="gramStart"/>
      <w:r w:rsidR="007C785D">
        <w:t>Pb(</w:t>
      </w:r>
      <w:proofErr w:type="gramEnd"/>
      <w:r w:rsidR="007C785D">
        <w:t>II) concentration,</w:t>
      </w:r>
      <w:r w:rsidR="00EC1D4A">
        <w:t xml:space="preserve"> however Pb(II) removal is maintained. This indicates that secondary</w:t>
      </w:r>
      <w:r>
        <w:t xml:space="preserve"> detoxifying</w:t>
      </w:r>
      <w:r w:rsidR="00EC1D4A">
        <w:t xml:space="preserve"> mechanis</w:t>
      </w:r>
      <w:r>
        <w:t xml:space="preserve">ms such as </w:t>
      </w:r>
      <w:r w:rsidR="00EC1D4A">
        <w:t>bio</w:t>
      </w:r>
      <w:r w:rsidR="00B2313B">
        <w:t>sorption</w:t>
      </w:r>
      <w:r w:rsidR="00EC1D4A">
        <w:t xml:space="preserve"> are prevalent. After day 15 high nitrate concentration along with high </w:t>
      </w:r>
      <w:proofErr w:type="gramStart"/>
      <w:r w:rsidR="00EC1D4A">
        <w:t>Pb(</w:t>
      </w:r>
      <w:proofErr w:type="gramEnd"/>
      <w:r w:rsidR="00EC1D4A">
        <w:t xml:space="preserve">II) concentrations show that </w:t>
      </w:r>
      <w:proofErr w:type="spellStart"/>
      <w:r w:rsidR="00EC1D4A">
        <w:t>bioremoval</w:t>
      </w:r>
      <w:proofErr w:type="spellEnd"/>
      <w:r w:rsidR="00EC1D4A">
        <w:t xml:space="preserve"> is hindered at this high concentration with denitrifying processes and secondary detoxification mechanisms being inactive in this range. </w:t>
      </w:r>
      <w:r w:rsidR="008A1BF6">
        <w:t>This indicates that the high lead concentration triggered significant</w:t>
      </w:r>
      <w:r w:rsidR="007C785D">
        <w:t xml:space="preserve"> loss of biomass which is expected because</w:t>
      </w:r>
      <w:r w:rsidR="008A1BF6">
        <w:t xml:space="preserve"> moderately high concentrations of lead can result in acute or sudden changes to ecosystems </w:t>
      </w:r>
      <w:sdt>
        <w:sdtPr>
          <w:id w:val="-1715337871"/>
          <w:citation/>
        </w:sdtPr>
        <w:sdtEndPr/>
        <w:sdtContent>
          <w:r w:rsidR="008A1BF6">
            <w:fldChar w:fldCharType="begin"/>
          </w:r>
          <w:r w:rsidR="008A1BF6">
            <w:rPr>
              <w:lang w:val="en-GB"/>
            </w:rPr>
            <w:instrText xml:space="preserve"> CITATION Pap06 \l 2057 </w:instrText>
          </w:r>
          <w:r w:rsidR="008A1BF6">
            <w:fldChar w:fldCharType="separate"/>
          </w:r>
          <w:r w:rsidR="007C785D" w:rsidRPr="007C785D">
            <w:rPr>
              <w:noProof/>
              <w:lang w:val="en-GB"/>
            </w:rPr>
            <w:t>(Papp, et al., 2006)</w:t>
          </w:r>
          <w:r w:rsidR="008A1BF6">
            <w:fldChar w:fldCharType="end"/>
          </w:r>
        </w:sdtContent>
      </w:sdt>
      <w:r w:rsidR="008A1BF6">
        <w:t xml:space="preserve">. </w:t>
      </w:r>
      <w:r w:rsidR="007C785D">
        <w:t>However, the loss of biomass could have also occurred during the precipitate washout.</w:t>
      </w:r>
    </w:p>
    <w:p w14:paraId="68D26B83" w14:textId="55B8E739" w:rsidR="00600535" w:rsidRPr="00B57B36" w:rsidRDefault="00A003E2" w:rsidP="00600535">
      <w:pPr>
        <w:pStyle w:val="CETHeading1"/>
        <w:rPr>
          <w:lang w:val="en-GB"/>
        </w:rPr>
      </w:pPr>
      <w:r>
        <w:rPr>
          <w:lang w:val="en-GB"/>
        </w:rPr>
        <w:t xml:space="preserve">Conclusions </w:t>
      </w:r>
    </w:p>
    <w:p w14:paraId="31AED4A1" w14:textId="4C96093F" w:rsidR="00566E42" w:rsidRPr="00566E42" w:rsidRDefault="00937EE6" w:rsidP="00566E42">
      <w:pPr>
        <w:pStyle w:val="CETBodytext"/>
        <w:rPr>
          <w:lang w:val="en-GB"/>
        </w:rPr>
      </w:pPr>
      <w:r>
        <w:rPr>
          <w:lang w:val="en-GB"/>
        </w:rPr>
        <w:t xml:space="preserve">This paper describes the observations made while operating a UASB reactor under continuous anoxic conditions to remove </w:t>
      </w:r>
      <w:proofErr w:type="gramStart"/>
      <w:r>
        <w:rPr>
          <w:lang w:val="en-GB"/>
        </w:rPr>
        <w:t>Pb(</w:t>
      </w:r>
      <w:proofErr w:type="gramEnd"/>
      <w:r w:rsidR="008F73BA">
        <w:rPr>
          <w:lang w:val="en-GB"/>
        </w:rPr>
        <w:t>II) from an aqueous environment. Nitrate concentrations,</w:t>
      </w:r>
      <w:r>
        <w:rPr>
          <w:lang w:val="en-GB"/>
        </w:rPr>
        <w:t xml:space="preserve"> metabolic activity and Pb concentrations were measured over a </w:t>
      </w:r>
      <w:r w:rsidR="00AD056B">
        <w:rPr>
          <w:lang w:val="en-GB"/>
        </w:rPr>
        <w:t>21-day</w:t>
      </w:r>
      <w:r>
        <w:rPr>
          <w:lang w:val="en-GB"/>
        </w:rPr>
        <w:t xml:space="preserve"> period to monitor the capabilities of the microbiome when exposed to three different </w:t>
      </w:r>
      <w:r w:rsidR="00566E42">
        <w:rPr>
          <w:lang w:val="en-GB"/>
        </w:rPr>
        <w:t>concentrations</w:t>
      </w:r>
      <w:r>
        <w:rPr>
          <w:lang w:val="en-GB"/>
        </w:rPr>
        <w:t xml:space="preserve"> of </w:t>
      </w:r>
      <w:proofErr w:type="gramStart"/>
      <w:r>
        <w:rPr>
          <w:lang w:val="en-GB"/>
        </w:rPr>
        <w:t>Pb(</w:t>
      </w:r>
      <w:proofErr w:type="gramEnd"/>
      <w:r>
        <w:rPr>
          <w:lang w:val="en-GB"/>
        </w:rPr>
        <w:t>II). The system is robust enough to handle concentrations up to 1000 ppm but it can be n</w:t>
      </w:r>
      <w:r w:rsidR="008F73BA">
        <w:rPr>
          <w:lang w:val="en-GB"/>
        </w:rPr>
        <w:t>oted that 5 g/L of YE</w:t>
      </w:r>
      <w:r>
        <w:rPr>
          <w:lang w:val="en-GB"/>
        </w:rPr>
        <w:t xml:space="preserve"> as a nutrient concentration leads to a breakpoint in the system after 15 days of extraction</w:t>
      </w:r>
      <w:r w:rsidR="008F73BA">
        <w:rPr>
          <w:lang w:val="en-GB"/>
        </w:rPr>
        <w:t xml:space="preserve"> which is evident in port 1, but port 3 shows near complete removal even at high concentrations</w:t>
      </w:r>
      <w:r w:rsidR="00F05E33">
        <w:rPr>
          <w:lang w:val="en-GB"/>
        </w:rPr>
        <w:t>.</w:t>
      </w:r>
      <w:r w:rsidR="00081381">
        <w:rPr>
          <w:lang w:val="en-GB"/>
        </w:rPr>
        <w:t xml:space="preserve"> During operation of the continuous reactor ~99% lead removal was observed during the first 15 days at both ports, this removal percentage continued at port 3 only after the 15</w:t>
      </w:r>
      <w:r w:rsidR="00081381" w:rsidRPr="00081381">
        <w:rPr>
          <w:vertAlign w:val="superscript"/>
          <w:lang w:val="en-GB"/>
        </w:rPr>
        <w:t>th</w:t>
      </w:r>
      <w:r w:rsidR="00081381">
        <w:rPr>
          <w:lang w:val="en-GB"/>
        </w:rPr>
        <w:t xml:space="preserve"> day. </w:t>
      </w:r>
      <w:r w:rsidR="00F05E33">
        <w:rPr>
          <w:lang w:val="en-GB"/>
        </w:rPr>
        <w:t xml:space="preserve">These findings are supported by inactive denitrifying processes, high </w:t>
      </w:r>
      <w:proofErr w:type="gramStart"/>
      <w:r w:rsidR="00F05E33">
        <w:rPr>
          <w:lang w:val="en-GB"/>
        </w:rPr>
        <w:t>Pb(</w:t>
      </w:r>
      <w:proofErr w:type="gramEnd"/>
      <w:r w:rsidR="00F05E33">
        <w:rPr>
          <w:lang w:val="en-GB"/>
        </w:rPr>
        <w:t>II) concentrations and decrease in metabolic activity</w:t>
      </w:r>
      <w:r w:rsidR="00B61E01">
        <w:rPr>
          <w:lang w:val="en-GB"/>
        </w:rPr>
        <w:t xml:space="preserve"> after day 15</w:t>
      </w:r>
      <w:r w:rsidR="00F05E33">
        <w:rPr>
          <w:lang w:val="en-GB"/>
        </w:rPr>
        <w:t>. T</w:t>
      </w:r>
      <w:r>
        <w:rPr>
          <w:lang w:val="en-GB"/>
        </w:rPr>
        <w:t xml:space="preserve">he recommendation would be to increase the concentration of nutrients in order to achieve prolonged removal. As is, the system is able to achieve </w:t>
      </w:r>
      <w:r w:rsidR="00566E42">
        <w:rPr>
          <w:lang w:val="en-GB"/>
        </w:rPr>
        <w:t xml:space="preserve">reduction of lower concentrations of Pb </w:t>
      </w:r>
      <w:r w:rsidR="008F73BA">
        <w:rPr>
          <w:lang w:val="en-GB"/>
        </w:rPr>
        <w:t>and increasing the YE</w:t>
      </w:r>
      <w:r w:rsidR="00B55096">
        <w:rPr>
          <w:lang w:val="en-GB"/>
        </w:rPr>
        <w:t xml:space="preserve"> concentration</w:t>
      </w:r>
      <w:r w:rsidR="00566E42">
        <w:rPr>
          <w:lang w:val="en-GB"/>
        </w:rPr>
        <w:t xml:space="preserve"> would improve the system</w:t>
      </w:r>
      <w:r w:rsidR="00E65FC7">
        <w:rPr>
          <w:lang w:val="en-GB"/>
        </w:rPr>
        <w:t xml:space="preserve"> overall</w:t>
      </w:r>
      <w:r w:rsidR="00B55096">
        <w:rPr>
          <w:lang w:val="en-GB"/>
        </w:rPr>
        <w:t xml:space="preserve"> because the nutrient availability would be significantly improved. The precipitate washout presents a possible avenue in lead recovery, improving this process would lead to new possibilities in remediation and recovery of lead from waste sites and polluted environments and water sources.</w:t>
      </w:r>
    </w:p>
    <w:sdt>
      <w:sdtPr>
        <w:rPr>
          <w:b w:val="0"/>
          <w:sz w:val="18"/>
        </w:rPr>
        <w:id w:val="-1130157842"/>
        <w:docPartObj>
          <w:docPartGallery w:val="Bibliographies"/>
          <w:docPartUnique/>
        </w:docPartObj>
      </w:sdtPr>
      <w:sdtEndPr/>
      <w:sdtContent>
        <w:p w14:paraId="3EFF0B95" w14:textId="53F4CAF8" w:rsidR="00566E42" w:rsidRDefault="00566E42">
          <w:pPr>
            <w:pStyle w:val="Heading1"/>
          </w:pPr>
          <w:r>
            <w:t>References</w:t>
          </w:r>
        </w:p>
        <w:sdt>
          <w:sdtPr>
            <w:id w:val="-573587230"/>
            <w:bibliography/>
          </w:sdtPr>
          <w:sdtEndPr/>
          <w:sdtContent>
            <w:p w14:paraId="178DB5F6" w14:textId="77777777" w:rsidR="007C785D" w:rsidRDefault="00566E42" w:rsidP="007C785D">
              <w:pPr>
                <w:pStyle w:val="Bibliography"/>
                <w:rPr>
                  <w:noProof/>
                  <w:sz w:val="24"/>
                  <w:szCs w:val="24"/>
                </w:rPr>
              </w:pPr>
              <w:r>
                <w:fldChar w:fldCharType="begin"/>
              </w:r>
              <w:r>
                <w:instrText xml:space="preserve"> BIBLIOGRAPHY </w:instrText>
              </w:r>
              <w:r>
                <w:fldChar w:fldCharType="separate"/>
              </w:r>
              <w:r w:rsidR="007C785D">
                <w:rPr>
                  <w:noProof/>
                </w:rPr>
                <w:t xml:space="preserve">Arbabi, M., Hemati, S. &amp; Amiri, M., 2015. Removal of Lead ions from industrial wastewater: A review of removal methods. </w:t>
              </w:r>
              <w:r w:rsidR="007C785D">
                <w:rPr>
                  <w:i/>
                  <w:iCs/>
                  <w:noProof/>
                </w:rPr>
                <w:t xml:space="preserve">International Journnal of Epidemiological Research , </w:t>
              </w:r>
              <w:r w:rsidR="007C785D">
                <w:rPr>
                  <w:noProof/>
                </w:rPr>
                <w:t>2(2), pp. 105-109.</w:t>
              </w:r>
            </w:p>
            <w:p w14:paraId="328A67B9" w14:textId="77777777" w:rsidR="007C785D" w:rsidRDefault="007C785D" w:rsidP="007C785D">
              <w:pPr>
                <w:pStyle w:val="Bibliography"/>
                <w:rPr>
                  <w:noProof/>
                </w:rPr>
              </w:pPr>
              <w:r>
                <w:rPr>
                  <w:noProof/>
                </w:rPr>
                <w:t xml:space="preserve">Brink, H. G., Hörstmann, C. &amp; Peens, J., 2019. Microbial Pb(II)-precipitation: the influence of oxygen on Pb(II)-removal from aqueous environment and the resulting precipitate identity. </w:t>
              </w:r>
              <w:r>
                <w:rPr>
                  <w:i/>
                  <w:iCs/>
                  <w:noProof/>
                </w:rPr>
                <w:t xml:space="preserve">International Journal of Environmental Science and Technology, </w:t>
              </w:r>
              <w:r>
                <w:rPr>
                  <w:noProof/>
                </w:rPr>
                <w:t>Volume 17, pp. 409-420.</w:t>
              </w:r>
            </w:p>
            <w:p w14:paraId="02B9F762" w14:textId="77777777" w:rsidR="007C785D" w:rsidRDefault="007C785D" w:rsidP="007C785D">
              <w:pPr>
                <w:pStyle w:val="Bibliography"/>
                <w:rPr>
                  <w:noProof/>
                </w:rPr>
              </w:pPr>
              <w:r>
                <w:rPr>
                  <w:noProof/>
                </w:rPr>
                <w:t xml:space="preserve">Brink, H. G., Lategan, M., Naude, K. &amp; Chirwa, E. M., 2017. Lead Removal Using Industrially Sourced Consortia: Influence of Lead and Glucose Concentrations. </w:t>
              </w:r>
              <w:r>
                <w:rPr>
                  <w:i/>
                  <w:iCs/>
                  <w:noProof/>
                </w:rPr>
                <w:t xml:space="preserve">Chemical Engineering Transactions , </w:t>
              </w:r>
              <w:r>
                <w:rPr>
                  <w:noProof/>
                </w:rPr>
                <w:t>Volume 57, pp. 409-414.</w:t>
              </w:r>
            </w:p>
            <w:p w14:paraId="33540F8B" w14:textId="77777777" w:rsidR="007C785D" w:rsidRDefault="007C785D" w:rsidP="007C785D">
              <w:pPr>
                <w:pStyle w:val="Bibliography"/>
                <w:rPr>
                  <w:noProof/>
                </w:rPr>
              </w:pPr>
              <w:r>
                <w:rPr>
                  <w:noProof/>
                </w:rPr>
                <w:t xml:space="preserve">Brown, T. L., Lemay, E. H. &amp; Bursten, B. E., 2000. </w:t>
              </w:r>
              <w:r>
                <w:rPr>
                  <w:i/>
                  <w:iCs/>
                  <w:noProof/>
                </w:rPr>
                <w:t xml:space="preserve">Chemistry: The Central Science. </w:t>
              </w:r>
              <w:r>
                <w:rPr>
                  <w:noProof/>
                </w:rPr>
                <w:t>8th ed. s.l.:Prentice Hall Inc .</w:t>
              </w:r>
            </w:p>
            <w:p w14:paraId="3AE51008" w14:textId="77777777" w:rsidR="007C785D" w:rsidRDefault="007C785D" w:rsidP="007C785D">
              <w:pPr>
                <w:pStyle w:val="Bibliography"/>
                <w:rPr>
                  <w:noProof/>
                </w:rPr>
              </w:pPr>
              <w:r>
                <w:rPr>
                  <w:noProof/>
                </w:rPr>
                <w:t xml:space="preserve">Chatterjee, S., Mukherjee, A., Sarker &amp; Rpy, P., 2014. Bioremediation of lead by lead resistant microorganisms, isolated from industrial sample. </w:t>
              </w:r>
              <w:r>
                <w:rPr>
                  <w:i/>
                  <w:iCs/>
                  <w:noProof/>
                </w:rPr>
                <w:t xml:space="preserve">Advanced Biotechnology, </w:t>
              </w:r>
              <w:r>
                <w:rPr>
                  <w:noProof/>
                </w:rPr>
                <w:t>Issue 3, pp. 290-295.</w:t>
              </w:r>
            </w:p>
            <w:p w14:paraId="00A4C6CC" w14:textId="77777777" w:rsidR="007C785D" w:rsidRDefault="007C785D" w:rsidP="007C785D">
              <w:pPr>
                <w:pStyle w:val="Bibliography"/>
                <w:rPr>
                  <w:noProof/>
                </w:rPr>
              </w:pPr>
              <w:r>
                <w:rPr>
                  <w:noProof/>
                </w:rPr>
                <w:t xml:space="preserve">Chimhundi, J., Hörstmann, C., Chirwa, E. &amp; Brink, H., 2021. Microbial Removal of Pb(II) using an Upflow Anaerobic Sludge Blanket (UASB) Reactor. </w:t>
              </w:r>
              <w:r>
                <w:rPr>
                  <w:i/>
                  <w:iCs/>
                  <w:noProof/>
                </w:rPr>
                <w:t xml:space="preserve">Catalysts , </w:t>
              </w:r>
              <w:r>
                <w:rPr>
                  <w:noProof/>
                </w:rPr>
                <w:t>11(4), p. 512.</w:t>
              </w:r>
            </w:p>
            <w:p w14:paraId="4C6B22F3" w14:textId="77777777" w:rsidR="007C785D" w:rsidRDefault="007C785D" w:rsidP="007C785D">
              <w:pPr>
                <w:pStyle w:val="Bibliography"/>
                <w:rPr>
                  <w:noProof/>
                </w:rPr>
              </w:pPr>
              <w:r>
                <w:rPr>
                  <w:noProof/>
                </w:rPr>
                <w:t xml:space="preserve">Horstmann, C. &amp; Brink, H. G., 2019. Microbial Lead (II) Precipitation: The influence of Zn(II) and Cu(II). </w:t>
              </w:r>
              <w:r>
                <w:rPr>
                  <w:i/>
                  <w:iCs/>
                  <w:noProof/>
                </w:rPr>
                <w:t xml:space="preserve">Chemical Engineering Transactions , </w:t>
              </w:r>
              <w:r>
                <w:rPr>
                  <w:noProof/>
                </w:rPr>
                <w:t>Volume 74, pp. 1447-1452.</w:t>
              </w:r>
            </w:p>
            <w:p w14:paraId="4528AFE0" w14:textId="77777777" w:rsidR="007C785D" w:rsidRDefault="007C785D" w:rsidP="007C785D">
              <w:pPr>
                <w:pStyle w:val="Bibliography"/>
                <w:rPr>
                  <w:noProof/>
                </w:rPr>
              </w:pPr>
              <w:r>
                <w:rPr>
                  <w:noProof/>
                </w:rPr>
                <w:t xml:space="preserve">M.M, N. &amp; Dubey, S., 2013. Lead Resistant Bacteria: Lead Resistance Mechanisms, Their Applications in Lead Bioremediation and Biomonitoring. </w:t>
              </w:r>
              <w:r>
                <w:rPr>
                  <w:i/>
                  <w:iCs/>
                  <w:noProof/>
                </w:rPr>
                <w:t xml:space="preserve">Ecotoxicology and Environmental Safety , </w:t>
              </w:r>
              <w:r>
                <w:rPr>
                  <w:noProof/>
                </w:rPr>
                <w:t>Volume 98, pp. 1-7.</w:t>
              </w:r>
            </w:p>
            <w:p w14:paraId="44F00362" w14:textId="77777777" w:rsidR="007C785D" w:rsidRDefault="007C785D" w:rsidP="007C785D">
              <w:pPr>
                <w:pStyle w:val="Bibliography"/>
                <w:rPr>
                  <w:noProof/>
                </w:rPr>
              </w:pPr>
              <w:r>
                <w:rPr>
                  <w:noProof/>
                </w:rPr>
                <w:t xml:space="preserve">Needleman, H., 2004. Lead Poisoning. </w:t>
              </w:r>
              <w:r>
                <w:rPr>
                  <w:i/>
                  <w:iCs/>
                  <w:noProof/>
                </w:rPr>
                <w:t xml:space="preserve">Annual Review of Medicine , </w:t>
              </w:r>
              <w:r>
                <w:rPr>
                  <w:noProof/>
                </w:rPr>
                <w:t>55(1), pp. 209-222.</w:t>
              </w:r>
            </w:p>
            <w:p w14:paraId="46BEACBB" w14:textId="77777777" w:rsidR="007C785D" w:rsidRDefault="007C785D" w:rsidP="007C785D">
              <w:pPr>
                <w:pStyle w:val="Bibliography"/>
                <w:rPr>
                  <w:noProof/>
                </w:rPr>
              </w:pPr>
              <w:r>
                <w:rPr>
                  <w:noProof/>
                </w:rPr>
                <w:t xml:space="preserve">Ngwenya, N. &amp; Chirwa, E., 2010. Single and binary component sorption of the fission products Sr2+, Cs+ and Co2+ from aqueous solutions onto sulphate reducing bacteria. </w:t>
              </w:r>
              <w:r>
                <w:rPr>
                  <w:i/>
                  <w:iCs/>
                  <w:noProof/>
                </w:rPr>
                <w:t xml:space="preserve">Minerals Engineering , </w:t>
              </w:r>
              <w:r>
                <w:rPr>
                  <w:noProof/>
                </w:rPr>
                <w:t>23(6), pp. 463-470.</w:t>
              </w:r>
            </w:p>
            <w:p w14:paraId="1BF54B84" w14:textId="77777777" w:rsidR="007C785D" w:rsidRDefault="007C785D" w:rsidP="007C785D">
              <w:pPr>
                <w:pStyle w:val="Bibliography"/>
                <w:rPr>
                  <w:noProof/>
                </w:rPr>
              </w:pPr>
              <w:r>
                <w:rPr>
                  <w:noProof/>
                </w:rPr>
                <w:t xml:space="preserve">Papp, A., Pecze, L., Szabó, A. &amp; Vezér, T., 2006. Effects on the central and peripheral nervous activity in rats elicited by acute administration of lead, mercury and manganese, and their combinations. </w:t>
              </w:r>
              <w:r>
                <w:rPr>
                  <w:i/>
                  <w:iCs/>
                  <w:noProof/>
                </w:rPr>
                <w:t xml:space="preserve">Journal of Applied Toxicology: JAT, </w:t>
              </w:r>
              <w:r>
                <w:rPr>
                  <w:noProof/>
                </w:rPr>
                <w:t>Volume 26, pp. 374-380.</w:t>
              </w:r>
            </w:p>
            <w:p w14:paraId="2C5EC8AB" w14:textId="77777777" w:rsidR="007C785D" w:rsidRDefault="007C785D" w:rsidP="007C785D">
              <w:pPr>
                <w:pStyle w:val="Bibliography"/>
                <w:rPr>
                  <w:noProof/>
                </w:rPr>
              </w:pPr>
              <w:r>
                <w:rPr>
                  <w:noProof/>
                </w:rPr>
                <w:t xml:space="preserve">Tendendzai, J. T., Chirwa, E. M. &amp; Brink, H. G., 2022. Enterococcus spp. Cell-Free Extract: An Abiotic Route for Synthesis of Selenium Nanoparticles (SeNPs), Their Characterisation and Inhibition of Escherichia coli. </w:t>
              </w:r>
              <w:r>
                <w:rPr>
                  <w:i/>
                  <w:iCs/>
                  <w:noProof/>
                </w:rPr>
                <w:t xml:space="preserve">Nanomaterials , </w:t>
              </w:r>
              <w:r>
                <w:rPr>
                  <w:noProof/>
                </w:rPr>
                <w:t>Issue 2022, pp. 1-13.</w:t>
              </w:r>
            </w:p>
            <w:p w14:paraId="4B45070F" w14:textId="77777777" w:rsidR="007C785D" w:rsidRDefault="007C785D" w:rsidP="007C785D">
              <w:pPr>
                <w:pStyle w:val="Bibliography"/>
                <w:rPr>
                  <w:noProof/>
                </w:rPr>
              </w:pPr>
              <w:r>
                <w:rPr>
                  <w:noProof/>
                </w:rPr>
                <w:t xml:space="preserve">Tiquia-Arashiro, S. M., 2018. Lead absorption mechanisms in bacteria as strategies for lead bioremediation. </w:t>
              </w:r>
              <w:r>
                <w:rPr>
                  <w:i/>
                  <w:iCs/>
                  <w:noProof/>
                </w:rPr>
                <w:t xml:space="preserve">Applied Microbiology and Biotechnology, </w:t>
              </w:r>
              <w:r>
                <w:rPr>
                  <w:noProof/>
                </w:rPr>
                <w:t>Volume 102, pp. 5437-5444.</w:t>
              </w:r>
            </w:p>
            <w:p w14:paraId="322CBA78" w14:textId="77777777" w:rsidR="007C785D" w:rsidRDefault="007C785D" w:rsidP="007C785D">
              <w:pPr>
                <w:pStyle w:val="Bibliography"/>
                <w:rPr>
                  <w:noProof/>
                </w:rPr>
              </w:pPr>
              <w:r>
                <w:rPr>
                  <w:noProof/>
                </w:rPr>
                <w:t xml:space="preserve">Tiwari, S. et al., 2013. Effects of Lead on Environment.. </w:t>
              </w:r>
              <w:r>
                <w:rPr>
                  <w:i/>
                  <w:iCs/>
                  <w:noProof/>
                </w:rPr>
                <w:t xml:space="preserve">International Journal of Emerging Research in Management &amp; Technology, </w:t>
              </w:r>
              <w:r>
                <w:rPr>
                  <w:noProof/>
                </w:rPr>
                <w:t>2(6), pp. 1-5.</w:t>
              </w:r>
            </w:p>
            <w:p w14:paraId="78FA5645" w14:textId="77777777" w:rsidR="007C785D" w:rsidRDefault="007C785D" w:rsidP="007C785D">
              <w:pPr>
                <w:pStyle w:val="Bibliography"/>
                <w:rPr>
                  <w:noProof/>
                </w:rPr>
              </w:pPr>
              <w:r>
                <w:rPr>
                  <w:noProof/>
                </w:rPr>
                <w:t xml:space="preserve">Wang, H. et al., 2010. An improved 3-(4,5-dimethylthiazol-2-yl)-2,5-diphenyl tetrazolium bromide (MTT) reduction assay for evaluating the viability of Escherichia coli cells. </w:t>
              </w:r>
              <w:r>
                <w:rPr>
                  <w:i/>
                  <w:iCs/>
                  <w:noProof/>
                </w:rPr>
                <w:t xml:space="preserve">Journal of Microbiological Methods, </w:t>
              </w:r>
              <w:r>
                <w:rPr>
                  <w:noProof/>
                </w:rPr>
                <w:t>82(3), pp. 330-333.</w:t>
              </w:r>
            </w:p>
            <w:p w14:paraId="19C4FC68" w14:textId="08E40480" w:rsidR="004628D2" w:rsidRDefault="00566E42" w:rsidP="007C785D">
              <w:r>
                <w:rPr>
                  <w:b/>
                  <w:bCs/>
                  <w:noProof/>
                </w:rPr>
                <w:fldChar w:fldCharType="end"/>
              </w:r>
            </w:p>
          </w:sdtContent>
        </w:sdt>
      </w:sdtContent>
    </w:sdt>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07FD" w14:textId="77777777" w:rsidR="008B13CB" w:rsidRDefault="008B13CB" w:rsidP="004F5E36">
      <w:r>
        <w:separator/>
      </w:r>
    </w:p>
  </w:endnote>
  <w:endnote w:type="continuationSeparator" w:id="0">
    <w:p w14:paraId="563CC1DB" w14:textId="77777777" w:rsidR="008B13CB" w:rsidRDefault="008B13C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0249" w14:textId="77777777" w:rsidR="008B13CB" w:rsidRDefault="008B13CB" w:rsidP="004F5E36">
      <w:r>
        <w:separator/>
      </w:r>
    </w:p>
  </w:footnote>
  <w:footnote w:type="continuationSeparator" w:id="0">
    <w:p w14:paraId="4E394452" w14:textId="77777777" w:rsidR="008B13CB" w:rsidRDefault="008B13C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7F34096"/>
    <w:multiLevelType w:val="hybridMultilevel"/>
    <w:tmpl w:val="DEB4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D26"/>
    <w:rsid w:val="000052FB"/>
    <w:rsid w:val="00006350"/>
    <w:rsid w:val="000117CB"/>
    <w:rsid w:val="000121DD"/>
    <w:rsid w:val="0003148D"/>
    <w:rsid w:val="00031EEC"/>
    <w:rsid w:val="00041768"/>
    <w:rsid w:val="00051566"/>
    <w:rsid w:val="00055BBA"/>
    <w:rsid w:val="000562A9"/>
    <w:rsid w:val="00062A9A"/>
    <w:rsid w:val="00065058"/>
    <w:rsid w:val="000652AC"/>
    <w:rsid w:val="00067F26"/>
    <w:rsid w:val="00081381"/>
    <w:rsid w:val="00086C39"/>
    <w:rsid w:val="000A03B2"/>
    <w:rsid w:val="000C4030"/>
    <w:rsid w:val="000D0268"/>
    <w:rsid w:val="000D34BE"/>
    <w:rsid w:val="000D75FB"/>
    <w:rsid w:val="000E102F"/>
    <w:rsid w:val="000E36F1"/>
    <w:rsid w:val="000E3A73"/>
    <w:rsid w:val="000E414A"/>
    <w:rsid w:val="000F093C"/>
    <w:rsid w:val="000F2D6A"/>
    <w:rsid w:val="000F787B"/>
    <w:rsid w:val="00116A77"/>
    <w:rsid w:val="00116EED"/>
    <w:rsid w:val="0012091F"/>
    <w:rsid w:val="00126BC2"/>
    <w:rsid w:val="001308B6"/>
    <w:rsid w:val="0013121F"/>
    <w:rsid w:val="00131FE6"/>
    <w:rsid w:val="0013263F"/>
    <w:rsid w:val="001331DF"/>
    <w:rsid w:val="00134DE4"/>
    <w:rsid w:val="0014034D"/>
    <w:rsid w:val="00144D16"/>
    <w:rsid w:val="00150E59"/>
    <w:rsid w:val="001529C3"/>
    <w:rsid w:val="00152DE3"/>
    <w:rsid w:val="00156F74"/>
    <w:rsid w:val="00161779"/>
    <w:rsid w:val="00164CF9"/>
    <w:rsid w:val="001667A6"/>
    <w:rsid w:val="001757A4"/>
    <w:rsid w:val="0018454F"/>
    <w:rsid w:val="00184AD6"/>
    <w:rsid w:val="00191CB3"/>
    <w:rsid w:val="001A42D6"/>
    <w:rsid w:val="001A4AF7"/>
    <w:rsid w:val="001B0349"/>
    <w:rsid w:val="001B0D93"/>
    <w:rsid w:val="001B1E93"/>
    <w:rsid w:val="001B2791"/>
    <w:rsid w:val="001B65C1"/>
    <w:rsid w:val="001C684B"/>
    <w:rsid w:val="001D0CFB"/>
    <w:rsid w:val="001D21AF"/>
    <w:rsid w:val="001D53FC"/>
    <w:rsid w:val="001D6830"/>
    <w:rsid w:val="001E06D3"/>
    <w:rsid w:val="001E1DA2"/>
    <w:rsid w:val="001F42A5"/>
    <w:rsid w:val="001F7B9D"/>
    <w:rsid w:val="00200BA2"/>
    <w:rsid w:val="00201C93"/>
    <w:rsid w:val="0021675F"/>
    <w:rsid w:val="002224B4"/>
    <w:rsid w:val="002266CD"/>
    <w:rsid w:val="002447EF"/>
    <w:rsid w:val="00247FE7"/>
    <w:rsid w:val="00251550"/>
    <w:rsid w:val="00263B05"/>
    <w:rsid w:val="0027221A"/>
    <w:rsid w:val="00275B61"/>
    <w:rsid w:val="00280FAF"/>
    <w:rsid w:val="00282656"/>
    <w:rsid w:val="0029018D"/>
    <w:rsid w:val="002949B6"/>
    <w:rsid w:val="00296B83"/>
    <w:rsid w:val="002B4015"/>
    <w:rsid w:val="002B78CE"/>
    <w:rsid w:val="002C2FB6"/>
    <w:rsid w:val="002E5FA7"/>
    <w:rsid w:val="002F1B7B"/>
    <w:rsid w:val="002F3309"/>
    <w:rsid w:val="003008CE"/>
    <w:rsid w:val="003009B7"/>
    <w:rsid w:val="00300E56"/>
    <w:rsid w:val="0030152C"/>
    <w:rsid w:val="0030469C"/>
    <w:rsid w:val="00311D00"/>
    <w:rsid w:val="00314257"/>
    <w:rsid w:val="00321CA6"/>
    <w:rsid w:val="00323763"/>
    <w:rsid w:val="00323C5F"/>
    <w:rsid w:val="00324CA8"/>
    <w:rsid w:val="00334C09"/>
    <w:rsid w:val="0034692D"/>
    <w:rsid w:val="003723D4"/>
    <w:rsid w:val="00374573"/>
    <w:rsid w:val="00381905"/>
    <w:rsid w:val="0038240E"/>
    <w:rsid w:val="00384CC8"/>
    <w:rsid w:val="003871FD"/>
    <w:rsid w:val="003A1E30"/>
    <w:rsid w:val="003A2829"/>
    <w:rsid w:val="003A6FC6"/>
    <w:rsid w:val="003A7D1C"/>
    <w:rsid w:val="003B1F5E"/>
    <w:rsid w:val="003B304B"/>
    <w:rsid w:val="003B3146"/>
    <w:rsid w:val="003D6F3D"/>
    <w:rsid w:val="003E0D50"/>
    <w:rsid w:val="003F015E"/>
    <w:rsid w:val="00400414"/>
    <w:rsid w:val="00403687"/>
    <w:rsid w:val="00411499"/>
    <w:rsid w:val="0041446B"/>
    <w:rsid w:val="00416E40"/>
    <w:rsid w:val="0044071E"/>
    <w:rsid w:val="0044329C"/>
    <w:rsid w:val="00446279"/>
    <w:rsid w:val="00447099"/>
    <w:rsid w:val="00453E24"/>
    <w:rsid w:val="00457456"/>
    <w:rsid w:val="004577FE"/>
    <w:rsid w:val="00457B9C"/>
    <w:rsid w:val="0046164A"/>
    <w:rsid w:val="004628D2"/>
    <w:rsid w:val="00462DCD"/>
    <w:rsid w:val="004648AD"/>
    <w:rsid w:val="004703A9"/>
    <w:rsid w:val="004760DE"/>
    <w:rsid w:val="004761E9"/>
    <w:rsid w:val="004763D7"/>
    <w:rsid w:val="00477887"/>
    <w:rsid w:val="00481BA5"/>
    <w:rsid w:val="004977F0"/>
    <w:rsid w:val="004A004E"/>
    <w:rsid w:val="004A24CF"/>
    <w:rsid w:val="004C3D1D"/>
    <w:rsid w:val="004C3D84"/>
    <w:rsid w:val="004C7913"/>
    <w:rsid w:val="004E0DB2"/>
    <w:rsid w:val="004E4DD6"/>
    <w:rsid w:val="004F1122"/>
    <w:rsid w:val="004F5E36"/>
    <w:rsid w:val="00507B47"/>
    <w:rsid w:val="00507BEF"/>
    <w:rsid w:val="00507CC9"/>
    <w:rsid w:val="005119A5"/>
    <w:rsid w:val="00516AAC"/>
    <w:rsid w:val="005278B7"/>
    <w:rsid w:val="00532016"/>
    <w:rsid w:val="005346C8"/>
    <w:rsid w:val="00543E7D"/>
    <w:rsid w:val="00547A68"/>
    <w:rsid w:val="005531C9"/>
    <w:rsid w:val="0056188D"/>
    <w:rsid w:val="00566E42"/>
    <w:rsid w:val="00570C43"/>
    <w:rsid w:val="005728A4"/>
    <w:rsid w:val="005B2110"/>
    <w:rsid w:val="005B2469"/>
    <w:rsid w:val="005B2842"/>
    <w:rsid w:val="005B61E6"/>
    <w:rsid w:val="005C77E1"/>
    <w:rsid w:val="005C791F"/>
    <w:rsid w:val="005D43BC"/>
    <w:rsid w:val="005D668A"/>
    <w:rsid w:val="005D6A2F"/>
    <w:rsid w:val="005E1A82"/>
    <w:rsid w:val="005E794C"/>
    <w:rsid w:val="005F0A28"/>
    <w:rsid w:val="005F0E5E"/>
    <w:rsid w:val="00600535"/>
    <w:rsid w:val="00601AC2"/>
    <w:rsid w:val="006040B5"/>
    <w:rsid w:val="00610CD6"/>
    <w:rsid w:val="00620DEE"/>
    <w:rsid w:val="00621F92"/>
    <w:rsid w:val="0062280A"/>
    <w:rsid w:val="00625639"/>
    <w:rsid w:val="00631B33"/>
    <w:rsid w:val="0064184D"/>
    <w:rsid w:val="0064226C"/>
    <w:rsid w:val="006422CC"/>
    <w:rsid w:val="00660E3E"/>
    <w:rsid w:val="00662E74"/>
    <w:rsid w:val="00674120"/>
    <w:rsid w:val="00680C23"/>
    <w:rsid w:val="00693766"/>
    <w:rsid w:val="006A3281"/>
    <w:rsid w:val="006A7468"/>
    <w:rsid w:val="006B0AC9"/>
    <w:rsid w:val="006B4888"/>
    <w:rsid w:val="006C2E45"/>
    <w:rsid w:val="006C359C"/>
    <w:rsid w:val="006C5579"/>
    <w:rsid w:val="006C5F6D"/>
    <w:rsid w:val="006D6E8B"/>
    <w:rsid w:val="006E124F"/>
    <w:rsid w:val="006E737D"/>
    <w:rsid w:val="006F0928"/>
    <w:rsid w:val="00705F77"/>
    <w:rsid w:val="00713973"/>
    <w:rsid w:val="00720A24"/>
    <w:rsid w:val="00723169"/>
    <w:rsid w:val="0072385F"/>
    <w:rsid w:val="00732386"/>
    <w:rsid w:val="0073514D"/>
    <w:rsid w:val="007447F3"/>
    <w:rsid w:val="00745AD9"/>
    <w:rsid w:val="0075499F"/>
    <w:rsid w:val="007661C8"/>
    <w:rsid w:val="0077098D"/>
    <w:rsid w:val="00776CFB"/>
    <w:rsid w:val="00777622"/>
    <w:rsid w:val="00786F81"/>
    <w:rsid w:val="007931FA"/>
    <w:rsid w:val="00797C5E"/>
    <w:rsid w:val="007A036A"/>
    <w:rsid w:val="007A0C8F"/>
    <w:rsid w:val="007A4861"/>
    <w:rsid w:val="007A7BBA"/>
    <w:rsid w:val="007B0C50"/>
    <w:rsid w:val="007B48F9"/>
    <w:rsid w:val="007B5193"/>
    <w:rsid w:val="007B5435"/>
    <w:rsid w:val="007C1A43"/>
    <w:rsid w:val="007C675E"/>
    <w:rsid w:val="007C785D"/>
    <w:rsid w:val="007D0951"/>
    <w:rsid w:val="0080013E"/>
    <w:rsid w:val="00813288"/>
    <w:rsid w:val="008168FC"/>
    <w:rsid w:val="00830996"/>
    <w:rsid w:val="008345F1"/>
    <w:rsid w:val="00842813"/>
    <w:rsid w:val="00843EAC"/>
    <w:rsid w:val="0086110D"/>
    <w:rsid w:val="00865B07"/>
    <w:rsid w:val="008667EA"/>
    <w:rsid w:val="0087637F"/>
    <w:rsid w:val="00877C41"/>
    <w:rsid w:val="00892AD5"/>
    <w:rsid w:val="008A1512"/>
    <w:rsid w:val="008A1BF6"/>
    <w:rsid w:val="008A297E"/>
    <w:rsid w:val="008A54DB"/>
    <w:rsid w:val="008B13CB"/>
    <w:rsid w:val="008B7C03"/>
    <w:rsid w:val="008D32B9"/>
    <w:rsid w:val="008D433B"/>
    <w:rsid w:val="008D4A16"/>
    <w:rsid w:val="008E4BEB"/>
    <w:rsid w:val="008E566E"/>
    <w:rsid w:val="008F0675"/>
    <w:rsid w:val="008F73BA"/>
    <w:rsid w:val="0090161A"/>
    <w:rsid w:val="00901EB6"/>
    <w:rsid w:val="00904C62"/>
    <w:rsid w:val="009069F7"/>
    <w:rsid w:val="00917C12"/>
    <w:rsid w:val="00922BA8"/>
    <w:rsid w:val="00924102"/>
    <w:rsid w:val="00924DAC"/>
    <w:rsid w:val="00927058"/>
    <w:rsid w:val="00937EE6"/>
    <w:rsid w:val="00941B49"/>
    <w:rsid w:val="00942750"/>
    <w:rsid w:val="009450CE"/>
    <w:rsid w:val="009459BB"/>
    <w:rsid w:val="00947179"/>
    <w:rsid w:val="0095164B"/>
    <w:rsid w:val="00954090"/>
    <w:rsid w:val="009573E7"/>
    <w:rsid w:val="00960430"/>
    <w:rsid w:val="00962BC6"/>
    <w:rsid w:val="00963E05"/>
    <w:rsid w:val="00964A45"/>
    <w:rsid w:val="00967843"/>
    <w:rsid w:val="00967D54"/>
    <w:rsid w:val="00971028"/>
    <w:rsid w:val="00987CC0"/>
    <w:rsid w:val="00993B84"/>
    <w:rsid w:val="00996483"/>
    <w:rsid w:val="00996F5A"/>
    <w:rsid w:val="00997008"/>
    <w:rsid w:val="009A25FD"/>
    <w:rsid w:val="009B041A"/>
    <w:rsid w:val="009B4D73"/>
    <w:rsid w:val="009B6A7B"/>
    <w:rsid w:val="009C37C3"/>
    <w:rsid w:val="009C398A"/>
    <w:rsid w:val="009C7C86"/>
    <w:rsid w:val="009D2FF7"/>
    <w:rsid w:val="009E24EE"/>
    <w:rsid w:val="009E7884"/>
    <w:rsid w:val="009E788A"/>
    <w:rsid w:val="009F0E08"/>
    <w:rsid w:val="009F4E5F"/>
    <w:rsid w:val="009F792A"/>
    <w:rsid w:val="00A003E2"/>
    <w:rsid w:val="00A03EF4"/>
    <w:rsid w:val="00A110A6"/>
    <w:rsid w:val="00A1763D"/>
    <w:rsid w:val="00A17CEC"/>
    <w:rsid w:val="00A27EF0"/>
    <w:rsid w:val="00A42361"/>
    <w:rsid w:val="00A50B20"/>
    <w:rsid w:val="00A51390"/>
    <w:rsid w:val="00A60D13"/>
    <w:rsid w:val="00A66D89"/>
    <w:rsid w:val="00A6748F"/>
    <w:rsid w:val="00A7223D"/>
    <w:rsid w:val="00A72745"/>
    <w:rsid w:val="00A74885"/>
    <w:rsid w:val="00A76EFC"/>
    <w:rsid w:val="00A87D50"/>
    <w:rsid w:val="00A91010"/>
    <w:rsid w:val="00A94978"/>
    <w:rsid w:val="00A97F29"/>
    <w:rsid w:val="00AA30F3"/>
    <w:rsid w:val="00AA702E"/>
    <w:rsid w:val="00AA7D26"/>
    <w:rsid w:val="00AB0964"/>
    <w:rsid w:val="00AB5011"/>
    <w:rsid w:val="00AC7368"/>
    <w:rsid w:val="00AD056B"/>
    <w:rsid w:val="00AD16B9"/>
    <w:rsid w:val="00AD27E4"/>
    <w:rsid w:val="00AE377D"/>
    <w:rsid w:val="00AF061B"/>
    <w:rsid w:val="00AF0EBA"/>
    <w:rsid w:val="00B0216B"/>
    <w:rsid w:val="00B02C8A"/>
    <w:rsid w:val="00B17FBD"/>
    <w:rsid w:val="00B21E87"/>
    <w:rsid w:val="00B2313B"/>
    <w:rsid w:val="00B24052"/>
    <w:rsid w:val="00B315A6"/>
    <w:rsid w:val="00B31813"/>
    <w:rsid w:val="00B33365"/>
    <w:rsid w:val="00B44688"/>
    <w:rsid w:val="00B55096"/>
    <w:rsid w:val="00B57B36"/>
    <w:rsid w:val="00B57E6F"/>
    <w:rsid w:val="00B61E01"/>
    <w:rsid w:val="00B745C4"/>
    <w:rsid w:val="00B75390"/>
    <w:rsid w:val="00B8686D"/>
    <w:rsid w:val="00B90218"/>
    <w:rsid w:val="00B93F69"/>
    <w:rsid w:val="00B95B2E"/>
    <w:rsid w:val="00BB1DDC"/>
    <w:rsid w:val="00BC2168"/>
    <w:rsid w:val="00BC30C9"/>
    <w:rsid w:val="00BD077D"/>
    <w:rsid w:val="00BE3E58"/>
    <w:rsid w:val="00BE6CBE"/>
    <w:rsid w:val="00C01616"/>
    <w:rsid w:val="00C0162B"/>
    <w:rsid w:val="00C03727"/>
    <w:rsid w:val="00C068ED"/>
    <w:rsid w:val="00C148CA"/>
    <w:rsid w:val="00C22E0C"/>
    <w:rsid w:val="00C345B1"/>
    <w:rsid w:val="00C40142"/>
    <w:rsid w:val="00C43D99"/>
    <w:rsid w:val="00C505B0"/>
    <w:rsid w:val="00C52C3C"/>
    <w:rsid w:val="00C57182"/>
    <w:rsid w:val="00C57863"/>
    <w:rsid w:val="00C640AF"/>
    <w:rsid w:val="00C6474C"/>
    <w:rsid w:val="00C655FD"/>
    <w:rsid w:val="00C73954"/>
    <w:rsid w:val="00C75407"/>
    <w:rsid w:val="00C85FC8"/>
    <w:rsid w:val="00C870A8"/>
    <w:rsid w:val="00C94434"/>
    <w:rsid w:val="00CA0D4A"/>
    <w:rsid w:val="00CA0D75"/>
    <w:rsid w:val="00CA1C95"/>
    <w:rsid w:val="00CA403E"/>
    <w:rsid w:val="00CA479B"/>
    <w:rsid w:val="00CA5A9C"/>
    <w:rsid w:val="00CB5A32"/>
    <w:rsid w:val="00CC4C20"/>
    <w:rsid w:val="00CD3517"/>
    <w:rsid w:val="00CD5FE2"/>
    <w:rsid w:val="00CD7FBB"/>
    <w:rsid w:val="00CE3A1C"/>
    <w:rsid w:val="00CE4B7C"/>
    <w:rsid w:val="00CE7C68"/>
    <w:rsid w:val="00CF0623"/>
    <w:rsid w:val="00D00C36"/>
    <w:rsid w:val="00D02B4C"/>
    <w:rsid w:val="00D040C4"/>
    <w:rsid w:val="00D14FB5"/>
    <w:rsid w:val="00D157F1"/>
    <w:rsid w:val="00D20AD1"/>
    <w:rsid w:val="00D2778B"/>
    <w:rsid w:val="00D46B7E"/>
    <w:rsid w:val="00D57C84"/>
    <w:rsid w:val="00D6057D"/>
    <w:rsid w:val="00D60B93"/>
    <w:rsid w:val="00D648EC"/>
    <w:rsid w:val="00D71640"/>
    <w:rsid w:val="00D836C5"/>
    <w:rsid w:val="00D84576"/>
    <w:rsid w:val="00D96D90"/>
    <w:rsid w:val="00D9737D"/>
    <w:rsid w:val="00DA1399"/>
    <w:rsid w:val="00DA24C6"/>
    <w:rsid w:val="00DA4D7B"/>
    <w:rsid w:val="00DC3D4F"/>
    <w:rsid w:val="00DC5D14"/>
    <w:rsid w:val="00DD271C"/>
    <w:rsid w:val="00DD6AF4"/>
    <w:rsid w:val="00DD7183"/>
    <w:rsid w:val="00DE2052"/>
    <w:rsid w:val="00DE264A"/>
    <w:rsid w:val="00DF5072"/>
    <w:rsid w:val="00E02D18"/>
    <w:rsid w:val="00E041E7"/>
    <w:rsid w:val="00E15DC2"/>
    <w:rsid w:val="00E23CA1"/>
    <w:rsid w:val="00E33DD7"/>
    <w:rsid w:val="00E409A8"/>
    <w:rsid w:val="00E45541"/>
    <w:rsid w:val="00E470A8"/>
    <w:rsid w:val="00E50C12"/>
    <w:rsid w:val="00E549F1"/>
    <w:rsid w:val="00E65B91"/>
    <w:rsid w:val="00E65FC7"/>
    <w:rsid w:val="00E7209D"/>
    <w:rsid w:val="00E72EAD"/>
    <w:rsid w:val="00E77223"/>
    <w:rsid w:val="00E8528B"/>
    <w:rsid w:val="00E85B94"/>
    <w:rsid w:val="00E93561"/>
    <w:rsid w:val="00E978D0"/>
    <w:rsid w:val="00EA24A3"/>
    <w:rsid w:val="00EA4613"/>
    <w:rsid w:val="00EA7F91"/>
    <w:rsid w:val="00EB1523"/>
    <w:rsid w:val="00EB2339"/>
    <w:rsid w:val="00EC0E49"/>
    <w:rsid w:val="00EC101F"/>
    <w:rsid w:val="00EC1D4A"/>
    <w:rsid w:val="00EC1D9F"/>
    <w:rsid w:val="00EC312D"/>
    <w:rsid w:val="00EC7715"/>
    <w:rsid w:val="00EE0131"/>
    <w:rsid w:val="00EE17B0"/>
    <w:rsid w:val="00EE50E2"/>
    <w:rsid w:val="00EE5412"/>
    <w:rsid w:val="00EF06D9"/>
    <w:rsid w:val="00F05E33"/>
    <w:rsid w:val="00F3049E"/>
    <w:rsid w:val="00F30C64"/>
    <w:rsid w:val="00F32956"/>
    <w:rsid w:val="00F32BA2"/>
    <w:rsid w:val="00F32CDB"/>
    <w:rsid w:val="00F548F1"/>
    <w:rsid w:val="00F565FE"/>
    <w:rsid w:val="00F63A70"/>
    <w:rsid w:val="00F63D8C"/>
    <w:rsid w:val="00F719C2"/>
    <w:rsid w:val="00F72AE0"/>
    <w:rsid w:val="00F75187"/>
    <w:rsid w:val="00F7534E"/>
    <w:rsid w:val="00F7617A"/>
    <w:rsid w:val="00F93EDF"/>
    <w:rsid w:val="00FA1802"/>
    <w:rsid w:val="00FA21D0"/>
    <w:rsid w:val="00FA5F5F"/>
    <w:rsid w:val="00FB730C"/>
    <w:rsid w:val="00FC2695"/>
    <w:rsid w:val="00FC3E03"/>
    <w:rsid w:val="00FC3FC1"/>
    <w:rsid w:val="00FD1C8F"/>
    <w:rsid w:val="00FE67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EndnoteReference">
    <w:name w:val="endnote reference"/>
    <w:basedOn w:val="DefaultParagraphFont"/>
    <w:uiPriority w:val="99"/>
    <w:semiHidden/>
    <w:unhideWhenUsed/>
    <w:rsid w:val="000D75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08">
      <w:bodyDiv w:val="1"/>
      <w:marLeft w:val="0"/>
      <w:marRight w:val="0"/>
      <w:marTop w:val="0"/>
      <w:marBottom w:val="0"/>
      <w:divBdr>
        <w:top w:val="none" w:sz="0" w:space="0" w:color="auto"/>
        <w:left w:val="none" w:sz="0" w:space="0" w:color="auto"/>
        <w:bottom w:val="none" w:sz="0" w:space="0" w:color="auto"/>
        <w:right w:val="none" w:sz="0" w:space="0" w:color="auto"/>
      </w:divBdr>
    </w:div>
    <w:div w:id="153575340">
      <w:bodyDiv w:val="1"/>
      <w:marLeft w:val="0"/>
      <w:marRight w:val="0"/>
      <w:marTop w:val="0"/>
      <w:marBottom w:val="0"/>
      <w:divBdr>
        <w:top w:val="none" w:sz="0" w:space="0" w:color="auto"/>
        <w:left w:val="none" w:sz="0" w:space="0" w:color="auto"/>
        <w:bottom w:val="none" w:sz="0" w:space="0" w:color="auto"/>
        <w:right w:val="none" w:sz="0" w:space="0" w:color="auto"/>
      </w:divBdr>
    </w:div>
    <w:div w:id="210269784">
      <w:bodyDiv w:val="1"/>
      <w:marLeft w:val="0"/>
      <w:marRight w:val="0"/>
      <w:marTop w:val="0"/>
      <w:marBottom w:val="0"/>
      <w:divBdr>
        <w:top w:val="none" w:sz="0" w:space="0" w:color="auto"/>
        <w:left w:val="none" w:sz="0" w:space="0" w:color="auto"/>
        <w:bottom w:val="none" w:sz="0" w:space="0" w:color="auto"/>
        <w:right w:val="none" w:sz="0" w:space="0" w:color="auto"/>
      </w:divBdr>
    </w:div>
    <w:div w:id="211580673">
      <w:bodyDiv w:val="1"/>
      <w:marLeft w:val="0"/>
      <w:marRight w:val="0"/>
      <w:marTop w:val="0"/>
      <w:marBottom w:val="0"/>
      <w:divBdr>
        <w:top w:val="none" w:sz="0" w:space="0" w:color="auto"/>
        <w:left w:val="none" w:sz="0" w:space="0" w:color="auto"/>
        <w:bottom w:val="none" w:sz="0" w:space="0" w:color="auto"/>
        <w:right w:val="none" w:sz="0" w:space="0" w:color="auto"/>
      </w:divBdr>
    </w:div>
    <w:div w:id="212809792">
      <w:bodyDiv w:val="1"/>
      <w:marLeft w:val="0"/>
      <w:marRight w:val="0"/>
      <w:marTop w:val="0"/>
      <w:marBottom w:val="0"/>
      <w:divBdr>
        <w:top w:val="none" w:sz="0" w:space="0" w:color="auto"/>
        <w:left w:val="none" w:sz="0" w:space="0" w:color="auto"/>
        <w:bottom w:val="none" w:sz="0" w:space="0" w:color="auto"/>
        <w:right w:val="none" w:sz="0" w:space="0" w:color="auto"/>
      </w:divBdr>
    </w:div>
    <w:div w:id="235752083">
      <w:bodyDiv w:val="1"/>
      <w:marLeft w:val="0"/>
      <w:marRight w:val="0"/>
      <w:marTop w:val="0"/>
      <w:marBottom w:val="0"/>
      <w:divBdr>
        <w:top w:val="none" w:sz="0" w:space="0" w:color="auto"/>
        <w:left w:val="none" w:sz="0" w:space="0" w:color="auto"/>
        <w:bottom w:val="none" w:sz="0" w:space="0" w:color="auto"/>
        <w:right w:val="none" w:sz="0" w:space="0" w:color="auto"/>
      </w:divBdr>
    </w:div>
    <w:div w:id="278339075">
      <w:bodyDiv w:val="1"/>
      <w:marLeft w:val="0"/>
      <w:marRight w:val="0"/>
      <w:marTop w:val="0"/>
      <w:marBottom w:val="0"/>
      <w:divBdr>
        <w:top w:val="none" w:sz="0" w:space="0" w:color="auto"/>
        <w:left w:val="none" w:sz="0" w:space="0" w:color="auto"/>
        <w:bottom w:val="none" w:sz="0" w:space="0" w:color="auto"/>
        <w:right w:val="none" w:sz="0" w:space="0" w:color="auto"/>
      </w:divBdr>
    </w:div>
    <w:div w:id="287707456">
      <w:bodyDiv w:val="1"/>
      <w:marLeft w:val="0"/>
      <w:marRight w:val="0"/>
      <w:marTop w:val="0"/>
      <w:marBottom w:val="0"/>
      <w:divBdr>
        <w:top w:val="none" w:sz="0" w:space="0" w:color="auto"/>
        <w:left w:val="none" w:sz="0" w:space="0" w:color="auto"/>
        <w:bottom w:val="none" w:sz="0" w:space="0" w:color="auto"/>
        <w:right w:val="none" w:sz="0" w:space="0" w:color="auto"/>
      </w:divBdr>
    </w:div>
    <w:div w:id="330530401">
      <w:bodyDiv w:val="1"/>
      <w:marLeft w:val="0"/>
      <w:marRight w:val="0"/>
      <w:marTop w:val="0"/>
      <w:marBottom w:val="0"/>
      <w:divBdr>
        <w:top w:val="none" w:sz="0" w:space="0" w:color="auto"/>
        <w:left w:val="none" w:sz="0" w:space="0" w:color="auto"/>
        <w:bottom w:val="none" w:sz="0" w:space="0" w:color="auto"/>
        <w:right w:val="none" w:sz="0" w:space="0" w:color="auto"/>
      </w:divBdr>
    </w:div>
    <w:div w:id="362051750">
      <w:bodyDiv w:val="1"/>
      <w:marLeft w:val="0"/>
      <w:marRight w:val="0"/>
      <w:marTop w:val="0"/>
      <w:marBottom w:val="0"/>
      <w:divBdr>
        <w:top w:val="none" w:sz="0" w:space="0" w:color="auto"/>
        <w:left w:val="none" w:sz="0" w:space="0" w:color="auto"/>
        <w:bottom w:val="none" w:sz="0" w:space="0" w:color="auto"/>
        <w:right w:val="none" w:sz="0" w:space="0" w:color="auto"/>
      </w:divBdr>
    </w:div>
    <w:div w:id="365369573">
      <w:bodyDiv w:val="1"/>
      <w:marLeft w:val="0"/>
      <w:marRight w:val="0"/>
      <w:marTop w:val="0"/>
      <w:marBottom w:val="0"/>
      <w:divBdr>
        <w:top w:val="none" w:sz="0" w:space="0" w:color="auto"/>
        <w:left w:val="none" w:sz="0" w:space="0" w:color="auto"/>
        <w:bottom w:val="none" w:sz="0" w:space="0" w:color="auto"/>
        <w:right w:val="none" w:sz="0" w:space="0" w:color="auto"/>
      </w:divBdr>
    </w:div>
    <w:div w:id="370151782">
      <w:bodyDiv w:val="1"/>
      <w:marLeft w:val="0"/>
      <w:marRight w:val="0"/>
      <w:marTop w:val="0"/>
      <w:marBottom w:val="0"/>
      <w:divBdr>
        <w:top w:val="none" w:sz="0" w:space="0" w:color="auto"/>
        <w:left w:val="none" w:sz="0" w:space="0" w:color="auto"/>
        <w:bottom w:val="none" w:sz="0" w:space="0" w:color="auto"/>
        <w:right w:val="none" w:sz="0" w:space="0" w:color="auto"/>
      </w:divBdr>
    </w:div>
    <w:div w:id="399526816">
      <w:bodyDiv w:val="1"/>
      <w:marLeft w:val="0"/>
      <w:marRight w:val="0"/>
      <w:marTop w:val="0"/>
      <w:marBottom w:val="0"/>
      <w:divBdr>
        <w:top w:val="none" w:sz="0" w:space="0" w:color="auto"/>
        <w:left w:val="none" w:sz="0" w:space="0" w:color="auto"/>
        <w:bottom w:val="none" w:sz="0" w:space="0" w:color="auto"/>
        <w:right w:val="none" w:sz="0" w:space="0" w:color="auto"/>
      </w:divBdr>
    </w:div>
    <w:div w:id="428552137">
      <w:bodyDiv w:val="1"/>
      <w:marLeft w:val="0"/>
      <w:marRight w:val="0"/>
      <w:marTop w:val="0"/>
      <w:marBottom w:val="0"/>
      <w:divBdr>
        <w:top w:val="none" w:sz="0" w:space="0" w:color="auto"/>
        <w:left w:val="none" w:sz="0" w:space="0" w:color="auto"/>
        <w:bottom w:val="none" w:sz="0" w:space="0" w:color="auto"/>
        <w:right w:val="none" w:sz="0" w:space="0" w:color="auto"/>
      </w:divBdr>
    </w:div>
    <w:div w:id="464979098">
      <w:bodyDiv w:val="1"/>
      <w:marLeft w:val="0"/>
      <w:marRight w:val="0"/>
      <w:marTop w:val="0"/>
      <w:marBottom w:val="0"/>
      <w:divBdr>
        <w:top w:val="none" w:sz="0" w:space="0" w:color="auto"/>
        <w:left w:val="none" w:sz="0" w:space="0" w:color="auto"/>
        <w:bottom w:val="none" w:sz="0" w:space="0" w:color="auto"/>
        <w:right w:val="none" w:sz="0" w:space="0" w:color="auto"/>
      </w:divBdr>
    </w:div>
    <w:div w:id="472143888">
      <w:bodyDiv w:val="1"/>
      <w:marLeft w:val="0"/>
      <w:marRight w:val="0"/>
      <w:marTop w:val="0"/>
      <w:marBottom w:val="0"/>
      <w:divBdr>
        <w:top w:val="none" w:sz="0" w:space="0" w:color="auto"/>
        <w:left w:val="none" w:sz="0" w:space="0" w:color="auto"/>
        <w:bottom w:val="none" w:sz="0" w:space="0" w:color="auto"/>
        <w:right w:val="none" w:sz="0" w:space="0" w:color="auto"/>
      </w:divBdr>
    </w:div>
    <w:div w:id="487208615">
      <w:bodyDiv w:val="1"/>
      <w:marLeft w:val="0"/>
      <w:marRight w:val="0"/>
      <w:marTop w:val="0"/>
      <w:marBottom w:val="0"/>
      <w:divBdr>
        <w:top w:val="none" w:sz="0" w:space="0" w:color="auto"/>
        <w:left w:val="none" w:sz="0" w:space="0" w:color="auto"/>
        <w:bottom w:val="none" w:sz="0" w:space="0" w:color="auto"/>
        <w:right w:val="none" w:sz="0" w:space="0" w:color="auto"/>
      </w:divBdr>
    </w:div>
    <w:div w:id="542712771">
      <w:bodyDiv w:val="1"/>
      <w:marLeft w:val="0"/>
      <w:marRight w:val="0"/>
      <w:marTop w:val="0"/>
      <w:marBottom w:val="0"/>
      <w:divBdr>
        <w:top w:val="none" w:sz="0" w:space="0" w:color="auto"/>
        <w:left w:val="none" w:sz="0" w:space="0" w:color="auto"/>
        <w:bottom w:val="none" w:sz="0" w:space="0" w:color="auto"/>
        <w:right w:val="none" w:sz="0" w:space="0" w:color="auto"/>
      </w:divBdr>
    </w:div>
    <w:div w:id="552350253">
      <w:bodyDiv w:val="1"/>
      <w:marLeft w:val="0"/>
      <w:marRight w:val="0"/>
      <w:marTop w:val="0"/>
      <w:marBottom w:val="0"/>
      <w:divBdr>
        <w:top w:val="none" w:sz="0" w:space="0" w:color="auto"/>
        <w:left w:val="none" w:sz="0" w:space="0" w:color="auto"/>
        <w:bottom w:val="none" w:sz="0" w:space="0" w:color="auto"/>
        <w:right w:val="none" w:sz="0" w:space="0" w:color="auto"/>
      </w:divBdr>
    </w:div>
    <w:div w:id="600572774">
      <w:bodyDiv w:val="1"/>
      <w:marLeft w:val="0"/>
      <w:marRight w:val="0"/>
      <w:marTop w:val="0"/>
      <w:marBottom w:val="0"/>
      <w:divBdr>
        <w:top w:val="none" w:sz="0" w:space="0" w:color="auto"/>
        <w:left w:val="none" w:sz="0" w:space="0" w:color="auto"/>
        <w:bottom w:val="none" w:sz="0" w:space="0" w:color="auto"/>
        <w:right w:val="none" w:sz="0" w:space="0" w:color="auto"/>
      </w:divBdr>
    </w:div>
    <w:div w:id="606236617">
      <w:bodyDiv w:val="1"/>
      <w:marLeft w:val="0"/>
      <w:marRight w:val="0"/>
      <w:marTop w:val="0"/>
      <w:marBottom w:val="0"/>
      <w:divBdr>
        <w:top w:val="none" w:sz="0" w:space="0" w:color="auto"/>
        <w:left w:val="none" w:sz="0" w:space="0" w:color="auto"/>
        <w:bottom w:val="none" w:sz="0" w:space="0" w:color="auto"/>
        <w:right w:val="none" w:sz="0" w:space="0" w:color="auto"/>
      </w:divBdr>
    </w:div>
    <w:div w:id="695277602">
      <w:bodyDiv w:val="1"/>
      <w:marLeft w:val="0"/>
      <w:marRight w:val="0"/>
      <w:marTop w:val="0"/>
      <w:marBottom w:val="0"/>
      <w:divBdr>
        <w:top w:val="none" w:sz="0" w:space="0" w:color="auto"/>
        <w:left w:val="none" w:sz="0" w:space="0" w:color="auto"/>
        <w:bottom w:val="none" w:sz="0" w:space="0" w:color="auto"/>
        <w:right w:val="none" w:sz="0" w:space="0" w:color="auto"/>
      </w:divBdr>
    </w:div>
    <w:div w:id="709647432">
      <w:bodyDiv w:val="1"/>
      <w:marLeft w:val="0"/>
      <w:marRight w:val="0"/>
      <w:marTop w:val="0"/>
      <w:marBottom w:val="0"/>
      <w:divBdr>
        <w:top w:val="none" w:sz="0" w:space="0" w:color="auto"/>
        <w:left w:val="none" w:sz="0" w:space="0" w:color="auto"/>
        <w:bottom w:val="none" w:sz="0" w:space="0" w:color="auto"/>
        <w:right w:val="none" w:sz="0" w:space="0" w:color="auto"/>
      </w:divBdr>
    </w:div>
    <w:div w:id="714308407">
      <w:bodyDiv w:val="1"/>
      <w:marLeft w:val="0"/>
      <w:marRight w:val="0"/>
      <w:marTop w:val="0"/>
      <w:marBottom w:val="0"/>
      <w:divBdr>
        <w:top w:val="none" w:sz="0" w:space="0" w:color="auto"/>
        <w:left w:val="none" w:sz="0" w:space="0" w:color="auto"/>
        <w:bottom w:val="none" w:sz="0" w:space="0" w:color="auto"/>
        <w:right w:val="none" w:sz="0" w:space="0" w:color="auto"/>
      </w:divBdr>
    </w:div>
    <w:div w:id="716781696">
      <w:bodyDiv w:val="1"/>
      <w:marLeft w:val="0"/>
      <w:marRight w:val="0"/>
      <w:marTop w:val="0"/>
      <w:marBottom w:val="0"/>
      <w:divBdr>
        <w:top w:val="none" w:sz="0" w:space="0" w:color="auto"/>
        <w:left w:val="none" w:sz="0" w:space="0" w:color="auto"/>
        <w:bottom w:val="none" w:sz="0" w:space="0" w:color="auto"/>
        <w:right w:val="none" w:sz="0" w:space="0" w:color="auto"/>
      </w:divBdr>
    </w:div>
    <w:div w:id="717968975">
      <w:bodyDiv w:val="1"/>
      <w:marLeft w:val="0"/>
      <w:marRight w:val="0"/>
      <w:marTop w:val="0"/>
      <w:marBottom w:val="0"/>
      <w:divBdr>
        <w:top w:val="none" w:sz="0" w:space="0" w:color="auto"/>
        <w:left w:val="none" w:sz="0" w:space="0" w:color="auto"/>
        <w:bottom w:val="none" w:sz="0" w:space="0" w:color="auto"/>
        <w:right w:val="none" w:sz="0" w:space="0" w:color="auto"/>
      </w:divBdr>
    </w:div>
    <w:div w:id="721947524">
      <w:bodyDiv w:val="1"/>
      <w:marLeft w:val="0"/>
      <w:marRight w:val="0"/>
      <w:marTop w:val="0"/>
      <w:marBottom w:val="0"/>
      <w:divBdr>
        <w:top w:val="none" w:sz="0" w:space="0" w:color="auto"/>
        <w:left w:val="none" w:sz="0" w:space="0" w:color="auto"/>
        <w:bottom w:val="none" w:sz="0" w:space="0" w:color="auto"/>
        <w:right w:val="none" w:sz="0" w:space="0" w:color="auto"/>
      </w:divBdr>
    </w:div>
    <w:div w:id="728042836">
      <w:bodyDiv w:val="1"/>
      <w:marLeft w:val="0"/>
      <w:marRight w:val="0"/>
      <w:marTop w:val="0"/>
      <w:marBottom w:val="0"/>
      <w:divBdr>
        <w:top w:val="none" w:sz="0" w:space="0" w:color="auto"/>
        <w:left w:val="none" w:sz="0" w:space="0" w:color="auto"/>
        <w:bottom w:val="none" w:sz="0" w:space="0" w:color="auto"/>
        <w:right w:val="none" w:sz="0" w:space="0" w:color="auto"/>
      </w:divBdr>
    </w:div>
    <w:div w:id="750196925">
      <w:bodyDiv w:val="1"/>
      <w:marLeft w:val="0"/>
      <w:marRight w:val="0"/>
      <w:marTop w:val="0"/>
      <w:marBottom w:val="0"/>
      <w:divBdr>
        <w:top w:val="none" w:sz="0" w:space="0" w:color="auto"/>
        <w:left w:val="none" w:sz="0" w:space="0" w:color="auto"/>
        <w:bottom w:val="none" w:sz="0" w:space="0" w:color="auto"/>
        <w:right w:val="none" w:sz="0" w:space="0" w:color="auto"/>
      </w:divBdr>
    </w:div>
    <w:div w:id="78060795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5913">
      <w:bodyDiv w:val="1"/>
      <w:marLeft w:val="0"/>
      <w:marRight w:val="0"/>
      <w:marTop w:val="0"/>
      <w:marBottom w:val="0"/>
      <w:divBdr>
        <w:top w:val="none" w:sz="0" w:space="0" w:color="auto"/>
        <w:left w:val="none" w:sz="0" w:space="0" w:color="auto"/>
        <w:bottom w:val="none" w:sz="0" w:space="0" w:color="auto"/>
        <w:right w:val="none" w:sz="0" w:space="0" w:color="auto"/>
      </w:divBdr>
    </w:div>
    <w:div w:id="827284740">
      <w:bodyDiv w:val="1"/>
      <w:marLeft w:val="0"/>
      <w:marRight w:val="0"/>
      <w:marTop w:val="0"/>
      <w:marBottom w:val="0"/>
      <w:divBdr>
        <w:top w:val="none" w:sz="0" w:space="0" w:color="auto"/>
        <w:left w:val="none" w:sz="0" w:space="0" w:color="auto"/>
        <w:bottom w:val="none" w:sz="0" w:space="0" w:color="auto"/>
        <w:right w:val="none" w:sz="0" w:space="0" w:color="auto"/>
      </w:divBdr>
    </w:div>
    <w:div w:id="848637852">
      <w:bodyDiv w:val="1"/>
      <w:marLeft w:val="0"/>
      <w:marRight w:val="0"/>
      <w:marTop w:val="0"/>
      <w:marBottom w:val="0"/>
      <w:divBdr>
        <w:top w:val="none" w:sz="0" w:space="0" w:color="auto"/>
        <w:left w:val="none" w:sz="0" w:space="0" w:color="auto"/>
        <w:bottom w:val="none" w:sz="0" w:space="0" w:color="auto"/>
        <w:right w:val="none" w:sz="0" w:space="0" w:color="auto"/>
      </w:divBdr>
    </w:div>
    <w:div w:id="86050691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752940">
      <w:bodyDiv w:val="1"/>
      <w:marLeft w:val="0"/>
      <w:marRight w:val="0"/>
      <w:marTop w:val="0"/>
      <w:marBottom w:val="0"/>
      <w:divBdr>
        <w:top w:val="none" w:sz="0" w:space="0" w:color="auto"/>
        <w:left w:val="none" w:sz="0" w:space="0" w:color="auto"/>
        <w:bottom w:val="none" w:sz="0" w:space="0" w:color="auto"/>
        <w:right w:val="none" w:sz="0" w:space="0" w:color="auto"/>
      </w:divBdr>
    </w:div>
    <w:div w:id="892426353">
      <w:bodyDiv w:val="1"/>
      <w:marLeft w:val="0"/>
      <w:marRight w:val="0"/>
      <w:marTop w:val="0"/>
      <w:marBottom w:val="0"/>
      <w:divBdr>
        <w:top w:val="none" w:sz="0" w:space="0" w:color="auto"/>
        <w:left w:val="none" w:sz="0" w:space="0" w:color="auto"/>
        <w:bottom w:val="none" w:sz="0" w:space="0" w:color="auto"/>
        <w:right w:val="none" w:sz="0" w:space="0" w:color="auto"/>
      </w:divBdr>
    </w:div>
    <w:div w:id="904993056">
      <w:bodyDiv w:val="1"/>
      <w:marLeft w:val="0"/>
      <w:marRight w:val="0"/>
      <w:marTop w:val="0"/>
      <w:marBottom w:val="0"/>
      <w:divBdr>
        <w:top w:val="none" w:sz="0" w:space="0" w:color="auto"/>
        <w:left w:val="none" w:sz="0" w:space="0" w:color="auto"/>
        <w:bottom w:val="none" w:sz="0" w:space="0" w:color="auto"/>
        <w:right w:val="none" w:sz="0" w:space="0" w:color="auto"/>
      </w:divBdr>
    </w:div>
    <w:div w:id="92511766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9076">
      <w:bodyDiv w:val="1"/>
      <w:marLeft w:val="0"/>
      <w:marRight w:val="0"/>
      <w:marTop w:val="0"/>
      <w:marBottom w:val="0"/>
      <w:divBdr>
        <w:top w:val="none" w:sz="0" w:space="0" w:color="auto"/>
        <w:left w:val="none" w:sz="0" w:space="0" w:color="auto"/>
        <w:bottom w:val="none" w:sz="0" w:space="0" w:color="auto"/>
        <w:right w:val="none" w:sz="0" w:space="0" w:color="auto"/>
      </w:divBdr>
    </w:div>
    <w:div w:id="998341773">
      <w:bodyDiv w:val="1"/>
      <w:marLeft w:val="0"/>
      <w:marRight w:val="0"/>
      <w:marTop w:val="0"/>
      <w:marBottom w:val="0"/>
      <w:divBdr>
        <w:top w:val="none" w:sz="0" w:space="0" w:color="auto"/>
        <w:left w:val="none" w:sz="0" w:space="0" w:color="auto"/>
        <w:bottom w:val="none" w:sz="0" w:space="0" w:color="auto"/>
        <w:right w:val="none" w:sz="0" w:space="0" w:color="auto"/>
      </w:divBdr>
    </w:div>
    <w:div w:id="1006515914">
      <w:bodyDiv w:val="1"/>
      <w:marLeft w:val="0"/>
      <w:marRight w:val="0"/>
      <w:marTop w:val="0"/>
      <w:marBottom w:val="0"/>
      <w:divBdr>
        <w:top w:val="none" w:sz="0" w:space="0" w:color="auto"/>
        <w:left w:val="none" w:sz="0" w:space="0" w:color="auto"/>
        <w:bottom w:val="none" w:sz="0" w:space="0" w:color="auto"/>
        <w:right w:val="none" w:sz="0" w:space="0" w:color="auto"/>
      </w:divBdr>
    </w:div>
    <w:div w:id="1021591453">
      <w:bodyDiv w:val="1"/>
      <w:marLeft w:val="0"/>
      <w:marRight w:val="0"/>
      <w:marTop w:val="0"/>
      <w:marBottom w:val="0"/>
      <w:divBdr>
        <w:top w:val="none" w:sz="0" w:space="0" w:color="auto"/>
        <w:left w:val="none" w:sz="0" w:space="0" w:color="auto"/>
        <w:bottom w:val="none" w:sz="0" w:space="0" w:color="auto"/>
        <w:right w:val="none" w:sz="0" w:space="0" w:color="auto"/>
      </w:divBdr>
    </w:div>
    <w:div w:id="1036809107">
      <w:bodyDiv w:val="1"/>
      <w:marLeft w:val="0"/>
      <w:marRight w:val="0"/>
      <w:marTop w:val="0"/>
      <w:marBottom w:val="0"/>
      <w:divBdr>
        <w:top w:val="none" w:sz="0" w:space="0" w:color="auto"/>
        <w:left w:val="none" w:sz="0" w:space="0" w:color="auto"/>
        <w:bottom w:val="none" w:sz="0" w:space="0" w:color="auto"/>
        <w:right w:val="none" w:sz="0" w:space="0" w:color="auto"/>
      </w:divBdr>
    </w:div>
    <w:div w:id="1048916798">
      <w:bodyDiv w:val="1"/>
      <w:marLeft w:val="0"/>
      <w:marRight w:val="0"/>
      <w:marTop w:val="0"/>
      <w:marBottom w:val="0"/>
      <w:divBdr>
        <w:top w:val="none" w:sz="0" w:space="0" w:color="auto"/>
        <w:left w:val="none" w:sz="0" w:space="0" w:color="auto"/>
        <w:bottom w:val="none" w:sz="0" w:space="0" w:color="auto"/>
        <w:right w:val="none" w:sz="0" w:space="0" w:color="auto"/>
      </w:divBdr>
    </w:div>
    <w:div w:id="1057701763">
      <w:bodyDiv w:val="1"/>
      <w:marLeft w:val="0"/>
      <w:marRight w:val="0"/>
      <w:marTop w:val="0"/>
      <w:marBottom w:val="0"/>
      <w:divBdr>
        <w:top w:val="none" w:sz="0" w:space="0" w:color="auto"/>
        <w:left w:val="none" w:sz="0" w:space="0" w:color="auto"/>
        <w:bottom w:val="none" w:sz="0" w:space="0" w:color="auto"/>
        <w:right w:val="none" w:sz="0" w:space="0" w:color="auto"/>
      </w:divBdr>
    </w:div>
    <w:div w:id="1061635845">
      <w:bodyDiv w:val="1"/>
      <w:marLeft w:val="0"/>
      <w:marRight w:val="0"/>
      <w:marTop w:val="0"/>
      <w:marBottom w:val="0"/>
      <w:divBdr>
        <w:top w:val="none" w:sz="0" w:space="0" w:color="auto"/>
        <w:left w:val="none" w:sz="0" w:space="0" w:color="auto"/>
        <w:bottom w:val="none" w:sz="0" w:space="0" w:color="auto"/>
        <w:right w:val="none" w:sz="0" w:space="0" w:color="auto"/>
      </w:divBdr>
    </w:div>
    <w:div w:id="1101998924">
      <w:bodyDiv w:val="1"/>
      <w:marLeft w:val="0"/>
      <w:marRight w:val="0"/>
      <w:marTop w:val="0"/>
      <w:marBottom w:val="0"/>
      <w:divBdr>
        <w:top w:val="none" w:sz="0" w:space="0" w:color="auto"/>
        <w:left w:val="none" w:sz="0" w:space="0" w:color="auto"/>
        <w:bottom w:val="none" w:sz="0" w:space="0" w:color="auto"/>
        <w:right w:val="none" w:sz="0" w:space="0" w:color="auto"/>
      </w:divBdr>
    </w:div>
    <w:div w:id="1113552882">
      <w:bodyDiv w:val="1"/>
      <w:marLeft w:val="0"/>
      <w:marRight w:val="0"/>
      <w:marTop w:val="0"/>
      <w:marBottom w:val="0"/>
      <w:divBdr>
        <w:top w:val="none" w:sz="0" w:space="0" w:color="auto"/>
        <w:left w:val="none" w:sz="0" w:space="0" w:color="auto"/>
        <w:bottom w:val="none" w:sz="0" w:space="0" w:color="auto"/>
        <w:right w:val="none" w:sz="0" w:space="0" w:color="auto"/>
      </w:divBdr>
    </w:div>
    <w:div w:id="1123694488">
      <w:bodyDiv w:val="1"/>
      <w:marLeft w:val="0"/>
      <w:marRight w:val="0"/>
      <w:marTop w:val="0"/>
      <w:marBottom w:val="0"/>
      <w:divBdr>
        <w:top w:val="none" w:sz="0" w:space="0" w:color="auto"/>
        <w:left w:val="none" w:sz="0" w:space="0" w:color="auto"/>
        <w:bottom w:val="none" w:sz="0" w:space="0" w:color="auto"/>
        <w:right w:val="none" w:sz="0" w:space="0" w:color="auto"/>
      </w:divBdr>
    </w:div>
    <w:div w:id="1131362921">
      <w:bodyDiv w:val="1"/>
      <w:marLeft w:val="0"/>
      <w:marRight w:val="0"/>
      <w:marTop w:val="0"/>
      <w:marBottom w:val="0"/>
      <w:divBdr>
        <w:top w:val="none" w:sz="0" w:space="0" w:color="auto"/>
        <w:left w:val="none" w:sz="0" w:space="0" w:color="auto"/>
        <w:bottom w:val="none" w:sz="0" w:space="0" w:color="auto"/>
        <w:right w:val="none" w:sz="0" w:space="0" w:color="auto"/>
      </w:divBdr>
    </w:div>
    <w:div w:id="1148401329">
      <w:bodyDiv w:val="1"/>
      <w:marLeft w:val="0"/>
      <w:marRight w:val="0"/>
      <w:marTop w:val="0"/>
      <w:marBottom w:val="0"/>
      <w:divBdr>
        <w:top w:val="none" w:sz="0" w:space="0" w:color="auto"/>
        <w:left w:val="none" w:sz="0" w:space="0" w:color="auto"/>
        <w:bottom w:val="none" w:sz="0" w:space="0" w:color="auto"/>
        <w:right w:val="none" w:sz="0" w:space="0" w:color="auto"/>
      </w:divBdr>
    </w:div>
    <w:div w:id="1189248498">
      <w:bodyDiv w:val="1"/>
      <w:marLeft w:val="0"/>
      <w:marRight w:val="0"/>
      <w:marTop w:val="0"/>
      <w:marBottom w:val="0"/>
      <w:divBdr>
        <w:top w:val="none" w:sz="0" w:space="0" w:color="auto"/>
        <w:left w:val="none" w:sz="0" w:space="0" w:color="auto"/>
        <w:bottom w:val="none" w:sz="0" w:space="0" w:color="auto"/>
        <w:right w:val="none" w:sz="0" w:space="0" w:color="auto"/>
      </w:divBdr>
    </w:div>
    <w:div w:id="1228611973">
      <w:bodyDiv w:val="1"/>
      <w:marLeft w:val="0"/>
      <w:marRight w:val="0"/>
      <w:marTop w:val="0"/>
      <w:marBottom w:val="0"/>
      <w:divBdr>
        <w:top w:val="none" w:sz="0" w:space="0" w:color="auto"/>
        <w:left w:val="none" w:sz="0" w:space="0" w:color="auto"/>
        <w:bottom w:val="none" w:sz="0" w:space="0" w:color="auto"/>
        <w:right w:val="none" w:sz="0" w:space="0" w:color="auto"/>
      </w:divBdr>
    </w:div>
    <w:div w:id="1237206821">
      <w:bodyDiv w:val="1"/>
      <w:marLeft w:val="0"/>
      <w:marRight w:val="0"/>
      <w:marTop w:val="0"/>
      <w:marBottom w:val="0"/>
      <w:divBdr>
        <w:top w:val="none" w:sz="0" w:space="0" w:color="auto"/>
        <w:left w:val="none" w:sz="0" w:space="0" w:color="auto"/>
        <w:bottom w:val="none" w:sz="0" w:space="0" w:color="auto"/>
        <w:right w:val="none" w:sz="0" w:space="0" w:color="auto"/>
      </w:divBdr>
    </w:div>
    <w:div w:id="1249852669">
      <w:bodyDiv w:val="1"/>
      <w:marLeft w:val="0"/>
      <w:marRight w:val="0"/>
      <w:marTop w:val="0"/>
      <w:marBottom w:val="0"/>
      <w:divBdr>
        <w:top w:val="none" w:sz="0" w:space="0" w:color="auto"/>
        <w:left w:val="none" w:sz="0" w:space="0" w:color="auto"/>
        <w:bottom w:val="none" w:sz="0" w:space="0" w:color="auto"/>
        <w:right w:val="none" w:sz="0" w:space="0" w:color="auto"/>
      </w:divBdr>
    </w:div>
    <w:div w:id="1261714702">
      <w:bodyDiv w:val="1"/>
      <w:marLeft w:val="0"/>
      <w:marRight w:val="0"/>
      <w:marTop w:val="0"/>
      <w:marBottom w:val="0"/>
      <w:divBdr>
        <w:top w:val="none" w:sz="0" w:space="0" w:color="auto"/>
        <w:left w:val="none" w:sz="0" w:space="0" w:color="auto"/>
        <w:bottom w:val="none" w:sz="0" w:space="0" w:color="auto"/>
        <w:right w:val="none" w:sz="0" w:space="0" w:color="auto"/>
      </w:divBdr>
    </w:div>
    <w:div w:id="1279335465">
      <w:bodyDiv w:val="1"/>
      <w:marLeft w:val="0"/>
      <w:marRight w:val="0"/>
      <w:marTop w:val="0"/>
      <w:marBottom w:val="0"/>
      <w:divBdr>
        <w:top w:val="none" w:sz="0" w:space="0" w:color="auto"/>
        <w:left w:val="none" w:sz="0" w:space="0" w:color="auto"/>
        <w:bottom w:val="none" w:sz="0" w:space="0" w:color="auto"/>
        <w:right w:val="none" w:sz="0" w:space="0" w:color="auto"/>
      </w:divBdr>
    </w:div>
    <w:div w:id="1292589493">
      <w:bodyDiv w:val="1"/>
      <w:marLeft w:val="0"/>
      <w:marRight w:val="0"/>
      <w:marTop w:val="0"/>
      <w:marBottom w:val="0"/>
      <w:divBdr>
        <w:top w:val="none" w:sz="0" w:space="0" w:color="auto"/>
        <w:left w:val="none" w:sz="0" w:space="0" w:color="auto"/>
        <w:bottom w:val="none" w:sz="0" w:space="0" w:color="auto"/>
        <w:right w:val="none" w:sz="0" w:space="0" w:color="auto"/>
      </w:divBdr>
    </w:div>
    <w:div w:id="1292856119">
      <w:bodyDiv w:val="1"/>
      <w:marLeft w:val="0"/>
      <w:marRight w:val="0"/>
      <w:marTop w:val="0"/>
      <w:marBottom w:val="0"/>
      <w:divBdr>
        <w:top w:val="none" w:sz="0" w:space="0" w:color="auto"/>
        <w:left w:val="none" w:sz="0" w:space="0" w:color="auto"/>
        <w:bottom w:val="none" w:sz="0" w:space="0" w:color="auto"/>
        <w:right w:val="none" w:sz="0" w:space="0" w:color="auto"/>
      </w:divBdr>
    </w:div>
    <w:div w:id="1329360847">
      <w:bodyDiv w:val="1"/>
      <w:marLeft w:val="0"/>
      <w:marRight w:val="0"/>
      <w:marTop w:val="0"/>
      <w:marBottom w:val="0"/>
      <w:divBdr>
        <w:top w:val="none" w:sz="0" w:space="0" w:color="auto"/>
        <w:left w:val="none" w:sz="0" w:space="0" w:color="auto"/>
        <w:bottom w:val="none" w:sz="0" w:space="0" w:color="auto"/>
        <w:right w:val="none" w:sz="0" w:space="0" w:color="auto"/>
      </w:divBdr>
    </w:div>
    <w:div w:id="1341273408">
      <w:bodyDiv w:val="1"/>
      <w:marLeft w:val="0"/>
      <w:marRight w:val="0"/>
      <w:marTop w:val="0"/>
      <w:marBottom w:val="0"/>
      <w:divBdr>
        <w:top w:val="none" w:sz="0" w:space="0" w:color="auto"/>
        <w:left w:val="none" w:sz="0" w:space="0" w:color="auto"/>
        <w:bottom w:val="none" w:sz="0" w:space="0" w:color="auto"/>
        <w:right w:val="none" w:sz="0" w:space="0" w:color="auto"/>
      </w:divBdr>
    </w:div>
    <w:div w:id="1344934257">
      <w:bodyDiv w:val="1"/>
      <w:marLeft w:val="0"/>
      <w:marRight w:val="0"/>
      <w:marTop w:val="0"/>
      <w:marBottom w:val="0"/>
      <w:divBdr>
        <w:top w:val="none" w:sz="0" w:space="0" w:color="auto"/>
        <w:left w:val="none" w:sz="0" w:space="0" w:color="auto"/>
        <w:bottom w:val="none" w:sz="0" w:space="0" w:color="auto"/>
        <w:right w:val="none" w:sz="0" w:space="0" w:color="auto"/>
      </w:divBdr>
    </w:div>
    <w:div w:id="137634595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3596898">
      <w:bodyDiv w:val="1"/>
      <w:marLeft w:val="0"/>
      <w:marRight w:val="0"/>
      <w:marTop w:val="0"/>
      <w:marBottom w:val="0"/>
      <w:divBdr>
        <w:top w:val="none" w:sz="0" w:space="0" w:color="auto"/>
        <w:left w:val="none" w:sz="0" w:space="0" w:color="auto"/>
        <w:bottom w:val="none" w:sz="0" w:space="0" w:color="auto"/>
        <w:right w:val="none" w:sz="0" w:space="0" w:color="auto"/>
      </w:divBdr>
    </w:div>
    <w:div w:id="1465461353">
      <w:bodyDiv w:val="1"/>
      <w:marLeft w:val="0"/>
      <w:marRight w:val="0"/>
      <w:marTop w:val="0"/>
      <w:marBottom w:val="0"/>
      <w:divBdr>
        <w:top w:val="none" w:sz="0" w:space="0" w:color="auto"/>
        <w:left w:val="none" w:sz="0" w:space="0" w:color="auto"/>
        <w:bottom w:val="none" w:sz="0" w:space="0" w:color="auto"/>
        <w:right w:val="none" w:sz="0" w:space="0" w:color="auto"/>
      </w:divBdr>
    </w:div>
    <w:div w:id="1469977409">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3450093">
      <w:bodyDiv w:val="1"/>
      <w:marLeft w:val="0"/>
      <w:marRight w:val="0"/>
      <w:marTop w:val="0"/>
      <w:marBottom w:val="0"/>
      <w:divBdr>
        <w:top w:val="none" w:sz="0" w:space="0" w:color="auto"/>
        <w:left w:val="none" w:sz="0" w:space="0" w:color="auto"/>
        <w:bottom w:val="none" w:sz="0" w:space="0" w:color="auto"/>
        <w:right w:val="none" w:sz="0" w:space="0" w:color="auto"/>
      </w:divBdr>
    </w:div>
    <w:div w:id="1533036230">
      <w:bodyDiv w:val="1"/>
      <w:marLeft w:val="0"/>
      <w:marRight w:val="0"/>
      <w:marTop w:val="0"/>
      <w:marBottom w:val="0"/>
      <w:divBdr>
        <w:top w:val="none" w:sz="0" w:space="0" w:color="auto"/>
        <w:left w:val="none" w:sz="0" w:space="0" w:color="auto"/>
        <w:bottom w:val="none" w:sz="0" w:space="0" w:color="auto"/>
        <w:right w:val="none" w:sz="0" w:space="0" w:color="auto"/>
      </w:divBdr>
    </w:div>
    <w:div w:id="1535998288">
      <w:bodyDiv w:val="1"/>
      <w:marLeft w:val="0"/>
      <w:marRight w:val="0"/>
      <w:marTop w:val="0"/>
      <w:marBottom w:val="0"/>
      <w:divBdr>
        <w:top w:val="none" w:sz="0" w:space="0" w:color="auto"/>
        <w:left w:val="none" w:sz="0" w:space="0" w:color="auto"/>
        <w:bottom w:val="none" w:sz="0" w:space="0" w:color="auto"/>
        <w:right w:val="none" w:sz="0" w:space="0" w:color="auto"/>
      </w:divBdr>
    </w:div>
    <w:div w:id="1552184608">
      <w:bodyDiv w:val="1"/>
      <w:marLeft w:val="0"/>
      <w:marRight w:val="0"/>
      <w:marTop w:val="0"/>
      <w:marBottom w:val="0"/>
      <w:divBdr>
        <w:top w:val="none" w:sz="0" w:space="0" w:color="auto"/>
        <w:left w:val="none" w:sz="0" w:space="0" w:color="auto"/>
        <w:bottom w:val="none" w:sz="0" w:space="0" w:color="auto"/>
        <w:right w:val="none" w:sz="0" w:space="0" w:color="auto"/>
      </w:divBdr>
    </w:div>
    <w:div w:id="1562983057">
      <w:bodyDiv w:val="1"/>
      <w:marLeft w:val="0"/>
      <w:marRight w:val="0"/>
      <w:marTop w:val="0"/>
      <w:marBottom w:val="0"/>
      <w:divBdr>
        <w:top w:val="none" w:sz="0" w:space="0" w:color="auto"/>
        <w:left w:val="none" w:sz="0" w:space="0" w:color="auto"/>
        <w:bottom w:val="none" w:sz="0" w:space="0" w:color="auto"/>
        <w:right w:val="none" w:sz="0" w:space="0" w:color="auto"/>
      </w:divBdr>
    </w:div>
    <w:div w:id="1624847213">
      <w:bodyDiv w:val="1"/>
      <w:marLeft w:val="0"/>
      <w:marRight w:val="0"/>
      <w:marTop w:val="0"/>
      <w:marBottom w:val="0"/>
      <w:divBdr>
        <w:top w:val="none" w:sz="0" w:space="0" w:color="auto"/>
        <w:left w:val="none" w:sz="0" w:space="0" w:color="auto"/>
        <w:bottom w:val="none" w:sz="0" w:space="0" w:color="auto"/>
        <w:right w:val="none" w:sz="0" w:space="0" w:color="auto"/>
      </w:divBdr>
    </w:div>
    <w:div w:id="1630622517">
      <w:bodyDiv w:val="1"/>
      <w:marLeft w:val="0"/>
      <w:marRight w:val="0"/>
      <w:marTop w:val="0"/>
      <w:marBottom w:val="0"/>
      <w:divBdr>
        <w:top w:val="none" w:sz="0" w:space="0" w:color="auto"/>
        <w:left w:val="none" w:sz="0" w:space="0" w:color="auto"/>
        <w:bottom w:val="none" w:sz="0" w:space="0" w:color="auto"/>
        <w:right w:val="none" w:sz="0" w:space="0" w:color="auto"/>
      </w:divBdr>
    </w:div>
    <w:div w:id="1660883891">
      <w:bodyDiv w:val="1"/>
      <w:marLeft w:val="0"/>
      <w:marRight w:val="0"/>
      <w:marTop w:val="0"/>
      <w:marBottom w:val="0"/>
      <w:divBdr>
        <w:top w:val="none" w:sz="0" w:space="0" w:color="auto"/>
        <w:left w:val="none" w:sz="0" w:space="0" w:color="auto"/>
        <w:bottom w:val="none" w:sz="0" w:space="0" w:color="auto"/>
        <w:right w:val="none" w:sz="0" w:space="0" w:color="auto"/>
      </w:divBdr>
    </w:div>
    <w:div w:id="167471799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0714">
      <w:bodyDiv w:val="1"/>
      <w:marLeft w:val="0"/>
      <w:marRight w:val="0"/>
      <w:marTop w:val="0"/>
      <w:marBottom w:val="0"/>
      <w:divBdr>
        <w:top w:val="none" w:sz="0" w:space="0" w:color="auto"/>
        <w:left w:val="none" w:sz="0" w:space="0" w:color="auto"/>
        <w:bottom w:val="none" w:sz="0" w:space="0" w:color="auto"/>
        <w:right w:val="none" w:sz="0" w:space="0" w:color="auto"/>
      </w:divBdr>
    </w:div>
    <w:div w:id="1718777933">
      <w:bodyDiv w:val="1"/>
      <w:marLeft w:val="0"/>
      <w:marRight w:val="0"/>
      <w:marTop w:val="0"/>
      <w:marBottom w:val="0"/>
      <w:divBdr>
        <w:top w:val="none" w:sz="0" w:space="0" w:color="auto"/>
        <w:left w:val="none" w:sz="0" w:space="0" w:color="auto"/>
        <w:bottom w:val="none" w:sz="0" w:space="0" w:color="auto"/>
        <w:right w:val="none" w:sz="0" w:space="0" w:color="auto"/>
      </w:divBdr>
    </w:div>
    <w:div w:id="1800679659">
      <w:bodyDiv w:val="1"/>
      <w:marLeft w:val="0"/>
      <w:marRight w:val="0"/>
      <w:marTop w:val="0"/>
      <w:marBottom w:val="0"/>
      <w:divBdr>
        <w:top w:val="none" w:sz="0" w:space="0" w:color="auto"/>
        <w:left w:val="none" w:sz="0" w:space="0" w:color="auto"/>
        <w:bottom w:val="none" w:sz="0" w:space="0" w:color="auto"/>
        <w:right w:val="none" w:sz="0" w:space="0" w:color="auto"/>
      </w:divBdr>
    </w:div>
    <w:div w:id="1833714140">
      <w:bodyDiv w:val="1"/>
      <w:marLeft w:val="0"/>
      <w:marRight w:val="0"/>
      <w:marTop w:val="0"/>
      <w:marBottom w:val="0"/>
      <w:divBdr>
        <w:top w:val="none" w:sz="0" w:space="0" w:color="auto"/>
        <w:left w:val="none" w:sz="0" w:space="0" w:color="auto"/>
        <w:bottom w:val="none" w:sz="0" w:space="0" w:color="auto"/>
        <w:right w:val="none" w:sz="0" w:space="0" w:color="auto"/>
      </w:divBdr>
    </w:div>
    <w:div w:id="1849560253">
      <w:bodyDiv w:val="1"/>
      <w:marLeft w:val="0"/>
      <w:marRight w:val="0"/>
      <w:marTop w:val="0"/>
      <w:marBottom w:val="0"/>
      <w:divBdr>
        <w:top w:val="none" w:sz="0" w:space="0" w:color="auto"/>
        <w:left w:val="none" w:sz="0" w:space="0" w:color="auto"/>
        <w:bottom w:val="none" w:sz="0" w:space="0" w:color="auto"/>
        <w:right w:val="none" w:sz="0" w:space="0" w:color="auto"/>
      </w:divBdr>
    </w:div>
    <w:div w:id="1879277552">
      <w:bodyDiv w:val="1"/>
      <w:marLeft w:val="0"/>
      <w:marRight w:val="0"/>
      <w:marTop w:val="0"/>
      <w:marBottom w:val="0"/>
      <w:divBdr>
        <w:top w:val="none" w:sz="0" w:space="0" w:color="auto"/>
        <w:left w:val="none" w:sz="0" w:space="0" w:color="auto"/>
        <w:bottom w:val="none" w:sz="0" w:space="0" w:color="auto"/>
        <w:right w:val="none" w:sz="0" w:space="0" w:color="auto"/>
      </w:divBdr>
    </w:div>
    <w:div w:id="1898277281">
      <w:bodyDiv w:val="1"/>
      <w:marLeft w:val="0"/>
      <w:marRight w:val="0"/>
      <w:marTop w:val="0"/>
      <w:marBottom w:val="0"/>
      <w:divBdr>
        <w:top w:val="none" w:sz="0" w:space="0" w:color="auto"/>
        <w:left w:val="none" w:sz="0" w:space="0" w:color="auto"/>
        <w:bottom w:val="none" w:sz="0" w:space="0" w:color="auto"/>
        <w:right w:val="none" w:sz="0" w:space="0" w:color="auto"/>
      </w:divBdr>
    </w:div>
    <w:div w:id="1942642188">
      <w:bodyDiv w:val="1"/>
      <w:marLeft w:val="0"/>
      <w:marRight w:val="0"/>
      <w:marTop w:val="0"/>
      <w:marBottom w:val="0"/>
      <w:divBdr>
        <w:top w:val="none" w:sz="0" w:space="0" w:color="auto"/>
        <w:left w:val="none" w:sz="0" w:space="0" w:color="auto"/>
        <w:bottom w:val="none" w:sz="0" w:space="0" w:color="auto"/>
        <w:right w:val="none" w:sz="0" w:space="0" w:color="auto"/>
      </w:divBdr>
    </w:div>
    <w:div w:id="1942909585">
      <w:bodyDiv w:val="1"/>
      <w:marLeft w:val="0"/>
      <w:marRight w:val="0"/>
      <w:marTop w:val="0"/>
      <w:marBottom w:val="0"/>
      <w:divBdr>
        <w:top w:val="none" w:sz="0" w:space="0" w:color="auto"/>
        <w:left w:val="none" w:sz="0" w:space="0" w:color="auto"/>
        <w:bottom w:val="none" w:sz="0" w:space="0" w:color="auto"/>
        <w:right w:val="none" w:sz="0" w:space="0" w:color="auto"/>
      </w:divBdr>
    </w:div>
    <w:div w:id="1974215285">
      <w:bodyDiv w:val="1"/>
      <w:marLeft w:val="0"/>
      <w:marRight w:val="0"/>
      <w:marTop w:val="0"/>
      <w:marBottom w:val="0"/>
      <w:divBdr>
        <w:top w:val="none" w:sz="0" w:space="0" w:color="auto"/>
        <w:left w:val="none" w:sz="0" w:space="0" w:color="auto"/>
        <w:bottom w:val="none" w:sz="0" w:space="0" w:color="auto"/>
        <w:right w:val="none" w:sz="0" w:space="0" w:color="auto"/>
      </w:divBdr>
    </w:div>
    <w:div w:id="1982227493">
      <w:bodyDiv w:val="1"/>
      <w:marLeft w:val="0"/>
      <w:marRight w:val="0"/>
      <w:marTop w:val="0"/>
      <w:marBottom w:val="0"/>
      <w:divBdr>
        <w:top w:val="none" w:sz="0" w:space="0" w:color="auto"/>
        <w:left w:val="none" w:sz="0" w:space="0" w:color="auto"/>
        <w:bottom w:val="none" w:sz="0" w:space="0" w:color="auto"/>
        <w:right w:val="none" w:sz="0" w:space="0" w:color="auto"/>
      </w:divBdr>
    </w:div>
    <w:div w:id="1982614390">
      <w:bodyDiv w:val="1"/>
      <w:marLeft w:val="0"/>
      <w:marRight w:val="0"/>
      <w:marTop w:val="0"/>
      <w:marBottom w:val="0"/>
      <w:divBdr>
        <w:top w:val="none" w:sz="0" w:space="0" w:color="auto"/>
        <w:left w:val="none" w:sz="0" w:space="0" w:color="auto"/>
        <w:bottom w:val="none" w:sz="0" w:space="0" w:color="auto"/>
        <w:right w:val="none" w:sz="0" w:space="0" w:color="auto"/>
      </w:divBdr>
    </w:div>
    <w:div w:id="1998726672">
      <w:bodyDiv w:val="1"/>
      <w:marLeft w:val="0"/>
      <w:marRight w:val="0"/>
      <w:marTop w:val="0"/>
      <w:marBottom w:val="0"/>
      <w:divBdr>
        <w:top w:val="none" w:sz="0" w:space="0" w:color="auto"/>
        <w:left w:val="none" w:sz="0" w:space="0" w:color="auto"/>
        <w:bottom w:val="none" w:sz="0" w:space="0" w:color="auto"/>
        <w:right w:val="none" w:sz="0" w:space="0" w:color="auto"/>
      </w:divBdr>
    </w:div>
    <w:div w:id="2004239507">
      <w:bodyDiv w:val="1"/>
      <w:marLeft w:val="0"/>
      <w:marRight w:val="0"/>
      <w:marTop w:val="0"/>
      <w:marBottom w:val="0"/>
      <w:divBdr>
        <w:top w:val="none" w:sz="0" w:space="0" w:color="auto"/>
        <w:left w:val="none" w:sz="0" w:space="0" w:color="auto"/>
        <w:bottom w:val="none" w:sz="0" w:space="0" w:color="auto"/>
        <w:right w:val="none" w:sz="0" w:space="0" w:color="auto"/>
      </w:divBdr>
    </w:div>
    <w:div w:id="2004310582">
      <w:bodyDiv w:val="1"/>
      <w:marLeft w:val="0"/>
      <w:marRight w:val="0"/>
      <w:marTop w:val="0"/>
      <w:marBottom w:val="0"/>
      <w:divBdr>
        <w:top w:val="none" w:sz="0" w:space="0" w:color="auto"/>
        <w:left w:val="none" w:sz="0" w:space="0" w:color="auto"/>
        <w:bottom w:val="none" w:sz="0" w:space="0" w:color="auto"/>
        <w:right w:val="none" w:sz="0" w:space="0" w:color="auto"/>
      </w:divBdr>
    </w:div>
    <w:div w:id="2043632641">
      <w:bodyDiv w:val="1"/>
      <w:marLeft w:val="0"/>
      <w:marRight w:val="0"/>
      <w:marTop w:val="0"/>
      <w:marBottom w:val="0"/>
      <w:divBdr>
        <w:top w:val="none" w:sz="0" w:space="0" w:color="auto"/>
        <w:left w:val="none" w:sz="0" w:space="0" w:color="auto"/>
        <w:bottom w:val="none" w:sz="0" w:space="0" w:color="auto"/>
        <w:right w:val="none" w:sz="0" w:space="0" w:color="auto"/>
      </w:divBdr>
    </w:div>
    <w:div w:id="2057776700">
      <w:bodyDiv w:val="1"/>
      <w:marLeft w:val="0"/>
      <w:marRight w:val="0"/>
      <w:marTop w:val="0"/>
      <w:marBottom w:val="0"/>
      <w:divBdr>
        <w:top w:val="none" w:sz="0" w:space="0" w:color="auto"/>
        <w:left w:val="none" w:sz="0" w:space="0" w:color="auto"/>
        <w:bottom w:val="none" w:sz="0" w:space="0" w:color="auto"/>
        <w:right w:val="none" w:sz="0" w:space="0" w:color="auto"/>
      </w:divBdr>
    </w:div>
    <w:div w:id="2062484959">
      <w:bodyDiv w:val="1"/>
      <w:marLeft w:val="0"/>
      <w:marRight w:val="0"/>
      <w:marTop w:val="0"/>
      <w:marBottom w:val="0"/>
      <w:divBdr>
        <w:top w:val="none" w:sz="0" w:space="0" w:color="auto"/>
        <w:left w:val="none" w:sz="0" w:space="0" w:color="auto"/>
        <w:bottom w:val="none" w:sz="0" w:space="0" w:color="auto"/>
        <w:right w:val="none" w:sz="0" w:space="0" w:color="auto"/>
      </w:divBdr>
    </w:div>
    <w:div w:id="2074815536">
      <w:bodyDiv w:val="1"/>
      <w:marLeft w:val="0"/>
      <w:marRight w:val="0"/>
      <w:marTop w:val="0"/>
      <w:marBottom w:val="0"/>
      <w:divBdr>
        <w:top w:val="none" w:sz="0" w:space="0" w:color="auto"/>
        <w:left w:val="none" w:sz="0" w:space="0" w:color="auto"/>
        <w:bottom w:val="none" w:sz="0" w:space="0" w:color="auto"/>
        <w:right w:val="none" w:sz="0" w:space="0" w:color="auto"/>
      </w:divBdr>
    </w:div>
    <w:div w:id="2077242250">
      <w:bodyDiv w:val="1"/>
      <w:marLeft w:val="0"/>
      <w:marRight w:val="0"/>
      <w:marTop w:val="0"/>
      <w:marBottom w:val="0"/>
      <w:divBdr>
        <w:top w:val="none" w:sz="0" w:space="0" w:color="auto"/>
        <w:left w:val="none" w:sz="0" w:space="0" w:color="auto"/>
        <w:bottom w:val="none" w:sz="0" w:space="0" w:color="auto"/>
        <w:right w:val="none" w:sz="0" w:space="0" w:color="auto"/>
      </w:divBdr>
    </w:div>
    <w:div w:id="2089577754">
      <w:bodyDiv w:val="1"/>
      <w:marLeft w:val="0"/>
      <w:marRight w:val="0"/>
      <w:marTop w:val="0"/>
      <w:marBottom w:val="0"/>
      <w:divBdr>
        <w:top w:val="none" w:sz="0" w:space="0" w:color="auto"/>
        <w:left w:val="none" w:sz="0" w:space="0" w:color="auto"/>
        <w:bottom w:val="none" w:sz="0" w:space="0" w:color="auto"/>
        <w:right w:val="none" w:sz="0" w:space="0" w:color="auto"/>
      </w:divBdr>
    </w:div>
    <w:div w:id="212503265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2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Cha14</b:Tag>
    <b:SourceType>JournalArticle</b:SourceType>
    <b:Guid>{4BACE265-74FB-4209-A6E1-CABC83A15735}</b:Guid>
    <b:Title>Bioremediation of lead by lead resistant microorganisms, isolated from industrial sample</b:Title>
    <b:Year>2014</b:Year>
    <b:Author>
      <b:Author>
        <b:NameList>
          <b:Person>
            <b:Last>Chatterjee</b:Last>
            <b:First>S</b:First>
          </b:Person>
          <b:Person>
            <b:Last>Mukherjee</b:Last>
            <b:First>A.</b:First>
          </b:Person>
          <b:Person>
            <b:Last>Sarker</b:Last>
          </b:Person>
          <b:Person>
            <b:Last>Rpy</b:Last>
            <b:First>P</b:First>
          </b:Person>
        </b:NameList>
      </b:Author>
    </b:Author>
    <b:JournalName>Advanced Biotechnology</b:JournalName>
    <b:Pages>290-295</b:Pages>
    <b:Issue>3</b:Issue>
    <b:RefOrder>1</b:RefOrder>
  </b:Source>
  <b:Source>
    <b:Tag>Tiw13</b:Tag>
    <b:SourceType>JournalArticle</b:SourceType>
    <b:Guid>{E882441A-EEC3-4EE9-B5BC-713D62AA2A25}</b:Guid>
    <b:Author>
      <b:Author>
        <b:NameList>
          <b:Person>
            <b:Last>Tiwari</b:Last>
            <b:First>S</b:First>
          </b:Person>
          <b:Person>
            <b:Last>Tripathi</b:Last>
            <b:First>I.P.</b:First>
          </b:Person>
          <b:Person>
            <b:Last>Gandhi</b:Last>
            <b:First>M</b:First>
          </b:Person>
          <b:Person>
            <b:Last>Gramody</b:Last>
            <b:First>C</b:First>
          </b:Person>
          <b:Person>
            <b:Last>Tiwari</b:Last>
            <b:First>H.</b:First>
          </b:Person>
        </b:NameList>
      </b:Author>
    </b:Author>
    <b:Title>Effects of Lead on Environment. </b:Title>
    <b:JournalName>International Journal of Emerging Research in Management &amp; Technology</b:JournalName>
    <b:Year>2013</b:Year>
    <b:Pages>1-5</b:Pages>
    <b:Volume>2</b:Volume>
    <b:Issue>6</b:Issue>
    <b:RefOrder>2</b:RefOrder>
  </b:Source>
  <b:Source>
    <b:Tag>Nee04</b:Tag>
    <b:SourceType>JournalArticle</b:SourceType>
    <b:Guid>{4796A4C3-91E1-4CF4-ADCB-956C2B6B4CE3}</b:Guid>
    <b:Author>
      <b:Author>
        <b:NameList>
          <b:Person>
            <b:Last>Needleman</b:Last>
            <b:First>Herbert</b:First>
          </b:Person>
        </b:NameList>
      </b:Author>
    </b:Author>
    <b:Title>Lead Poisoning </b:Title>
    <b:JournalName>Annual Review of Medicine </b:JournalName>
    <b:Year>2004</b:Year>
    <b:Pages>209-222</b:Pages>
    <b:Volume>55</b:Volume>
    <b:Issue>1</b:Issue>
    <b:RefOrder>3</b:RefOrder>
  </b:Source>
  <b:Source>
    <b:Tag>Nai13</b:Tag>
    <b:SourceType>JournalArticle</b:SourceType>
    <b:Guid>{01C71B8C-78ED-4786-B17E-78B79974467E}</b:Guid>
    <b:Author>
      <b:Author>
        <b:NameList>
          <b:Person>
            <b:Last>M.M</b:Last>
            <b:First>Naik</b:First>
          </b:Person>
          <b:Person>
            <b:Last>Dubey</b:Last>
            <b:First>S.K</b:First>
          </b:Person>
        </b:NameList>
      </b:Author>
    </b:Author>
    <b:Title>Lead Resistant Bacteria: Lead Resistance Mechanisms, Their Applications in Lead Bioremediation and Biomonitoring </b:Title>
    <b:JournalName>Ecotoxicology and Environmental Safety </b:JournalName>
    <b:Year>2013</b:Year>
    <b:Pages>1-7</b:Pages>
    <b:Volume>98</b:Volume>
    <b:RefOrder>13</b:RefOrder>
  </b:Source>
  <b:Source>
    <b:Tag>Chi21</b:Tag>
    <b:SourceType>JournalArticle</b:SourceType>
    <b:Guid>{1389AD0B-BD04-44D4-A8C9-89AA1D81E93D}</b:Guid>
    <b:Author>
      <b:Author>
        <b:NameList>
          <b:Person>
            <b:Last>Chimhundi</b:Last>
            <b:First>J</b:First>
          </b:Person>
          <b:Person>
            <b:Last>Hörstmann</b:Last>
            <b:First>C</b:First>
          </b:Person>
          <b:Person>
            <b:Last>Chirwa</b:Last>
            <b:First>E.M.N</b:First>
          </b:Person>
          <b:Person>
            <b:Last>Brink</b:Last>
            <b:First>H.G.</b:First>
          </b:Person>
        </b:NameList>
      </b:Author>
    </b:Author>
    <b:Title>Microbial Removal of Pb(II) using an Upflow Anaerobic Sludge Blanket (UASB) Reactor</b:Title>
    <b:JournalName>Catalysts </b:JournalName>
    <b:Year>2021</b:Year>
    <b:Pages>512</b:Pages>
    <b:Volume>11</b:Volume>
    <b:Issue>4</b:Issue>
    <b:RefOrder>6</b:RefOrder>
  </b:Source>
  <b:Source>
    <b:Tag>Arb15</b:Tag>
    <b:SourceType>JournalArticle</b:SourceType>
    <b:Guid>{115AEADE-E23C-43B9-A905-2E3A3312ADD4}</b:Guid>
    <b:Author>
      <b:Author>
        <b:NameList>
          <b:Person>
            <b:Last>Arbabi</b:Last>
            <b:First>M</b:First>
          </b:Person>
          <b:Person>
            <b:Last>Hemati</b:Last>
            <b:First>S</b:First>
          </b:Person>
          <b:Person>
            <b:Last>Amiri</b:Last>
            <b:First>M</b:First>
          </b:Person>
        </b:NameList>
      </b:Author>
    </b:Author>
    <b:Title>Removal of Lead ions from industrial wastewater: A review of removal methods</b:Title>
    <b:JournalName>International Journnal of Epidemiological Research </b:JournalName>
    <b:Year>2015</b:Year>
    <b:Pages>105-109</b:Pages>
    <b:Volume>2</b:Volume>
    <b:Issue>2</b:Issue>
    <b:RefOrder>7</b:RefOrder>
  </b:Source>
  <b:Source>
    <b:Tag>Hor19</b:Tag>
    <b:SourceType>JournalArticle</b:SourceType>
    <b:Guid>{8ADAF670-6731-4DA8-872A-47CB61302AB3}</b:Guid>
    <b:Author>
      <b:Author>
        <b:NameList>
          <b:Person>
            <b:Last>Horstmann</b:Last>
            <b:First>Carla</b:First>
          </b:Person>
          <b:Person>
            <b:Last>Brink</b:Last>
            <b:First>Hendrink</b:First>
            <b:Middle>G</b:Middle>
          </b:Person>
        </b:NameList>
      </b:Author>
    </b:Author>
    <b:Title>Microbial Lead (II) Precipitation: The influence of Zn(II) and Cu(II) </b:Title>
    <b:JournalName>Chemical Engineering Transactions </b:JournalName>
    <b:Year>2019</b:Year>
    <b:Pages>1447-1452</b:Pages>
    <b:Volume>74</b:Volume>
    <b:RefOrder>4</b:RefOrder>
  </b:Source>
  <b:Source>
    <b:Tag>Bri19</b:Tag>
    <b:SourceType>JournalArticle</b:SourceType>
    <b:Guid>{CAC3B25C-56E8-4B54-88AD-5E21206F50ED}</b:Guid>
    <b:Author>
      <b:Author>
        <b:NameList>
          <b:Person>
            <b:Last>Brink</b:Last>
            <b:First>Hendrink</b:First>
            <b:Middle>G</b:Middle>
          </b:Person>
          <b:Person>
            <b:Last>Hörstmann</b:Last>
            <b:First>Carla</b:First>
          </b:Person>
          <b:Person>
            <b:Last>Peens</b:Last>
            <b:First>Jané</b:First>
          </b:Person>
        </b:NameList>
      </b:Author>
    </b:Author>
    <b:Title>Microbial Pb(II)-precipitation: the influence of oxygen on Pb(II)-removal from aqueous environment and the resulting precipitate identity</b:Title>
    <b:JournalName>International Journal of Environmental Science and Technology</b:JournalName>
    <b:Year>2019</b:Year>
    <b:Pages>409-420</b:Pages>
    <b:Volume>17</b:Volume>
    <b:RefOrder>5</b:RefOrder>
  </b:Source>
  <b:Source>
    <b:Tag>Ngw10</b:Tag>
    <b:SourceType>JournalArticle</b:SourceType>
    <b:Guid>{BDC08023-4DF7-48F5-8FC8-A35814FFBBA1}</b:Guid>
    <b:Author>
      <b:Author>
        <b:NameList>
          <b:Person>
            <b:Last>Ngwenya</b:Last>
            <b:First>N</b:First>
          </b:Person>
          <b:Person>
            <b:Last>Chirwa</b:Last>
            <b:First>E.M.N</b:First>
          </b:Person>
        </b:NameList>
      </b:Author>
    </b:Author>
    <b:Title>Single and binary component sorption of the fission products Sr2+, Cs+ and Co2+ from aqueous solutions onto sulphate reducing bacteria</b:Title>
    <b:JournalName>Minerals Engineering </b:JournalName>
    <b:Year>2010</b:Year>
    <b:Pages>463-470</b:Pages>
    <b:Volume>23</b:Volume>
    <b:Issue>6</b:Issue>
    <b:RefOrder>8</b:RefOrder>
  </b:Source>
  <b:Source>
    <b:Tag>Tiq18</b:Tag>
    <b:SourceType>JournalArticle</b:SourceType>
    <b:Guid>{16369B1E-5A4E-4D47-A64D-08BCB3C0C952}</b:Guid>
    <b:Author>
      <b:Author>
        <b:NameList>
          <b:Person>
            <b:Last>Tiquia-Arashiro</b:Last>
            <b:First>Sonia</b:First>
            <b:Middle>M</b:Middle>
          </b:Person>
        </b:NameList>
      </b:Author>
    </b:Author>
    <b:Title>Lead absorption mechanisms in bacteria as strategies for lead bioremediation</b:Title>
    <b:JournalName> Applied Microbiology and Biotechnology</b:JournalName>
    <b:Year>2018</b:Year>
    <b:Pages>5437-5444</b:Pages>
    <b:Volume>102</b:Volume>
    <b:RefOrder>9</b:RefOrder>
  </b:Source>
  <b:Source>
    <b:Tag>Bri17</b:Tag>
    <b:SourceType>JournalArticle</b:SourceType>
    <b:Guid>{FC584AAC-5F98-4B72-A4AA-D46E21A47335}</b:Guid>
    <b:Author>
      <b:Author>
        <b:NameList>
          <b:Person>
            <b:Last>Brink</b:Last>
            <b:First>Hendrik</b:First>
            <b:Middle>G</b:Middle>
          </b:Person>
          <b:Person>
            <b:Last>Lategan</b:Last>
            <b:First>Maryka</b:First>
          </b:Person>
          <b:Person>
            <b:Last>Naude</b:Last>
            <b:First>Karina</b:First>
          </b:Person>
          <b:Person>
            <b:Last>Chirwa</b:Last>
            <b:First>Evans</b:First>
            <b:Middle>M.N.</b:Middle>
          </b:Person>
        </b:NameList>
      </b:Author>
    </b:Author>
    <b:Title>Lead Removal Using Industrially Sourced Consortia: Influence of Lead and Glucose Concentrations</b:Title>
    <b:JournalName>Chemical Engineering Transactions </b:JournalName>
    <b:Year>2017</b:Year>
    <b:Pages>409-414</b:Pages>
    <b:Volume>57</b:Volume>
    <b:RefOrder>10</b:RefOrder>
  </b:Source>
  <b:Source>
    <b:Tag>Ten22</b:Tag>
    <b:SourceType>JournalArticle</b:SourceType>
    <b:Guid>{705CB0EB-C1E2-44F9-8EE3-2DDA659A995F}</b:Guid>
    <b:Title>Enterococcus spp.  Cell-Free Extract: An Abiotic Route for Synthesis of Selenium Nanoparticles (SeNPs), Their Characterisation and Inhibition of Escherichia coli</b:Title>
    <b:Year>2022</b:Year>
    <b:Author>
      <b:Author>
        <b:NameList>
          <b:Person>
            <b:Last>Tendendzai</b:Last>
            <b:First>Job</b:First>
            <b:Middle>T.</b:Middle>
          </b:Person>
          <b:Person>
            <b:Last>Chirwa</b:Last>
            <b:First>Evans</b:First>
            <b:Middle>M.N.</b:Middle>
          </b:Person>
          <b:Person>
            <b:Last>Brink</b:Last>
            <b:First>Hendrik</b:First>
            <b:Middle>G.</b:Middle>
          </b:Person>
        </b:NameList>
      </b:Author>
    </b:Author>
    <b:JournalName>Nanomaterials </b:JournalName>
    <b:Pages>1-13</b:Pages>
    <b:Issue>2022</b:Issue>
    <b:RefOrder>11</b:RefOrder>
  </b:Source>
  <b:Source>
    <b:Tag>Wan10</b:Tag>
    <b:SourceType>JournalArticle</b:SourceType>
    <b:Guid>{C12AFE36-BFB6-4304-982C-DC1D9458A9E3}</b:Guid>
    <b:Author>
      <b:Author>
        <b:NameList>
          <b:Person>
            <b:Last>Wang</b:Last>
            <b:First>Hemgwei</b:First>
          </b:Person>
          <b:Person>
            <b:Last>Cheng</b:Last>
            <b:First>Hairong</b:First>
          </b:Person>
          <b:Person>
            <b:Last>Wang</b:Last>
            <b:First>Fengqing</b:First>
          </b:Person>
          <b:Person>
            <b:Last>Wei</b:Last>
            <b:First>Dongzhi</b:First>
          </b:Person>
          <b:Person>
            <b:Last>Wang</b:Last>
            <b:First>Xuedong</b:First>
          </b:Person>
        </b:NameList>
      </b:Author>
    </b:Author>
    <b:Title>An improved 3-(4,5-dimethylthiazol-2-yl)-2,5-diphenyl tetrazolium bromide (MTT) reduction assay for evaluating the viability of Escherichia coli cells</b:Title>
    <b:JournalName>Journal of Microbiological Methods</b:JournalName>
    <b:Year>2010</b:Year>
    <b:Pages>330-333</b:Pages>
    <b:Volume>82</b:Volume>
    <b:Issue>3</b:Issue>
    <b:RefOrder>15</b:RefOrder>
  </b:Source>
  <b:Source>
    <b:Tag>Bro00</b:Tag>
    <b:SourceType>Book</b:SourceType>
    <b:Guid>{069AE806-1D58-452F-97FC-670C90FF28F1}</b:Guid>
    <b:Title>Chemistry: The Central Science </b:Title>
    <b:Year>2000</b:Year>
    <b:Author>
      <b:Author>
        <b:NameList>
          <b:Person>
            <b:Last>Brown</b:Last>
            <b:First>Theodore</b:First>
            <b:Middle>L.</b:Middle>
          </b:Person>
          <b:Person>
            <b:Last>Lemay</b:Last>
            <b:First>Eugene</b:First>
            <b:Middle>H.</b:Middle>
          </b:Person>
          <b:Person>
            <b:Last>Bursten</b:Last>
            <b:First>Bruce</b:First>
            <b:Middle>E.</b:Middle>
          </b:Person>
        </b:NameList>
      </b:Author>
    </b:Author>
    <b:Publisher>Prentice Hall Inc </b:Publisher>
    <b:Edition>8th</b:Edition>
    <b:RefOrder>12</b:RefOrder>
  </b:Source>
  <b:Source>
    <b:Tag>Pap06</b:Tag>
    <b:SourceType>JournalArticle</b:SourceType>
    <b:Guid>{995C2475-20E1-4D21-A5A7-18506CC35665}</b:Guid>
    <b:Author>
      <b:Author>
        <b:NameList>
          <b:Person>
            <b:Last>Papp</b:Last>
            <b:First>A</b:First>
          </b:Person>
          <b:Person>
            <b:Last>Pecze</b:Last>
            <b:First>L</b:First>
          </b:Person>
          <b:Person>
            <b:Last>Szabó</b:Last>
            <b:First>A</b:First>
          </b:Person>
          <b:Person>
            <b:Last>Vezér</b:Last>
            <b:First>T</b:First>
          </b:Person>
        </b:NameList>
      </b:Author>
    </b:Author>
    <b:Title>Effects on the central and peripheral nervous activity in rats elicited by acute administration of lead, mercury and manganese, and their combinations</b:Title>
    <b:JournalName>Journal of Applied Toxicology: JAT</b:JournalName>
    <b:Year>2006</b:Year>
    <b:Pages>374-380</b:Pages>
    <b:Volume>26</b:Volume>
    <b:RefOrder>14</b:RefOrder>
  </b:Source>
</b:Sources>
</file>

<file path=customXml/itemProps1.xml><?xml version="1.0" encoding="utf-8"?>
<ds:datastoreItem xmlns:ds="http://schemas.openxmlformats.org/officeDocument/2006/customXml" ds:itemID="{B757B5F8-24C3-4EC9-BE45-D667E5DD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3372</Words>
  <Characters>19227</Characters>
  <Application>Microsoft Office Word</Application>
  <DocSecurity>0</DocSecurity>
  <Lines>160</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Prof. HG Brink</cp:lastModifiedBy>
  <cp:revision>6</cp:revision>
  <cp:lastPrinted>2015-05-12T18:31:00Z</cp:lastPrinted>
  <dcterms:created xsi:type="dcterms:W3CDTF">2024-01-12T04:18:00Z</dcterms:created>
  <dcterms:modified xsi:type="dcterms:W3CDTF">2024-04-15T05:01:00Z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