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AA130" w14:textId="02DFFE9F" w:rsidR="00BA4A94" w:rsidRPr="00BA4A94" w:rsidRDefault="00BA4A94" w:rsidP="00BA4A94">
      <w:pPr>
        <w:pStyle w:val="CETBodytext"/>
        <w:rPr>
          <w:lang w:val="en-GB"/>
        </w:rPr>
        <w:sectPr w:rsidR="00BA4A94" w:rsidRPr="00BA4A94" w:rsidSect="00FC7510">
          <w:type w:val="continuous"/>
          <w:pgSz w:w="11906" w:h="16838" w:code="9"/>
          <w:pgMar w:top="1418" w:right="1418" w:bottom="1701" w:left="1701" w:header="1701" w:footer="0" w:gutter="0"/>
          <w:cols w:space="708"/>
          <w:titlePg/>
          <w:docGrid w:linePitch="360"/>
        </w:sectPr>
      </w:pPr>
    </w:p>
    <w:tbl>
      <w:tblPr>
        <w:tblW w:w="0" w:type="auto"/>
        <w:jc w:val="center"/>
        <w:tblBorders>
          <w:bottom w:val="single" w:sz="4" w:space="0" w:color="auto"/>
        </w:tblBorders>
        <w:tblLook w:val="01E0" w:firstRow="1" w:lastRow="1" w:firstColumn="1" w:lastColumn="1" w:noHBand="0" w:noVBand="0"/>
      </w:tblPr>
      <w:tblGrid>
        <w:gridCol w:w="6686"/>
        <w:gridCol w:w="1813"/>
      </w:tblGrid>
      <w:tr w:rsidR="00F75C13" w:rsidRPr="00B57B36" w14:paraId="243684E6" w14:textId="77777777" w:rsidTr="00320F0D">
        <w:trPr>
          <w:trHeight w:val="852"/>
          <w:jc w:val="center"/>
        </w:trPr>
        <w:tc>
          <w:tcPr>
            <w:tcW w:w="6946" w:type="dxa"/>
            <w:vMerge w:val="restart"/>
            <w:tcBorders>
              <w:right w:val="single" w:sz="4" w:space="0" w:color="auto"/>
            </w:tcBorders>
          </w:tcPr>
          <w:p w14:paraId="7A3FC340" w14:textId="77777777" w:rsidR="00F75C13" w:rsidRPr="00B57B36" w:rsidRDefault="00F75C13" w:rsidP="00320F0D">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1EC8605F" wp14:editId="0825EE7D">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B325D24" w14:textId="77777777" w:rsidR="00F75C13" w:rsidRPr="00B57B36" w:rsidRDefault="00F75C13" w:rsidP="00320F0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Pr>
                <w:rFonts w:cs="Arial"/>
                <w:b/>
                <w:bCs/>
                <w:i/>
                <w:iCs/>
                <w:color w:val="000066"/>
                <w:sz w:val="22"/>
                <w:szCs w:val="22"/>
                <w:lang w:eastAsia="it-IT"/>
              </w:rPr>
              <w:t xml:space="preserve">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2024</w:t>
            </w:r>
          </w:p>
        </w:tc>
        <w:tc>
          <w:tcPr>
            <w:tcW w:w="1843" w:type="dxa"/>
            <w:tcBorders>
              <w:left w:val="single" w:sz="4" w:space="0" w:color="auto"/>
              <w:bottom w:val="nil"/>
              <w:right w:val="single" w:sz="4" w:space="0" w:color="auto"/>
            </w:tcBorders>
          </w:tcPr>
          <w:p w14:paraId="562C27B0" w14:textId="77777777" w:rsidR="00F75C13" w:rsidRPr="00B57B36" w:rsidRDefault="00F75C13" w:rsidP="00320F0D">
            <w:pPr>
              <w:spacing w:line="140" w:lineRule="atLeast"/>
              <w:jc w:val="right"/>
              <w:rPr>
                <w:rFonts w:cs="Arial"/>
                <w:sz w:val="14"/>
                <w:szCs w:val="14"/>
              </w:rPr>
            </w:pPr>
            <w:r w:rsidRPr="00B57B36">
              <w:rPr>
                <w:rFonts w:cs="Arial"/>
                <w:sz w:val="14"/>
                <w:szCs w:val="14"/>
              </w:rPr>
              <w:t>A publication of</w:t>
            </w:r>
          </w:p>
          <w:p w14:paraId="76FB5D48" w14:textId="77777777" w:rsidR="00F75C13" w:rsidRPr="00B57B36" w:rsidRDefault="00F75C13" w:rsidP="00320F0D">
            <w:pPr>
              <w:jc w:val="right"/>
            </w:pPr>
            <w:r w:rsidRPr="00B57B36">
              <w:rPr>
                <w:noProof/>
                <w:lang w:val="it-IT" w:eastAsia="it-IT"/>
              </w:rPr>
              <w:drawing>
                <wp:inline distT="0" distB="0" distL="0" distR="0" wp14:anchorId="323AD9F3" wp14:editId="16C7FD05">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F75C13" w:rsidRPr="00B57B36" w14:paraId="74CB2EF8" w14:textId="77777777" w:rsidTr="00320F0D">
        <w:trPr>
          <w:trHeight w:val="567"/>
          <w:jc w:val="center"/>
        </w:trPr>
        <w:tc>
          <w:tcPr>
            <w:tcW w:w="6946" w:type="dxa"/>
            <w:vMerge/>
            <w:tcBorders>
              <w:right w:val="single" w:sz="4" w:space="0" w:color="auto"/>
            </w:tcBorders>
          </w:tcPr>
          <w:p w14:paraId="5A953B34" w14:textId="77777777" w:rsidR="00F75C13" w:rsidRPr="00B57B36" w:rsidRDefault="00F75C13" w:rsidP="00320F0D">
            <w:pPr>
              <w:tabs>
                <w:tab w:val="left" w:pos="-108"/>
              </w:tabs>
            </w:pPr>
          </w:p>
        </w:tc>
        <w:tc>
          <w:tcPr>
            <w:tcW w:w="1843" w:type="dxa"/>
            <w:tcBorders>
              <w:left w:val="single" w:sz="4" w:space="0" w:color="auto"/>
              <w:bottom w:val="nil"/>
              <w:right w:val="single" w:sz="4" w:space="0" w:color="auto"/>
            </w:tcBorders>
          </w:tcPr>
          <w:p w14:paraId="2A0D16F4" w14:textId="77777777" w:rsidR="00F75C13" w:rsidRPr="00B57B36" w:rsidRDefault="00F75C13" w:rsidP="00320F0D">
            <w:pPr>
              <w:spacing w:line="140" w:lineRule="atLeast"/>
              <w:jc w:val="right"/>
              <w:rPr>
                <w:rFonts w:cs="Arial"/>
                <w:sz w:val="14"/>
                <w:szCs w:val="14"/>
              </w:rPr>
            </w:pPr>
            <w:r w:rsidRPr="00B57B36">
              <w:rPr>
                <w:rFonts w:cs="Arial"/>
                <w:sz w:val="14"/>
                <w:szCs w:val="14"/>
              </w:rPr>
              <w:t>The Italian Association</w:t>
            </w:r>
          </w:p>
          <w:p w14:paraId="5336590B" w14:textId="77777777" w:rsidR="00F75C13" w:rsidRPr="00B57B36" w:rsidRDefault="00F75C13" w:rsidP="00320F0D">
            <w:pPr>
              <w:spacing w:line="140" w:lineRule="atLeast"/>
              <w:jc w:val="right"/>
              <w:rPr>
                <w:rFonts w:cs="Arial"/>
                <w:sz w:val="14"/>
                <w:szCs w:val="14"/>
              </w:rPr>
            </w:pPr>
            <w:r w:rsidRPr="00B57B36">
              <w:rPr>
                <w:rFonts w:cs="Arial"/>
                <w:sz w:val="14"/>
                <w:szCs w:val="14"/>
              </w:rPr>
              <w:t>of Chemical Engineering</w:t>
            </w:r>
          </w:p>
          <w:p w14:paraId="6702E2FF" w14:textId="77777777" w:rsidR="00F75C13" w:rsidRPr="000D0268" w:rsidRDefault="00F75C13" w:rsidP="00320F0D">
            <w:pPr>
              <w:spacing w:line="140" w:lineRule="atLeast"/>
              <w:jc w:val="right"/>
              <w:rPr>
                <w:rFonts w:cs="Arial"/>
                <w:sz w:val="13"/>
                <w:szCs w:val="13"/>
              </w:rPr>
            </w:pPr>
            <w:r w:rsidRPr="000D0268">
              <w:rPr>
                <w:rFonts w:cs="Arial"/>
                <w:sz w:val="13"/>
                <w:szCs w:val="13"/>
              </w:rPr>
              <w:t>Online at www.cetjournal.it</w:t>
            </w:r>
          </w:p>
        </w:tc>
      </w:tr>
      <w:tr w:rsidR="00F75C13" w:rsidRPr="00B57B36" w14:paraId="57CAEBE4" w14:textId="77777777" w:rsidTr="00320F0D">
        <w:trPr>
          <w:trHeight w:val="68"/>
          <w:jc w:val="center"/>
        </w:trPr>
        <w:tc>
          <w:tcPr>
            <w:tcW w:w="8789" w:type="dxa"/>
            <w:gridSpan w:val="2"/>
          </w:tcPr>
          <w:p w14:paraId="31D5D43C" w14:textId="77777777" w:rsidR="00F75C13" w:rsidRPr="003A6FC6" w:rsidRDefault="00F75C13" w:rsidP="00320F0D">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Pr>
                <w:rFonts w:ascii="Tahoma" w:hAnsi="Tahoma" w:cs="Tahoma"/>
                <w:color w:val="000000"/>
                <w:sz w:val="14"/>
                <w:szCs w:val="14"/>
                <w:shd w:val="clear" w:color="auto" w:fill="FFFFFF"/>
                <w:lang w:val="it-IT"/>
              </w:rPr>
              <w:t>Marco Bravi, Antonio Marzocchella, Giuseppe Caputo</w:t>
            </w:r>
          </w:p>
          <w:p w14:paraId="733BCA40" w14:textId="77777777" w:rsidR="00F75C13" w:rsidRPr="00B57B36" w:rsidRDefault="00F75C13" w:rsidP="00320F0D">
            <w:pPr>
              <w:tabs>
                <w:tab w:val="left" w:pos="-108"/>
              </w:tabs>
              <w:spacing w:line="140" w:lineRule="atLeast"/>
              <w:ind w:left="-107"/>
              <w:jc w:val="left"/>
            </w:pPr>
            <w:r>
              <w:rPr>
                <w:rFonts w:ascii="Tahoma" w:hAnsi="Tahoma" w:cs="Tahoma"/>
                <w:iCs/>
                <w:color w:val="333333"/>
                <w:sz w:val="14"/>
                <w:szCs w:val="14"/>
                <w:lang w:eastAsia="it-IT"/>
              </w:rPr>
              <w:t>Copyright © 2024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81206-10-6</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125CB6AF" w14:textId="77777777" w:rsidR="00F75C13" w:rsidRDefault="00F75C13" w:rsidP="00E13C57">
      <w:pPr>
        <w:ind w:right="-284" w:firstLine="284"/>
        <w:jc w:val="center"/>
        <w:rPr>
          <w:rFonts w:cs="Arial"/>
          <w:color w:val="222222"/>
          <w:sz w:val="32"/>
          <w:szCs w:val="32"/>
        </w:rPr>
      </w:pPr>
      <w:r>
        <w:rPr>
          <w:rFonts w:cs="Arial"/>
          <w:color w:val="222222"/>
          <w:sz w:val="32"/>
          <w:szCs w:val="32"/>
        </w:rPr>
        <w:tab/>
      </w:r>
    </w:p>
    <w:p w14:paraId="4A4A4A28" w14:textId="30F06B9A" w:rsidR="00E13C57" w:rsidRPr="00F75C13" w:rsidRDefault="0023298C" w:rsidP="00E13C57">
      <w:pPr>
        <w:ind w:right="-284" w:firstLine="284"/>
        <w:jc w:val="center"/>
        <w:rPr>
          <w:rFonts w:cs="Arial"/>
          <w:sz w:val="32"/>
          <w:szCs w:val="32"/>
          <w:lang w:val="en"/>
        </w:rPr>
      </w:pPr>
      <w:r w:rsidRPr="00F75C13">
        <w:rPr>
          <w:rFonts w:cs="Arial"/>
          <w:sz w:val="32"/>
          <w:szCs w:val="32"/>
          <w:lang w:val="en"/>
        </w:rPr>
        <w:t>Comparative Evaluation Between a Non-Toxic Biodetergent and a Commercial Degreaser for Industrial Use</w:t>
      </w:r>
    </w:p>
    <w:p w14:paraId="7AB9F807" w14:textId="77777777" w:rsidR="00876A41" w:rsidRPr="007D21A7" w:rsidRDefault="00876A41" w:rsidP="00E13C57">
      <w:pPr>
        <w:ind w:right="-284" w:firstLine="284"/>
        <w:jc w:val="center"/>
        <w:rPr>
          <w:rFonts w:ascii="Times New Roman" w:hAnsi="Times New Roman"/>
          <w:color w:val="000000" w:themeColor="text1"/>
          <w:lang w:val="en-US"/>
        </w:rPr>
      </w:pPr>
    </w:p>
    <w:p w14:paraId="1F0BAD7C" w14:textId="2723E784" w:rsidR="00E13C57" w:rsidRPr="00FC1679" w:rsidRDefault="00BA4A94" w:rsidP="0023298C">
      <w:pPr>
        <w:ind w:right="-284"/>
        <w:jc w:val="center"/>
        <w:rPr>
          <w:rFonts w:cs="Arial"/>
          <w:color w:val="000000" w:themeColor="text1"/>
          <w:sz w:val="24"/>
          <w:szCs w:val="24"/>
          <w:lang w:val="pt-BR"/>
        </w:rPr>
      </w:pPr>
      <w:r w:rsidRPr="00FC1679">
        <w:rPr>
          <w:rFonts w:cs="Arial"/>
          <w:color w:val="000000" w:themeColor="text1"/>
          <w:sz w:val="24"/>
          <w:szCs w:val="24"/>
          <w:lang w:val="pt-BR"/>
        </w:rPr>
        <w:t>Rita de C. Freire Soares da Silva</w:t>
      </w:r>
      <w:r>
        <w:rPr>
          <w:rFonts w:cs="Arial"/>
          <w:color w:val="000000" w:themeColor="text1"/>
          <w:sz w:val="24"/>
          <w:szCs w:val="24"/>
          <w:vertAlign w:val="superscript"/>
          <w:lang w:val="pt-BR"/>
        </w:rPr>
        <w:t>a</w:t>
      </w:r>
      <w:r w:rsidRPr="00FC1679">
        <w:rPr>
          <w:rFonts w:cs="Arial"/>
          <w:color w:val="000000" w:themeColor="text1"/>
          <w:sz w:val="24"/>
          <w:szCs w:val="24"/>
          <w:lang w:val="pt-BR"/>
        </w:rPr>
        <w:t xml:space="preserve">, </w:t>
      </w:r>
      <w:r w:rsidR="00E13C57" w:rsidRPr="00FC1679">
        <w:rPr>
          <w:rFonts w:cs="Arial"/>
          <w:color w:val="000000" w:themeColor="text1"/>
          <w:sz w:val="24"/>
          <w:szCs w:val="24"/>
          <w:lang w:val="pt-BR"/>
        </w:rPr>
        <w:t xml:space="preserve">Charles B. Barbosa </w:t>
      </w:r>
      <w:proofErr w:type="spellStart"/>
      <w:r w:rsidR="00E13C57" w:rsidRPr="00FC1679">
        <w:rPr>
          <w:rFonts w:cs="Arial"/>
          <w:color w:val="000000" w:themeColor="text1"/>
          <w:sz w:val="24"/>
          <w:szCs w:val="24"/>
          <w:lang w:val="pt-BR"/>
        </w:rPr>
        <w:t>Farias</w:t>
      </w:r>
      <w:r w:rsidR="00E13C57" w:rsidRPr="00FC1679">
        <w:rPr>
          <w:rFonts w:cs="Arial"/>
          <w:color w:val="000000" w:themeColor="text1"/>
          <w:sz w:val="24"/>
          <w:szCs w:val="24"/>
          <w:vertAlign w:val="superscript"/>
          <w:lang w:val="pt-BR"/>
        </w:rPr>
        <w:t>a</w:t>
      </w:r>
      <w:proofErr w:type="spellEnd"/>
      <w:r w:rsidR="00E13C57" w:rsidRPr="00FC1679">
        <w:rPr>
          <w:rFonts w:cs="Arial"/>
          <w:color w:val="000000" w:themeColor="text1"/>
          <w:sz w:val="24"/>
          <w:szCs w:val="24"/>
          <w:lang w:val="pt-BR"/>
        </w:rPr>
        <w:t xml:space="preserve">, Fabíola C. Gomes de </w:t>
      </w:r>
      <w:proofErr w:type="spellStart"/>
      <w:r w:rsidR="00E13C57" w:rsidRPr="00FC1679">
        <w:rPr>
          <w:rFonts w:cs="Arial"/>
          <w:color w:val="000000" w:themeColor="text1"/>
          <w:sz w:val="24"/>
          <w:szCs w:val="24"/>
          <w:lang w:val="pt-BR"/>
        </w:rPr>
        <w:t>Almeida</w:t>
      </w:r>
      <w:r>
        <w:rPr>
          <w:rFonts w:cs="Arial"/>
          <w:color w:val="000000" w:themeColor="text1"/>
          <w:sz w:val="24"/>
          <w:szCs w:val="24"/>
          <w:vertAlign w:val="superscript"/>
          <w:lang w:val="pt-BR"/>
        </w:rPr>
        <w:t>a</w:t>
      </w:r>
      <w:proofErr w:type="spellEnd"/>
      <w:r w:rsidR="00E13C57" w:rsidRPr="00FC1679">
        <w:rPr>
          <w:rFonts w:cs="Arial"/>
          <w:color w:val="000000" w:themeColor="text1"/>
          <w:sz w:val="24"/>
          <w:szCs w:val="24"/>
          <w:lang w:val="pt-BR"/>
        </w:rPr>
        <w:t xml:space="preserve">, </w:t>
      </w:r>
      <w:proofErr w:type="spellStart"/>
      <w:r w:rsidR="00E13C57" w:rsidRPr="00FC1679">
        <w:rPr>
          <w:rFonts w:cs="Arial"/>
          <w:color w:val="000000" w:themeColor="text1"/>
          <w:sz w:val="24"/>
          <w:szCs w:val="24"/>
          <w:lang w:val="pt-BR"/>
        </w:rPr>
        <w:t>Ivison</w:t>
      </w:r>
      <w:proofErr w:type="spellEnd"/>
      <w:r w:rsidR="00E13C57" w:rsidRPr="00FC1679">
        <w:rPr>
          <w:rFonts w:cs="Arial"/>
          <w:color w:val="000000" w:themeColor="text1"/>
          <w:sz w:val="24"/>
          <w:szCs w:val="24"/>
          <w:lang w:val="pt-BR"/>
        </w:rPr>
        <w:t xml:space="preserve"> A.</w:t>
      </w:r>
      <w:r w:rsidR="009F0AD8">
        <w:rPr>
          <w:rFonts w:cs="Arial"/>
          <w:color w:val="000000" w:themeColor="text1"/>
          <w:sz w:val="24"/>
          <w:szCs w:val="24"/>
          <w:lang w:val="pt-BR"/>
        </w:rPr>
        <w:t xml:space="preserve"> </w:t>
      </w:r>
      <w:r w:rsidR="00E13C57" w:rsidRPr="00FC1679">
        <w:rPr>
          <w:rFonts w:cs="Arial"/>
          <w:color w:val="000000" w:themeColor="text1"/>
          <w:sz w:val="24"/>
          <w:szCs w:val="24"/>
          <w:lang w:val="pt-BR"/>
        </w:rPr>
        <w:t xml:space="preserve">da </w:t>
      </w:r>
      <w:proofErr w:type="spellStart"/>
      <w:proofErr w:type="gramStart"/>
      <w:r w:rsidR="00E13C57" w:rsidRPr="00FC1679">
        <w:rPr>
          <w:rFonts w:cs="Arial"/>
          <w:color w:val="000000" w:themeColor="text1"/>
          <w:sz w:val="24"/>
          <w:szCs w:val="24"/>
          <w:lang w:val="pt-BR"/>
        </w:rPr>
        <w:t>Silva</w:t>
      </w:r>
      <w:r w:rsidR="00AF46BC">
        <w:rPr>
          <w:rFonts w:cs="Arial"/>
          <w:color w:val="000000" w:themeColor="text1"/>
          <w:sz w:val="24"/>
          <w:szCs w:val="24"/>
          <w:vertAlign w:val="superscript"/>
          <w:lang w:val="pt-BR"/>
        </w:rPr>
        <w:t>a,</w:t>
      </w:r>
      <w:r w:rsidR="00692279">
        <w:rPr>
          <w:rFonts w:cs="Arial"/>
          <w:color w:val="000000" w:themeColor="text1"/>
          <w:sz w:val="24"/>
          <w:szCs w:val="24"/>
          <w:vertAlign w:val="superscript"/>
          <w:lang w:val="pt-BR"/>
        </w:rPr>
        <w:t>c</w:t>
      </w:r>
      <w:proofErr w:type="spellEnd"/>
      <w:proofErr w:type="gramEnd"/>
      <w:r w:rsidR="00E13C57" w:rsidRPr="00FC1679">
        <w:rPr>
          <w:rFonts w:cs="Arial"/>
          <w:color w:val="000000" w:themeColor="text1"/>
          <w:sz w:val="24"/>
          <w:szCs w:val="24"/>
          <w:lang w:val="pt-BR"/>
        </w:rPr>
        <w:t xml:space="preserve">, Leonie Asfora </w:t>
      </w:r>
      <w:proofErr w:type="spellStart"/>
      <w:r w:rsidR="00E13C57" w:rsidRPr="00FC1679">
        <w:rPr>
          <w:rFonts w:cs="Arial"/>
          <w:color w:val="000000" w:themeColor="text1"/>
          <w:sz w:val="24"/>
          <w:szCs w:val="24"/>
          <w:lang w:val="pt-BR"/>
        </w:rPr>
        <w:t>Sarubbo</w:t>
      </w:r>
      <w:r w:rsidR="00E13C57" w:rsidRPr="00FC1679">
        <w:rPr>
          <w:rFonts w:cs="Arial"/>
          <w:color w:val="000000" w:themeColor="text1"/>
          <w:sz w:val="24"/>
          <w:szCs w:val="24"/>
          <w:vertAlign w:val="superscript"/>
          <w:lang w:val="pt-BR"/>
        </w:rPr>
        <w:t>a,b</w:t>
      </w:r>
      <w:r w:rsidR="0096754E">
        <w:rPr>
          <w:rFonts w:cs="Arial"/>
          <w:color w:val="000000" w:themeColor="text1"/>
          <w:sz w:val="24"/>
          <w:szCs w:val="24"/>
          <w:vertAlign w:val="superscript"/>
          <w:lang w:val="pt-BR"/>
        </w:rPr>
        <w:t>,c</w:t>
      </w:r>
      <w:proofErr w:type="spellEnd"/>
    </w:p>
    <w:p w14:paraId="1E0B366E" w14:textId="77777777" w:rsidR="00E13C57" w:rsidRPr="00FC1679" w:rsidRDefault="00E13C57" w:rsidP="00CE1F72">
      <w:pPr>
        <w:pStyle w:val="Corpodetexto2"/>
        <w:spacing w:after="0" w:line="276" w:lineRule="auto"/>
        <w:rPr>
          <w:rStyle w:val="hps"/>
          <w:rFonts w:eastAsia="Calibri" w:cs="Arial"/>
          <w:sz w:val="16"/>
          <w:szCs w:val="16"/>
          <w:vertAlign w:val="superscript"/>
          <w:lang w:val="pt-BR"/>
        </w:rPr>
      </w:pPr>
    </w:p>
    <w:p w14:paraId="7942928F" w14:textId="5BE715B5" w:rsidR="00BA4A94" w:rsidRDefault="00447C87" w:rsidP="006944B0">
      <w:pPr>
        <w:pStyle w:val="Corpodetexto2"/>
        <w:spacing w:after="0" w:line="276" w:lineRule="auto"/>
        <w:ind w:right="-285"/>
        <w:rPr>
          <w:rFonts w:cs="Arial"/>
          <w:sz w:val="16"/>
          <w:szCs w:val="16"/>
          <w:lang w:val="en-US"/>
        </w:rPr>
      </w:pPr>
      <w:r>
        <w:rPr>
          <w:rFonts w:cs="Arial"/>
          <w:sz w:val="16"/>
          <w:szCs w:val="16"/>
          <w:vertAlign w:val="superscript"/>
          <w:lang w:val="pt-BR"/>
        </w:rPr>
        <w:t>a</w:t>
      </w:r>
      <w:r w:rsidR="00BA4A94">
        <w:rPr>
          <w:rFonts w:cs="Arial"/>
          <w:sz w:val="16"/>
          <w:szCs w:val="16"/>
          <w:vertAlign w:val="superscript"/>
          <w:lang w:val="pt-BR"/>
        </w:rPr>
        <w:t xml:space="preserve"> </w:t>
      </w:r>
      <w:r w:rsidR="00BA4A94" w:rsidRPr="0096754E">
        <w:rPr>
          <w:rStyle w:val="hps"/>
          <w:rFonts w:eastAsia="Calibri" w:cs="Arial"/>
          <w:sz w:val="16"/>
          <w:szCs w:val="16"/>
          <w:lang w:val="en-US"/>
        </w:rPr>
        <w:t>Advanced Institute of Technology and Innovation - IATI</w:t>
      </w:r>
      <w:r w:rsidR="00BA4A94" w:rsidRPr="0096754E">
        <w:rPr>
          <w:rFonts w:cs="Arial"/>
          <w:sz w:val="16"/>
          <w:szCs w:val="16"/>
          <w:lang w:val="en-US"/>
        </w:rPr>
        <w:t>, Rua Potira, n. 31, Prado, 50751310, Recife, Pernambuco, Brazil.</w:t>
      </w:r>
    </w:p>
    <w:p w14:paraId="174B7A7E" w14:textId="45A6F915" w:rsidR="00BA4A94" w:rsidRPr="0096754E" w:rsidRDefault="00BA4A94" w:rsidP="006944B0">
      <w:pPr>
        <w:pStyle w:val="Corpodetexto2"/>
        <w:spacing w:after="0" w:line="276" w:lineRule="auto"/>
        <w:ind w:right="-285"/>
        <w:rPr>
          <w:rFonts w:cs="Arial"/>
          <w:sz w:val="16"/>
          <w:szCs w:val="16"/>
          <w:lang w:val="pt-BR"/>
        </w:rPr>
      </w:pPr>
      <w:r>
        <w:rPr>
          <w:rFonts w:cs="Arial"/>
          <w:sz w:val="16"/>
          <w:szCs w:val="16"/>
          <w:vertAlign w:val="superscript"/>
          <w:lang w:val="pt-BR"/>
        </w:rPr>
        <w:t xml:space="preserve">b </w:t>
      </w:r>
      <w:proofErr w:type="spellStart"/>
      <w:r w:rsidRPr="0096754E">
        <w:rPr>
          <w:rFonts w:cs="Arial"/>
          <w:sz w:val="16"/>
          <w:szCs w:val="16"/>
          <w:lang w:val="pt-BR"/>
        </w:rPr>
        <w:t>Catholic</w:t>
      </w:r>
      <w:proofErr w:type="spellEnd"/>
      <w:r w:rsidRPr="0096754E">
        <w:rPr>
          <w:rFonts w:cs="Arial"/>
          <w:sz w:val="16"/>
          <w:szCs w:val="16"/>
          <w:lang w:val="pt-BR"/>
        </w:rPr>
        <w:t xml:space="preserve"> </w:t>
      </w:r>
      <w:proofErr w:type="spellStart"/>
      <w:r w:rsidRPr="0096754E">
        <w:rPr>
          <w:rFonts w:cs="Arial"/>
          <w:sz w:val="16"/>
          <w:szCs w:val="16"/>
          <w:lang w:val="pt-BR"/>
        </w:rPr>
        <w:t>University</w:t>
      </w:r>
      <w:proofErr w:type="spellEnd"/>
      <w:r w:rsidRPr="0096754E">
        <w:rPr>
          <w:rFonts w:cs="Arial"/>
          <w:sz w:val="16"/>
          <w:szCs w:val="16"/>
          <w:lang w:val="pt-BR"/>
        </w:rPr>
        <w:t xml:space="preserve"> of Pernambuco, Rua do Príncipe, n. 526, Boa Vista, CEP: 50050-900, Recife, Pernambuco, </w:t>
      </w:r>
      <w:proofErr w:type="spellStart"/>
      <w:r w:rsidRPr="0096754E">
        <w:rPr>
          <w:rFonts w:cs="Arial"/>
          <w:sz w:val="16"/>
          <w:szCs w:val="16"/>
          <w:lang w:val="pt-BR"/>
        </w:rPr>
        <w:t>Brazil</w:t>
      </w:r>
      <w:proofErr w:type="spellEnd"/>
      <w:r w:rsidRPr="0096754E">
        <w:rPr>
          <w:rFonts w:cs="Arial"/>
          <w:sz w:val="16"/>
          <w:szCs w:val="16"/>
          <w:lang w:val="pt-BR"/>
        </w:rPr>
        <w:t>.</w:t>
      </w:r>
    </w:p>
    <w:p w14:paraId="25200743" w14:textId="11ECDEB9" w:rsidR="0096754E" w:rsidRPr="0096754E" w:rsidRDefault="00692279" w:rsidP="006944B0">
      <w:pPr>
        <w:pStyle w:val="Corpodetexto2"/>
        <w:spacing w:after="0" w:line="276" w:lineRule="auto"/>
        <w:ind w:right="-285"/>
        <w:rPr>
          <w:rFonts w:cs="Arial"/>
          <w:sz w:val="16"/>
          <w:szCs w:val="16"/>
          <w:lang w:val="pt-BR"/>
        </w:rPr>
      </w:pPr>
      <w:r>
        <w:rPr>
          <w:rStyle w:val="hps"/>
          <w:rFonts w:eastAsia="Calibri" w:cs="Arial"/>
          <w:sz w:val="16"/>
          <w:szCs w:val="16"/>
          <w:vertAlign w:val="superscript"/>
          <w:lang w:val="en-US"/>
        </w:rPr>
        <w:t>c</w:t>
      </w:r>
      <w:r w:rsidR="000C3C0E">
        <w:rPr>
          <w:rFonts w:cs="Arial"/>
          <w:sz w:val="16"/>
          <w:szCs w:val="16"/>
        </w:rPr>
        <w:t xml:space="preserve"> </w:t>
      </w:r>
      <w:r w:rsidR="00BA4A94" w:rsidRPr="00BA4A94">
        <w:rPr>
          <w:rFonts w:cs="Arial"/>
          <w:sz w:val="16"/>
          <w:szCs w:val="16"/>
        </w:rPr>
        <w:t xml:space="preserve">Northeast Biotechnology Network (RENORBIO), Federal Rural University of Pernambuco, Rua Dom Manuel de Medeiros, s/n, Dois </w:t>
      </w:r>
      <w:proofErr w:type="spellStart"/>
      <w:r w:rsidR="00BA4A94" w:rsidRPr="00BA4A94">
        <w:rPr>
          <w:rFonts w:cs="Arial"/>
          <w:sz w:val="16"/>
          <w:szCs w:val="16"/>
        </w:rPr>
        <w:t>Irmãos</w:t>
      </w:r>
      <w:proofErr w:type="spellEnd"/>
      <w:r w:rsidR="00BA4A94" w:rsidRPr="00BA4A94">
        <w:rPr>
          <w:rFonts w:cs="Arial"/>
          <w:sz w:val="16"/>
          <w:szCs w:val="16"/>
        </w:rPr>
        <w:t>, CEP: 52171-900 Recife, PE, Brazill</w:t>
      </w:r>
      <w:r w:rsidR="0096754E" w:rsidRPr="0096754E">
        <w:rPr>
          <w:rFonts w:cs="Arial"/>
          <w:sz w:val="16"/>
          <w:szCs w:val="16"/>
          <w:lang w:val="pt-BR"/>
        </w:rPr>
        <w:t>.</w:t>
      </w:r>
    </w:p>
    <w:p w14:paraId="4AF1463A" w14:textId="77777777" w:rsidR="0096754E" w:rsidRPr="00FC1679" w:rsidRDefault="0096754E" w:rsidP="006944B0">
      <w:pPr>
        <w:pStyle w:val="Corpodetexto2"/>
        <w:spacing w:after="0" w:line="276" w:lineRule="auto"/>
        <w:ind w:right="-285"/>
        <w:rPr>
          <w:rFonts w:cs="Arial"/>
          <w:sz w:val="16"/>
          <w:szCs w:val="16"/>
          <w:lang w:val="pt-BR"/>
        </w:rPr>
      </w:pPr>
    </w:p>
    <w:p w14:paraId="03687E14" w14:textId="6D2B7135" w:rsidR="0015004C" w:rsidRPr="0015004C" w:rsidRDefault="00294D80" w:rsidP="0015004C">
      <w:pPr>
        <w:pStyle w:val="CETAddress"/>
        <w:ind w:right="-285"/>
        <w:jc w:val="both"/>
        <w:rPr>
          <w:noProof w:val="0"/>
          <w:sz w:val="18"/>
          <w:lang w:val="en" w:eastAsia="pt-BR"/>
        </w:rPr>
      </w:pPr>
      <w:r w:rsidRPr="0015004C">
        <w:rPr>
          <w:noProof w:val="0"/>
          <w:sz w:val="18"/>
          <w:lang w:val="en" w:eastAsia="pt-BR"/>
        </w:rPr>
        <w:t xml:space="preserve">To clean surfaces contaminated by petrochemicals, industries use products formulated with substances harmful to the environment and the health of workers. The search for natural and biodegradable tensoactive composts is most necessary. Nesse sense, the development of degreasers and non-toxic detergents formulated from natural sources can be a solution. </w:t>
      </w:r>
      <w:r w:rsidR="0015004C" w:rsidRPr="0015004C">
        <w:rPr>
          <w:noProof w:val="0"/>
          <w:sz w:val="18"/>
          <w:lang w:val="en" w:eastAsia="pt-BR"/>
        </w:rPr>
        <w:t>Based on these needs, many companies offer products claiming to be biodegradable, non-toxic and environmentally compatible. Therefore, this work aimed to carry out comparative tests between a biodegradable and non-toxic biodetergent, produced from vegetable inputs</w:t>
      </w:r>
      <w:r w:rsidR="004F56C8">
        <w:rPr>
          <w:noProof w:val="0"/>
          <w:sz w:val="18"/>
          <w:lang w:val="en" w:eastAsia="pt-BR"/>
        </w:rPr>
        <w:t xml:space="preserve"> </w:t>
      </w:r>
      <w:r w:rsidR="0015004C" w:rsidRPr="0015004C">
        <w:rPr>
          <w:noProof w:val="0"/>
          <w:sz w:val="18"/>
          <w:lang w:val="en" w:eastAsia="pt-BR"/>
        </w:rPr>
        <w:t>and a commercial degreaser with the same purpose. In this sense, the efficiency of the products was evaluated in of tin removing OCB1 fuel oil from smooth and metallic surfaces, the destabilization capacity of heavy oil in was determined in relation to a time of 5 minutes and its toxicity using cabbage seeds (</w:t>
      </w:r>
      <w:r w:rsidR="0015004C" w:rsidRPr="0015004C">
        <w:rPr>
          <w:i/>
          <w:iCs/>
          <w:noProof w:val="0"/>
          <w:sz w:val="18"/>
          <w:lang w:val="en" w:eastAsia="pt-BR"/>
        </w:rPr>
        <w:t>Brassica oleracea</w:t>
      </w:r>
      <w:r w:rsidR="0015004C" w:rsidRPr="0015004C">
        <w:rPr>
          <w:noProof w:val="0"/>
          <w:sz w:val="18"/>
          <w:lang w:val="en" w:eastAsia="pt-BR"/>
        </w:rPr>
        <w:t>) and microcrustacean larvae (</w:t>
      </w:r>
      <w:r w:rsidR="0015004C" w:rsidRPr="0015004C">
        <w:rPr>
          <w:i/>
          <w:iCs/>
          <w:noProof w:val="0"/>
          <w:sz w:val="18"/>
          <w:lang w:val="en" w:eastAsia="pt-BR"/>
        </w:rPr>
        <w:t>Artemia salina</w:t>
      </w:r>
      <w:r w:rsidR="0015004C" w:rsidRPr="0015004C">
        <w:rPr>
          <w:noProof w:val="0"/>
          <w:sz w:val="18"/>
          <w:lang w:val="en" w:eastAsia="pt-BR"/>
        </w:rPr>
        <w:t xml:space="preserve">) as indicators. The comparative tests between the two formulations demonstrated very satisfactory results in favor of the biodetergent. Regarding the evaluation of the products for OCB1 removal efficiency, the biodetergent showed satisfactory results, with 100% removal of the oil impregnated on smooth and metallic surfaces and 90% for the commercial product. For the destabilization capacity in relation to time, the biodetergent demonstrated total destabilization of the petroderivative in just 2 minutes, whereas the commercial product required twice as long for </w:t>
      </w:r>
      <w:r w:rsidR="0015004C" w:rsidRPr="00E96BDE">
        <w:rPr>
          <w:rFonts w:cs="Arial"/>
          <w:bCs/>
          <w:noProof w:val="0"/>
          <w:sz w:val="18"/>
          <w:szCs w:val="18"/>
          <w:lang w:val="en" w:eastAsia="pt-BR"/>
        </w:rPr>
        <w:t>partial destabilization of the oil.</w:t>
      </w:r>
      <w:r w:rsidR="007946D5" w:rsidRPr="00E96BDE">
        <w:rPr>
          <w:rFonts w:cs="Arial"/>
          <w:bCs/>
          <w:noProof w:val="0"/>
          <w:sz w:val="18"/>
          <w:szCs w:val="18"/>
          <w:lang w:val="en" w:eastAsia="pt-BR"/>
        </w:rPr>
        <w:t xml:space="preserve"> The ecotoxicological tests demonstrated the absence of toxicity of the detergent formulated with </w:t>
      </w:r>
      <w:r w:rsidR="00AF46BC" w:rsidRPr="00E96BDE">
        <w:rPr>
          <w:rFonts w:cs="Arial"/>
          <w:bCs/>
          <w:noProof w:val="0"/>
          <w:sz w:val="18"/>
          <w:szCs w:val="18"/>
          <w:lang w:val="en" w:eastAsia="pt-BR"/>
        </w:rPr>
        <w:t>biosurfactant</w:t>
      </w:r>
      <w:r w:rsidR="007946D5" w:rsidRPr="00E96BDE">
        <w:rPr>
          <w:rFonts w:cs="Arial"/>
          <w:bCs/>
          <w:noProof w:val="0"/>
          <w:sz w:val="18"/>
          <w:szCs w:val="18"/>
          <w:lang w:val="en" w:eastAsia="pt-BR"/>
        </w:rPr>
        <w:t xml:space="preserve"> and for the commercial degreaser and a mortality rate of 100% was observed for the indicator organisms.</w:t>
      </w:r>
      <w:r w:rsidR="00E96BDE" w:rsidRPr="00E96BDE">
        <w:rPr>
          <w:rFonts w:cs="Arial"/>
          <w:bCs/>
          <w:noProof w:val="0"/>
          <w:sz w:val="18"/>
          <w:szCs w:val="18"/>
          <w:lang w:val="en" w:eastAsia="pt-BR"/>
        </w:rPr>
        <w:t xml:space="preserve"> Therefore, the biodetergent demonstrates superior efficiency in relation to commercial degreaser and safer and more reliable chemical and toxicological characteristics for human health and the environment.</w:t>
      </w:r>
    </w:p>
    <w:p w14:paraId="18068673" w14:textId="77777777" w:rsidR="0015004C" w:rsidRDefault="0015004C" w:rsidP="0015004C">
      <w:pPr>
        <w:pStyle w:val="CETAddress"/>
        <w:ind w:right="-285"/>
        <w:jc w:val="both"/>
        <w:rPr>
          <w:noProof w:val="0"/>
          <w:sz w:val="18"/>
          <w:lang w:val="en" w:eastAsia="pt-BR"/>
        </w:rPr>
      </w:pPr>
    </w:p>
    <w:p w14:paraId="7BA03134" w14:textId="77777777" w:rsidR="00CE1F72" w:rsidRPr="005157FD" w:rsidRDefault="00CE1F72" w:rsidP="006944B0">
      <w:pPr>
        <w:pStyle w:val="CETHeading1"/>
        <w:spacing w:before="0" w:after="0"/>
        <w:ind w:right="-285"/>
        <w:rPr>
          <w:lang w:val="en-GB"/>
        </w:rPr>
      </w:pPr>
      <w:r w:rsidRPr="005157FD">
        <w:rPr>
          <w:lang w:val="en-GB"/>
        </w:rPr>
        <w:t>Introduction</w:t>
      </w:r>
    </w:p>
    <w:p w14:paraId="4B8CA2BB" w14:textId="77777777" w:rsidR="00CE1F72" w:rsidRPr="001F4C63" w:rsidRDefault="00CE1F72" w:rsidP="006944B0">
      <w:pPr>
        <w:pStyle w:val="CETBodytext"/>
        <w:ind w:right="-285"/>
        <w:rPr>
          <w:lang w:val="en-GB"/>
        </w:rPr>
      </w:pPr>
    </w:p>
    <w:p w14:paraId="32BA0E65" w14:textId="763975A8" w:rsidR="00435FBB" w:rsidRDefault="00A13FC4" w:rsidP="006944B0">
      <w:pPr>
        <w:pStyle w:val="Pr-formataoHTML"/>
        <w:shd w:val="clear" w:color="auto" w:fill="FFFFFF" w:themeFill="background1"/>
        <w:ind w:right="-285"/>
        <w:rPr>
          <w:rFonts w:ascii="Arial" w:hAnsi="Arial" w:cs="Arial"/>
          <w:bCs/>
          <w:szCs w:val="18"/>
          <w:lang w:val="en" w:eastAsia="pt-BR"/>
        </w:rPr>
      </w:pPr>
      <w:r w:rsidRPr="004D544D">
        <w:rPr>
          <w:rFonts w:ascii="Arial" w:hAnsi="Arial" w:cs="Arial"/>
          <w:bCs/>
          <w:szCs w:val="18"/>
          <w:lang w:val="en" w:eastAsia="pt-BR"/>
        </w:rPr>
        <w:t xml:space="preserve">The increasingly automated industrial processes use a large amount of oil to make their activities feasible, as in the case of the thermoelectric plants that they use of fuel oil (OCB1). Thus, the generation of oily waste arising from the operation, maintenance and cleaning of parts, floors and equipment arouses the concern of companies with the environment and the health of workers (Rocha e Silva et al., 2019; Farias et al., </w:t>
      </w:r>
      <w:r w:rsidRPr="00AB449E">
        <w:rPr>
          <w:rFonts w:ascii="Arial" w:hAnsi="Arial" w:cs="Arial"/>
          <w:bCs/>
          <w:szCs w:val="18"/>
          <w:lang w:val="en" w:eastAsia="pt-BR"/>
        </w:rPr>
        <w:t>202</w:t>
      </w:r>
      <w:r w:rsidR="00AB449E">
        <w:rPr>
          <w:rFonts w:ascii="Arial" w:hAnsi="Arial" w:cs="Arial"/>
          <w:bCs/>
          <w:szCs w:val="18"/>
          <w:lang w:val="en" w:eastAsia="pt-BR"/>
        </w:rPr>
        <w:t>1</w:t>
      </w:r>
      <w:r w:rsidRPr="00AB449E">
        <w:rPr>
          <w:rFonts w:ascii="Arial" w:hAnsi="Arial" w:cs="Arial"/>
          <w:bCs/>
          <w:szCs w:val="18"/>
          <w:lang w:val="en" w:eastAsia="pt-BR"/>
        </w:rPr>
        <w:t>)</w:t>
      </w:r>
      <w:r w:rsidRPr="004D544D">
        <w:rPr>
          <w:rFonts w:ascii="Arial" w:hAnsi="Arial" w:cs="Arial"/>
          <w:bCs/>
          <w:szCs w:val="18"/>
          <w:lang w:val="en" w:eastAsia="pt-BR"/>
        </w:rPr>
        <w:t>. The detergents that have been commonly used by industries powered by fuel oil in the main stages of the washing process of parts, equipment, floors and machines, are synthetic derivatives of petroleum, and therefore have a high degree of toxicity, which can generate secondary hazardous waste such as BTEX and HAP's, which can cause irreversible effects over time in different environments (Rocha e Silva et al., 20</w:t>
      </w:r>
      <w:r w:rsidR="00AB449E">
        <w:rPr>
          <w:rFonts w:ascii="Arial" w:hAnsi="Arial" w:cs="Arial"/>
          <w:bCs/>
          <w:szCs w:val="18"/>
          <w:lang w:val="en" w:eastAsia="pt-BR"/>
        </w:rPr>
        <w:t>19</w:t>
      </w:r>
      <w:r w:rsidRPr="004D544D">
        <w:rPr>
          <w:rFonts w:ascii="Arial" w:hAnsi="Arial" w:cs="Arial"/>
          <w:bCs/>
          <w:szCs w:val="18"/>
          <w:lang w:val="en" w:eastAsia="pt-BR"/>
        </w:rPr>
        <w:t>). In addition, most of these commercial detergents / degreasers contain petroleum-based solvents, many of which are not biodegradable and persist in the environment (</w:t>
      </w:r>
      <w:r w:rsidR="002B32B4">
        <w:rPr>
          <w:rFonts w:ascii="Arial" w:hAnsi="Arial" w:cs="Arial"/>
          <w:bCs/>
          <w:szCs w:val="18"/>
          <w:lang w:val="en" w:eastAsia="pt-BR"/>
        </w:rPr>
        <w:t>Selva Filho</w:t>
      </w:r>
      <w:r w:rsidRPr="004D544D">
        <w:rPr>
          <w:rFonts w:ascii="Arial" w:hAnsi="Arial" w:cs="Arial"/>
          <w:bCs/>
          <w:szCs w:val="18"/>
          <w:lang w:val="en" w:eastAsia="pt-BR"/>
        </w:rPr>
        <w:t xml:space="preserve"> et al., 20</w:t>
      </w:r>
      <w:r w:rsidR="002B32B4">
        <w:rPr>
          <w:rFonts w:ascii="Arial" w:hAnsi="Arial" w:cs="Arial"/>
          <w:bCs/>
          <w:szCs w:val="18"/>
          <w:lang w:val="en" w:eastAsia="pt-BR"/>
        </w:rPr>
        <w:t>23</w:t>
      </w:r>
      <w:r w:rsidRPr="004D544D">
        <w:rPr>
          <w:rFonts w:ascii="Arial" w:hAnsi="Arial" w:cs="Arial"/>
          <w:bCs/>
          <w:szCs w:val="18"/>
          <w:lang w:val="en" w:eastAsia="pt-BR"/>
        </w:rPr>
        <w:t xml:space="preserve">). In this context, the advancement of sustainable technologies has increasingly driven the search for natural and biodegradable surfactant compounds, which reduce impacts on the environment and guarantee the health of workers (Durval et al., 2019; </w:t>
      </w:r>
      <w:r w:rsidR="00DF6020">
        <w:rPr>
          <w:rFonts w:ascii="Arial" w:hAnsi="Arial" w:cs="Arial"/>
          <w:bCs/>
          <w:szCs w:val="18"/>
          <w:lang w:val="en" w:eastAsia="pt-BR"/>
        </w:rPr>
        <w:t>Sarubbo</w:t>
      </w:r>
      <w:r w:rsidRPr="004D544D">
        <w:rPr>
          <w:rFonts w:ascii="Arial" w:hAnsi="Arial" w:cs="Arial"/>
          <w:bCs/>
          <w:szCs w:val="18"/>
          <w:lang w:val="en" w:eastAsia="pt-BR"/>
        </w:rPr>
        <w:t xml:space="preserve"> et al., 202</w:t>
      </w:r>
      <w:r w:rsidR="00DF6020">
        <w:rPr>
          <w:rFonts w:ascii="Arial" w:hAnsi="Arial" w:cs="Arial"/>
          <w:bCs/>
          <w:szCs w:val="18"/>
          <w:lang w:val="en" w:eastAsia="pt-BR"/>
        </w:rPr>
        <w:t>2</w:t>
      </w:r>
      <w:r w:rsidRPr="004D544D">
        <w:rPr>
          <w:rFonts w:ascii="Arial" w:hAnsi="Arial" w:cs="Arial"/>
          <w:bCs/>
          <w:szCs w:val="18"/>
          <w:lang w:val="en" w:eastAsia="pt-BR"/>
        </w:rPr>
        <w:t xml:space="preserve">). </w:t>
      </w:r>
      <w:r w:rsidR="00A7071E" w:rsidRPr="00A7071E">
        <w:rPr>
          <w:rFonts w:ascii="Arial" w:hAnsi="Arial" w:cs="Arial"/>
          <w:bCs/>
          <w:szCs w:val="18"/>
          <w:lang w:val="en" w:eastAsia="pt-BR"/>
        </w:rPr>
        <w:t>Therefore, this work aims to comparatively evaluate the efficiency and toxicity between a biodetergent formulated from natural components and a commercial degreaser for use in the petroleum industry.</w:t>
      </w:r>
    </w:p>
    <w:p w14:paraId="017B5183" w14:textId="77777777" w:rsidR="00CE1F72" w:rsidRDefault="00CE1F72" w:rsidP="006944B0">
      <w:pPr>
        <w:pStyle w:val="CETHeading1"/>
        <w:spacing w:before="0" w:after="0"/>
        <w:ind w:right="-285"/>
        <w:rPr>
          <w:lang w:val="en-GB"/>
        </w:rPr>
      </w:pPr>
      <w:r>
        <w:rPr>
          <w:lang w:val="en-GB"/>
        </w:rPr>
        <w:lastRenderedPageBreak/>
        <w:t>Material and Methods</w:t>
      </w:r>
    </w:p>
    <w:p w14:paraId="72F2C3DC" w14:textId="77777777" w:rsidR="00CE1F72" w:rsidRPr="001F4C63" w:rsidRDefault="00CE1F72" w:rsidP="006944B0">
      <w:pPr>
        <w:pStyle w:val="CETBodytext"/>
        <w:spacing w:line="240" w:lineRule="auto"/>
        <w:ind w:right="-285"/>
        <w:rPr>
          <w:lang w:val="en-GB"/>
        </w:rPr>
      </w:pPr>
    </w:p>
    <w:p w14:paraId="554FBBC1" w14:textId="0CBFC107" w:rsidR="00CE1F72" w:rsidRPr="004D544D" w:rsidRDefault="00CE1F72" w:rsidP="00692279">
      <w:pPr>
        <w:pStyle w:val="CETheadingx"/>
      </w:pPr>
      <w:r w:rsidRPr="004D544D">
        <w:t>2.1</w:t>
      </w:r>
      <w:r w:rsidR="00F75C13">
        <w:t xml:space="preserve"> </w:t>
      </w:r>
      <w:r w:rsidRPr="004D544D">
        <w:t>Material</w:t>
      </w:r>
    </w:p>
    <w:p w14:paraId="30A35621" w14:textId="25DA182E" w:rsidR="00CE1F72" w:rsidRDefault="00F87D37" w:rsidP="00605E10">
      <w:pPr>
        <w:pStyle w:val="CETBodytext"/>
        <w:spacing w:after="120" w:line="240" w:lineRule="auto"/>
        <w:ind w:right="-284"/>
        <w:rPr>
          <w:rFonts w:cs="Arial"/>
          <w:szCs w:val="18"/>
          <w:lang w:val="en-GB"/>
        </w:rPr>
      </w:pPr>
      <w:r>
        <w:rPr>
          <w:rFonts w:cs="Arial"/>
          <w:szCs w:val="18"/>
          <w:lang w:val="en-GB"/>
        </w:rPr>
        <w:t>O</w:t>
      </w:r>
      <w:r w:rsidR="00435FBB" w:rsidRPr="004D544D">
        <w:rPr>
          <w:rFonts w:cs="Arial"/>
          <w:szCs w:val="18"/>
          <w:lang w:val="en-GB"/>
        </w:rPr>
        <w:t>rganic vegetable solvent (fatty acid ester), natural surfactant, stabilizing gum and water. All compounds were purchased from local stores (Recife-PE/Brazil).</w:t>
      </w:r>
    </w:p>
    <w:p w14:paraId="12FAB0C9" w14:textId="77777777" w:rsidR="00F87D37" w:rsidRPr="00F87D37" w:rsidRDefault="00F87D37" w:rsidP="00605E10">
      <w:pPr>
        <w:pStyle w:val="CETBodytext"/>
        <w:spacing w:after="120" w:line="240" w:lineRule="auto"/>
        <w:ind w:right="-284"/>
        <w:rPr>
          <w:rFonts w:cs="Arial"/>
          <w:szCs w:val="18"/>
          <w:lang w:val="en-GB"/>
        </w:rPr>
      </w:pPr>
      <w:r w:rsidRPr="00F87D37">
        <w:rPr>
          <w:rFonts w:cs="Arial"/>
          <w:szCs w:val="18"/>
          <w:lang w:val="en-GB"/>
        </w:rPr>
        <w:t>The commercial degreaser was provided by a company that operates in the oil sector. Second to the company, the product is ecologically correct, produced based on vegetable oils and surfactant additives.</w:t>
      </w:r>
    </w:p>
    <w:p w14:paraId="0222FDB0" w14:textId="6A4EE764" w:rsidR="00F87D37" w:rsidRPr="004D544D" w:rsidRDefault="00F87D37" w:rsidP="00605E10">
      <w:pPr>
        <w:pStyle w:val="CETBodytext"/>
        <w:spacing w:after="120" w:line="240" w:lineRule="auto"/>
        <w:ind w:right="-284"/>
        <w:rPr>
          <w:szCs w:val="18"/>
          <w:lang w:val="en-GB"/>
        </w:rPr>
      </w:pPr>
      <w:r w:rsidRPr="00F87D37">
        <w:rPr>
          <w:rFonts w:cs="Arial"/>
          <w:szCs w:val="18"/>
          <w:lang w:val="en-GB"/>
        </w:rPr>
        <w:t xml:space="preserve">The OCB1 heavy oil (PETROBRAS, Brazil) was supplied by Centrais Elétricas de Pernambuco S.A. (EPESA). This oil is a complex mixture of hydrocarbons. Its kinematic viscosity at 60°C is 620 </w:t>
      </w:r>
      <w:proofErr w:type="spellStart"/>
      <w:r w:rsidRPr="00F87D37">
        <w:rPr>
          <w:rFonts w:cs="Arial"/>
          <w:szCs w:val="18"/>
          <w:lang w:val="en-GB"/>
        </w:rPr>
        <w:t>Cst</w:t>
      </w:r>
      <w:proofErr w:type="spellEnd"/>
      <w:r w:rsidRPr="00F87D37">
        <w:rPr>
          <w:rFonts w:cs="Arial"/>
          <w:szCs w:val="18"/>
          <w:lang w:val="en-GB"/>
        </w:rPr>
        <w:t>, its glow point is 66°C and its density at 20°C is 0.968 g/</w:t>
      </w:r>
      <w:proofErr w:type="spellStart"/>
      <w:r w:rsidRPr="00F87D37">
        <w:rPr>
          <w:rFonts w:cs="Arial"/>
          <w:szCs w:val="18"/>
          <w:lang w:val="en-GB"/>
        </w:rPr>
        <w:t>mL.</w:t>
      </w:r>
      <w:proofErr w:type="spellEnd"/>
    </w:p>
    <w:p w14:paraId="74096EDA" w14:textId="28D23608" w:rsidR="00F87D37" w:rsidRPr="00692279" w:rsidRDefault="00CE1F72" w:rsidP="00692279">
      <w:pPr>
        <w:pStyle w:val="CETheadingx"/>
      </w:pPr>
      <w:r w:rsidRPr="00692279">
        <w:t xml:space="preserve">2.2 </w:t>
      </w:r>
      <w:r w:rsidR="00F87D37" w:rsidRPr="00692279">
        <w:t>Biodetergent production</w:t>
      </w:r>
    </w:p>
    <w:p w14:paraId="1A934866" w14:textId="6AF70741" w:rsidR="004F56C8" w:rsidRDefault="00F87D37" w:rsidP="00605E10">
      <w:pPr>
        <w:pStyle w:val="CETBodytext"/>
        <w:spacing w:after="120" w:line="240" w:lineRule="auto"/>
        <w:ind w:right="-284"/>
        <w:rPr>
          <w:rFonts w:cs="Arial"/>
          <w:szCs w:val="18"/>
        </w:rPr>
      </w:pPr>
      <w:r w:rsidRPr="00F87D37">
        <w:rPr>
          <w:rFonts w:cs="Arial"/>
          <w:szCs w:val="18"/>
        </w:rPr>
        <w:t>The biodetergent was formulated by biodegradable and non-toxic components such as, natural surfactant classified as a fatty alcohol (2.0%), 0,5% de emulsion stabilizing gum and 0,5% de isola</w:t>
      </w:r>
      <w:r>
        <w:rPr>
          <w:rFonts w:cs="Arial"/>
          <w:szCs w:val="18"/>
        </w:rPr>
        <w:t>ted</w:t>
      </w:r>
      <w:r w:rsidRPr="00F87D37">
        <w:rPr>
          <w:rFonts w:cs="Arial"/>
          <w:szCs w:val="18"/>
        </w:rPr>
        <w:t xml:space="preserve"> biosurfactant </w:t>
      </w:r>
      <w:r>
        <w:rPr>
          <w:rFonts w:cs="Arial"/>
          <w:szCs w:val="18"/>
        </w:rPr>
        <w:t>from</w:t>
      </w:r>
      <w:r w:rsidRPr="00F87D37">
        <w:rPr>
          <w:rFonts w:cs="Arial"/>
          <w:szCs w:val="18"/>
        </w:rPr>
        <w:t xml:space="preserve"> </w:t>
      </w:r>
      <w:r w:rsidRPr="00F87D37">
        <w:rPr>
          <w:rFonts w:cs="Arial"/>
          <w:i/>
          <w:iCs/>
          <w:szCs w:val="18"/>
        </w:rPr>
        <w:t>Pseudomonas aeruginosa</w:t>
      </w:r>
      <w:r w:rsidRPr="00F87D37">
        <w:rPr>
          <w:rFonts w:cs="Arial"/>
          <w:szCs w:val="18"/>
        </w:rPr>
        <w:t xml:space="preserve"> ATCC 10145.</w:t>
      </w:r>
      <w:r>
        <w:rPr>
          <w:rFonts w:cs="Arial"/>
          <w:szCs w:val="18"/>
        </w:rPr>
        <w:t xml:space="preserve"> </w:t>
      </w:r>
      <w:r w:rsidRPr="00F87D37">
        <w:rPr>
          <w:rFonts w:cs="Arial"/>
          <w:szCs w:val="18"/>
        </w:rPr>
        <w:t>The liquid components of the formulation, such as the vegetable organic solvent and water, had their concentrations maintained according to previous studies, 20.0% and q.s.p to complete 100%, respectively</w:t>
      </w:r>
      <w:r w:rsidR="005E0B58" w:rsidRPr="005E0B58">
        <w:rPr>
          <w:rFonts w:cs="Arial"/>
          <w:szCs w:val="18"/>
        </w:rPr>
        <w:t xml:space="preserve"> (Farias et al., 2022).</w:t>
      </w:r>
    </w:p>
    <w:p w14:paraId="0CC2E99B" w14:textId="335CF3A6" w:rsidR="00CE1F72" w:rsidRPr="004D544D" w:rsidRDefault="005E0B58" w:rsidP="00DE0231">
      <w:pPr>
        <w:pStyle w:val="CETBodytext"/>
        <w:spacing w:after="120"/>
        <w:ind w:right="-284"/>
        <w:rPr>
          <w:rFonts w:cs="Arial"/>
          <w:b/>
          <w:bCs/>
          <w:szCs w:val="18"/>
        </w:rPr>
      </w:pPr>
      <w:r w:rsidRPr="005E0B58">
        <w:rPr>
          <w:rFonts w:cs="Arial"/>
          <w:szCs w:val="18"/>
        </w:rPr>
        <w:t xml:space="preserve"> </w:t>
      </w:r>
      <w:r w:rsidR="00E13C57" w:rsidRPr="004D544D">
        <w:rPr>
          <w:rFonts w:cs="Arial"/>
          <w:b/>
          <w:bCs/>
          <w:szCs w:val="18"/>
        </w:rPr>
        <w:t xml:space="preserve">2.3 </w:t>
      </w:r>
      <w:r w:rsidR="00F87D37" w:rsidRPr="00F87D37">
        <w:rPr>
          <w:rFonts w:cs="Arial"/>
          <w:b/>
          <w:bCs/>
          <w:szCs w:val="18"/>
        </w:rPr>
        <w:t>Oil removal test from contaminated surface</w:t>
      </w:r>
    </w:p>
    <w:p w14:paraId="6C730939" w14:textId="58B3F128" w:rsidR="00F87D37" w:rsidRDefault="00F87D37" w:rsidP="00DE0231">
      <w:pPr>
        <w:pStyle w:val="CETBodytext"/>
        <w:spacing w:line="240" w:lineRule="auto"/>
        <w:ind w:right="-285"/>
        <w:rPr>
          <w:bCs/>
          <w:szCs w:val="18"/>
          <w:lang w:val="en" w:eastAsia="pt-BR"/>
        </w:rPr>
      </w:pPr>
      <w:r w:rsidRPr="00F87D37">
        <w:rPr>
          <w:bCs/>
          <w:szCs w:val="18"/>
          <w:lang w:val="en" w:eastAsia="pt-BR"/>
        </w:rPr>
        <w:t xml:space="preserve">A </w:t>
      </w:r>
      <w:r w:rsidR="00450D83">
        <w:rPr>
          <w:bCs/>
          <w:szCs w:val="18"/>
          <w:lang w:val="en" w:eastAsia="pt-BR"/>
        </w:rPr>
        <w:t xml:space="preserve">glass </w:t>
      </w:r>
      <w:r w:rsidR="00AF46BC" w:rsidRPr="00AF46BC">
        <w:rPr>
          <w:bCs/>
          <w:szCs w:val="18"/>
          <w:lang w:val="en" w:eastAsia="pt-BR"/>
        </w:rPr>
        <w:t xml:space="preserve">blade </w:t>
      </w:r>
      <w:r w:rsidRPr="00F87D37">
        <w:rPr>
          <w:bCs/>
          <w:szCs w:val="18"/>
          <w:lang w:val="en" w:eastAsia="pt-BR"/>
        </w:rPr>
        <w:t xml:space="preserve">of known mass had part of its area uniformly contaminated with 100 </w:t>
      </w:r>
      <w:proofErr w:type="spellStart"/>
      <w:r w:rsidRPr="00F87D37">
        <w:rPr>
          <w:bCs/>
          <w:szCs w:val="18"/>
          <w:lang w:val="en" w:eastAsia="pt-BR"/>
        </w:rPr>
        <w:t>μL</w:t>
      </w:r>
      <w:proofErr w:type="spellEnd"/>
      <w:r w:rsidRPr="00F87D37">
        <w:rPr>
          <w:bCs/>
          <w:szCs w:val="18"/>
          <w:lang w:val="en" w:eastAsia="pt-BR"/>
        </w:rPr>
        <w:t xml:space="preserve"> of OCB1 oil. The</w:t>
      </w:r>
      <w:r w:rsidR="00450D83">
        <w:rPr>
          <w:bCs/>
          <w:szCs w:val="18"/>
          <w:lang w:val="en" w:eastAsia="pt-BR"/>
        </w:rPr>
        <w:t xml:space="preserve"> </w:t>
      </w:r>
      <w:r w:rsidRPr="00F87D37">
        <w:rPr>
          <w:bCs/>
          <w:szCs w:val="18"/>
          <w:lang w:val="en" w:eastAsia="pt-BR"/>
        </w:rPr>
        <w:t>contaminated section of the slide was immersed in the test solution (Biodetergent) for 3 minutes. Then, the</w:t>
      </w:r>
      <w:r w:rsidR="00450D83">
        <w:rPr>
          <w:bCs/>
          <w:szCs w:val="18"/>
          <w:lang w:val="en" w:eastAsia="pt-BR"/>
        </w:rPr>
        <w:t xml:space="preserve"> </w:t>
      </w:r>
      <w:r w:rsidRPr="00F87D37">
        <w:rPr>
          <w:bCs/>
          <w:szCs w:val="18"/>
          <w:lang w:val="en" w:eastAsia="pt-BR"/>
        </w:rPr>
        <w:t>slide was immersed in distilled water, removing excess test solution and destabilized residues from the</w:t>
      </w:r>
      <w:r w:rsidR="00450D83">
        <w:rPr>
          <w:bCs/>
          <w:szCs w:val="18"/>
          <w:lang w:val="en" w:eastAsia="pt-BR"/>
        </w:rPr>
        <w:t xml:space="preserve"> </w:t>
      </w:r>
      <w:r w:rsidRPr="00F87D37">
        <w:rPr>
          <w:bCs/>
          <w:szCs w:val="18"/>
          <w:lang w:val="en" w:eastAsia="pt-BR"/>
        </w:rPr>
        <w:t>surface. Finally, the slide was dried in an oven at 40 ° C for 30 minutes and its weight noted (Cavalcanti et al.,</w:t>
      </w:r>
      <w:r w:rsidR="00450D83">
        <w:rPr>
          <w:bCs/>
          <w:szCs w:val="18"/>
          <w:lang w:val="en" w:eastAsia="pt-BR"/>
        </w:rPr>
        <w:t xml:space="preserve"> </w:t>
      </w:r>
      <w:r w:rsidRPr="00F87D37">
        <w:rPr>
          <w:bCs/>
          <w:szCs w:val="18"/>
          <w:lang w:val="en" w:eastAsia="pt-BR"/>
        </w:rPr>
        <w:t>2020). The removal rate was calculated using the formula:</w:t>
      </w:r>
    </w:p>
    <w:p w14:paraId="36F5D8CF" w14:textId="77777777" w:rsidR="00605E10" w:rsidRPr="00F87D37" w:rsidRDefault="00605E10" w:rsidP="00DE0231">
      <w:pPr>
        <w:pStyle w:val="CETBodytext"/>
        <w:spacing w:line="240" w:lineRule="auto"/>
        <w:ind w:right="-285"/>
        <w:rPr>
          <w:bCs/>
          <w:szCs w:val="18"/>
          <w:lang w:val="en" w:eastAsia="pt-BR"/>
        </w:rPr>
      </w:pPr>
    </w:p>
    <w:p w14:paraId="0180BE1A" w14:textId="4EA2CD0F" w:rsidR="00450D83" w:rsidRDefault="00450D83" w:rsidP="00605E10">
      <w:pPr>
        <w:tabs>
          <w:tab w:val="right" w:pos="10275"/>
        </w:tabs>
        <w:spacing w:line="240" w:lineRule="auto"/>
        <w:ind w:right="193" w:hanging="1134"/>
        <w:jc w:val="left"/>
        <w:rPr>
          <w:shd w:val="clear" w:color="auto" w:fill="FFFFFF"/>
        </w:rPr>
      </w:pPr>
      <w:r w:rsidRPr="00E80EEF">
        <w:t xml:space="preserve">                          I = 100 x</w:t>
      </w:r>
      <w:r w:rsidRPr="00E80EEF">
        <w:rPr>
          <w:shd w:val="clear" w:color="auto" w:fill="FFFFFF"/>
        </w:rPr>
        <w:t xml:space="preserve">  </w:t>
      </w:r>
      <m:oMath>
        <m:f>
          <m:fPr>
            <m:ctrlPr>
              <w:rPr>
                <w:rFonts w:ascii="Cambria Math" w:hAnsi="Cambria Math"/>
                <w:i/>
              </w:rPr>
            </m:ctrlPr>
          </m:fPr>
          <m:num>
            <m:r>
              <w:rPr>
                <w:rFonts w:ascii="Cambria Math" w:hAnsi="Cambria Math"/>
              </w:rPr>
              <m:t>(Mc-Ml)</m:t>
            </m:r>
          </m:num>
          <m:den>
            <m:r>
              <w:rPr>
                <w:rFonts w:ascii="Cambria Math" w:hAnsi="Cambria Math"/>
              </w:rPr>
              <m:t>(Mc-Mi)</m:t>
            </m:r>
          </m:den>
        </m:f>
      </m:oMath>
      <w:r w:rsidRPr="00E80EEF">
        <w:rPr>
          <w:shd w:val="clear" w:color="auto" w:fill="FFFFFF"/>
        </w:rPr>
        <w:fldChar w:fldCharType="begin"/>
      </w:r>
      <w:r w:rsidRPr="00E80EEF">
        <w:rPr>
          <w:shd w:val="clear" w:color="auto" w:fill="FFFFFF"/>
        </w:rPr>
        <w:instrText xml:space="preserve"> QUOTE </w:instrText>
      </w:r>
      <m:oMath>
        <m:f>
          <m:fPr>
            <m:ctrlPr>
              <w:rPr>
                <w:rFonts w:ascii="Cambria Math" w:hAnsi="Cambria Math"/>
                <w:i/>
              </w:rPr>
            </m:ctrlPr>
          </m:fPr>
          <m:num>
            <m:r>
              <m:rPr>
                <m:sty m:val="p"/>
              </m:rPr>
              <w:rPr>
                <w:rFonts w:ascii="Cambria Math" w:hAnsi="Cambria Math"/>
              </w:rPr>
              <m:t>(Mc-Ml)</m:t>
            </m:r>
          </m:num>
          <m:den>
            <m:r>
              <m:rPr>
                <m:sty m:val="p"/>
              </m:rPr>
              <w:rPr>
                <w:rFonts w:ascii="Cambria Math" w:hAnsi="Cambria Math"/>
              </w:rPr>
              <m:t>(Mc-Mi)</m:t>
            </m:r>
          </m:den>
        </m:f>
      </m:oMath>
      <w:r w:rsidRPr="00E80EEF">
        <w:rPr>
          <w:shd w:val="clear" w:color="auto" w:fill="FFFFFF"/>
        </w:rPr>
        <w:instrText xml:space="preserve"> </w:instrText>
      </w:r>
      <w:r w:rsidRPr="00E80EEF">
        <w:rPr>
          <w:shd w:val="clear" w:color="auto" w:fill="FFFFFF"/>
        </w:rPr>
        <w:fldChar w:fldCharType="end"/>
      </w:r>
      <w:r>
        <w:rPr>
          <w:shd w:val="clear" w:color="auto" w:fill="FFFFFF"/>
        </w:rPr>
        <w:t xml:space="preserve">                                                                            </w:t>
      </w:r>
      <w:proofErr w:type="gramStart"/>
      <w:r>
        <w:rPr>
          <w:shd w:val="clear" w:color="auto" w:fill="FFFFFF"/>
        </w:rPr>
        <w:t xml:space="preserve">  </w:t>
      </w:r>
      <w:r w:rsidRPr="00E80EEF">
        <w:rPr>
          <w:shd w:val="clear" w:color="auto" w:fill="FFFFFF"/>
        </w:rPr>
        <w:t xml:space="preserve"> (</w:t>
      </w:r>
      <w:proofErr w:type="gramEnd"/>
      <w:r w:rsidRPr="00E80EEF">
        <w:rPr>
          <w:shd w:val="clear" w:color="auto" w:fill="FFFFFF"/>
        </w:rPr>
        <w:t>1)</w:t>
      </w:r>
    </w:p>
    <w:p w14:paraId="4DB65F5F" w14:textId="77777777" w:rsidR="00605E10" w:rsidRPr="00E80EEF" w:rsidRDefault="00605E10" w:rsidP="00605E10">
      <w:pPr>
        <w:tabs>
          <w:tab w:val="right" w:pos="10275"/>
        </w:tabs>
        <w:spacing w:line="240" w:lineRule="auto"/>
        <w:ind w:right="193" w:hanging="1134"/>
        <w:jc w:val="left"/>
        <w:rPr>
          <w:shd w:val="clear" w:color="auto" w:fill="FFFFFF"/>
        </w:rPr>
      </w:pPr>
    </w:p>
    <w:p w14:paraId="661AB91B" w14:textId="77777777" w:rsidR="00F87D37" w:rsidRPr="00F87D37" w:rsidRDefault="00F87D37" w:rsidP="00DE0231">
      <w:pPr>
        <w:pStyle w:val="CETBodytext"/>
        <w:spacing w:line="240" w:lineRule="auto"/>
        <w:ind w:right="-285"/>
        <w:rPr>
          <w:bCs/>
          <w:szCs w:val="18"/>
          <w:lang w:val="en" w:eastAsia="pt-BR"/>
        </w:rPr>
      </w:pPr>
      <w:r w:rsidRPr="00F87D37">
        <w:rPr>
          <w:bCs/>
          <w:szCs w:val="18"/>
          <w:lang w:val="en" w:eastAsia="pt-BR"/>
        </w:rPr>
        <w:t xml:space="preserve">Where </w:t>
      </w:r>
      <w:r w:rsidRPr="00450D83">
        <w:rPr>
          <w:bCs/>
          <w:i/>
          <w:iCs/>
          <w:szCs w:val="18"/>
          <w:lang w:val="en" w:eastAsia="pt-BR"/>
        </w:rPr>
        <w:t>Mc</w:t>
      </w:r>
      <w:r w:rsidRPr="00F87D37">
        <w:rPr>
          <w:bCs/>
          <w:szCs w:val="18"/>
          <w:lang w:val="en" w:eastAsia="pt-BR"/>
        </w:rPr>
        <w:t xml:space="preserve"> represents the weight of the contaminated blade, </w:t>
      </w:r>
      <w:r w:rsidRPr="00450D83">
        <w:rPr>
          <w:bCs/>
          <w:i/>
          <w:iCs/>
          <w:szCs w:val="18"/>
          <w:lang w:val="en" w:eastAsia="pt-BR"/>
        </w:rPr>
        <w:t>MI</w:t>
      </w:r>
      <w:r w:rsidRPr="00F87D37">
        <w:rPr>
          <w:bCs/>
          <w:szCs w:val="18"/>
          <w:lang w:val="en" w:eastAsia="pt-BR"/>
        </w:rPr>
        <w:t xml:space="preserve"> the weight of the post-wash blade and </w:t>
      </w:r>
      <w:r w:rsidRPr="00450D83">
        <w:rPr>
          <w:bCs/>
          <w:i/>
          <w:iCs/>
          <w:szCs w:val="18"/>
          <w:lang w:val="en" w:eastAsia="pt-BR"/>
        </w:rPr>
        <w:t>Mi</w:t>
      </w:r>
      <w:r w:rsidRPr="00F87D37">
        <w:rPr>
          <w:bCs/>
          <w:szCs w:val="18"/>
          <w:lang w:val="en" w:eastAsia="pt-BR"/>
        </w:rPr>
        <w:t xml:space="preserve"> the</w:t>
      </w:r>
    </w:p>
    <w:p w14:paraId="18991250" w14:textId="2A3C2165" w:rsidR="000B1555" w:rsidRPr="000B1555" w:rsidRDefault="00F87D37" w:rsidP="00DE0231">
      <w:pPr>
        <w:pStyle w:val="CETBodytext"/>
        <w:spacing w:line="240" w:lineRule="auto"/>
        <w:ind w:right="-285"/>
        <w:rPr>
          <w:lang w:val="en" w:eastAsia="pt-BR"/>
        </w:rPr>
      </w:pPr>
      <w:r w:rsidRPr="00F87D37">
        <w:rPr>
          <w:bCs/>
          <w:szCs w:val="18"/>
          <w:lang w:val="en" w:eastAsia="pt-BR"/>
        </w:rPr>
        <w:t>initial weight of the blade.</w:t>
      </w:r>
    </w:p>
    <w:p w14:paraId="3117BB5A" w14:textId="24C3C241" w:rsidR="00E56E98" w:rsidRDefault="00E56E98" w:rsidP="006944B0">
      <w:pPr>
        <w:pStyle w:val="CETBodytext"/>
        <w:ind w:right="-285"/>
        <w:rPr>
          <w:rFonts w:cs="Arial"/>
          <w:szCs w:val="18"/>
        </w:rPr>
      </w:pPr>
    </w:p>
    <w:p w14:paraId="0DF8465B" w14:textId="0FFBF36F" w:rsidR="00CE1F72" w:rsidRPr="004D544D" w:rsidRDefault="00E13C57" w:rsidP="00DE0231">
      <w:pPr>
        <w:spacing w:after="120"/>
        <w:ind w:right="-284"/>
        <w:rPr>
          <w:rFonts w:cs="Arial"/>
          <w:b/>
          <w:bCs/>
          <w:szCs w:val="18"/>
        </w:rPr>
      </w:pPr>
      <w:r w:rsidRPr="004D544D">
        <w:rPr>
          <w:b/>
          <w:bCs/>
          <w:szCs w:val="18"/>
        </w:rPr>
        <w:t xml:space="preserve">2.4 </w:t>
      </w:r>
      <w:r w:rsidRPr="004D544D">
        <w:rPr>
          <w:rFonts w:cs="Arial"/>
          <w:b/>
          <w:bCs/>
          <w:szCs w:val="18"/>
        </w:rPr>
        <w:t>Metal surface wash</w:t>
      </w:r>
    </w:p>
    <w:p w14:paraId="04B1FC7E" w14:textId="6A0FC401" w:rsidR="00E13C57" w:rsidRDefault="00E13C57" w:rsidP="006944B0">
      <w:pPr>
        <w:pStyle w:val="CETBodytext"/>
        <w:ind w:right="-285"/>
        <w:rPr>
          <w:rFonts w:cs="Arial"/>
          <w:szCs w:val="18"/>
        </w:rPr>
      </w:pPr>
      <w:r w:rsidRPr="004D544D">
        <w:rPr>
          <w:rFonts w:cs="Arial"/>
          <w:szCs w:val="18"/>
        </w:rPr>
        <w:t>The process was carried out with metallic pieces (nuts) uniformly impregnated by immersion in OBC1 oil</w:t>
      </w:r>
      <w:r w:rsidR="00A723DC" w:rsidRPr="004D544D">
        <w:rPr>
          <w:rFonts w:cs="Arial"/>
          <w:szCs w:val="18"/>
        </w:rPr>
        <w:t xml:space="preserve">. </w:t>
      </w:r>
      <w:r w:rsidRPr="004D544D">
        <w:rPr>
          <w:rFonts w:cs="Arial"/>
          <w:szCs w:val="18"/>
        </w:rPr>
        <w:t>The impregnated parts were subsequently immersed in the test samples (</w:t>
      </w:r>
      <w:r w:rsidR="00697A62" w:rsidRPr="004D544D">
        <w:rPr>
          <w:rFonts w:cs="Arial"/>
          <w:szCs w:val="18"/>
        </w:rPr>
        <w:t>b</w:t>
      </w:r>
      <w:r w:rsidRPr="004D544D">
        <w:rPr>
          <w:rFonts w:cs="Arial"/>
          <w:szCs w:val="18"/>
        </w:rPr>
        <w:t xml:space="preserve">iodetergent) for </w:t>
      </w:r>
      <w:r w:rsidR="00DE0231">
        <w:rPr>
          <w:rFonts w:cs="Arial"/>
          <w:szCs w:val="18"/>
        </w:rPr>
        <w:t>10</w:t>
      </w:r>
      <w:r w:rsidRPr="004D544D">
        <w:rPr>
          <w:rFonts w:cs="Arial"/>
          <w:szCs w:val="18"/>
        </w:rPr>
        <w:t xml:space="preserve"> min, then the parts were immersed in distilled water, removing excess test solution and destabilized residues from the surface. The removal efficiency was visually qualified (</w:t>
      </w:r>
      <w:r w:rsidR="00EE014B">
        <w:rPr>
          <w:rFonts w:cs="Arial"/>
          <w:szCs w:val="18"/>
        </w:rPr>
        <w:t xml:space="preserve">Farias </w:t>
      </w:r>
      <w:r w:rsidRPr="004D544D">
        <w:rPr>
          <w:rFonts w:cs="Arial"/>
          <w:szCs w:val="18"/>
        </w:rPr>
        <w:t>et al., 20</w:t>
      </w:r>
      <w:r w:rsidR="00EE014B">
        <w:rPr>
          <w:rFonts w:cs="Arial"/>
          <w:szCs w:val="18"/>
        </w:rPr>
        <w:t>21b</w:t>
      </w:r>
      <w:r w:rsidRPr="004D544D">
        <w:rPr>
          <w:rFonts w:cs="Arial"/>
          <w:szCs w:val="18"/>
        </w:rPr>
        <w:t>).</w:t>
      </w:r>
    </w:p>
    <w:p w14:paraId="32DDC629" w14:textId="77777777" w:rsidR="00450D83" w:rsidRDefault="00450D83" w:rsidP="006944B0">
      <w:pPr>
        <w:pStyle w:val="CETBodytext"/>
        <w:ind w:right="-285"/>
        <w:rPr>
          <w:rFonts w:cs="Arial"/>
          <w:szCs w:val="18"/>
        </w:rPr>
      </w:pPr>
    </w:p>
    <w:p w14:paraId="1B4A42F1" w14:textId="4FB6B1C7" w:rsidR="001F054D" w:rsidRDefault="00450D83" w:rsidP="00DE0231">
      <w:pPr>
        <w:spacing w:after="120"/>
        <w:ind w:right="-284"/>
        <w:rPr>
          <w:rFonts w:cs="Arial"/>
          <w:szCs w:val="18"/>
        </w:rPr>
      </w:pPr>
      <w:r w:rsidRPr="004D544D">
        <w:rPr>
          <w:b/>
          <w:bCs/>
          <w:szCs w:val="18"/>
        </w:rPr>
        <w:t>2.</w:t>
      </w:r>
      <w:r>
        <w:rPr>
          <w:b/>
          <w:bCs/>
          <w:szCs w:val="18"/>
        </w:rPr>
        <w:t>5</w:t>
      </w:r>
      <w:r w:rsidRPr="004D544D">
        <w:rPr>
          <w:b/>
          <w:bCs/>
          <w:szCs w:val="18"/>
        </w:rPr>
        <w:t xml:space="preserve"> </w:t>
      </w:r>
      <w:r w:rsidRPr="00450D83">
        <w:rPr>
          <w:rFonts w:cs="Arial"/>
          <w:b/>
          <w:bCs/>
          <w:szCs w:val="18"/>
        </w:rPr>
        <w:t>Determination of the destabilization capacity of heavy oil</w:t>
      </w:r>
    </w:p>
    <w:p w14:paraId="0C2DCD08" w14:textId="514D6B65" w:rsidR="00450D83" w:rsidRDefault="001F054D" w:rsidP="006944B0">
      <w:pPr>
        <w:pStyle w:val="CETBodytext"/>
        <w:ind w:right="-285"/>
        <w:rPr>
          <w:rFonts w:cs="Arial"/>
          <w:szCs w:val="18"/>
        </w:rPr>
      </w:pPr>
      <w:r w:rsidRPr="001F054D">
        <w:rPr>
          <w:rFonts w:cs="Arial"/>
          <w:szCs w:val="18"/>
        </w:rPr>
        <w:t xml:space="preserve">The products are applied in their concentrated form. Petri dishes, made of glass with 12 cm diameter, previously weighed to confirm their initial weight, then their surface surfaces homogeneously impregnated with heavy oil and left to rest for 24 hours to guarantee greater fixation of the oil. Subsequently, the plates impregnated with oil were weighed again to determine the quantity of oil. A volume of 10 mL two products </w:t>
      </w:r>
      <w:r w:rsidR="00AF46BC" w:rsidRPr="001F054D">
        <w:rPr>
          <w:rFonts w:cs="Arial"/>
          <w:szCs w:val="18"/>
        </w:rPr>
        <w:t>is</w:t>
      </w:r>
      <w:r w:rsidRPr="001F054D">
        <w:rPr>
          <w:rFonts w:cs="Arial"/>
          <w:szCs w:val="18"/>
        </w:rPr>
        <w:t xml:space="preserve"> added to the layer of oil impregnated on the plates, spread without manual adjustment and ready for the oil adjustment time of 5 minutes. After destabilizing the oil, the plates are washed in distilled water, without manual assistance, removing any excess of the test solution and the destabilized oil derivative. These are then dried in an oven at 50 °C for 30 minutes and then returned to room temperature after their recorded weight. The removal was accompanied by photographic recording after each test carried out and the removal rate was calculated using the formula:</w:t>
      </w:r>
    </w:p>
    <w:p w14:paraId="1C6B7CFA" w14:textId="77777777" w:rsidR="00450D83" w:rsidRDefault="00450D83" w:rsidP="00605E10">
      <w:pPr>
        <w:pStyle w:val="CETBodytext"/>
        <w:spacing w:line="240" w:lineRule="auto"/>
        <w:ind w:right="-285"/>
        <w:rPr>
          <w:rFonts w:cs="Arial"/>
          <w:szCs w:val="18"/>
        </w:rPr>
      </w:pPr>
    </w:p>
    <w:p w14:paraId="3B448148" w14:textId="0F81720A" w:rsidR="001F054D" w:rsidRDefault="001F054D" w:rsidP="00605E10">
      <w:pPr>
        <w:autoSpaceDE w:val="0"/>
        <w:autoSpaceDN w:val="0"/>
        <w:adjustRightInd w:val="0"/>
        <w:spacing w:line="240" w:lineRule="auto"/>
        <w:ind w:firstLine="142"/>
        <w:rPr>
          <w:bCs/>
        </w:rPr>
      </w:pPr>
      <w:r w:rsidRPr="0029566C">
        <w:rPr>
          <w:bCs/>
        </w:rPr>
        <w:t>I = 100 x ((</w:t>
      </w:r>
      <w:r w:rsidRPr="004B4AD8">
        <w:rPr>
          <w:bCs/>
          <w:i/>
          <w:iCs/>
        </w:rPr>
        <w:t>Mc-Ml</w:t>
      </w:r>
      <w:r w:rsidRPr="0029566C">
        <w:rPr>
          <w:bCs/>
        </w:rPr>
        <w:t>))/((</w:t>
      </w:r>
      <w:r w:rsidRPr="004B4AD8">
        <w:rPr>
          <w:bCs/>
          <w:i/>
          <w:iCs/>
        </w:rPr>
        <w:t>Mc-Mi</w:t>
      </w:r>
      <w:proofErr w:type="gramStart"/>
      <w:r w:rsidRPr="0029566C">
        <w:rPr>
          <w:bCs/>
        </w:rPr>
        <w:t xml:space="preserve">))   </w:t>
      </w:r>
      <w:proofErr w:type="gramEnd"/>
      <w:r w:rsidRPr="0029566C">
        <w:rPr>
          <w:bCs/>
        </w:rPr>
        <w:t xml:space="preserve">                                                     (</w:t>
      </w:r>
      <w:r>
        <w:rPr>
          <w:bCs/>
        </w:rPr>
        <w:t>2</w:t>
      </w:r>
      <w:r w:rsidRPr="0029566C">
        <w:rPr>
          <w:bCs/>
        </w:rPr>
        <w:t>)</w:t>
      </w:r>
    </w:p>
    <w:p w14:paraId="1D839306" w14:textId="77777777" w:rsidR="00450D83" w:rsidRPr="001F054D" w:rsidRDefault="00450D83" w:rsidP="006944B0">
      <w:pPr>
        <w:pStyle w:val="CETBodytext"/>
        <w:ind w:right="-285"/>
        <w:rPr>
          <w:rFonts w:cs="Arial"/>
          <w:szCs w:val="18"/>
          <w:lang w:val="en-GB"/>
        </w:rPr>
      </w:pPr>
    </w:p>
    <w:p w14:paraId="3B301BB5" w14:textId="50FA6C18" w:rsidR="00E13C57" w:rsidRDefault="001F054D" w:rsidP="006944B0">
      <w:pPr>
        <w:tabs>
          <w:tab w:val="left" w:pos="9071"/>
        </w:tabs>
        <w:spacing w:line="240" w:lineRule="auto"/>
        <w:ind w:right="-285"/>
        <w:rPr>
          <w:rFonts w:cs="Arial"/>
          <w:szCs w:val="18"/>
        </w:rPr>
      </w:pPr>
      <w:r w:rsidRPr="001F054D">
        <w:rPr>
          <w:rFonts w:cs="Arial"/>
          <w:szCs w:val="18"/>
        </w:rPr>
        <w:t xml:space="preserve">Where </w:t>
      </w:r>
      <w:r w:rsidRPr="001F054D">
        <w:rPr>
          <w:rFonts w:cs="Arial"/>
          <w:i/>
          <w:iCs/>
          <w:szCs w:val="18"/>
        </w:rPr>
        <w:t>Mc</w:t>
      </w:r>
      <w:r w:rsidRPr="001F054D">
        <w:rPr>
          <w:rFonts w:cs="Arial"/>
          <w:szCs w:val="18"/>
        </w:rPr>
        <w:t xml:space="preserve"> represents the weight of the contaminated plate, </w:t>
      </w:r>
      <w:r w:rsidRPr="001F054D">
        <w:rPr>
          <w:rFonts w:cs="Arial"/>
          <w:i/>
          <w:iCs/>
          <w:szCs w:val="18"/>
        </w:rPr>
        <w:t>Ml</w:t>
      </w:r>
      <w:r w:rsidRPr="001F054D">
        <w:rPr>
          <w:rFonts w:cs="Arial"/>
          <w:szCs w:val="18"/>
        </w:rPr>
        <w:t xml:space="preserve"> the weight of the plate after washing and </w:t>
      </w:r>
      <w:r w:rsidRPr="001F054D">
        <w:rPr>
          <w:rFonts w:cs="Arial"/>
          <w:i/>
          <w:iCs/>
          <w:szCs w:val="18"/>
        </w:rPr>
        <w:t>Mi</w:t>
      </w:r>
      <w:r w:rsidRPr="001F054D">
        <w:rPr>
          <w:rFonts w:cs="Arial"/>
          <w:szCs w:val="18"/>
        </w:rPr>
        <w:t xml:space="preserve"> the initial weight of the plate.</w:t>
      </w:r>
    </w:p>
    <w:p w14:paraId="386C3CC9" w14:textId="77777777" w:rsidR="0090304D" w:rsidRDefault="0090304D" w:rsidP="006944B0">
      <w:pPr>
        <w:tabs>
          <w:tab w:val="left" w:pos="9071"/>
        </w:tabs>
        <w:spacing w:line="240" w:lineRule="auto"/>
        <w:ind w:right="-285"/>
        <w:rPr>
          <w:rFonts w:cs="Arial"/>
          <w:szCs w:val="18"/>
        </w:rPr>
      </w:pPr>
    </w:p>
    <w:p w14:paraId="651C16C0" w14:textId="03AFD2AE" w:rsidR="00ED15A4" w:rsidRPr="000E5C16" w:rsidRDefault="00ED15A4" w:rsidP="00DE0231">
      <w:pPr>
        <w:tabs>
          <w:tab w:val="left" w:pos="9071"/>
        </w:tabs>
        <w:spacing w:after="120" w:line="240" w:lineRule="auto"/>
        <w:ind w:right="-284"/>
        <w:rPr>
          <w:rFonts w:eastAsiaTheme="minorHAnsi" w:cs="Arial"/>
          <w:b/>
          <w:bCs/>
          <w:szCs w:val="18"/>
        </w:rPr>
      </w:pPr>
      <w:r w:rsidRPr="000E5C16">
        <w:rPr>
          <w:rFonts w:eastAsiaTheme="minorHAnsi" w:cs="Arial"/>
          <w:b/>
          <w:bCs/>
          <w:szCs w:val="18"/>
        </w:rPr>
        <w:t xml:space="preserve">2.6 </w:t>
      </w:r>
      <w:r w:rsidR="000E5C16" w:rsidRPr="000E5C16">
        <w:rPr>
          <w:rFonts w:eastAsiaTheme="minorHAnsi" w:cs="Arial"/>
          <w:b/>
          <w:bCs/>
          <w:szCs w:val="18"/>
        </w:rPr>
        <w:t>Ecotoxicological tests</w:t>
      </w:r>
    </w:p>
    <w:p w14:paraId="3E82CB32" w14:textId="7CDF453C" w:rsidR="00A23283" w:rsidRPr="00A23283" w:rsidRDefault="004B4AD8" w:rsidP="000E5C16">
      <w:pPr>
        <w:tabs>
          <w:tab w:val="left" w:pos="9071"/>
        </w:tabs>
        <w:spacing w:after="120" w:line="240" w:lineRule="auto"/>
        <w:ind w:right="-284"/>
        <w:rPr>
          <w:rFonts w:eastAsiaTheme="minorHAnsi" w:cs="Arial"/>
          <w:szCs w:val="18"/>
          <w:lang w:val="fr-FR"/>
        </w:rPr>
      </w:pPr>
      <w:r w:rsidRPr="000E5C16">
        <w:rPr>
          <w:rFonts w:eastAsiaTheme="minorHAnsi" w:cs="Arial"/>
          <w:szCs w:val="18"/>
        </w:rPr>
        <w:t>The toxicity test was carried out using microcrustacean larvae (</w:t>
      </w:r>
      <w:r w:rsidRPr="000E5C16">
        <w:rPr>
          <w:rFonts w:eastAsiaTheme="minorHAnsi" w:cs="Arial"/>
          <w:i/>
          <w:iCs/>
          <w:szCs w:val="18"/>
        </w:rPr>
        <w:t>Artemia salina</w:t>
      </w:r>
      <w:r w:rsidRPr="000E5C16">
        <w:rPr>
          <w:rFonts w:eastAsiaTheme="minorHAnsi" w:cs="Arial"/>
          <w:szCs w:val="18"/>
        </w:rPr>
        <w:t>) as an indicator of toxicity, with test solutions of two products diluted in proportions of 1:1, 1:2 and 1:3 (v/v) prepared in distilled water and used in concentrations of 1 and 2%. The larvae were observed for 24 hours to calculate mortality (MEYER et al., 1982).</w:t>
      </w:r>
      <w:r w:rsidR="000E5C16">
        <w:rPr>
          <w:rFonts w:eastAsiaTheme="minorHAnsi" w:cs="Arial"/>
          <w:szCs w:val="18"/>
        </w:rPr>
        <w:t xml:space="preserve"> </w:t>
      </w:r>
      <w:r w:rsidR="00A23283" w:rsidRPr="00A23283">
        <w:rPr>
          <w:rFonts w:eastAsiaTheme="minorHAnsi" w:cs="Arial"/>
          <w:szCs w:val="18"/>
        </w:rPr>
        <w:t xml:space="preserve">The phytotoxicity of the products was evaluated in a static assay by seed germination and root growth of </w:t>
      </w:r>
      <w:r w:rsidR="00A23283" w:rsidRPr="00A23283">
        <w:rPr>
          <w:rFonts w:eastAsiaTheme="minorHAnsi" w:cs="Arial"/>
          <w:i/>
          <w:iCs/>
          <w:szCs w:val="18"/>
        </w:rPr>
        <w:t xml:space="preserve">Solanum </w:t>
      </w:r>
      <w:proofErr w:type="spellStart"/>
      <w:r w:rsidR="00A23283" w:rsidRPr="00A23283">
        <w:rPr>
          <w:rFonts w:eastAsiaTheme="minorHAnsi" w:cs="Arial"/>
          <w:i/>
          <w:iCs/>
          <w:szCs w:val="18"/>
        </w:rPr>
        <w:t>lycopersicum</w:t>
      </w:r>
      <w:proofErr w:type="spellEnd"/>
      <w:r w:rsidR="00A23283" w:rsidRPr="00A23283">
        <w:rPr>
          <w:rFonts w:eastAsiaTheme="minorHAnsi" w:cs="Arial"/>
          <w:szCs w:val="18"/>
        </w:rPr>
        <w:t xml:space="preserve"> (tomato) and seeds of cabbage (</w:t>
      </w:r>
      <w:r w:rsidR="00A23283" w:rsidRPr="00A23283">
        <w:rPr>
          <w:rFonts w:eastAsiaTheme="minorHAnsi" w:cs="Arial"/>
          <w:i/>
          <w:iCs/>
          <w:szCs w:val="18"/>
        </w:rPr>
        <w:t>Brassica oleracea</w:t>
      </w:r>
      <w:r w:rsidR="00A23283" w:rsidRPr="00A23283">
        <w:rPr>
          <w:rFonts w:eastAsiaTheme="minorHAnsi" w:cs="Arial"/>
          <w:szCs w:val="18"/>
        </w:rPr>
        <w:t xml:space="preserve"> var. </w:t>
      </w:r>
      <w:r w:rsidR="00A23283" w:rsidRPr="00A23283">
        <w:rPr>
          <w:rFonts w:eastAsiaTheme="minorHAnsi" w:cs="Arial"/>
          <w:i/>
          <w:iCs/>
          <w:szCs w:val="18"/>
          <w:lang w:val="fr-FR"/>
        </w:rPr>
        <w:t>Capitata L</w:t>
      </w:r>
      <w:r w:rsidR="00A23283" w:rsidRPr="00A23283">
        <w:rPr>
          <w:rFonts w:eastAsiaTheme="minorHAnsi" w:cs="Arial"/>
          <w:szCs w:val="18"/>
          <w:lang w:val="fr-FR"/>
        </w:rPr>
        <w:t xml:space="preserve">.), according to Tiquia et al. (1996). Test solutions </w:t>
      </w:r>
      <w:r w:rsidR="00692279" w:rsidRPr="00692279">
        <w:rPr>
          <w:rFonts w:eastAsiaTheme="minorHAnsi" w:cs="Arial"/>
          <w:szCs w:val="18"/>
          <w:lang w:val="fr-FR"/>
        </w:rPr>
        <w:t>were prepared</w:t>
      </w:r>
      <w:r w:rsidR="00692279">
        <w:rPr>
          <w:rFonts w:eastAsiaTheme="minorHAnsi" w:cs="Arial"/>
          <w:szCs w:val="18"/>
          <w:lang w:val="fr-FR"/>
        </w:rPr>
        <w:t xml:space="preserve"> </w:t>
      </w:r>
      <w:r w:rsidR="00A23283" w:rsidRPr="00A23283">
        <w:rPr>
          <w:rFonts w:eastAsiaTheme="minorHAnsi" w:cs="Arial"/>
          <w:szCs w:val="18"/>
          <w:lang w:val="fr-FR"/>
        </w:rPr>
        <w:t>in proportions of 1:1, 1:2 and 1:3 (v/v) in distilled water in concentrations of 1 and 2%. After five days of incubation in the dark, seed germination, root growth (≥ 5 mm) and</w:t>
      </w:r>
      <w:r w:rsidR="00A23283">
        <w:rPr>
          <w:rFonts w:eastAsiaTheme="minorHAnsi" w:cs="Arial"/>
          <w:szCs w:val="18"/>
          <w:lang w:val="fr-FR"/>
        </w:rPr>
        <w:t xml:space="preserve"> </w:t>
      </w:r>
      <w:r w:rsidR="00A23283" w:rsidRPr="00A23283">
        <w:rPr>
          <w:rFonts w:eastAsiaTheme="minorHAnsi" w:cs="Arial"/>
          <w:szCs w:val="18"/>
          <w:lang w:val="fr-FR"/>
        </w:rPr>
        <w:t>germination index (GI) were calculated according to the formulas below:</w:t>
      </w:r>
    </w:p>
    <w:p w14:paraId="3ABA1608" w14:textId="77777777" w:rsidR="00A23283" w:rsidRPr="00A23283" w:rsidRDefault="00A23283" w:rsidP="009D22A4">
      <w:pPr>
        <w:tabs>
          <w:tab w:val="clear" w:pos="7100"/>
        </w:tabs>
        <w:autoSpaceDE w:val="0"/>
        <w:autoSpaceDN w:val="0"/>
        <w:adjustRightInd w:val="0"/>
        <w:spacing w:line="240" w:lineRule="auto"/>
        <w:ind w:right="-285"/>
        <w:rPr>
          <w:rFonts w:eastAsiaTheme="minorHAnsi" w:cs="Arial"/>
          <w:szCs w:val="18"/>
          <w:lang w:val="fr-FR"/>
        </w:rPr>
      </w:pPr>
      <w:r w:rsidRPr="00A23283">
        <w:rPr>
          <w:rFonts w:eastAsiaTheme="minorHAnsi" w:cs="Arial"/>
          <w:szCs w:val="18"/>
          <w:lang w:val="fr-FR"/>
        </w:rPr>
        <w:lastRenderedPageBreak/>
        <w:t>Relative germination of the seed (%) = (number of seeds germinated in the extract / number of seeds</w:t>
      </w:r>
    </w:p>
    <w:p w14:paraId="0FEBF4B8" w14:textId="77777777" w:rsidR="00A23283" w:rsidRPr="00A23283" w:rsidRDefault="00A23283" w:rsidP="009D22A4">
      <w:pPr>
        <w:tabs>
          <w:tab w:val="clear" w:pos="7100"/>
        </w:tabs>
        <w:autoSpaceDE w:val="0"/>
        <w:autoSpaceDN w:val="0"/>
        <w:adjustRightInd w:val="0"/>
        <w:spacing w:after="120" w:line="240" w:lineRule="auto"/>
        <w:ind w:right="-285"/>
        <w:rPr>
          <w:rFonts w:eastAsiaTheme="minorHAnsi" w:cs="Arial"/>
          <w:szCs w:val="18"/>
          <w:lang w:val="fr-FR"/>
        </w:rPr>
      </w:pPr>
      <w:r w:rsidRPr="00A23283">
        <w:rPr>
          <w:rFonts w:eastAsiaTheme="minorHAnsi" w:cs="Arial"/>
          <w:szCs w:val="18"/>
          <w:lang w:val="fr-FR"/>
        </w:rPr>
        <w:t>germinated in the control) x 100</w:t>
      </w:r>
    </w:p>
    <w:p w14:paraId="5858E15B" w14:textId="4FC43BCD" w:rsidR="00CE1F72" w:rsidRDefault="00E13C57" w:rsidP="00260DFD">
      <w:pPr>
        <w:pStyle w:val="CETHeading1"/>
      </w:pPr>
      <w:r w:rsidRPr="009060F5">
        <w:t>Results and discussion</w:t>
      </w:r>
    </w:p>
    <w:p w14:paraId="4EA89420" w14:textId="648CC869" w:rsidR="009D22A4" w:rsidRDefault="00BE4F32" w:rsidP="00BE4F32">
      <w:pPr>
        <w:ind w:right="-285"/>
      </w:pPr>
      <w:r w:rsidRPr="00BE4F32">
        <w:t xml:space="preserve">During the execution of tests, it was possible to observe and compare the organoleptic characteristics of the two products, such as creamy appearance, light or </w:t>
      </w:r>
      <w:r w:rsidR="00AF46BC" w:rsidRPr="00AF46BC">
        <w:t>pearly color</w:t>
      </w:r>
      <w:r w:rsidRPr="00BE4F32">
        <w:t>, soft or strong odor, fluid and homogeneous consistency. Regarding appearance, we have some similarities between the products, that it refers to homogeneous consistency of the formulations and a subtle differentiation in terms of color, both being clear. Also, both products are emulsified, they contain hydrophobic fractions (solvent and surfactants) and hydrophilic (water thickeners). However, there is a big difference in the type of solvent contained in the tested formulations, or biodetergent is composted by an organic solvent of vegetable origin, and does not present odor, on the other hand, the commercial degreaser, according to its Material Safety Data Sheet (MSDS), contains aliphatic hydrocarbons such as solvent in larger quantities (60% of the formula), which characterizes a very accentuated Naphtha odor.</w:t>
      </w:r>
    </w:p>
    <w:p w14:paraId="7AFA087B" w14:textId="77777777" w:rsidR="00BE4F32" w:rsidRDefault="00BE4F32" w:rsidP="00BE4F32"/>
    <w:p w14:paraId="35774B71" w14:textId="68377300" w:rsidR="009D22A4" w:rsidRPr="00FE2F5F" w:rsidRDefault="00587C6D" w:rsidP="00F75C13">
      <w:pPr>
        <w:pStyle w:val="PargrafodaLista"/>
        <w:numPr>
          <w:ilvl w:val="2"/>
          <w:numId w:val="1"/>
        </w:numPr>
        <w:spacing w:after="120"/>
        <w:rPr>
          <w:b/>
          <w:bCs/>
          <w:color w:val="000000" w:themeColor="text1"/>
        </w:rPr>
      </w:pPr>
      <w:r w:rsidRPr="00587C6D">
        <w:rPr>
          <w:b/>
          <w:bCs/>
          <w:color w:val="000000" w:themeColor="text1"/>
        </w:rPr>
        <w:t>Heavy oil removal test on smooth surface</w:t>
      </w:r>
    </w:p>
    <w:p w14:paraId="25E9BC87" w14:textId="094CB532" w:rsidR="00587C6D" w:rsidRDefault="00587C6D" w:rsidP="00587C6D">
      <w:pPr>
        <w:spacing w:after="120"/>
        <w:ind w:right="-285" w:hanging="142"/>
      </w:pPr>
      <w:r>
        <w:tab/>
      </w:r>
      <w:r w:rsidRPr="00587C6D">
        <w:t>This comparative study does seek to analyse</w:t>
      </w:r>
      <w:r>
        <w:t>d</w:t>
      </w:r>
      <w:r w:rsidRPr="00587C6D">
        <w:t xml:space="preserve"> the removal capacity of the products in the study, </w:t>
      </w:r>
      <w:r w:rsidR="00692279">
        <w:t>where</w:t>
      </w:r>
      <w:r w:rsidRPr="00587C6D">
        <w:t xml:space="preserve"> tests were carried out with various concentrations of the products solubilized in water. The aim is to determine the ability to dissolve heavy oil residues, keeping them dispersed in the solution, preventing their redeposition and guaranteeing their complete elimination during the rinse. The products demonstrate promise in removing the OCB1 oil, so some particularities can be observed (Figures 1-3).</w:t>
      </w:r>
    </w:p>
    <w:p w14:paraId="18A86BA3" w14:textId="730BC74D" w:rsidR="009D22A4" w:rsidRDefault="00814D86" w:rsidP="00587C6D">
      <w:pPr>
        <w:spacing w:after="120"/>
        <w:ind w:right="-285" w:hanging="142"/>
        <w:rPr>
          <w:color w:val="FF0000"/>
        </w:rPr>
      </w:pPr>
      <w:r>
        <w:rPr>
          <w:noProof/>
          <w:color w:val="FF0000"/>
        </w:rPr>
        <w:drawing>
          <wp:inline distT="0" distB="0" distL="0" distR="0" wp14:anchorId="31A6D3D8" wp14:editId="6D412915">
            <wp:extent cx="5684108" cy="1410335"/>
            <wp:effectExtent l="0" t="0" r="0" b="0"/>
            <wp:docPr id="14278049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263" cy="1433200"/>
                    </a:xfrm>
                    <a:prstGeom prst="rect">
                      <a:avLst/>
                    </a:prstGeom>
                    <a:noFill/>
                  </pic:spPr>
                </pic:pic>
              </a:graphicData>
            </a:graphic>
          </wp:inline>
        </w:drawing>
      </w:r>
    </w:p>
    <w:p w14:paraId="4704F3ED" w14:textId="249878EC" w:rsidR="00FD546B" w:rsidRDefault="00123FFB" w:rsidP="00FD546B">
      <w:pPr>
        <w:spacing w:line="240" w:lineRule="auto"/>
        <w:ind w:left="-142" w:right="-567"/>
        <w:jc w:val="left"/>
        <w:rPr>
          <w:i/>
          <w:iCs/>
          <w:color w:val="000000" w:themeColor="text1"/>
        </w:rPr>
      </w:pPr>
      <w:r w:rsidRPr="00123FFB">
        <w:rPr>
          <w:i/>
          <w:iCs/>
          <w:color w:val="000000" w:themeColor="text1"/>
        </w:rPr>
        <w:t xml:space="preserve">Figure 1: Illustration of removing the OCB1 oil with the addition of the commercial degreaser on a smooth surface. (A) Glass </w:t>
      </w:r>
      <w:r w:rsidR="00AF46BC" w:rsidRPr="00AF46BC">
        <w:rPr>
          <w:i/>
          <w:iCs/>
          <w:color w:val="000000" w:themeColor="text1"/>
        </w:rPr>
        <w:t>blade</w:t>
      </w:r>
      <w:r w:rsidRPr="00123FFB">
        <w:rPr>
          <w:i/>
          <w:iCs/>
          <w:color w:val="000000" w:themeColor="text1"/>
        </w:rPr>
        <w:t xml:space="preserve"> impregnated with OCB1 oil. (B) Immersion of the </w:t>
      </w:r>
      <w:r w:rsidR="00AF46BC" w:rsidRPr="00AF46BC">
        <w:rPr>
          <w:i/>
          <w:iCs/>
          <w:color w:val="000000" w:themeColor="text1"/>
        </w:rPr>
        <w:t>blade</w:t>
      </w:r>
      <w:r w:rsidRPr="00123FFB">
        <w:rPr>
          <w:i/>
          <w:iCs/>
          <w:color w:val="000000" w:themeColor="text1"/>
        </w:rPr>
        <w:t xml:space="preserve"> impregnated with oil on the product. (C) Removal of the </w:t>
      </w:r>
      <w:r w:rsidR="00AF46BC" w:rsidRPr="00AF46BC">
        <w:rPr>
          <w:i/>
          <w:iCs/>
          <w:color w:val="000000" w:themeColor="text1"/>
        </w:rPr>
        <w:t>blade</w:t>
      </w:r>
      <w:r w:rsidRPr="00123FFB">
        <w:rPr>
          <w:i/>
          <w:iCs/>
          <w:color w:val="000000" w:themeColor="text1"/>
        </w:rPr>
        <w:t xml:space="preserve"> after agitation of the product. (D) Total removal of destabilized oil residues after immersion in distilled water. (E) </w:t>
      </w:r>
      <w:r w:rsidR="0061403E">
        <w:rPr>
          <w:i/>
          <w:iCs/>
          <w:color w:val="000000" w:themeColor="text1"/>
        </w:rPr>
        <w:t>B</w:t>
      </w:r>
      <w:r w:rsidR="0061403E" w:rsidRPr="0061403E">
        <w:rPr>
          <w:i/>
          <w:iCs/>
          <w:color w:val="000000" w:themeColor="text1"/>
        </w:rPr>
        <w:t xml:space="preserve">lade </w:t>
      </w:r>
      <w:r w:rsidRPr="00123FFB">
        <w:rPr>
          <w:i/>
          <w:iCs/>
          <w:color w:val="000000" w:themeColor="text1"/>
        </w:rPr>
        <w:t>after completion of the cleaning process</w:t>
      </w:r>
    </w:p>
    <w:p w14:paraId="0CA07E7E" w14:textId="77777777" w:rsidR="00123FFB" w:rsidRPr="00814D86" w:rsidRDefault="00123FFB" w:rsidP="00FD546B">
      <w:pPr>
        <w:spacing w:line="240" w:lineRule="auto"/>
        <w:ind w:left="-142" w:right="-567"/>
        <w:jc w:val="left"/>
        <w:rPr>
          <w:i/>
          <w:iCs/>
          <w:color w:val="000000" w:themeColor="text1"/>
        </w:rPr>
      </w:pPr>
    </w:p>
    <w:p w14:paraId="17D4C09E" w14:textId="77777777" w:rsidR="00FD546B" w:rsidRDefault="00EC22F1" w:rsidP="00FD546B">
      <w:pPr>
        <w:spacing w:after="120"/>
        <w:ind w:left="-142"/>
        <w:jc w:val="left"/>
        <w:rPr>
          <w:i/>
          <w:iCs/>
          <w:color w:val="000000" w:themeColor="text1"/>
        </w:rPr>
      </w:pPr>
      <w:r>
        <w:rPr>
          <w:noProof/>
          <w:color w:val="000000" w:themeColor="text1"/>
        </w:rPr>
        <w:drawing>
          <wp:inline distT="0" distB="0" distL="0" distR="0" wp14:anchorId="11455BD4" wp14:editId="55164317">
            <wp:extent cx="3262183" cy="2166540"/>
            <wp:effectExtent l="0" t="0" r="0" b="5715"/>
            <wp:docPr id="2603827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6" cy="2192988"/>
                    </a:xfrm>
                    <a:prstGeom prst="rect">
                      <a:avLst/>
                    </a:prstGeom>
                    <a:noFill/>
                  </pic:spPr>
                </pic:pic>
              </a:graphicData>
            </a:graphic>
          </wp:inline>
        </w:drawing>
      </w:r>
    </w:p>
    <w:p w14:paraId="264C7178" w14:textId="40B35B3F" w:rsidR="00123FFB" w:rsidRDefault="00123FFB" w:rsidP="00B9043C">
      <w:pPr>
        <w:spacing w:after="120"/>
        <w:ind w:left="-142" w:right="-284"/>
        <w:rPr>
          <w:i/>
          <w:iCs/>
          <w:color w:val="000000" w:themeColor="text1"/>
        </w:rPr>
      </w:pPr>
      <w:r w:rsidRPr="00123FFB">
        <w:rPr>
          <w:i/>
          <w:iCs/>
          <w:color w:val="000000" w:themeColor="text1"/>
        </w:rPr>
        <w:t>Figure 2: Illustration of the completion of the cleaning process on a smooth surface to remove the OCB1 oil using the commercial degreaser according to its concentration (concentrate, 1:1, 1:2 and 1:3 (v/v)</w:t>
      </w:r>
      <w:r w:rsidR="000E5C16">
        <w:rPr>
          <w:i/>
          <w:iCs/>
          <w:color w:val="000000" w:themeColor="text1"/>
        </w:rPr>
        <w:t xml:space="preserve">, </w:t>
      </w:r>
      <w:r w:rsidR="000E5C16" w:rsidRPr="000E5C16">
        <w:rPr>
          <w:i/>
          <w:iCs/>
          <w:color w:val="000000" w:themeColor="text1"/>
        </w:rPr>
        <w:t>respectively</w:t>
      </w:r>
      <w:r w:rsidRPr="00123FFB">
        <w:rPr>
          <w:i/>
          <w:iCs/>
          <w:color w:val="000000" w:themeColor="text1"/>
        </w:rPr>
        <w:t>)</w:t>
      </w:r>
    </w:p>
    <w:p w14:paraId="0F0A046E" w14:textId="31CC47BA" w:rsidR="009D22A4" w:rsidRDefault="00677F30" w:rsidP="00B9043C">
      <w:pPr>
        <w:spacing w:after="120"/>
        <w:ind w:left="-142" w:right="-284"/>
        <w:rPr>
          <w:color w:val="FF0000"/>
        </w:rPr>
      </w:pPr>
      <w:r w:rsidRPr="00677F30">
        <w:rPr>
          <w:color w:val="000000" w:themeColor="text1"/>
        </w:rPr>
        <w:t xml:space="preserve">The above data confirm the efficiency of the commercial degreaser for use in the removal of heavy oil with high density, such as OCB1 oil (heavy oil used in burning for energy generation in thermoelectric plants), which is an oil with high viscosity, representing an obstacle to the availability of commercial detergents/degreasers and mixtures. </w:t>
      </w:r>
      <w:r w:rsidR="0061403E" w:rsidRPr="0061403E">
        <w:rPr>
          <w:color w:val="000000" w:themeColor="text1"/>
        </w:rPr>
        <w:t>Although</w:t>
      </w:r>
      <w:r w:rsidRPr="00677F30">
        <w:rPr>
          <w:color w:val="000000" w:themeColor="text1"/>
        </w:rPr>
        <w:t xml:space="preserve"> or the concentrated commercial degreaser has reached a removal percentage equivalent to 80 – 85%, it is necessary to highlight the expressive efficiency of the biodetergent in this study, with a removal of 100% of the oil impregnated on smooth surface, in the concentrated version (Figure 3). Through the evaluation </w:t>
      </w:r>
      <w:r w:rsidRPr="00677F30">
        <w:rPr>
          <w:color w:val="000000" w:themeColor="text1"/>
        </w:rPr>
        <w:lastRenderedPageBreak/>
        <w:t>of removal efficiency, the other results for the diluted products were observed and considered promising depending on the level of impregnation of the petroleum derivative to be removed.</w:t>
      </w:r>
    </w:p>
    <w:p w14:paraId="0E58BC17" w14:textId="77777777" w:rsidR="009D22A4" w:rsidRDefault="009D22A4" w:rsidP="00677F30">
      <w:pPr>
        <w:spacing w:after="120"/>
        <w:ind w:left="-142"/>
        <w:rPr>
          <w:color w:val="FF0000"/>
        </w:rPr>
      </w:pPr>
      <w:r>
        <w:rPr>
          <w:noProof/>
          <w:color w:val="FF0000"/>
        </w:rPr>
        <w:drawing>
          <wp:inline distT="0" distB="0" distL="0" distR="0" wp14:anchorId="01F18FCB" wp14:editId="21CB1850">
            <wp:extent cx="4481384" cy="1552575"/>
            <wp:effectExtent l="0" t="0" r="0" b="0"/>
            <wp:docPr id="204360102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19" t="12223" r="1257" b="6099"/>
                    <a:stretch/>
                  </pic:blipFill>
                  <pic:spPr bwMode="auto">
                    <a:xfrm>
                      <a:off x="0" y="0"/>
                      <a:ext cx="4553699" cy="1577629"/>
                    </a:xfrm>
                    <a:prstGeom prst="rect">
                      <a:avLst/>
                    </a:prstGeom>
                    <a:noFill/>
                    <a:ln>
                      <a:noFill/>
                    </a:ln>
                    <a:extLst>
                      <a:ext uri="{53640926-AAD7-44D8-BBD7-CCE9431645EC}">
                        <a14:shadowObscured xmlns:a14="http://schemas.microsoft.com/office/drawing/2010/main"/>
                      </a:ext>
                    </a:extLst>
                  </pic:spPr>
                </pic:pic>
              </a:graphicData>
            </a:graphic>
          </wp:inline>
        </w:drawing>
      </w:r>
    </w:p>
    <w:p w14:paraId="4C987778" w14:textId="19D5F8B8" w:rsidR="00657425" w:rsidRPr="00EC22F1" w:rsidRDefault="00677F30" w:rsidP="00677F30">
      <w:pPr>
        <w:ind w:left="-142" w:right="-285"/>
        <w:jc w:val="left"/>
        <w:rPr>
          <w:i/>
          <w:iCs/>
          <w:color w:val="000000" w:themeColor="text1"/>
        </w:rPr>
      </w:pPr>
      <w:r w:rsidRPr="00677F30">
        <w:rPr>
          <w:i/>
          <w:iCs/>
          <w:color w:val="000000" w:themeColor="text1"/>
        </w:rPr>
        <w:t>Figure 3: Illustration of the completion of the cleaning process on a smooth surface to remove the OCB1 oil using the biodetergent according to its concentration (pure as controlled, 1:1, 1:2 and 1:3 (v/v)</w:t>
      </w:r>
      <w:r w:rsidR="000E5C16">
        <w:rPr>
          <w:i/>
          <w:iCs/>
          <w:color w:val="000000" w:themeColor="text1"/>
        </w:rPr>
        <w:t xml:space="preserve">, </w:t>
      </w:r>
      <w:r w:rsidR="000E5C16" w:rsidRPr="000E5C16">
        <w:rPr>
          <w:i/>
          <w:iCs/>
          <w:color w:val="000000" w:themeColor="text1"/>
        </w:rPr>
        <w:t>respectively</w:t>
      </w:r>
      <w:r w:rsidRPr="00677F30">
        <w:rPr>
          <w:i/>
          <w:iCs/>
          <w:color w:val="000000" w:themeColor="text1"/>
        </w:rPr>
        <w:t>)</w:t>
      </w:r>
      <w:r w:rsidR="00657425" w:rsidRPr="00EC22F1">
        <w:rPr>
          <w:i/>
          <w:iCs/>
          <w:color w:val="000000" w:themeColor="text1"/>
        </w:rPr>
        <w:t xml:space="preserve"> </w:t>
      </w:r>
    </w:p>
    <w:p w14:paraId="6324A5D6" w14:textId="77777777" w:rsidR="009D22A4" w:rsidRDefault="009D22A4" w:rsidP="009D22A4">
      <w:pPr>
        <w:ind w:firstLine="708"/>
        <w:rPr>
          <w:color w:val="FF0000"/>
        </w:rPr>
      </w:pPr>
    </w:p>
    <w:p w14:paraId="2B2E5547" w14:textId="59CA4D42" w:rsidR="009D22A4" w:rsidRDefault="009D22A4" w:rsidP="00563256">
      <w:pPr>
        <w:spacing w:after="120"/>
        <w:ind w:hanging="142"/>
      </w:pPr>
      <w:r>
        <w:rPr>
          <w:b/>
          <w:bCs/>
          <w:color w:val="000000" w:themeColor="text1"/>
        </w:rPr>
        <w:t xml:space="preserve">3.2 </w:t>
      </w:r>
      <w:r w:rsidR="002A1933" w:rsidRPr="002A1933">
        <w:rPr>
          <w:b/>
          <w:bCs/>
          <w:color w:val="000000" w:themeColor="text1"/>
        </w:rPr>
        <w:t>Heavy oil removal test on metal surface</w:t>
      </w:r>
    </w:p>
    <w:p w14:paraId="5262531E" w14:textId="17F22624" w:rsidR="002A1933" w:rsidRDefault="002A1933" w:rsidP="002A1933">
      <w:pPr>
        <w:spacing w:after="120"/>
        <w:ind w:left="-142" w:right="-285"/>
      </w:pPr>
      <w:r w:rsidRPr="002A1933">
        <w:t>The data obtained demonstrate optimal efficiency results in the removal of OCB1 for both products. The commercial degreaser presents a removal of around 80%, for comparison, the biodetergent presents a removal of 100% of the oil impregnated on a metal surface (Figure 4</w:t>
      </w:r>
      <w:r w:rsidR="001419E8">
        <w:t xml:space="preserve"> and 5</w:t>
      </w:r>
      <w:r w:rsidRPr="002A1933">
        <w:t>).</w:t>
      </w:r>
    </w:p>
    <w:p w14:paraId="0E0C1009" w14:textId="50DD3C62" w:rsidR="009D22A4" w:rsidRDefault="00480098" w:rsidP="00B9043C">
      <w:pPr>
        <w:spacing w:after="120"/>
        <w:ind w:left="-142"/>
        <w:jc w:val="left"/>
        <w:rPr>
          <w:color w:val="000000" w:themeColor="text1"/>
        </w:rPr>
      </w:pPr>
      <w:r>
        <w:rPr>
          <w:noProof/>
          <w:color w:val="000000" w:themeColor="text1"/>
        </w:rPr>
        <w:drawing>
          <wp:inline distT="0" distB="0" distL="0" distR="0" wp14:anchorId="3E8C2BA0" wp14:editId="622B5648">
            <wp:extent cx="5667632" cy="1280703"/>
            <wp:effectExtent l="0" t="0" r="0" b="0"/>
            <wp:docPr id="136805595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6146" cy="1323301"/>
                    </a:xfrm>
                    <a:prstGeom prst="rect">
                      <a:avLst/>
                    </a:prstGeom>
                    <a:noFill/>
                  </pic:spPr>
                </pic:pic>
              </a:graphicData>
            </a:graphic>
          </wp:inline>
        </w:drawing>
      </w:r>
    </w:p>
    <w:p w14:paraId="2C45C2CF" w14:textId="28E428D9" w:rsidR="00123FFB" w:rsidRDefault="00103BB7" w:rsidP="00B9043C">
      <w:pPr>
        <w:ind w:left="-142" w:right="-427"/>
        <w:jc w:val="left"/>
        <w:rPr>
          <w:i/>
          <w:iCs/>
          <w:color w:val="000000" w:themeColor="text1"/>
        </w:rPr>
      </w:pPr>
      <w:r w:rsidRPr="00103BB7">
        <w:rPr>
          <w:i/>
          <w:iCs/>
          <w:color w:val="000000" w:themeColor="text1"/>
        </w:rPr>
        <w:t xml:space="preserve">Figure 4: Removal of OCB1 oil on a metal surface with the use of commercial degreaser. (A) Metallic piece impregnated with OCB1 oil. (B) </w:t>
      </w:r>
      <w:r w:rsidR="0061403E" w:rsidRPr="0061403E">
        <w:rPr>
          <w:i/>
          <w:iCs/>
          <w:color w:val="000000" w:themeColor="text1"/>
        </w:rPr>
        <w:t>Immerse the piece with degreaser</w:t>
      </w:r>
      <w:r w:rsidRPr="00103BB7">
        <w:rPr>
          <w:i/>
          <w:iCs/>
          <w:color w:val="000000" w:themeColor="text1"/>
        </w:rPr>
        <w:t xml:space="preserve">. (C) Withdrawal of the piece after agitation of the product. (D) withdrawal of part to </w:t>
      </w:r>
      <w:r w:rsidR="0061403E" w:rsidRPr="00103BB7">
        <w:rPr>
          <w:i/>
          <w:iCs/>
          <w:color w:val="000000" w:themeColor="text1"/>
        </w:rPr>
        <w:t>after</w:t>
      </w:r>
      <w:r w:rsidRPr="00103BB7">
        <w:rPr>
          <w:i/>
          <w:iCs/>
          <w:color w:val="000000" w:themeColor="text1"/>
        </w:rPr>
        <w:t xml:space="preserve"> remove oil and destabilized product. (E) Completion of the metal piece cleaning process</w:t>
      </w:r>
    </w:p>
    <w:p w14:paraId="2E322E52" w14:textId="77777777" w:rsidR="00103BB7" w:rsidRDefault="00103BB7" w:rsidP="00B9043C">
      <w:pPr>
        <w:ind w:left="-142" w:right="-427"/>
        <w:jc w:val="left"/>
        <w:rPr>
          <w:i/>
          <w:iCs/>
          <w:color w:val="000000" w:themeColor="text1"/>
        </w:rPr>
      </w:pPr>
    </w:p>
    <w:p w14:paraId="6CE05F75" w14:textId="569C5864" w:rsidR="009D22A4" w:rsidRDefault="00480098" w:rsidP="001419E8">
      <w:pPr>
        <w:spacing w:after="120"/>
        <w:ind w:left="-142"/>
        <w:jc w:val="center"/>
        <w:rPr>
          <w:b/>
          <w:bCs/>
          <w:color w:val="000000" w:themeColor="text1"/>
        </w:rPr>
      </w:pPr>
      <w:r>
        <w:rPr>
          <w:b/>
          <w:bCs/>
          <w:noProof/>
          <w:color w:val="000000" w:themeColor="text1"/>
        </w:rPr>
        <w:drawing>
          <wp:inline distT="0" distB="0" distL="0" distR="0" wp14:anchorId="5E1D705D" wp14:editId="108F1E05">
            <wp:extent cx="5684108" cy="1230548"/>
            <wp:effectExtent l="0" t="0" r="0" b="8255"/>
            <wp:docPr id="10650027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909" cy="1250422"/>
                    </a:xfrm>
                    <a:prstGeom prst="rect">
                      <a:avLst/>
                    </a:prstGeom>
                    <a:noFill/>
                  </pic:spPr>
                </pic:pic>
              </a:graphicData>
            </a:graphic>
          </wp:inline>
        </w:drawing>
      </w:r>
    </w:p>
    <w:p w14:paraId="76BAFB12" w14:textId="21BDAB0D" w:rsidR="009D22A4" w:rsidRPr="00480098" w:rsidRDefault="00103BB7" w:rsidP="0018344C">
      <w:pPr>
        <w:ind w:left="-142" w:right="-285"/>
        <w:jc w:val="left"/>
        <w:rPr>
          <w:i/>
          <w:iCs/>
          <w:color w:val="000000" w:themeColor="text1"/>
        </w:rPr>
      </w:pPr>
      <w:bookmarkStart w:id="0" w:name="_Hlk151756235"/>
      <w:bookmarkStart w:id="1" w:name="_Hlk151925995"/>
      <w:r w:rsidRPr="00103BB7">
        <w:rPr>
          <w:i/>
          <w:iCs/>
          <w:color w:val="000000" w:themeColor="text1"/>
        </w:rPr>
        <w:t xml:space="preserve">Figure </w:t>
      </w:r>
      <w:r w:rsidR="001419E8">
        <w:rPr>
          <w:i/>
          <w:iCs/>
          <w:color w:val="000000" w:themeColor="text1"/>
        </w:rPr>
        <w:t>5</w:t>
      </w:r>
      <w:r w:rsidRPr="00103BB7">
        <w:rPr>
          <w:i/>
          <w:iCs/>
          <w:color w:val="000000" w:themeColor="text1"/>
        </w:rPr>
        <w:t xml:space="preserve">: Removal of OCB1 oil on a metal surface with the use of </w:t>
      </w:r>
      <w:r>
        <w:rPr>
          <w:i/>
          <w:iCs/>
          <w:color w:val="000000" w:themeColor="text1"/>
        </w:rPr>
        <w:t>biodetergent</w:t>
      </w:r>
      <w:r w:rsidRPr="00103BB7">
        <w:rPr>
          <w:i/>
          <w:iCs/>
          <w:color w:val="000000" w:themeColor="text1"/>
        </w:rPr>
        <w:t>. (A) Metallic piece impregnated with OCB1 oil. (B) Immerse the piece with degreaser. (C) Withdrawal of the piece after agitation of the product. (D) withdrawal of part to after remove oil and destabilized product. (E) Completion of the metal piece cleaning process</w:t>
      </w:r>
    </w:p>
    <w:bookmarkEnd w:id="0"/>
    <w:bookmarkEnd w:id="1"/>
    <w:p w14:paraId="7E3ECD35" w14:textId="69032DF9" w:rsidR="009D22A4" w:rsidRDefault="009D22A4" w:rsidP="009D22A4">
      <w:pPr>
        <w:ind w:left="-142" w:firstLine="1843"/>
      </w:pPr>
    </w:p>
    <w:p w14:paraId="4BF98684" w14:textId="4102BBB0" w:rsidR="009D22A4" w:rsidRDefault="009D22A4" w:rsidP="00563256">
      <w:pPr>
        <w:spacing w:after="120"/>
        <w:ind w:hanging="142"/>
        <w:jc w:val="left"/>
      </w:pPr>
      <w:r>
        <w:rPr>
          <w:b/>
          <w:bCs/>
          <w:color w:val="000000" w:themeColor="text1"/>
        </w:rPr>
        <w:t xml:space="preserve">3.3 </w:t>
      </w:r>
      <w:r w:rsidR="00103BB7" w:rsidRPr="00103BB7">
        <w:rPr>
          <w:b/>
          <w:bCs/>
          <w:color w:val="000000" w:themeColor="text1"/>
        </w:rPr>
        <w:t>Determination of the destabilization capacity of heavy oil</w:t>
      </w:r>
    </w:p>
    <w:p w14:paraId="5BC1667F" w14:textId="77777777" w:rsidR="001419E8" w:rsidRDefault="00103BB7" w:rsidP="001419E8">
      <w:pPr>
        <w:ind w:left="-142" w:right="-284"/>
      </w:pPr>
      <w:r w:rsidRPr="00103BB7">
        <w:t xml:space="preserve">The objective of this test was to evaluate the destabilization capacity of heavy oil in relation to a maximum time of 5 minutes for the of two products. This way it is expected to determine what product will first achieve a satisfactory destabilization of the oil. Also, observe comparatively the quality of the destabilization of heavy oil on the products. Figures 6 </w:t>
      </w:r>
      <w:r w:rsidR="00D42638">
        <w:t>and</w:t>
      </w:r>
      <w:r w:rsidRPr="00103BB7">
        <w:t xml:space="preserve"> </w:t>
      </w:r>
      <w:r w:rsidR="00D42638">
        <w:t>7</w:t>
      </w:r>
      <w:r w:rsidRPr="00103BB7">
        <w:t xml:space="preserve"> summarize the application and results for the heavy oil destabilization test.</w:t>
      </w:r>
      <w:r w:rsidR="009D22A4" w:rsidRPr="00C03B3D">
        <w:t xml:space="preserve"> </w:t>
      </w:r>
    </w:p>
    <w:p w14:paraId="59E8E3C1" w14:textId="5993FFDD" w:rsidR="009D22A4" w:rsidRDefault="001419E8" w:rsidP="001419E8">
      <w:pPr>
        <w:ind w:left="-142" w:right="-284"/>
      </w:pPr>
      <w:r w:rsidRPr="001419E8">
        <w:t>Both products present satisfactory results regarding the destabilization capacity of heavy oil, therefore, the biodetergent demonstrates practically total destabilization (suspension) of the oil derivative in just 2 minutes, but</w:t>
      </w:r>
      <w:r>
        <w:t xml:space="preserve"> </w:t>
      </w:r>
      <w:r w:rsidRPr="001419E8">
        <w:t>for the commercial degreaser is necessary twice as long (4 minutes) for partial destabilization of the oil.</w:t>
      </w:r>
    </w:p>
    <w:p w14:paraId="2B521B06" w14:textId="77777777" w:rsidR="001419E8" w:rsidRDefault="001419E8" w:rsidP="003D5168">
      <w:pPr>
        <w:jc w:val="left"/>
        <w:rPr>
          <w:i/>
          <w:iCs/>
          <w:color w:val="000000" w:themeColor="text1"/>
        </w:rPr>
      </w:pPr>
    </w:p>
    <w:p w14:paraId="404BA07B" w14:textId="77777777" w:rsidR="001419E8" w:rsidRDefault="001419E8" w:rsidP="003D5168">
      <w:pPr>
        <w:jc w:val="left"/>
        <w:rPr>
          <w:i/>
          <w:iCs/>
          <w:color w:val="000000" w:themeColor="text1"/>
        </w:rPr>
      </w:pPr>
    </w:p>
    <w:p w14:paraId="48B7A4FC" w14:textId="77777777" w:rsidR="001419E8" w:rsidRDefault="001419E8" w:rsidP="003D5168">
      <w:pPr>
        <w:jc w:val="left"/>
        <w:rPr>
          <w:i/>
          <w:iCs/>
          <w:color w:val="000000" w:themeColor="text1"/>
        </w:rPr>
      </w:pPr>
    </w:p>
    <w:p w14:paraId="02BAE4DC" w14:textId="0B0EC2A6" w:rsidR="001419E8" w:rsidRDefault="006E3D02" w:rsidP="001419E8">
      <w:pPr>
        <w:spacing w:after="120"/>
        <w:jc w:val="left"/>
        <w:rPr>
          <w:i/>
          <w:iCs/>
          <w:color w:val="000000" w:themeColor="text1"/>
        </w:rPr>
      </w:pPr>
      <w:r>
        <w:rPr>
          <w:i/>
          <w:iCs/>
          <w:noProof/>
          <w:color w:val="000000" w:themeColor="text1"/>
        </w:rPr>
        <w:lastRenderedPageBreak/>
        <w:drawing>
          <wp:inline distT="0" distB="0" distL="0" distR="0" wp14:anchorId="4E7D3ED4" wp14:editId="440DD5D2">
            <wp:extent cx="5734050" cy="1599303"/>
            <wp:effectExtent l="0" t="0" r="0" b="1270"/>
            <wp:docPr id="8279388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3355" cy="1621422"/>
                    </a:xfrm>
                    <a:prstGeom prst="rect">
                      <a:avLst/>
                    </a:prstGeom>
                    <a:noFill/>
                  </pic:spPr>
                </pic:pic>
              </a:graphicData>
            </a:graphic>
          </wp:inline>
        </w:drawing>
      </w:r>
    </w:p>
    <w:p w14:paraId="11D38564" w14:textId="1F03863A" w:rsidR="009D22A4" w:rsidRDefault="001419E8" w:rsidP="001419E8">
      <w:pPr>
        <w:ind w:right="-285"/>
        <w:rPr>
          <w:i/>
          <w:iCs/>
          <w:color w:val="000000" w:themeColor="text1"/>
        </w:rPr>
      </w:pPr>
      <w:r w:rsidRPr="001419E8">
        <w:rPr>
          <w:i/>
          <w:iCs/>
          <w:color w:val="000000" w:themeColor="text1"/>
        </w:rPr>
        <w:t>Figure 6: Aspect</w:t>
      </w:r>
      <w:r>
        <w:rPr>
          <w:i/>
          <w:iCs/>
          <w:color w:val="000000" w:themeColor="text1"/>
        </w:rPr>
        <w:t xml:space="preserve"> </w:t>
      </w:r>
      <w:r w:rsidRPr="001419E8">
        <w:rPr>
          <w:i/>
          <w:iCs/>
          <w:color w:val="000000" w:themeColor="text1"/>
        </w:rPr>
        <w:t>of the destabilized OCB1 oil on the glass plate surface for the two products in the study. (A and C) Commercial degreaser. (B and D) Biodetergent</w:t>
      </w:r>
    </w:p>
    <w:p w14:paraId="00EAB6CB" w14:textId="77777777" w:rsidR="001419E8" w:rsidRDefault="001419E8" w:rsidP="009D22A4">
      <w:pPr>
        <w:ind w:left="-142" w:firstLine="851"/>
      </w:pPr>
    </w:p>
    <w:p w14:paraId="30D99061" w14:textId="5A6A5F18" w:rsidR="009D22A4" w:rsidRDefault="003D5168" w:rsidP="001419E8">
      <w:pPr>
        <w:spacing w:after="120"/>
        <w:ind w:left="-142" w:firstLine="142"/>
        <w:jc w:val="left"/>
      </w:pPr>
      <w:r>
        <w:rPr>
          <w:noProof/>
        </w:rPr>
        <w:drawing>
          <wp:inline distT="0" distB="0" distL="0" distR="0" wp14:anchorId="0A351E62" wp14:editId="0D585718">
            <wp:extent cx="3303373" cy="1665899"/>
            <wp:effectExtent l="0" t="0" r="0" b="0"/>
            <wp:docPr id="2126788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4822" cy="1686802"/>
                    </a:xfrm>
                    <a:prstGeom prst="rect">
                      <a:avLst/>
                    </a:prstGeom>
                    <a:noFill/>
                  </pic:spPr>
                </pic:pic>
              </a:graphicData>
            </a:graphic>
          </wp:inline>
        </w:drawing>
      </w:r>
    </w:p>
    <w:p w14:paraId="7F71D65F" w14:textId="52F1BD99" w:rsidR="00925696" w:rsidRDefault="006E3D02" w:rsidP="00925696">
      <w:pPr>
        <w:ind w:left="-142"/>
        <w:jc w:val="left"/>
        <w:rPr>
          <w:i/>
          <w:iCs/>
          <w:color w:val="000000" w:themeColor="text1"/>
        </w:rPr>
      </w:pPr>
      <w:r w:rsidRPr="006E3D02">
        <w:rPr>
          <w:i/>
          <w:iCs/>
          <w:color w:val="000000" w:themeColor="text1"/>
        </w:rPr>
        <w:t>Figure 7: Aspect of the glass plates after rinsing (without physical aid) to remove heavy oil and destabilized products for both of them. (A) Commercial degreaser. (B) Biodetergent</w:t>
      </w:r>
    </w:p>
    <w:p w14:paraId="4FFC6CCA" w14:textId="77777777" w:rsidR="006E3D02" w:rsidRDefault="006E3D02" w:rsidP="00925696">
      <w:pPr>
        <w:ind w:left="-142"/>
        <w:jc w:val="left"/>
      </w:pPr>
    </w:p>
    <w:p w14:paraId="58715CA6" w14:textId="07F16ED6" w:rsidR="009D22A4" w:rsidRDefault="006E3D02" w:rsidP="001117FD">
      <w:pPr>
        <w:ind w:left="-142" w:right="-285"/>
      </w:pPr>
      <w:r w:rsidRPr="006E3D02">
        <w:t>As observed, in Figure 7, after rinsing, part of the oil reintegrates into the surface, which is natural, once no absorbent or abrasive materials (sponges, tow or broom) are used to physically assist in the absolute removal of the oil and products. Therefore, the objective of the test was to validate only the chemical action of the formulations avaluated.</w:t>
      </w:r>
    </w:p>
    <w:p w14:paraId="5AABA472" w14:textId="20E71932" w:rsidR="009D22A4" w:rsidRDefault="00C10BE5" w:rsidP="001117FD">
      <w:pPr>
        <w:pStyle w:val="Ttulo2"/>
        <w:numPr>
          <w:ilvl w:val="1"/>
          <w:numId w:val="0"/>
        </w:numPr>
        <w:tabs>
          <w:tab w:val="num" w:pos="360"/>
        </w:tabs>
        <w:spacing w:after="120"/>
        <w:ind w:left="-142" w:right="-284"/>
        <w:rPr>
          <w:rStyle w:val="longtext"/>
          <w:color w:val="auto"/>
          <w:shd w:val="clear" w:color="auto" w:fill="FFFFFF"/>
        </w:rPr>
      </w:pPr>
      <w:r>
        <w:rPr>
          <w:rFonts w:ascii="Arial" w:hAnsi="Arial" w:cs="Arial"/>
          <w:iCs/>
          <w:color w:val="000000" w:themeColor="text1"/>
          <w:sz w:val="18"/>
          <w:szCs w:val="18"/>
        </w:rPr>
        <w:t xml:space="preserve">3.4 </w:t>
      </w:r>
      <w:r w:rsidR="000E5C16" w:rsidRPr="000E5C16">
        <w:rPr>
          <w:rFonts w:ascii="Arial" w:hAnsi="Arial" w:cs="Arial"/>
          <w:iCs/>
          <w:color w:val="000000" w:themeColor="text1"/>
          <w:sz w:val="18"/>
          <w:szCs w:val="18"/>
        </w:rPr>
        <w:t>Ecotoxicological tests</w:t>
      </w:r>
    </w:p>
    <w:p w14:paraId="4DD6B6B2" w14:textId="17B4609B" w:rsidR="00D42638" w:rsidRPr="00B96501" w:rsidRDefault="000F0C07" w:rsidP="00D42638">
      <w:pPr>
        <w:tabs>
          <w:tab w:val="right" w:pos="709"/>
        </w:tabs>
        <w:spacing w:after="120"/>
        <w:ind w:left="-142" w:right="-284"/>
      </w:pPr>
      <w:r w:rsidRPr="000F0C07">
        <w:t xml:space="preserve">The results obtained show that the biodetergent practically does not present toxicity to the microcrustacean larvae in all the conditions tested, same with the increase in concentration, as it presents a maximum mortality rate of barely 20%. As for the commercial degreaser, the results demonstrate total mortality (100%) for the </w:t>
      </w:r>
      <w:r w:rsidRPr="000F0C07">
        <w:rPr>
          <w:i/>
          <w:iCs/>
        </w:rPr>
        <w:t>Artemia salina</w:t>
      </w:r>
      <w:r w:rsidRPr="000F0C07">
        <w:t xml:space="preserve"> larvae in all conditions, even for the lowest concentrations of the product (Table 1). Regarding the phytotoxicity, the two products in a comparative study, using cabbage (</w:t>
      </w:r>
      <w:r w:rsidRPr="000F0C07">
        <w:rPr>
          <w:i/>
          <w:iCs/>
        </w:rPr>
        <w:t>Brassica oleracea</w:t>
      </w:r>
      <w:r w:rsidRPr="000F0C07">
        <w:t>) and tomato (</w:t>
      </w:r>
      <w:r w:rsidRPr="000F0C07">
        <w:rPr>
          <w:i/>
          <w:iCs/>
        </w:rPr>
        <w:t xml:space="preserve">Solanum </w:t>
      </w:r>
      <w:proofErr w:type="spellStart"/>
      <w:r w:rsidRPr="000F0C07">
        <w:rPr>
          <w:i/>
          <w:iCs/>
        </w:rPr>
        <w:t>lycopersicum</w:t>
      </w:r>
      <w:proofErr w:type="spellEnd"/>
      <w:r w:rsidRPr="000F0C07">
        <w:t>) seeds, the results were satisfactory for the biodetergent, once the germination index was between 80 to 100% in the seeds of both species for the dilutions used. On the other hand, for the commercial degreaser, there is no germination of the seeds for all the concentrations tested, indicating the toxicity of the product in the study (Table 1).</w:t>
      </w:r>
      <w:r w:rsidR="00D42638">
        <w:rPr>
          <w:color w:val="000000" w:themeColor="text1"/>
        </w:rPr>
        <w:t xml:space="preserve"> </w:t>
      </w:r>
    </w:p>
    <w:p w14:paraId="358418AE" w14:textId="3B5A2C50" w:rsidR="00C10BE5" w:rsidRPr="003D5168" w:rsidRDefault="009D22A4" w:rsidP="000F0C07">
      <w:pPr>
        <w:tabs>
          <w:tab w:val="right" w:pos="709"/>
        </w:tabs>
        <w:spacing w:after="120"/>
        <w:ind w:left="-142" w:right="-427"/>
        <w:jc w:val="left"/>
        <w:rPr>
          <w:i/>
          <w:iCs/>
          <w:shd w:val="clear" w:color="auto" w:fill="FFFFFF"/>
        </w:rPr>
      </w:pPr>
      <w:r w:rsidRPr="003D5168">
        <w:rPr>
          <w:i/>
          <w:iCs/>
        </w:rPr>
        <w:t>Tab</w:t>
      </w:r>
      <w:r w:rsidR="0061403E">
        <w:rPr>
          <w:i/>
          <w:iCs/>
        </w:rPr>
        <w:t>le</w:t>
      </w:r>
      <w:r w:rsidRPr="003D5168">
        <w:rPr>
          <w:i/>
          <w:iCs/>
        </w:rPr>
        <w:t xml:space="preserve"> 1</w:t>
      </w:r>
      <w:r w:rsidR="000F0C07">
        <w:rPr>
          <w:i/>
          <w:iCs/>
        </w:rPr>
        <w:t xml:space="preserve">: </w:t>
      </w:r>
      <w:r w:rsidR="000F0C07" w:rsidRPr="000F0C07">
        <w:rPr>
          <w:i/>
          <w:iCs/>
        </w:rPr>
        <w:t xml:space="preserve">Percentages of bioassay with microcrustacean larvae (Artemia salina) and phytotoxicity with vegetative seeds cabbage (Brassica oleracea) and Cherry tomato (Solanum </w:t>
      </w:r>
      <w:proofErr w:type="spellStart"/>
      <w:r w:rsidR="000F0C07" w:rsidRPr="000F0C07">
        <w:rPr>
          <w:i/>
          <w:iCs/>
        </w:rPr>
        <w:t>lycopersicum</w:t>
      </w:r>
      <w:proofErr w:type="spellEnd"/>
      <w:r w:rsidR="000F0C07">
        <w:rPr>
          <w:i/>
          <w:iCs/>
        </w:rPr>
        <w:t>).</w:t>
      </w:r>
    </w:p>
    <w:tbl>
      <w:tblPr>
        <w:tblStyle w:val="SimplesTabela2"/>
        <w:tblW w:w="8868" w:type="dxa"/>
        <w:tblInd w:w="-142" w:type="dxa"/>
        <w:tblLayout w:type="fixed"/>
        <w:tblLook w:val="04A0" w:firstRow="1" w:lastRow="0" w:firstColumn="1" w:lastColumn="0" w:noHBand="0" w:noVBand="1"/>
      </w:tblPr>
      <w:tblGrid>
        <w:gridCol w:w="2573"/>
        <w:gridCol w:w="1680"/>
        <w:gridCol w:w="1843"/>
        <w:gridCol w:w="415"/>
        <w:gridCol w:w="962"/>
        <w:gridCol w:w="1395"/>
      </w:tblGrid>
      <w:tr w:rsidR="009D22A4" w:rsidRPr="0090304D" w14:paraId="7383C53E" w14:textId="77777777" w:rsidTr="0061403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73" w:type="dxa"/>
            <w:vMerge w:val="restart"/>
            <w:tcBorders>
              <w:top w:val="single" w:sz="18" w:space="0" w:color="008000"/>
            </w:tcBorders>
            <w:shd w:val="clear" w:color="auto" w:fill="D9D9D9" w:themeFill="background1" w:themeFillShade="D9"/>
            <w:vAlign w:val="center"/>
          </w:tcPr>
          <w:p w14:paraId="519AE3EA" w14:textId="77777777" w:rsidR="00CF69EA" w:rsidRPr="00CF69EA" w:rsidRDefault="00CF69EA" w:rsidP="00CF69EA">
            <w:pPr>
              <w:tabs>
                <w:tab w:val="right" w:pos="709"/>
              </w:tabs>
              <w:spacing w:line="20" w:lineRule="atLeast"/>
              <w:jc w:val="center"/>
              <w:rPr>
                <w:color w:val="000000" w:themeColor="text1"/>
                <w:sz w:val="17"/>
                <w:szCs w:val="17"/>
              </w:rPr>
            </w:pPr>
            <w:r w:rsidRPr="00CF69EA">
              <w:rPr>
                <w:color w:val="000000" w:themeColor="text1"/>
                <w:sz w:val="17"/>
                <w:szCs w:val="17"/>
              </w:rPr>
              <w:t>Conditions</w:t>
            </w:r>
          </w:p>
          <w:p w14:paraId="7DE45F6E" w14:textId="6659B874" w:rsidR="009D22A4" w:rsidRPr="0090304D" w:rsidRDefault="00CF69EA" w:rsidP="00CF69EA">
            <w:pPr>
              <w:tabs>
                <w:tab w:val="right" w:pos="709"/>
              </w:tabs>
              <w:spacing w:line="20" w:lineRule="atLeast"/>
              <w:jc w:val="center"/>
              <w:rPr>
                <w:color w:val="000000" w:themeColor="text1"/>
                <w:sz w:val="17"/>
                <w:szCs w:val="17"/>
              </w:rPr>
            </w:pPr>
            <w:r>
              <w:rPr>
                <w:color w:val="000000" w:themeColor="text1"/>
                <w:sz w:val="17"/>
                <w:szCs w:val="17"/>
              </w:rPr>
              <w:t>B</w:t>
            </w:r>
            <w:r w:rsidRPr="00CF69EA">
              <w:rPr>
                <w:color w:val="000000" w:themeColor="text1"/>
                <w:sz w:val="17"/>
                <w:szCs w:val="17"/>
              </w:rPr>
              <w:t>iodetergent/Commercia</w:t>
            </w:r>
            <w:r>
              <w:rPr>
                <w:color w:val="000000" w:themeColor="text1"/>
                <w:sz w:val="17"/>
                <w:szCs w:val="17"/>
              </w:rPr>
              <w:t>l d</w:t>
            </w:r>
            <w:r w:rsidRPr="00CF69EA">
              <w:rPr>
                <w:color w:val="000000" w:themeColor="text1"/>
                <w:sz w:val="17"/>
                <w:szCs w:val="17"/>
              </w:rPr>
              <w:t>egreaser</w:t>
            </w:r>
            <w:r>
              <w:rPr>
                <w:color w:val="000000" w:themeColor="text1"/>
                <w:sz w:val="17"/>
                <w:szCs w:val="17"/>
              </w:rPr>
              <w:t xml:space="preserve"> (vol/</w:t>
            </w:r>
            <w:r w:rsidR="00961FC8">
              <w:rPr>
                <w:color w:val="000000" w:themeColor="text1"/>
                <w:sz w:val="17"/>
                <w:szCs w:val="17"/>
              </w:rPr>
              <w:t>v</w:t>
            </w:r>
            <w:r>
              <w:rPr>
                <w:color w:val="000000" w:themeColor="text1"/>
                <w:sz w:val="17"/>
                <w:szCs w:val="17"/>
              </w:rPr>
              <w:t>ol)</w:t>
            </w:r>
          </w:p>
        </w:tc>
        <w:tc>
          <w:tcPr>
            <w:tcW w:w="3523" w:type="dxa"/>
            <w:gridSpan w:val="2"/>
            <w:tcBorders>
              <w:top w:val="single" w:sz="18" w:space="0" w:color="008000"/>
            </w:tcBorders>
            <w:shd w:val="clear" w:color="auto" w:fill="D9D9D9" w:themeFill="background1" w:themeFillShade="D9"/>
            <w:vAlign w:val="center"/>
          </w:tcPr>
          <w:p w14:paraId="3D2DF1FA" w14:textId="26A9B7C7" w:rsidR="009D22A4" w:rsidRPr="0090304D" w:rsidRDefault="00CF69EA" w:rsidP="00605E10">
            <w:pPr>
              <w:tabs>
                <w:tab w:val="right" w:pos="709"/>
              </w:tabs>
              <w:spacing w:line="20" w:lineRule="atLeast"/>
              <w:jc w:val="center"/>
              <w:cnfStyle w:val="100000000000" w:firstRow="1" w:lastRow="0" w:firstColumn="0" w:lastColumn="0" w:oddVBand="0" w:evenVBand="0" w:oddHBand="0" w:evenHBand="0" w:firstRowFirstColumn="0" w:firstRowLastColumn="0" w:lastRowFirstColumn="0" w:lastRowLastColumn="0"/>
              <w:rPr>
                <w:color w:val="000000" w:themeColor="text1"/>
                <w:sz w:val="17"/>
                <w:szCs w:val="17"/>
              </w:rPr>
            </w:pPr>
            <w:r w:rsidRPr="00CF69EA">
              <w:rPr>
                <w:bCs w:val="0"/>
                <w:color w:val="000000" w:themeColor="text1"/>
                <w:sz w:val="17"/>
                <w:szCs w:val="17"/>
              </w:rPr>
              <w:t>Germination index (GI)</w:t>
            </w:r>
          </w:p>
        </w:tc>
        <w:tc>
          <w:tcPr>
            <w:tcW w:w="2772" w:type="dxa"/>
            <w:gridSpan w:val="3"/>
            <w:tcBorders>
              <w:top w:val="single" w:sz="18" w:space="0" w:color="008000"/>
            </w:tcBorders>
            <w:shd w:val="clear" w:color="auto" w:fill="D9D9D9" w:themeFill="background1" w:themeFillShade="D9"/>
            <w:vAlign w:val="center"/>
          </w:tcPr>
          <w:p w14:paraId="26A8D6C5" w14:textId="77777777" w:rsidR="009D22A4" w:rsidRPr="0090304D" w:rsidRDefault="009D22A4" w:rsidP="00605E10">
            <w:pPr>
              <w:spacing w:line="20" w:lineRule="atLeast"/>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7"/>
                <w:szCs w:val="17"/>
              </w:rPr>
            </w:pPr>
          </w:p>
          <w:p w14:paraId="68D94D9F" w14:textId="02BEDA9E" w:rsidR="009D22A4" w:rsidRPr="0090304D" w:rsidRDefault="00CF69EA" w:rsidP="00605E10">
            <w:pPr>
              <w:spacing w:line="20" w:lineRule="atLeast"/>
              <w:ind w:right="-254"/>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7"/>
                <w:szCs w:val="17"/>
              </w:rPr>
            </w:pPr>
            <w:r w:rsidRPr="00CF69EA">
              <w:rPr>
                <w:bCs w:val="0"/>
                <w:color w:val="000000" w:themeColor="text1"/>
                <w:sz w:val="17"/>
                <w:szCs w:val="17"/>
              </w:rPr>
              <w:t>Mortality</w:t>
            </w:r>
            <w:r w:rsidR="00605E10">
              <w:rPr>
                <w:bCs w:val="0"/>
                <w:color w:val="000000" w:themeColor="text1"/>
                <w:sz w:val="17"/>
                <w:szCs w:val="17"/>
              </w:rPr>
              <w:t xml:space="preserve"> </w:t>
            </w:r>
            <w:r w:rsidR="009D22A4" w:rsidRPr="0090304D">
              <w:rPr>
                <w:bCs w:val="0"/>
                <w:i/>
                <w:color w:val="000000" w:themeColor="text1"/>
                <w:sz w:val="17"/>
                <w:szCs w:val="17"/>
              </w:rPr>
              <w:t xml:space="preserve">Artemia salina </w:t>
            </w:r>
          </w:p>
        </w:tc>
      </w:tr>
      <w:tr w:rsidR="0090304D" w:rsidRPr="0090304D" w14:paraId="217275BF" w14:textId="77777777" w:rsidTr="0061403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73" w:type="dxa"/>
            <w:vMerge/>
            <w:tcBorders>
              <w:bottom w:val="single" w:sz="12" w:space="0" w:color="008000"/>
            </w:tcBorders>
          </w:tcPr>
          <w:p w14:paraId="2132DEBA" w14:textId="77777777" w:rsidR="009D22A4" w:rsidRPr="0090304D" w:rsidRDefault="009D22A4" w:rsidP="00605E10">
            <w:pPr>
              <w:tabs>
                <w:tab w:val="right" w:pos="709"/>
              </w:tabs>
              <w:spacing w:line="20" w:lineRule="atLeast"/>
              <w:jc w:val="center"/>
              <w:rPr>
                <w:color w:val="000000" w:themeColor="text1"/>
                <w:sz w:val="17"/>
                <w:szCs w:val="17"/>
              </w:rPr>
            </w:pPr>
          </w:p>
        </w:tc>
        <w:tc>
          <w:tcPr>
            <w:tcW w:w="1680" w:type="dxa"/>
            <w:tcBorders>
              <w:bottom w:val="single" w:sz="12" w:space="0" w:color="008000"/>
            </w:tcBorders>
            <w:shd w:val="clear" w:color="auto" w:fill="D9D9D9" w:themeFill="background1" w:themeFillShade="D9"/>
          </w:tcPr>
          <w:p w14:paraId="37973B25" w14:textId="12ED72F5" w:rsidR="009D22A4" w:rsidRPr="0090304D" w:rsidRDefault="000F0C07" w:rsidP="00CF69EA">
            <w:pPr>
              <w:tabs>
                <w:tab w:val="right" w:pos="709"/>
              </w:tabs>
              <w:spacing w:line="20" w:lineRule="atLeast"/>
              <w:ind w:right="-167"/>
              <w:jc w:val="center"/>
              <w:cnfStyle w:val="000000100000" w:firstRow="0" w:lastRow="0" w:firstColumn="0" w:lastColumn="0" w:oddVBand="0" w:evenVBand="0" w:oddHBand="1" w:evenHBand="0" w:firstRowFirstColumn="0" w:firstRowLastColumn="0" w:lastRowFirstColumn="0" w:lastRowLastColumn="0"/>
              <w:rPr>
                <w:rStyle w:val="longtext"/>
                <w:b/>
                <w:sz w:val="17"/>
                <w:szCs w:val="17"/>
                <w:highlight w:val="lightGray"/>
                <w:shd w:val="clear" w:color="auto" w:fill="FFFFFF"/>
              </w:rPr>
            </w:pPr>
            <w:proofErr w:type="spellStart"/>
            <w:r>
              <w:rPr>
                <w:rStyle w:val="longtext"/>
                <w:b/>
                <w:sz w:val="17"/>
                <w:szCs w:val="17"/>
                <w:highlight w:val="lightGray"/>
                <w:shd w:val="clear" w:color="auto" w:fill="FFFFFF"/>
              </w:rPr>
              <w:t>Cabagge</w:t>
            </w:r>
            <w:proofErr w:type="spellEnd"/>
            <w:r w:rsidR="009D22A4" w:rsidRPr="0090304D">
              <w:rPr>
                <w:rStyle w:val="longtext"/>
                <w:b/>
                <w:sz w:val="17"/>
                <w:szCs w:val="17"/>
                <w:highlight w:val="lightGray"/>
                <w:shd w:val="clear" w:color="auto" w:fill="FFFFFF"/>
              </w:rPr>
              <w:t xml:space="preserve"> </w:t>
            </w:r>
          </w:p>
          <w:p w14:paraId="3FC4CF69" w14:textId="7C38B05F" w:rsidR="009D22A4" w:rsidRPr="00D00CED" w:rsidRDefault="000F0C07" w:rsidP="00CF69EA">
            <w:pPr>
              <w:tabs>
                <w:tab w:val="right" w:pos="709"/>
              </w:tabs>
              <w:spacing w:line="20" w:lineRule="atLeast"/>
              <w:ind w:right="-167"/>
              <w:jc w:val="center"/>
              <w:cnfStyle w:val="000000100000" w:firstRow="0" w:lastRow="0" w:firstColumn="0" w:lastColumn="0" w:oddVBand="0" w:evenVBand="0" w:oddHBand="1" w:evenHBand="0" w:firstRowFirstColumn="0" w:firstRowLastColumn="0" w:lastRowFirstColumn="0" w:lastRowLastColumn="0"/>
              <w:rPr>
                <w:b/>
                <w:bCs/>
                <w:i/>
                <w:iCs/>
                <w:color w:val="000000" w:themeColor="text1"/>
                <w:sz w:val="16"/>
                <w:szCs w:val="16"/>
                <w:highlight w:val="lightGray"/>
              </w:rPr>
            </w:pPr>
            <w:r w:rsidRPr="00D00CED">
              <w:rPr>
                <w:rStyle w:val="longtext"/>
                <w:b/>
                <w:i/>
                <w:iCs/>
                <w:sz w:val="16"/>
                <w:szCs w:val="16"/>
                <w:highlight w:val="lightGray"/>
                <w:shd w:val="clear" w:color="auto" w:fill="FFFFFF"/>
              </w:rPr>
              <w:t>Brassica oleracea</w:t>
            </w:r>
          </w:p>
        </w:tc>
        <w:tc>
          <w:tcPr>
            <w:tcW w:w="1843" w:type="dxa"/>
            <w:tcBorders>
              <w:bottom w:val="single" w:sz="12" w:space="0" w:color="008000"/>
            </w:tcBorders>
            <w:shd w:val="clear" w:color="auto" w:fill="D9D9D9" w:themeFill="background1" w:themeFillShade="D9"/>
          </w:tcPr>
          <w:p w14:paraId="44749F09" w14:textId="77777777" w:rsidR="00D00CED" w:rsidRDefault="009D22A4" w:rsidP="00CF69EA">
            <w:pPr>
              <w:tabs>
                <w:tab w:val="right" w:pos="709"/>
              </w:tabs>
              <w:spacing w:line="20" w:lineRule="atLeast"/>
              <w:ind w:left="-247" w:right="-325"/>
              <w:jc w:val="center"/>
              <w:cnfStyle w:val="000000100000" w:firstRow="0" w:lastRow="0" w:firstColumn="0" w:lastColumn="0" w:oddVBand="0" w:evenVBand="0" w:oddHBand="1" w:evenHBand="0" w:firstRowFirstColumn="0" w:firstRowLastColumn="0" w:lastRowFirstColumn="0" w:lastRowLastColumn="0"/>
              <w:rPr>
                <w:rStyle w:val="longtext"/>
                <w:b/>
                <w:sz w:val="17"/>
                <w:szCs w:val="17"/>
                <w:highlight w:val="lightGray"/>
                <w:shd w:val="clear" w:color="auto" w:fill="FFFFFF"/>
              </w:rPr>
            </w:pPr>
            <w:r w:rsidRPr="0090304D">
              <w:rPr>
                <w:rStyle w:val="longtext"/>
                <w:b/>
                <w:sz w:val="17"/>
                <w:szCs w:val="17"/>
                <w:highlight w:val="lightGray"/>
                <w:shd w:val="clear" w:color="auto" w:fill="FFFFFF"/>
              </w:rPr>
              <w:t>Tomat</w:t>
            </w:r>
            <w:r w:rsidR="00CF69EA">
              <w:rPr>
                <w:rStyle w:val="longtext"/>
                <w:b/>
                <w:sz w:val="17"/>
                <w:szCs w:val="17"/>
                <w:highlight w:val="lightGray"/>
                <w:shd w:val="clear" w:color="auto" w:fill="FFFFFF"/>
              </w:rPr>
              <w:t>o</w:t>
            </w:r>
            <w:r w:rsidRPr="0090304D">
              <w:rPr>
                <w:rStyle w:val="longtext"/>
                <w:b/>
                <w:sz w:val="17"/>
                <w:szCs w:val="17"/>
                <w:highlight w:val="lightGray"/>
                <w:shd w:val="clear" w:color="auto" w:fill="FFFFFF"/>
              </w:rPr>
              <w:t xml:space="preserve"> </w:t>
            </w:r>
          </w:p>
          <w:p w14:paraId="7C55C83B" w14:textId="098167B7" w:rsidR="009D22A4" w:rsidRPr="00D00CED" w:rsidRDefault="00CF69EA" w:rsidP="00CF69EA">
            <w:pPr>
              <w:tabs>
                <w:tab w:val="right" w:pos="709"/>
              </w:tabs>
              <w:spacing w:line="20" w:lineRule="atLeast"/>
              <w:ind w:left="-247" w:right="-325"/>
              <w:jc w:val="center"/>
              <w:cnfStyle w:val="000000100000" w:firstRow="0" w:lastRow="0" w:firstColumn="0" w:lastColumn="0" w:oddVBand="0" w:evenVBand="0" w:oddHBand="1" w:evenHBand="0" w:firstRowFirstColumn="0" w:firstRowLastColumn="0" w:lastRowFirstColumn="0" w:lastRowLastColumn="0"/>
              <w:rPr>
                <w:b/>
                <w:i/>
                <w:iCs/>
                <w:color w:val="000000" w:themeColor="text1"/>
                <w:sz w:val="16"/>
                <w:szCs w:val="16"/>
                <w:highlight w:val="lightGray"/>
              </w:rPr>
            </w:pPr>
            <w:r w:rsidRPr="00D00CED">
              <w:rPr>
                <w:rStyle w:val="longtext"/>
                <w:b/>
                <w:i/>
                <w:iCs/>
                <w:sz w:val="16"/>
                <w:szCs w:val="16"/>
                <w:highlight w:val="lightGray"/>
                <w:shd w:val="clear" w:color="auto" w:fill="FFFFFF"/>
              </w:rPr>
              <w:t xml:space="preserve">Solanum </w:t>
            </w:r>
            <w:proofErr w:type="spellStart"/>
            <w:r w:rsidRPr="00D00CED">
              <w:rPr>
                <w:rStyle w:val="longtext"/>
                <w:b/>
                <w:i/>
                <w:iCs/>
                <w:sz w:val="16"/>
                <w:szCs w:val="16"/>
                <w:highlight w:val="lightGray"/>
                <w:shd w:val="clear" w:color="auto" w:fill="FFFFFF"/>
              </w:rPr>
              <w:t>lycopersicum</w:t>
            </w:r>
            <w:proofErr w:type="spellEnd"/>
          </w:p>
        </w:tc>
        <w:tc>
          <w:tcPr>
            <w:tcW w:w="415" w:type="dxa"/>
            <w:tcBorders>
              <w:bottom w:val="single" w:sz="12" w:space="0" w:color="008000"/>
            </w:tcBorders>
            <w:shd w:val="clear" w:color="auto" w:fill="D9D9D9" w:themeFill="background1" w:themeFillShade="D9"/>
          </w:tcPr>
          <w:p w14:paraId="01EF7E84" w14:textId="77777777" w:rsidR="009D22A4" w:rsidRPr="0090304D" w:rsidRDefault="009D22A4" w:rsidP="00605E10">
            <w:pPr>
              <w:tabs>
                <w:tab w:val="right" w:pos="709"/>
              </w:tabs>
              <w:spacing w:line="20" w:lineRule="atLeast"/>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p>
        </w:tc>
        <w:tc>
          <w:tcPr>
            <w:tcW w:w="962" w:type="dxa"/>
            <w:tcBorders>
              <w:bottom w:val="single" w:sz="12" w:space="0" w:color="008000"/>
            </w:tcBorders>
            <w:shd w:val="clear" w:color="auto" w:fill="D9D9D9" w:themeFill="background1" w:themeFillShade="D9"/>
            <w:vAlign w:val="center"/>
          </w:tcPr>
          <w:p w14:paraId="5BD543D3" w14:textId="77777777" w:rsidR="009D22A4" w:rsidRPr="0090304D" w:rsidRDefault="009D22A4" w:rsidP="00605E10">
            <w:pPr>
              <w:tabs>
                <w:tab w:val="right" w:pos="709"/>
              </w:tabs>
              <w:spacing w:line="20" w:lineRule="atLeast"/>
              <w:cnfStyle w:val="000000100000" w:firstRow="0" w:lastRow="0" w:firstColumn="0" w:lastColumn="0" w:oddVBand="0" w:evenVBand="0" w:oddHBand="1" w:evenHBand="0" w:firstRowFirstColumn="0" w:firstRowLastColumn="0" w:lastRowFirstColumn="0" w:lastRowLastColumn="0"/>
              <w:rPr>
                <w:b/>
                <w:bCs/>
                <w:color w:val="000000" w:themeColor="text1"/>
                <w:sz w:val="17"/>
                <w:szCs w:val="17"/>
              </w:rPr>
            </w:pPr>
            <w:r w:rsidRPr="0090304D">
              <w:rPr>
                <w:b/>
                <w:bCs/>
                <w:color w:val="000000" w:themeColor="text1"/>
                <w:sz w:val="17"/>
                <w:szCs w:val="17"/>
              </w:rPr>
              <w:t>1%</w:t>
            </w:r>
          </w:p>
        </w:tc>
        <w:tc>
          <w:tcPr>
            <w:tcW w:w="1395" w:type="dxa"/>
            <w:tcBorders>
              <w:bottom w:val="single" w:sz="12" w:space="0" w:color="008000"/>
            </w:tcBorders>
            <w:shd w:val="clear" w:color="auto" w:fill="D9D9D9" w:themeFill="background1" w:themeFillShade="D9"/>
            <w:vAlign w:val="center"/>
          </w:tcPr>
          <w:p w14:paraId="1F97E680" w14:textId="77777777" w:rsidR="009D22A4" w:rsidRPr="0090304D" w:rsidRDefault="009D22A4" w:rsidP="00605E10">
            <w:pPr>
              <w:tabs>
                <w:tab w:val="right" w:pos="709"/>
              </w:tabs>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7"/>
                <w:szCs w:val="17"/>
              </w:rPr>
            </w:pPr>
            <w:r w:rsidRPr="0090304D">
              <w:rPr>
                <w:b/>
                <w:bCs/>
                <w:color w:val="000000" w:themeColor="text1"/>
                <w:sz w:val="17"/>
                <w:szCs w:val="17"/>
              </w:rPr>
              <w:t>2%</w:t>
            </w:r>
          </w:p>
        </w:tc>
      </w:tr>
      <w:tr w:rsidR="009D22A4" w:rsidRPr="0090304D" w14:paraId="31BF4BDA" w14:textId="77777777" w:rsidTr="0061403E">
        <w:trPr>
          <w:trHeight w:val="20"/>
        </w:trPr>
        <w:tc>
          <w:tcPr>
            <w:cnfStyle w:val="001000000000" w:firstRow="0" w:lastRow="0" w:firstColumn="1" w:lastColumn="0" w:oddVBand="0" w:evenVBand="0" w:oddHBand="0" w:evenHBand="0" w:firstRowFirstColumn="0" w:firstRowLastColumn="0" w:lastRowFirstColumn="0" w:lastRowLastColumn="0"/>
            <w:tcW w:w="2573" w:type="dxa"/>
            <w:tcBorders>
              <w:top w:val="single" w:sz="12" w:space="0" w:color="008000"/>
              <w:bottom w:val="nil"/>
            </w:tcBorders>
            <w:vAlign w:val="center"/>
          </w:tcPr>
          <w:p w14:paraId="3F1BF189" w14:textId="3361AE8C"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Concentrated biodetergent</w:t>
            </w:r>
          </w:p>
        </w:tc>
        <w:tc>
          <w:tcPr>
            <w:tcW w:w="1680" w:type="dxa"/>
            <w:tcBorders>
              <w:top w:val="single" w:sz="12" w:space="0" w:color="008000"/>
              <w:bottom w:val="nil"/>
            </w:tcBorders>
            <w:vAlign w:val="center"/>
          </w:tcPr>
          <w:p w14:paraId="65E6DB18" w14:textId="56A32E8A"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82% ± 0</w:t>
            </w:r>
            <w:r w:rsidR="00961FC8">
              <w:rPr>
                <w:color w:val="000000" w:themeColor="text1"/>
                <w:sz w:val="17"/>
                <w:szCs w:val="17"/>
              </w:rPr>
              <w:t>.</w:t>
            </w:r>
            <w:r w:rsidRPr="0090304D">
              <w:rPr>
                <w:color w:val="000000" w:themeColor="text1"/>
                <w:sz w:val="17"/>
                <w:szCs w:val="17"/>
              </w:rPr>
              <w:t>2</w:t>
            </w:r>
          </w:p>
        </w:tc>
        <w:tc>
          <w:tcPr>
            <w:tcW w:w="1843" w:type="dxa"/>
            <w:tcBorders>
              <w:top w:val="single" w:sz="12" w:space="0" w:color="008000"/>
              <w:bottom w:val="nil"/>
            </w:tcBorders>
            <w:vAlign w:val="center"/>
          </w:tcPr>
          <w:p w14:paraId="3B37573F" w14:textId="7F7019C4"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80% ± 0</w:t>
            </w:r>
            <w:r w:rsidR="00961FC8">
              <w:rPr>
                <w:color w:val="000000" w:themeColor="text1"/>
                <w:sz w:val="17"/>
                <w:szCs w:val="17"/>
              </w:rPr>
              <w:t>.</w:t>
            </w:r>
            <w:r w:rsidRPr="0090304D">
              <w:rPr>
                <w:color w:val="000000" w:themeColor="text1"/>
                <w:sz w:val="17"/>
                <w:szCs w:val="17"/>
              </w:rPr>
              <w:t>1</w:t>
            </w:r>
          </w:p>
        </w:tc>
        <w:tc>
          <w:tcPr>
            <w:tcW w:w="1377" w:type="dxa"/>
            <w:gridSpan w:val="2"/>
            <w:tcBorders>
              <w:top w:val="single" w:sz="12" w:space="0" w:color="008000"/>
              <w:bottom w:val="nil"/>
            </w:tcBorders>
            <w:vAlign w:val="center"/>
          </w:tcPr>
          <w:p w14:paraId="039885FF" w14:textId="4475CAB5"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20% ± 0</w:t>
            </w:r>
            <w:r w:rsidR="00961FC8">
              <w:rPr>
                <w:color w:val="000000" w:themeColor="text1"/>
                <w:sz w:val="17"/>
                <w:szCs w:val="17"/>
              </w:rPr>
              <w:t>.</w:t>
            </w:r>
            <w:r w:rsidRPr="0090304D">
              <w:rPr>
                <w:color w:val="000000" w:themeColor="text1"/>
                <w:sz w:val="17"/>
                <w:szCs w:val="17"/>
              </w:rPr>
              <w:t>1</w:t>
            </w:r>
          </w:p>
        </w:tc>
        <w:tc>
          <w:tcPr>
            <w:tcW w:w="1395" w:type="dxa"/>
            <w:tcBorders>
              <w:top w:val="single" w:sz="12" w:space="0" w:color="008000"/>
              <w:bottom w:val="nil"/>
            </w:tcBorders>
            <w:vAlign w:val="center"/>
          </w:tcPr>
          <w:p w14:paraId="33D5F25B" w14:textId="2FD78519"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20% ± 0</w:t>
            </w:r>
            <w:r w:rsidR="00961FC8">
              <w:rPr>
                <w:color w:val="000000" w:themeColor="text1"/>
                <w:sz w:val="17"/>
                <w:szCs w:val="17"/>
              </w:rPr>
              <w:t>.</w:t>
            </w:r>
            <w:r w:rsidRPr="0090304D">
              <w:rPr>
                <w:color w:val="000000" w:themeColor="text1"/>
                <w:sz w:val="17"/>
                <w:szCs w:val="17"/>
              </w:rPr>
              <w:t>1</w:t>
            </w:r>
          </w:p>
        </w:tc>
      </w:tr>
      <w:tr w:rsidR="009D22A4" w:rsidRPr="0090304D" w14:paraId="290FEDFC" w14:textId="77777777" w:rsidTr="0061403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573" w:type="dxa"/>
            <w:tcBorders>
              <w:top w:val="nil"/>
              <w:bottom w:val="nil"/>
            </w:tcBorders>
            <w:vAlign w:val="center"/>
          </w:tcPr>
          <w:p w14:paraId="12CDA5EB" w14:textId="43F5518B"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Biodetergent/water </w:t>
            </w:r>
            <w:r w:rsidR="009D22A4" w:rsidRPr="0090304D">
              <w:rPr>
                <w:color w:val="000000" w:themeColor="text1"/>
                <w:sz w:val="17"/>
                <w:szCs w:val="17"/>
              </w:rPr>
              <w:t>(1:1)</w:t>
            </w:r>
          </w:p>
        </w:tc>
        <w:tc>
          <w:tcPr>
            <w:tcW w:w="1680" w:type="dxa"/>
            <w:tcBorders>
              <w:top w:val="nil"/>
              <w:bottom w:val="nil"/>
            </w:tcBorders>
            <w:vAlign w:val="center"/>
          </w:tcPr>
          <w:p w14:paraId="4842D4E5" w14:textId="4367F525"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87% ± 0</w:t>
            </w:r>
            <w:r w:rsidR="00961FC8">
              <w:rPr>
                <w:color w:val="000000" w:themeColor="text1"/>
                <w:sz w:val="17"/>
                <w:szCs w:val="17"/>
              </w:rPr>
              <w:t>.</w:t>
            </w:r>
            <w:r w:rsidRPr="0090304D">
              <w:rPr>
                <w:color w:val="000000" w:themeColor="text1"/>
                <w:sz w:val="17"/>
                <w:szCs w:val="17"/>
              </w:rPr>
              <w:t>2</w:t>
            </w:r>
          </w:p>
        </w:tc>
        <w:tc>
          <w:tcPr>
            <w:tcW w:w="1843" w:type="dxa"/>
            <w:tcBorders>
              <w:top w:val="nil"/>
              <w:bottom w:val="nil"/>
            </w:tcBorders>
            <w:vAlign w:val="center"/>
          </w:tcPr>
          <w:p w14:paraId="3941A695" w14:textId="3A3C20BD"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95% ± 0</w:t>
            </w:r>
            <w:r w:rsidR="00961FC8">
              <w:rPr>
                <w:color w:val="000000" w:themeColor="text1"/>
                <w:sz w:val="17"/>
                <w:szCs w:val="17"/>
              </w:rPr>
              <w:t>.</w:t>
            </w:r>
            <w:r w:rsidRPr="0090304D">
              <w:rPr>
                <w:color w:val="000000" w:themeColor="text1"/>
                <w:sz w:val="17"/>
                <w:szCs w:val="17"/>
              </w:rPr>
              <w:t>4</w:t>
            </w:r>
          </w:p>
        </w:tc>
        <w:tc>
          <w:tcPr>
            <w:tcW w:w="1377" w:type="dxa"/>
            <w:gridSpan w:val="2"/>
            <w:tcBorders>
              <w:top w:val="nil"/>
              <w:bottom w:val="nil"/>
            </w:tcBorders>
            <w:vAlign w:val="center"/>
          </w:tcPr>
          <w:p w14:paraId="72960F3C" w14:textId="51BBA4BB"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 ± 0</w:t>
            </w:r>
            <w:r w:rsidR="00961FC8">
              <w:rPr>
                <w:color w:val="000000" w:themeColor="text1"/>
                <w:sz w:val="17"/>
                <w:szCs w:val="17"/>
              </w:rPr>
              <w:t>.</w:t>
            </w:r>
            <w:r w:rsidRPr="0090304D">
              <w:rPr>
                <w:color w:val="000000" w:themeColor="text1"/>
                <w:sz w:val="17"/>
                <w:szCs w:val="17"/>
              </w:rPr>
              <w:t>5</w:t>
            </w:r>
          </w:p>
        </w:tc>
        <w:tc>
          <w:tcPr>
            <w:tcW w:w="1395" w:type="dxa"/>
            <w:tcBorders>
              <w:top w:val="nil"/>
              <w:bottom w:val="nil"/>
            </w:tcBorders>
            <w:vAlign w:val="center"/>
          </w:tcPr>
          <w:p w14:paraId="23810E57" w14:textId="4ECE18CD"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20% ± 0</w:t>
            </w:r>
            <w:r w:rsidR="00961FC8">
              <w:rPr>
                <w:color w:val="000000" w:themeColor="text1"/>
                <w:sz w:val="17"/>
                <w:szCs w:val="17"/>
              </w:rPr>
              <w:t>.</w:t>
            </w:r>
            <w:r w:rsidRPr="0090304D">
              <w:rPr>
                <w:color w:val="000000" w:themeColor="text1"/>
                <w:sz w:val="17"/>
                <w:szCs w:val="17"/>
              </w:rPr>
              <w:t>5</w:t>
            </w:r>
          </w:p>
        </w:tc>
      </w:tr>
      <w:tr w:rsidR="009D22A4" w:rsidRPr="0090304D" w14:paraId="0A8DD49C" w14:textId="77777777" w:rsidTr="0061403E">
        <w:trPr>
          <w:trHeight w:val="20"/>
        </w:trPr>
        <w:tc>
          <w:tcPr>
            <w:cnfStyle w:val="001000000000" w:firstRow="0" w:lastRow="0" w:firstColumn="1" w:lastColumn="0" w:oddVBand="0" w:evenVBand="0" w:oddHBand="0" w:evenHBand="0" w:firstRowFirstColumn="0" w:firstRowLastColumn="0" w:lastRowFirstColumn="0" w:lastRowLastColumn="0"/>
            <w:tcW w:w="2573" w:type="dxa"/>
            <w:tcBorders>
              <w:top w:val="nil"/>
              <w:bottom w:val="nil"/>
            </w:tcBorders>
            <w:vAlign w:val="center"/>
          </w:tcPr>
          <w:p w14:paraId="6329A6E0" w14:textId="5D4FCF10"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Biodetergent/water </w:t>
            </w:r>
            <w:r w:rsidR="009D22A4" w:rsidRPr="0090304D">
              <w:rPr>
                <w:color w:val="000000" w:themeColor="text1"/>
                <w:sz w:val="17"/>
                <w:szCs w:val="17"/>
              </w:rPr>
              <w:t>(1:2)</w:t>
            </w:r>
          </w:p>
        </w:tc>
        <w:tc>
          <w:tcPr>
            <w:tcW w:w="1680" w:type="dxa"/>
            <w:tcBorders>
              <w:top w:val="nil"/>
              <w:bottom w:val="nil"/>
            </w:tcBorders>
            <w:vAlign w:val="center"/>
          </w:tcPr>
          <w:p w14:paraId="5529383C" w14:textId="21B23BF0"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98% ± 0</w:t>
            </w:r>
            <w:r w:rsidR="00961FC8">
              <w:rPr>
                <w:color w:val="000000" w:themeColor="text1"/>
                <w:sz w:val="17"/>
                <w:szCs w:val="17"/>
              </w:rPr>
              <w:t>.</w:t>
            </w:r>
            <w:r w:rsidRPr="0090304D">
              <w:rPr>
                <w:color w:val="000000" w:themeColor="text1"/>
                <w:sz w:val="17"/>
                <w:szCs w:val="17"/>
              </w:rPr>
              <w:t>1</w:t>
            </w:r>
          </w:p>
        </w:tc>
        <w:tc>
          <w:tcPr>
            <w:tcW w:w="1843" w:type="dxa"/>
            <w:tcBorders>
              <w:top w:val="nil"/>
              <w:bottom w:val="nil"/>
            </w:tcBorders>
            <w:vAlign w:val="center"/>
          </w:tcPr>
          <w:p w14:paraId="4795E524" w14:textId="7D232AFF"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97% ± 0</w:t>
            </w:r>
            <w:r w:rsidR="00961FC8">
              <w:rPr>
                <w:color w:val="000000" w:themeColor="text1"/>
                <w:sz w:val="17"/>
                <w:szCs w:val="17"/>
              </w:rPr>
              <w:t>.</w:t>
            </w:r>
            <w:r w:rsidRPr="0090304D">
              <w:rPr>
                <w:color w:val="000000" w:themeColor="text1"/>
                <w:sz w:val="17"/>
                <w:szCs w:val="17"/>
              </w:rPr>
              <w:t>2</w:t>
            </w:r>
          </w:p>
        </w:tc>
        <w:tc>
          <w:tcPr>
            <w:tcW w:w="1377" w:type="dxa"/>
            <w:gridSpan w:val="2"/>
            <w:tcBorders>
              <w:top w:val="nil"/>
              <w:bottom w:val="nil"/>
            </w:tcBorders>
            <w:vAlign w:val="center"/>
          </w:tcPr>
          <w:p w14:paraId="5EBDE7F0" w14:textId="1A34C83A"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4</w:t>
            </w:r>
          </w:p>
        </w:tc>
        <w:tc>
          <w:tcPr>
            <w:tcW w:w="1395" w:type="dxa"/>
            <w:tcBorders>
              <w:top w:val="nil"/>
              <w:bottom w:val="nil"/>
            </w:tcBorders>
            <w:vAlign w:val="center"/>
          </w:tcPr>
          <w:p w14:paraId="2F773089" w14:textId="64D08650"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4</w:t>
            </w:r>
          </w:p>
        </w:tc>
      </w:tr>
      <w:tr w:rsidR="009D22A4" w:rsidRPr="0090304D" w14:paraId="7C99A749" w14:textId="77777777" w:rsidTr="0061403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73" w:type="dxa"/>
            <w:tcBorders>
              <w:top w:val="nil"/>
              <w:bottom w:val="single" w:sz="12" w:space="0" w:color="008000"/>
            </w:tcBorders>
            <w:vAlign w:val="center"/>
          </w:tcPr>
          <w:p w14:paraId="7E221A2B" w14:textId="27F2CEAE"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Biodetergent/water </w:t>
            </w:r>
            <w:r w:rsidR="009D22A4" w:rsidRPr="0090304D">
              <w:rPr>
                <w:color w:val="000000" w:themeColor="text1"/>
                <w:sz w:val="17"/>
                <w:szCs w:val="17"/>
              </w:rPr>
              <w:t>(1:3)</w:t>
            </w:r>
          </w:p>
        </w:tc>
        <w:tc>
          <w:tcPr>
            <w:tcW w:w="1680" w:type="dxa"/>
            <w:tcBorders>
              <w:top w:val="nil"/>
              <w:bottom w:val="single" w:sz="12" w:space="0" w:color="008000"/>
            </w:tcBorders>
            <w:vAlign w:val="center"/>
          </w:tcPr>
          <w:p w14:paraId="6E34BBD5" w14:textId="44B79E9E"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5</w:t>
            </w:r>
          </w:p>
        </w:tc>
        <w:tc>
          <w:tcPr>
            <w:tcW w:w="1843" w:type="dxa"/>
            <w:tcBorders>
              <w:top w:val="nil"/>
              <w:bottom w:val="single" w:sz="12" w:space="0" w:color="008000"/>
            </w:tcBorders>
            <w:vAlign w:val="center"/>
          </w:tcPr>
          <w:p w14:paraId="1AE15086" w14:textId="0AB71401"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98% ± 0</w:t>
            </w:r>
            <w:r w:rsidR="00961FC8">
              <w:rPr>
                <w:color w:val="000000" w:themeColor="text1"/>
                <w:sz w:val="17"/>
                <w:szCs w:val="17"/>
              </w:rPr>
              <w:t>.</w:t>
            </w:r>
            <w:r w:rsidRPr="0090304D">
              <w:rPr>
                <w:color w:val="000000" w:themeColor="text1"/>
                <w:sz w:val="17"/>
                <w:szCs w:val="17"/>
              </w:rPr>
              <w:t>3</w:t>
            </w:r>
          </w:p>
        </w:tc>
        <w:tc>
          <w:tcPr>
            <w:tcW w:w="1377" w:type="dxa"/>
            <w:gridSpan w:val="2"/>
            <w:tcBorders>
              <w:top w:val="nil"/>
              <w:bottom w:val="single" w:sz="12" w:space="0" w:color="008000"/>
            </w:tcBorders>
            <w:vAlign w:val="center"/>
          </w:tcPr>
          <w:p w14:paraId="77EAF975" w14:textId="61D268CA"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1</w:t>
            </w:r>
          </w:p>
        </w:tc>
        <w:tc>
          <w:tcPr>
            <w:tcW w:w="1395" w:type="dxa"/>
            <w:tcBorders>
              <w:top w:val="nil"/>
              <w:bottom w:val="single" w:sz="12" w:space="0" w:color="008000"/>
            </w:tcBorders>
            <w:vAlign w:val="center"/>
          </w:tcPr>
          <w:p w14:paraId="64466B92" w14:textId="3BF5F1AC"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1</w:t>
            </w:r>
          </w:p>
        </w:tc>
      </w:tr>
      <w:tr w:rsidR="009D22A4" w:rsidRPr="0090304D" w14:paraId="26240B14" w14:textId="77777777" w:rsidTr="0061403E">
        <w:trPr>
          <w:trHeight w:val="20"/>
        </w:trPr>
        <w:tc>
          <w:tcPr>
            <w:cnfStyle w:val="001000000000" w:firstRow="0" w:lastRow="0" w:firstColumn="1" w:lastColumn="0" w:oddVBand="0" w:evenVBand="0" w:oddHBand="0" w:evenHBand="0" w:firstRowFirstColumn="0" w:firstRowLastColumn="0" w:lastRowFirstColumn="0" w:lastRowLastColumn="0"/>
            <w:tcW w:w="2573" w:type="dxa"/>
            <w:tcBorders>
              <w:top w:val="single" w:sz="12" w:space="0" w:color="008000"/>
              <w:bottom w:val="nil"/>
            </w:tcBorders>
            <w:vAlign w:val="center"/>
          </w:tcPr>
          <w:p w14:paraId="2DB3A743" w14:textId="3FF80324"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Concentrated</w:t>
            </w:r>
            <w:r>
              <w:rPr>
                <w:color w:val="000000" w:themeColor="text1"/>
                <w:sz w:val="17"/>
                <w:szCs w:val="17"/>
              </w:rPr>
              <w:t xml:space="preserve"> degreaser</w:t>
            </w:r>
          </w:p>
        </w:tc>
        <w:tc>
          <w:tcPr>
            <w:tcW w:w="1680" w:type="dxa"/>
            <w:tcBorders>
              <w:top w:val="single" w:sz="12" w:space="0" w:color="008000"/>
              <w:bottom w:val="nil"/>
            </w:tcBorders>
            <w:vAlign w:val="center"/>
          </w:tcPr>
          <w:p w14:paraId="7436F928" w14:textId="4BFEEEC2"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2</w:t>
            </w:r>
          </w:p>
        </w:tc>
        <w:tc>
          <w:tcPr>
            <w:tcW w:w="1843" w:type="dxa"/>
            <w:tcBorders>
              <w:top w:val="single" w:sz="12" w:space="0" w:color="008000"/>
              <w:bottom w:val="nil"/>
            </w:tcBorders>
            <w:vAlign w:val="center"/>
          </w:tcPr>
          <w:p w14:paraId="5F4BBED6" w14:textId="547CCAB4"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0</w:t>
            </w:r>
          </w:p>
        </w:tc>
        <w:tc>
          <w:tcPr>
            <w:tcW w:w="1377" w:type="dxa"/>
            <w:gridSpan w:val="2"/>
            <w:tcBorders>
              <w:top w:val="single" w:sz="12" w:space="0" w:color="008000"/>
              <w:bottom w:val="nil"/>
            </w:tcBorders>
            <w:vAlign w:val="center"/>
          </w:tcPr>
          <w:p w14:paraId="252BB1C5" w14:textId="1E8039EE"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2</w:t>
            </w:r>
          </w:p>
        </w:tc>
        <w:tc>
          <w:tcPr>
            <w:tcW w:w="1395" w:type="dxa"/>
            <w:tcBorders>
              <w:top w:val="single" w:sz="12" w:space="0" w:color="008000"/>
              <w:bottom w:val="nil"/>
            </w:tcBorders>
            <w:vAlign w:val="center"/>
          </w:tcPr>
          <w:p w14:paraId="3E999CE0" w14:textId="272B3A62"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r>
      <w:tr w:rsidR="009D22A4" w:rsidRPr="0090304D" w14:paraId="0EA3B267" w14:textId="77777777" w:rsidTr="0061403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3" w:type="dxa"/>
            <w:tcBorders>
              <w:top w:val="nil"/>
              <w:bottom w:val="nil"/>
            </w:tcBorders>
            <w:vAlign w:val="center"/>
          </w:tcPr>
          <w:p w14:paraId="4FC9BF9A" w14:textId="48FC3762"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Commercial degreaser </w:t>
            </w:r>
            <w:r>
              <w:rPr>
                <w:color w:val="000000" w:themeColor="text1"/>
                <w:sz w:val="17"/>
                <w:szCs w:val="17"/>
              </w:rPr>
              <w:t>(</w:t>
            </w:r>
            <w:r w:rsidR="009D22A4" w:rsidRPr="0090304D">
              <w:rPr>
                <w:color w:val="000000" w:themeColor="text1"/>
                <w:sz w:val="17"/>
                <w:szCs w:val="17"/>
              </w:rPr>
              <w:t>1:1</w:t>
            </w:r>
            <w:r>
              <w:rPr>
                <w:color w:val="000000" w:themeColor="text1"/>
                <w:sz w:val="17"/>
                <w:szCs w:val="17"/>
              </w:rPr>
              <w:t>)</w:t>
            </w:r>
          </w:p>
        </w:tc>
        <w:tc>
          <w:tcPr>
            <w:tcW w:w="1680" w:type="dxa"/>
            <w:tcBorders>
              <w:top w:val="nil"/>
              <w:bottom w:val="nil"/>
            </w:tcBorders>
            <w:vAlign w:val="center"/>
          </w:tcPr>
          <w:p w14:paraId="670EE6D3" w14:textId="273A3814"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0</w:t>
            </w:r>
          </w:p>
        </w:tc>
        <w:tc>
          <w:tcPr>
            <w:tcW w:w="1843" w:type="dxa"/>
            <w:tcBorders>
              <w:top w:val="nil"/>
              <w:bottom w:val="nil"/>
            </w:tcBorders>
            <w:vAlign w:val="center"/>
          </w:tcPr>
          <w:p w14:paraId="1B7D8015" w14:textId="0E2FD34A"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0</w:t>
            </w:r>
          </w:p>
        </w:tc>
        <w:tc>
          <w:tcPr>
            <w:tcW w:w="1377" w:type="dxa"/>
            <w:gridSpan w:val="2"/>
            <w:tcBorders>
              <w:top w:val="nil"/>
              <w:bottom w:val="nil"/>
            </w:tcBorders>
            <w:vAlign w:val="center"/>
          </w:tcPr>
          <w:p w14:paraId="08A4A061" w14:textId="5203DCCD"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c>
          <w:tcPr>
            <w:tcW w:w="1395" w:type="dxa"/>
            <w:tcBorders>
              <w:top w:val="nil"/>
              <w:bottom w:val="nil"/>
            </w:tcBorders>
            <w:vAlign w:val="center"/>
          </w:tcPr>
          <w:p w14:paraId="320BED84" w14:textId="769C84BE"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1</w:t>
            </w:r>
          </w:p>
        </w:tc>
      </w:tr>
      <w:tr w:rsidR="009D22A4" w:rsidRPr="0090304D" w14:paraId="2A76F89D" w14:textId="77777777" w:rsidTr="0061403E">
        <w:trPr>
          <w:trHeight w:val="20"/>
        </w:trPr>
        <w:tc>
          <w:tcPr>
            <w:cnfStyle w:val="001000000000" w:firstRow="0" w:lastRow="0" w:firstColumn="1" w:lastColumn="0" w:oddVBand="0" w:evenVBand="0" w:oddHBand="0" w:evenHBand="0" w:firstRowFirstColumn="0" w:firstRowLastColumn="0" w:lastRowFirstColumn="0" w:lastRowLastColumn="0"/>
            <w:tcW w:w="2573" w:type="dxa"/>
            <w:tcBorders>
              <w:top w:val="nil"/>
              <w:bottom w:val="nil"/>
            </w:tcBorders>
            <w:vAlign w:val="center"/>
          </w:tcPr>
          <w:p w14:paraId="38FFDDE7" w14:textId="451F6AF8"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Commercial degreaser </w:t>
            </w:r>
            <w:r>
              <w:rPr>
                <w:color w:val="000000" w:themeColor="text1"/>
                <w:sz w:val="17"/>
                <w:szCs w:val="17"/>
              </w:rPr>
              <w:t>(</w:t>
            </w:r>
            <w:r w:rsidR="009D22A4" w:rsidRPr="0090304D">
              <w:rPr>
                <w:color w:val="000000" w:themeColor="text1"/>
                <w:sz w:val="17"/>
                <w:szCs w:val="17"/>
              </w:rPr>
              <w:t>1:2</w:t>
            </w:r>
            <w:r>
              <w:rPr>
                <w:color w:val="000000" w:themeColor="text1"/>
                <w:sz w:val="17"/>
                <w:szCs w:val="17"/>
              </w:rPr>
              <w:t>)</w:t>
            </w:r>
          </w:p>
        </w:tc>
        <w:tc>
          <w:tcPr>
            <w:tcW w:w="1680" w:type="dxa"/>
            <w:tcBorders>
              <w:top w:val="nil"/>
              <w:bottom w:val="nil"/>
            </w:tcBorders>
            <w:vAlign w:val="center"/>
          </w:tcPr>
          <w:p w14:paraId="113C62DC" w14:textId="59533346"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2</w:t>
            </w:r>
          </w:p>
        </w:tc>
        <w:tc>
          <w:tcPr>
            <w:tcW w:w="1843" w:type="dxa"/>
            <w:tcBorders>
              <w:top w:val="nil"/>
              <w:bottom w:val="nil"/>
            </w:tcBorders>
            <w:vAlign w:val="center"/>
          </w:tcPr>
          <w:p w14:paraId="7C59B16A" w14:textId="5D981F5B"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1</w:t>
            </w:r>
          </w:p>
        </w:tc>
        <w:tc>
          <w:tcPr>
            <w:tcW w:w="1377" w:type="dxa"/>
            <w:gridSpan w:val="2"/>
            <w:tcBorders>
              <w:top w:val="nil"/>
              <w:bottom w:val="nil"/>
            </w:tcBorders>
            <w:vAlign w:val="center"/>
          </w:tcPr>
          <w:p w14:paraId="25A77DBF" w14:textId="548B0F0B"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c>
          <w:tcPr>
            <w:tcW w:w="1395" w:type="dxa"/>
            <w:tcBorders>
              <w:top w:val="nil"/>
              <w:bottom w:val="nil"/>
            </w:tcBorders>
            <w:vAlign w:val="center"/>
          </w:tcPr>
          <w:p w14:paraId="1B0F0672" w14:textId="4BA219BF" w:rsidR="009D22A4" w:rsidRPr="0090304D" w:rsidRDefault="009D22A4" w:rsidP="00D42638">
            <w:pPr>
              <w:tabs>
                <w:tab w:val="right" w:pos="709"/>
              </w:tabs>
              <w:spacing w:before="20" w:line="312"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r>
      <w:tr w:rsidR="009D22A4" w:rsidRPr="0090304D" w14:paraId="5366D0DD" w14:textId="77777777" w:rsidTr="0061403E">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573" w:type="dxa"/>
            <w:tcBorders>
              <w:top w:val="nil"/>
              <w:bottom w:val="single" w:sz="18" w:space="0" w:color="008000"/>
            </w:tcBorders>
            <w:vAlign w:val="center"/>
          </w:tcPr>
          <w:p w14:paraId="312C7787" w14:textId="283D8261" w:rsidR="009D22A4" w:rsidRPr="0090304D" w:rsidRDefault="00CF69EA" w:rsidP="00D42638">
            <w:pPr>
              <w:tabs>
                <w:tab w:val="right" w:pos="709"/>
              </w:tabs>
              <w:spacing w:before="20" w:line="312" w:lineRule="auto"/>
              <w:jc w:val="center"/>
              <w:rPr>
                <w:color w:val="000000" w:themeColor="text1"/>
                <w:sz w:val="17"/>
                <w:szCs w:val="17"/>
              </w:rPr>
            </w:pPr>
            <w:r w:rsidRPr="00CF69EA">
              <w:rPr>
                <w:color w:val="000000" w:themeColor="text1"/>
                <w:sz w:val="17"/>
                <w:szCs w:val="17"/>
              </w:rPr>
              <w:t xml:space="preserve">Commercial degreaser </w:t>
            </w:r>
            <w:r>
              <w:rPr>
                <w:color w:val="000000" w:themeColor="text1"/>
                <w:sz w:val="17"/>
                <w:szCs w:val="17"/>
              </w:rPr>
              <w:t>(</w:t>
            </w:r>
            <w:r w:rsidR="009D22A4" w:rsidRPr="0090304D">
              <w:rPr>
                <w:color w:val="000000" w:themeColor="text1"/>
                <w:sz w:val="17"/>
                <w:szCs w:val="17"/>
              </w:rPr>
              <w:t>1:3</w:t>
            </w:r>
            <w:r>
              <w:rPr>
                <w:color w:val="000000" w:themeColor="text1"/>
                <w:sz w:val="17"/>
                <w:szCs w:val="17"/>
              </w:rPr>
              <w:t>)</w:t>
            </w:r>
          </w:p>
        </w:tc>
        <w:tc>
          <w:tcPr>
            <w:tcW w:w="1680" w:type="dxa"/>
            <w:tcBorders>
              <w:top w:val="nil"/>
              <w:bottom w:val="single" w:sz="18" w:space="0" w:color="008000"/>
            </w:tcBorders>
            <w:vAlign w:val="center"/>
          </w:tcPr>
          <w:p w14:paraId="152962B8" w14:textId="072ABB16"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0</w:t>
            </w:r>
          </w:p>
        </w:tc>
        <w:tc>
          <w:tcPr>
            <w:tcW w:w="1843" w:type="dxa"/>
            <w:tcBorders>
              <w:top w:val="nil"/>
              <w:bottom w:val="single" w:sz="18" w:space="0" w:color="008000"/>
            </w:tcBorders>
            <w:vAlign w:val="center"/>
          </w:tcPr>
          <w:p w14:paraId="3EF5F8EE" w14:textId="4F670245"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0% ± 0</w:t>
            </w:r>
            <w:r w:rsidR="00961FC8">
              <w:rPr>
                <w:color w:val="000000" w:themeColor="text1"/>
                <w:sz w:val="17"/>
                <w:szCs w:val="17"/>
              </w:rPr>
              <w:t>.</w:t>
            </w:r>
            <w:r w:rsidRPr="0090304D">
              <w:rPr>
                <w:color w:val="000000" w:themeColor="text1"/>
                <w:sz w:val="17"/>
                <w:szCs w:val="17"/>
              </w:rPr>
              <w:t>0</w:t>
            </w:r>
          </w:p>
        </w:tc>
        <w:tc>
          <w:tcPr>
            <w:tcW w:w="1377" w:type="dxa"/>
            <w:gridSpan w:val="2"/>
            <w:tcBorders>
              <w:top w:val="nil"/>
              <w:bottom w:val="single" w:sz="18" w:space="0" w:color="008000"/>
            </w:tcBorders>
            <w:vAlign w:val="center"/>
          </w:tcPr>
          <w:p w14:paraId="404E3336" w14:textId="5413BBD3"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c>
          <w:tcPr>
            <w:tcW w:w="1395" w:type="dxa"/>
            <w:tcBorders>
              <w:top w:val="nil"/>
              <w:bottom w:val="single" w:sz="18" w:space="0" w:color="008000"/>
            </w:tcBorders>
            <w:vAlign w:val="center"/>
          </w:tcPr>
          <w:p w14:paraId="53A3F124" w14:textId="5971FABD" w:rsidR="009D22A4" w:rsidRPr="0090304D" w:rsidRDefault="009D22A4" w:rsidP="00D42638">
            <w:pPr>
              <w:tabs>
                <w:tab w:val="right" w:pos="709"/>
              </w:tabs>
              <w:spacing w:before="20" w:line="312"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7"/>
                <w:szCs w:val="17"/>
              </w:rPr>
            </w:pPr>
            <w:r w:rsidRPr="0090304D">
              <w:rPr>
                <w:color w:val="000000" w:themeColor="text1"/>
                <w:sz w:val="17"/>
                <w:szCs w:val="17"/>
              </w:rPr>
              <w:t>100% ± 0</w:t>
            </w:r>
            <w:r w:rsidR="00961FC8">
              <w:rPr>
                <w:color w:val="000000" w:themeColor="text1"/>
                <w:sz w:val="17"/>
                <w:szCs w:val="17"/>
              </w:rPr>
              <w:t>.</w:t>
            </w:r>
            <w:r w:rsidRPr="0090304D">
              <w:rPr>
                <w:color w:val="000000" w:themeColor="text1"/>
                <w:sz w:val="17"/>
                <w:szCs w:val="17"/>
              </w:rPr>
              <w:t>0</w:t>
            </w:r>
          </w:p>
        </w:tc>
      </w:tr>
    </w:tbl>
    <w:p w14:paraId="2A677F82" w14:textId="77777777" w:rsidR="009D22A4" w:rsidRPr="0090304D" w:rsidRDefault="009D22A4" w:rsidP="0090304D">
      <w:pPr>
        <w:tabs>
          <w:tab w:val="right" w:pos="709"/>
        </w:tabs>
        <w:spacing w:line="20" w:lineRule="atLeast"/>
        <w:rPr>
          <w:color w:val="FF0000"/>
          <w:sz w:val="17"/>
          <w:szCs w:val="17"/>
        </w:rPr>
      </w:pPr>
    </w:p>
    <w:p w14:paraId="7B6B5A96" w14:textId="77777777" w:rsidR="00F53BEE" w:rsidRDefault="00F53BEE" w:rsidP="00F53BEE">
      <w:pPr>
        <w:ind w:left="-142" w:right="-284"/>
      </w:pPr>
      <w:r>
        <w:t>Therefore, unlike the commercial degreaser, the biodetergent proved to be innocuous as expected for a biodegradable detergent, enabling a safer application in the industrial environment without prejudice to human health and ecosystems.</w:t>
      </w:r>
    </w:p>
    <w:p w14:paraId="43A3DCE8" w14:textId="4E49CA20" w:rsidR="009D22A4" w:rsidRDefault="00F53BEE" w:rsidP="00F53BEE">
      <w:pPr>
        <w:spacing w:after="120"/>
        <w:ind w:left="-142" w:right="-285"/>
      </w:pPr>
      <w:r>
        <w:t xml:space="preserve">According to the literature, work related to the present study indicates the efficiency of removing heavy oil by adding of a biodetergent, with 100% removal of OCB1 oil impregnated on glass and metal surfaces, in addition to its absence of toxicity (Farias et al., 2021a; Farias et al., 2021b and Soares da Silva et al., 2023). </w:t>
      </w:r>
      <w:r w:rsidR="001A24F0" w:rsidRPr="00F8596B">
        <w:rPr>
          <w:szCs w:val="18"/>
        </w:rPr>
        <w:t xml:space="preserve">Almeida et al. (2020), evaluated the ability of a surfactant to remove oil in steel parts. The results showed that the surfactant of vegetable origin promoted an efficient oil removal between 82.6 ± 0.5 to 78.4 ± 0.6%, and can be considered with potential for commercialization and replacement of chemical surfactants. </w:t>
      </w:r>
      <w:r>
        <w:t>A formulation developed in a manner similar to biodetergent, from biodegradable components, also presented excellent results in removing heavy oil and absence of toxicity, demonstrating the potential to be a commercially viable product (Rocha e Silva et al., 2020).</w:t>
      </w:r>
    </w:p>
    <w:p w14:paraId="418E4479" w14:textId="1AF518A6" w:rsidR="00CE1F72" w:rsidRPr="009060F5" w:rsidRDefault="00E13C57" w:rsidP="00F75C13">
      <w:pPr>
        <w:pStyle w:val="CETHeading1"/>
        <w:ind w:left="-142"/>
      </w:pPr>
      <w:bookmarkStart w:id="2" w:name="_Hlk59187045"/>
      <w:r w:rsidRPr="009060F5">
        <w:t>Conclusion</w:t>
      </w:r>
    </w:p>
    <w:p w14:paraId="5A08D1E9" w14:textId="4C56444C" w:rsidR="002D3926" w:rsidRDefault="00D00CED" w:rsidP="00D00CED">
      <w:pPr>
        <w:pStyle w:val="CETBodytext"/>
        <w:ind w:left="-142" w:right="-285"/>
        <w:rPr>
          <w:rFonts w:cs="Arial"/>
          <w:szCs w:val="18"/>
        </w:rPr>
      </w:pPr>
      <w:r w:rsidRPr="00D00CED">
        <w:rPr>
          <w:rFonts w:cs="Arial"/>
          <w:szCs w:val="18"/>
        </w:rPr>
        <w:t>The conclusions reached in this comparative study are important, as they directly influence the availability of a biodegradable and non-toxic product in the industrial environment. Both products demonstrate efficient removal of heavy oil. For the market, the commercial degreaser presents an ecological appeal and high efficiency in the removal of heavy oils and greases in industrial plants, although, its proven toxicity tests indicate contradictory results. The biodetergent, truly formulated with natural and non-toxic inputs, showed more reliable, in addition to offering excellent commercial conditions, guaranteeing a safer environment for the use of a product harmless to human health and the environment.</w:t>
      </w:r>
    </w:p>
    <w:p w14:paraId="1AC8195B" w14:textId="77777777" w:rsidR="00D00CED" w:rsidRDefault="00D00CED" w:rsidP="00D00CED">
      <w:pPr>
        <w:pStyle w:val="CETBodytext"/>
        <w:ind w:left="-142" w:right="-285"/>
        <w:rPr>
          <w:rFonts w:cs="Arial"/>
          <w:sz w:val="20"/>
        </w:rPr>
      </w:pPr>
    </w:p>
    <w:p w14:paraId="495430C7" w14:textId="63163469" w:rsidR="00CE1F72" w:rsidRPr="009060F5" w:rsidRDefault="00E13C57" w:rsidP="003B31E8">
      <w:pPr>
        <w:pStyle w:val="CETBodytext"/>
        <w:spacing w:after="120"/>
        <w:ind w:left="-142" w:right="-284"/>
        <w:rPr>
          <w:rFonts w:cs="Arial"/>
          <w:b/>
          <w:bCs/>
          <w:sz w:val="20"/>
        </w:rPr>
      </w:pPr>
      <w:r w:rsidRPr="009060F5">
        <w:rPr>
          <w:rFonts w:cs="Arial"/>
          <w:b/>
          <w:bCs/>
          <w:sz w:val="20"/>
        </w:rPr>
        <w:t xml:space="preserve">Acknowledgments </w:t>
      </w:r>
    </w:p>
    <w:p w14:paraId="5A68D5BA" w14:textId="29904E44" w:rsidR="00E13C57" w:rsidRPr="004D544D" w:rsidRDefault="00E13C57" w:rsidP="00D21930">
      <w:pPr>
        <w:pStyle w:val="CETBodytext"/>
        <w:spacing w:line="276" w:lineRule="auto"/>
        <w:ind w:left="-142" w:right="-285"/>
        <w:rPr>
          <w:rFonts w:cs="Arial"/>
          <w:szCs w:val="18"/>
        </w:rPr>
      </w:pPr>
      <w:r w:rsidRPr="004D544D">
        <w:rPr>
          <w:rFonts w:cs="Arial"/>
          <w:szCs w:val="18"/>
        </w:rPr>
        <w:t>This study was funded by the Research and Development Program from National Agency of Electrical Energy (ANEEL) and Thermoelectric EPASA (Centrais Elétricas da Paraíba)</w:t>
      </w:r>
      <w:r w:rsidR="00A06115">
        <w:rPr>
          <w:rFonts w:cs="Arial"/>
          <w:szCs w:val="18"/>
        </w:rPr>
        <w:t xml:space="preserve">, </w:t>
      </w:r>
      <w:r w:rsidR="00A06115" w:rsidRPr="00A06115">
        <w:rPr>
          <w:rFonts w:cs="Arial"/>
          <w:szCs w:val="18"/>
        </w:rPr>
        <w:t>EPESA (Centrais</w:t>
      </w:r>
      <w:r w:rsidR="00A06115">
        <w:rPr>
          <w:rFonts w:cs="Arial"/>
          <w:szCs w:val="18"/>
        </w:rPr>
        <w:t xml:space="preserve"> </w:t>
      </w:r>
      <w:r w:rsidR="00A06115" w:rsidRPr="00A06115">
        <w:rPr>
          <w:rFonts w:cs="Arial"/>
          <w:szCs w:val="18"/>
        </w:rPr>
        <w:t>Elétricas de Pernambuco S.A.)</w:t>
      </w:r>
      <w:r w:rsidR="00F53BEE">
        <w:rPr>
          <w:rFonts w:cs="Arial"/>
          <w:szCs w:val="18"/>
        </w:rPr>
        <w:t>,</w:t>
      </w:r>
      <w:r w:rsidR="00F53BEE" w:rsidRPr="00F53BEE">
        <w:t xml:space="preserve"> </w:t>
      </w:r>
      <w:proofErr w:type="spellStart"/>
      <w:r w:rsidR="00F53BEE" w:rsidRPr="00F53BEE">
        <w:rPr>
          <w:rFonts w:cs="Arial"/>
          <w:szCs w:val="18"/>
        </w:rPr>
        <w:t>Energética</w:t>
      </w:r>
      <w:proofErr w:type="spellEnd"/>
      <w:r w:rsidR="00F53BEE" w:rsidRPr="00F53BEE">
        <w:rPr>
          <w:rFonts w:cs="Arial"/>
          <w:szCs w:val="18"/>
        </w:rPr>
        <w:t xml:space="preserve"> </w:t>
      </w:r>
      <w:r w:rsidR="009F0AD8" w:rsidRPr="00F53BEE">
        <w:rPr>
          <w:rFonts w:cs="Arial"/>
          <w:szCs w:val="18"/>
        </w:rPr>
        <w:t>SUAPE</w:t>
      </w:r>
      <w:r w:rsidR="00F53BEE" w:rsidRPr="00F53BEE">
        <w:rPr>
          <w:rFonts w:cs="Arial"/>
          <w:szCs w:val="18"/>
        </w:rPr>
        <w:t xml:space="preserve"> II S.A. </w:t>
      </w:r>
      <w:r w:rsidRPr="004D544D">
        <w:rPr>
          <w:rFonts w:cs="Arial"/>
          <w:szCs w:val="18"/>
        </w:rPr>
        <w:t>and Termocabo S.A.</w:t>
      </w:r>
      <w:r w:rsidR="000B1555">
        <w:rPr>
          <w:rFonts w:cs="Arial"/>
          <w:szCs w:val="18"/>
        </w:rPr>
        <w:t xml:space="preserve"> </w:t>
      </w:r>
      <w:r w:rsidRPr="004D544D">
        <w:rPr>
          <w:rFonts w:cs="Arial"/>
          <w:szCs w:val="18"/>
        </w:rPr>
        <w:t xml:space="preserve">This work was also supported by the </w:t>
      </w:r>
      <w:r w:rsidR="005C3026" w:rsidRPr="004D544D">
        <w:rPr>
          <w:rFonts w:cs="Arial"/>
          <w:szCs w:val="18"/>
        </w:rPr>
        <w:t>National Council for Scientific and Technological Development (CNPq)</w:t>
      </w:r>
      <w:r w:rsidR="005C3026">
        <w:rPr>
          <w:rFonts w:cs="Arial"/>
          <w:szCs w:val="18"/>
        </w:rPr>
        <w:t xml:space="preserve">, </w:t>
      </w:r>
      <w:r w:rsidR="005C3026" w:rsidRPr="004D544D">
        <w:rPr>
          <w:rFonts w:cs="Arial"/>
          <w:szCs w:val="18"/>
        </w:rPr>
        <w:t>the</w:t>
      </w:r>
      <w:r w:rsidR="005C3026">
        <w:rPr>
          <w:rFonts w:cs="Arial"/>
          <w:szCs w:val="18"/>
        </w:rPr>
        <w:t xml:space="preserve"> </w:t>
      </w:r>
      <w:r w:rsidRPr="004D544D">
        <w:rPr>
          <w:rFonts w:cs="Arial"/>
          <w:szCs w:val="18"/>
        </w:rPr>
        <w:t>Foundation for the Support of Science and Technology of the State of Pernambuco (FACEPE)</w:t>
      </w:r>
      <w:r w:rsidR="005C3026">
        <w:rPr>
          <w:rFonts w:cs="Arial"/>
          <w:szCs w:val="18"/>
        </w:rPr>
        <w:t xml:space="preserve"> </w:t>
      </w:r>
      <w:r w:rsidRPr="004D544D">
        <w:rPr>
          <w:rFonts w:cs="Arial"/>
          <w:szCs w:val="18"/>
        </w:rPr>
        <w:t xml:space="preserve">and the Coordination for the Improvement of </w:t>
      </w:r>
      <w:r w:rsidR="0081361D" w:rsidRPr="004D544D">
        <w:rPr>
          <w:rFonts w:cs="Arial"/>
          <w:szCs w:val="18"/>
        </w:rPr>
        <w:t>Higher-Level</w:t>
      </w:r>
      <w:r w:rsidRPr="004D544D">
        <w:rPr>
          <w:rFonts w:cs="Arial"/>
          <w:szCs w:val="18"/>
        </w:rPr>
        <w:t xml:space="preserve"> Education Personnel (CAPES). The authors are grateful to the Centre of Sciences and Technology of the Catholic University of Pernambuco (UNICAP) and to the Advanced Institute of Technology and Innovation (IATI), Brazil.</w:t>
      </w:r>
    </w:p>
    <w:p w14:paraId="1E5D0ED4" w14:textId="77777777" w:rsidR="00846D99" w:rsidRPr="009060F5" w:rsidRDefault="00846D99" w:rsidP="006944B0">
      <w:pPr>
        <w:pStyle w:val="CETBodytext"/>
        <w:spacing w:line="276" w:lineRule="auto"/>
        <w:ind w:right="-285"/>
        <w:rPr>
          <w:rFonts w:cs="Arial"/>
          <w:iCs/>
          <w:sz w:val="20"/>
        </w:rPr>
      </w:pPr>
    </w:p>
    <w:p w14:paraId="2E39F49F" w14:textId="29F61F3B" w:rsidR="004D544D" w:rsidRPr="001A24F0" w:rsidRDefault="00E13C57" w:rsidP="003B31E8">
      <w:pPr>
        <w:pStyle w:val="CETBodytext"/>
        <w:spacing w:after="120" w:line="240" w:lineRule="auto"/>
        <w:ind w:left="-142" w:right="-284"/>
        <w:rPr>
          <w:rFonts w:cs="Arial"/>
          <w:bCs/>
          <w:color w:val="000000" w:themeColor="text1"/>
          <w:sz w:val="20"/>
        </w:rPr>
      </w:pPr>
      <w:r w:rsidRPr="006D3D33">
        <w:rPr>
          <w:rFonts w:cs="Arial"/>
          <w:b/>
          <w:bCs/>
          <w:sz w:val="20"/>
        </w:rPr>
        <w:t>References</w:t>
      </w:r>
    </w:p>
    <w:bookmarkEnd w:id="2"/>
    <w:p w14:paraId="08E850D5" w14:textId="77777777" w:rsidR="001A24F0" w:rsidRDefault="001A24F0" w:rsidP="006944B0">
      <w:pPr>
        <w:spacing w:line="240" w:lineRule="auto"/>
        <w:ind w:left="284" w:right="-285" w:hanging="284"/>
        <w:rPr>
          <w:rFonts w:cs="Arial"/>
          <w:color w:val="000000" w:themeColor="text1"/>
          <w:szCs w:val="18"/>
          <w:lang w:val="en-US"/>
        </w:rPr>
      </w:pPr>
      <w:r w:rsidRPr="001A24F0">
        <w:rPr>
          <w:rFonts w:cs="Arial"/>
          <w:szCs w:val="18"/>
          <w:lang w:val="en-US"/>
        </w:rPr>
        <w:t xml:space="preserve">Almeida F.C.G., Rocha e Silva N.M.P., Souza T.C., Almeida D.G., Luna J.M., Farias C.B.B., Rufino </w:t>
      </w:r>
      <w:r w:rsidRPr="001A24F0">
        <w:rPr>
          <w:rFonts w:cs="Arial"/>
          <w:color w:val="000000" w:themeColor="text1"/>
          <w:szCs w:val="18"/>
          <w:lang w:val="en-US"/>
        </w:rPr>
        <w:t xml:space="preserve">R.D., Sarubbo L.A., 2020, Surfactant Activity of </w:t>
      </w:r>
      <w:r w:rsidRPr="001A24F0">
        <w:rPr>
          <w:rFonts w:cs="Arial"/>
          <w:i/>
          <w:color w:val="000000" w:themeColor="text1"/>
          <w:szCs w:val="18"/>
          <w:lang w:val="en-US"/>
        </w:rPr>
        <w:t>Artocarpus Heterophyllus</w:t>
      </w:r>
      <w:r w:rsidRPr="001A24F0">
        <w:rPr>
          <w:rFonts w:cs="Arial"/>
          <w:color w:val="000000" w:themeColor="text1"/>
          <w:szCs w:val="18"/>
          <w:lang w:val="en-US"/>
        </w:rPr>
        <w:t xml:space="preserve"> Fruit Extract and Application in Oil Removal of Solid Surface, Chemical Engineering Transactions, 74, 1135-1140. </w:t>
      </w:r>
    </w:p>
    <w:p w14:paraId="3A530871" w14:textId="0196953F" w:rsidR="006D3D33" w:rsidRPr="005E0B58" w:rsidRDefault="006D3D33" w:rsidP="006944B0">
      <w:pPr>
        <w:spacing w:line="240" w:lineRule="auto"/>
        <w:ind w:left="284" w:right="-285" w:hanging="284"/>
        <w:rPr>
          <w:rFonts w:cs="Arial"/>
          <w:szCs w:val="18"/>
          <w:lang w:val="en-US"/>
        </w:rPr>
      </w:pPr>
      <w:r w:rsidRPr="005E0B58">
        <w:rPr>
          <w:rFonts w:cs="Arial"/>
          <w:szCs w:val="18"/>
          <w:lang w:val="en-US"/>
        </w:rPr>
        <w:t xml:space="preserve">Cooper D.G., Goldenberg B.G., 1987, Surface-active Agents from Two Bacillus Species, Applied and Environmental Microbiology, 53, 224-229. </w:t>
      </w:r>
    </w:p>
    <w:p w14:paraId="4C3C3D58" w14:textId="280FF7ED" w:rsidR="00EE014B" w:rsidRDefault="00EE014B" w:rsidP="006944B0">
      <w:pPr>
        <w:autoSpaceDE w:val="0"/>
        <w:autoSpaceDN w:val="0"/>
        <w:adjustRightInd w:val="0"/>
        <w:spacing w:line="240" w:lineRule="auto"/>
        <w:ind w:left="284" w:right="-285" w:hanging="284"/>
        <w:rPr>
          <w:rFonts w:cs="Arial"/>
          <w:szCs w:val="18"/>
          <w:lang w:val="en-US"/>
        </w:rPr>
      </w:pPr>
      <w:r w:rsidRPr="00AB449E">
        <w:rPr>
          <w:rFonts w:cs="Arial"/>
          <w:szCs w:val="18"/>
          <w:lang w:val="en-US"/>
        </w:rPr>
        <w:t>Farias</w:t>
      </w:r>
      <w:r>
        <w:rPr>
          <w:rFonts w:cs="Arial"/>
          <w:szCs w:val="18"/>
          <w:lang w:val="en-US"/>
        </w:rPr>
        <w:t xml:space="preserve"> </w:t>
      </w:r>
      <w:r w:rsidRPr="00AB449E">
        <w:rPr>
          <w:rFonts w:cs="Arial"/>
          <w:szCs w:val="18"/>
          <w:lang w:val="en-US"/>
        </w:rPr>
        <w:t>C.B.B.</w:t>
      </w:r>
      <w:r>
        <w:rPr>
          <w:rFonts w:cs="Arial"/>
          <w:szCs w:val="18"/>
          <w:lang w:val="en-US"/>
        </w:rPr>
        <w:t>,</w:t>
      </w:r>
      <w:r w:rsidRPr="00AB449E">
        <w:rPr>
          <w:rFonts w:cs="Arial"/>
          <w:szCs w:val="18"/>
          <w:lang w:val="en-US"/>
        </w:rPr>
        <w:t xml:space="preserve"> Almeida</w:t>
      </w:r>
      <w:r>
        <w:rPr>
          <w:rFonts w:cs="Arial"/>
          <w:szCs w:val="18"/>
          <w:lang w:val="en-US"/>
        </w:rPr>
        <w:t xml:space="preserve"> </w:t>
      </w:r>
      <w:r w:rsidRPr="00AB449E">
        <w:rPr>
          <w:rFonts w:cs="Arial"/>
          <w:szCs w:val="18"/>
          <w:lang w:val="en-US"/>
        </w:rPr>
        <w:t>F.C.G.</w:t>
      </w:r>
      <w:r>
        <w:rPr>
          <w:rFonts w:cs="Arial"/>
          <w:szCs w:val="18"/>
          <w:lang w:val="en-US"/>
        </w:rPr>
        <w:t xml:space="preserve">, </w:t>
      </w:r>
      <w:r w:rsidRPr="00AB449E">
        <w:rPr>
          <w:rFonts w:cs="Arial"/>
          <w:szCs w:val="18"/>
          <w:lang w:val="en-US"/>
        </w:rPr>
        <w:t>Silva</w:t>
      </w:r>
      <w:r>
        <w:rPr>
          <w:rFonts w:cs="Arial"/>
          <w:szCs w:val="18"/>
          <w:lang w:val="en-US"/>
        </w:rPr>
        <w:t xml:space="preserve"> </w:t>
      </w:r>
      <w:r w:rsidRPr="00AB449E">
        <w:rPr>
          <w:rFonts w:cs="Arial"/>
          <w:szCs w:val="18"/>
          <w:lang w:val="en-US"/>
        </w:rPr>
        <w:t>I.A.</w:t>
      </w:r>
      <w:r>
        <w:rPr>
          <w:rFonts w:cs="Arial"/>
          <w:szCs w:val="18"/>
          <w:lang w:val="en-US"/>
        </w:rPr>
        <w:t xml:space="preserve">, </w:t>
      </w:r>
      <w:r w:rsidRPr="00AB449E">
        <w:rPr>
          <w:rFonts w:cs="Arial"/>
          <w:szCs w:val="18"/>
          <w:lang w:val="en-US"/>
        </w:rPr>
        <w:t>Souza T.C.</w:t>
      </w:r>
      <w:r>
        <w:rPr>
          <w:rFonts w:cs="Arial"/>
          <w:szCs w:val="18"/>
          <w:lang w:val="en-US"/>
        </w:rPr>
        <w:t>,</w:t>
      </w:r>
      <w:r w:rsidRPr="00AB449E">
        <w:rPr>
          <w:rFonts w:cs="Arial"/>
          <w:szCs w:val="18"/>
          <w:lang w:val="en-US"/>
        </w:rPr>
        <w:t xml:space="preserve"> Meira H.M.</w:t>
      </w:r>
      <w:r>
        <w:rPr>
          <w:rFonts w:cs="Arial"/>
          <w:szCs w:val="18"/>
          <w:lang w:val="en-US"/>
        </w:rPr>
        <w:t>,</w:t>
      </w:r>
      <w:r w:rsidRPr="00AB449E">
        <w:rPr>
          <w:rFonts w:cs="Arial"/>
          <w:szCs w:val="18"/>
          <w:lang w:val="en-US"/>
        </w:rPr>
        <w:t xml:space="preserve"> Soares da Silva R.C.F.</w:t>
      </w:r>
      <w:r>
        <w:rPr>
          <w:rFonts w:cs="Arial"/>
          <w:szCs w:val="18"/>
          <w:lang w:val="en-US"/>
        </w:rPr>
        <w:t>,</w:t>
      </w:r>
      <w:r w:rsidRPr="00AB449E">
        <w:rPr>
          <w:rFonts w:cs="Arial"/>
          <w:szCs w:val="18"/>
          <w:lang w:val="en-US"/>
        </w:rPr>
        <w:t xml:space="preserve"> Sarubbo, L.A. </w:t>
      </w:r>
      <w:r w:rsidR="00884CEA" w:rsidRPr="00AB449E">
        <w:rPr>
          <w:rFonts w:cs="Arial"/>
          <w:szCs w:val="18"/>
          <w:lang w:val="en-US"/>
        </w:rPr>
        <w:t>2021</w:t>
      </w:r>
      <w:r w:rsidR="00884CEA">
        <w:rPr>
          <w:rFonts w:cs="Arial"/>
          <w:szCs w:val="18"/>
          <w:lang w:val="en-US"/>
        </w:rPr>
        <w:t>a</w:t>
      </w:r>
      <w:r w:rsidR="00884CEA" w:rsidRPr="00AB449E">
        <w:rPr>
          <w:rFonts w:cs="Arial"/>
          <w:szCs w:val="18"/>
          <w:lang w:val="en-US"/>
        </w:rPr>
        <w:t>,</w:t>
      </w:r>
      <w:r w:rsidR="00884CEA">
        <w:rPr>
          <w:rFonts w:cs="Arial"/>
          <w:szCs w:val="18"/>
          <w:lang w:val="en-US"/>
        </w:rPr>
        <w:t xml:space="preserve"> </w:t>
      </w:r>
      <w:r w:rsidRPr="00AB449E">
        <w:rPr>
          <w:rFonts w:cs="Arial"/>
          <w:szCs w:val="18"/>
          <w:lang w:val="en-US"/>
        </w:rPr>
        <w:t>Production of green</w:t>
      </w:r>
      <w:r>
        <w:rPr>
          <w:rFonts w:cs="Arial"/>
          <w:szCs w:val="18"/>
          <w:lang w:val="en-US"/>
        </w:rPr>
        <w:t xml:space="preserve"> </w:t>
      </w:r>
      <w:r w:rsidRPr="00AB449E">
        <w:rPr>
          <w:rFonts w:cs="Arial"/>
          <w:szCs w:val="18"/>
          <w:lang w:val="en-US"/>
        </w:rPr>
        <w:t>surfactants: Market prospects</w:t>
      </w:r>
      <w:r w:rsidR="00884CEA">
        <w:rPr>
          <w:rFonts w:cs="Arial"/>
          <w:szCs w:val="18"/>
          <w:lang w:val="en-US"/>
        </w:rPr>
        <w:t>,</w:t>
      </w:r>
      <w:r w:rsidRPr="00AB449E">
        <w:rPr>
          <w:rFonts w:cs="Arial"/>
          <w:szCs w:val="18"/>
          <w:lang w:val="en-US"/>
        </w:rPr>
        <w:t xml:space="preserve"> </w:t>
      </w:r>
      <w:r w:rsidR="003266F5" w:rsidRPr="003266F5">
        <w:rPr>
          <w:rFonts w:cs="Arial"/>
          <w:szCs w:val="18"/>
          <w:lang w:val="en-US"/>
        </w:rPr>
        <w:t>Electronic Journal of Biotechnology</w:t>
      </w:r>
      <w:r w:rsidR="00884CEA">
        <w:rPr>
          <w:rFonts w:cs="Arial"/>
          <w:szCs w:val="18"/>
          <w:lang w:val="en-US"/>
        </w:rPr>
        <w:t>,</w:t>
      </w:r>
      <w:r w:rsidRPr="00AB449E">
        <w:rPr>
          <w:rFonts w:cs="Arial"/>
          <w:szCs w:val="18"/>
          <w:lang w:val="en-US"/>
        </w:rPr>
        <w:t xml:space="preserve"> 51, 28–39.</w:t>
      </w:r>
    </w:p>
    <w:p w14:paraId="1F14C9D0" w14:textId="3214C891" w:rsidR="00EE014B" w:rsidRDefault="00EE014B" w:rsidP="006944B0">
      <w:pPr>
        <w:autoSpaceDE w:val="0"/>
        <w:autoSpaceDN w:val="0"/>
        <w:adjustRightInd w:val="0"/>
        <w:spacing w:line="240" w:lineRule="auto"/>
        <w:ind w:left="284" w:right="-285" w:hanging="284"/>
        <w:rPr>
          <w:rFonts w:cs="Arial"/>
          <w:szCs w:val="18"/>
          <w:lang w:val="en-US"/>
        </w:rPr>
      </w:pPr>
      <w:r w:rsidRPr="00EE014B">
        <w:rPr>
          <w:rFonts w:cs="Arial"/>
          <w:szCs w:val="18"/>
          <w:lang w:val="en-US"/>
        </w:rPr>
        <w:t>Farias C.B.</w:t>
      </w:r>
      <w:r>
        <w:rPr>
          <w:rFonts w:cs="Arial"/>
          <w:szCs w:val="18"/>
          <w:lang w:val="en-US"/>
        </w:rPr>
        <w:t>B</w:t>
      </w:r>
      <w:r w:rsidRPr="00EE014B">
        <w:rPr>
          <w:rFonts w:cs="Arial"/>
          <w:szCs w:val="18"/>
          <w:lang w:val="en-US"/>
        </w:rPr>
        <w:t>, Soares da Silva R.D.C.F., Meira H.M., Souza T.C., Almeida F.C.G., Silva I.A., Luna J.M.,</w:t>
      </w:r>
      <w:r>
        <w:rPr>
          <w:rFonts w:cs="Arial"/>
          <w:szCs w:val="18"/>
          <w:lang w:val="en-US"/>
        </w:rPr>
        <w:t xml:space="preserve"> </w:t>
      </w:r>
      <w:r w:rsidRPr="00EE014B">
        <w:rPr>
          <w:rFonts w:cs="Arial"/>
          <w:szCs w:val="18"/>
          <w:lang w:val="en-US"/>
        </w:rPr>
        <w:t>Sarubbo L.A., 2021</w:t>
      </w:r>
      <w:r>
        <w:rPr>
          <w:rFonts w:cs="Arial"/>
          <w:szCs w:val="18"/>
          <w:lang w:val="en-US"/>
        </w:rPr>
        <w:t>b</w:t>
      </w:r>
      <w:r w:rsidRPr="00EE014B">
        <w:rPr>
          <w:rFonts w:cs="Arial"/>
          <w:szCs w:val="18"/>
          <w:lang w:val="en-US"/>
        </w:rPr>
        <w:t xml:space="preserve">, Evaluation of the Stability of a Non-toxic Biodetergent for the Removal of </w:t>
      </w:r>
      <w:proofErr w:type="spellStart"/>
      <w:r w:rsidRPr="00EE014B">
        <w:rPr>
          <w:rFonts w:cs="Arial"/>
          <w:szCs w:val="18"/>
          <w:lang w:val="en-US"/>
        </w:rPr>
        <w:t>Petroderivates</w:t>
      </w:r>
      <w:proofErr w:type="spellEnd"/>
      <w:r w:rsidRPr="00EE014B">
        <w:rPr>
          <w:rFonts w:cs="Arial"/>
          <w:szCs w:val="18"/>
          <w:lang w:val="en-US"/>
        </w:rPr>
        <w:t xml:space="preserve"> in Industries, Chemical</w:t>
      </w:r>
      <w:r>
        <w:rPr>
          <w:rFonts w:cs="Arial"/>
          <w:szCs w:val="18"/>
          <w:lang w:val="en-US"/>
        </w:rPr>
        <w:t xml:space="preserve">, </w:t>
      </w:r>
      <w:r w:rsidRPr="00EE014B">
        <w:rPr>
          <w:rFonts w:cs="Arial"/>
          <w:szCs w:val="18"/>
          <w:lang w:val="en-US"/>
        </w:rPr>
        <w:t>Engineering Transactions, 86, 583-588</w:t>
      </w:r>
      <w:r w:rsidR="00884CEA">
        <w:rPr>
          <w:rFonts w:cs="Arial"/>
          <w:szCs w:val="18"/>
          <w:lang w:val="en-US"/>
        </w:rPr>
        <w:t>.</w:t>
      </w:r>
      <w:r w:rsidRPr="00EE014B">
        <w:rPr>
          <w:rFonts w:cs="Arial"/>
          <w:szCs w:val="18"/>
          <w:lang w:val="en-US"/>
        </w:rPr>
        <w:t xml:space="preserve"> </w:t>
      </w:r>
    </w:p>
    <w:p w14:paraId="592785C7" w14:textId="0827DEEC" w:rsidR="009453C2" w:rsidRDefault="009453C2" w:rsidP="006944B0">
      <w:pPr>
        <w:autoSpaceDE w:val="0"/>
        <w:autoSpaceDN w:val="0"/>
        <w:adjustRightInd w:val="0"/>
        <w:spacing w:line="240" w:lineRule="auto"/>
        <w:ind w:left="284" w:right="-285" w:hanging="284"/>
        <w:rPr>
          <w:rFonts w:cs="Arial"/>
          <w:szCs w:val="18"/>
          <w:lang w:val="en-US"/>
        </w:rPr>
      </w:pPr>
      <w:r w:rsidRPr="009453C2">
        <w:rPr>
          <w:rFonts w:cs="Arial"/>
          <w:szCs w:val="18"/>
          <w:lang w:val="en-US"/>
        </w:rPr>
        <w:t>Farias C.B.B.</w:t>
      </w:r>
      <w:r w:rsidR="00AB1931">
        <w:rPr>
          <w:rFonts w:cs="Arial"/>
          <w:szCs w:val="18"/>
          <w:lang w:val="en-US"/>
        </w:rPr>
        <w:t>,</w:t>
      </w:r>
      <w:r w:rsidRPr="009453C2">
        <w:rPr>
          <w:rFonts w:cs="Arial"/>
          <w:szCs w:val="18"/>
          <w:lang w:val="en-US"/>
        </w:rPr>
        <w:t xml:space="preserve"> Soares da Silva R.C.F.</w:t>
      </w:r>
      <w:r w:rsidR="00AB1931">
        <w:rPr>
          <w:rFonts w:cs="Arial"/>
          <w:szCs w:val="18"/>
          <w:lang w:val="en-US"/>
        </w:rPr>
        <w:t>,</w:t>
      </w:r>
      <w:r w:rsidRPr="009453C2">
        <w:rPr>
          <w:rFonts w:cs="Arial"/>
          <w:szCs w:val="18"/>
          <w:lang w:val="en-US"/>
        </w:rPr>
        <w:t xml:space="preserve"> Almeida F.C.G.</w:t>
      </w:r>
      <w:r w:rsidR="00AB1931">
        <w:rPr>
          <w:rFonts w:cs="Arial"/>
          <w:szCs w:val="18"/>
          <w:lang w:val="en-US"/>
        </w:rPr>
        <w:t>,</w:t>
      </w:r>
      <w:r w:rsidRPr="009453C2">
        <w:rPr>
          <w:rFonts w:cs="Arial"/>
          <w:szCs w:val="18"/>
          <w:lang w:val="en-US"/>
        </w:rPr>
        <w:t xml:space="preserve"> </w:t>
      </w:r>
      <w:proofErr w:type="spellStart"/>
      <w:r w:rsidRPr="009453C2">
        <w:rPr>
          <w:rFonts w:cs="Arial"/>
          <w:szCs w:val="18"/>
          <w:lang w:val="en-US"/>
        </w:rPr>
        <w:t>Converti</w:t>
      </w:r>
      <w:proofErr w:type="spellEnd"/>
      <w:r w:rsidRPr="009453C2">
        <w:rPr>
          <w:rFonts w:cs="Arial"/>
          <w:szCs w:val="18"/>
          <w:lang w:val="en-US"/>
        </w:rPr>
        <w:t xml:space="preserve"> A.</w:t>
      </w:r>
      <w:r w:rsidR="00AB1931">
        <w:rPr>
          <w:rFonts w:cs="Arial"/>
          <w:szCs w:val="18"/>
          <w:lang w:val="en-US"/>
        </w:rPr>
        <w:t>,</w:t>
      </w:r>
      <w:r w:rsidRPr="009453C2">
        <w:rPr>
          <w:rFonts w:cs="Arial"/>
          <w:szCs w:val="18"/>
          <w:lang w:val="en-US"/>
        </w:rPr>
        <w:t xml:space="preserve"> Santos V.A.</w:t>
      </w:r>
      <w:r w:rsidR="00AB1931">
        <w:rPr>
          <w:rFonts w:cs="Arial"/>
          <w:szCs w:val="18"/>
          <w:lang w:val="en-US"/>
        </w:rPr>
        <w:t>,</w:t>
      </w:r>
      <w:r w:rsidRPr="009453C2">
        <w:rPr>
          <w:rFonts w:cs="Arial"/>
          <w:szCs w:val="18"/>
          <w:lang w:val="en-US"/>
        </w:rPr>
        <w:t xml:space="preserve"> Sarubbo L.A.</w:t>
      </w:r>
      <w:r w:rsidR="00E74B4A">
        <w:rPr>
          <w:rFonts w:cs="Arial"/>
          <w:szCs w:val="18"/>
          <w:lang w:val="en-US"/>
        </w:rPr>
        <w:t>,</w:t>
      </w:r>
      <w:r w:rsidRPr="009453C2">
        <w:rPr>
          <w:rFonts w:cs="Arial"/>
          <w:szCs w:val="18"/>
          <w:lang w:val="en-US"/>
        </w:rPr>
        <w:t xml:space="preserve"> </w:t>
      </w:r>
      <w:r w:rsidR="00E74B4A" w:rsidRPr="009453C2">
        <w:rPr>
          <w:rFonts w:cs="Arial"/>
          <w:szCs w:val="18"/>
          <w:lang w:val="en-US"/>
        </w:rPr>
        <w:t>2022,</w:t>
      </w:r>
      <w:r w:rsidR="00E74B4A">
        <w:rPr>
          <w:rFonts w:cs="Arial"/>
          <w:szCs w:val="18"/>
          <w:lang w:val="en-US"/>
        </w:rPr>
        <w:t xml:space="preserve"> </w:t>
      </w:r>
      <w:r w:rsidRPr="009453C2">
        <w:rPr>
          <w:rFonts w:cs="Arial"/>
          <w:szCs w:val="18"/>
          <w:lang w:val="en-US"/>
        </w:rPr>
        <w:t>Physicochemical upgrading of</w:t>
      </w:r>
      <w:r>
        <w:rPr>
          <w:rFonts w:cs="Arial"/>
          <w:szCs w:val="18"/>
          <w:lang w:val="en-US"/>
        </w:rPr>
        <w:t xml:space="preserve"> </w:t>
      </w:r>
      <w:r w:rsidRPr="009453C2">
        <w:rPr>
          <w:rFonts w:cs="Arial"/>
          <w:szCs w:val="18"/>
          <w:lang w:val="en-US"/>
        </w:rPr>
        <w:t>a biodetergent for application in the industrial energy sector</w:t>
      </w:r>
      <w:r w:rsidR="00E74B4A">
        <w:rPr>
          <w:rFonts w:cs="Arial"/>
          <w:szCs w:val="18"/>
          <w:lang w:val="en-US"/>
        </w:rPr>
        <w:t>,</w:t>
      </w:r>
      <w:r w:rsidRPr="009453C2">
        <w:rPr>
          <w:rFonts w:cs="Arial"/>
          <w:szCs w:val="18"/>
          <w:lang w:val="en-US"/>
        </w:rPr>
        <w:t xml:space="preserve"> Energies</w:t>
      </w:r>
      <w:r w:rsidR="00E74B4A">
        <w:rPr>
          <w:rFonts w:cs="Arial"/>
          <w:szCs w:val="18"/>
          <w:lang w:val="en-US"/>
        </w:rPr>
        <w:t xml:space="preserve">, </w:t>
      </w:r>
      <w:r w:rsidRPr="009453C2">
        <w:rPr>
          <w:rFonts w:cs="Arial"/>
          <w:szCs w:val="18"/>
          <w:lang w:val="en-US"/>
        </w:rPr>
        <w:t xml:space="preserve">15, 463. </w:t>
      </w:r>
    </w:p>
    <w:p w14:paraId="2F458A98" w14:textId="42476D66" w:rsidR="0082279E" w:rsidRDefault="0082279E" w:rsidP="006944B0">
      <w:pPr>
        <w:autoSpaceDE w:val="0"/>
        <w:autoSpaceDN w:val="0"/>
        <w:adjustRightInd w:val="0"/>
        <w:spacing w:line="240" w:lineRule="auto"/>
        <w:ind w:left="284" w:right="-285" w:hanging="284"/>
        <w:rPr>
          <w:rFonts w:cs="Arial"/>
          <w:szCs w:val="18"/>
          <w:lang w:val="en-US"/>
        </w:rPr>
      </w:pPr>
      <w:r w:rsidRPr="0082279E">
        <w:rPr>
          <w:rFonts w:cs="Arial"/>
          <w:szCs w:val="18"/>
          <w:lang w:val="en-US"/>
        </w:rPr>
        <w:t>Rocha e Silva N.M.P.</w:t>
      </w:r>
      <w:r w:rsidR="00E74B4A">
        <w:rPr>
          <w:rFonts w:cs="Arial"/>
          <w:szCs w:val="18"/>
          <w:lang w:val="en-US"/>
        </w:rPr>
        <w:t>,</w:t>
      </w:r>
      <w:r w:rsidRPr="0082279E">
        <w:rPr>
          <w:rFonts w:cs="Arial"/>
          <w:szCs w:val="18"/>
          <w:lang w:val="en-US"/>
        </w:rPr>
        <w:t xml:space="preserve"> Meira H.M.</w:t>
      </w:r>
      <w:r w:rsidR="00E74B4A">
        <w:rPr>
          <w:rFonts w:cs="Arial"/>
          <w:szCs w:val="18"/>
          <w:lang w:val="en-US"/>
        </w:rPr>
        <w:t>,</w:t>
      </w:r>
      <w:r w:rsidRPr="0082279E">
        <w:rPr>
          <w:rFonts w:cs="Arial"/>
          <w:szCs w:val="18"/>
          <w:lang w:val="en-US"/>
        </w:rPr>
        <w:t xml:space="preserve"> Almeida F.C.G.</w:t>
      </w:r>
      <w:r w:rsidR="00E74B4A">
        <w:rPr>
          <w:rFonts w:cs="Arial"/>
          <w:szCs w:val="18"/>
          <w:lang w:val="en-US"/>
        </w:rPr>
        <w:t>,</w:t>
      </w:r>
      <w:r w:rsidRPr="0082279E">
        <w:rPr>
          <w:rFonts w:cs="Arial"/>
          <w:szCs w:val="18"/>
          <w:lang w:val="en-US"/>
        </w:rPr>
        <w:t xml:space="preserve"> Soares da Silva R.C.F.</w:t>
      </w:r>
      <w:r w:rsidR="00E74B4A">
        <w:rPr>
          <w:rFonts w:cs="Arial"/>
          <w:szCs w:val="18"/>
          <w:lang w:val="en-US"/>
        </w:rPr>
        <w:t>,</w:t>
      </w:r>
      <w:r w:rsidRPr="0082279E">
        <w:rPr>
          <w:rFonts w:cs="Arial"/>
          <w:szCs w:val="18"/>
          <w:lang w:val="en-US"/>
        </w:rPr>
        <w:t xml:space="preserve"> Almeida D.G.</w:t>
      </w:r>
      <w:r w:rsidR="00E74B4A">
        <w:rPr>
          <w:rFonts w:cs="Arial"/>
          <w:szCs w:val="18"/>
          <w:lang w:val="en-US"/>
        </w:rPr>
        <w:t>,</w:t>
      </w:r>
      <w:r w:rsidRPr="0082279E">
        <w:rPr>
          <w:rFonts w:cs="Arial"/>
          <w:szCs w:val="18"/>
          <w:lang w:val="en-US"/>
        </w:rPr>
        <w:t xml:space="preserve"> Luna J.M.</w:t>
      </w:r>
      <w:r w:rsidR="00E74B4A">
        <w:rPr>
          <w:rFonts w:cs="Arial"/>
          <w:szCs w:val="18"/>
          <w:lang w:val="en-US"/>
        </w:rPr>
        <w:t>,</w:t>
      </w:r>
      <w:r w:rsidRPr="0082279E">
        <w:rPr>
          <w:rFonts w:cs="Arial"/>
          <w:szCs w:val="18"/>
          <w:lang w:val="en-US"/>
        </w:rPr>
        <w:t xml:space="preserve"> Rufino R.D.</w:t>
      </w:r>
      <w:r w:rsidR="00E74B4A">
        <w:rPr>
          <w:rFonts w:cs="Arial"/>
          <w:szCs w:val="18"/>
          <w:lang w:val="en-US"/>
        </w:rPr>
        <w:t>,</w:t>
      </w:r>
      <w:r w:rsidRPr="0082279E">
        <w:rPr>
          <w:rFonts w:cs="Arial"/>
          <w:szCs w:val="18"/>
          <w:lang w:val="en-US"/>
        </w:rPr>
        <w:t xml:space="preserve"> Santos</w:t>
      </w:r>
      <w:r>
        <w:rPr>
          <w:rFonts w:cs="Arial"/>
          <w:szCs w:val="18"/>
          <w:lang w:val="en-US"/>
        </w:rPr>
        <w:t xml:space="preserve"> </w:t>
      </w:r>
      <w:r w:rsidRPr="0082279E">
        <w:rPr>
          <w:rFonts w:cs="Arial"/>
          <w:szCs w:val="18"/>
          <w:lang w:val="en-US"/>
        </w:rPr>
        <w:t>V.A.</w:t>
      </w:r>
      <w:r w:rsidR="00E74B4A">
        <w:rPr>
          <w:rFonts w:cs="Arial"/>
          <w:szCs w:val="18"/>
          <w:lang w:val="en-US"/>
        </w:rPr>
        <w:t>,</w:t>
      </w:r>
      <w:r w:rsidRPr="0082279E">
        <w:rPr>
          <w:rFonts w:cs="Arial"/>
          <w:szCs w:val="18"/>
          <w:lang w:val="en-US"/>
        </w:rPr>
        <w:t xml:space="preserve"> Sarubbo L.A.</w:t>
      </w:r>
      <w:r w:rsidR="00E74B4A">
        <w:rPr>
          <w:rFonts w:cs="Arial"/>
          <w:szCs w:val="18"/>
          <w:lang w:val="en-US"/>
        </w:rPr>
        <w:t>,</w:t>
      </w:r>
      <w:r w:rsidRPr="0082279E">
        <w:rPr>
          <w:rFonts w:cs="Arial"/>
          <w:szCs w:val="18"/>
          <w:lang w:val="en-US"/>
        </w:rPr>
        <w:t xml:space="preserve"> </w:t>
      </w:r>
      <w:r w:rsidR="00E74B4A" w:rsidRPr="0082279E">
        <w:rPr>
          <w:rFonts w:cs="Arial"/>
          <w:szCs w:val="18"/>
          <w:lang w:val="en-US"/>
        </w:rPr>
        <w:t>2019,</w:t>
      </w:r>
      <w:r w:rsidR="00E74B4A">
        <w:rPr>
          <w:rFonts w:cs="Arial"/>
          <w:szCs w:val="18"/>
          <w:lang w:val="en-US"/>
        </w:rPr>
        <w:t xml:space="preserve"> </w:t>
      </w:r>
      <w:r w:rsidRPr="0082279E">
        <w:rPr>
          <w:rFonts w:cs="Arial"/>
          <w:szCs w:val="18"/>
          <w:lang w:val="en-US"/>
        </w:rPr>
        <w:t>Natural surfactants and their applications for heavy oil removal in industry</w:t>
      </w:r>
      <w:r w:rsidR="00E74B4A">
        <w:rPr>
          <w:rFonts w:cs="Arial"/>
          <w:szCs w:val="18"/>
          <w:lang w:val="en-US"/>
        </w:rPr>
        <w:t>,</w:t>
      </w:r>
      <w:r w:rsidRPr="0082279E">
        <w:rPr>
          <w:rFonts w:cs="Arial"/>
          <w:szCs w:val="18"/>
          <w:lang w:val="en-US"/>
        </w:rPr>
        <w:t xml:space="preserve"> </w:t>
      </w:r>
      <w:r w:rsidR="003266F5" w:rsidRPr="003266F5">
        <w:rPr>
          <w:rFonts w:cs="Arial"/>
          <w:szCs w:val="18"/>
          <w:lang w:val="en-US"/>
        </w:rPr>
        <w:t>Separation &amp; Purification Reviews</w:t>
      </w:r>
      <w:r w:rsidR="003266F5">
        <w:rPr>
          <w:rFonts w:cs="Arial"/>
          <w:szCs w:val="18"/>
          <w:lang w:val="en-US"/>
        </w:rPr>
        <w:t xml:space="preserve">, </w:t>
      </w:r>
      <w:r w:rsidRPr="0082279E">
        <w:rPr>
          <w:rFonts w:cs="Arial"/>
          <w:szCs w:val="18"/>
          <w:lang w:val="en-US"/>
        </w:rPr>
        <w:t>48, 267–</w:t>
      </w:r>
      <w:r>
        <w:rPr>
          <w:rFonts w:cs="Arial"/>
          <w:szCs w:val="18"/>
          <w:lang w:val="en-US"/>
        </w:rPr>
        <w:t xml:space="preserve"> </w:t>
      </w:r>
      <w:r w:rsidRPr="0082279E">
        <w:rPr>
          <w:rFonts w:cs="Arial"/>
          <w:szCs w:val="18"/>
          <w:lang w:val="en-US"/>
        </w:rPr>
        <w:t xml:space="preserve">281. </w:t>
      </w:r>
    </w:p>
    <w:p w14:paraId="2CE2A533" w14:textId="493CAC4F" w:rsidR="006D3D33" w:rsidRPr="00EE014B" w:rsidRDefault="006D3D33" w:rsidP="006944B0">
      <w:pPr>
        <w:autoSpaceDE w:val="0"/>
        <w:autoSpaceDN w:val="0"/>
        <w:adjustRightInd w:val="0"/>
        <w:spacing w:line="240" w:lineRule="auto"/>
        <w:ind w:left="284" w:right="-285" w:hanging="284"/>
        <w:rPr>
          <w:rFonts w:cs="Arial"/>
          <w:szCs w:val="18"/>
          <w:lang w:val="en-US"/>
        </w:rPr>
      </w:pPr>
      <w:r w:rsidRPr="00EE014B">
        <w:rPr>
          <w:rFonts w:cs="Arial"/>
          <w:szCs w:val="18"/>
          <w:lang w:val="en-US"/>
        </w:rPr>
        <w:t xml:space="preserve">Rocha e Silva N.M.P., Almeida F.C.G., Rocha e Silva F.C., Luna J.M., Sarubbo L.A., 2020, Formulation of a Biodegradable Detergent for Cleaning Oily Residues Generated during Industrial Processes, Journal of Surfactant Detergents, 23, 111-1123. </w:t>
      </w:r>
    </w:p>
    <w:p w14:paraId="23C8234C" w14:textId="3CE11B6B" w:rsidR="00DF6020" w:rsidRDefault="00DF6020" w:rsidP="006944B0">
      <w:pPr>
        <w:autoSpaceDE w:val="0"/>
        <w:autoSpaceDN w:val="0"/>
        <w:adjustRightInd w:val="0"/>
        <w:spacing w:line="240" w:lineRule="auto"/>
        <w:ind w:left="284" w:right="-285" w:hanging="284"/>
      </w:pPr>
      <w:r>
        <w:t>Sarubbo L.A., Silva M.D.G.C., Durval I.J.B., Bezerra K.G.O., Ribeiro B.G., Silva I.A., Twigg M.S., Banat I.M., 2022, Biosurfactants: Production, properties, applications, trends, and general perspectives, Biochemical Engineering Journal, 181, 108377</w:t>
      </w:r>
      <w:r w:rsidR="00E74B4A">
        <w:t>.</w:t>
      </w:r>
      <w:r>
        <w:t xml:space="preserve"> </w:t>
      </w:r>
    </w:p>
    <w:p w14:paraId="30CA48A2" w14:textId="1C9AABE9" w:rsidR="002B32B4" w:rsidRDefault="002B32B4" w:rsidP="006944B0">
      <w:pPr>
        <w:autoSpaceDE w:val="0"/>
        <w:autoSpaceDN w:val="0"/>
        <w:adjustRightInd w:val="0"/>
        <w:spacing w:line="240" w:lineRule="auto"/>
        <w:ind w:left="284" w:right="-285" w:hanging="284"/>
      </w:pPr>
      <w:r>
        <w:t>Selva Filho A.A.P.,</w:t>
      </w:r>
      <w:r w:rsidR="00E74B4A">
        <w:t xml:space="preserve"> </w:t>
      </w:r>
      <w:proofErr w:type="spellStart"/>
      <w:r>
        <w:t>Converti</w:t>
      </w:r>
      <w:proofErr w:type="spellEnd"/>
      <w:r>
        <w:t xml:space="preserve"> A., Soares da Silva R.C.F., Sarubbo L.A. </w:t>
      </w:r>
      <w:r w:rsidR="00E74B4A">
        <w:t xml:space="preserve">2023, </w:t>
      </w:r>
      <w:r>
        <w:t>Biosurfactants as Multifunctional Remediation Agents of Environmental Pollutants Generated by the Petroleum Industry</w:t>
      </w:r>
      <w:r w:rsidR="00E74B4A">
        <w:t>,</w:t>
      </w:r>
      <w:r>
        <w:t xml:space="preserve"> Energies</w:t>
      </w:r>
      <w:r w:rsidR="00E74B4A">
        <w:t>,</w:t>
      </w:r>
      <w:r>
        <w:t xml:space="preserve"> 16, 1209. </w:t>
      </w:r>
    </w:p>
    <w:p w14:paraId="3C418AF5" w14:textId="166BF7C6" w:rsidR="009F0AD8" w:rsidRDefault="00BB71A2" w:rsidP="009F0AD8">
      <w:pPr>
        <w:autoSpaceDE w:val="0"/>
        <w:autoSpaceDN w:val="0"/>
        <w:adjustRightInd w:val="0"/>
        <w:spacing w:line="240" w:lineRule="auto"/>
        <w:ind w:left="284" w:right="-285" w:hanging="284"/>
        <w:rPr>
          <w:rFonts w:cs="Arial"/>
          <w:szCs w:val="18"/>
          <w:lang w:val="en-US"/>
        </w:rPr>
      </w:pPr>
      <w:r w:rsidRPr="00AB449E">
        <w:rPr>
          <w:rFonts w:cs="Arial"/>
          <w:szCs w:val="18"/>
          <w:lang w:val="en-US"/>
        </w:rPr>
        <w:t>Soares da Silva R.C.F.</w:t>
      </w:r>
      <w:r>
        <w:rPr>
          <w:rFonts w:cs="Arial"/>
          <w:szCs w:val="18"/>
          <w:lang w:val="en-US"/>
        </w:rPr>
        <w:t>,</w:t>
      </w:r>
      <w:r w:rsidRPr="00AB449E">
        <w:rPr>
          <w:rFonts w:cs="Arial"/>
          <w:szCs w:val="18"/>
          <w:lang w:val="en-US"/>
        </w:rPr>
        <w:t xml:space="preserve"> Souza T.C.</w:t>
      </w:r>
      <w:r>
        <w:rPr>
          <w:rFonts w:cs="Arial"/>
          <w:szCs w:val="18"/>
          <w:lang w:val="en-US"/>
        </w:rPr>
        <w:t>,</w:t>
      </w:r>
      <w:r w:rsidRPr="00AB449E">
        <w:rPr>
          <w:rFonts w:cs="Arial"/>
          <w:szCs w:val="18"/>
          <w:lang w:val="en-US"/>
        </w:rPr>
        <w:t xml:space="preserve"> Farias</w:t>
      </w:r>
      <w:r>
        <w:rPr>
          <w:rFonts w:cs="Arial"/>
          <w:szCs w:val="18"/>
          <w:lang w:val="en-US"/>
        </w:rPr>
        <w:t xml:space="preserve"> </w:t>
      </w:r>
      <w:r w:rsidRPr="00AB449E">
        <w:rPr>
          <w:rFonts w:cs="Arial"/>
          <w:szCs w:val="18"/>
          <w:lang w:val="en-US"/>
        </w:rPr>
        <w:t>C.B.B.</w:t>
      </w:r>
      <w:r>
        <w:rPr>
          <w:rFonts w:cs="Arial"/>
          <w:szCs w:val="18"/>
          <w:lang w:val="en-US"/>
        </w:rPr>
        <w:t>,</w:t>
      </w:r>
      <w:r w:rsidRPr="00AB449E">
        <w:rPr>
          <w:rFonts w:cs="Arial"/>
          <w:szCs w:val="18"/>
          <w:lang w:val="en-US"/>
        </w:rPr>
        <w:t xml:space="preserve"> Almeida</w:t>
      </w:r>
      <w:r>
        <w:rPr>
          <w:rFonts w:cs="Arial"/>
          <w:szCs w:val="18"/>
          <w:lang w:val="en-US"/>
        </w:rPr>
        <w:t xml:space="preserve"> </w:t>
      </w:r>
      <w:r w:rsidRPr="00AB449E">
        <w:rPr>
          <w:rFonts w:cs="Arial"/>
          <w:szCs w:val="18"/>
          <w:lang w:val="en-US"/>
        </w:rPr>
        <w:t>F.C.G.</w:t>
      </w:r>
      <w:r>
        <w:rPr>
          <w:rFonts w:cs="Arial"/>
          <w:szCs w:val="18"/>
          <w:lang w:val="en-US"/>
        </w:rPr>
        <w:t xml:space="preserve">, </w:t>
      </w:r>
      <w:r w:rsidRPr="00AB449E">
        <w:rPr>
          <w:rFonts w:cs="Arial"/>
          <w:szCs w:val="18"/>
          <w:lang w:val="en-US"/>
        </w:rPr>
        <w:t>Silva</w:t>
      </w:r>
      <w:r>
        <w:rPr>
          <w:rFonts w:cs="Arial"/>
          <w:szCs w:val="18"/>
          <w:lang w:val="en-US"/>
        </w:rPr>
        <w:t xml:space="preserve"> </w:t>
      </w:r>
      <w:r w:rsidRPr="00AB449E">
        <w:rPr>
          <w:rFonts w:cs="Arial"/>
          <w:szCs w:val="18"/>
          <w:lang w:val="en-US"/>
        </w:rPr>
        <w:t>I.A.</w:t>
      </w:r>
      <w:r>
        <w:rPr>
          <w:rFonts w:cs="Arial"/>
          <w:szCs w:val="18"/>
          <w:lang w:val="en-US"/>
        </w:rPr>
        <w:t xml:space="preserve">, </w:t>
      </w:r>
      <w:r w:rsidRPr="00AB449E">
        <w:rPr>
          <w:rFonts w:cs="Arial"/>
          <w:szCs w:val="18"/>
          <w:lang w:val="en-US"/>
        </w:rPr>
        <w:t>Sarubbo, L.A</w:t>
      </w:r>
      <w:r>
        <w:rPr>
          <w:rFonts w:cs="Arial"/>
          <w:szCs w:val="18"/>
          <w:lang w:val="en-US"/>
        </w:rPr>
        <w:t xml:space="preserve">., 2023, </w:t>
      </w:r>
      <w:r w:rsidRPr="00BB71A2">
        <w:rPr>
          <w:rFonts w:cs="Arial"/>
          <w:szCs w:val="18"/>
          <w:lang w:val="en-US"/>
        </w:rPr>
        <w:t>Evaluation of the Stability of a Biodetergent for Industrial Use</w:t>
      </w:r>
      <w:r>
        <w:rPr>
          <w:rFonts w:cs="Arial"/>
          <w:szCs w:val="18"/>
          <w:lang w:val="en-US"/>
        </w:rPr>
        <w:t xml:space="preserve">, </w:t>
      </w:r>
      <w:r w:rsidRPr="00EE014B">
        <w:rPr>
          <w:rFonts w:cs="Arial"/>
          <w:szCs w:val="18"/>
          <w:lang w:val="en-US"/>
        </w:rPr>
        <w:t>Chemical</w:t>
      </w:r>
      <w:r>
        <w:rPr>
          <w:rFonts w:cs="Arial"/>
          <w:szCs w:val="18"/>
          <w:lang w:val="en-US"/>
        </w:rPr>
        <w:t xml:space="preserve">, </w:t>
      </w:r>
      <w:r w:rsidRPr="00EE014B">
        <w:rPr>
          <w:rFonts w:cs="Arial"/>
          <w:szCs w:val="18"/>
          <w:lang w:val="en-US"/>
        </w:rPr>
        <w:t xml:space="preserve">Engineering Transactions, </w:t>
      </w:r>
      <w:r>
        <w:rPr>
          <w:rFonts w:cs="Arial"/>
          <w:szCs w:val="18"/>
          <w:lang w:val="en-US"/>
        </w:rPr>
        <w:t>99</w:t>
      </w:r>
      <w:r w:rsidRPr="00EE014B">
        <w:rPr>
          <w:rFonts w:cs="Arial"/>
          <w:szCs w:val="18"/>
          <w:lang w:val="en-US"/>
        </w:rPr>
        <w:t xml:space="preserve">, </w:t>
      </w:r>
      <w:r>
        <w:rPr>
          <w:rFonts w:cs="Arial"/>
          <w:szCs w:val="18"/>
          <w:lang w:val="en-US"/>
        </w:rPr>
        <w:t>481</w:t>
      </w:r>
      <w:r w:rsidRPr="00EE014B">
        <w:rPr>
          <w:rFonts w:cs="Arial"/>
          <w:szCs w:val="18"/>
          <w:lang w:val="en-US"/>
        </w:rPr>
        <w:t>-</w:t>
      </w:r>
      <w:r>
        <w:rPr>
          <w:rFonts w:cs="Arial"/>
          <w:szCs w:val="18"/>
          <w:lang w:val="en-US"/>
        </w:rPr>
        <w:t xml:space="preserve"> 486</w:t>
      </w:r>
      <w:r w:rsidR="00E74B4A">
        <w:rPr>
          <w:rFonts w:cs="Arial"/>
          <w:szCs w:val="18"/>
          <w:lang w:val="en-US"/>
        </w:rPr>
        <w:t>.</w:t>
      </w:r>
    </w:p>
    <w:p w14:paraId="4386520E" w14:textId="23A3A501" w:rsidR="009F0AD8" w:rsidRPr="00BB71A2" w:rsidRDefault="009F0AD8" w:rsidP="009F0AD8">
      <w:pPr>
        <w:autoSpaceDE w:val="0"/>
        <w:autoSpaceDN w:val="0"/>
        <w:adjustRightInd w:val="0"/>
        <w:spacing w:line="240" w:lineRule="auto"/>
        <w:ind w:left="426" w:right="-285" w:hanging="426"/>
        <w:rPr>
          <w:lang w:val="en-US"/>
        </w:rPr>
      </w:pPr>
      <w:proofErr w:type="spellStart"/>
      <w:r w:rsidRPr="009F0AD8">
        <w:rPr>
          <w:lang w:val="en-US"/>
        </w:rPr>
        <w:t>Tiquia</w:t>
      </w:r>
      <w:proofErr w:type="spellEnd"/>
      <w:r w:rsidRPr="009F0AD8">
        <w:rPr>
          <w:lang w:val="en-US"/>
        </w:rPr>
        <w:t xml:space="preserve"> S.M., Tam N.F.Y., Hodgkiss I. J., 1996, Effects of composting on </w:t>
      </w:r>
      <w:proofErr w:type="spellStart"/>
      <w:r w:rsidRPr="009F0AD8">
        <w:rPr>
          <w:lang w:val="en-US"/>
        </w:rPr>
        <w:t>phytotocicity</w:t>
      </w:r>
      <w:proofErr w:type="spellEnd"/>
      <w:r w:rsidRPr="009F0AD8">
        <w:rPr>
          <w:lang w:val="en-US"/>
        </w:rPr>
        <w:t xml:space="preserve"> of spent pig-manure</w:t>
      </w:r>
      <w:r>
        <w:rPr>
          <w:lang w:val="en-US"/>
        </w:rPr>
        <w:t xml:space="preserve"> </w:t>
      </w:r>
      <w:r w:rsidRPr="009F0AD8">
        <w:rPr>
          <w:lang w:val="en-US"/>
        </w:rPr>
        <w:t>sawdust litter, Environ. Pollution, 93, 249-256</w:t>
      </w:r>
      <w:r w:rsidR="00D00CED">
        <w:rPr>
          <w:lang w:val="en-US"/>
        </w:rPr>
        <w:t>.</w:t>
      </w:r>
    </w:p>
    <w:sectPr w:rsidR="009F0AD8" w:rsidRPr="00BB71A2" w:rsidSect="00FC7510">
      <w:type w:val="continuous"/>
      <w:pgSz w:w="11906" w:h="16838"/>
      <w:pgMar w:top="141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3AE08" w14:textId="77777777" w:rsidR="00FC7510" w:rsidRDefault="00FC7510" w:rsidP="004F5E36">
      <w:r>
        <w:separator/>
      </w:r>
    </w:p>
  </w:endnote>
  <w:endnote w:type="continuationSeparator" w:id="0">
    <w:p w14:paraId="4CC3D090" w14:textId="77777777" w:rsidR="00FC7510" w:rsidRDefault="00FC75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4F61E" w14:textId="77777777" w:rsidR="00FC7510" w:rsidRDefault="00FC7510" w:rsidP="004F5E36">
      <w:r>
        <w:separator/>
      </w:r>
    </w:p>
  </w:footnote>
  <w:footnote w:type="continuationSeparator" w:id="0">
    <w:p w14:paraId="1907F28F" w14:textId="77777777" w:rsidR="00FC7510" w:rsidRDefault="00FC751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1A28169C"/>
    <w:multiLevelType w:val="hybridMultilevel"/>
    <w:tmpl w:val="2690ED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E15635"/>
    <w:multiLevelType w:val="multilevel"/>
    <w:tmpl w:val="C98233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8456DD"/>
    <w:multiLevelType w:val="hybridMultilevel"/>
    <w:tmpl w:val="A0DC88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2283028">
    <w:abstractNumId w:val="11"/>
  </w:num>
  <w:num w:numId="2" w16cid:durableId="1628586917">
    <w:abstractNumId w:val="8"/>
  </w:num>
  <w:num w:numId="3" w16cid:durableId="1512799190">
    <w:abstractNumId w:val="3"/>
  </w:num>
  <w:num w:numId="4" w16cid:durableId="291252989">
    <w:abstractNumId w:val="2"/>
  </w:num>
  <w:num w:numId="5" w16cid:durableId="531916430">
    <w:abstractNumId w:val="1"/>
  </w:num>
  <w:num w:numId="6" w16cid:durableId="1127042962">
    <w:abstractNumId w:val="0"/>
  </w:num>
  <w:num w:numId="7" w16cid:durableId="36902294">
    <w:abstractNumId w:val="9"/>
  </w:num>
  <w:num w:numId="8" w16cid:durableId="1174953489">
    <w:abstractNumId w:val="7"/>
  </w:num>
  <w:num w:numId="9" w16cid:durableId="358089576">
    <w:abstractNumId w:val="6"/>
  </w:num>
  <w:num w:numId="10" w16cid:durableId="2047833475">
    <w:abstractNumId w:val="5"/>
  </w:num>
  <w:num w:numId="11" w16cid:durableId="498623960">
    <w:abstractNumId w:val="4"/>
  </w:num>
  <w:num w:numId="12" w16cid:durableId="1723937809">
    <w:abstractNumId w:val="18"/>
  </w:num>
  <w:num w:numId="13" w16cid:durableId="1391072278">
    <w:abstractNumId w:val="13"/>
  </w:num>
  <w:num w:numId="14" w16cid:durableId="1676882274">
    <w:abstractNumId w:val="19"/>
  </w:num>
  <w:num w:numId="15" w16cid:durableId="1031880197">
    <w:abstractNumId w:val="21"/>
  </w:num>
  <w:num w:numId="16" w16cid:durableId="1683974694">
    <w:abstractNumId w:val="20"/>
  </w:num>
  <w:num w:numId="17" w16cid:durableId="253787511">
    <w:abstractNumId w:val="12"/>
  </w:num>
  <w:num w:numId="18" w16cid:durableId="225457251">
    <w:abstractNumId w:val="13"/>
    <w:lvlOverride w:ilvl="0">
      <w:startOverride w:val="1"/>
    </w:lvlOverride>
  </w:num>
  <w:num w:numId="19" w16cid:durableId="537932614">
    <w:abstractNumId w:val="17"/>
  </w:num>
  <w:num w:numId="20" w16cid:durableId="1224491563">
    <w:abstractNumId w:val="16"/>
  </w:num>
  <w:num w:numId="21" w16cid:durableId="1786582553">
    <w:abstractNumId w:val="14"/>
  </w:num>
  <w:num w:numId="22" w16cid:durableId="1802184882">
    <w:abstractNumId w:val="22"/>
  </w:num>
  <w:num w:numId="23" w16cid:durableId="2076050029">
    <w:abstractNumId w:val="10"/>
  </w:num>
  <w:num w:numId="24" w16cid:durableId="1118790826">
    <w:abstractNumId w:val="11"/>
  </w:num>
  <w:num w:numId="25" w16cid:durableId="10472906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2AEA"/>
    <w:rsid w:val="0002100E"/>
    <w:rsid w:val="0003148D"/>
    <w:rsid w:val="0003345B"/>
    <w:rsid w:val="00036CC0"/>
    <w:rsid w:val="00044250"/>
    <w:rsid w:val="00051566"/>
    <w:rsid w:val="00062A9A"/>
    <w:rsid w:val="00065058"/>
    <w:rsid w:val="0008434D"/>
    <w:rsid w:val="00086C39"/>
    <w:rsid w:val="000964E8"/>
    <w:rsid w:val="000A03B2"/>
    <w:rsid w:val="000A15C1"/>
    <w:rsid w:val="000A2088"/>
    <w:rsid w:val="000B1555"/>
    <w:rsid w:val="000C3C0E"/>
    <w:rsid w:val="000D0268"/>
    <w:rsid w:val="000D34BE"/>
    <w:rsid w:val="000D4664"/>
    <w:rsid w:val="000E102F"/>
    <w:rsid w:val="000E36F1"/>
    <w:rsid w:val="000E3A73"/>
    <w:rsid w:val="000E414A"/>
    <w:rsid w:val="000E5C16"/>
    <w:rsid w:val="000F093C"/>
    <w:rsid w:val="000F0C07"/>
    <w:rsid w:val="000F3505"/>
    <w:rsid w:val="000F787B"/>
    <w:rsid w:val="00103BB7"/>
    <w:rsid w:val="001117FD"/>
    <w:rsid w:val="0012091F"/>
    <w:rsid w:val="00123FFB"/>
    <w:rsid w:val="00126BC2"/>
    <w:rsid w:val="001308B6"/>
    <w:rsid w:val="0013121F"/>
    <w:rsid w:val="00131FE6"/>
    <w:rsid w:val="0013263F"/>
    <w:rsid w:val="00134DE4"/>
    <w:rsid w:val="0014034D"/>
    <w:rsid w:val="001419E8"/>
    <w:rsid w:val="00141E98"/>
    <w:rsid w:val="00146B8F"/>
    <w:rsid w:val="00146EF4"/>
    <w:rsid w:val="0015004C"/>
    <w:rsid w:val="00150E59"/>
    <w:rsid w:val="00152DE3"/>
    <w:rsid w:val="00164CF9"/>
    <w:rsid w:val="001667A6"/>
    <w:rsid w:val="001743CB"/>
    <w:rsid w:val="0018344C"/>
    <w:rsid w:val="00184AD6"/>
    <w:rsid w:val="001972AB"/>
    <w:rsid w:val="001A24F0"/>
    <w:rsid w:val="001A32FB"/>
    <w:rsid w:val="001A4AF7"/>
    <w:rsid w:val="001B0349"/>
    <w:rsid w:val="001B65C1"/>
    <w:rsid w:val="001C5762"/>
    <w:rsid w:val="001C684B"/>
    <w:rsid w:val="001D53FC"/>
    <w:rsid w:val="001F054D"/>
    <w:rsid w:val="001F42A5"/>
    <w:rsid w:val="001F7918"/>
    <w:rsid w:val="001F7B9D"/>
    <w:rsid w:val="0020785B"/>
    <w:rsid w:val="002208EC"/>
    <w:rsid w:val="002224B4"/>
    <w:rsid w:val="002257C6"/>
    <w:rsid w:val="0023298C"/>
    <w:rsid w:val="002447EF"/>
    <w:rsid w:val="00251550"/>
    <w:rsid w:val="00256C61"/>
    <w:rsid w:val="00260DFD"/>
    <w:rsid w:val="00263B05"/>
    <w:rsid w:val="0027221A"/>
    <w:rsid w:val="00275B61"/>
    <w:rsid w:val="00282656"/>
    <w:rsid w:val="00294D80"/>
    <w:rsid w:val="00296B83"/>
    <w:rsid w:val="002A1933"/>
    <w:rsid w:val="002B216C"/>
    <w:rsid w:val="002B32B4"/>
    <w:rsid w:val="002B36FA"/>
    <w:rsid w:val="002B78CE"/>
    <w:rsid w:val="002C2FB6"/>
    <w:rsid w:val="002D3926"/>
    <w:rsid w:val="002F3309"/>
    <w:rsid w:val="003009B7"/>
    <w:rsid w:val="00300E56"/>
    <w:rsid w:val="0030469C"/>
    <w:rsid w:val="00321CA6"/>
    <w:rsid w:val="00323763"/>
    <w:rsid w:val="003266F5"/>
    <w:rsid w:val="00334C09"/>
    <w:rsid w:val="00363746"/>
    <w:rsid w:val="003723D4"/>
    <w:rsid w:val="00381905"/>
    <w:rsid w:val="00384CC8"/>
    <w:rsid w:val="003871FD"/>
    <w:rsid w:val="00387FE8"/>
    <w:rsid w:val="003A1E30"/>
    <w:rsid w:val="003A7D1C"/>
    <w:rsid w:val="003B304B"/>
    <w:rsid w:val="003B3146"/>
    <w:rsid w:val="003B31E8"/>
    <w:rsid w:val="003D5168"/>
    <w:rsid w:val="003E4936"/>
    <w:rsid w:val="003F015E"/>
    <w:rsid w:val="00400414"/>
    <w:rsid w:val="00406971"/>
    <w:rsid w:val="0041446B"/>
    <w:rsid w:val="00435FBB"/>
    <w:rsid w:val="0044329C"/>
    <w:rsid w:val="00447C87"/>
    <w:rsid w:val="00450C38"/>
    <w:rsid w:val="00450D83"/>
    <w:rsid w:val="004577FE"/>
    <w:rsid w:val="00457B9C"/>
    <w:rsid w:val="00460247"/>
    <w:rsid w:val="0046164A"/>
    <w:rsid w:val="004628D2"/>
    <w:rsid w:val="00462DCD"/>
    <w:rsid w:val="004632F1"/>
    <w:rsid w:val="004648AD"/>
    <w:rsid w:val="004703A9"/>
    <w:rsid w:val="004760DE"/>
    <w:rsid w:val="004763D7"/>
    <w:rsid w:val="00480098"/>
    <w:rsid w:val="0048284C"/>
    <w:rsid w:val="00486B73"/>
    <w:rsid w:val="004968EA"/>
    <w:rsid w:val="004A004E"/>
    <w:rsid w:val="004A24CF"/>
    <w:rsid w:val="004B4AD8"/>
    <w:rsid w:val="004C3D1D"/>
    <w:rsid w:val="004C7913"/>
    <w:rsid w:val="004D360E"/>
    <w:rsid w:val="004D544D"/>
    <w:rsid w:val="004E3897"/>
    <w:rsid w:val="004E4DD6"/>
    <w:rsid w:val="004E6366"/>
    <w:rsid w:val="004F38EC"/>
    <w:rsid w:val="004F56C8"/>
    <w:rsid w:val="004F5E36"/>
    <w:rsid w:val="00507B47"/>
    <w:rsid w:val="00507BEF"/>
    <w:rsid w:val="00507CC9"/>
    <w:rsid w:val="005119A5"/>
    <w:rsid w:val="005157FD"/>
    <w:rsid w:val="005278B7"/>
    <w:rsid w:val="00532016"/>
    <w:rsid w:val="005346C8"/>
    <w:rsid w:val="005353FD"/>
    <w:rsid w:val="005422EB"/>
    <w:rsid w:val="00543E7D"/>
    <w:rsid w:val="00547A68"/>
    <w:rsid w:val="005531C9"/>
    <w:rsid w:val="00563256"/>
    <w:rsid w:val="00567B55"/>
    <w:rsid w:val="00570C43"/>
    <w:rsid w:val="00582507"/>
    <w:rsid w:val="00587C6D"/>
    <w:rsid w:val="005B1113"/>
    <w:rsid w:val="005B2110"/>
    <w:rsid w:val="005B3091"/>
    <w:rsid w:val="005B5AD8"/>
    <w:rsid w:val="005B61E6"/>
    <w:rsid w:val="005C3026"/>
    <w:rsid w:val="005C77E1"/>
    <w:rsid w:val="005D26F3"/>
    <w:rsid w:val="005D668A"/>
    <w:rsid w:val="005D6A2F"/>
    <w:rsid w:val="005E0B58"/>
    <w:rsid w:val="005E0FCF"/>
    <w:rsid w:val="005E1A82"/>
    <w:rsid w:val="005E794C"/>
    <w:rsid w:val="005F0A28"/>
    <w:rsid w:val="005F0E5E"/>
    <w:rsid w:val="00600535"/>
    <w:rsid w:val="00605E10"/>
    <w:rsid w:val="00610CD6"/>
    <w:rsid w:val="0061403E"/>
    <w:rsid w:val="00620DEE"/>
    <w:rsid w:val="00621F92"/>
    <w:rsid w:val="0062280A"/>
    <w:rsid w:val="00625639"/>
    <w:rsid w:val="00630947"/>
    <w:rsid w:val="00631B33"/>
    <w:rsid w:val="006404E1"/>
    <w:rsid w:val="0064184D"/>
    <w:rsid w:val="006422CC"/>
    <w:rsid w:val="006543B6"/>
    <w:rsid w:val="00657425"/>
    <w:rsid w:val="00660E3E"/>
    <w:rsid w:val="00662E74"/>
    <w:rsid w:val="006674A2"/>
    <w:rsid w:val="00677F30"/>
    <w:rsid w:val="00680C23"/>
    <w:rsid w:val="00692279"/>
    <w:rsid w:val="00693766"/>
    <w:rsid w:val="006944B0"/>
    <w:rsid w:val="00695E6F"/>
    <w:rsid w:val="00697A62"/>
    <w:rsid w:val="006A3281"/>
    <w:rsid w:val="006B3704"/>
    <w:rsid w:val="006B4888"/>
    <w:rsid w:val="006C2E45"/>
    <w:rsid w:val="006C359C"/>
    <w:rsid w:val="006C5579"/>
    <w:rsid w:val="006C6825"/>
    <w:rsid w:val="006D3448"/>
    <w:rsid w:val="006D3D33"/>
    <w:rsid w:val="006D6E8B"/>
    <w:rsid w:val="006E18C0"/>
    <w:rsid w:val="006E3D02"/>
    <w:rsid w:val="006E737D"/>
    <w:rsid w:val="00707D59"/>
    <w:rsid w:val="00720A24"/>
    <w:rsid w:val="00732386"/>
    <w:rsid w:val="0073514D"/>
    <w:rsid w:val="007447F3"/>
    <w:rsid w:val="007462F2"/>
    <w:rsid w:val="0075499F"/>
    <w:rsid w:val="00756D36"/>
    <w:rsid w:val="0076023F"/>
    <w:rsid w:val="007661C8"/>
    <w:rsid w:val="0077098D"/>
    <w:rsid w:val="00781F8C"/>
    <w:rsid w:val="0078629E"/>
    <w:rsid w:val="007931FA"/>
    <w:rsid w:val="007946D5"/>
    <w:rsid w:val="007A4861"/>
    <w:rsid w:val="007A5431"/>
    <w:rsid w:val="007A7BBA"/>
    <w:rsid w:val="007B0C50"/>
    <w:rsid w:val="007B39CB"/>
    <w:rsid w:val="007C1A43"/>
    <w:rsid w:val="007D7C5C"/>
    <w:rsid w:val="007E4F96"/>
    <w:rsid w:val="0080013E"/>
    <w:rsid w:val="00813288"/>
    <w:rsid w:val="0081361D"/>
    <w:rsid w:val="00814D86"/>
    <w:rsid w:val="008168FC"/>
    <w:rsid w:val="00820D27"/>
    <w:rsid w:val="0082279E"/>
    <w:rsid w:val="00830996"/>
    <w:rsid w:val="008345F1"/>
    <w:rsid w:val="00846D99"/>
    <w:rsid w:val="00865B07"/>
    <w:rsid w:val="008667EA"/>
    <w:rsid w:val="008672C0"/>
    <w:rsid w:val="00873B9D"/>
    <w:rsid w:val="0087637F"/>
    <w:rsid w:val="00876A41"/>
    <w:rsid w:val="00884CEA"/>
    <w:rsid w:val="00892AD5"/>
    <w:rsid w:val="008A1512"/>
    <w:rsid w:val="008A2CCA"/>
    <w:rsid w:val="008A46E5"/>
    <w:rsid w:val="008A7043"/>
    <w:rsid w:val="008B29AF"/>
    <w:rsid w:val="008B4744"/>
    <w:rsid w:val="008D32B9"/>
    <w:rsid w:val="008D433B"/>
    <w:rsid w:val="008E566E"/>
    <w:rsid w:val="008F2C23"/>
    <w:rsid w:val="0090161A"/>
    <w:rsid w:val="00901EB6"/>
    <w:rsid w:val="0090304D"/>
    <w:rsid w:val="00904C62"/>
    <w:rsid w:val="009060F5"/>
    <w:rsid w:val="00922BA8"/>
    <w:rsid w:val="00924DAC"/>
    <w:rsid w:val="00925696"/>
    <w:rsid w:val="00927058"/>
    <w:rsid w:val="00933F8C"/>
    <w:rsid w:val="00942750"/>
    <w:rsid w:val="00944C3D"/>
    <w:rsid w:val="009450CE"/>
    <w:rsid w:val="009453C2"/>
    <w:rsid w:val="00947179"/>
    <w:rsid w:val="0095164B"/>
    <w:rsid w:val="00954090"/>
    <w:rsid w:val="009573E7"/>
    <w:rsid w:val="00961FC8"/>
    <w:rsid w:val="00963E05"/>
    <w:rsid w:val="0096754E"/>
    <w:rsid w:val="00967843"/>
    <w:rsid w:val="00967D54"/>
    <w:rsid w:val="00971028"/>
    <w:rsid w:val="00996483"/>
    <w:rsid w:val="00996F5A"/>
    <w:rsid w:val="009B041A"/>
    <w:rsid w:val="009C1529"/>
    <w:rsid w:val="009C218A"/>
    <w:rsid w:val="009C37C3"/>
    <w:rsid w:val="009C7C86"/>
    <w:rsid w:val="009D22A4"/>
    <w:rsid w:val="009D2FF7"/>
    <w:rsid w:val="009D48AC"/>
    <w:rsid w:val="009E450E"/>
    <w:rsid w:val="009E7884"/>
    <w:rsid w:val="009E788A"/>
    <w:rsid w:val="009F0AD8"/>
    <w:rsid w:val="009F0E08"/>
    <w:rsid w:val="009F61B3"/>
    <w:rsid w:val="009F628E"/>
    <w:rsid w:val="00A06115"/>
    <w:rsid w:val="00A13FC4"/>
    <w:rsid w:val="00A1763D"/>
    <w:rsid w:val="00A17CEC"/>
    <w:rsid w:val="00A20A8C"/>
    <w:rsid w:val="00A23283"/>
    <w:rsid w:val="00A27EF0"/>
    <w:rsid w:val="00A42361"/>
    <w:rsid w:val="00A43711"/>
    <w:rsid w:val="00A50B20"/>
    <w:rsid w:val="00A51390"/>
    <w:rsid w:val="00A5703E"/>
    <w:rsid w:val="00A60D13"/>
    <w:rsid w:val="00A64D80"/>
    <w:rsid w:val="00A7071E"/>
    <w:rsid w:val="00A723DC"/>
    <w:rsid w:val="00A72745"/>
    <w:rsid w:val="00A76EFC"/>
    <w:rsid w:val="00A804E2"/>
    <w:rsid w:val="00A91010"/>
    <w:rsid w:val="00A97F29"/>
    <w:rsid w:val="00AA07C1"/>
    <w:rsid w:val="00AA702E"/>
    <w:rsid w:val="00AB0964"/>
    <w:rsid w:val="00AB1931"/>
    <w:rsid w:val="00AB449E"/>
    <w:rsid w:val="00AB5011"/>
    <w:rsid w:val="00AB6B3C"/>
    <w:rsid w:val="00AC7368"/>
    <w:rsid w:val="00AD16B9"/>
    <w:rsid w:val="00AE377D"/>
    <w:rsid w:val="00AF0EBA"/>
    <w:rsid w:val="00AF46BC"/>
    <w:rsid w:val="00AF4A7B"/>
    <w:rsid w:val="00B00971"/>
    <w:rsid w:val="00B02C8A"/>
    <w:rsid w:val="00B17FBD"/>
    <w:rsid w:val="00B26030"/>
    <w:rsid w:val="00B315A6"/>
    <w:rsid w:val="00B31813"/>
    <w:rsid w:val="00B33365"/>
    <w:rsid w:val="00B3466D"/>
    <w:rsid w:val="00B57B36"/>
    <w:rsid w:val="00B63DE6"/>
    <w:rsid w:val="00B8686D"/>
    <w:rsid w:val="00B9043C"/>
    <w:rsid w:val="00BA4A94"/>
    <w:rsid w:val="00BB1DDC"/>
    <w:rsid w:val="00BB71A2"/>
    <w:rsid w:val="00BC30C9"/>
    <w:rsid w:val="00BD0A83"/>
    <w:rsid w:val="00BE078C"/>
    <w:rsid w:val="00BE3E58"/>
    <w:rsid w:val="00BE4F32"/>
    <w:rsid w:val="00C01616"/>
    <w:rsid w:val="00C0162B"/>
    <w:rsid w:val="00C05A2A"/>
    <w:rsid w:val="00C068ED"/>
    <w:rsid w:val="00C10BE5"/>
    <w:rsid w:val="00C345B1"/>
    <w:rsid w:val="00C40142"/>
    <w:rsid w:val="00C55D8D"/>
    <w:rsid w:val="00C57182"/>
    <w:rsid w:val="00C57863"/>
    <w:rsid w:val="00C639AB"/>
    <w:rsid w:val="00C655FD"/>
    <w:rsid w:val="00C75407"/>
    <w:rsid w:val="00C822AE"/>
    <w:rsid w:val="00C870A8"/>
    <w:rsid w:val="00C94434"/>
    <w:rsid w:val="00CA0D75"/>
    <w:rsid w:val="00CA1C95"/>
    <w:rsid w:val="00CA5A9C"/>
    <w:rsid w:val="00CC4C20"/>
    <w:rsid w:val="00CD3517"/>
    <w:rsid w:val="00CD3E46"/>
    <w:rsid w:val="00CD48B0"/>
    <w:rsid w:val="00CD5FE2"/>
    <w:rsid w:val="00CE1F72"/>
    <w:rsid w:val="00CE7C68"/>
    <w:rsid w:val="00CF69EA"/>
    <w:rsid w:val="00D00CED"/>
    <w:rsid w:val="00D02B4C"/>
    <w:rsid w:val="00D040C4"/>
    <w:rsid w:val="00D141AF"/>
    <w:rsid w:val="00D21930"/>
    <w:rsid w:val="00D42638"/>
    <w:rsid w:val="00D57C84"/>
    <w:rsid w:val="00D6057D"/>
    <w:rsid w:val="00D66306"/>
    <w:rsid w:val="00D67CD0"/>
    <w:rsid w:val="00D71444"/>
    <w:rsid w:val="00D72072"/>
    <w:rsid w:val="00D836C5"/>
    <w:rsid w:val="00D83EC9"/>
    <w:rsid w:val="00D84576"/>
    <w:rsid w:val="00D87DEA"/>
    <w:rsid w:val="00DA1399"/>
    <w:rsid w:val="00DA24C6"/>
    <w:rsid w:val="00DA4D7B"/>
    <w:rsid w:val="00DB5FAB"/>
    <w:rsid w:val="00DC0E0F"/>
    <w:rsid w:val="00DE0231"/>
    <w:rsid w:val="00DE0E81"/>
    <w:rsid w:val="00DE264A"/>
    <w:rsid w:val="00DF5072"/>
    <w:rsid w:val="00DF6020"/>
    <w:rsid w:val="00E02D18"/>
    <w:rsid w:val="00E041E7"/>
    <w:rsid w:val="00E04350"/>
    <w:rsid w:val="00E13C57"/>
    <w:rsid w:val="00E23CA1"/>
    <w:rsid w:val="00E34AE1"/>
    <w:rsid w:val="00E409A8"/>
    <w:rsid w:val="00E4443B"/>
    <w:rsid w:val="00E50C12"/>
    <w:rsid w:val="00E56E98"/>
    <w:rsid w:val="00E65B91"/>
    <w:rsid w:val="00E7209D"/>
    <w:rsid w:val="00E73325"/>
    <w:rsid w:val="00E74B4A"/>
    <w:rsid w:val="00E77223"/>
    <w:rsid w:val="00E83FAC"/>
    <w:rsid w:val="00E8528B"/>
    <w:rsid w:val="00E85B94"/>
    <w:rsid w:val="00E95A00"/>
    <w:rsid w:val="00E96BDE"/>
    <w:rsid w:val="00E978D0"/>
    <w:rsid w:val="00EA4613"/>
    <w:rsid w:val="00EA7519"/>
    <w:rsid w:val="00EA7F91"/>
    <w:rsid w:val="00EB1523"/>
    <w:rsid w:val="00EB22E5"/>
    <w:rsid w:val="00EC020F"/>
    <w:rsid w:val="00EC0E49"/>
    <w:rsid w:val="00EC101F"/>
    <w:rsid w:val="00EC1D9F"/>
    <w:rsid w:val="00EC22F1"/>
    <w:rsid w:val="00ED15A4"/>
    <w:rsid w:val="00EE0131"/>
    <w:rsid w:val="00EE014B"/>
    <w:rsid w:val="00EE114C"/>
    <w:rsid w:val="00EE17B0"/>
    <w:rsid w:val="00EF06D9"/>
    <w:rsid w:val="00F00BA0"/>
    <w:rsid w:val="00F30C64"/>
    <w:rsid w:val="00F32CDB"/>
    <w:rsid w:val="00F4286B"/>
    <w:rsid w:val="00F46F46"/>
    <w:rsid w:val="00F53BEE"/>
    <w:rsid w:val="00F565FE"/>
    <w:rsid w:val="00F63A70"/>
    <w:rsid w:val="00F75C13"/>
    <w:rsid w:val="00F8369E"/>
    <w:rsid w:val="00F8596B"/>
    <w:rsid w:val="00F87D37"/>
    <w:rsid w:val="00FA21D0"/>
    <w:rsid w:val="00FA5F5F"/>
    <w:rsid w:val="00FB0694"/>
    <w:rsid w:val="00FB730C"/>
    <w:rsid w:val="00FC1679"/>
    <w:rsid w:val="00FC2695"/>
    <w:rsid w:val="00FC3E03"/>
    <w:rsid w:val="00FC3FC1"/>
    <w:rsid w:val="00FC7510"/>
    <w:rsid w:val="00FD3E85"/>
    <w:rsid w:val="00FD5033"/>
    <w:rsid w:val="00FD546B"/>
    <w:rsid w:val="00FE2F5F"/>
    <w:rsid w:val="00FE66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FC97833-9DB3-470D-A2B9-C8196727C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qFormat/>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92279"/>
    <w:pPr>
      <w:keepNext/>
      <w:suppressAutoHyphens/>
      <w:spacing w:after="120" w:line="240" w:lineRule="auto"/>
      <w:ind w:right="-284"/>
    </w:pPr>
    <w:rPr>
      <w:rFonts w:ascii="Arial" w:eastAsia="Times New Roman" w:hAnsi="Arial" w:cs="Times New Roman"/>
      <w:b/>
      <w:sz w:val="18"/>
      <w:szCs w:val="18"/>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92279"/>
    <w:rPr>
      <w:rFonts w:ascii="Arial" w:eastAsia="Times New Roman" w:hAnsi="Arial" w:cs="Times New Roman"/>
      <w:b/>
      <w:sz w:val="18"/>
      <w:szCs w:val="18"/>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hps">
    <w:name w:val="hps"/>
    <w:rsid w:val="00E13C57"/>
  </w:style>
  <w:style w:type="character" w:styleId="TextodoEspaoReservado">
    <w:name w:val="Placeholder Text"/>
    <w:basedOn w:val="Fontepargpadro"/>
    <w:uiPriority w:val="99"/>
    <w:semiHidden/>
    <w:rsid w:val="00E56E98"/>
    <w:rPr>
      <w:color w:val="808080"/>
    </w:rPr>
  </w:style>
  <w:style w:type="character" w:styleId="MenoPendente">
    <w:name w:val="Unresolved Mention"/>
    <w:basedOn w:val="Fontepargpadro"/>
    <w:uiPriority w:val="99"/>
    <w:semiHidden/>
    <w:unhideWhenUsed/>
    <w:rsid w:val="0082279E"/>
    <w:rPr>
      <w:color w:val="605E5C"/>
      <w:shd w:val="clear" w:color="auto" w:fill="E1DFDD"/>
    </w:rPr>
  </w:style>
  <w:style w:type="character" w:customStyle="1" w:styleId="longtext">
    <w:name w:val="long_text"/>
    <w:rsid w:val="009D22A4"/>
  </w:style>
  <w:style w:type="table" w:styleId="SimplesTabela2">
    <w:name w:val="Plain Table 2"/>
    <w:basedOn w:val="Tabelanormal"/>
    <w:uiPriority w:val="42"/>
    <w:rsid w:val="009D22A4"/>
    <w:pPr>
      <w:spacing w:after="0" w:line="240" w:lineRule="auto"/>
    </w:pPr>
    <w:rPr>
      <w:rFonts w:ascii="Calibri" w:eastAsia="Calibri" w:hAnsi="Calibri" w:cs="Calibri"/>
      <w:sz w:val="21"/>
      <w:szCs w:val="21"/>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grafodaLista">
    <w:name w:val="List Paragraph"/>
    <w:basedOn w:val="Normal"/>
    <w:uiPriority w:val="34"/>
    <w:rsid w:val="00FE2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78479">
      <w:bodyDiv w:val="1"/>
      <w:marLeft w:val="0"/>
      <w:marRight w:val="0"/>
      <w:marTop w:val="0"/>
      <w:marBottom w:val="0"/>
      <w:divBdr>
        <w:top w:val="none" w:sz="0" w:space="0" w:color="auto"/>
        <w:left w:val="none" w:sz="0" w:space="0" w:color="auto"/>
        <w:bottom w:val="none" w:sz="0" w:space="0" w:color="auto"/>
        <w:right w:val="none" w:sz="0" w:space="0" w:color="auto"/>
      </w:divBdr>
    </w:div>
    <w:div w:id="480586107">
      <w:bodyDiv w:val="1"/>
      <w:marLeft w:val="0"/>
      <w:marRight w:val="0"/>
      <w:marTop w:val="0"/>
      <w:marBottom w:val="0"/>
      <w:divBdr>
        <w:top w:val="none" w:sz="0" w:space="0" w:color="auto"/>
        <w:left w:val="none" w:sz="0" w:space="0" w:color="auto"/>
        <w:bottom w:val="none" w:sz="0" w:space="0" w:color="auto"/>
        <w:right w:val="none" w:sz="0" w:space="0" w:color="auto"/>
      </w:divBdr>
    </w:div>
    <w:div w:id="506333614">
      <w:bodyDiv w:val="1"/>
      <w:marLeft w:val="0"/>
      <w:marRight w:val="0"/>
      <w:marTop w:val="0"/>
      <w:marBottom w:val="0"/>
      <w:divBdr>
        <w:top w:val="none" w:sz="0" w:space="0" w:color="auto"/>
        <w:left w:val="none" w:sz="0" w:space="0" w:color="auto"/>
        <w:bottom w:val="none" w:sz="0" w:space="0" w:color="auto"/>
        <w:right w:val="none" w:sz="0" w:space="0" w:color="auto"/>
      </w:divBdr>
    </w:div>
    <w:div w:id="625741648">
      <w:bodyDiv w:val="1"/>
      <w:marLeft w:val="0"/>
      <w:marRight w:val="0"/>
      <w:marTop w:val="0"/>
      <w:marBottom w:val="0"/>
      <w:divBdr>
        <w:top w:val="none" w:sz="0" w:space="0" w:color="auto"/>
        <w:left w:val="none" w:sz="0" w:space="0" w:color="auto"/>
        <w:bottom w:val="none" w:sz="0" w:space="0" w:color="auto"/>
        <w:right w:val="none" w:sz="0" w:space="0" w:color="auto"/>
      </w:divBdr>
    </w:div>
    <w:div w:id="70622150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090">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120">
      <w:bodyDiv w:val="1"/>
      <w:marLeft w:val="0"/>
      <w:marRight w:val="0"/>
      <w:marTop w:val="0"/>
      <w:marBottom w:val="0"/>
      <w:divBdr>
        <w:top w:val="none" w:sz="0" w:space="0" w:color="auto"/>
        <w:left w:val="none" w:sz="0" w:space="0" w:color="auto"/>
        <w:bottom w:val="none" w:sz="0" w:space="0" w:color="auto"/>
        <w:right w:val="none" w:sz="0" w:space="0" w:color="auto"/>
      </w:divBdr>
    </w:div>
    <w:div w:id="1235630134">
      <w:bodyDiv w:val="1"/>
      <w:marLeft w:val="0"/>
      <w:marRight w:val="0"/>
      <w:marTop w:val="0"/>
      <w:marBottom w:val="0"/>
      <w:divBdr>
        <w:top w:val="none" w:sz="0" w:space="0" w:color="auto"/>
        <w:left w:val="none" w:sz="0" w:space="0" w:color="auto"/>
        <w:bottom w:val="none" w:sz="0" w:space="0" w:color="auto"/>
        <w:right w:val="none" w:sz="0" w:space="0" w:color="auto"/>
      </w:divBdr>
    </w:div>
    <w:div w:id="147549042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21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F36CC-2D6B-4815-AD6E-F32C5EFF8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21543</TotalTime>
  <Pages>6</Pages>
  <Words>3447</Words>
  <Characters>18620</Characters>
  <Application>Microsoft Office Word</Application>
  <DocSecurity>0</DocSecurity>
  <Lines>155</Lines>
  <Paragraphs>44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ritaf78@gmail.com</cp:lastModifiedBy>
  <cp:revision>81</cp:revision>
  <cp:lastPrinted>2024-01-28T03:04:00Z</cp:lastPrinted>
  <dcterms:created xsi:type="dcterms:W3CDTF">2021-04-07T15:36:00Z</dcterms:created>
  <dcterms:modified xsi:type="dcterms:W3CDTF">2024-02-14T16:46:00Z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