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9409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9409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94098">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 xml:space="preserve">Marco Bravi, Antonio </w:t>
            </w:r>
            <w:proofErr w:type="spellStart"/>
            <w:r w:rsidR="00843EAC">
              <w:rPr>
                <w:rFonts w:ascii="Tahoma" w:hAnsi="Tahoma" w:cs="Tahoma"/>
                <w:color w:val="000000"/>
                <w:sz w:val="14"/>
                <w:szCs w:val="14"/>
                <w:shd w:val="clear" w:color="auto" w:fill="FFFFFF"/>
                <w:lang w:val="it-IT"/>
              </w:rPr>
              <w:t>Marzocchella</w:t>
            </w:r>
            <w:proofErr w:type="spellEnd"/>
            <w:r w:rsidR="00843EAC">
              <w:rPr>
                <w:rFonts w:ascii="Tahoma" w:hAnsi="Tahoma" w:cs="Tahoma"/>
                <w:color w:val="000000"/>
                <w:sz w:val="14"/>
                <w:szCs w:val="14"/>
                <w:shd w:val="clear" w:color="auto" w:fill="FFFFFF"/>
                <w:lang w:val="it-IT"/>
              </w:rPr>
              <w:t>,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30E4EA96" w14:textId="77777777" w:rsidR="00B94098" w:rsidRDefault="00B94098" w:rsidP="00247043">
      <w:pPr>
        <w:pStyle w:val="CETAuthors"/>
        <w:jc w:val="center"/>
        <w:rPr>
          <w:noProof w:val="0"/>
          <w:sz w:val="32"/>
        </w:rPr>
      </w:pPr>
      <w:r w:rsidRPr="00B94098">
        <w:rPr>
          <w:noProof w:val="0"/>
          <w:sz w:val="32"/>
        </w:rPr>
        <w:t xml:space="preserve">An airlift perfusion bioreactor for Tissue Engineering applications: from computational </w:t>
      </w:r>
      <w:proofErr w:type="spellStart"/>
      <w:r w:rsidRPr="00B94098">
        <w:rPr>
          <w:noProof w:val="0"/>
          <w:sz w:val="32"/>
        </w:rPr>
        <w:t>modeling</w:t>
      </w:r>
      <w:proofErr w:type="spellEnd"/>
      <w:r w:rsidRPr="00B94098">
        <w:rPr>
          <w:noProof w:val="0"/>
          <w:sz w:val="32"/>
        </w:rPr>
        <w:t xml:space="preserve"> to experimental validation</w:t>
      </w:r>
    </w:p>
    <w:p w14:paraId="6B2D21B3" w14:textId="405DDD83" w:rsidR="00B57E6F" w:rsidRPr="00B94098" w:rsidRDefault="00B94098" w:rsidP="00B94098">
      <w:pPr>
        <w:pStyle w:val="CETAuthors"/>
        <w:rPr>
          <w:lang w:val="it-IT"/>
        </w:rPr>
      </w:pPr>
      <w:r w:rsidRPr="00B94098">
        <w:rPr>
          <w:lang w:val="it-IT"/>
        </w:rPr>
        <w:t>Elisa Capuana</w:t>
      </w:r>
      <w:r w:rsidR="00B57E6F" w:rsidRPr="00B94098">
        <w:rPr>
          <w:vertAlign w:val="superscript"/>
          <w:lang w:val="it-IT"/>
        </w:rPr>
        <w:t>a</w:t>
      </w:r>
      <w:r w:rsidRPr="00B94098">
        <w:rPr>
          <w:vertAlign w:val="superscript"/>
          <w:lang w:val="it-IT"/>
        </w:rPr>
        <w:t>,*</w:t>
      </w:r>
      <w:r w:rsidR="00B57E6F" w:rsidRPr="00B94098">
        <w:rPr>
          <w:lang w:val="it-IT"/>
        </w:rPr>
        <w:t xml:space="preserve">, </w:t>
      </w:r>
      <w:r w:rsidRPr="00B94098">
        <w:rPr>
          <w:lang w:val="it-IT"/>
        </w:rPr>
        <w:t>Camilla Carbone</w:t>
      </w:r>
      <w:r>
        <w:rPr>
          <w:vertAlign w:val="superscript"/>
          <w:lang w:val="it-IT"/>
        </w:rPr>
        <w:t>a</w:t>
      </w:r>
      <w:r w:rsidRPr="00B94098">
        <w:rPr>
          <w:lang w:val="it-IT"/>
        </w:rPr>
        <w:t>,</w:t>
      </w:r>
      <w:r>
        <w:rPr>
          <w:lang w:val="it-IT"/>
        </w:rPr>
        <w:t xml:space="preserve"> </w:t>
      </w:r>
      <w:r w:rsidRPr="00B94098">
        <w:rPr>
          <w:lang w:val="it-IT"/>
        </w:rPr>
        <w:t>Francesco Carfì Pavia</w:t>
      </w:r>
      <w:r>
        <w:rPr>
          <w:vertAlign w:val="superscript"/>
          <w:lang w:val="it-IT"/>
        </w:rPr>
        <w:t>a</w:t>
      </w:r>
      <w:r w:rsidRPr="00B94098">
        <w:rPr>
          <w:lang w:val="it-IT"/>
        </w:rPr>
        <w:t>,</w:t>
      </w:r>
      <w:r>
        <w:rPr>
          <w:lang w:val="it-IT"/>
        </w:rPr>
        <w:t xml:space="preserve"> </w:t>
      </w:r>
      <w:r w:rsidRPr="00B94098">
        <w:rPr>
          <w:lang w:val="it-IT"/>
        </w:rPr>
        <w:t>Giulio Ghersi</w:t>
      </w:r>
      <w:r w:rsidRPr="00B94098">
        <w:rPr>
          <w:vertAlign w:val="superscript"/>
          <w:lang w:val="it-IT"/>
        </w:rPr>
        <w:t>b</w:t>
      </w:r>
      <w:r w:rsidRPr="00B94098">
        <w:rPr>
          <w:lang w:val="it-IT"/>
        </w:rPr>
        <w:t>, Vincenzo La Carrubba</w:t>
      </w:r>
      <w:r>
        <w:rPr>
          <w:vertAlign w:val="superscript"/>
          <w:lang w:val="it-IT"/>
        </w:rPr>
        <w:t>a</w:t>
      </w:r>
      <w:r w:rsidRPr="00B94098">
        <w:rPr>
          <w:lang w:val="it-IT"/>
        </w:rPr>
        <w:t>,</w:t>
      </w:r>
      <w:r>
        <w:rPr>
          <w:lang w:val="it-IT"/>
        </w:rPr>
        <w:t xml:space="preserve"> </w:t>
      </w:r>
      <w:r w:rsidRPr="00B94098">
        <w:rPr>
          <w:lang w:val="it-IT"/>
        </w:rPr>
        <w:t>Valerio Brucato</w:t>
      </w:r>
      <w:r>
        <w:rPr>
          <w:vertAlign w:val="superscript"/>
          <w:lang w:val="it-IT"/>
        </w:rPr>
        <w:t>a</w:t>
      </w:r>
    </w:p>
    <w:p w14:paraId="6DF9378F" w14:textId="46112A83" w:rsidR="00B94098" w:rsidRDefault="00B94098" w:rsidP="00B94098">
      <w:pPr>
        <w:pStyle w:val="CETAddress"/>
      </w:pPr>
      <w:r>
        <w:rPr>
          <w:vertAlign w:val="superscript"/>
        </w:rPr>
        <w:t>a</w:t>
      </w:r>
      <w:r w:rsidRPr="00B94098">
        <w:t>Department of Engineering, University of Palermo, RU INSTM, Viale delle Scienze, 901</w:t>
      </w:r>
      <w:r>
        <w:t>28</w:t>
      </w:r>
      <w:r w:rsidRPr="00B94098">
        <w:t xml:space="preserve"> Palermo, Italy </w:t>
      </w:r>
    </w:p>
    <w:p w14:paraId="32DE180F" w14:textId="1699A96D" w:rsidR="00B94098" w:rsidRDefault="00C36E12" w:rsidP="00B94098">
      <w:pPr>
        <w:pStyle w:val="CETAddress"/>
      </w:pPr>
      <w:r>
        <w:rPr>
          <w:vertAlign w:val="superscript"/>
        </w:rPr>
        <w:t>b</w:t>
      </w:r>
      <w:r w:rsidR="00B94098" w:rsidRPr="00B94098">
        <w:t xml:space="preserve"> Department of Biological, Chemical and Pharmaceutical Sciences and Technologies [STEBICEF] University of Palermo, Viale delle Scienze, Ed. 16, 90128 Palermo, Italy </w:t>
      </w:r>
    </w:p>
    <w:p w14:paraId="37799B2D" w14:textId="77777777" w:rsidR="00B94098" w:rsidRDefault="00B94098" w:rsidP="00B94098">
      <w:pPr>
        <w:pStyle w:val="CETAddress"/>
      </w:pPr>
    </w:p>
    <w:p w14:paraId="73F1267A" w14:textId="4661F826" w:rsidR="00B57E6F" w:rsidRPr="00B57B36" w:rsidRDefault="00B94098" w:rsidP="00B94098">
      <w:pPr>
        <w:pStyle w:val="CETAddress"/>
      </w:pPr>
      <w:r>
        <w:t>elisa.capuana@unipa.it</w:t>
      </w:r>
    </w:p>
    <w:p w14:paraId="1178804F" w14:textId="44B03C5E" w:rsidR="00963430" w:rsidRDefault="00963430" w:rsidP="00963430">
      <w:pPr>
        <w:pStyle w:val="CETListbullets"/>
        <w:ind w:left="0" w:firstLine="0"/>
      </w:pPr>
    </w:p>
    <w:p w14:paraId="6644B743" w14:textId="77777777" w:rsidR="000B5C15" w:rsidRPr="000B5C15" w:rsidRDefault="000B5C15" w:rsidP="000B5C15">
      <w:pPr>
        <w:pStyle w:val="CETHeading1"/>
        <w:numPr>
          <w:ilvl w:val="0"/>
          <w:numId w:val="0"/>
        </w:numPr>
        <w:spacing w:before="0" w:line="276" w:lineRule="auto"/>
        <w:jc w:val="both"/>
        <w:rPr>
          <w:b w:val="0"/>
          <w:bCs/>
          <w:lang w:val="en-GB"/>
        </w:rPr>
      </w:pPr>
      <w:r w:rsidRPr="000B5C15">
        <w:rPr>
          <w:b w:val="0"/>
          <w:sz w:val="18"/>
        </w:rPr>
        <w:t>Tissue engineering (TE) offers promising solutions for regenerative medicine through the use of porous scaffolds and cells, providing a favorable environment for the production of functional three-dimensional (3D) tissues. However, TE strategies have faced physiological limitations with static three-dimensional culture alone, and perfusion bioreactors provide a controlled environment that better mimics native tissue. In this study, we present the optimized geometry of an existing custom-made perfusion bioreactor that utilizes an external airlift circulation loop, essentially a specially structured bubble column designed for the simultaneous allocation of multiple seeded scaffolds. By reducing volumes and materials, the optimized system maintains the same level of reliability and functionality. The study employs computational fluid dynamics (CFD) analysis and a mathematical model to gain insights into fluid flow and oxygen transport, respectively. Therefore, in line with the increasingly recognized trend of device miniaturization, scaling down the initial device would enable high-speed analysis of cellular response in perfused cultures, allowing the study of various morphologies, different cell populations, or different drug treatments. Furthermore, the possibility of creating series and parallel connections between multiple devices, while maintaining dimensions suitable for incubator insertion, demonstrates the potential of this system for testing engineered constructs while simultaneously enabling time and cost reduction compared to existing perfusion devices in the field of Tissue Engineering.</w:t>
      </w:r>
    </w:p>
    <w:p w14:paraId="476B2F2E" w14:textId="7670F3C5" w:rsidR="00600535" w:rsidRPr="00730B18" w:rsidRDefault="00600535" w:rsidP="00600535">
      <w:pPr>
        <w:pStyle w:val="CETHeading1"/>
        <w:rPr>
          <w:b w:val="0"/>
          <w:bCs/>
          <w:lang w:val="en-GB"/>
        </w:rPr>
      </w:pPr>
      <w:r w:rsidRPr="00B57B36">
        <w:rPr>
          <w:lang w:val="en-GB"/>
        </w:rPr>
        <w:t>Introduction</w:t>
      </w:r>
    </w:p>
    <w:p w14:paraId="1512698C" w14:textId="7B4B44C6" w:rsidR="008123F0" w:rsidRPr="00AC37CF" w:rsidRDefault="00F87321" w:rsidP="00AC37CF">
      <w:pPr>
        <w:pStyle w:val="CETBodytext"/>
      </w:pPr>
      <w:r w:rsidRPr="00AC37CF">
        <w:t xml:space="preserve">Tissue engineering (TE) stands at the forefront of regenerative medicine, offering innovative approaches to address the limitations of traditional therapeutic methods. Central to TE is the development of three-dimensional (3D) tissues through the strategic integration of porous scaffolds and cells, creating an environment conducive to functional tissue production. Despite the promise of this paradigm, challenges arise from physiological limitations associated with static 3D cultures. Recognizing this, perfusion bioreactors have emerged as a </w:t>
      </w:r>
      <w:r w:rsidR="00270E7A">
        <w:t>key</w:t>
      </w:r>
      <w:r w:rsidRPr="00AC37CF">
        <w:t xml:space="preserve"> tool in tissue engineering, providing a controlled environment that closely mimics the native tissue microenvironment</w:t>
      </w:r>
      <w:r w:rsidR="00C72208">
        <w:t xml:space="preserve"> </w:t>
      </w:r>
      <w:r w:rsidR="00C72208">
        <w:fldChar w:fldCharType="begin" w:fldLock="1"/>
      </w:r>
      <w:r w:rsidR="00C72208">
        <w:instrText>ADDIN CSL_CITATION {"citationItems":[{"id":"ITEM-1","itemData":{"DOI":"10.3303/CET1332193","ISBN":"9788895608235","ISSN":"22839216","abstract":"Bioprinting of tissues and organs can be defined as layer-by-layer additive robotic biofabrication of threedimensional functional living macrotissues and organ constructs using tissue spheroids as building blocks. The microtissues and tissue spheroids are living materials with certain measurable, evolving and potentially controllable composition, material and biological properties. Closely placed tissue spheroids undergo tissue fusion, a process that represents a fundamental biological and biophysical principle of developmental biology-inspired directed tissue self-assembly. After the tissue spheroids structuring, the tissue/organ newly made is then carried out into a bioreactor which should play an important role of providing an adequate environment to the growth and maturation of the bioproduct. Bioreactors are used to accelerate tissue maturation through the control of their mechanical, biochemical and electrical conditions. The creation of a representative environment inside the bioreactor is too complex since it can enclose a large range of variables. The simulation of this scenery is essential to the study and the success of tissues and organs bioprinting is straight linked to a set of an appropriate environment in the bioreactor that assure the feasibility, maturation, biomonitoring, tests, storing and transport of the involved elements on the generation of the new tissue such as the deposited cells and nutrients. Computational fluid dynamic (CFD) software packages have been a powerful tool to calculate flow fields, shear stresses and mass transport within and around 3D constructs, including a bioreactor environment. This work presents an initial study that reproduces the internal scenery of a bioreactor with some of the main variables through simulations based on the finite element method run on Ansys CFX package software. Copyright © 2013, AIDIC Servizi S.r.l.","author":[{"dropping-particle":"","family":"Rezende","given":"Rodrigo A.","non-dropping-particle":"","parse-names":false,"suffix":""},{"dropping-particle":"","family":"Nogueira","given":"Júlia A.","non-dropping-particle":"","parse-names":false,"suffix":""},{"dropping-particle":"","family":"F.lara","given":"Viviane","non-dropping-particle":"","parse-names":false,"suffix":""},{"dropping-particle":"","family":"Mironov","given":"Vladimir","non-dropping-particle":"","parse-names":false,"suffix":""},{"dropping-particle":"","family":"Filho","given":"Rubens M.","non-dropping-particle":"","parse-names":false,"suffix":""},{"dropping-particle":"","family":"Silva","given":"Jorge V.L.","non-dropping-particle":"Da","parse-names":false,"suffix":""}],"container-title":"Chemical Engineering Transactions","id":"ITEM-1","issued":{"date-parts":[["2013"]]},"page":"1153-1158","title":"Development of a bioreactor by computer fluid dynamics simulations for the maturation of 3D printed organs by rapid prototyping","type":"article-journal","volume":"32"},"uris":["http://www.mendeley.com/documents/?uuid=12e44c89-a6a4-461c-ac92-adc26c455994"]}],"mendeley":{"formattedCitation":"(Rezende et al. 2013)","plainTextFormattedCitation":"(Rezende et al. 2013)","previouslyFormattedCitation":"(Rezende et al. 2013)"},"properties":{"noteIndex":0},"schema":"https://github.com/citation-style-language/schema/raw/master/csl-citation.json"}</w:instrText>
      </w:r>
      <w:r w:rsidR="00C72208">
        <w:fldChar w:fldCharType="separate"/>
      </w:r>
      <w:r w:rsidR="00C72208" w:rsidRPr="00C72208">
        <w:rPr>
          <w:noProof/>
        </w:rPr>
        <w:t>(Rezende et al. 2013)</w:t>
      </w:r>
      <w:r w:rsidR="00C72208">
        <w:fldChar w:fldCharType="end"/>
      </w:r>
      <w:r w:rsidRPr="00AC37CF">
        <w:t xml:space="preserve">. </w:t>
      </w:r>
    </w:p>
    <w:p w14:paraId="68B96787" w14:textId="767DAAD8" w:rsidR="008123F0" w:rsidRPr="00AC37CF" w:rsidRDefault="00CB6972" w:rsidP="00AC37CF">
      <w:pPr>
        <w:pStyle w:val="CETBodytext"/>
      </w:pPr>
      <w:r w:rsidRPr="00CB6972">
        <w:rPr>
          <w:lang w:val="en-GB"/>
        </w:rPr>
        <w:t>The present study contributes to advancing dynamic cell culture in tissue engineering</w:t>
      </w:r>
      <w:r w:rsidR="00C96CDB">
        <w:rPr>
          <w:lang w:val="en-GB"/>
        </w:rPr>
        <w:t xml:space="preserve">, </w:t>
      </w:r>
      <w:r w:rsidRPr="00CB6972">
        <w:rPr>
          <w:lang w:val="en-GB"/>
        </w:rPr>
        <w:t>explor</w:t>
      </w:r>
      <w:r w:rsidR="00C96CDB">
        <w:rPr>
          <w:lang w:val="en-GB"/>
        </w:rPr>
        <w:t>ing</w:t>
      </w:r>
      <w:r w:rsidRPr="00CB6972">
        <w:rPr>
          <w:lang w:val="en-GB"/>
        </w:rPr>
        <w:t xml:space="preserve"> the optimization of </w:t>
      </w:r>
      <w:r w:rsidR="00C96CDB">
        <w:rPr>
          <w:lang w:val="en-GB"/>
        </w:rPr>
        <w:t>a custom-made</w:t>
      </w:r>
      <w:r w:rsidRPr="00CB6972">
        <w:rPr>
          <w:lang w:val="en-GB"/>
        </w:rPr>
        <w:t xml:space="preserve"> bioreactor's geometry</w:t>
      </w:r>
      <w:r w:rsidR="00C96CDB">
        <w:rPr>
          <w:lang w:val="en-GB"/>
        </w:rPr>
        <w:t xml:space="preserve">, thus </w:t>
      </w:r>
      <w:r w:rsidRPr="00CB6972">
        <w:rPr>
          <w:lang w:val="en-GB"/>
        </w:rPr>
        <w:t>aligning with the trend of device miniaturization for high-throughput analysis</w:t>
      </w:r>
      <w:r w:rsidR="00C96CDB">
        <w:rPr>
          <w:lang w:val="en-GB"/>
        </w:rPr>
        <w:t xml:space="preserve"> and</w:t>
      </w:r>
      <w:r w:rsidR="00C96CDB" w:rsidRPr="00CB6972">
        <w:rPr>
          <w:lang w:val="en-GB"/>
        </w:rPr>
        <w:t xml:space="preserve"> cost-effectiveness</w:t>
      </w:r>
      <w:r w:rsidRPr="00CB6972">
        <w:rPr>
          <w:lang w:val="en-GB"/>
        </w:rPr>
        <w:t>.</w:t>
      </w:r>
      <w:r w:rsidR="00EF2833">
        <w:rPr>
          <w:lang w:val="en-GB"/>
        </w:rPr>
        <w:t xml:space="preserve"> </w:t>
      </w:r>
      <w:r w:rsidR="008123F0" w:rsidRPr="00AC37CF">
        <w:t>This research builds upon two preceding studies.</w:t>
      </w:r>
      <w:r w:rsidR="00633435" w:rsidRPr="00AC37CF">
        <w:t xml:space="preserve"> In the first study, a novel external-loop airlift bioreactor was characterized through mathematical modeling, numerical simulation, and experimental investigations</w:t>
      </w:r>
      <w:r w:rsidR="00BC3E49" w:rsidRPr="00AC37CF">
        <w:t xml:space="preserve"> </w:t>
      </w:r>
      <w:r w:rsidR="00BC3E49" w:rsidRPr="00AC37CF">
        <w:fldChar w:fldCharType="begin" w:fldLock="1"/>
      </w:r>
      <w:r w:rsidR="00790D0E">
        <w:instrText>ADDIN CSL_CITATION {"citationItems":[{"id":"ITEM-1","itemData":{"DOI":"10.1016/J.BEJ.2021.108298","ISSN":"1369-703X","author":[{"dropping-particle":"","family":"Capuana","given":"Elisa","non-dropping-particle":"","parse-names":false,"suffix":""},{"dropping-particle":"","family":"Pavia","given":"Francesco Carfì","non-dropping-particle":"","parse-names":false,"suffix":""},{"dropping-particle":"","family":"Lombardo","given":"Maria Elena","non-dropping-particle":"","parse-names":false,"suffix":""},{"dropping-particle":"","family":"Rigogliuso","given":"Salvatrice","non-dropping-particle":"","parse-names":false,"suffix":""},{"dropping-particle":"","family":"Ghersi","given":"Giulio","non-dropping-particle":"","parse-names":false,"suffix":""},{"dropping-particle":"","family":"Carrubba","given":"Vincenzo","non-dropping-particle":"La","parse-names":false,"suffix":""},{"dropping-particle":"","family":"Brucato","given":"Valerio","non-dropping-particle":"","parse-names":false,"suffix":""}],"container-title":"Biochemical Engineering Journal","id":"ITEM-1","issued":{"date-parts":[["2022","12","8"]]},"page":"108298","publisher":"Elsevier","title":"Mathematical and numerical modeling of an airlift perfusion bioreactor for tissue engineering applications","type":"article-journal","volume":"178"},"uris":["http://www.mendeley.com/documents/?uuid=5c4ca7be-d524-3078-91c8-82cf15eed35b"]}],"mendeley":{"formattedCitation":"(Capuana et al. 2022)","plainTextFormattedCitation":"(Capuana et al. 2022)","previouslyFormattedCitation":"(Capuana et al. 2022)"},"properties":{"noteIndex":0},"schema":"https://github.com/citation-style-language/schema/raw/master/csl-citation.json"}</w:instrText>
      </w:r>
      <w:r w:rsidR="00BC3E49" w:rsidRPr="00AC37CF">
        <w:fldChar w:fldCharType="separate"/>
      </w:r>
      <w:r w:rsidR="001745D7" w:rsidRPr="001745D7">
        <w:rPr>
          <w:noProof/>
        </w:rPr>
        <w:t>(Capuana et al. 2022)</w:t>
      </w:r>
      <w:r w:rsidR="00BC3E49" w:rsidRPr="00AC37CF">
        <w:fldChar w:fldCharType="end"/>
      </w:r>
      <w:r w:rsidR="00633435" w:rsidRPr="00AC37CF">
        <w:t>. Hydrodynamic parameters and mass transfer of oxygen were assessed, with Computational Fluid Dynamics (CFD) simulations used to optimize the bioreactor's design. Poly-L-Lactic acid (PLLA) scaffolds, produced through Thermally Induced Phase Separation (TIPS), were seeded with fibroblasts for in vitro evaluations. In the second study, computational simulations characterized fluid flow within a perfusion bioreactor supporting multiple scaffolds</w:t>
      </w:r>
      <w:r w:rsidR="00BC3E49" w:rsidRPr="00AC37CF">
        <w:t xml:space="preserve"> </w:t>
      </w:r>
      <w:r w:rsidR="00BC3E49" w:rsidRPr="00AC37CF">
        <w:fldChar w:fldCharType="begin" w:fldLock="1"/>
      </w:r>
      <w:r w:rsidR="001745D7">
        <w:instrText>ADDIN CSL_CITATION {"citationItems":[{"id":"ITEM-1","itemData":{"DOI":"10.1016/j.bej.2022.108797","ISSN":"1369-703X","author":[{"dropping-particle":"","family":"Capuana","given":"Elisa","non-dropping-particle":"","parse-names":false,"suffix":""},{"dropping-particle":"","family":"Campora","given":"Simona","non-dropping-particle":"","parse-names":false,"suffix":""},{"dropping-particle":"","family":"Catanzaro","given":"Giorgio","non-dropping-particle":"","parse-names":false,"suffix":""},{"dropping-particle":"","family":"Lopresti","given":"Francesco","non-dropping-particle":"","parse-names":false,"suffix":""},{"dropping-particle":"","family":"Conoscenti","given":"Gioacchino","non-dropping-particle":"","parse-names":false,"suffix":""},{"dropping-particle":"","family":"Ghersi","given":"Giulio","non-dropping-particle":"","parse-names":false,"suffix":""},{"dropping-particle":"","family":"La","given":"Vincenzo","non-dropping-particle":"","parse-names":false,"suffix":""},{"dropping-particle":"","family":"Brucato","given":"Valerio","non-dropping-particle":"","parse-names":false,"suffix":""},{"dropping-particle":"","family":"Carfì","given":"Francesco","non-dropping-particle":"","parse-names":false,"suffix":""}],"container-title":"Biochemical Engineering Journal","id":"ITEM-1","issued":{"date-parts":[["2023"]]},"page":"108797","publisher":"Elsevier B.V.","title":"Computational modeling and experimental characterization of fluid dynamics in micro-CT scanned scaffolds within a multiple-sample airlift perfusion bioreactor","type":"article-journal","volume":"191"},"uris":["http://www.mendeley.com/documents/?uuid=a413837d-3644-4bec-8aaa-f7bbb6534c6a"]}],"mendeley":{"formattedCitation":"(Capuana et al. 2023)","plainTextFormattedCitation":"(Capuana et al. 2023)","previouslyFormattedCitation":"(Capuana et al. 2023)"},"properties":{"noteIndex":0},"schema":"https://github.com/citation-style-language/schema/raw/master/csl-citation.json"}</w:instrText>
      </w:r>
      <w:r w:rsidR="00BC3E49" w:rsidRPr="00AC37CF">
        <w:fldChar w:fldCharType="separate"/>
      </w:r>
      <w:r w:rsidR="00BC3E49" w:rsidRPr="00AC37CF">
        <w:rPr>
          <w:noProof/>
        </w:rPr>
        <w:t>(Capuana et al. 2023)</w:t>
      </w:r>
      <w:r w:rsidR="00BC3E49" w:rsidRPr="00AC37CF">
        <w:fldChar w:fldCharType="end"/>
      </w:r>
      <w:r w:rsidR="00633435" w:rsidRPr="00AC37CF">
        <w:t xml:space="preserve">. Micro-CT scanned PLLA scaffolds with complex morphologies were analyzed for fluid dynamics, correlating numerical results with </w:t>
      </w:r>
      <w:r w:rsidR="00633435" w:rsidRPr="00AC37CF">
        <w:lastRenderedPageBreak/>
        <w:t>actual cell proliferation within the perfused scaffolds. These studies collectively contribute to the understanding and advancement of dynamic cell culture in tissue engineering</w:t>
      </w:r>
      <w:r w:rsidR="00BC3E49" w:rsidRPr="00AC37CF">
        <w:t xml:space="preserve">. </w:t>
      </w:r>
    </w:p>
    <w:p w14:paraId="32AD6C10" w14:textId="54A877AD" w:rsidR="00EF2833" w:rsidRDefault="00F87321" w:rsidP="00AC37CF">
      <w:pPr>
        <w:pStyle w:val="CETBodytext"/>
      </w:pPr>
      <w:r w:rsidRPr="00AC37CF">
        <w:t xml:space="preserve">Notably, </w:t>
      </w:r>
      <w:r w:rsidR="00BC3E49" w:rsidRPr="00AC37CF">
        <w:t xml:space="preserve">other </w:t>
      </w:r>
      <w:r w:rsidRPr="00AC37CF">
        <w:t xml:space="preserve">previous </w:t>
      </w:r>
      <w:r w:rsidR="005E2DCA">
        <w:t>works</w:t>
      </w:r>
      <w:r w:rsidRPr="00AC37CF">
        <w:t xml:space="preserve"> ha</w:t>
      </w:r>
      <w:r w:rsidR="005E2DCA">
        <w:t>ve</w:t>
      </w:r>
      <w:r w:rsidRPr="00AC37CF">
        <w:t xml:space="preserve"> underscored the importance of dynamic culture systems in enhancing cell viability, tissue maturation, and overall functionality. For instance, </w:t>
      </w:r>
      <w:r w:rsidR="00EA5B57">
        <w:t>Li</w:t>
      </w:r>
      <w:r w:rsidRPr="00AC37CF">
        <w:t xml:space="preserve"> et al. </w:t>
      </w:r>
      <w:r w:rsidR="00EA5B57">
        <w:fldChar w:fldCharType="begin" w:fldLock="1"/>
      </w:r>
      <w:r w:rsidR="00EA5B57">
        <w:instrText>ADDIN CSL_CITATION {"citationItems":[{"id":"ITEM-1","itemData":{"DOI":"10.1155/2019/3610785","ISSN":"23146141","PMID":"31179318","abstract":"Efficient exchange of nutrients and wastes required for cell proliferation and differentiation plays a pivotal role in improving the service life of porous implants. In this study, mass transport properties for porous implant with different unit cells were evaluated and predicted when the porosities are kept the same. To this end, three typical unit cells (diamond (DO), rhombic dodecahedron (RD), and octet truss (OT)) were selected, in which DO displayed diagonal-symmetrical shape, while RD and OT share midline-symmetrical structure. Then, single unit cells were designed quantitatively, and its shape parameters were measured and calculated. Moreover, corresponding porous scaffolds with same outline size were created, respectively. Furthermore, using computational fluid dynamics (CFD) methodology, flow performances with Dulbecco's Modified Eagle's Medium (DMEM) in vitro were simulated for three different porous implants, and flow trajectory, velocity, and wall shear stress which could reflect the properties of mass transfer and tissue regeneration were compared and predicted numerically. Results demonstrated that different unit cell could directly lead to different mass transport properties for porous implant, in spite of same porosity, scaffold size, and service environment. Additionally, by the results, DO displayed greater tortuosity, more appropriate areas, and smoother shear stress distribution than RD and OT, which would provide better surroundings for implant fixation and tissue regeneration. However, RD and OT showed better mass transport properties because of bigger maximum velocity (5.177 mm/s, 4.381 mm/s) than DO (3.941 mm/s). This study would provide great helps for unit cell selection and biological performance optimization for 3D printed bone implants.","author":[{"dropping-particle":"","family":"Li","given":"Jian","non-dropping-particle":"","parse-names":false,"suffix":""},{"dropping-particle":"","family":"Chen","given":"Diansheng","non-dropping-particle":"","parse-names":false,"suffix":""},{"dropping-particle":"","family":"Fan","given":"Yubo","non-dropping-particle":"","parse-names":false,"suffix":""}],"container-title":"BioMed Research International","id":"ITEM-1","issued":{"date-parts":[["2019"]]},"publisher":"Hindawi Limited","title":"Evaluation and Prediction of Mass Transport Properties for Porous Implant with Different Unit Cells: A Numerical Study","type":"article-journal","volume":"2019"},"uris":["http://www.mendeley.com/documents/?uuid=c572fef0-fb66-368a-985f-520138fb4e85"]}],"mendeley":{"formattedCitation":"(Li, Chen, and Fan 2019)","plainTextFormattedCitation":"(Li, Chen, and Fan 2019)","previouslyFormattedCitation":"(Li, Chen, and Fan 2019)"},"properties":{"noteIndex":0},"schema":"https://github.com/citation-style-language/schema/raw/master/csl-citation.json"}</w:instrText>
      </w:r>
      <w:r w:rsidR="00EA5B57">
        <w:fldChar w:fldCharType="separate"/>
      </w:r>
      <w:r w:rsidR="00EA5B57" w:rsidRPr="00EA5B57">
        <w:rPr>
          <w:noProof/>
        </w:rPr>
        <w:t>(Li, Chen, and Fan 2019)</w:t>
      </w:r>
      <w:r w:rsidR="00EA5B57">
        <w:fldChar w:fldCharType="end"/>
      </w:r>
      <w:r w:rsidR="00EA5B57">
        <w:t xml:space="preserve"> </w:t>
      </w:r>
      <w:r w:rsidRPr="00AC37CF">
        <w:t>demonstrated the impact of scaffold design on perfusion culture outcomes, emphasizing the need for tailored solutions to accommodate diverse tissue types. Additionally,</w:t>
      </w:r>
      <w:r w:rsidR="00EA5B57">
        <w:t xml:space="preserve"> Cioffi et al.</w:t>
      </w:r>
      <w:r w:rsidRPr="00AC37CF">
        <w:t xml:space="preserve"> </w:t>
      </w:r>
      <w:r w:rsidR="00EA5B57">
        <w:fldChar w:fldCharType="begin" w:fldLock="1"/>
      </w:r>
      <w:r w:rsidR="00EA5B57">
        <w:instrText>ADDIN CSL_CITATION {"citationItems":[{"id":"ITEM-1","itemData":{"DOI":"10.1002/bit.20740","ISSN":"00063592","PMID":"16224789","abstract":"Natural cartilage remodels both in vivo and in vitro in response to mechanical stresses, hence mechanical stimulation is believed to be a potential tool to modulate extra-cellular matrix synthesis in tissue-engineered cartilage. Fluid-induced shear is known to enhance chondrogenesis in engineered cartilage constructs. The quantification of the hydrodynamic environment is a condition required to study the biochemical response to shear of 3D engineered cell systems. We developed a computational model of culture medium flow through the microstructure of a porous scaffold, during direct-perfused culture. The 3D solid model of the scaffold microgeometry was reconstructed from 250 micro-computed tomography (micro-CT) images. The results of the fluid dynamic simulations were analyzed at the central portions of the fluid domain, to avoid boundary effects. The average, median and mode shear stress values calculated at the scaffold walls were 3.48, 2.90, and 2.45 mPa respectively, at a flow rate of 0.5 cm3/min, perfused through a 15 mm diameter scaffold, at an inlet fluid velocity of 53 μm/s. These results were compared to results estimated using a simplified micro-scale model and to results estimated using an analytical macro-scale porous model. The predictions given by the CT-based model are being used in conjunction with an experimental bioreactor model, in order to quantify the effects of fluid-dynamic shear on the growth modulation of tissue-engineered cartilage constructs, to potentially enhance tissue growth in vitro. © 2005 Wiley Periodicals, Inc.","author":[{"dropping-particle":"","family":"Cioffi","given":"Margherita","non-dropping-particle":"","parse-names":false,"suffix":""},{"dropping-particle":"","family":"Boschetti","given":"Federica","non-dropping-particle":"","parse-names":false,"suffix":""},{"dropping-particle":"","family":"Raimondi","given":"Manuela Teresa","non-dropping-particle":"","parse-names":false,"suffix":""},{"dropping-particle":"","family":"Dubini","given":"Gabriele","non-dropping-particle":"","parse-names":false,"suffix":""}],"container-title":"Biotechnology and Bioengineering","id":"ITEM-1","issue":"3","issued":{"date-parts":[["2006","2","20"]]},"page":"500-510","publisher":"Biotechnol Bioeng","title":"Modeling evaluation of the fluid-dynamic microenvironment in tissue-engineered constructs: A micro-CT based model","type":"article-journal","volume":"93"},"uris":["http://www.mendeley.com/documents/?uuid=e0709a7c-850e-3082-acb5-adf856939839"]}],"mendeley":{"formattedCitation":"(Cioffi et al. 2006)","plainTextFormattedCitation":"(Cioffi et al. 2006)","previouslyFormattedCitation":"(Cioffi et al. 2006)"},"properties":{"noteIndex":0},"schema":"https://github.com/citation-style-language/schema/raw/master/csl-citation.json"}</w:instrText>
      </w:r>
      <w:r w:rsidR="00EA5B57">
        <w:fldChar w:fldCharType="separate"/>
      </w:r>
      <w:r w:rsidR="00EA5B57" w:rsidRPr="00EA5B57">
        <w:rPr>
          <w:noProof/>
        </w:rPr>
        <w:t>(Cioffi et al. 2006)</w:t>
      </w:r>
      <w:r w:rsidR="00EA5B57">
        <w:fldChar w:fldCharType="end"/>
      </w:r>
      <w:r w:rsidR="00EA5B57">
        <w:t xml:space="preserve"> </w:t>
      </w:r>
      <w:r w:rsidRPr="00AC37CF">
        <w:t>explored the use of computational modeling</w:t>
      </w:r>
      <w:r w:rsidR="00EA5B57">
        <w:t xml:space="preserve"> and micro-CT</w:t>
      </w:r>
      <w:r w:rsidRPr="00AC37CF">
        <w:t xml:space="preserve"> to optimize</w:t>
      </w:r>
      <w:r w:rsidR="00997146">
        <w:t xml:space="preserve"> the</w:t>
      </w:r>
      <w:r w:rsidRPr="00AC37CF">
        <w:t xml:space="preserve"> fluid dynamics</w:t>
      </w:r>
      <w:r w:rsidR="00EA5B57">
        <w:t xml:space="preserve"> of scaffolds</w:t>
      </w:r>
      <w:r w:rsidRPr="00AC37CF">
        <w:t xml:space="preserve"> in perfusion bioreactors, emphasizing the significance of predictive tools in bioreactor design. Computational modeling allows researchers to predict and optimize fluid flow patterns, nutrient distribution, and overall system performance. This approach has been pivotal in advancing our understanding of the complex interactions within bioreactor systems, enabling more informed </w:t>
      </w:r>
      <w:r w:rsidR="00130F08">
        <w:t>re</w:t>
      </w:r>
      <w:r w:rsidRPr="00AC37CF">
        <w:t>design decisions.</w:t>
      </w:r>
      <w:r w:rsidR="00EA5B57">
        <w:t xml:space="preserve"> </w:t>
      </w:r>
      <w:r w:rsidRPr="00AC37CF">
        <w:t>The focus on miniaturization and scalability in the presented study resonates with the broader push toward automation and high-throughput methodologies in tissue engineering. This trend is evident in the work of</w:t>
      </w:r>
      <w:r w:rsidR="00EA5B57">
        <w:t xml:space="preserve"> Chang et al. </w:t>
      </w:r>
      <w:r w:rsidR="00EA5B57">
        <w:fldChar w:fldCharType="begin" w:fldLock="1"/>
      </w:r>
      <w:r w:rsidR="007D3E97">
        <w:instrText>ADDIN CSL_CITATION {"citationItems":[{"id":"ITEM-1","itemData":{"DOI":"10.1088/1758-5082/2/4/045004","ISSN":"1758-5090","PMID":"21079286","abstract":"In their normal in vivo matrix milieu, tissues assume complex well-organized three-dimensional architectures. Therefore, the primary aim in the tissue engineering design process is to fabricate an optimal analog of the in vivo scenario. This challenge can be addressed by applying emerging layered biofabrication approaches in which the precise configuration and composition of cells and bioactive matrix components can recapitulate the well-defined three-dimensional biomimetic microenvironments that promote cell-cell and cell-matrix interactions. Furthermore, the advent of and refinements in microfabricated systems can present physical and chemical cues to cells in a controllable and reproducible fashion unmatched with conventional cultures, resulting in the precise construction of engineered biomimetic microenvironments on the cellular length scale in geometries that are readily parallelized for high throughput in vitro models. As such, the convergence of layered solid freeform fabrication (SFF) technologies along with microfabrication techniques enables the creation of a three-dimensional micro-organ device to serve as an in vitro platform for cell culture, drug screening or to elicit further biological insights, particularly for NASA's interest in a flight-suitable high-fidelity microscale platform to study drug metabolism in space and planetary environments. The proposed model in this paper involves the combinatorial setup of an automated syringe-based, layered direct cell writing bioprinting process with micro-patterning techniques to fabricate a microscale in vitro device housing a chamber of bioprinted three-dimensional liver cell-encapsulated hydrogel-based tissue constructs in defined design patterns that biomimic the cell's natural microenvironment for enhanced biological functionality. In order to assess the structural formability and biological feasibility of such a micro-organ, reproducibly fabricated tissue constructs were biologically characterized for liver cell-specific function. Another key facet of the in vivo microenvironment that was recapitulated with the in vitro system included the necessary dynamic perfusion of the three-dimensional microscale liver analog with cells probed for their collective drug metabolic function and suitability as a drug metabolism model. This paper details the principles and methods that undergird the direct cell writing biofabrication process development and adaptation of microfluidic devices for the creati…","author":[{"dropping-particle":"","family":"Chang","given":"Robert","non-dropping-particle":"","parse-names":false,"suffix":""},{"dropping-particle":"","family":"Emami","given":"Kamal","non-dropping-particle":"","parse-names":false,"suffix":""},{"dropping-particle":"","family":"Wu","given":"Honglu","non-dropping-particle":"","parse-names":false,"suffix":""},{"dropping-particle":"","family":"Sun","given":"Wei","non-dropping-particle":"","parse-names":false,"suffix":""}],"container-title":"Biofabrication","id":"ITEM-1","issue":"4","issued":{"date-parts":[["2010","11","15"]]},"page":"045004","publisher":"IOP Publishing","title":"Biofabrication of a three-dimensional liver micro-organ as an in vitro drug metabolism model","type":"article-journal","volume":"2"},"uris":["http://www.mendeley.com/documents/?uuid=692ef676-25b2-3273-99e6-8e7a781c5a89"]}],"mendeley":{"formattedCitation":"(Chang et al. 2010)","plainTextFormattedCitation":"(Chang et al. 2010)","previouslyFormattedCitation":"(Chang et al. 2010)"},"properties":{"noteIndex":0},"schema":"https://github.com/citation-style-language/schema/raw/master/csl-citation.json"}</w:instrText>
      </w:r>
      <w:r w:rsidR="00EA5B57">
        <w:fldChar w:fldCharType="separate"/>
      </w:r>
      <w:r w:rsidR="00EA5B57" w:rsidRPr="00EA5B57">
        <w:rPr>
          <w:noProof/>
        </w:rPr>
        <w:t>(Chang et al. 2010)</w:t>
      </w:r>
      <w:r w:rsidR="00EA5B57">
        <w:fldChar w:fldCharType="end"/>
      </w:r>
      <w:r w:rsidR="00EA5B57">
        <w:t>,</w:t>
      </w:r>
      <w:r w:rsidR="00997146">
        <w:t xml:space="preserve"> </w:t>
      </w:r>
      <w:r w:rsidRPr="00AC37CF">
        <w:t>where a microfluidic perfusion platform was developed for parallelized culture of multiple cell types. Such advancements facilitate rapid testing of various conditions, including morphologies, cell populations, and drug treatments, aligning with the objectives outlined in the current study.</w:t>
      </w:r>
      <w:r w:rsidR="00633435" w:rsidRPr="00AC37CF">
        <w:t xml:space="preserve"> </w:t>
      </w:r>
    </w:p>
    <w:p w14:paraId="3DA242D8" w14:textId="457B9FC7" w:rsidR="00F87321" w:rsidRDefault="003113BA" w:rsidP="00AC37CF">
      <w:pPr>
        <w:pStyle w:val="CETBodytext"/>
      </w:pPr>
      <w:r w:rsidRPr="003113BA">
        <w:t xml:space="preserve">In this pursuit, the present study </w:t>
      </w:r>
      <w:r w:rsidR="00633435" w:rsidRPr="00AC37CF">
        <w:t xml:space="preserve">aims to scale down and characterize an existing perfusion bioreactor, </w:t>
      </w:r>
      <w:r w:rsidR="004901B1">
        <w:t xml:space="preserve">further </w:t>
      </w:r>
      <w:r w:rsidR="00633435" w:rsidRPr="00AC37CF">
        <w:t xml:space="preserve">featuring a support structure for scaffolds and connected to a peristaltic pump for continuous nutrient perfusion. </w:t>
      </w:r>
      <w:r w:rsidR="006D4F29">
        <w:t>By u</w:t>
      </w:r>
      <w:r w:rsidR="006D4F29" w:rsidRPr="006D4F29">
        <w:t>sing 3D design software, the bioreactor components were meticulously redesigned for optimal performance.</w:t>
      </w:r>
      <w:r w:rsidR="00633435" w:rsidRPr="00AC37CF">
        <w:t xml:space="preserve"> The scale-down process achieved a 70% reduction in height and an 80% decrease in the diameter of the perfusion chamber. Fluid dynamics simulations</w:t>
      </w:r>
      <w:r w:rsidR="004901B1">
        <w:t xml:space="preserve"> were conducted to</w:t>
      </w:r>
      <w:r w:rsidR="00633435" w:rsidRPr="00AC37CF">
        <w:t xml:space="preserve"> ensure a homogeneous flow. </w:t>
      </w:r>
      <w:bookmarkStart w:id="0" w:name="_Hlk153036742"/>
      <w:r>
        <w:t>T</w:t>
      </w:r>
      <w:r w:rsidRPr="003113BA">
        <w:t>o elucidate the oxygen transport dynamics in the optimized bioreactor</w:t>
      </w:r>
      <w:r>
        <w:t>, a mathematical model</w:t>
      </w:r>
      <w:r w:rsidRPr="003113BA">
        <w:t xml:space="preserve"> </w:t>
      </w:r>
      <w:bookmarkEnd w:id="0"/>
      <w:r>
        <w:t>provides</w:t>
      </w:r>
      <w:r w:rsidRPr="003113BA">
        <w:t xml:space="preserve"> a framework to assess the transfer of oxygen from the gas to the liquid phase, crucial for sustaining biological processes within the system.</w:t>
      </w:r>
      <w:r>
        <w:t xml:space="preserve"> </w:t>
      </w:r>
      <w:r w:rsidR="00633435" w:rsidRPr="00AC37CF">
        <w:t xml:space="preserve">This study presents an innovative and efficient </w:t>
      </w:r>
      <w:r w:rsidR="00085D42">
        <w:t>miniaturized</w:t>
      </w:r>
      <w:r w:rsidR="00633435" w:rsidRPr="00AC37CF">
        <w:t xml:space="preserve"> bioreactor, catering to high-throughput applications in tissue engineering.</w:t>
      </w:r>
    </w:p>
    <w:p w14:paraId="4EA39BCC" w14:textId="431E9696" w:rsidR="00454644" w:rsidRPr="00730B18" w:rsidRDefault="00454644" w:rsidP="00454644">
      <w:pPr>
        <w:pStyle w:val="CETHeading1"/>
        <w:rPr>
          <w:b w:val="0"/>
          <w:bCs/>
          <w:lang w:val="en-GB"/>
        </w:rPr>
      </w:pPr>
      <w:r>
        <w:rPr>
          <w:lang w:val="en-GB"/>
        </w:rPr>
        <w:t>Materials and Methods</w:t>
      </w:r>
    </w:p>
    <w:p w14:paraId="03F55D33" w14:textId="34A2A85B" w:rsidR="00454644" w:rsidRDefault="00454644" w:rsidP="005C21C9">
      <w:pPr>
        <w:pStyle w:val="CETheadingx"/>
      </w:pPr>
      <w:r>
        <w:t xml:space="preserve">2.1 Bioreactor </w:t>
      </w:r>
      <w:r w:rsidR="00CB6972">
        <w:t>Scale-down</w:t>
      </w:r>
      <w:r w:rsidR="00270E7A">
        <w:t xml:space="preserve"> and </w:t>
      </w:r>
      <w:r w:rsidR="005C21C9">
        <w:t>rede</w:t>
      </w:r>
      <w:r w:rsidR="00270E7A">
        <w:t>sign</w:t>
      </w:r>
    </w:p>
    <w:p w14:paraId="3FF8243A" w14:textId="22702EB0" w:rsidR="002A5F9F" w:rsidRDefault="002A5F9F" w:rsidP="002A5F9F">
      <w:pPr>
        <w:pStyle w:val="CETBodytext"/>
      </w:pPr>
      <w:r>
        <w:t xml:space="preserve">Unlike the original glass prototype, the scale-down of the bioreactor was </w:t>
      </w:r>
      <w:r w:rsidR="00F37D41">
        <w:t xml:space="preserve">reengineered </w:t>
      </w:r>
      <w:r>
        <w:t xml:space="preserve">to be made from printable resin using stereolithographic printing, allowing for flexible and modifiable design using Autodesk's FUSION 360 software, a Computer-Aided Design (CAD) tool. </w:t>
      </w:r>
      <w:r w:rsidR="00315A64">
        <w:t>The original bioreactor had a height of 22.1 cm, a perfusion chamber diameter of 3.5 cm, and a riser diameter of 1 cm (Fig</w:t>
      </w:r>
      <w:r w:rsidR="00776A62">
        <w:t xml:space="preserve">ure </w:t>
      </w:r>
      <w:r w:rsidR="00315A64">
        <w:t>1A). The tested bioreactor, as depicted in Figure 1B, features a reduced height of 6.5 cm, a perfusion chamber diameter of 1.8 cm, and a riser diameter of 0.3 cm, resulting in a marked decrease in size compared to the previous prototype</w:t>
      </w:r>
      <w:r w:rsidR="00270E7A">
        <w:t>.</w:t>
      </w:r>
    </w:p>
    <w:p w14:paraId="2A9E350F" w14:textId="6D66723C" w:rsidR="00315A64" w:rsidRDefault="002A5F9F" w:rsidP="00315A64">
      <w:pPr>
        <w:pStyle w:val="CETBodytext"/>
      </w:pPr>
      <w:r>
        <w:t xml:space="preserve">During the computational simulations, it was necessary to adjust the initial geometry for the optimization of fluid dynamic results. For this purpose, flow homogenization grids were </w:t>
      </w:r>
      <w:r w:rsidR="00F37D41">
        <w:t>re</w:t>
      </w:r>
      <w:r>
        <w:t xml:space="preserve">designed in the Fusion 360 software with different </w:t>
      </w:r>
      <w:r w:rsidR="00C61D28">
        <w:t>squared-</w:t>
      </w:r>
      <w:r>
        <w:t>hole sizes and distances from the free surface of the liquid phase</w:t>
      </w:r>
      <w:r w:rsidR="00315A64">
        <w:t xml:space="preserve">, i.e. 1 and 3 mm. Two different </w:t>
      </w:r>
      <w:r w:rsidR="00270E7A">
        <w:t>geometries</w:t>
      </w:r>
      <w:r w:rsidR="00315A64">
        <w:t xml:space="preserve"> were used for the grid: </w:t>
      </w:r>
      <w:r w:rsidR="00C61D28">
        <w:t>one</w:t>
      </w:r>
      <w:r w:rsidR="00315A64">
        <w:t xml:space="preserve"> had a height of </w:t>
      </w:r>
      <w:r w:rsidR="00B63134">
        <w:t>0.</w:t>
      </w:r>
      <w:r w:rsidR="00315A64">
        <w:t xml:space="preserve">4 </w:t>
      </w:r>
      <w:r w:rsidR="00B63134">
        <w:t>c</w:t>
      </w:r>
      <w:r w:rsidR="00315A64">
        <w:t xml:space="preserve">m and </w:t>
      </w:r>
      <w:r w:rsidR="004858AE">
        <w:t>a</w:t>
      </w:r>
      <w:r w:rsidR="00C61D28">
        <w:t xml:space="preserve"> </w:t>
      </w:r>
      <w:r w:rsidR="00315A64">
        <w:t xml:space="preserve">hole </w:t>
      </w:r>
      <w:r w:rsidR="00C61D28">
        <w:t>length</w:t>
      </w:r>
      <w:r w:rsidR="00315A64">
        <w:t xml:space="preserve"> of 1.5 mm</w:t>
      </w:r>
      <w:r w:rsidR="00EF2833">
        <w:t xml:space="preserve">, </w:t>
      </w:r>
      <w:r w:rsidR="00315A64">
        <w:t>and</w:t>
      </w:r>
      <w:r w:rsidR="00C61D28">
        <w:t xml:space="preserve"> the other</w:t>
      </w:r>
      <w:r w:rsidR="00315A64">
        <w:t xml:space="preserve"> </w:t>
      </w:r>
      <w:r w:rsidR="004858AE">
        <w:t xml:space="preserve">had </w:t>
      </w:r>
      <w:r w:rsidR="00315A64">
        <w:t xml:space="preserve">a height of 2 mm and </w:t>
      </w:r>
      <w:r w:rsidR="00C61D28">
        <w:t>squared holes with</w:t>
      </w:r>
      <w:r w:rsidR="00315A64">
        <w:t xml:space="preserve"> 0.653 mm</w:t>
      </w:r>
      <w:r w:rsidR="00C61D28">
        <w:t xml:space="preserve"> side lengt</w:t>
      </w:r>
      <w:r w:rsidR="00CA729D">
        <w:t>h</w:t>
      </w:r>
      <w:r w:rsidR="00315A64">
        <w:t>. The diameter was 16 mm in both geometries.</w:t>
      </w:r>
    </w:p>
    <w:p w14:paraId="7FF0201C" w14:textId="77777777" w:rsidR="002A5F9F" w:rsidRDefault="002A5F9F" w:rsidP="002A5F9F">
      <w:pPr>
        <w:pStyle w:val="CETBodytext"/>
      </w:pPr>
    </w:p>
    <w:p w14:paraId="14017BDF" w14:textId="6BE4B989" w:rsidR="00454644" w:rsidRPr="00454644" w:rsidRDefault="00454644" w:rsidP="00454644">
      <w:pPr>
        <w:pStyle w:val="CETBodytext"/>
        <w:rPr>
          <w:b/>
        </w:rPr>
      </w:pPr>
      <w:r>
        <w:rPr>
          <w:b/>
        </w:rPr>
        <w:t xml:space="preserve">2.2 </w:t>
      </w:r>
      <w:r w:rsidRPr="00454644">
        <w:rPr>
          <w:b/>
        </w:rPr>
        <w:t>Computational Fluid Dynamics (CFD) Simulations</w:t>
      </w:r>
    </w:p>
    <w:p w14:paraId="4307F761" w14:textId="77777777" w:rsidR="007556CC" w:rsidRDefault="007556CC" w:rsidP="00454644">
      <w:pPr>
        <w:pStyle w:val="CETBodytext"/>
      </w:pPr>
    </w:p>
    <w:p w14:paraId="66529A50" w14:textId="041206B5" w:rsidR="00454644" w:rsidRDefault="002A5F9F" w:rsidP="00454644">
      <w:pPr>
        <w:pStyle w:val="CETBodytext"/>
      </w:pPr>
      <w:r w:rsidRPr="002A5F9F">
        <w:t xml:space="preserve">To comprehensively understand flow patterns and velocity fields within the bioreactor, Computational Fluid Dynamics (CFD) simulations were conducted using </w:t>
      </w:r>
      <w:proofErr w:type="spellStart"/>
      <w:r w:rsidRPr="002A5F9F">
        <w:t>Comsol</w:t>
      </w:r>
      <w:proofErr w:type="spellEnd"/>
      <w:r w:rsidRPr="002A5F9F">
        <w:t xml:space="preserve"> Multiphysics software. The 3D model incorporated axial symmetry, significantly reducing simulation costs. A constant air inlet velocity of 0.082 m/s was set, considering the liquid phase as the continuous phase in the two-phase flow model. The bubbly flow model was chosen to simulate the bioreactor regime</w:t>
      </w:r>
      <w:r w:rsidR="00CA729D">
        <w:t xml:space="preserve"> in a transient analysis </w:t>
      </w:r>
      <w:r w:rsidR="004858AE">
        <w:t xml:space="preserve">of </w:t>
      </w:r>
      <w:r w:rsidR="00CA729D">
        <w:t>up to 120 s, as i</w:t>
      </w:r>
      <w:r w:rsidR="004858AE">
        <w:t>t</w:t>
      </w:r>
      <w:r w:rsidR="00CA729D">
        <w:t xml:space="preserve"> resulted</w:t>
      </w:r>
      <w:r w:rsidR="004858AE">
        <w:t xml:space="preserve"> in</w:t>
      </w:r>
      <w:r w:rsidR="00CA729D">
        <w:t xml:space="preserve"> a steady-state time for the hydrodynamic solution</w:t>
      </w:r>
      <w:r w:rsidRPr="002A5F9F">
        <w:t>. Boundary conditions included a free surface at atmospheric pressure as the exit surface and a sliding condition on the bioreactor walls for the liquid phase. The simulation aimed to predict the velocity distribution of the liquid phase and the gas hold-up within the system. The same boundary and initial conditions were adopted in simulations where the flow homogenization grid was introduced.</w:t>
      </w:r>
    </w:p>
    <w:p w14:paraId="4197C478" w14:textId="77777777" w:rsidR="002A5F9F" w:rsidRDefault="002A5F9F" w:rsidP="00454644">
      <w:pPr>
        <w:pStyle w:val="CETBodytext"/>
      </w:pPr>
    </w:p>
    <w:p w14:paraId="71B4C196" w14:textId="32600097" w:rsidR="00C77056" w:rsidRDefault="00C77056" w:rsidP="005C21C9">
      <w:pPr>
        <w:pStyle w:val="CETheadingx"/>
      </w:pPr>
      <w:r>
        <w:t>2.</w:t>
      </w:r>
      <w:r w:rsidR="002940EC">
        <w:t>3</w:t>
      </w:r>
      <w:r>
        <w:t xml:space="preserve"> </w:t>
      </w:r>
      <w:r w:rsidR="00CD749B" w:rsidRPr="00CD749B">
        <w:t>Oxygen Transfer from Gas Phase to Liquid Phase</w:t>
      </w:r>
    </w:p>
    <w:p w14:paraId="1AE8D80A" w14:textId="77777777" w:rsidR="00C77056" w:rsidRDefault="00C77056" w:rsidP="00C77056">
      <w:pPr>
        <w:pStyle w:val="CETBodytext"/>
      </w:pPr>
    </w:p>
    <w:p w14:paraId="1D0FDA2C" w14:textId="212EDB5A" w:rsidR="00C77056" w:rsidRDefault="00C77056" w:rsidP="00C77056">
      <w:pPr>
        <w:pStyle w:val="CETBodytext"/>
      </w:pPr>
      <w:r>
        <w:t xml:space="preserve">In this study, </w:t>
      </w:r>
      <w:r w:rsidR="00CD749B" w:rsidRPr="00CD749B">
        <w:t>the global oxygen mass balance equation in the liquid phase</w:t>
      </w:r>
      <w:r w:rsidR="00CD749B">
        <w:t xml:space="preserve"> </w:t>
      </w:r>
      <w:r>
        <w:t xml:space="preserve">was employed to assess the oxygen transport from the gas phase to the liquid phase in the system. The optimized bioreactor retains the </w:t>
      </w:r>
      <w:r>
        <w:lastRenderedPageBreak/>
        <w:t xml:space="preserve">characteristics of an airlift bioreactor, with the assumption of perfectly mixed fluid. With this consideration, the global mass balance equation for oxygen </w:t>
      </w:r>
      <w:r w:rsidR="00CD749B">
        <w:t>is</w:t>
      </w:r>
      <w:r w:rsidR="00790D0E">
        <w:t xml:space="preserve"> </w:t>
      </w:r>
      <w:r w:rsidR="00790D0E" w:rsidRPr="00790D0E">
        <w:fldChar w:fldCharType="begin" w:fldLock="1"/>
      </w:r>
      <w:r w:rsidR="003F3B03">
        <w:instrText>ADDIN CSL_CITATION {"citationItems":[{"id":"ITEM-1","itemData":{"DOI":"10.1016/j.bej.2019.02.023","ISSN":"1873295X","abstract":"Motivation: It has been widely demonstrated that perfusion bioreactors improve in vitro cell culture on three-dimensional (3D) matrices. Goal: We aimed to determine the local cell distribution, based on the pore diameter, within a 3D scaffold during cell growth in a perfusion bioreactor. Materials and methods: Scaffolds under perfusion were collected at 0, 4, and 7 days of culture; scaffold morphology and cell distribution within the construct were evaluated by imaging analysis. A mathematical model representing the cell growth heterogeneity in 3D perfusion bioreactor was developed; a specific rate equation for glucose was experimentally determined. Model accuracy was assessed comparing the cell proliferation predictions with experimental data. Results: Cell proliferation was successfully determined by coupling cell imaging with an ad hoc algorithm. The total number of cells in the scaffold, the number of cells for a single cross section, and the local cell distribution based on the scaffold pore size, were determined. Good agreement between computations and experiments was observed. Conclusions: A new methodology was developed to determine the cell heterogeneity within a 3D scaffold under perfusion. The proposed approach provides a helpful tool for 3D dynamic cell culture optimization for biological studies and tissue engineering applications.","author":[{"dropping-particle":"","family":"Magrofuoco","given":"Enrico","non-dropping-particle":"","parse-names":false,"suffix":""},{"dropping-particle":"","family":"Flaibani","given":"Marina","non-dropping-particle":"","parse-names":false,"suffix":""},{"dropping-particle":"","family":"Giomo","given":"Monica","non-dropping-particle":"","parse-names":false,"suffix":""},{"dropping-particle":"","family":"Elvassore","given":"Nicola","non-dropping-particle":"","parse-names":false,"suffix":""}],"container-title":"Biochemical Engineering Journal","id":"ITEM-1","issued":{"date-parts":[["2019","6","15"]]},"page":"10-19","publisher":"Elsevier B.V.","title":"Cell culture distribution in a three-dimensional porous scaffold in perfusion bioreactor","type":"article-journal","volume":"146"},"uris":["http://www.mendeley.com/documents/?uuid=426c056c-c2c8-3096-a4bb-6de59fd86d48"]}],"mendeley":{"formattedCitation":"(Magrofuoco et al. 2019)","plainTextFormattedCitation":"(Magrofuoco et al. 2019)","previouslyFormattedCitation":"(Magrofuoco et al. 2019)"},"properties":{"noteIndex":0},"schema":"https://github.com/citation-style-language/schema/raw/master/csl-citation.json"}</w:instrText>
      </w:r>
      <w:r w:rsidR="00790D0E" w:rsidRPr="00790D0E">
        <w:fldChar w:fldCharType="separate"/>
      </w:r>
      <w:r w:rsidR="00790D0E" w:rsidRPr="00790D0E">
        <w:rPr>
          <w:noProof/>
        </w:rPr>
        <w:t>(Magrofuoco et al. 2019)</w:t>
      </w:r>
      <w:r w:rsidR="00790D0E" w:rsidRPr="00790D0E">
        <w:fldChar w:fldCharType="end"/>
      </w:r>
      <w:r>
        <w:t>:</w:t>
      </w:r>
    </w:p>
    <w:p w14:paraId="35FC1991" w14:textId="77777777" w:rsidR="00CD749B" w:rsidRDefault="00CD749B" w:rsidP="00C77056">
      <w:pPr>
        <w:pStyle w:val="CETBodytext"/>
      </w:pPr>
    </w:p>
    <w:p w14:paraId="5222F1D8" w14:textId="2A503B52" w:rsidR="00EE2C2B" w:rsidRDefault="00000000" w:rsidP="00B7385F">
      <w:pPr>
        <w:pStyle w:val="CETBodytext"/>
        <w:jc w:val="left"/>
        <w:rPr>
          <w:rFonts w:eastAsiaTheme="minorEastAsia"/>
        </w:rPr>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l</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sSub>
          <m:sSubPr>
            <m:ctrlPr>
              <w:rPr>
                <w:rFonts w:ascii="Cambria Math" w:hAnsi="Cambria Math"/>
                <w:i/>
              </w:rPr>
            </m:ctrlPr>
          </m:sSubPr>
          <m:e>
            <m:r>
              <w:rPr>
                <w:rFonts w:ascii="Cambria Math" w:hAnsi="Cambria Math"/>
              </w:rPr>
              <m:t>a</m:t>
            </m:r>
          </m:e>
          <m:sub>
            <m:r>
              <w:rPr>
                <w:rFonts w:ascii="Cambria Math" w:hAnsi="Cambria Math"/>
              </w:rPr>
              <m:t>l</m:t>
            </m:r>
          </m:sub>
        </m:sSub>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l</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l</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sub>
        </m:sSub>
      </m:oMath>
      <w:r w:rsidR="00CD749B">
        <w:rPr>
          <w:rFonts w:eastAsiaTheme="minorEastAsia"/>
        </w:rPr>
        <w:t xml:space="preserve"> </w:t>
      </w:r>
      <w:r w:rsidR="00B7385F">
        <w:rPr>
          <w:rFonts w:eastAsiaTheme="minorEastAsia"/>
        </w:rPr>
        <w:t xml:space="preserve">     </w:t>
      </w:r>
      <w:r w:rsidR="00C36E12">
        <w:rPr>
          <w:rFonts w:eastAsiaTheme="minorEastAsia"/>
        </w:rPr>
        <w:t xml:space="preserve">                                                                                                                            </w:t>
      </w:r>
      <w:r w:rsidR="00B7385F">
        <w:rPr>
          <w:rFonts w:eastAsiaTheme="minorEastAsia"/>
        </w:rPr>
        <w:t>(</w:t>
      </w:r>
      <w:r w:rsidR="00CD749B">
        <w:rPr>
          <w:rFonts w:eastAsiaTheme="minorEastAsia"/>
        </w:rPr>
        <w:t>1)</w:t>
      </w:r>
    </w:p>
    <w:p w14:paraId="37F1A1D7" w14:textId="6C4F5C6F" w:rsidR="00EE2C2B" w:rsidRPr="00EE2C2B" w:rsidRDefault="00000000" w:rsidP="00EE2C2B">
      <w:pPr>
        <w:autoSpaceDE w:val="0"/>
        <w:autoSpaceDN w:val="0"/>
        <w:adjustRightInd w:val="0"/>
        <w:spacing w:line="276" w:lineRule="auto"/>
        <w:jc w:val="left"/>
        <w:rPr>
          <w:rFonts w:ascii="Times New Roman" w:hAnsi="Times New Roman"/>
          <w:szCs w:val="18"/>
          <w:lang w:val="en-US"/>
        </w:rPr>
      </w:pPr>
      <m:oMath>
        <m:sSub>
          <m:sSubPr>
            <m:ctrlPr>
              <w:rPr>
                <w:rFonts w:ascii="Cambria Math" w:hAnsi="Cambria Math"/>
                <w:i/>
                <w:szCs w:val="18"/>
                <w:lang w:val="en-US"/>
              </w:rPr>
            </m:ctrlPr>
          </m:sSubPr>
          <m:e>
            <m:r>
              <w:rPr>
                <w:rFonts w:ascii="Cambria Math" w:hAnsi="Cambria Math"/>
                <w:szCs w:val="18"/>
                <w:lang w:val="en-US"/>
              </w:rPr>
              <m:t>R</m:t>
            </m:r>
          </m:e>
          <m:sub>
            <m:sSub>
              <m:sSubPr>
                <m:ctrlPr>
                  <w:rPr>
                    <w:rFonts w:ascii="Cambria Math" w:hAnsi="Cambria Math"/>
                    <w:i/>
                    <w:szCs w:val="18"/>
                    <w:lang w:val="en-US"/>
                  </w:rPr>
                </m:ctrlPr>
              </m:sSubPr>
              <m:e>
                <m:r>
                  <w:rPr>
                    <w:rFonts w:ascii="Cambria Math" w:hAnsi="Cambria Math"/>
                    <w:szCs w:val="18"/>
                    <w:lang w:val="en-US"/>
                  </w:rPr>
                  <m:t>O</m:t>
                </m:r>
              </m:e>
              <m:sub>
                <m:r>
                  <w:rPr>
                    <w:rFonts w:ascii="Cambria Math" w:hAnsi="Cambria Math"/>
                    <w:szCs w:val="18"/>
                    <w:lang w:val="en-US"/>
                  </w:rPr>
                  <m:t>2</m:t>
                </m:r>
              </m:sub>
            </m:sSub>
          </m:sub>
        </m:sSub>
        <m:r>
          <w:rPr>
            <w:rFonts w:ascii="Cambria Math" w:hAnsi="Cambria Math"/>
            <w:szCs w:val="18"/>
            <w:lang w:val="en-US"/>
          </w:rPr>
          <m:t>=</m:t>
        </m:r>
        <m:f>
          <m:fPr>
            <m:ctrlPr>
              <w:rPr>
                <w:rFonts w:ascii="Cambria Math" w:hAnsi="Cambria Math"/>
                <w:i/>
                <w:szCs w:val="18"/>
                <w:lang w:val="en-US"/>
              </w:rPr>
            </m:ctrlPr>
          </m:fPr>
          <m:num>
            <m:r>
              <m:rPr>
                <m:sty m:val="p"/>
              </m:rPr>
              <w:rPr>
                <w:rFonts w:ascii="Cambria Math" w:hAnsi="Cambria Math"/>
                <w:szCs w:val="18"/>
                <w:lang w:val="en-US"/>
              </w:rPr>
              <m:t>χ</m:t>
            </m:r>
            <m:sSub>
              <m:sSubPr>
                <m:ctrlPr>
                  <w:rPr>
                    <w:rFonts w:ascii="Cambria Math" w:hAnsi="Cambria Math"/>
                    <w:szCs w:val="18"/>
                    <w:lang w:val="en-US"/>
                  </w:rPr>
                </m:ctrlPr>
              </m:sSubPr>
              <m:e>
                <m:r>
                  <w:rPr>
                    <w:rFonts w:ascii="Cambria Math" w:hAnsi="Cambria Math"/>
                    <w:szCs w:val="18"/>
                    <w:lang w:val="en-US"/>
                  </w:rPr>
                  <m:t>q</m:t>
                </m:r>
              </m:e>
              <m:sub>
                <m:r>
                  <w:rPr>
                    <w:rFonts w:ascii="Cambria Math" w:hAnsi="Cambria Math"/>
                    <w:szCs w:val="18"/>
                    <w:lang w:val="en-US"/>
                  </w:rPr>
                  <m:t>0</m:t>
                </m:r>
              </m:sub>
            </m:sSub>
          </m:num>
          <m:den>
            <m:r>
              <w:rPr>
                <w:rFonts w:ascii="Cambria Math" w:hAnsi="Cambria Math"/>
                <w:szCs w:val="18"/>
                <w:lang w:val="en-US"/>
              </w:rPr>
              <m:t>V</m:t>
            </m:r>
          </m:den>
        </m:f>
      </m:oMath>
      <w:r w:rsidR="00EE2C2B" w:rsidRPr="00B7385F">
        <w:rPr>
          <w:rFonts w:eastAsiaTheme="minorEastAsia"/>
          <w:lang w:val="en-US"/>
        </w:rPr>
        <w:t xml:space="preserve">       </w:t>
      </w:r>
      <w:r w:rsidR="00270E7A">
        <w:rPr>
          <w:rFonts w:eastAsiaTheme="minorEastAsia"/>
          <w:lang w:val="en-US"/>
        </w:rPr>
        <w:t xml:space="preserve">                      </w:t>
      </w:r>
      <w:r w:rsidR="00C36E12">
        <w:rPr>
          <w:rFonts w:eastAsiaTheme="minorEastAsia"/>
          <w:lang w:val="en-US"/>
        </w:rPr>
        <w:t xml:space="preserve">                                                                                                                             </w:t>
      </w:r>
      <w:r w:rsidR="00EE2C2B" w:rsidRPr="00B7385F">
        <w:rPr>
          <w:rFonts w:eastAsiaTheme="minorEastAsia"/>
          <w:lang w:val="en-US"/>
        </w:rPr>
        <w:t xml:space="preserve"> (2)</w:t>
      </w:r>
    </w:p>
    <w:p w14:paraId="64EFC92F" w14:textId="77777777" w:rsidR="00CD749B" w:rsidRDefault="00CD749B" w:rsidP="00C77056">
      <w:pPr>
        <w:pStyle w:val="CETBodytext"/>
      </w:pPr>
    </w:p>
    <w:p w14:paraId="131EA4DE" w14:textId="7B966F17" w:rsidR="00DF57E6" w:rsidRDefault="00C77056" w:rsidP="00C77056">
      <w:pPr>
        <w:pStyle w:val="CETBodytext"/>
      </w:pPr>
      <w:r w:rsidRPr="00CD749B">
        <w:t xml:space="preserve">In this equation, </w:t>
      </w:r>
      <m:oMath>
        <m:sSub>
          <m:sSubPr>
            <m:ctrlPr>
              <w:rPr>
                <w:rFonts w:ascii="Cambria Math" w:hAnsi="Cambria Math"/>
                <w:i/>
              </w:rPr>
            </m:ctrlPr>
          </m:sSubPr>
          <m:e>
            <m:r>
              <w:rPr>
                <w:rFonts w:ascii="Cambria Math" w:hAnsi="Cambria Math"/>
              </w:rPr>
              <m:t>k</m:t>
            </m:r>
          </m:e>
          <m:sub>
            <m:r>
              <w:rPr>
                <w:rFonts w:ascii="Cambria Math" w:hAnsi="Cambria Math"/>
              </w:rPr>
              <m:t>l</m:t>
            </m:r>
          </m:sub>
        </m:sSub>
        <m:sSub>
          <m:sSubPr>
            <m:ctrlPr>
              <w:rPr>
                <w:rFonts w:ascii="Cambria Math" w:hAnsi="Cambria Math"/>
                <w:i/>
              </w:rPr>
            </m:ctrlPr>
          </m:sSubPr>
          <m:e>
            <m:r>
              <w:rPr>
                <w:rFonts w:ascii="Cambria Math" w:hAnsi="Cambria Math"/>
              </w:rPr>
              <m:t>a</m:t>
            </m:r>
          </m:e>
          <m:sub>
            <m:r>
              <w:rPr>
                <w:rFonts w:ascii="Cambria Math" w:hAnsi="Cambria Math"/>
              </w:rPr>
              <m:t>l</m:t>
            </m:r>
          </m:sub>
        </m:sSub>
        <m:r>
          <w:rPr>
            <w:rFonts w:ascii="Cambria Math" w:hAnsi="Cambria Math"/>
          </w:rPr>
          <m:t xml:space="preserve"> </m:t>
        </m:r>
      </m:oMath>
      <w:r w:rsidR="00CD749B" w:rsidRPr="00CD749B">
        <w:t>is the overall mass transfer coefficient (s</w:t>
      </w:r>
      <w:r w:rsidR="00CD749B" w:rsidRPr="00CD749B">
        <w:rPr>
          <w:vertAlign w:val="superscript"/>
        </w:rPr>
        <w:t>-1</w:t>
      </w:r>
      <w:r w:rsidR="00CD749B" w:rsidRPr="00CD749B">
        <w:t xml:space="preserve">), </w:t>
      </w:r>
      <m:oMath>
        <m:sSubSup>
          <m:sSubSupPr>
            <m:ctrlPr>
              <w:rPr>
                <w:rFonts w:ascii="Cambria Math" w:hAnsi="Cambria Math"/>
                <w:i/>
              </w:rPr>
            </m:ctrlPr>
          </m:sSubSupPr>
          <m:e>
            <m:r>
              <w:rPr>
                <w:rFonts w:ascii="Cambria Math" w:hAnsi="Cambria Math"/>
              </w:rPr>
              <m:t>C</m:t>
            </m:r>
          </m:e>
          <m:sub>
            <m:r>
              <w:rPr>
                <w:rFonts w:ascii="Cambria Math" w:hAnsi="Cambria Math"/>
              </w:rPr>
              <m:t>l</m:t>
            </m:r>
          </m:sub>
          <m:sup>
            <m:r>
              <w:rPr>
                <w:rFonts w:ascii="Cambria Math" w:hAnsi="Cambria Math"/>
              </w:rPr>
              <m:t>*</m:t>
            </m:r>
          </m:sup>
        </m:sSubSup>
      </m:oMath>
      <w:r w:rsidR="00CD749B" w:rsidRPr="00CD749B">
        <w:rPr>
          <w:rFonts w:eastAsiaTheme="minorEastAsia"/>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l</m:t>
            </m:r>
          </m:sub>
        </m:sSub>
      </m:oMath>
      <w:r w:rsidR="00CD749B" w:rsidRPr="00CD749B">
        <w:rPr>
          <w:rFonts w:eastAsiaTheme="minorEastAsia"/>
        </w:rPr>
        <w:t xml:space="preserve"> </w:t>
      </w:r>
      <w:r w:rsidR="00CD749B" w:rsidRPr="00CD749B">
        <w:t xml:space="preserve">represent, respectively, the oxygen concentration at the interface and in the bulk (mg/L),  </w:t>
      </w:r>
      <m:oMath>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sub>
        </m:sSub>
      </m:oMath>
      <w:r w:rsidR="00CD749B" w:rsidRPr="00CD749B">
        <w:t xml:space="preserve"> is the oxygen consumption due to biological processes.</w:t>
      </w:r>
      <w:r w:rsidR="003F3B03" w:rsidRPr="003F3B03">
        <w:t xml:space="preserve"> </w:t>
      </w:r>
      <w:r w:rsidR="003F3B03">
        <w:t>The latter is a function of the cell number (χ), the specific oxygen consumption rate (q0), and the liquid volume (V) inside the bioreactor (Eq. 2).</w:t>
      </w:r>
      <w:r w:rsidR="00EE2C2B">
        <w:t xml:space="preserve"> </w:t>
      </w:r>
      <w:r>
        <w:t xml:space="preserve">The solution to the steady-state mass balance equation was computed with </w:t>
      </w:r>
      <w:r w:rsidR="002A5F9F">
        <w:t>a number of</w:t>
      </w:r>
      <w:r>
        <w:t xml:space="preserve"> 360,000 cells. For the transient state, the mathematical description of the oxygen concentration evolution in the liquid phase was determined for this cell count. The initial oxygen concentration in the bulk was considered zero for this estimation.</w:t>
      </w:r>
      <w:r w:rsidR="00D6684D" w:rsidRPr="00D6684D">
        <w:t xml:space="preserve"> </w:t>
      </w:r>
      <w:r w:rsidR="0029084C" w:rsidRPr="00D26F63">
        <w:t>For this analysis, an inlet air velocity of 0.082 and a culture medium volume of 12 ml were assumed</w:t>
      </w:r>
      <w:r w:rsidR="0029084C">
        <w:t>, c</w:t>
      </w:r>
      <w:r w:rsidR="0029084C" w:rsidRPr="00D26F63">
        <w:t xml:space="preserve">onsidering </w:t>
      </w:r>
      <m:oMath>
        <m:sSub>
          <m:sSubPr>
            <m:ctrlPr>
              <w:rPr>
                <w:rFonts w:ascii="Cambria Math" w:hAnsi="Cambria Math"/>
                <w:i/>
              </w:rPr>
            </m:ctrlPr>
          </m:sSubPr>
          <m:e>
            <m:r>
              <w:rPr>
                <w:rFonts w:ascii="Cambria Math" w:hAnsi="Cambria Math"/>
              </w:rPr>
              <m:t>q</m:t>
            </m:r>
          </m:e>
          <m:sub>
            <m:r>
              <w:rPr>
                <w:rFonts w:ascii="Cambria Math" w:hAnsi="Cambria Math"/>
              </w:rPr>
              <m:t>0</m:t>
            </m:r>
          </m:sub>
        </m:sSub>
      </m:oMath>
      <w:r w:rsidR="0029084C">
        <w:rPr>
          <w:rFonts w:eastAsiaTheme="minorEastAsia"/>
        </w:rPr>
        <w:t>=</w:t>
      </w:r>
      <w:r w:rsidR="0029084C">
        <w:t>96 × 10</w:t>
      </w:r>
      <w:r w:rsidR="0029084C">
        <w:rPr>
          <w:vertAlign w:val="superscript"/>
        </w:rPr>
        <w:t>-17</w:t>
      </w:r>
      <w:r w:rsidR="0029084C">
        <w:t xml:space="preserve"> g/(cells </w:t>
      </w:r>
      <w:r w:rsidR="004858AE">
        <w:t>x</w:t>
      </w:r>
      <w:r w:rsidR="0029084C">
        <w:t xml:space="preserve"> s), typical for mammalian cells </w:t>
      </w:r>
      <w:r w:rsidR="003F3B03">
        <w:fldChar w:fldCharType="begin" w:fldLock="1"/>
      </w:r>
      <w:r w:rsidR="002F4F8A">
        <w:instrText>ADDIN CSL_CITATION {"citationItems":[{"id":"ITEM-1","itemData":{"DOI":"10.1002/bit.22333","ISSN":"00063592","PMID":"19422037","abstract":"Flow-through bioreactors are utilized in tissue regeneration to ensure complete nutrient distribution and apply defined hydrodynamic stresses. The fundamental concepts in designing these bioreactors for regenerating large high aspect ratio tissues (large surface area relative to the thickness of the matrix such as skin, bladder, and cartilage) are not well defined. Further, tissue regeneration is a dynamic process where the porous characteristics change due to proliferation of cells, de novo deposition of matrix components, and degradation of the porous architecture. These changes affect the transport characteristics and there is an imminent need to understand the influence of these factors. Using computational fluid dynamic tools, changes in the pressure drop, shear stress distribution and nutrient consumption patterns during tissue regeneration were assessed in rectangular and circular reactors described by Lawrence et al. [Biotechnol Bioeng 2009;102(3):935-947]. Further, six new designs with different inlet and outlet shapes were analyzed. The fluid flow was defined by the Brinkman equation on the porous regions using the pore characteristics of 85 mm and 120 pores/mm2. The minimum flow requirements to satisfy nutrient (oxygen and glucose) requirements for three different cell types (SMCs, chondrocytes, and hepatocytes) was evaluated using convective diffusion equation. For consumption reaction, the Michaelis-Menten rate law was used, with constants (km and vm values) extracted from literature. Simulations were performed by varying the flow rate as well as the cell number. One of the circular reactors with semicircular inlet and outlet shape decreased (i) non-uniformity in hydrodynamic stress within the porous structure and (ii) non-uniform nutrient distribution. All cell types showed increased consumption of oxygen than glucose. Hepatocytes needed a very high flow rate relative to other cell types. Increase in cell number suggested a need for increasing the flow in circular reactors. © 2009 Wiley Periodicals, Inc.","author":[{"dropping-particle":"","family":"Devarapalli","given":"Mamatha","non-dropping-particle":"","parse-names":false,"suffix":""},{"dropping-particle":"","family":"Lawrence","given":"Benjamin J.","non-dropping-particle":"","parse-names":false,"suffix":""},{"dropping-particle":"V.","family":"Madihally","given":"Sundararajan","non-dropping-particle":"","parse-names":false,"suffix":""}],"container-title":"Biotechnology and Bioengineering","id":"ITEM-1","issue":"5","issued":{"date-parts":[["2009","8","1"]]},"page":"1003-1015","publisher":"Biotechnol Bioeng","title":"Modeling nutrient consumptions in large flow-through bioreactors for tissue engineering","type":"article-journal","volume":"103"},"uris":["http://www.mendeley.com/documents/?uuid=ac9dcbd5-7f2c-303e-b689-5ae916f17236"]}],"mendeley":{"formattedCitation":"(Devarapalli, Lawrence, and Madihally 2009)","plainTextFormattedCitation":"(Devarapalli, Lawrence, and Madihally 2009)","previouslyFormattedCitation":"(Devarapalli, Lawrence, and Madihally 2009)"},"properties":{"noteIndex":0},"schema":"https://github.com/citation-style-language/schema/raw/master/csl-citation.json"}</w:instrText>
      </w:r>
      <w:r w:rsidR="003F3B03">
        <w:fldChar w:fldCharType="separate"/>
      </w:r>
      <w:r w:rsidR="003F3B03" w:rsidRPr="003F3B03">
        <w:rPr>
          <w:noProof/>
        </w:rPr>
        <w:t>(Devarapalli, Lawrence, and Madihally 2009)</w:t>
      </w:r>
      <w:r w:rsidR="003F3B03">
        <w:fldChar w:fldCharType="end"/>
      </w:r>
      <w:r w:rsidR="0029084C">
        <w:t>, a</w:t>
      </w:r>
      <w:r w:rsidR="0029084C" w:rsidRPr="00D26F63">
        <w:t>nd conditions of 37 °C, 1 atm</w:t>
      </w:r>
      <w:r w:rsidR="0029084C">
        <w:t xml:space="preserve"> as incubator parameters. These values are fundamentals for the calculation of the parameters of Eq. 1 from the two-resistance theory, as previously described </w:t>
      </w:r>
      <w:r w:rsidR="0029084C" w:rsidRPr="00AC37CF">
        <w:fldChar w:fldCharType="begin" w:fldLock="1"/>
      </w:r>
      <w:r w:rsidR="0029084C">
        <w:instrText>ADDIN CSL_CITATION {"citationItems":[{"id":"ITEM-1","itemData":{"DOI":"10.1016/J.BEJ.2021.108298","ISSN":"1369-703X","author":[{"dropping-particle":"","family":"Capuana","given":"Elisa","non-dropping-particle":"","parse-names":false,"suffix":""},{"dropping-particle":"","family":"Pavia","given":"Francesco Carfì","non-dropping-particle":"","parse-names":false,"suffix":""},{"dropping-particle":"","family":"Lombardo","given":"Maria Elena","non-dropping-particle":"","parse-names":false,"suffix":""},{"dropping-particle":"","family":"Rigogliuso","given":"Salvatrice","non-dropping-particle":"","parse-names":false,"suffix":""},{"dropping-particle":"","family":"Ghersi","given":"Giulio","non-dropping-particle":"","parse-names":false,"suffix":""},{"dropping-particle":"","family":"Carrubba","given":"Vincenzo","non-dropping-particle":"La","parse-names":false,"suffix":""},{"dropping-particle":"","family":"Brucato","given":"Valerio","non-dropping-particle":"","parse-names":false,"suffix":""}],"container-title":"Biochemical Engineering Journal","id":"ITEM-1","issued":{"date-parts":[["2022","12","8"]]},"page":"108298","publisher":"Elsevier","title":"Mathematical and numerical modeling of an airlift perfusion bioreactor for tissue engineering applications","type":"article-journal","volume":"178"},"uris":["http://www.mendeley.com/documents/?uuid=5c4ca7be-d524-3078-91c8-82cf15eed35b"]}],"mendeley":{"formattedCitation":"(Capuana et al. 2022)","plainTextFormattedCitation":"(Capuana et al. 2022)","previouslyFormattedCitation":"(Capuana et al. 2022)"},"properties":{"noteIndex":0},"schema":"https://github.com/citation-style-language/schema/raw/master/csl-citation.json"}</w:instrText>
      </w:r>
      <w:r w:rsidR="0029084C" w:rsidRPr="00AC37CF">
        <w:fldChar w:fldCharType="separate"/>
      </w:r>
      <w:r w:rsidR="0029084C" w:rsidRPr="001745D7">
        <w:rPr>
          <w:noProof/>
        </w:rPr>
        <w:t>(Capuana et al. 2022)</w:t>
      </w:r>
      <w:r w:rsidR="0029084C" w:rsidRPr="00AC37CF">
        <w:fldChar w:fldCharType="end"/>
      </w:r>
      <w:r w:rsidR="0029084C" w:rsidRPr="00AC37CF">
        <w:t>.</w:t>
      </w:r>
    </w:p>
    <w:p w14:paraId="5F4BD3E6" w14:textId="7FBB9E7C" w:rsidR="00112CDB" w:rsidRPr="00730B18" w:rsidRDefault="00112CDB" w:rsidP="00112CDB">
      <w:pPr>
        <w:pStyle w:val="CETHeading1"/>
        <w:rPr>
          <w:b w:val="0"/>
          <w:bCs/>
          <w:lang w:val="en-GB"/>
        </w:rPr>
      </w:pPr>
      <w:r>
        <w:rPr>
          <w:lang w:val="en-GB"/>
        </w:rPr>
        <w:t>Results and Discussion</w:t>
      </w:r>
    </w:p>
    <w:p w14:paraId="7B0D007C" w14:textId="0B970422" w:rsidR="00112CDB" w:rsidRDefault="00112CDB" w:rsidP="005C21C9">
      <w:pPr>
        <w:pStyle w:val="CETheadingx"/>
      </w:pPr>
      <w:r>
        <w:t xml:space="preserve">3.1 Bioreactor </w:t>
      </w:r>
      <w:r w:rsidR="00124856">
        <w:t>Scale-down</w:t>
      </w:r>
    </w:p>
    <w:p w14:paraId="079E880E" w14:textId="77777777" w:rsidR="00112CDB" w:rsidRDefault="00112CDB" w:rsidP="00C77056">
      <w:pPr>
        <w:pStyle w:val="CETBodytext"/>
      </w:pPr>
    </w:p>
    <w:p w14:paraId="0A14871B" w14:textId="22C6D9E5" w:rsidR="00315A64" w:rsidRDefault="00E0211E" w:rsidP="00315A64">
      <w:pPr>
        <w:pStyle w:val="CETBodytext"/>
      </w:pPr>
      <w:r w:rsidRPr="00E0211E">
        <w:t>Starting from the bioreactor design by Capuana et al.</w:t>
      </w:r>
      <w:r w:rsidR="00315A64">
        <w:t xml:space="preserve"> </w:t>
      </w:r>
      <w:r w:rsidR="00422C1F">
        <w:fldChar w:fldCharType="begin" w:fldLock="1"/>
      </w:r>
      <w:r w:rsidR="00790D0E">
        <w:instrText>ADDIN CSL_CITATION {"citationItems":[{"id":"ITEM-1","itemData":{"DOI":"10.1016/J.BEJ.2021.108298","ISSN":"1369-703X","author":[{"dropping-particle":"","family":"Capuana","given":"Elisa","non-dropping-particle":"","parse-names":false,"suffix":""},{"dropping-particle":"","family":"Pavia","given":"Francesco Carfì","non-dropping-particle":"","parse-names":false,"suffix":""},{"dropping-particle":"","family":"Lombardo","given":"Maria Elena","non-dropping-particle":"","parse-names":false,"suffix":""},{"dropping-particle":"","family":"Rigogliuso","given":"Salvatrice","non-dropping-particle":"","parse-names":false,"suffix":""},{"dropping-particle":"","family":"Ghersi","given":"Giulio","non-dropping-particle":"","parse-names":false,"suffix":""},{"dropping-particle":"","family":"Carrubba","given":"Vincenzo","non-dropping-particle":"La","parse-names":false,"suffix":""},{"dropping-particle":"","family":"Brucato","given":"Valerio","non-dropping-particle":"","parse-names":false,"suffix":""}],"container-title":"Biochemical Engineering Journal","id":"ITEM-1","issued":{"date-parts":[["2022","12","8"]]},"page":"108298","publisher":"Elsevier","title":"Mathematical and numerical modeling of an airlift perfusion bioreactor for tissue engineering applications","type":"article-journal","volume":"178"},"uris":["http://www.mendeley.com/documents/?uuid=5c4ca7be-d524-3078-91c8-82cf15eed35b"]}],"mendeley":{"formattedCitation":"(Capuana et al. 2022)","plainTextFormattedCitation":"(Capuana et al. 2022)","previouslyFormattedCitation":"(Capuana et al. 2022)"},"properties":{"noteIndex":0},"schema":"https://github.com/citation-style-language/schema/raw/master/csl-citation.json"}</w:instrText>
      </w:r>
      <w:r w:rsidR="00422C1F">
        <w:fldChar w:fldCharType="separate"/>
      </w:r>
      <w:r w:rsidR="001745D7" w:rsidRPr="001745D7">
        <w:rPr>
          <w:noProof/>
        </w:rPr>
        <w:t>(Capuana et al. 2022)</w:t>
      </w:r>
      <w:r w:rsidR="00422C1F">
        <w:fldChar w:fldCharType="end"/>
      </w:r>
      <w:r w:rsidR="00112CDB">
        <w:t xml:space="preserve">, </w:t>
      </w:r>
      <w:r>
        <w:t>the scaling-down process initially targeted the dimensions, significantly reducing the height and diameter of the perfusion chamber by 70</w:t>
      </w:r>
      <w:r w:rsidR="00DD6258">
        <w:t xml:space="preserve"> </w:t>
      </w:r>
      <w:r>
        <w:t>% and 80</w:t>
      </w:r>
      <w:r w:rsidR="00DD6258">
        <w:t xml:space="preserve"> </w:t>
      </w:r>
      <w:r>
        <w:t>%, respectively</w:t>
      </w:r>
      <w:r w:rsidR="00315A64">
        <w:t>. Figure 1 depicts the design of the two customized bioreactors: Figure 1A is taken from Capuana et al. and represents the original prototype, while Figure 1B illustrates the geometric characteristics of the scale-down.</w:t>
      </w:r>
    </w:p>
    <w:p w14:paraId="59672A44" w14:textId="77777777" w:rsidR="00EF2833" w:rsidRDefault="00EF2833" w:rsidP="00315A64">
      <w:pPr>
        <w:pStyle w:val="CETBodytext"/>
      </w:pPr>
    </w:p>
    <w:p w14:paraId="74F5804E" w14:textId="5C84219B" w:rsidR="004A472C" w:rsidRDefault="00823B6C" w:rsidP="00823B6C">
      <w:pPr>
        <w:pStyle w:val="CETBodytext"/>
        <w:jc w:val="center"/>
        <w:rPr>
          <w:i/>
          <w:iCs/>
        </w:rPr>
      </w:pPr>
      <w:r w:rsidRPr="00823B6C">
        <w:rPr>
          <w:i/>
          <w:iCs/>
          <w:noProof/>
        </w:rPr>
        <w:drawing>
          <wp:inline distT="0" distB="0" distL="0" distR="0" wp14:anchorId="540A0F46" wp14:editId="35B388DF">
            <wp:extent cx="2636520" cy="2754573"/>
            <wp:effectExtent l="0" t="0" r="0" b="8255"/>
            <wp:docPr id="1069882718" name="Immagine 1" descr="Immagine che contiene testo, diagramma, schizzo,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882718" name="Immagine 1" descr="Immagine che contiene testo, diagramma, schizzo, Disegno tecnico&#10;&#10;Descrizione generata automaticamente"/>
                    <pic:cNvPicPr/>
                  </pic:nvPicPr>
                  <pic:blipFill>
                    <a:blip r:embed="rId10"/>
                    <a:stretch>
                      <a:fillRect/>
                    </a:stretch>
                  </pic:blipFill>
                  <pic:spPr>
                    <a:xfrm>
                      <a:off x="0" y="0"/>
                      <a:ext cx="2640975" cy="2759228"/>
                    </a:xfrm>
                    <a:prstGeom prst="rect">
                      <a:avLst/>
                    </a:prstGeom>
                  </pic:spPr>
                </pic:pic>
              </a:graphicData>
            </a:graphic>
          </wp:inline>
        </w:drawing>
      </w:r>
    </w:p>
    <w:p w14:paraId="443267AD" w14:textId="44BBDC38" w:rsidR="00EF2833" w:rsidRDefault="00EF2833" w:rsidP="00EF2833">
      <w:pPr>
        <w:pStyle w:val="CETBodytext"/>
        <w:rPr>
          <w:i/>
          <w:iCs/>
        </w:rPr>
      </w:pPr>
      <w:r w:rsidRPr="00EF2833">
        <w:rPr>
          <w:i/>
          <w:iCs/>
        </w:rPr>
        <w:t>Figure 1</w:t>
      </w:r>
      <w:r w:rsidR="00380B25">
        <w:rPr>
          <w:i/>
          <w:iCs/>
        </w:rPr>
        <w:t>:</w:t>
      </w:r>
      <w:r w:rsidRPr="00EF2833">
        <w:rPr>
          <w:i/>
          <w:iCs/>
        </w:rPr>
        <w:t xml:space="preserve"> A) Outer shell of the bioreactor of Capuana et al. </w:t>
      </w:r>
      <w:r w:rsidRPr="00EF2833">
        <w:rPr>
          <w:i/>
          <w:iCs/>
        </w:rPr>
        <w:fldChar w:fldCharType="begin" w:fldLock="1"/>
      </w:r>
      <w:r w:rsidRPr="00EF2833">
        <w:rPr>
          <w:i/>
          <w:iCs/>
        </w:rPr>
        <w:instrText>ADDIN CSL_CITATION {"citationItems":[{"id":"ITEM-1","itemData":{"DOI":"10.1016/J.BEJ.2021.108298","ISSN":"1369-703X","author":[{"dropping-particle":"","family":"Capuana","given":"Elisa","non-dropping-particle":"","parse-names":false,"suffix":""},{"dropping-particle":"","family":"Pavia","given":"Francesco Carfì","non-dropping-particle":"","parse-names":false,"suffix":""},{"dropping-particle":"","family":"Lombardo","given":"Maria Elena","non-dropping-particle":"","parse-names":false,"suffix":""},{"dropping-particle":"","family":"Rigogliuso","given":"Salvatrice","non-dropping-particle":"","parse-names":false,"suffix":""},{"dropping-particle":"","family":"Ghersi","given":"Giulio","non-dropping-particle":"","parse-names":false,"suffix":""},{"dropping-particle":"","family":"Carrubba","given":"Vincenzo","non-dropping-particle":"La","parse-names":false,"suffix":""},{"dropping-particle":"","family":"Brucato","given":"Valerio","non-dropping-particle":"","parse-names":false,"suffix":""}],"container-title":"Biochemical Engineering Journal","id":"ITEM-1","issued":{"date-parts":[["2022","12","8"]]},"page":"108298","publisher":"Elsevier","title":"Mathematical and numerical modeling of an airlift perfusion bioreactor for tissue engineering applications","type":"article-journal","volume":"178"},"uris":["http://www.mendeley.com/documents/?uuid=5c4ca7be-d524-3078-91c8-82cf15eed35b"]}],"mendeley":{"formattedCitation":"(Capuana et al. 2022)","plainTextFormattedCitation":"(Capuana et al. 2022)","previouslyFormattedCitation":"(Capuana et al. 2022)"},"properties":{"noteIndex":0},"schema":"https://github.com/citation-style-language/schema/raw/master/csl-citation.json"}</w:instrText>
      </w:r>
      <w:r w:rsidRPr="00EF2833">
        <w:rPr>
          <w:i/>
          <w:iCs/>
        </w:rPr>
        <w:fldChar w:fldCharType="separate"/>
      </w:r>
      <w:r w:rsidRPr="00EF2833">
        <w:rPr>
          <w:i/>
          <w:iCs/>
          <w:noProof/>
        </w:rPr>
        <w:t>(Capuana et al. 2022)</w:t>
      </w:r>
      <w:r w:rsidRPr="00EF2833">
        <w:rPr>
          <w:i/>
          <w:iCs/>
        </w:rPr>
        <w:fldChar w:fldCharType="end"/>
      </w:r>
      <w:r w:rsidRPr="00EF2833">
        <w:rPr>
          <w:i/>
          <w:iCs/>
        </w:rPr>
        <w:t>. B) Miniaturized bioreactor</w:t>
      </w:r>
      <w:r w:rsidR="004A472C">
        <w:rPr>
          <w:i/>
          <w:iCs/>
        </w:rPr>
        <w:t>: f</w:t>
      </w:r>
      <w:r w:rsidRPr="00EF2833">
        <w:rPr>
          <w:i/>
          <w:iCs/>
        </w:rPr>
        <w:t>rontal and top view</w:t>
      </w:r>
      <w:r w:rsidR="006E25FC">
        <w:rPr>
          <w:i/>
          <w:iCs/>
        </w:rPr>
        <w:t>s</w:t>
      </w:r>
      <w:r w:rsidRPr="00EF2833">
        <w:rPr>
          <w:i/>
          <w:iCs/>
        </w:rPr>
        <w:t xml:space="preserve"> </w:t>
      </w:r>
      <w:r w:rsidR="004A472C">
        <w:rPr>
          <w:i/>
          <w:iCs/>
        </w:rPr>
        <w:t>with</w:t>
      </w:r>
      <w:r w:rsidRPr="00EF2833">
        <w:rPr>
          <w:i/>
          <w:iCs/>
        </w:rPr>
        <w:t xml:space="preserve"> dimensions</w:t>
      </w:r>
      <w:r w:rsidR="004A472C">
        <w:rPr>
          <w:i/>
          <w:iCs/>
        </w:rPr>
        <w:t>.</w:t>
      </w:r>
    </w:p>
    <w:p w14:paraId="240D9C9E" w14:textId="77777777" w:rsidR="00EE2C2B" w:rsidRPr="00EF2833" w:rsidRDefault="00EE2C2B" w:rsidP="00EF2833">
      <w:pPr>
        <w:pStyle w:val="CETBodytext"/>
        <w:rPr>
          <w:i/>
          <w:iCs/>
        </w:rPr>
      </w:pPr>
    </w:p>
    <w:p w14:paraId="797A958E" w14:textId="65CD615F" w:rsidR="00EF2833" w:rsidRDefault="00EF2833" w:rsidP="00EF2833">
      <w:pPr>
        <w:pStyle w:val="CETBodytext"/>
        <w:spacing w:line="276" w:lineRule="auto"/>
      </w:pPr>
      <w:r>
        <w:t xml:space="preserve">The dimensions of the redesigned bioreactor were carefully adjusted to maintain a proportional relationship with the original prototype. This deliberate adaptation was made to preserve the specific flow regime characterized by bubble flow, ensuring continuity and consistency between the two versions of the bioreactor. In general, the operating regime of the bioreactor was maintained, involving the creation of a bubble column operating as an external airlift reactor, featuring two interconnected cylindrical tubes: a downcomer and a riser. The riser, serving as the conduit for air bubbles, is the part connected to the peristaltic pump via a silicone tube and a sterile syringe filter. As air bubbles ascend through the riser, they entrain a portion of the culture medium, facilitating </w:t>
      </w:r>
      <w:r>
        <w:lastRenderedPageBreak/>
        <w:t xml:space="preserve">circulation within the wider column. This induces liquid-phase movement, promoting gas-liquid mass transfer and oxygenation of the medium </w:t>
      </w:r>
      <w:r>
        <w:rPr>
          <w:szCs w:val="24"/>
          <w:lang w:val="en-GB"/>
        </w:rPr>
        <w:fldChar w:fldCharType="begin" w:fldLock="1"/>
      </w:r>
      <w:r>
        <w:rPr>
          <w:szCs w:val="24"/>
          <w:lang w:val="en-GB"/>
        </w:rPr>
        <w:instrText>ADDIN CSL_CITATION {"citationItems":[{"id":"ITEM-1","itemData":{"DOI":"10.1021/ie302080m","ISSN":"08885885","abstract":"In multiphase flow reaction systems, in general, an extrapolation of small diameter behavior to larger ones is always an important and challenging task. The critical issue in such an extrapolation remains to be mixing and hydrodynamic characteristics. It needs reliable similarity criteria that would result in similar mixing and hydrodynamics and hence transport and performance in two different scales. Numerous experimental and computational studies have been performed to investigate the flow behavior of bubble column reactors for a proper design and scale-up. Experimental techniques vary from simple visual observation to more advanced noninvasive diagnostic techniques. On computational front the progress has been made from simple reactor models to fundamentally based Computational Fluid Dynamics (CFD). Such studies ultimately provide a knowledge that help in understanding the hydrodynamic and mixing characteristics of these reactors and would aid in its scale-up. Based on these studies, various methodologies have been proposed in literature for scale-up and/or to maintain their hydrodynamic and mixing similarity. This article attempts to review the current state of reported dynamic similarity and scale-up methods of bubble column reactors. It mostly covers the methods reported in open literature. The scale-up practices in industry appear to be proprietary for obvious reasons. © 2013 American Chemical Society.","author":[{"dropping-particle":"","family":"Shaikh","given":"Ashfaq","non-dropping-particle":"","parse-names":false,"suffix":""},{"dropping-particle":"","family":"Al-Dahhan","given":"Muthanna","non-dropping-particle":"","parse-names":false,"suffix":""}],"container-title":"Industrial and Engineering Chemistry Research","id":"ITEM-1","issue":"24","issued":{"date-parts":[["2013"]]},"page":"8091-8108","title":"Scale-up of bubble column reactors: A review of current state-of-the-art","type":"article-journal","volume":"52"},"uris":["http://www.mendeley.com/documents/?uuid=e3e5c931-aa94-43eb-9f50-7133c3ee7d3b"]}],"mendeley":{"formattedCitation":"(Shaikh and Al-Dahhan 2013)","plainTextFormattedCitation":"(Shaikh and Al-Dahhan 2013)","previouslyFormattedCitation":"(Shaikh and Al-Dahhan 2013)"},"properties":{"noteIndex":0},"schema":"https://github.com/citation-style-language/schema/raw/master/csl-citation.json"}</w:instrText>
      </w:r>
      <w:r>
        <w:rPr>
          <w:szCs w:val="24"/>
          <w:lang w:val="en-GB"/>
        </w:rPr>
        <w:fldChar w:fldCharType="separate"/>
      </w:r>
      <w:r w:rsidRPr="001745D7">
        <w:rPr>
          <w:noProof/>
          <w:szCs w:val="24"/>
          <w:lang w:val="en-GB"/>
        </w:rPr>
        <w:t>(Shaikh and Al-Dahhan 2013)</w:t>
      </w:r>
      <w:r>
        <w:rPr>
          <w:szCs w:val="24"/>
          <w:lang w:val="en-GB"/>
        </w:rPr>
        <w:fldChar w:fldCharType="end"/>
      </w:r>
      <w:r>
        <w:t>.</w:t>
      </w:r>
    </w:p>
    <w:p w14:paraId="7168B0F9" w14:textId="6818C5A8" w:rsidR="009F1D70" w:rsidRDefault="009F1D70" w:rsidP="009F1D70">
      <w:pPr>
        <w:pStyle w:val="CETBodytext"/>
        <w:spacing w:line="276" w:lineRule="auto"/>
      </w:pPr>
      <w:r>
        <w:t xml:space="preserve">Regarding the homogenization grids, the two designs are shown in Figure 2. Figure 2C illustrates how the different distance from the free surface was </w:t>
      </w:r>
      <w:r w:rsidR="00F37D41">
        <w:t>re</w:t>
      </w:r>
      <w:r>
        <w:t>designed, considering that the grids need to be handled, so they will have a</w:t>
      </w:r>
      <w:r w:rsidR="00186B03">
        <w:t>n upper</w:t>
      </w:r>
      <w:r>
        <w:t xml:space="preserve"> </w:t>
      </w:r>
      <w:r w:rsidR="00186B03">
        <w:t xml:space="preserve">solid </w:t>
      </w:r>
      <w:r>
        <w:t>part suitable for gripping</w:t>
      </w:r>
      <w:r w:rsidR="00186B03">
        <w:t xml:space="preserve">. This solid part could potentially </w:t>
      </w:r>
      <w:r>
        <w:t>affect the flow regime</w:t>
      </w:r>
      <w:r w:rsidR="00186B03">
        <w:t xml:space="preserve"> along the column</w:t>
      </w:r>
      <w:r>
        <w:t>.</w:t>
      </w:r>
    </w:p>
    <w:p w14:paraId="585A2C81" w14:textId="3E74B2D4" w:rsidR="009F1D70" w:rsidRDefault="00F35DBF" w:rsidP="009F1D70">
      <w:pPr>
        <w:pStyle w:val="CETBodytext"/>
        <w:spacing w:line="276" w:lineRule="auto"/>
        <w:jc w:val="center"/>
      </w:pPr>
      <w:r w:rsidRPr="00F35DBF">
        <w:rPr>
          <w:noProof/>
        </w:rPr>
        <w:drawing>
          <wp:inline distT="0" distB="0" distL="0" distR="0" wp14:anchorId="1DFD5153" wp14:editId="024BF731">
            <wp:extent cx="5579745" cy="1438275"/>
            <wp:effectExtent l="0" t="0" r="1905" b="9525"/>
            <wp:docPr id="172172575" name="Immagine 1" descr="Immagine che contiene altoparlant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72575" name="Immagine 1" descr="Immagine che contiene altoparlante, cerchio&#10;&#10;Descrizione generata automaticamente"/>
                    <pic:cNvPicPr/>
                  </pic:nvPicPr>
                  <pic:blipFill>
                    <a:blip r:embed="rId11"/>
                    <a:stretch>
                      <a:fillRect/>
                    </a:stretch>
                  </pic:blipFill>
                  <pic:spPr>
                    <a:xfrm>
                      <a:off x="0" y="0"/>
                      <a:ext cx="5579745" cy="1438275"/>
                    </a:xfrm>
                    <a:prstGeom prst="rect">
                      <a:avLst/>
                    </a:prstGeom>
                  </pic:spPr>
                </pic:pic>
              </a:graphicData>
            </a:graphic>
          </wp:inline>
        </w:drawing>
      </w:r>
    </w:p>
    <w:p w14:paraId="2BE5C419" w14:textId="19639D91" w:rsidR="009F1D70" w:rsidRDefault="009F1D70" w:rsidP="009F1D70">
      <w:pPr>
        <w:pStyle w:val="CETBodytext"/>
        <w:spacing w:line="276" w:lineRule="auto"/>
        <w:rPr>
          <w:i/>
          <w:iCs/>
        </w:rPr>
      </w:pPr>
      <w:r w:rsidRPr="009F1D70">
        <w:rPr>
          <w:i/>
          <w:iCs/>
        </w:rPr>
        <w:t>Figure 2</w:t>
      </w:r>
      <w:r w:rsidR="00380B25">
        <w:rPr>
          <w:i/>
          <w:iCs/>
        </w:rPr>
        <w:t>:</w:t>
      </w:r>
      <w:r w:rsidRPr="009F1D70">
        <w:rPr>
          <w:i/>
          <w:iCs/>
        </w:rPr>
        <w:t xml:space="preserve"> Liquid flow homogenization grid: A) coarse mesh grid (L=1.5mm), B) fine mesh grid (L=0.653 mm), C) frontal view of the grid with the</w:t>
      </w:r>
      <w:r w:rsidR="00186B03">
        <w:rPr>
          <w:i/>
          <w:iCs/>
        </w:rPr>
        <w:t xml:space="preserve"> upper solid</w:t>
      </w:r>
      <w:r w:rsidRPr="009F1D70">
        <w:rPr>
          <w:i/>
          <w:iCs/>
        </w:rPr>
        <w:t xml:space="preserve"> part defining the distance from the free surface.</w:t>
      </w:r>
    </w:p>
    <w:p w14:paraId="4D7C5787" w14:textId="77777777" w:rsidR="007556CC" w:rsidRDefault="007556CC" w:rsidP="009F1D70">
      <w:pPr>
        <w:pStyle w:val="CETBodytext"/>
        <w:spacing w:line="276" w:lineRule="auto"/>
        <w:rPr>
          <w:i/>
          <w:iCs/>
        </w:rPr>
      </w:pPr>
    </w:p>
    <w:p w14:paraId="66EDECEF" w14:textId="46A099CD" w:rsidR="007556CC" w:rsidRPr="00454644" w:rsidRDefault="007556CC" w:rsidP="007556CC">
      <w:pPr>
        <w:pStyle w:val="CETBodytext"/>
        <w:rPr>
          <w:b/>
        </w:rPr>
      </w:pPr>
      <w:r>
        <w:rPr>
          <w:b/>
        </w:rPr>
        <w:t xml:space="preserve">3.2 </w:t>
      </w:r>
      <w:r w:rsidRPr="00454644">
        <w:rPr>
          <w:b/>
        </w:rPr>
        <w:t>Computational Fluid Dynamics (CFD) Simulations</w:t>
      </w:r>
    </w:p>
    <w:p w14:paraId="7CD42673" w14:textId="1DA08DDB" w:rsidR="00C96CDB" w:rsidRDefault="00CA729D" w:rsidP="00CA729D">
      <w:pPr>
        <w:pStyle w:val="CETBodytext"/>
      </w:pPr>
      <w:r>
        <w:t>The fluid dynamics of the bioreactor directly influence bubble size, gas holdup, and mass transfer between the liquid and gas phases, as these parameters depend on the flow regime present in the system</w:t>
      </w:r>
      <w:r w:rsidR="00C72208">
        <w:t xml:space="preserve"> </w:t>
      </w:r>
      <w:r w:rsidR="00C72208">
        <w:fldChar w:fldCharType="begin" w:fldLock="1"/>
      </w:r>
      <w:r w:rsidR="00C72208">
        <w:instrText>ADDIN CSL_CITATION {"citationItems":[{"id":"ITEM-1","itemData":{"author":[{"dropping-particle":"","family":"Campolo","given":"Marina","non-dropping-particle":"","parse-names":false,"suffix":""},{"dropping-particle":"","family":"Molin","given":"D.","non-dropping-particle":"","parse-names":false,"suffix":""},{"dropping-particle":"","family":"Soldati","given":"A.","non-dropping-particle":"","parse-names":false,"suffix":""}],"container-title":"Chemical Engineering Transactions","id":"ITEM-1","issued":{"date-parts":[["2011"]]},"page":"913-918","title":"Predicting and Controlling Bubble Clogging in Bioreactor for Bone Tissue Engineering","type":"article-journal","volume":"24"},"uris":["http://www.mendeley.com/documents/?uuid=e3f49fd7-931e-42ca-a301-503d4c26094e"]}],"mendeley":{"formattedCitation":"(Campolo, Molin, and Soldati 2011)","plainTextFormattedCitation":"(Campolo, Molin, and Soldati 2011)","previouslyFormattedCitation":"(Campolo, Molin, and Soldati 2011)"},"properties":{"noteIndex":0},"schema":"https://github.com/citation-style-language/schema/raw/master/csl-citation.json"}</w:instrText>
      </w:r>
      <w:r w:rsidR="00C72208">
        <w:fldChar w:fldCharType="separate"/>
      </w:r>
      <w:r w:rsidR="00C72208" w:rsidRPr="00C72208">
        <w:rPr>
          <w:noProof/>
        </w:rPr>
        <w:t>(Campolo, Molin, and Soldati 2011)</w:t>
      </w:r>
      <w:r w:rsidR="00C72208">
        <w:fldChar w:fldCharType="end"/>
      </w:r>
      <w:r>
        <w:t xml:space="preserve">. Therefore, in the quest to </w:t>
      </w:r>
      <w:r w:rsidR="00F37D41">
        <w:t>reengineer</w:t>
      </w:r>
      <w:r>
        <w:t xml:space="preserve"> an optimized bioreactor, flow analysis serves as the initial step, enabling the implementation of suitable models to optimize the system's hydrodynamics. Gas holdup plays a crucial role in the design and mass transport within the bioreactor.</w:t>
      </w:r>
    </w:p>
    <w:p w14:paraId="67C8010F" w14:textId="102FCD5F" w:rsidR="00C96CDB" w:rsidRDefault="00CA729D" w:rsidP="00CA729D">
      <w:pPr>
        <w:pStyle w:val="CETBodytext"/>
      </w:pPr>
      <w:r>
        <w:t>In this study, gas holdup was determined through CFD simulations of the bioreactor</w:t>
      </w:r>
      <w:r w:rsidR="00C96CDB">
        <w:t xml:space="preserve"> (Fig</w:t>
      </w:r>
      <w:r w:rsidR="00776A62">
        <w:t>ure</w:t>
      </w:r>
      <w:r w:rsidR="00C96CDB">
        <w:t xml:space="preserve"> 3A)</w:t>
      </w:r>
      <w:r>
        <w:t xml:space="preserve">. As highlighted in the figure, the absence of gas bubbles in the larger perfusion chamber was observed. Air circulates through the upper orifice before exiting the bioreactor. </w:t>
      </w:r>
    </w:p>
    <w:p w14:paraId="28EFBA13" w14:textId="77777777" w:rsidR="00C96CDB" w:rsidRDefault="00C96CDB" w:rsidP="00C96CDB">
      <w:pPr>
        <w:pStyle w:val="CETBodytext"/>
        <w:jc w:val="center"/>
      </w:pPr>
      <w:r w:rsidRPr="00EF7A74">
        <w:rPr>
          <w:noProof/>
        </w:rPr>
        <w:drawing>
          <wp:inline distT="0" distB="0" distL="0" distR="0" wp14:anchorId="2653528F" wp14:editId="4084D1BF">
            <wp:extent cx="5564040" cy="3112239"/>
            <wp:effectExtent l="0" t="0" r="0" b="0"/>
            <wp:docPr id="2032764316" name="Immagine 1" descr="Immagine che contiene testo, Arte bambini,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64316" name="Immagine 1" descr="Immagine che contiene testo, Arte bambini, schermata, design&#10;&#10;Descrizione generata automaticamente"/>
                    <pic:cNvPicPr/>
                  </pic:nvPicPr>
                  <pic:blipFill>
                    <a:blip r:embed="rId12"/>
                    <a:stretch>
                      <a:fillRect/>
                    </a:stretch>
                  </pic:blipFill>
                  <pic:spPr>
                    <a:xfrm>
                      <a:off x="0" y="0"/>
                      <a:ext cx="5589129" cy="3126272"/>
                    </a:xfrm>
                    <a:prstGeom prst="rect">
                      <a:avLst/>
                    </a:prstGeom>
                  </pic:spPr>
                </pic:pic>
              </a:graphicData>
            </a:graphic>
          </wp:inline>
        </w:drawing>
      </w:r>
    </w:p>
    <w:p w14:paraId="0FC226B3" w14:textId="3F3A3A5E" w:rsidR="00C96CDB" w:rsidRDefault="00C96CDB" w:rsidP="00C96CDB">
      <w:pPr>
        <w:pStyle w:val="CETBodytext"/>
        <w:spacing w:line="276" w:lineRule="auto"/>
        <w:rPr>
          <w:i/>
          <w:iCs/>
        </w:rPr>
      </w:pPr>
      <w:r w:rsidRPr="009F1D70">
        <w:rPr>
          <w:i/>
          <w:iCs/>
        </w:rPr>
        <w:t xml:space="preserve">Figure </w:t>
      </w:r>
      <w:r w:rsidR="00380B25">
        <w:rPr>
          <w:i/>
          <w:iCs/>
        </w:rPr>
        <w:t>3:</w:t>
      </w:r>
      <w:r>
        <w:rPr>
          <w:i/>
          <w:iCs/>
        </w:rPr>
        <w:t xml:space="preserve"> Results of the CFD simulation within the bioreactor</w:t>
      </w:r>
      <w:r w:rsidRPr="009F1D70">
        <w:rPr>
          <w:i/>
          <w:iCs/>
        </w:rPr>
        <w:t xml:space="preserve">: A) </w:t>
      </w:r>
      <w:r>
        <w:rPr>
          <w:i/>
          <w:iCs/>
        </w:rPr>
        <w:t>gas hold-up</w:t>
      </w:r>
      <w:r w:rsidRPr="009F1D70">
        <w:rPr>
          <w:i/>
          <w:iCs/>
        </w:rPr>
        <w:t xml:space="preserve">, B) </w:t>
      </w:r>
      <w:r>
        <w:rPr>
          <w:i/>
          <w:iCs/>
        </w:rPr>
        <w:t xml:space="preserve">streamline of the velocity field for the liquid </w:t>
      </w:r>
      <w:proofErr w:type="spellStart"/>
      <w:r>
        <w:rPr>
          <w:i/>
          <w:iCs/>
        </w:rPr>
        <w:t>phase.Time</w:t>
      </w:r>
      <w:proofErr w:type="spellEnd"/>
      <w:r w:rsidR="002B4058">
        <w:rPr>
          <w:i/>
          <w:iCs/>
        </w:rPr>
        <w:t xml:space="preserve"> </w:t>
      </w:r>
      <w:r>
        <w:rPr>
          <w:i/>
          <w:iCs/>
        </w:rPr>
        <w:t>= 120s for the transient solution.</w:t>
      </w:r>
    </w:p>
    <w:p w14:paraId="129994D7" w14:textId="77777777" w:rsidR="00C96CDB" w:rsidRDefault="00C96CDB" w:rsidP="00CA729D">
      <w:pPr>
        <w:pStyle w:val="CETBodytext"/>
      </w:pPr>
    </w:p>
    <w:p w14:paraId="14B89569" w14:textId="59052F58" w:rsidR="008656CE" w:rsidRDefault="00CA729D" w:rsidP="00CA729D">
      <w:pPr>
        <w:pStyle w:val="CETBodytext"/>
      </w:pPr>
      <w:r>
        <w:t>The average gas holdup value in the riser, subsequently used in the mathematical model for oxygen transport and in calculating the specific gas-liquid interfacial area (a</w:t>
      </w:r>
      <w:r>
        <w:rPr>
          <w:vertAlign w:val="subscript"/>
        </w:rPr>
        <w:t>l</w:t>
      </w:r>
      <w:r>
        <w:t xml:space="preserve">), was found to be 0.18 (Figure </w:t>
      </w:r>
      <w:r w:rsidR="00EF7A74">
        <w:t>3A</w:t>
      </w:r>
      <w:r>
        <w:t xml:space="preserve">). The image clearly shows how bubble formation and entrainment occur only in the riser. Therefore, the calculation of oxygen mass transport between the two phases was focused exclusively </w:t>
      </w:r>
      <w:r w:rsidR="004858AE">
        <w:t>o</w:t>
      </w:r>
      <w:r>
        <w:t>n this region.</w:t>
      </w:r>
      <w:r w:rsidR="00EF7A74">
        <w:t xml:space="preserve"> </w:t>
      </w:r>
      <w:r>
        <w:t xml:space="preserve">The flow lines within the bioreactor, obtained from CFD analyses and shown in Figure </w:t>
      </w:r>
      <w:r w:rsidR="00EF7A74">
        <w:t>3B</w:t>
      </w:r>
      <w:r>
        <w:t xml:space="preserve">, highlight a pronounced heterogeneity throughout the </w:t>
      </w:r>
      <w:r>
        <w:lastRenderedPageBreak/>
        <w:t xml:space="preserve">system's volume. To address this issue, a solution was implemented by introducing a grid at the top </w:t>
      </w:r>
      <w:r w:rsidR="004858AE">
        <w:t>to homogenize</w:t>
      </w:r>
      <w:r>
        <w:t xml:space="preserve"> the flow. Two grids with different dimensions and distances from the free surface of the liquid phase were tested. This approach allows </w:t>
      </w:r>
      <w:r w:rsidR="004858AE">
        <w:t xml:space="preserve">for </w:t>
      </w:r>
      <w:r>
        <w:t>determining whether a particular hole size or specific grid arrangement is more suitable for achieving a homogeneous distribution of liquid flow within the bioreactor.</w:t>
      </w:r>
    </w:p>
    <w:p w14:paraId="20258A7E" w14:textId="788E9DCA" w:rsidR="008656CE" w:rsidRDefault="00247043" w:rsidP="00C96CDB">
      <w:pPr>
        <w:pStyle w:val="CETBodytext"/>
        <w:jc w:val="center"/>
      </w:pPr>
      <w:r>
        <w:rPr>
          <w:noProof/>
        </w:rPr>
        <w:drawing>
          <wp:inline distT="0" distB="0" distL="0" distR="0" wp14:anchorId="0B259733" wp14:editId="3C0021FD">
            <wp:extent cx="5579745" cy="3138805"/>
            <wp:effectExtent l="0" t="0" r="1905" b="4445"/>
            <wp:docPr id="1010207325" name="Immagine 2" descr="Immagine che contiene testo, diagramm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07325" name="Immagine 2" descr="Immagine che contiene testo, diagramma, Parallelo&#10;&#10;Descrizione generat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3138805"/>
                    </a:xfrm>
                    <a:prstGeom prst="rect">
                      <a:avLst/>
                    </a:prstGeom>
                    <a:noFill/>
                    <a:ln>
                      <a:noFill/>
                    </a:ln>
                  </pic:spPr>
                </pic:pic>
              </a:graphicData>
            </a:graphic>
          </wp:inline>
        </w:drawing>
      </w:r>
    </w:p>
    <w:p w14:paraId="5020D644" w14:textId="290E1078" w:rsidR="007462F4" w:rsidRDefault="007462F4" w:rsidP="00247043">
      <w:pPr>
        <w:pStyle w:val="CETBodytext"/>
        <w:spacing w:line="276" w:lineRule="auto"/>
        <w:jc w:val="left"/>
        <w:rPr>
          <w:i/>
          <w:iCs/>
        </w:rPr>
      </w:pPr>
      <w:r w:rsidRPr="009F1D70">
        <w:rPr>
          <w:i/>
          <w:iCs/>
        </w:rPr>
        <w:t xml:space="preserve">Figure </w:t>
      </w:r>
      <w:r w:rsidR="00380B25">
        <w:rPr>
          <w:i/>
          <w:iCs/>
        </w:rPr>
        <w:t>4:</w:t>
      </w:r>
      <w:r>
        <w:rPr>
          <w:i/>
          <w:iCs/>
        </w:rPr>
        <w:t xml:space="preserve"> Streamline of the liquid velocity field obtained from</w:t>
      </w:r>
      <w:r w:rsidR="007E4CDE">
        <w:rPr>
          <w:i/>
          <w:iCs/>
        </w:rPr>
        <w:t xml:space="preserve"> </w:t>
      </w:r>
      <w:r>
        <w:rPr>
          <w:i/>
          <w:iCs/>
        </w:rPr>
        <w:t>the CFD simulation within the bioreactor with an inserted grid in different configurations</w:t>
      </w:r>
      <w:r w:rsidRPr="009F1D70">
        <w:rPr>
          <w:i/>
          <w:iCs/>
        </w:rPr>
        <w:t xml:space="preserve">: A) </w:t>
      </w:r>
      <w:r>
        <w:rPr>
          <w:i/>
          <w:iCs/>
        </w:rPr>
        <w:t>small grid at 1mm distance from the free surface</w:t>
      </w:r>
      <w:r w:rsidRPr="009F1D70">
        <w:rPr>
          <w:i/>
          <w:iCs/>
        </w:rPr>
        <w:t xml:space="preserve">, B) </w:t>
      </w:r>
      <w:r>
        <w:rPr>
          <w:i/>
          <w:iCs/>
        </w:rPr>
        <w:t>small grid at 3</w:t>
      </w:r>
      <w:r w:rsidR="00DD6258">
        <w:rPr>
          <w:i/>
          <w:iCs/>
        </w:rPr>
        <w:t xml:space="preserve"> </w:t>
      </w:r>
      <w:r>
        <w:rPr>
          <w:i/>
          <w:iCs/>
        </w:rPr>
        <w:t>mm distance from the free surface, C) big grid at 1mm distance from the free surface, D) big grid at 3</w:t>
      </w:r>
      <w:r w:rsidR="00DD6258">
        <w:rPr>
          <w:i/>
          <w:iCs/>
        </w:rPr>
        <w:t xml:space="preserve"> </w:t>
      </w:r>
      <w:r>
        <w:rPr>
          <w:i/>
          <w:iCs/>
        </w:rPr>
        <w:t>mm distance from the free surface Time</w:t>
      </w:r>
      <w:r w:rsidR="002B4058">
        <w:rPr>
          <w:i/>
          <w:iCs/>
        </w:rPr>
        <w:t xml:space="preserve"> </w:t>
      </w:r>
      <w:r>
        <w:rPr>
          <w:i/>
          <w:iCs/>
        </w:rPr>
        <w:t>= 120</w:t>
      </w:r>
      <w:r w:rsidR="00DD6258">
        <w:rPr>
          <w:i/>
          <w:iCs/>
        </w:rPr>
        <w:t xml:space="preserve"> </w:t>
      </w:r>
      <w:r>
        <w:rPr>
          <w:i/>
          <w:iCs/>
        </w:rPr>
        <w:t>s for the transient solution.</w:t>
      </w:r>
    </w:p>
    <w:p w14:paraId="28B74DF8" w14:textId="77777777" w:rsidR="007E4CDE" w:rsidRDefault="007E4CDE" w:rsidP="007E4CDE">
      <w:pPr>
        <w:pStyle w:val="CETBodytext"/>
        <w:spacing w:line="276" w:lineRule="auto"/>
      </w:pPr>
    </w:p>
    <w:p w14:paraId="21CBB6FE" w14:textId="1B36F704" w:rsidR="007E4CDE" w:rsidRPr="007E4CDE" w:rsidRDefault="007E4CDE" w:rsidP="007E4CDE">
      <w:pPr>
        <w:pStyle w:val="CETBodytext"/>
        <w:spacing w:line="276" w:lineRule="auto"/>
      </w:pPr>
      <w:r>
        <w:t>Overall, the streamlines related to uniform flow were found to be better at a shorter distance from the free surface, with the presence of vortices between the grid and the surface. In all cases, the flow proved more suitable for the requirements of homogeneous flow for the culture of scaffolds under the same stimulus compared to the system without a grid. Finally, the configuration in Figure 4A appears to be the best, with a more homogeneous liquid-phase velocity field.</w:t>
      </w:r>
    </w:p>
    <w:p w14:paraId="5ED8FEC2" w14:textId="77777777" w:rsidR="00257F96" w:rsidRDefault="00257F96" w:rsidP="00E0211E">
      <w:pPr>
        <w:pStyle w:val="CETBodytext"/>
      </w:pPr>
    </w:p>
    <w:p w14:paraId="64E33A63" w14:textId="1E6F30AF" w:rsidR="00D26F63" w:rsidRDefault="00D26F63" w:rsidP="005C21C9">
      <w:pPr>
        <w:pStyle w:val="CETheadingx"/>
      </w:pPr>
      <w:r>
        <w:t>3.</w:t>
      </w:r>
      <w:r w:rsidR="007556CC">
        <w:t>3</w:t>
      </w:r>
      <w:r>
        <w:t xml:space="preserve"> </w:t>
      </w:r>
      <w:r w:rsidRPr="00CD749B">
        <w:t>Oxygen Transfer from Gas Phase to Liquid Phase</w:t>
      </w:r>
    </w:p>
    <w:p w14:paraId="4BA24B35" w14:textId="77777777" w:rsidR="00D26F63" w:rsidRPr="00D26F63" w:rsidRDefault="00D26F63" w:rsidP="00112CDB">
      <w:pPr>
        <w:pStyle w:val="CETBodytext"/>
      </w:pPr>
    </w:p>
    <w:p w14:paraId="2EE06F31" w14:textId="7B4324AF" w:rsidR="009F1D70" w:rsidRDefault="00CF1606" w:rsidP="00D26F63">
      <w:pPr>
        <w:pStyle w:val="CETBodytext"/>
      </w:pPr>
      <w:r w:rsidRPr="00EF2833">
        <w:t xml:space="preserve">Mass transfer in airlift bioreactors is crucial for supplying oxygen to cultured cells. </w:t>
      </w:r>
      <w:r w:rsidR="00D26F63">
        <w:t>M</w:t>
      </w:r>
      <w:r w:rsidR="00D26F63" w:rsidRPr="00D26F63">
        <w:t xml:space="preserve">ass transfer occurs in airlift bioreactors from a dispersed gas phase, </w:t>
      </w:r>
      <w:r>
        <w:t>i.e. the</w:t>
      </w:r>
      <w:r w:rsidR="00D26F63" w:rsidRPr="00D26F63">
        <w:t xml:space="preserve"> air bubble, to a continuous liquid phase, </w:t>
      </w:r>
      <w:r>
        <w:t>i.e.,</w:t>
      </w:r>
      <w:r w:rsidR="00D26F63" w:rsidRPr="00D26F63">
        <w:t xml:space="preserve"> the culture medium. </w:t>
      </w:r>
      <w:r w:rsidRPr="00D26F63">
        <w:t xml:space="preserve">Given the vital role of oxygen in cellular survival, </w:t>
      </w:r>
      <w:r>
        <w:t>t</w:t>
      </w:r>
      <w:r w:rsidR="00EF2833" w:rsidRPr="00EF2833">
        <w:t>he miniaturization of the bioreactor raised the question of whether the reduced volume of the culture medium was sufficient to maintain an adequate oxygen level for the survival of a high number of cells in the system</w:t>
      </w:r>
      <w:r>
        <w:t xml:space="preserve"> and </w:t>
      </w:r>
      <w:r w:rsidRPr="00D26F63">
        <w:t>proper cellular metabolism</w:t>
      </w:r>
      <w:r w:rsidR="00EF2833" w:rsidRPr="00EF2833">
        <w:t>.</w:t>
      </w:r>
      <w:r w:rsidR="00E93896">
        <w:t xml:space="preserve"> </w:t>
      </w:r>
      <w:r w:rsidR="00485D87" w:rsidRPr="00485D87">
        <w:t xml:space="preserve">To solve Eq. 1, the mass transfer coefficient </w:t>
      </w:r>
      <w:r w:rsidR="00485D87">
        <w:rPr>
          <w:lang w:val="en-GB"/>
        </w:rPr>
        <w:t>k</w:t>
      </w:r>
      <w:r w:rsidR="00485D87">
        <w:rPr>
          <w:vertAlign w:val="subscript"/>
          <w:lang w:val="en-GB"/>
        </w:rPr>
        <w:t xml:space="preserve">l </w:t>
      </w:r>
      <w:r w:rsidR="00485D87">
        <w:rPr>
          <w:lang w:val="en-GB"/>
        </w:rPr>
        <w:t xml:space="preserve">[m/s] </w:t>
      </w:r>
      <w:r w:rsidR="00485D87" w:rsidRPr="00485D87">
        <w:t>was estimated referring to the two-resistance theory</w:t>
      </w:r>
      <w:r w:rsidR="004C7124">
        <w:t>, t</w:t>
      </w:r>
      <w:r w:rsidR="00485D87" w:rsidRPr="00485D87">
        <w:t>herefore, by calculating certain constants, such as the Reynolds, Schmidt, and Sherwood numbers. The specific gas-liquid interfacial area (</w:t>
      </w:r>
      <w:r w:rsidR="004C7124" w:rsidRPr="00C9784E">
        <w:rPr>
          <w:lang w:val="en-GB"/>
        </w:rPr>
        <w:t>a</w:t>
      </w:r>
      <w:r w:rsidR="004C7124" w:rsidRPr="00C9784E">
        <w:rPr>
          <w:vertAlign w:val="subscript"/>
          <w:lang w:val="en-GB"/>
        </w:rPr>
        <w:t>l</w:t>
      </w:r>
      <w:r w:rsidR="00485D87" w:rsidRPr="00485D87">
        <w:t>) was computed based on the bubble diameter</w:t>
      </w:r>
      <w:r w:rsidR="00C61D28">
        <w:t xml:space="preserve"> and gas hold-up</w:t>
      </w:r>
      <w:r w:rsidR="00485D87" w:rsidRPr="00485D87">
        <w:t>.</w:t>
      </w:r>
    </w:p>
    <w:p w14:paraId="339CF65F" w14:textId="1B9A8943" w:rsidR="00D37B48" w:rsidRDefault="00D37B48" w:rsidP="00D37B48">
      <w:pPr>
        <w:pStyle w:val="CETTabletitle"/>
      </w:pPr>
      <w:r>
        <w:t>Table 1: Parameter used for solving Eq. 1</w:t>
      </w:r>
      <w:r w:rsidR="00E93896">
        <w:t xml:space="preserve"> from the two-resistance theory</w:t>
      </w:r>
      <w:r w:rsidR="00385DCE">
        <w:t xml:space="preserve">: </w:t>
      </w:r>
      <w:r w:rsidR="00843E8B">
        <w:t>t</w:t>
      </w:r>
      <w:r w:rsidR="00385DCE">
        <w:t xml:space="preserve">he first column describes the parameters with their unit and the second one the calculated values.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75"/>
        <w:gridCol w:w="2175"/>
      </w:tblGrid>
      <w:tr w:rsidR="00D37B48" w:rsidRPr="00E93896" w14:paraId="567A6A8D" w14:textId="77777777" w:rsidTr="00755AF2">
        <w:trPr>
          <w:trHeight w:val="114"/>
        </w:trPr>
        <w:tc>
          <w:tcPr>
            <w:tcW w:w="2175" w:type="dxa"/>
            <w:tcBorders>
              <w:top w:val="single" w:sz="12" w:space="0" w:color="008000"/>
              <w:left w:val="nil"/>
              <w:bottom w:val="single" w:sz="6" w:space="0" w:color="008000"/>
              <w:right w:val="nil"/>
            </w:tcBorders>
            <w:shd w:val="clear" w:color="auto" w:fill="FFFFFF"/>
          </w:tcPr>
          <w:p w14:paraId="27A46D16" w14:textId="55AACFD8" w:rsidR="00D37B48" w:rsidRPr="00247043" w:rsidRDefault="00843E8B">
            <w:pPr>
              <w:pStyle w:val="CETBodytext"/>
              <w:rPr>
                <w:b/>
                <w:bCs/>
                <w:sz w:val="4"/>
                <w:szCs w:val="6"/>
                <w:lang w:val="en-GB"/>
              </w:rPr>
            </w:pPr>
            <w:r w:rsidRPr="00247043">
              <w:rPr>
                <w:b/>
                <w:bCs/>
                <w:lang w:val="en-GB"/>
              </w:rPr>
              <w:t>Parameters</w:t>
            </w:r>
          </w:p>
        </w:tc>
        <w:tc>
          <w:tcPr>
            <w:tcW w:w="2175" w:type="dxa"/>
            <w:tcBorders>
              <w:top w:val="single" w:sz="12" w:space="0" w:color="008000"/>
              <w:left w:val="nil"/>
              <w:bottom w:val="single" w:sz="6" w:space="0" w:color="008000"/>
              <w:right w:val="nil"/>
            </w:tcBorders>
            <w:shd w:val="clear" w:color="auto" w:fill="FFFFFF"/>
          </w:tcPr>
          <w:p w14:paraId="69F99EE9" w14:textId="7EE340AB" w:rsidR="00D37B48" w:rsidRPr="00247043" w:rsidRDefault="00843E8B">
            <w:pPr>
              <w:pStyle w:val="CETBodytext"/>
              <w:rPr>
                <w:b/>
                <w:bCs/>
                <w:sz w:val="6"/>
                <w:szCs w:val="8"/>
                <w:lang w:val="en-GB"/>
              </w:rPr>
            </w:pPr>
            <w:r>
              <w:rPr>
                <w:sz w:val="6"/>
                <w:szCs w:val="8"/>
                <w:lang w:val="en-GB"/>
              </w:rPr>
              <w:t xml:space="preserve">                                       </w:t>
            </w:r>
            <w:r w:rsidRPr="00247043">
              <w:rPr>
                <w:b/>
                <w:bCs/>
                <w:szCs w:val="8"/>
                <w:lang w:val="en-GB"/>
              </w:rPr>
              <w:t>Calculated v</w:t>
            </w:r>
            <w:r w:rsidRPr="00247043">
              <w:rPr>
                <w:b/>
                <w:bCs/>
                <w:szCs w:val="18"/>
                <w:lang w:val="en-GB"/>
              </w:rPr>
              <w:t>alue</w:t>
            </w:r>
          </w:p>
        </w:tc>
      </w:tr>
      <w:tr w:rsidR="00D37B48" w14:paraId="3FC78733" w14:textId="77777777" w:rsidTr="00D37B48">
        <w:trPr>
          <w:trHeight w:val="210"/>
        </w:trPr>
        <w:tc>
          <w:tcPr>
            <w:tcW w:w="2175" w:type="dxa"/>
            <w:tcBorders>
              <w:top w:val="nil"/>
              <w:left w:val="nil"/>
              <w:bottom w:val="nil"/>
              <w:right w:val="nil"/>
            </w:tcBorders>
            <w:shd w:val="clear" w:color="auto" w:fill="FFFFFF"/>
          </w:tcPr>
          <w:p w14:paraId="595B2F91" w14:textId="6F0F0597" w:rsidR="00D37B48" w:rsidRPr="00D37B48" w:rsidRDefault="00D37B48" w:rsidP="00D37B48">
            <w:pPr>
              <w:pStyle w:val="CETBodytext"/>
              <w:rPr>
                <w:lang w:val="en-GB"/>
              </w:rPr>
            </w:pPr>
            <w:r w:rsidRPr="00D37B48">
              <w:rPr>
                <w:lang w:val="en-GB"/>
              </w:rPr>
              <w:t>Reynolds number</w:t>
            </w:r>
          </w:p>
        </w:tc>
        <w:tc>
          <w:tcPr>
            <w:tcW w:w="2175" w:type="dxa"/>
            <w:tcBorders>
              <w:top w:val="nil"/>
              <w:left w:val="nil"/>
              <w:bottom w:val="nil"/>
              <w:right w:val="nil"/>
            </w:tcBorders>
            <w:shd w:val="clear" w:color="auto" w:fill="FFFFFF"/>
          </w:tcPr>
          <w:p w14:paraId="1A3CADF6" w14:textId="0FC19699" w:rsidR="00D37B48" w:rsidRPr="00D37B48" w:rsidRDefault="00D37B48" w:rsidP="00D37B48">
            <w:pPr>
              <w:pStyle w:val="CETBodytext"/>
              <w:rPr>
                <w:lang w:val="en-GB"/>
              </w:rPr>
            </w:pPr>
            <w:r>
              <w:rPr>
                <w:lang w:val="en-GB"/>
              </w:rPr>
              <w:t xml:space="preserve">                     </w:t>
            </w:r>
            <w:r w:rsidRPr="00D37B48">
              <w:rPr>
                <w:lang w:val="en-GB"/>
              </w:rPr>
              <w:t>215.1</w:t>
            </w:r>
          </w:p>
        </w:tc>
      </w:tr>
      <w:tr w:rsidR="0085051C" w14:paraId="2694FE8C" w14:textId="77777777" w:rsidTr="00D37B48">
        <w:trPr>
          <w:trHeight w:val="210"/>
        </w:trPr>
        <w:tc>
          <w:tcPr>
            <w:tcW w:w="2175" w:type="dxa"/>
            <w:tcBorders>
              <w:top w:val="nil"/>
              <w:left w:val="nil"/>
              <w:bottom w:val="nil"/>
              <w:right w:val="nil"/>
            </w:tcBorders>
            <w:shd w:val="clear" w:color="auto" w:fill="FFFFFF"/>
          </w:tcPr>
          <w:p w14:paraId="29D441A8" w14:textId="1C762F04" w:rsidR="0085051C" w:rsidRPr="00D37B48" w:rsidRDefault="0085051C" w:rsidP="0085051C">
            <w:pPr>
              <w:pStyle w:val="CETBodytext"/>
              <w:rPr>
                <w:lang w:val="en-GB"/>
              </w:rPr>
            </w:pPr>
            <w:r>
              <w:rPr>
                <w:lang w:val="en-GB"/>
              </w:rPr>
              <w:t>Equivalent bubble diameter</w:t>
            </w:r>
          </w:p>
        </w:tc>
        <w:tc>
          <w:tcPr>
            <w:tcW w:w="2175" w:type="dxa"/>
            <w:tcBorders>
              <w:top w:val="nil"/>
              <w:left w:val="nil"/>
              <w:bottom w:val="nil"/>
              <w:right w:val="nil"/>
            </w:tcBorders>
            <w:shd w:val="clear" w:color="auto" w:fill="FFFFFF"/>
          </w:tcPr>
          <w:p w14:paraId="4EE79D93" w14:textId="4FC8DD23" w:rsidR="0085051C" w:rsidRDefault="0085051C" w:rsidP="0085051C">
            <w:pPr>
              <w:pStyle w:val="CETBodytext"/>
              <w:rPr>
                <w:lang w:val="en-GB"/>
              </w:rPr>
            </w:pPr>
            <w:r>
              <w:rPr>
                <w:lang w:val="en-GB"/>
              </w:rPr>
              <w:t xml:space="preserve"> </w:t>
            </w:r>
            <w:r w:rsidR="00385DCE">
              <w:rPr>
                <w:lang w:val="en-GB"/>
              </w:rPr>
              <w:t>[cm]</w:t>
            </w:r>
            <w:r>
              <w:rPr>
                <w:lang w:val="en-GB"/>
              </w:rPr>
              <w:t xml:space="preserve">             </w:t>
            </w:r>
            <w:r w:rsidR="00385DCE">
              <w:rPr>
                <w:lang w:val="en-GB"/>
              </w:rPr>
              <w:t xml:space="preserve"> </w:t>
            </w:r>
            <w:r>
              <w:rPr>
                <w:lang w:val="en-GB"/>
              </w:rPr>
              <w:t xml:space="preserve">0.12 </w:t>
            </w:r>
          </w:p>
        </w:tc>
      </w:tr>
      <w:tr w:rsidR="0085051C" w14:paraId="73EB6D7D" w14:textId="77777777" w:rsidTr="0085051C">
        <w:trPr>
          <w:trHeight w:val="210"/>
        </w:trPr>
        <w:tc>
          <w:tcPr>
            <w:tcW w:w="2175" w:type="dxa"/>
            <w:tcBorders>
              <w:top w:val="nil"/>
              <w:left w:val="nil"/>
              <w:bottom w:val="nil"/>
              <w:right w:val="nil"/>
            </w:tcBorders>
            <w:shd w:val="clear" w:color="auto" w:fill="FFFFFF"/>
          </w:tcPr>
          <w:p w14:paraId="1BD1AB6B" w14:textId="742B78FA" w:rsidR="0085051C" w:rsidRPr="00D37B48" w:rsidRDefault="0085051C" w:rsidP="0085051C">
            <w:pPr>
              <w:pStyle w:val="CETBodytext"/>
              <w:rPr>
                <w:lang w:val="en-GB"/>
              </w:rPr>
            </w:pPr>
            <w:r>
              <w:rPr>
                <w:lang w:val="en-GB"/>
              </w:rPr>
              <w:t>Schmidt number</w:t>
            </w:r>
          </w:p>
        </w:tc>
        <w:tc>
          <w:tcPr>
            <w:tcW w:w="2175" w:type="dxa"/>
            <w:tcBorders>
              <w:top w:val="nil"/>
              <w:left w:val="nil"/>
              <w:bottom w:val="nil"/>
              <w:right w:val="nil"/>
            </w:tcBorders>
            <w:shd w:val="clear" w:color="auto" w:fill="FFFFFF"/>
          </w:tcPr>
          <w:p w14:paraId="55A9F366" w14:textId="1AA5FCB6" w:rsidR="0085051C" w:rsidRDefault="0085051C" w:rsidP="0085051C">
            <w:pPr>
              <w:pStyle w:val="CETBodytext"/>
              <w:jc w:val="left"/>
              <w:rPr>
                <w:lang w:val="en-GB"/>
              </w:rPr>
            </w:pPr>
            <w:r>
              <w:rPr>
                <w:lang w:val="en-GB"/>
              </w:rPr>
              <w:t xml:space="preserve">                     269.1</w:t>
            </w:r>
          </w:p>
        </w:tc>
      </w:tr>
      <w:tr w:rsidR="0085051C" w14:paraId="5B1CC5C1" w14:textId="77777777" w:rsidTr="0085051C">
        <w:trPr>
          <w:trHeight w:val="210"/>
        </w:trPr>
        <w:tc>
          <w:tcPr>
            <w:tcW w:w="2175" w:type="dxa"/>
            <w:tcBorders>
              <w:top w:val="nil"/>
              <w:left w:val="nil"/>
              <w:bottom w:val="nil"/>
              <w:right w:val="nil"/>
            </w:tcBorders>
            <w:shd w:val="clear" w:color="auto" w:fill="FFFFFF"/>
          </w:tcPr>
          <w:p w14:paraId="576AEA7F" w14:textId="5A312598" w:rsidR="0085051C" w:rsidRDefault="0085051C" w:rsidP="0085051C">
            <w:pPr>
              <w:pStyle w:val="CETBodytext"/>
              <w:rPr>
                <w:lang w:val="en-GB"/>
              </w:rPr>
            </w:pPr>
            <w:r>
              <w:rPr>
                <w:lang w:val="en-GB"/>
              </w:rPr>
              <w:t>Sherwood number</w:t>
            </w:r>
          </w:p>
        </w:tc>
        <w:tc>
          <w:tcPr>
            <w:tcW w:w="2175" w:type="dxa"/>
            <w:tcBorders>
              <w:top w:val="nil"/>
              <w:left w:val="nil"/>
              <w:bottom w:val="nil"/>
              <w:right w:val="nil"/>
            </w:tcBorders>
            <w:shd w:val="clear" w:color="auto" w:fill="FFFFFF"/>
          </w:tcPr>
          <w:p w14:paraId="3BB2F2E3" w14:textId="1892DC01" w:rsidR="0085051C" w:rsidRDefault="0085051C" w:rsidP="0085051C">
            <w:pPr>
              <w:pStyle w:val="CETBodytext"/>
              <w:jc w:val="left"/>
              <w:rPr>
                <w:lang w:val="en-GB"/>
              </w:rPr>
            </w:pPr>
            <w:r>
              <w:rPr>
                <w:lang w:val="en-GB"/>
              </w:rPr>
              <w:t xml:space="preserve">                     414.5</w:t>
            </w:r>
          </w:p>
        </w:tc>
      </w:tr>
      <w:tr w:rsidR="0085051C" w14:paraId="6983D754" w14:textId="77777777" w:rsidTr="00C9784E">
        <w:trPr>
          <w:trHeight w:val="210"/>
        </w:trPr>
        <w:tc>
          <w:tcPr>
            <w:tcW w:w="2175" w:type="dxa"/>
            <w:tcBorders>
              <w:top w:val="nil"/>
              <w:left w:val="nil"/>
              <w:bottom w:val="nil"/>
              <w:right w:val="nil"/>
            </w:tcBorders>
            <w:shd w:val="clear" w:color="auto" w:fill="FFFFFF"/>
          </w:tcPr>
          <w:p w14:paraId="5C43F3B9" w14:textId="73AF3969" w:rsidR="0085051C" w:rsidRPr="00C9784E" w:rsidRDefault="00C9784E" w:rsidP="0085051C">
            <w:pPr>
              <w:pStyle w:val="CETBodytext"/>
              <w:rPr>
                <w:lang w:val="en-GB"/>
              </w:rPr>
            </w:pPr>
            <w:r>
              <w:rPr>
                <w:lang w:val="en-GB"/>
              </w:rPr>
              <w:t>k</w:t>
            </w:r>
            <w:r>
              <w:rPr>
                <w:vertAlign w:val="subscript"/>
                <w:lang w:val="en-GB"/>
              </w:rPr>
              <w:t xml:space="preserve">l </w:t>
            </w:r>
            <w:r>
              <w:rPr>
                <w:lang w:val="en-GB"/>
              </w:rPr>
              <w:t>[m/s]</w:t>
            </w:r>
          </w:p>
        </w:tc>
        <w:tc>
          <w:tcPr>
            <w:tcW w:w="2175" w:type="dxa"/>
            <w:tcBorders>
              <w:top w:val="nil"/>
              <w:left w:val="nil"/>
              <w:bottom w:val="nil"/>
              <w:right w:val="nil"/>
            </w:tcBorders>
            <w:shd w:val="clear" w:color="auto" w:fill="FFFFFF"/>
          </w:tcPr>
          <w:p w14:paraId="35E9E85C" w14:textId="7FE40918" w:rsidR="0085051C" w:rsidRDefault="0085051C" w:rsidP="0085051C">
            <w:pPr>
              <w:pStyle w:val="CETBodytext"/>
              <w:jc w:val="left"/>
              <w:rPr>
                <w:lang w:val="en-GB"/>
              </w:rPr>
            </w:pPr>
            <w:r>
              <w:rPr>
                <w:lang w:val="en-GB"/>
              </w:rPr>
              <w:t xml:space="preserve">                     0.001</w:t>
            </w:r>
          </w:p>
        </w:tc>
      </w:tr>
      <w:tr w:rsidR="00C9784E" w14:paraId="04978F86" w14:textId="77777777" w:rsidTr="00C9784E">
        <w:trPr>
          <w:trHeight w:val="210"/>
        </w:trPr>
        <w:tc>
          <w:tcPr>
            <w:tcW w:w="2175" w:type="dxa"/>
            <w:tcBorders>
              <w:top w:val="nil"/>
              <w:left w:val="nil"/>
              <w:bottom w:val="nil"/>
              <w:right w:val="nil"/>
            </w:tcBorders>
            <w:shd w:val="clear" w:color="auto" w:fill="FFFFFF"/>
          </w:tcPr>
          <w:p w14:paraId="7DDE685B" w14:textId="7087C49C" w:rsidR="00C9784E" w:rsidRPr="00C9784E" w:rsidRDefault="00C9784E" w:rsidP="00C9784E">
            <w:pPr>
              <w:pStyle w:val="CETBodytext"/>
              <w:jc w:val="left"/>
              <w:rPr>
                <w:lang w:val="en-GB"/>
              </w:rPr>
            </w:pPr>
            <w:r w:rsidRPr="00C9784E">
              <w:rPr>
                <w:lang w:val="en-GB"/>
              </w:rPr>
              <w:t>a</w:t>
            </w:r>
            <w:r w:rsidRPr="00C9784E">
              <w:rPr>
                <w:vertAlign w:val="subscript"/>
                <w:lang w:val="en-GB"/>
              </w:rPr>
              <w:t xml:space="preserve">l      </w:t>
            </w:r>
            <w:r w:rsidRPr="00C9784E">
              <w:rPr>
                <w:lang w:val="en-GB"/>
              </w:rPr>
              <w:t xml:space="preserve">                                                       </w:t>
            </w:r>
          </w:p>
        </w:tc>
        <w:tc>
          <w:tcPr>
            <w:tcW w:w="2175" w:type="dxa"/>
            <w:tcBorders>
              <w:top w:val="nil"/>
              <w:left w:val="nil"/>
              <w:bottom w:val="nil"/>
              <w:right w:val="nil"/>
            </w:tcBorders>
            <w:shd w:val="clear" w:color="auto" w:fill="FFFFFF"/>
          </w:tcPr>
          <w:p w14:paraId="58565F6C" w14:textId="026A301C" w:rsidR="00C9784E" w:rsidRDefault="00C9784E" w:rsidP="00C9784E">
            <w:pPr>
              <w:pStyle w:val="CETBodytext"/>
              <w:jc w:val="left"/>
              <w:rPr>
                <w:lang w:val="en-GB"/>
              </w:rPr>
            </w:pPr>
            <w:r>
              <w:rPr>
                <w:lang w:val="en-GB"/>
              </w:rPr>
              <w:t xml:space="preserve">                     </w:t>
            </w:r>
            <w:r w:rsidRPr="00C9784E">
              <w:rPr>
                <w:lang w:val="en-GB"/>
              </w:rPr>
              <w:t xml:space="preserve">3.6                          </w:t>
            </w:r>
          </w:p>
        </w:tc>
      </w:tr>
      <w:tr w:rsidR="00485D87" w14:paraId="1F358386" w14:textId="77777777" w:rsidTr="00485D87">
        <w:trPr>
          <w:trHeight w:val="68"/>
        </w:trPr>
        <w:tc>
          <w:tcPr>
            <w:tcW w:w="2175" w:type="dxa"/>
            <w:tcBorders>
              <w:top w:val="nil"/>
              <w:left w:val="nil"/>
              <w:bottom w:val="single" w:sz="12" w:space="0" w:color="008000"/>
              <w:right w:val="nil"/>
            </w:tcBorders>
            <w:shd w:val="clear" w:color="auto" w:fill="FFFFFF"/>
          </w:tcPr>
          <w:p w14:paraId="15E74632" w14:textId="4AF8A67B" w:rsidR="00485D87" w:rsidRPr="00485D87" w:rsidRDefault="00485D87" w:rsidP="0085051C">
            <w:pPr>
              <w:pStyle w:val="CETBodytext"/>
              <w:rPr>
                <w:rFonts w:ascii="Calibri" w:eastAsia="Calibri" w:hAnsi="Calibri"/>
                <w:sz w:val="4"/>
                <w:szCs w:val="6"/>
              </w:rPr>
            </w:pPr>
          </w:p>
        </w:tc>
        <w:tc>
          <w:tcPr>
            <w:tcW w:w="2175" w:type="dxa"/>
            <w:tcBorders>
              <w:top w:val="nil"/>
              <w:left w:val="nil"/>
              <w:bottom w:val="single" w:sz="12" w:space="0" w:color="008000"/>
              <w:right w:val="nil"/>
            </w:tcBorders>
            <w:shd w:val="clear" w:color="auto" w:fill="FFFFFF"/>
          </w:tcPr>
          <w:p w14:paraId="647CB4EB" w14:textId="77777777" w:rsidR="00485D87" w:rsidRPr="00485D87" w:rsidRDefault="00485D87" w:rsidP="0085051C">
            <w:pPr>
              <w:pStyle w:val="CETBodytext"/>
              <w:jc w:val="left"/>
              <w:rPr>
                <w:sz w:val="6"/>
                <w:szCs w:val="8"/>
                <w:lang w:val="en-GB"/>
              </w:rPr>
            </w:pPr>
          </w:p>
        </w:tc>
      </w:tr>
    </w:tbl>
    <w:p w14:paraId="43FC5782" w14:textId="77777777" w:rsidR="009F1D70" w:rsidRDefault="009F1D70" w:rsidP="00D26F63">
      <w:pPr>
        <w:pStyle w:val="CETBodytext"/>
      </w:pPr>
    </w:p>
    <w:p w14:paraId="15134355" w14:textId="6636E7D0" w:rsidR="00EE2C2B" w:rsidRDefault="00EF2833" w:rsidP="00EE2C2B">
      <w:pPr>
        <w:pStyle w:val="CETBodytext"/>
      </w:pPr>
      <w:r w:rsidRPr="00EF2833">
        <w:t xml:space="preserve">The steady-state solution revealed an oxygen concentration of 6.8 mg/l, </w:t>
      </w:r>
      <w:r w:rsidR="00DE47F4">
        <w:t>higher than t</w:t>
      </w:r>
      <w:r w:rsidR="00DE47F4" w:rsidRPr="00891FEB">
        <w:t>he minimum cells</w:t>
      </w:r>
      <w:r w:rsidR="004858AE">
        <w:t>'</w:t>
      </w:r>
      <w:r w:rsidR="00DE47F4" w:rsidRPr="00891FEB">
        <w:t xml:space="preserve"> oxygen concentration for maintaining </w:t>
      </w:r>
      <w:r w:rsidR="00DE47F4">
        <w:t>cells</w:t>
      </w:r>
      <w:r w:rsidR="00DE47F4" w:rsidRPr="00891FEB">
        <w:t xml:space="preserve"> physiological activity inside the bioreactor (1.7 mg/l)</w:t>
      </w:r>
      <w:r w:rsidR="00DE47F4">
        <w:t xml:space="preserve"> </w:t>
      </w:r>
      <w:r w:rsidR="00DE47F4">
        <w:fldChar w:fldCharType="begin" w:fldLock="1"/>
      </w:r>
      <w:r w:rsidR="00C72208">
        <w:instrText>ADDIN CSL_CITATION {"citationItems":[{"id":"ITEM-1","itemData":{"DOI":"10.3390/BIOENGINEERING10070849","ISSN":"23065354","abstract":"The traditional 3D culture systems in vitro lack the biological and mechanical spatiotemporal stimuli characteristic to native tissue development. In our study, we combined porous polysaccharide-based hydrogel scaffolds with a bioreactor-type perfusion device that generates favorable mechanical stresses while enhancing nutrient transfers. MC3T3E1 mouse osteoblasts were seeded in the scaffolds and cultivated for 3 weeks under dynamic conditions at a perfusion rate of 10 mL min−1. The spatial distribution of the cells labeled with superparamagnetic iron oxide nanoparticles was visualized by MRI. Confocal microscopy was used to assess cell numbers, their distribution inside the scaffolds, cell viability, and proliferation. The oxygen diffusion coefficient in the hydrogel was measured experimentally. Numerical simulations of the flow and oxygen transport within the bioreactor were performed using a lattice Boltzmann method with a two-relaxation time scheme. Last, the influence of cell density and spheroid size on cell oxygenation was investigated. The cells spontaneously organized into spheroids with a diameter of 30–100 μm. Cell viability remained unchanged under dynamic conditions but decreased under static culture. The cell proliferation (Ki67 expression) in spheroids was not observed. The flow simulation showed that the local fluid velocity reached 27 mm s−1 at the height where the cross-sectional area of the flow was the smallest. The shear stress exerted by the fluid on the scaffolds may locally rise to 100 mPa, compared with the average value of 25 mPa. The oxygen diffusion coefficient in the hydrogel was (Formula presented.) m2 s−1. The simulation of oxygen transport and consumption confirmed that the cells in spheroids did not suffer from hypoxia when the bioreactor was perfused at 10 mL min−1, and suggested the existence of optimal spheroid size and spacing for appropriate oxygenation. Collectively, these findings enabled us to define the optimal conditions inside the bioreactor for an efficient in vitro cell organization and survival in spheroids, which are paramount to future applications with organoids.","author":[{"dropping-particle":"","family":"Grenier","given":"Jérôme","non-dropping-particle":"","parse-names":false,"suffix":""},{"dropping-particle":"","family":"David","given":"Bertrand","non-dropping-particle":"","parse-names":false,"suffix":""},{"dropping-particle":"","family":"Journé","given":"Clément","non-dropping-particle":"","parse-names":false,"suffix":""},{"dropping-particle":"","family":"Cicha","given":"Iwona","non-dropping-particle":"","parse-names":false,"suffix":""},{"dropping-particle":"","family":"Letourneur","given":"Didier","non-dropping-particle":"","parse-names":false,"suffix":""},{"dropping-particle":"","family":"Duval","given":"Hervé","non-dropping-particle":"","parse-names":false,"suffix":""}],"container-title":"Bioengineering","id":"ITEM-1","issue":"7","issued":{"date-parts":[["2023","7","1"]]},"page":"849","publisher":"Multidisciplinary Digital Publishing Institute (MDPI)","title":"Perfusion of MC3T3E1 Preosteoblast Spheroids within Polysaccharide-Based Hydrogel Scaffolds: An Experimental and Numerical Study at the Bioreactor Scale","type":"article-journal","volume":"10"},"uris":["http://www.mendeley.com/documents/?uuid=a5f0d688-8c19-3bd7-aca8-48dac329f911"]}],"mendeley":{"formattedCitation":"(Grenier et al. 2023)","plainTextFormattedCitation":"(Grenier et al. 2023)","previouslyFormattedCitation":"(Grenier et al. 2023)"},"properties":{"noteIndex":0},"schema":"https://github.com/citation-style-language/schema/raw/master/csl-citation.json"}</w:instrText>
      </w:r>
      <w:r w:rsidR="00DE47F4">
        <w:fldChar w:fldCharType="separate"/>
      </w:r>
      <w:r w:rsidR="00DE47F4" w:rsidRPr="00891FEB">
        <w:rPr>
          <w:noProof/>
        </w:rPr>
        <w:t>(Grenier et al. 2023)</w:t>
      </w:r>
      <w:r w:rsidR="00DE47F4">
        <w:fldChar w:fldCharType="end"/>
      </w:r>
      <w:r w:rsidR="00DE47F4">
        <w:t xml:space="preserve"> and resulting</w:t>
      </w:r>
      <w:r w:rsidRPr="00EF2833">
        <w:t xml:space="preserve"> independent </w:t>
      </w:r>
      <w:r w:rsidR="00DE47F4">
        <w:t xml:space="preserve">from </w:t>
      </w:r>
      <w:r w:rsidRPr="00EF2833">
        <w:t>the oxygen consumption rate and the cell count</w:t>
      </w:r>
      <w:r w:rsidR="00891FEB" w:rsidRPr="00891FEB">
        <w:t xml:space="preserve">. </w:t>
      </w:r>
      <w:r w:rsidR="00DE47F4">
        <w:t xml:space="preserve">This outcome derives from </w:t>
      </w:r>
      <w:r w:rsidRPr="00EF2833">
        <w:t>the predominance of oxygen transfer from bubbles to the culture medium over cellular consumption, confirmed by the negligible nature of the reactive term compared to the saturation concentration. The temporal evolution of the oxygen concentration</w:t>
      </w:r>
      <w:r w:rsidR="00EE2C2B">
        <w:t xml:space="preserve"> </w:t>
      </w:r>
      <w:r w:rsidRPr="00EF2833">
        <w:t>indicated that the profile reaches a steady state in approximately 1200 seconds, underscoring the readiness of the bioreactor to supply oxygen in a shorter timeframe than a standard dynamic culture.</w:t>
      </w:r>
      <w:r w:rsidR="00CF1606">
        <w:t xml:space="preserve"> </w:t>
      </w:r>
    </w:p>
    <w:p w14:paraId="7BC55D45" w14:textId="7F74DC86" w:rsidR="00EE2C2B" w:rsidRPr="00760501" w:rsidRDefault="00760501" w:rsidP="00EE2C2B">
      <w:pPr>
        <w:pStyle w:val="CETHeading1"/>
        <w:rPr>
          <w:b w:val="0"/>
          <w:bCs/>
          <w:lang w:val="en-GB"/>
        </w:rPr>
      </w:pPr>
      <w:r>
        <w:rPr>
          <w:lang w:val="en-GB"/>
        </w:rPr>
        <w:t>Conclusions</w:t>
      </w:r>
    </w:p>
    <w:p w14:paraId="671FFB1D" w14:textId="47445BF2" w:rsidR="00FB7204" w:rsidRDefault="00760501" w:rsidP="00760501">
      <w:pPr>
        <w:pStyle w:val="CETBodytext"/>
      </w:pPr>
      <w:r>
        <w:t xml:space="preserve">The scale-down process affected all parts of the bioreactor. Fluid dynamics simulations highlighted the need to introduce a system into the bioreactor capable of homogenizing the flow. Hence, the introduction of specifically </w:t>
      </w:r>
      <w:r w:rsidR="00F37D41">
        <w:t>re</w:t>
      </w:r>
      <w:r>
        <w:t>designed grids became essential to limit the intrinsic turbulence of an airlift bioreactor, making the flow more uniform. Having a uniform flow is crucial for cellular vitality and ensures that all cells within the scaffolds receive an equal supply of nutrients. Regarding the oxygen transfer from the gas phase to the liquid phase, the results from the mathematical model confirm the effectiveness of the bioreactor's downsizing. They demonstrate that the system is capable of providing an adequate amount of oxygen to cultured cells, a critical aspect for the success of tissue engineering applications.</w:t>
      </w:r>
    </w:p>
    <w:p w14:paraId="48DB7E7D" w14:textId="77777777" w:rsidR="00F0367F" w:rsidRPr="00F0367F" w:rsidRDefault="00F0367F" w:rsidP="00F0367F">
      <w:pPr>
        <w:pStyle w:val="CETHeading1"/>
        <w:numPr>
          <w:ilvl w:val="0"/>
          <w:numId w:val="0"/>
        </w:numPr>
        <w:rPr>
          <w:rFonts w:ascii="Times New Roman" w:hAnsi="Times New Roman"/>
          <w:sz w:val="24"/>
          <w:szCs w:val="24"/>
          <w:lang w:eastAsia="it-IT"/>
        </w:rPr>
      </w:pPr>
      <w:r w:rsidRPr="00F0367F">
        <w:rPr>
          <w:lang w:val="en-GB"/>
        </w:rPr>
        <w:t>Acknowledgements</w:t>
      </w:r>
      <w:r w:rsidRPr="00F0367F">
        <w:rPr>
          <w:rFonts w:ascii="Aptos" w:hAnsi="Aptos"/>
          <w:color w:val="000000"/>
          <w:sz w:val="24"/>
          <w:szCs w:val="24"/>
          <w:shd w:val="clear" w:color="auto" w:fill="FFFFFF"/>
          <w:lang w:eastAsia="it-IT"/>
        </w:rPr>
        <w:t> </w:t>
      </w:r>
    </w:p>
    <w:p w14:paraId="27905661" w14:textId="433B7AA8" w:rsidR="00F0367F" w:rsidRPr="00F0367F" w:rsidRDefault="00F0367F" w:rsidP="00F0367F">
      <w:pPr>
        <w:shd w:val="clear" w:color="auto" w:fill="FFFFFF"/>
        <w:tabs>
          <w:tab w:val="clear" w:pos="7100"/>
        </w:tabs>
        <w:spacing w:line="240" w:lineRule="auto"/>
        <w:jc w:val="left"/>
        <w:rPr>
          <w:lang w:val="en-US"/>
        </w:rPr>
      </w:pPr>
      <w:r w:rsidRPr="00F0367F">
        <w:rPr>
          <w:lang w:val="en-US"/>
        </w:rPr>
        <w:t>The research was supported by "</w:t>
      </w:r>
      <w:proofErr w:type="spellStart"/>
      <w:r w:rsidRPr="00F0367F">
        <w:rPr>
          <w:lang w:val="en-US"/>
        </w:rPr>
        <w:t>SiciliAn</w:t>
      </w:r>
      <w:proofErr w:type="spellEnd"/>
      <w:r w:rsidRPr="00F0367F">
        <w:rPr>
          <w:lang w:val="en-US"/>
        </w:rPr>
        <w:t xml:space="preserve"> </w:t>
      </w:r>
      <w:proofErr w:type="spellStart"/>
      <w:r w:rsidRPr="00F0367F">
        <w:rPr>
          <w:lang w:val="en-US"/>
        </w:rPr>
        <w:t>MicronanOTecH</w:t>
      </w:r>
      <w:proofErr w:type="spellEnd"/>
      <w:r w:rsidRPr="00F0367F">
        <w:rPr>
          <w:lang w:val="en-US"/>
        </w:rPr>
        <w:t xml:space="preserve"> Research And Innovation </w:t>
      </w:r>
      <w:proofErr w:type="spellStart"/>
      <w:r w:rsidRPr="00F0367F">
        <w:rPr>
          <w:lang w:val="en-US"/>
        </w:rPr>
        <w:t>CEnter</w:t>
      </w:r>
      <w:proofErr w:type="spellEnd"/>
      <w:r w:rsidRPr="00F0367F">
        <w:rPr>
          <w:lang w:val="en-US"/>
        </w:rPr>
        <w:t xml:space="preserve"> "SAMOTHRACE" (MUR, PNRR-M4C2, ECS_00000022). </w:t>
      </w:r>
    </w:p>
    <w:p w14:paraId="7177A00A" w14:textId="77777777" w:rsidR="00F0367F" w:rsidRDefault="00F0367F" w:rsidP="00D26F63">
      <w:pPr>
        <w:pStyle w:val="CETBodytext"/>
      </w:pPr>
    </w:p>
    <w:p w14:paraId="5A13856B" w14:textId="58C79E60" w:rsidR="006B4888" w:rsidRPr="00F0367F" w:rsidRDefault="00FB7204" w:rsidP="00FB7204">
      <w:pPr>
        <w:pStyle w:val="CETListbullets"/>
        <w:spacing w:after="240" w:line="276" w:lineRule="auto"/>
        <w:ind w:left="0" w:firstLine="0"/>
        <w:rPr>
          <w:lang w:val="en-US"/>
        </w:rPr>
      </w:pPr>
      <w:r w:rsidRPr="00F0367F">
        <w:rPr>
          <w:b/>
          <w:sz w:val="20"/>
          <w:lang w:val="en-US"/>
        </w:rPr>
        <w:t>References</w:t>
      </w:r>
    </w:p>
    <w:p w14:paraId="437B4163" w14:textId="1C06EC44" w:rsidR="00C72208" w:rsidRPr="00F0367F" w:rsidRDefault="007D3E97" w:rsidP="00C72208">
      <w:pPr>
        <w:widowControl w:val="0"/>
        <w:autoSpaceDE w:val="0"/>
        <w:autoSpaceDN w:val="0"/>
        <w:adjustRightInd w:val="0"/>
        <w:spacing w:line="240" w:lineRule="auto"/>
        <w:ind w:left="480" w:hanging="480"/>
        <w:rPr>
          <w:rFonts w:cs="Arial"/>
          <w:noProof/>
          <w:lang w:val="it-IT"/>
        </w:rPr>
      </w:pPr>
      <w:r>
        <w:fldChar w:fldCharType="begin" w:fldLock="1"/>
      </w:r>
      <w:r w:rsidRPr="00F0367F">
        <w:rPr>
          <w:lang w:val="en-US"/>
        </w:rPr>
        <w:instrText xml:space="preserve">ADDIN Mendeley Bibliography CSL_BIBLIOGRAPHY </w:instrText>
      </w:r>
      <w:r>
        <w:fldChar w:fldCharType="separate"/>
      </w:r>
      <w:r w:rsidR="00C72208" w:rsidRPr="00C72208">
        <w:rPr>
          <w:rFonts w:cs="Arial"/>
          <w:noProof/>
        </w:rPr>
        <w:t xml:space="preserve">Campolo, Marina, D. Molin, and A. Soldati. 2011. “Predicting and Controlling Bubble Clogging in Bioreactor for Bone Tissue Engineering.” </w:t>
      </w:r>
      <w:r w:rsidR="00C72208" w:rsidRPr="00F0367F">
        <w:rPr>
          <w:rFonts w:cs="Arial"/>
          <w:i/>
          <w:iCs/>
          <w:noProof/>
          <w:lang w:val="it-IT"/>
        </w:rPr>
        <w:t>Chemical Engineering Transactions</w:t>
      </w:r>
      <w:r w:rsidR="00C72208" w:rsidRPr="00F0367F">
        <w:rPr>
          <w:rFonts w:cs="Arial"/>
          <w:noProof/>
          <w:lang w:val="it-IT"/>
        </w:rPr>
        <w:t xml:space="preserve"> 24: 913–18.</w:t>
      </w:r>
    </w:p>
    <w:p w14:paraId="6A884143" w14:textId="77777777" w:rsidR="00C72208" w:rsidRPr="00F0367F" w:rsidRDefault="00C72208" w:rsidP="00C72208">
      <w:pPr>
        <w:widowControl w:val="0"/>
        <w:autoSpaceDE w:val="0"/>
        <w:autoSpaceDN w:val="0"/>
        <w:adjustRightInd w:val="0"/>
        <w:spacing w:line="240" w:lineRule="auto"/>
        <w:ind w:left="480" w:hanging="480"/>
        <w:rPr>
          <w:rFonts w:cs="Arial"/>
          <w:noProof/>
          <w:lang w:val="it-IT"/>
        </w:rPr>
      </w:pPr>
      <w:r w:rsidRPr="00F0367F">
        <w:rPr>
          <w:rFonts w:cs="Arial"/>
          <w:noProof/>
          <w:lang w:val="it-IT"/>
        </w:rPr>
        <w:t xml:space="preserve">Capuana, Elisa, Simona Campora, Giorgio Catanzaro, Francesco Lopresti, Gioacchino Conoscenti, Giulio Ghersi, Vincenzo La, Valerio Brucato, and Francesco Carfì. </w:t>
      </w:r>
      <w:r w:rsidRPr="00C72208">
        <w:rPr>
          <w:rFonts w:cs="Arial"/>
          <w:noProof/>
        </w:rPr>
        <w:t xml:space="preserve">2023. “Computational Modeling and Experimental Characterization of Fluid Dynamics in Micro-CT Scanned Scaffolds within a Multiple-Sample Airlift Perfusion Bioreactor.” </w:t>
      </w:r>
      <w:r w:rsidRPr="00F0367F">
        <w:rPr>
          <w:rFonts w:cs="Arial"/>
          <w:i/>
          <w:iCs/>
          <w:noProof/>
          <w:lang w:val="it-IT"/>
        </w:rPr>
        <w:t>Biochemical Engineering Journal</w:t>
      </w:r>
      <w:r w:rsidRPr="00F0367F">
        <w:rPr>
          <w:rFonts w:cs="Arial"/>
          <w:noProof/>
          <w:lang w:val="it-IT"/>
        </w:rPr>
        <w:t xml:space="preserve"> 191: 108797. https://doi.org/10.1016/j.bej.2022.108797.</w:t>
      </w:r>
    </w:p>
    <w:p w14:paraId="083CA06D"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F0367F">
        <w:rPr>
          <w:rFonts w:cs="Arial"/>
          <w:noProof/>
          <w:lang w:val="it-IT"/>
        </w:rPr>
        <w:t xml:space="preserve">Capuana, Elisa, Francesco Carfì Pavia, Maria Elena Lombardo, Salvatrice Rigogliuso, Giulio Ghersi, Vincenzo La Carrubba, and Valerio Brucato. </w:t>
      </w:r>
      <w:r w:rsidRPr="00C72208">
        <w:rPr>
          <w:rFonts w:cs="Arial"/>
          <w:noProof/>
        </w:rPr>
        <w:t xml:space="preserve">2022. “Mathematical and Numerical Modeling of an Airlift Perfusion Bioreactor for Tissue Engineering Applications.” </w:t>
      </w:r>
      <w:r w:rsidRPr="00C72208">
        <w:rPr>
          <w:rFonts w:cs="Arial"/>
          <w:i/>
          <w:iCs/>
          <w:noProof/>
        </w:rPr>
        <w:t>Biochemical Engineering Journal</w:t>
      </w:r>
      <w:r w:rsidRPr="00C72208">
        <w:rPr>
          <w:rFonts w:cs="Arial"/>
          <w:noProof/>
        </w:rPr>
        <w:t xml:space="preserve"> 178 (December): 108298. https://doi.org/10.1016/J.BEJ.2021.108298.</w:t>
      </w:r>
    </w:p>
    <w:p w14:paraId="18E33D75" w14:textId="77777777" w:rsidR="00C72208" w:rsidRPr="00F0367F" w:rsidRDefault="00C72208" w:rsidP="00C72208">
      <w:pPr>
        <w:widowControl w:val="0"/>
        <w:autoSpaceDE w:val="0"/>
        <w:autoSpaceDN w:val="0"/>
        <w:adjustRightInd w:val="0"/>
        <w:spacing w:line="240" w:lineRule="auto"/>
        <w:ind w:left="480" w:hanging="480"/>
        <w:rPr>
          <w:rFonts w:cs="Arial"/>
          <w:noProof/>
          <w:lang w:val="it-IT"/>
        </w:rPr>
      </w:pPr>
      <w:r w:rsidRPr="00C72208">
        <w:rPr>
          <w:rFonts w:cs="Arial"/>
          <w:noProof/>
        </w:rPr>
        <w:t xml:space="preserve">Chang, Robert, Kamal Emami, Honglu Wu, and Wei Sun. 2010. “Biofabrication of a Three-Dimensional Liver Micro-Organ as an in Vitro Drug Metabolism Model.” </w:t>
      </w:r>
      <w:r w:rsidRPr="00F0367F">
        <w:rPr>
          <w:rFonts w:cs="Arial"/>
          <w:i/>
          <w:iCs/>
          <w:noProof/>
          <w:lang w:val="it-IT"/>
        </w:rPr>
        <w:t>Biofabrication</w:t>
      </w:r>
      <w:r w:rsidRPr="00F0367F">
        <w:rPr>
          <w:rFonts w:cs="Arial"/>
          <w:noProof/>
          <w:lang w:val="it-IT"/>
        </w:rPr>
        <w:t xml:space="preserve"> 2 (4): 045004. https://doi.org/10.1088/1758-5082/2/4/045004.</w:t>
      </w:r>
    </w:p>
    <w:p w14:paraId="60B96C65"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F0367F">
        <w:rPr>
          <w:rFonts w:cs="Arial"/>
          <w:noProof/>
          <w:lang w:val="it-IT"/>
        </w:rPr>
        <w:t xml:space="preserve">Cioffi, Margherita, Federica Boschetti, Manuela Teresa Raimondi, and Gabriele Dubini. </w:t>
      </w:r>
      <w:r w:rsidRPr="00C72208">
        <w:rPr>
          <w:rFonts w:cs="Arial"/>
          <w:noProof/>
        </w:rPr>
        <w:t xml:space="preserve">2006. “Modeling Evaluation of the Fluid-Dynamic Microenvironment in Tissue-Engineered Constructs: A Micro-CT Based Model.” </w:t>
      </w:r>
      <w:r w:rsidRPr="00C72208">
        <w:rPr>
          <w:rFonts w:cs="Arial"/>
          <w:i/>
          <w:iCs/>
          <w:noProof/>
        </w:rPr>
        <w:t>Biotechnology and Bioengineering</w:t>
      </w:r>
      <w:r w:rsidRPr="00C72208">
        <w:rPr>
          <w:rFonts w:cs="Arial"/>
          <w:noProof/>
        </w:rPr>
        <w:t xml:space="preserve"> 93 (3): 500–510. https://doi.org/10.1002/bit.20740.</w:t>
      </w:r>
    </w:p>
    <w:p w14:paraId="4480560D"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C72208">
        <w:rPr>
          <w:rFonts w:cs="Arial"/>
          <w:noProof/>
        </w:rPr>
        <w:t xml:space="preserve">Devarapalli, Mamatha, Benjamin J. Lawrence, and Sundararajan V. Madihally. 2009. “Modeling Nutrient Consumptions in Large Flow-through Bioreactors for Tissue Engineering.” </w:t>
      </w:r>
      <w:r w:rsidRPr="00C72208">
        <w:rPr>
          <w:rFonts w:cs="Arial"/>
          <w:i/>
          <w:iCs/>
          <w:noProof/>
        </w:rPr>
        <w:t>Biotechnology and Bioengineering</w:t>
      </w:r>
      <w:r w:rsidRPr="00C72208">
        <w:rPr>
          <w:rFonts w:cs="Arial"/>
          <w:noProof/>
        </w:rPr>
        <w:t xml:space="preserve"> 103 (5): 1003–15. https://doi.org/10.1002/bit.22333.</w:t>
      </w:r>
    </w:p>
    <w:p w14:paraId="0A721821"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C72208">
        <w:rPr>
          <w:rFonts w:cs="Arial"/>
          <w:noProof/>
        </w:rPr>
        <w:t xml:space="preserve">Grenier, Jérôme, Bertrand David, Clément Journé, Iwona Cicha, Didier Letourneur, and Hervé Duval. 2023. “Perfusion of MC3T3E1 Preosteoblast Spheroids within Polysaccharide-Based Hydrogel Scaffolds: An Experimental and Numerical Study at the Bioreactor Scale.” </w:t>
      </w:r>
      <w:r w:rsidRPr="00C72208">
        <w:rPr>
          <w:rFonts w:cs="Arial"/>
          <w:i/>
          <w:iCs/>
          <w:noProof/>
        </w:rPr>
        <w:t>Bioengineering</w:t>
      </w:r>
      <w:r w:rsidRPr="00C72208">
        <w:rPr>
          <w:rFonts w:cs="Arial"/>
          <w:noProof/>
        </w:rPr>
        <w:t xml:space="preserve"> 10 (7): 849. https://doi.org/10.3390/BIOENGINEERING10070849.</w:t>
      </w:r>
    </w:p>
    <w:p w14:paraId="56145093"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C72208">
        <w:rPr>
          <w:rFonts w:cs="Arial"/>
          <w:noProof/>
        </w:rPr>
        <w:t xml:space="preserve">Li, Jian, Diansheng Chen, and Yubo Fan. 2019. “Evaluation and Prediction of Mass Transport Properties for Porous Implant with Different Unit Cells: A Numerical Study.” </w:t>
      </w:r>
      <w:r w:rsidRPr="00C72208">
        <w:rPr>
          <w:rFonts w:cs="Arial"/>
          <w:i/>
          <w:iCs/>
          <w:noProof/>
        </w:rPr>
        <w:t>BioMed Research International</w:t>
      </w:r>
      <w:r w:rsidRPr="00C72208">
        <w:rPr>
          <w:rFonts w:cs="Arial"/>
          <w:noProof/>
        </w:rPr>
        <w:t xml:space="preserve"> 2019. https://doi.org/10.1155/2019/3610785.</w:t>
      </w:r>
    </w:p>
    <w:p w14:paraId="64640625"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C72208">
        <w:rPr>
          <w:rFonts w:cs="Arial"/>
          <w:noProof/>
        </w:rPr>
        <w:t xml:space="preserve">Magrofuoco, Enrico, Marina Flaibani, Monica Giomo, and Nicola Elvassore. 2019. “Cell Culture Distribution in a Three-Dimensional Porous Scaffold in Perfusion Bioreactor.” </w:t>
      </w:r>
      <w:r w:rsidRPr="00C72208">
        <w:rPr>
          <w:rFonts w:cs="Arial"/>
          <w:i/>
          <w:iCs/>
          <w:noProof/>
        </w:rPr>
        <w:t>Biochemical Engineering Journal</w:t>
      </w:r>
      <w:r w:rsidRPr="00C72208">
        <w:rPr>
          <w:rFonts w:cs="Arial"/>
          <w:noProof/>
        </w:rPr>
        <w:t xml:space="preserve"> 146 (June): 10–19. https://doi.org/10.1016/j.bej.2019.02.023.</w:t>
      </w:r>
    </w:p>
    <w:p w14:paraId="6C4CA51C"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C72208">
        <w:rPr>
          <w:rFonts w:cs="Arial"/>
          <w:noProof/>
        </w:rPr>
        <w:t xml:space="preserve">Rezende, Rodrigo A., Júlia A. Nogueira, Viviane F.lara, Vladimir Mironov, Rubens M. Filho, and Jorge V.L. Da Silva. 2013. “Development of a Bioreactor by Computer Fluid Dynamics Simulations for the Maturation of 3D Printed Organs by Rapid Prototyping.” </w:t>
      </w:r>
      <w:r w:rsidRPr="00C72208">
        <w:rPr>
          <w:rFonts w:cs="Arial"/>
          <w:i/>
          <w:iCs/>
          <w:noProof/>
        </w:rPr>
        <w:t>Chemical Engineering Transactions</w:t>
      </w:r>
      <w:r w:rsidRPr="00C72208">
        <w:rPr>
          <w:rFonts w:cs="Arial"/>
          <w:noProof/>
        </w:rPr>
        <w:t xml:space="preserve"> 32: 1153–58. https://doi.org/10.3303/CET1332193.</w:t>
      </w:r>
    </w:p>
    <w:p w14:paraId="5367240C" w14:textId="77777777" w:rsidR="00C72208" w:rsidRPr="00C72208" w:rsidRDefault="00C72208" w:rsidP="00C72208">
      <w:pPr>
        <w:widowControl w:val="0"/>
        <w:autoSpaceDE w:val="0"/>
        <w:autoSpaceDN w:val="0"/>
        <w:adjustRightInd w:val="0"/>
        <w:spacing w:line="240" w:lineRule="auto"/>
        <w:ind w:left="480" w:hanging="480"/>
        <w:rPr>
          <w:rFonts w:cs="Arial"/>
          <w:noProof/>
        </w:rPr>
      </w:pPr>
      <w:r w:rsidRPr="00C72208">
        <w:rPr>
          <w:rFonts w:cs="Arial"/>
          <w:noProof/>
        </w:rPr>
        <w:lastRenderedPageBreak/>
        <w:t xml:space="preserve">Shaikh, Ashfaq, and Muthanna Al-Dahhan. 2013. “Scale-up of Bubble Column Reactors: A Review of Current State-of-the-Art.” </w:t>
      </w:r>
      <w:r w:rsidRPr="00C72208">
        <w:rPr>
          <w:rFonts w:cs="Arial"/>
          <w:i/>
          <w:iCs/>
          <w:noProof/>
        </w:rPr>
        <w:t>Industrial and Engineering Chemistry Research</w:t>
      </w:r>
      <w:r w:rsidRPr="00C72208">
        <w:rPr>
          <w:rFonts w:cs="Arial"/>
          <w:noProof/>
        </w:rPr>
        <w:t xml:space="preserve"> 52 (24): 8091–8108. https://doi.org/10.1021/ie302080m.</w:t>
      </w:r>
    </w:p>
    <w:p w14:paraId="19C4FC68" w14:textId="27297456" w:rsidR="004628D2" w:rsidRDefault="007D3E97" w:rsidP="00C72208">
      <w:pPr>
        <w:widowControl w:val="0"/>
        <w:autoSpaceDE w:val="0"/>
        <w:autoSpaceDN w:val="0"/>
        <w:adjustRightInd w:val="0"/>
        <w:spacing w:line="240" w:lineRule="auto"/>
        <w:ind w:left="480" w:hanging="480"/>
      </w:pPr>
      <w:r>
        <w:fldChar w:fldCharType="end"/>
      </w:r>
    </w:p>
    <w:sectPr w:rsidR="004628D2" w:rsidSect="004A289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2B67" w14:textId="77777777" w:rsidR="004A289A" w:rsidRDefault="004A289A" w:rsidP="004F5E36">
      <w:r>
        <w:separator/>
      </w:r>
    </w:p>
  </w:endnote>
  <w:endnote w:type="continuationSeparator" w:id="0">
    <w:p w14:paraId="75DA317D" w14:textId="77777777" w:rsidR="004A289A" w:rsidRDefault="004A289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B8132" w14:textId="77777777" w:rsidR="004A289A" w:rsidRDefault="004A289A" w:rsidP="004F5E36">
      <w:r>
        <w:separator/>
      </w:r>
    </w:p>
  </w:footnote>
  <w:footnote w:type="continuationSeparator" w:id="0">
    <w:p w14:paraId="5B84F9CF" w14:textId="77777777" w:rsidR="004A289A" w:rsidRDefault="004A289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B7F6F15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b/>
        <w:bCs w:val="0"/>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626014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gFADPRo54tAAAA"/>
  </w:docVars>
  <w:rsids>
    <w:rsidRoot w:val="000E414A"/>
    <w:rsid w:val="000027C0"/>
    <w:rsid w:val="000052FB"/>
    <w:rsid w:val="000117CB"/>
    <w:rsid w:val="0003148D"/>
    <w:rsid w:val="00031EEC"/>
    <w:rsid w:val="00051566"/>
    <w:rsid w:val="00054A6B"/>
    <w:rsid w:val="000562A9"/>
    <w:rsid w:val="00062A9A"/>
    <w:rsid w:val="00065058"/>
    <w:rsid w:val="00074C64"/>
    <w:rsid w:val="00085D42"/>
    <w:rsid w:val="00086C39"/>
    <w:rsid w:val="000A03B2"/>
    <w:rsid w:val="000B5C15"/>
    <w:rsid w:val="000D0268"/>
    <w:rsid w:val="000D34BE"/>
    <w:rsid w:val="000D7F89"/>
    <w:rsid w:val="000E102F"/>
    <w:rsid w:val="000E36F1"/>
    <w:rsid w:val="000E3A73"/>
    <w:rsid w:val="000E414A"/>
    <w:rsid w:val="000F093C"/>
    <w:rsid w:val="000F787B"/>
    <w:rsid w:val="00112CDB"/>
    <w:rsid w:val="0012091F"/>
    <w:rsid w:val="00124856"/>
    <w:rsid w:val="00126BC2"/>
    <w:rsid w:val="001308B6"/>
    <w:rsid w:val="00130F08"/>
    <w:rsid w:val="0013121F"/>
    <w:rsid w:val="00131FE6"/>
    <w:rsid w:val="0013263F"/>
    <w:rsid w:val="001331DF"/>
    <w:rsid w:val="00134DE4"/>
    <w:rsid w:val="0014034D"/>
    <w:rsid w:val="00144D16"/>
    <w:rsid w:val="00150E59"/>
    <w:rsid w:val="001514F3"/>
    <w:rsid w:val="00152DE3"/>
    <w:rsid w:val="00156F74"/>
    <w:rsid w:val="00164CF9"/>
    <w:rsid w:val="001667A6"/>
    <w:rsid w:val="001745D7"/>
    <w:rsid w:val="0017681D"/>
    <w:rsid w:val="0018232F"/>
    <w:rsid w:val="00184AD6"/>
    <w:rsid w:val="00186B03"/>
    <w:rsid w:val="001A4AF7"/>
    <w:rsid w:val="001B0349"/>
    <w:rsid w:val="001B1E93"/>
    <w:rsid w:val="001B32C1"/>
    <w:rsid w:val="001B65C1"/>
    <w:rsid w:val="001C684B"/>
    <w:rsid w:val="001D0CFB"/>
    <w:rsid w:val="001D21AF"/>
    <w:rsid w:val="001D53FC"/>
    <w:rsid w:val="001F42A5"/>
    <w:rsid w:val="001F4674"/>
    <w:rsid w:val="001F7B9D"/>
    <w:rsid w:val="00201C93"/>
    <w:rsid w:val="00213544"/>
    <w:rsid w:val="00220D75"/>
    <w:rsid w:val="002224B4"/>
    <w:rsid w:val="002447EF"/>
    <w:rsid w:val="00247043"/>
    <w:rsid w:val="00251550"/>
    <w:rsid w:val="00257F96"/>
    <w:rsid w:val="00263B05"/>
    <w:rsid w:val="002700CE"/>
    <w:rsid w:val="00270E7A"/>
    <w:rsid w:val="0027221A"/>
    <w:rsid w:val="00275858"/>
    <w:rsid w:val="00275B61"/>
    <w:rsid w:val="00280FAF"/>
    <w:rsid w:val="00282656"/>
    <w:rsid w:val="0029084C"/>
    <w:rsid w:val="002940EC"/>
    <w:rsid w:val="00296B83"/>
    <w:rsid w:val="002A5F9F"/>
    <w:rsid w:val="002B4015"/>
    <w:rsid w:val="002B4058"/>
    <w:rsid w:val="002B78CE"/>
    <w:rsid w:val="002C2FB6"/>
    <w:rsid w:val="002E5FA7"/>
    <w:rsid w:val="002F3309"/>
    <w:rsid w:val="002F4F8A"/>
    <w:rsid w:val="003008CE"/>
    <w:rsid w:val="003009B7"/>
    <w:rsid w:val="00300E56"/>
    <w:rsid w:val="0030152C"/>
    <w:rsid w:val="0030469C"/>
    <w:rsid w:val="003113BA"/>
    <w:rsid w:val="00315A64"/>
    <w:rsid w:val="00321CA6"/>
    <w:rsid w:val="00323763"/>
    <w:rsid w:val="00323C5F"/>
    <w:rsid w:val="00334C09"/>
    <w:rsid w:val="003723D4"/>
    <w:rsid w:val="00380B25"/>
    <w:rsid w:val="00381905"/>
    <w:rsid w:val="00384CC8"/>
    <w:rsid w:val="00385DCE"/>
    <w:rsid w:val="003871FD"/>
    <w:rsid w:val="003931BE"/>
    <w:rsid w:val="003A1E30"/>
    <w:rsid w:val="003A2829"/>
    <w:rsid w:val="003A6FC6"/>
    <w:rsid w:val="003A7D1C"/>
    <w:rsid w:val="003B304B"/>
    <w:rsid w:val="003B3146"/>
    <w:rsid w:val="003B60A1"/>
    <w:rsid w:val="003D4227"/>
    <w:rsid w:val="003F015E"/>
    <w:rsid w:val="003F133F"/>
    <w:rsid w:val="003F3B03"/>
    <w:rsid w:val="00400414"/>
    <w:rsid w:val="0041446B"/>
    <w:rsid w:val="00422C1F"/>
    <w:rsid w:val="0044071E"/>
    <w:rsid w:val="0044329C"/>
    <w:rsid w:val="00453E24"/>
    <w:rsid w:val="00454644"/>
    <w:rsid w:val="00457456"/>
    <w:rsid w:val="004577FE"/>
    <w:rsid w:val="00457B9C"/>
    <w:rsid w:val="00460894"/>
    <w:rsid w:val="0046164A"/>
    <w:rsid w:val="004628D2"/>
    <w:rsid w:val="00462DCD"/>
    <w:rsid w:val="004648AD"/>
    <w:rsid w:val="004703A9"/>
    <w:rsid w:val="00473E82"/>
    <w:rsid w:val="004760DE"/>
    <w:rsid w:val="004761E9"/>
    <w:rsid w:val="004763D7"/>
    <w:rsid w:val="004858AE"/>
    <w:rsid w:val="00485D87"/>
    <w:rsid w:val="004901B1"/>
    <w:rsid w:val="004A004E"/>
    <w:rsid w:val="004A24CF"/>
    <w:rsid w:val="004A289A"/>
    <w:rsid w:val="004A472C"/>
    <w:rsid w:val="004C3D1D"/>
    <w:rsid w:val="004C3D84"/>
    <w:rsid w:val="004C7124"/>
    <w:rsid w:val="004C7913"/>
    <w:rsid w:val="004E4DD6"/>
    <w:rsid w:val="004F5E36"/>
    <w:rsid w:val="004F6036"/>
    <w:rsid w:val="00507B47"/>
    <w:rsid w:val="00507BEF"/>
    <w:rsid w:val="00507CC9"/>
    <w:rsid w:val="005119A5"/>
    <w:rsid w:val="00516AAC"/>
    <w:rsid w:val="005278B7"/>
    <w:rsid w:val="00532016"/>
    <w:rsid w:val="005346C8"/>
    <w:rsid w:val="00543E7D"/>
    <w:rsid w:val="00547A68"/>
    <w:rsid w:val="005531C9"/>
    <w:rsid w:val="00570C43"/>
    <w:rsid w:val="005B2110"/>
    <w:rsid w:val="005B61E6"/>
    <w:rsid w:val="005C21C9"/>
    <w:rsid w:val="005C77E1"/>
    <w:rsid w:val="005D668A"/>
    <w:rsid w:val="005D6A2F"/>
    <w:rsid w:val="005E17C7"/>
    <w:rsid w:val="005E1A82"/>
    <w:rsid w:val="005E2DCA"/>
    <w:rsid w:val="005E794C"/>
    <w:rsid w:val="005F0A28"/>
    <w:rsid w:val="005F0E5E"/>
    <w:rsid w:val="005F2941"/>
    <w:rsid w:val="00600535"/>
    <w:rsid w:val="00610CD6"/>
    <w:rsid w:val="00620DEE"/>
    <w:rsid w:val="00621F92"/>
    <w:rsid w:val="0062280A"/>
    <w:rsid w:val="00625639"/>
    <w:rsid w:val="00631B33"/>
    <w:rsid w:val="00633435"/>
    <w:rsid w:val="0064184D"/>
    <w:rsid w:val="006422CC"/>
    <w:rsid w:val="00660E3E"/>
    <w:rsid w:val="00662E74"/>
    <w:rsid w:val="00680C23"/>
    <w:rsid w:val="00693766"/>
    <w:rsid w:val="006A3281"/>
    <w:rsid w:val="006B4888"/>
    <w:rsid w:val="006C2E45"/>
    <w:rsid w:val="006C359C"/>
    <w:rsid w:val="006C5579"/>
    <w:rsid w:val="006D4F29"/>
    <w:rsid w:val="006D6E8B"/>
    <w:rsid w:val="006E25FC"/>
    <w:rsid w:val="006E737D"/>
    <w:rsid w:val="00713973"/>
    <w:rsid w:val="00715B57"/>
    <w:rsid w:val="00720A24"/>
    <w:rsid w:val="00723169"/>
    <w:rsid w:val="00730B18"/>
    <w:rsid w:val="00732386"/>
    <w:rsid w:val="0073514D"/>
    <w:rsid w:val="007447F3"/>
    <w:rsid w:val="007462F4"/>
    <w:rsid w:val="0075499F"/>
    <w:rsid w:val="007556CC"/>
    <w:rsid w:val="00755AF2"/>
    <w:rsid w:val="00760501"/>
    <w:rsid w:val="007661C8"/>
    <w:rsid w:val="0077098D"/>
    <w:rsid w:val="00776A62"/>
    <w:rsid w:val="00790D0E"/>
    <w:rsid w:val="007931FA"/>
    <w:rsid w:val="00793B18"/>
    <w:rsid w:val="00797C5E"/>
    <w:rsid w:val="007A4861"/>
    <w:rsid w:val="007A7BBA"/>
    <w:rsid w:val="007B0C50"/>
    <w:rsid w:val="007B4579"/>
    <w:rsid w:val="007B48F9"/>
    <w:rsid w:val="007C14D0"/>
    <w:rsid w:val="007C1A43"/>
    <w:rsid w:val="007D0951"/>
    <w:rsid w:val="007D16D5"/>
    <w:rsid w:val="007D3E97"/>
    <w:rsid w:val="007D7125"/>
    <w:rsid w:val="007E4CDE"/>
    <w:rsid w:val="0080013E"/>
    <w:rsid w:val="008027E3"/>
    <w:rsid w:val="0080785D"/>
    <w:rsid w:val="008123F0"/>
    <w:rsid w:val="00813288"/>
    <w:rsid w:val="008168FC"/>
    <w:rsid w:val="00823B6C"/>
    <w:rsid w:val="00830996"/>
    <w:rsid w:val="00831787"/>
    <w:rsid w:val="008345F1"/>
    <w:rsid w:val="00843E8B"/>
    <w:rsid w:val="00843EAC"/>
    <w:rsid w:val="008447CF"/>
    <w:rsid w:val="0085051C"/>
    <w:rsid w:val="008656CE"/>
    <w:rsid w:val="00865B07"/>
    <w:rsid w:val="008667EA"/>
    <w:rsid w:val="0087637F"/>
    <w:rsid w:val="00891FEB"/>
    <w:rsid w:val="00892AD5"/>
    <w:rsid w:val="008A1512"/>
    <w:rsid w:val="008B7C03"/>
    <w:rsid w:val="008C2624"/>
    <w:rsid w:val="008D32B9"/>
    <w:rsid w:val="008D433B"/>
    <w:rsid w:val="008D4A16"/>
    <w:rsid w:val="008E566E"/>
    <w:rsid w:val="0090161A"/>
    <w:rsid w:val="00901EB6"/>
    <w:rsid w:val="00904C62"/>
    <w:rsid w:val="00917C12"/>
    <w:rsid w:val="00922BA8"/>
    <w:rsid w:val="0092493F"/>
    <w:rsid w:val="00924DAC"/>
    <w:rsid w:val="00927058"/>
    <w:rsid w:val="00942750"/>
    <w:rsid w:val="009450CE"/>
    <w:rsid w:val="009459BB"/>
    <w:rsid w:val="00947179"/>
    <w:rsid w:val="0095164B"/>
    <w:rsid w:val="00954090"/>
    <w:rsid w:val="009573E7"/>
    <w:rsid w:val="00963430"/>
    <w:rsid w:val="00963E05"/>
    <w:rsid w:val="00964A45"/>
    <w:rsid w:val="00967843"/>
    <w:rsid w:val="00967D54"/>
    <w:rsid w:val="00971028"/>
    <w:rsid w:val="00990129"/>
    <w:rsid w:val="00993B84"/>
    <w:rsid w:val="00996483"/>
    <w:rsid w:val="00996F5A"/>
    <w:rsid w:val="00997146"/>
    <w:rsid w:val="00997B63"/>
    <w:rsid w:val="009A71FE"/>
    <w:rsid w:val="009B041A"/>
    <w:rsid w:val="009C37C3"/>
    <w:rsid w:val="009C7C86"/>
    <w:rsid w:val="009D2FF7"/>
    <w:rsid w:val="009E7884"/>
    <w:rsid w:val="009E788A"/>
    <w:rsid w:val="009F0E08"/>
    <w:rsid w:val="009F1D70"/>
    <w:rsid w:val="00A01D77"/>
    <w:rsid w:val="00A1763D"/>
    <w:rsid w:val="00A17CEC"/>
    <w:rsid w:val="00A2364B"/>
    <w:rsid w:val="00A27EF0"/>
    <w:rsid w:val="00A42361"/>
    <w:rsid w:val="00A50B20"/>
    <w:rsid w:val="00A51390"/>
    <w:rsid w:val="00A556A7"/>
    <w:rsid w:val="00A60D13"/>
    <w:rsid w:val="00A7223D"/>
    <w:rsid w:val="00A72745"/>
    <w:rsid w:val="00A76EFC"/>
    <w:rsid w:val="00A87D50"/>
    <w:rsid w:val="00A91010"/>
    <w:rsid w:val="00A97F29"/>
    <w:rsid w:val="00AA702E"/>
    <w:rsid w:val="00AA7D26"/>
    <w:rsid w:val="00AB0964"/>
    <w:rsid w:val="00AB5011"/>
    <w:rsid w:val="00AC37CF"/>
    <w:rsid w:val="00AC4245"/>
    <w:rsid w:val="00AC7368"/>
    <w:rsid w:val="00AD16B9"/>
    <w:rsid w:val="00AE377D"/>
    <w:rsid w:val="00AF0EBA"/>
    <w:rsid w:val="00B02C8A"/>
    <w:rsid w:val="00B17FBD"/>
    <w:rsid w:val="00B315A6"/>
    <w:rsid w:val="00B31813"/>
    <w:rsid w:val="00B33365"/>
    <w:rsid w:val="00B57B36"/>
    <w:rsid w:val="00B57E6F"/>
    <w:rsid w:val="00B63134"/>
    <w:rsid w:val="00B66A02"/>
    <w:rsid w:val="00B7385F"/>
    <w:rsid w:val="00B8686D"/>
    <w:rsid w:val="00B93F69"/>
    <w:rsid w:val="00B94098"/>
    <w:rsid w:val="00BB1DDC"/>
    <w:rsid w:val="00BC30C9"/>
    <w:rsid w:val="00BC3E49"/>
    <w:rsid w:val="00BC7661"/>
    <w:rsid w:val="00BD077D"/>
    <w:rsid w:val="00BE3E58"/>
    <w:rsid w:val="00C01616"/>
    <w:rsid w:val="00C0162B"/>
    <w:rsid w:val="00C068ED"/>
    <w:rsid w:val="00C22E0C"/>
    <w:rsid w:val="00C244C8"/>
    <w:rsid w:val="00C345B1"/>
    <w:rsid w:val="00C36E12"/>
    <w:rsid w:val="00C40142"/>
    <w:rsid w:val="00C52C3C"/>
    <w:rsid w:val="00C57182"/>
    <w:rsid w:val="00C57863"/>
    <w:rsid w:val="00C61D28"/>
    <w:rsid w:val="00C640AF"/>
    <w:rsid w:val="00C655FD"/>
    <w:rsid w:val="00C72208"/>
    <w:rsid w:val="00C75407"/>
    <w:rsid w:val="00C77056"/>
    <w:rsid w:val="00C870A8"/>
    <w:rsid w:val="00C94434"/>
    <w:rsid w:val="00C96CDB"/>
    <w:rsid w:val="00C9784E"/>
    <w:rsid w:val="00CA0D4A"/>
    <w:rsid w:val="00CA0D75"/>
    <w:rsid w:val="00CA1C95"/>
    <w:rsid w:val="00CA5A9C"/>
    <w:rsid w:val="00CA729D"/>
    <w:rsid w:val="00CB6972"/>
    <w:rsid w:val="00CC2579"/>
    <w:rsid w:val="00CC4C20"/>
    <w:rsid w:val="00CD3517"/>
    <w:rsid w:val="00CD387C"/>
    <w:rsid w:val="00CD5FE2"/>
    <w:rsid w:val="00CD749B"/>
    <w:rsid w:val="00CE7C68"/>
    <w:rsid w:val="00CF1606"/>
    <w:rsid w:val="00D02B4C"/>
    <w:rsid w:val="00D040C4"/>
    <w:rsid w:val="00D166AB"/>
    <w:rsid w:val="00D20AD1"/>
    <w:rsid w:val="00D26F63"/>
    <w:rsid w:val="00D37B48"/>
    <w:rsid w:val="00D46B7E"/>
    <w:rsid w:val="00D57AB0"/>
    <w:rsid w:val="00D57C84"/>
    <w:rsid w:val="00D6057D"/>
    <w:rsid w:val="00D648EC"/>
    <w:rsid w:val="00D6684D"/>
    <w:rsid w:val="00D71640"/>
    <w:rsid w:val="00D836C5"/>
    <w:rsid w:val="00D84576"/>
    <w:rsid w:val="00DA1399"/>
    <w:rsid w:val="00DA24C6"/>
    <w:rsid w:val="00DA4D7B"/>
    <w:rsid w:val="00DD271C"/>
    <w:rsid w:val="00DD6258"/>
    <w:rsid w:val="00DE264A"/>
    <w:rsid w:val="00DE47F4"/>
    <w:rsid w:val="00DF5072"/>
    <w:rsid w:val="00DF57E6"/>
    <w:rsid w:val="00E0211E"/>
    <w:rsid w:val="00E02D18"/>
    <w:rsid w:val="00E0404B"/>
    <w:rsid w:val="00E041E7"/>
    <w:rsid w:val="00E23CA1"/>
    <w:rsid w:val="00E249B5"/>
    <w:rsid w:val="00E33DD7"/>
    <w:rsid w:val="00E34988"/>
    <w:rsid w:val="00E409A8"/>
    <w:rsid w:val="00E50C12"/>
    <w:rsid w:val="00E644C2"/>
    <w:rsid w:val="00E65B91"/>
    <w:rsid w:val="00E7209D"/>
    <w:rsid w:val="00E72EAD"/>
    <w:rsid w:val="00E77223"/>
    <w:rsid w:val="00E848CE"/>
    <w:rsid w:val="00E8528B"/>
    <w:rsid w:val="00E85B94"/>
    <w:rsid w:val="00E93896"/>
    <w:rsid w:val="00E978D0"/>
    <w:rsid w:val="00EA4613"/>
    <w:rsid w:val="00EA5B57"/>
    <w:rsid w:val="00EA7F91"/>
    <w:rsid w:val="00EB1523"/>
    <w:rsid w:val="00EB6290"/>
    <w:rsid w:val="00EC0E49"/>
    <w:rsid w:val="00EC101F"/>
    <w:rsid w:val="00EC1D9F"/>
    <w:rsid w:val="00EE0131"/>
    <w:rsid w:val="00EE17B0"/>
    <w:rsid w:val="00EE2C2B"/>
    <w:rsid w:val="00EF06D9"/>
    <w:rsid w:val="00EF2833"/>
    <w:rsid w:val="00EF4BA6"/>
    <w:rsid w:val="00EF7A74"/>
    <w:rsid w:val="00F0367F"/>
    <w:rsid w:val="00F13164"/>
    <w:rsid w:val="00F3049E"/>
    <w:rsid w:val="00F30C64"/>
    <w:rsid w:val="00F32BA2"/>
    <w:rsid w:val="00F32CDB"/>
    <w:rsid w:val="00F35DBF"/>
    <w:rsid w:val="00F37D41"/>
    <w:rsid w:val="00F41269"/>
    <w:rsid w:val="00F565FE"/>
    <w:rsid w:val="00F63A70"/>
    <w:rsid w:val="00F63D8C"/>
    <w:rsid w:val="00F7534E"/>
    <w:rsid w:val="00F87321"/>
    <w:rsid w:val="00F93010"/>
    <w:rsid w:val="00F93EDF"/>
    <w:rsid w:val="00FA1802"/>
    <w:rsid w:val="00FA21D0"/>
    <w:rsid w:val="00FA5F5F"/>
    <w:rsid w:val="00FB7204"/>
    <w:rsid w:val="00FB730C"/>
    <w:rsid w:val="00FC2695"/>
    <w:rsid w:val="00FC2DE0"/>
    <w:rsid w:val="00FC3E03"/>
    <w:rsid w:val="00FC3FC1"/>
    <w:rsid w:val="00FC76AB"/>
    <w:rsid w:val="00FE44A1"/>
    <w:rsid w:val="00FF259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C21C9"/>
    <w:pPr>
      <w:keepNext/>
      <w:suppressAutoHyphens/>
      <w:spacing w:after="0" w:line="240" w:lineRule="auto"/>
      <w:jc w:val="both"/>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C21C9"/>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table" w:styleId="Tabellasemplice-2">
    <w:name w:val="Plain Table 2"/>
    <w:basedOn w:val="Tabellanormale"/>
    <w:uiPriority w:val="42"/>
    <w:rsid w:val="00D37B48"/>
    <w:pPr>
      <w:spacing w:after="0" w:line="240" w:lineRule="auto"/>
    </w:pPr>
    <w:rPr>
      <w:rFonts w:ascii="Times New Roman" w:hAnsi="Times New Roman" w:cs="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stosegnaposto">
    <w:name w:val="Placeholder Text"/>
    <w:basedOn w:val="Carpredefinitoparagrafo"/>
    <w:uiPriority w:val="99"/>
    <w:semiHidden/>
    <w:rsid w:val="00C9784E"/>
    <w:rPr>
      <w:color w:val="666666"/>
    </w:rPr>
  </w:style>
  <w:style w:type="paragraph" w:styleId="Revisione">
    <w:name w:val="Revision"/>
    <w:hidden/>
    <w:uiPriority w:val="99"/>
    <w:semiHidden/>
    <w:rsid w:val="00C36E12"/>
    <w:pPr>
      <w:spacing w:after="0" w:line="240" w:lineRule="auto"/>
    </w:pPr>
    <w:rPr>
      <w:rFonts w:ascii="Arial" w:eastAsia="Times New Roman" w:hAnsi="Arial" w:cs="Times New Roman"/>
      <w:sz w:val="18"/>
      <w:szCs w:val="20"/>
      <w:lang w:val="en-GB"/>
    </w:rPr>
  </w:style>
  <w:style w:type="paragraph" w:customStyle="1" w:styleId="xmsonormal">
    <w:name w:val="x_msonormal"/>
    <w:basedOn w:val="Normale"/>
    <w:rsid w:val="00F0367F"/>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xcontentpasted2">
    <w:name w:val="x_contentpasted2"/>
    <w:basedOn w:val="Carpredefinitoparagrafo"/>
    <w:rsid w:val="00F0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7102">
      <w:bodyDiv w:val="1"/>
      <w:marLeft w:val="0"/>
      <w:marRight w:val="0"/>
      <w:marTop w:val="0"/>
      <w:marBottom w:val="0"/>
      <w:divBdr>
        <w:top w:val="none" w:sz="0" w:space="0" w:color="auto"/>
        <w:left w:val="none" w:sz="0" w:space="0" w:color="auto"/>
        <w:bottom w:val="none" w:sz="0" w:space="0" w:color="auto"/>
        <w:right w:val="none" w:sz="0" w:space="0" w:color="auto"/>
      </w:divBdr>
    </w:div>
    <w:div w:id="76565926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158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8621</Words>
  <Characters>49142</Characters>
  <Application>Microsoft Office Word</Application>
  <DocSecurity>0</DocSecurity>
  <Lines>409</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CAPUANA</cp:lastModifiedBy>
  <cp:revision>18</cp:revision>
  <cp:lastPrinted>2015-05-12T18:31:00Z</cp:lastPrinted>
  <dcterms:created xsi:type="dcterms:W3CDTF">2024-02-28T10:21:00Z</dcterms:created>
  <dcterms:modified xsi:type="dcterms:W3CDTF">2024-04-07T08:48:00Z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http://www.zotero.org/styles/biochemical-engineering-journal</vt:lpwstr>
  </property>
  <property fmtid="{D5CDD505-2E9C-101B-9397-08002B2CF9AE}" pid="11" name="Mendeley Recent Style Name 3_1">
    <vt:lpwstr>Biochemical Engineering Journal</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http://www.zotero.org/styles/council-of-science-editors</vt:lpwstr>
  </property>
  <property fmtid="{D5CDD505-2E9C-101B-9397-08002B2CF9AE}" pid="15" name="Mendeley Recent Style Name 5_1">
    <vt:lpwstr>Council of Science Editors, Citation-Sequence (numeric)</vt:lpwstr>
  </property>
  <property fmtid="{D5CDD505-2E9C-101B-9397-08002B2CF9AE}" pid="16" name="Mendeley Recent Style Id 6_1">
    <vt:lpwstr>http://www.zotero.org/styles/frontiers-in-bioengineering-and-biotechnology</vt:lpwstr>
  </property>
  <property fmtid="{D5CDD505-2E9C-101B-9397-08002B2CF9AE}" pid="17" name="Mendeley Recent Style Name 6_1">
    <vt:lpwstr>Frontiers in Bioengineering and Biotechnology</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Mendeley Document_1">
    <vt:lpwstr>True</vt:lpwstr>
  </property>
  <property fmtid="{D5CDD505-2E9C-101B-9397-08002B2CF9AE}" pid="25" name="Mendeley Unique User Id_1">
    <vt:lpwstr>7499b565-ece6-3766-a19a-b7b580f3eb35</vt:lpwstr>
  </property>
  <property fmtid="{D5CDD505-2E9C-101B-9397-08002B2CF9AE}" pid="26" name="Mendeley Citation Style_1">
    <vt:lpwstr>http://www.zotero.org/styles/chicago-author-date</vt:lpwstr>
  </property>
</Properties>
</file>