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4C0D1A" w:rsidRPr="00B57B36" w14:paraId="468E0E62" w14:textId="77777777" w:rsidTr="00C50CE9">
        <w:trPr>
          <w:trHeight w:val="852"/>
          <w:jc w:val="center"/>
        </w:trPr>
        <w:tc>
          <w:tcPr>
            <w:tcW w:w="6940" w:type="dxa"/>
            <w:vMerge w:val="restart"/>
            <w:tcBorders>
              <w:right w:val="single" w:sz="4" w:space="0" w:color="auto"/>
            </w:tcBorders>
          </w:tcPr>
          <w:p w14:paraId="273489A7" w14:textId="77777777" w:rsidR="004C0D1A" w:rsidRPr="00B57B36" w:rsidRDefault="004C0D1A"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B657173" wp14:editId="0DBE1BA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5919673" w14:textId="77777777" w:rsidR="004C0D1A" w:rsidRPr="00B57B36" w:rsidRDefault="004C0D1A"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Pr>
                <w:rFonts w:cs="Arial"/>
                <w:b/>
                <w:bCs/>
                <w:i/>
                <w:iCs/>
                <w:color w:val="000066"/>
                <w:sz w:val="22"/>
                <w:szCs w:val="22"/>
                <w:lang w:eastAsia="it-IT"/>
              </w:rPr>
              <w:t xml:space="preserve">   </w:t>
            </w:r>
            <w:proofErr w:type="gramStart"/>
            <w:r>
              <w:rPr>
                <w:rFonts w:cs="Arial"/>
                <w:b/>
                <w:bCs/>
                <w:i/>
                <w:iCs/>
                <w:color w:val="000066"/>
                <w:sz w:val="22"/>
                <w:szCs w:val="22"/>
                <w:lang w:eastAsia="it-IT"/>
              </w:rPr>
              <w:t xml:space="preserve">  ,</w:t>
            </w:r>
            <w:proofErr w:type="gramEnd"/>
            <w:r>
              <w:rPr>
                <w:rFonts w:cs="Arial"/>
                <w:b/>
                <w:bCs/>
                <w:i/>
                <w:iCs/>
                <w:color w:val="000066"/>
                <w:sz w:val="22"/>
                <w:szCs w:val="22"/>
                <w:lang w:eastAsia="it-IT"/>
              </w:rPr>
              <w:t xml:space="preserve"> 2024</w:t>
            </w:r>
          </w:p>
        </w:tc>
        <w:tc>
          <w:tcPr>
            <w:tcW w:w="1842" w:type="dxa"/>
            <w:tcBorders>
              <w:left w:val="single" w:sz="4" w:space="0" w:color="auto"/>
              <w:bottom w:val="nil"/>
              <w:right w:val="single" w:sz="4" w:space="0" w:color="auto"/>
            </w:tcBorders>
          </w:tcPr>
          <w:p w14:paraId="5D4577E4" w14:textId="77777777" w:rsidR="004C0D1A" w:rsidRPr="00B57B36" w:rsidRDefault="004C0D1A" w:rsidP="00CD5FE2">
            <w:pPr>
              <w:spacing w:line="140" w:lineRule="atLeast"/>
              <w:jc w:val="right"/>
              <w:rPr>
                <w:rFonts w:cs="Arial"/>
                <w:sz w:val="14"/>
                <w:szCs w:val="14"/>
              </w:rPr>
            </w:pPr>
            <w:r w:rsidRPr="00B57B36">
              <w:rPr>
                <w:rFonts w:cs="Arial"/>
                <w:sz w:val="14"/>
                <w:szCs w:val="14"/>
              </w:rPr>
              <w:t>A publication of</w:t>
            </w:r>
          </w:p>
          <w:p w14:paraId="4D1555EC" w14:textId="77777777" w:rsidR="004C0D1A" w:rsidRPr="00B57B36" w:rsidRDefault="004C0D1A" w:rsidP="00CD5FE2">
            <w:pPr>
              <w:jc w:val="right"/>
            </w:pPr>
            <w:r w:rsidRPr="00B57B36">
              <w:rPr>
                <w:noProof/>
                <w:lang w:val="it-IT" w:eastAsia="it-IT"/>
              </w:rPr>
              <w:drawing>
                <wp:inline distT="0" distB="0" distL="0" distR="0" wp14:anchorId="51378519" wp14:editId="59F9E91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4C0D1A" w:rsidRPr="00B57B36" w14:paraId="198B1DD2" w14:textId="77777777" w:rsidTr="00C50CE9">
        <w:trPr>
          <w:trHeight w:val="567"/>
          <w:jc w:val="center"/>
        </w:trPr>
        <w:tc>
          <w:tcPr>
            <w:tcW w:w="6940" w:type="dxa"/>
            <w:vMerge/>
            <w:tcBorders>
              <w:right w:val="single" w:sz="4" w:space="0" w:color="auto"/>
            </w:tcBorders>
          </w:tcPr>
          <w:p w14:paraId="52CAA2A9" w14:textId="77777777" w:rsidR="004C0D1A" w:rsidRPr="00B57B36" w:rsidRDefault="004C0D1A" w:rsidP="00CD5FE2">
            <w:pPr>
              <w:tabs>
                <w:tab w:val="left" w:pos="-108"/>
              </w:tabs>
            </w:pPr>
          </w:p>
        </w:tc>
        <w:tc>
          <w:tcPr>
            <w:tcW w:w="1842" w:type="dxa"/>
            <w:tcBorders>
              <w:left w:val="single" w:sz="4" w:space="0" w:color="auto"/>
              <w:bottom w:val="nil"/>
              <w:right w:val="single" w:sz="4" w:space="0" w:color="auto"/>
            </w:tcBorders>
          </w:tcPr>
          <w:p w14:paraId="42CF1E29" w14:textId="77777777" w:rsidR="004C0D1A" w:rsidRPr="00B57B36" w:rsidRDefault="004C0D1A" w:rsidP="00CD5FE2">
            <w:pPr>
              <w:spacing w:line="140" w:lineRule="atLeast"/>
              <w:jc w:val="right"/>
              <w:rPr>
                <w:rFonts w:cs="Arial"/>
                <w:sz w:val="14"/>
                <w:szCs w:val="14"/>
              </w:rPr>
            </w:pPr>
            <w:r w:rsidRPr="00B57B36">
              <w:rPr>
                <w:rFonts w:cs="Arial"/>
                <w:sz w:val="14"/>
                <w:szCs w:val="14"/>
              </w:rPr>
              <w:t>The Italian Association</w:t>
            </w:r>
          </w:p>
          <w:p w14:paraId="1EC4F2E6" w14:textId="77777777" w:rsidR="004C0D1A" w:rsidRPr="00B57B36" w:rsidRDefault="004C0D1A" w:rsidP="00CD5FE2">
            <w:pPr>
              <w:spacing w:line="140" w:lineRule="atLeast"/>
              <w:jc w:val="right"/>
              <w:rPr>
                <w:rFonts w:cs="Arial"/>
                <w:sz w:val="14"/>
                <w:szCs w:val="14"/>
              </w:rPr>
            </w:pPr>
            <w:r w:rsidRPr="00B57B36">
              <w:rPr>
                <w:rFonts w:cs="Arial"/>
                <w:sz w:val="14"/>
                <w:szCs w:val="14"/>
              </w:rPr>
              <w:t>of Chemical Engineering</w:t>
            </w:r>
          </w:p>
          <w:p w14:paraId="04A71988" w14:textId="77777777" w:rsidR="004C0D1A" w:rsidRPr="000D0268" w:rsidRDefault="004C0D1A" w:rsidP="00CD5FE2">
            <w:pPr>
              <w:spacing w:line="140" w:lineRule="atLeast"/>
              <w:jc w:val="right"/>
              <w:rPr>
                <w:rFonts w:cs="Arial"/>
                <w:sz w:val="13"/>
                <w:szCs w:val="13"/>
              </w:rPr>
            </w:pPr>
            <w:r w:rsidRPr="000D0268">
              <w:rPr>
                <w:rFonts w:cs="Arial"/>
                <w:sz w:val="13"/>
                <w:szCs w:val="13"/>
              </w:rPr>
              <w:t>Online at www.cetjournal.it</w:t>
            </w:r>
          </w:p>
        </w:tc>
      </w:tr>
      <w:tr w:rsidR="004C0D1A" w:rsidRPr="00B57B36" w14:paraId="18E52C5F" w14:textId="77777777" w:rsidTr="00C50CE9">
        <w:trPr>
          <w:trHeight w:val="68"/>
          <w:jc w:val="center"/>
        </w:trPr>
        <w:tc>
          <w:tcPr>
            <w:tcW w:w="8782" w:type="dxa"/>
            <w:gridSpan w:val="2"/>
          </w:tcPr>
          <w:p w14:paraId="0903C999" w14:textId="77777777" w:rsidR="004C0D1A" w:rsidRPr="003A6FC6" w:rsidRDefault="004C0D1A"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Pr>
                <w:rFonts w:ascii="Tahoma" w:hAnsi="Tahoma" w:cs="Tahoma"/>
                <w:color w:val="000000"/>
                <w:sz w:val="14"/>
                <w:szCs w:val="14"/>
                <w:shd w:val="clear" w:color="auto" w:fill="FFFFFF"/>
                <w:lang w:val="it-IT"/>
              </w:rPr>
              <w:t>Marco Bravi, Antonio Marzocchella, Giuseppe Caputo</w:t>
            </w:r>
          </w:p>
          <w:p w14:paraId="7159B0EB" w14:textId="77777777" w:rsidR="004C0D1A" w:rsidRPr="00B57B36" w:rsidRDefault="004C0D1A" w:rsidP="00AA7D26">
            <w:pPr>
              <w:tabs>
                <w:tab w:val="left" w:pos="-108"/>
              </w:tabs>
              <w:spacing w:line="140" w:lineRule="atLeast"/>
              <w:ind w:left="-107"/>
              <w:jc w:val="left"/>
            </w:pPr>
            <w:r>
              <w:rPr>
                <w:rFonts w:ascii="Tahoma" w:hAnsi="Tahoma" w:cs="Tahoma"/>
                <w:iCs/>
                <w:color w:val="333333"/>
                <w:sz w:val="14"/>
                <w:szCs w:val="14"/>
                <w:lang w:eastAsia="it-IT"/>
              </w:rPr>
              <w:t>Copyright © 2024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9</w:t>
            </w:r>
            <w:r w:rsidRPr="000562A9">
              <w:rPr>
                <w:rFonts w:ascii="Tahoma" w:hAnsi="Tahoma" w:cs="Tahoma"/>
                <w:sz w:val="14"/>
                <w:szCs w:val="14"/>
              </w:rPr>
              <w:t>-</w:t>
            </w:r>
            <w:r>
              <w:rPr>
                <w:rFonts w:ascii="Tahoma" w:hAnsi="Tahoma" w:cs="Tahoma"/>
                <w:sz w:val="14"/>
                <w:szCs w:val="14"/>
              </w:rPr>
              <w:t>12</w:t>
            </w:r>
            <w:r w:rsidRPr="000562A9">
              <w:rPr>
                <w:rFonts w:ascii="Tahoma" w:hAnsi="Tahoma" w:cs="Tahoma"/>
                <w:sz w:val="14"/>
                <w:szCs w:val="14"/>
              </w:rPr>
              <w:t>-</w:t>
            </w:r>
            <w:r>
              <w:rPr>
                <w:rFonts w:ascii="Tahoma" w:hAnsi="Tahoma" w:cs="Tahoma"/>
                <w:sz w:val="14"/>
                <w:szCs w:val="14"/>
              </w:rPr>
              <w:t>81206-10-6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AE3FBE0" w14:textId="77777777" w:rsidR="004C0D1A" w:rsidRDefault="004C0D1A" w:rsidP="00B57E6F">
      <w:pPr>
        <w:pStyle w:val="CETAuthors"/>
        <w:rPr>
          <w:noProof w:val="0"/>
          <w:sz w:val="32"/>
        </w:rPr>
      </w:pPr>
    </w:p>
    <w:p w14:paraId="07427F2B" w14:textId="77777777" w:rsidR="004C0D1A" w:rsidRDefault="004C0D1A" w:rsidP="00B57E6F">
      <w:pPr>
        <w:pStyle w:val="CETAuthors"/>
        <w:rPr>
          <w:noProof w:val="0"/>
          <w:sz w:val="32"/>
        </w:rPr>
      </w:pPr>
      <w:r w:rsidRPr="00C50CE9">
        <w:rPr>
          <w:noProof w:val="0"/>
          <w:sz w:val="32"/>
        </w:rPr>
        <w:t xml:space="preserve">Bioelectrochemical organic matter conversion into hydrogen, comparison of different polarization strategies </w:t>
      </w:r>
    </w:p>
    <w:p w14:paraId="1D155057" w14:textId="77777777" w:rsidR="004C0D1A" w:rsidRPr="00C50CE9" w:rsidRDefault="004C0D1A" w:rsidP="00B57E6F">
      <w:pPr>
        <w:pStyle w:val="CETAuthors"/>
        <w:rPr>
          <w:lang w:val="it-IT"/>
        </w:rPr>
      </w:pPr>
      <w:r w:rsidRPr="00C50CE9">
        <w:rPr>
          <w:lang w:val="it-IT"/>
        </w:rPr>
        <w:t>Valeria Pierpaoli, Beatrice Notari, Marco Zeppilli, Marianna Villano*</w:t>
      </w:r>
    </w:p>
    <w:p w14:paraId="55B7EA87" w14:textId="77777777" w:rsidR="004C0D1A" w:rsidRPr="00B57B36" w:rsidRDefault="004C0D1A" w:rsidP="00B57E6F">
      <w:pPr>
        <w:pStyle w:val="CETAddress"/>
      </w:pPr>
      <w:r>
        <w:t>Department of Chemistry University of Rome Sapienza, Piazzale Aldo Moro 5 00185 Rome</w:t>
      </w:r>
    </w:p>
    <w:p w14:paraId="0BAD1D7B" w14:textId="77777777" w:rsidR="004C0D1A" w:rsidRDefault="004C0D1A" w:rsidP="00B57E6F">
      <w:pPr>
        <w:pStyle w:val="CETemail"/>
      </w:pPr>
      <w:r>
        <w:t xml:space="preserve"> marco</w:t>
      </w:r>
      <w:r w:rsidRPr="00B57B36">
        <w:t>.</w:t>
      </w:r>
      <w:r>
        <w:t>zeppilli</w:t>
      </w:r>
      <w:r w:rsidRPr="00B57B36">
        <w:t>@</w:t>
      </w:r>
      <w:r>
        <w:t>uniroma1</w:t>
      </w:r>
      <w:r w:rsidRPr="00B57B36">
        <w:t>.</w:t>
      </w:r>
      <w:r>
        <w:t>it</w:t>
      </w:r>
      <w:r w:rsidRPr="00B57B36">
        <w:t xml:space="preserve"> </w:t>
      </w:r>
    </w:p>
    <w:p w14:paraId="0B50A265" w14:textId="77777777" w:rsidR="004C0D1A" w:rsidRPr="007B76F0" w:rsidRDefault="004C0D1A" w:rsidP="007B76F0">
      <w:pPr>
        <w:pStyle w:val="CETBodytext"/>
        <w:rPr>
          <w:lang w:val="en-GB"/>
        </w:rPr>
      </w:pPr>
    </w:p>
    <w:p w14:paraId="2F72C4B3" w14:textId="77777777" w:rsidR="004C0D1A" w:rsidRPr="006F020D" w:rsidRDefault="004C0D1A" w:rsidP="006F020D">
      <w:pPr>
        <w:pStyle w:val="CETBodytext"/>
        <w:rPr>
          <w:lang w:val="en-GB"/>
        </w:rPr>
      </w:pPr>
      <w:r>
        <w:rPr>
          <w:lang w:val="en-GB"/>
        </w:rPr>
        <w:t>Hydrogen plays a pivotal role in the decarbonization of the fuel industry as both an energy vector and a chemical, however most of the available technologies still heavily rely on fossil fuels and sustainable processes are still unused due to their higher operational costs.</w:t>
      </w:r>
      <w:r w:rsidRPr="003F7F61">
        <w:t xml:space="preserve"> </w:t>
      </w:r>
      <w:r w:rsidRPr="002E020B">
        <w:t>MECs are devices based on the utilization of electroactive microorganisms that can interact with polarized electrodes (usually graphite-based), using them as the final electron acceptor for their metabolism. The use of a bioanode capable of oxidizing the organic substances contained in wastewater makes it possible to utilize part of the chemical energy present in the reduced waste compounds for the generation of green hydrogen, reducing the required (theoretical) potential by 85% compared to conventional electrolysis (+1.23 V vs +0.187 V).</w:t>
      </w:r>
      <w:r>
        <w:t xml:space="preserve"> </w:t>
      </w:r>
      <w:r w:rsidRPr="003F7F61">
        <w:t>This study aims to compare two different polarization strategies of a microbial electrolysis cell aimed at hydrogen production coupled with the oxidation of synthetic wastewater</w:t>
      </w:r>
      <w:r>
        <w:t xml:space="preserve">. </w:t>
      </w:r>
      <w:r w:rsidRPr="003F7F61">
        <w:t>The study clearly showed the advantage of using potentiostatic polarization over galvanostatic polarization due to lower energy consumption during the potentiostatic polarization mode. Indeed, galvanostatic polarization promoted the loss of biological activity due to kinetic limitations in the biological reactions. Consequently, water oxidation on graphite granules occurred in the anodic chamber, increasing the anodic potential up to 0.95 V vs. SHE</w:t>
      </w:r>
      <w:r>
        <w:rPr>
          <w:lang w:val="en-GB"/>
        </w:rPr>
        <w:t xml:space="preserve">. </w:t>
      </w:r>
    </w:p>
    <w:p w14:paraId="60F0CFDB" w14:textId="77777777" w:rsidR="004C0D1A" w:rsidRPr="006F020D" w:rsidRDefault="004C0D1A" w:rsidP="006F020D">
      <w:pPr>
        <w:pStyle w:val="CETHeading1"/>
        <w:rPr>
          <w:lang w:val="en-GB"/>
        </w:rPr>
      </w:pPr>
      <w:r w:rsidRPr="00B57B36">
        <w:rPr>
          <w:lang w:val="en-GB"/>
        </w:rPr>
        <w:t>Introduction</w:t>
      </w:r>
    </w:p>
    <w:p w14:paraId="1162F3AE" w14:textId="77777777" w:rsidR="004C0D1A" w:rsidRDefault="004C0D1A" w:rsidP="00600535">
      <w:pPr>
        <w:pStyle w:val="CETBodytext"/>
        <w:rPr>
          <w:lang w:val="en-GB"/>
        </w:rPr>
      </w:pPr>
      <w:r>
        <w:rPr>
          <w:lang w:val="en-GB"/>
        </w:rPr>
        <w:t xml:space="preserve">The energy source sector, propelled by climate change, has undergone a deep transformation in the recent years. While most of the energy supply still comes from fossil fuels and countries are still investing in more traditional energetic vessels, the </w:t>
      </w:r>
      <w:r>
        <w:t xml:space="preserve">annual clean energy investment has risen much faster than investment in fossil fuels </w:t>
      </w:r>
      <w:r>
        <w:rPr>
          <w:noProof/>
        </w:rPr>
        <w:t>(Gao et al., 2017)</w:t>
      </w:r>
      <w:r>
        <w:t xml:space="preserve">. The European New Deal has recognized the role of hydrogen as a priority in reaching carbon neutrality goal set for 2050 through both the decarbonization of the hydrogen producing sector and its usage as energy carrier. </w:t>
      </w:r>
      <w:r w:rsidRPr="00141564">
        <w:t xml:space="preserve">Global </w:t>
      </w:r>
      <w:r>
        <w:t xml:space="preserve">hydrogen </w:t>
      </w:r>
      <w:r w:rsidRPr="00141564">
        <w:t>production stands at around 75 MtH</w:t>
      </w:r>
      <w:r w:rsidRPr="006464CC">
        <w:rPr>
          <w:vertAlign w:val="subscript"/>
        </w:rPr>
        <w:t>2</w:t>
      </w:r>
      <w:r w:rsidRPr="00141564">
        <w:t>/yr as pure hydrogen and an additional 45 MtH</w:t>
      </w:r>
      <w:r w:rsidRPr="006464CC">
        <w:rPr>
          <w:vertAlign w:val="subscript"/>
        </w:rPr>
        <w:t>2</w:t>
      </w:r>
      <w:r w:rsidRPr="00141564">
        <w:t>/yr as part of a mix of gases</w:t>
      </w:r>
      <w:r>
        <w:t xml:space="preserve"> </w:t>
      </w:r>
      <w:r>
        <w:rPr>
          <w:noProof/>
        </w:rPr>
        <w:t>(Koroneos et al., 2004)</w:t>
      </w:r>
      <w:r>
        <w:t xml:space="preserve">, however most of the production process still heavily rely on fossil fuels, with only an unaccountable percentage of green hydrogen produced every year </w:t>
      </w:r>
      <w:r>
        <w:rPr>
          <w:noProof/>
        </w:rPr>
        <w:t>(Holladay et al., 2009)</w:t>
      </w:r>
      <w:r>
        <w:t xml:space="preserve">. In Europe alone the conventional production methods of reforming, partial oxidation, gasification, by-product production from refining operations, and by-product production from ethylene and styrene represent 95.7% of total production capacity. Hydrogen is classified by color accordingly to its production methods and their environmental impact, however only green hydrogen, obtained through water electrolysis using electricity from renewable sources, </w:t>
      </w:r>
      <w:proofErr w:type="gramStart"/>
      <w:r>
        <w:t>is considered to be</w:t>
      </w:r>
      <w:proofErr w:type="gramEnd"/>
      <w:r>
        <w:t xml:space="preserve"> the only truly carbon neutral one. Green hydrogen accounts for a small percentage of overall hydrogen production because of the numerous variables implied in its production such as cost of electricity and electrolyzer efficiency, which affect its operational cost: an alkaline electrolyzer operates with an average energy supply </w:t>
      </w:r>
      <w:r w:rsidRPr="002E020B">
        <w:t>4.5 kWh/Nm</w:t>
      </w:r>
      <w:r w:rsidRPr="002E020B">
        <w:rPr>
          <w:vertAlign w:val="superscript"/>
        </w:rPr>
        <w:t>3</w:t>
      </w:r>
      <w:r w:rsidRPr="002E020B">
        <w:t>H</w:t>
      </w:r>
      <w:r w:rsidRPr="002E020B">
        <w:rPr>
          <w:vertAlign w:val="subscript"/>
        </w:rPr>
        <w:t>2</w:t>
      </w:r>
      <w:r>
        <w:t xml:space="preserve"> produced. </w:t>
      </w:r>
      <w:r>
        <w:rPr>
          <w:lang w:val="en-GB"/>
        </w:rPr>
        <w:t xml:space="preserve">An attractive alternative is offered by bioelectrochemical systems, a bio-based approach that relies on some microorganisms’ </w:t>
      </w:r>
      <w:proofErr w:type="gramStart"/>
      <w:r>
        <w:rPr>
          <w:lang w:val="en-GB"/>
        </w:rPr>
        <w:t>groups</w:t>
      </w:r>
      <w:proofErr w:type="gramEnd"/>
      <w:r>
        <w:rPr>
          <w:lang w:val="en-GB"/>
        </w:rPr>
        <w:t xml:space="preserve"> ability to exchange electrons on polarized surface, using electrodes as final electron acceptors for their metabolism. Particularly, Microbial Electrolysis Cells (MEC) have been long been described as an effective technology for both hydrogen production and wastewater treatment </w:t>
      </w:r>
      <w:r>
        <w:rPr>
          <w:noProof/>
          <w:lang w:val="en-GB"/>
        </w:rPr>
        <w:t>(Logan et al., 2008; Rabaey et al., 2009)</w:t>
      </w:r>
      <w:r>
        <w:rPr>
          <w:lang w:val="en-GB"/>
        </w:rPr>
        <w:t>, Indeed, the possibility to use wastewater as a carbon source for the anodic chamber for partially sustain the energy demand of the process result extremely attractive for the wastewater and green energy sector</w:t>
      </w:r>
      <w:r>
        <w:rPr>
          <w:noProof/>
          <w:lang w:val="en-GB"/>
        </w:rPr>
        <w:t xml:space="preserve"> (Cristiani et al., 2024; Rozendal et al., 2008)</w:t>
      </w:r>
      <w:r w:rsidRPr="00426A6A">
        <w:t xml:space="preserve">. </w:t>
      </w:r>
      <w:r>
        <w:t xml:space="preserve">Considering only acetate as substrate, </w:t>
      </w:r>
      <w:r>
        <w:rPr>
          <w:lang w:val="en-GB"/>
        </w:rPr>
        <w:t>the oxidation potential required to oxidate carbon compounds is notably lower compared to the one used while oxidising water alone, using a lower working energy compared to a standard alkaline electrolyser. T</w:t>
      </w:r>
      <w:r w:rsidRPr="00966154">
        <w:rPr>
          <w:lang w:val="en-GB"/>
        </w:rPr>
        <w:t>he thermodynamic cell voltage of an MEC is thus considerably reduced with respect to the + 1.23 V threshold of water electrolysis in standard conditions, indeed, considering the oxidation of a single substrate like acetate, the electromotive force of the cell results in + 0.187 V, an 85% lower value</w:t>
      </w:r>
      <w:r>
        <w:rPr>
          <w:lang w:val="en-GB"/>
        </w:rPr>
        <w:t xml:space="preserve"> </w:t>
      </w:r>
      <w:r>
        <w:rPr>
          <w:noProof/>
          <w:lang w:val="en-GB"/>
        </w:rPr>
        <w:t>(Logan et al., 2006)</w:t>
      </w:r>
      <w:r>
        <w:rPr>
          <w:lang w:val="en-GB"/>
        </w:rPr>
        <w:t xml:space="preserve">. </w:t>
      </w:r>
    </w:p>
    <w:p w14:paraId="1C2B1C00" w14:textId="77777777" w:rsidR="004C0D1A" w:rsidRDefault="004C0D1A" w:rsidP="00600535">
      <w:pPr>
        <w:pStyle w:val="CETBodytext"/>
        <w:rPr>
          <w:lang w:val="en-GB"/>
        </w:rPr>
      </w:pPr>
      <w:r>
        <w:rPr>
          <w:lang w:val="en-GB"/>
        </w:rPr>
        <w:t xml:space="preserve">This study focuses on comparing different polarization strategies for a microbial electrolysis cell aimed at hydrogen production coupled with oxidation of synthetic wastewater. The polarization strategies include a potentiostatic mode, </w:t>
      </w:r>
      <w:r>
        <w:rPr>
          <w:lang w:val="en-GB"/>
        </w:rPr>
        <w:lastRenderedPageBreak/>
        <w:t xml:space="preserve">achieved by polarizing the anodic chamber with a potential of + 0.2 V vs SHE, meanwhile the galvanostatic operational mode was achieved applying a fixed current of 113 mA between the working electrode and the counterelectrode, anode and cathode respectively. </w:t>
      </w:r>
    </w:p>
    <w:p w14:paraId="3CDDF1E9" w14:textId="77777777" w:rsidR="004C0D1A" w:rsidRDefault="004C0D1A" w:rsidP="00600535">
      <w:pPr>
        <w:pStyle w:val="CETBodytext"/>
        <w:rPr>
          <w:lang w:val="en-GB"/>
        </w:rPr>
      </w:pPr>
    </w:p>
    <w:p w14:paraId="29963D2E" w14:textId="77777777" w:rsidR="004C0D1A" w:rsidRDefault="004C0D1A" w:rsidP="006F020D">
      <w:pPr>
        <w:pStyle w:val="CETHeading1"/>
        <w:numPr>
          <w:ilvl w:val="0"/>
          <w:numId w:val="0"/>
        </w:numPr>
      </w:pPr>
      <w:r>
        <w:t xml:space="preserve">2. Experimentals </w:t>
      </w:r>
    </w:p>
    <w:p w14:paraId="03B5D6C5" w14:textId="77777777" w:rsidR="004C0D1A" w:rsidRDefault="004C0D1A" w:rsidP="00EC26D9">
      <w:pPr>
        <w:pStyle w:val="CETBodytext"/>
      </w:pPr>
    </w:p>
    <w:p w14:paraId="71FCFADC" w14:textId="77777777" w:rsidR="004C0D1A" w:rsidRPr="003862E5" w:rsidRDefault="004C0D1A" w:rsidP="006F020D">
      <w:pPr>
        <w:pStyle w:val="CETBodytext"/>
        <w:rPr>
          <w:b/>
          <w:lang w:val="en-GB"/>
        </w:rPr>
      </w:pPr>
      <w:r>
        <w:rPr>
          <w:b/>
          <w:lang w:val="en-GB"/>
        </w:rPr>
        <w:t>2.1 Methods</w:t>
      </w:r>
    </w:p>
    <w:p w14:paraId="1130CC13" w14:textId="77777777" w:rsidR="004C0D1A" w:rsidRDefault="004C0D1A" w:rsidP="00EC26D9">
      <w:pPr>
        <w:pStyle w:val="CETBodytext"/>
      </w:pPr>
      <w:r w:rsidRPr="00423923">
        <w:t>The microbial electrolysis cell (MEC) consisted of a two-chamber reactor made of Plexiglas</w:t>
      </w:r>
      <w:r>
        <w:t>,</w:t>
      </w:r>
      <w:r w:rsidRPr="00423923">
        <w:t xml:space="preserve"> as previously described </w:t>
      </w:r>
      <w:r>
        <w:rPr>
          <w:noProof/>
        </w:rPr>
        <w:t>(Cristiani et al., 2024)</w:t>
      </w:r>
      <w:r w:rsidRPr="00423923">
        <w:t xml:space="preserve">. The anodic </w:t>
      </w:r>
      <w:r>
        <w:t>chamber</w:t>
      </w:r>
      <w:r w:rsidRPr="00423923">
        <w:t xml:space="preserve"> was filled with graphite granules </w:t>
      </w:r>
      <w:r>
        <w:t xml:space="preserve">while in the cathodic chamber, a </w:t>
      </w:r>
      <w:proofErr w:type="gramStart"/>
      <w:r>
        <w:t>stainless steel</w:t>
      </w:r>
      <w:proofErr w:type="gramEnd"/>
      <w:r>
        <w:t xml:space="preserve"> plate inserted in a polypropylene packing bed. Anodic and cathodic chamber were</w:t>
      </w:r>
      <w:r w:rsidRPr="00423923">
        <w:t xml:space="preserve"> separated by a Nafion proton exchange membrane</w:t>
      </w:r>
      <w:r>
        <w:t xml:space="preserve"> (PEM)</w:t>
      </w:r>
      <w:r w:rsidRPr="00423923">
        <w:t xml:space="preserve">. The anodic </w:t>
      </w:r>
      <w:r>
        <w:t>chamber</w:t>
      </w:r>
      <w:r w:rsidRPr="00423923">
        <w:t xml:space="preserve"> was inoculated with 0.20 L of activated sludge from the wastewater treatment plant of Roma Nord, while cathod</w:t>
      </w:r>
      <w:r>
        <w:t xml:space="preserve">ic chamber </w:t>
      </w:r>
      <w:r w:rsidRPr="00423923">
        <w:t xml:space="preserve">was </w:t>
      </w:r>
      <w:r>
        <w:t xml:space="preserve">not inoculated and filled with a mineral medium as described in </w:t>
      </w:r>
      <w:r>
        <w:rPr>
          <w:noProof/>
        </w:rPr>
        <w:t>(Zeppilli et al., 2016)</w:t>
      </w:r>
      <w:r>
        <w:t xml:space="preserve">. </w:t>
      </w:r>
      <w:r w:rsidRPr="00423923">
        <w:t xml:space="preserve">The anodic chamber was </w:t>
      </w:r>
      <w:r>
        <w:t xml:space="preserve">continuously fed by a </w:t>
      </w:r>
      <w:r w:rsidRPr="00423923">
        <w:t>mixture of organic substrates</w:t>
      </w:r>
      <w:r>
        <w:t xml:space="preserve"> (peptone, yeast extract, glucose, acetate, in order to simulate </w:t>
      </w:r>
      <w:r w:rsidRPr="00423923">
        <w:t xml:space="preserve">the soluble COD </w:t>
      </w:r>
      <w:r>
        <w:t>i</w:t>
      </w:r>
      <w:r w:rsidRPr="00423923">
        <w:t>n a</w:t>
      </w:r>
      <w:r>
        <w:t xml:space="preserve">n urban </w:t>
      </w:r>
      <w:r w:rsidRPr="00423923">
        <w:t>wastewater</w:t>
      </w:r>
      <w:r>
        <w:t>)</w:t>
      </w:r>
      <w:r w:rsidRPr="00423923">
        <w:t xml:space="preserve"> at an organic load rate (OLR) </w:t>
      </w:r>
      <w:r w:rsidRPr="005D678E">
        <w:t>of 1</w:t>
      </w:r>
      <w:r>
        <w:t>508</w:t>
      </w:r>
      <w:r w:rsidRPr="005D678E">
        <w:t xml:space="preserve"> </w:t>
      </w:r>
      <w:r>
        <w:t>m</w:t>
      </w:r>
      <w:r w:rsidRPr="005D678E">
        <w:t>gCOD/Ld and at a hydraulic retention time (HRT) of 0.56 d. The cathodic chamber was operated in a batch mode with continuous recirculation of the liquid phase</w:t>
      </w:r>
      <w:r>
        <w:t>; however, a</w:t>
      </w:r>
      <w:r w:rsidRPr="00423923">
        <w:t xml:space="preserve"> daily spill of cathodic liquid </w:t>
      </w:r>
      <w:r>
        <w:t xml:space="preserve">was necessary </w:t>
      </w:r>
      <w:r w:rsidRPr="00423923">
        <w:t>to counterbalance the liquid diffusing from the anode to the cathode through the PEM</w:t>
      </w:r>
      <w:r>
        <w:t xml:space="preserve">. </w:t>
      </w:r>
      <w:r w:rsidRPr="00423923">
        <w:t xml:space="preserve">The MEC was operated </w:t>
      </w:r>
      <w:r>
        <w:t>both in a</w:t>
      </w:r>
      <w:r w:rsidRPr="00423923">
        <w:t xml:space="preserve"> potentiostatic mode</w:t>
      </w:r>
      <w:r>
        <w:t xml:space="preserve"> and in a galvanostatic mode. The potentiostatic mode was operated using </w:t>
      </w:r>
      <w:r w:rsidRPr="00423923">
        <w:t>a three</w:t>
      </w:r>
      <w:r>
        <w:t>-</w:t>
      </w:r>
      <w:r w:rsidRPr="00423923">
        <w:t>electrode configuration</w:t>
      </w:r>
      <w:r>
        <w:t xml:space="preserve">, where the anode constituted the working electrode while the cathode was the counter electrode </w:t>
      </w:r>
      <w:r>
        <w:rPr>
          <w:noProof/>
        </w:rPr>
        <w:t>(Zeppilli et al., 2021)</w:t>
      </w:r>
      <w:r>
        <w:t xml:space="preserve">. During the potentiostatic operation, the anode potential was set </w:t>
      </w:r>
      <w:r w:rsidRPr="00423923">
        <w:t>at +0.2 V vs SHE (standard hydrogen electrode)</w:t>
      </w:r>
      <w:r>
        <w:t xml:space="preserve"> by using </w:t>
      </w:r>
      <w:r w:rsidRPr="00423923">
        <w:t xml:space="preserve">a </w:t>
      </w:r>
      <w:r>
        <w:t>Ivium-N-stat potentiostat</w:t>
      </w:r>
      <w:r w:rsidRPr="00423923">
        <w:t xml:space="preserve"> </w:t>
      </w:r>
      <w:r>
        <w:t>and an Ag/AgCl reference electrode.</w:t>
      </w:r>
      <w:r w:rsidRPr="00423923">
        <w:t xml:space="preserve"> </w:t>
      </w:r>
      <w:r>
        <w:t xml:space="preserve">The galvanostatic mode was set using a fixed current of 113 mA and continuously monitoring the potential difference between the working electrode and the counter electrode. </w:t>
      </w:r>
      <w:r w:rsidRPr="00423923">
        <w:t xml:space="preserve">Liquid and gaseous samples </w:t>
      </w:r>
      <w:r>
        <w:t xml:space="preserve">of outflows </w:t>
      </w:r>
      <w:r w:rsidRPr="00423923">
        <w:t xml:space="preserve">from </w:t>
      </w:r>
      <w:r>
        <w:t xml:space="preserve">both </w:t>
      </w:r>
      <w:r w:rsidRPr="00423923">
        <w:t>anodic and cathodic chambers were daily analyzed in order to asses</w:t>
      </w:r>
      <w:r>
        <w:t>s the MEC performance.</w:t>
      </w:r>
    </w:p>
    <w:p w14:paraId="1811BC03" w14:textId="77777777" w:rsidR="004C0D1A" w:rsidRDefault="004C0D1A" w:rsidP="00EC26D9">
      <w:pPr>
        <w:pStyle w:val="CETheadingx"/>
        <w:numPr>
          <w:ilvl w:val="0"/>
          <w:numId w:val="0"/>
        </w:numPr>
        <w:spacing w:after="0" w:line="264" w:lineRule="auto"/>
        <w:rPr>
          <w:lang w:val="en-GB"/>
        </w:rPr>
      </w:pPr>
      <w:r w:rsidRPr="003E2265">
        <w:rPr>
          <w:lang w:val="en-GB"/>
        </w:rPr>
        <w:t>2</w:t>
      </w:r>
      <w:r>
        <w:rPr>
          <w:lang w:val="en-GB"/>
        </w:rPr>
        <w:t>.2 Analytics</w:t>
      </w:r>
    </w:p>
    <w:p w14:paraId="7B668106" w14:textId="77777777" w:rsidR="004C0D1A" w:rsidRDefault="004C0D1A" w:rsidP="00EC26D9">
      <w:pPr>
        <w:pStyle w:val="CETBodytext"/>
        <w:rPr>
          <w:lang w:val="en-GB"/>
        </w:rPr>
      </w:pPr>
      <w:r w:rsidRPr="00D47707">
        <w:rPr>
          <w:lang w:val="en-GB"/>
        </w:rPr>
        <w:t>H</w:t>
      </w:r>
      <w:r w:rsidRPr="00D47707">
        <w:rPr>
          <w:vertAlign w:val="subscript"/>
          <w:lang w:val="en-GB"/>
        </w:rPr>
        <w:t>2</w:t>
      </w:r>
      <w:r w:rsidRPr="00D47707">
        <w:rPr>
          <w:lang w:val="en-GB"/>
        </w:rPr>
        <w:t xml:space="preserve"> w</w:t>
      </w:r>
      <w:r>
        <w:rPr>
          <w:lang w:val="en-GB"/>
        </w:rPr>
        <w:t>as</w:t>
      </w:r>
      <w:r w:rsidRPr="00D47707">
        <w:rPr>
          <w:lang w:val="en-GB"/>
        </w:rPr>
        <w:t xml:space="preserve"> analysed by injecting 50μLof headspace sample into a Dani Master GC (Milan, Italy) gas chromatograph equipped with a thermal conductivity detector (TCD). Chemical oxygen demand (COD) w</w:t>
      </w:r>
      <w:r>
        <w:rPr>
          <w:lang w:val="en-GB"/>
        </w:rPr>
        <w:t>as</w:t>
      </w:r>
      <w:r w:rsidRPr="00D47707">
        <w:rPr>
          <w:lang w:val="en-GB"/>
        </w:rPr>
        <w:t xml:space="preserve"> assessed by using commercial test </w:t>
      </w:r>
      <w:r w:rsidRPr="00063E2E">
        <w:rPr>
          <w:lang w:val="en-GB"/>
        </w:rPr>
        <w:t>(Nanocolor ® COD Cell Test, Supelco®)</w:t>
      </w:r>
      <w:r w:rsidRPr="00D47707">
        <w:rPr>
          <w:lang w:val="en-GB"/>
        </w:rPr>
        <w:t xml:space="preserve"> and a UV-visible spectrophotometer (</w:t>
      </w:r>
      <w:r>
        <w:rPr>
          <w:lang w:val="en-GB"/>
        </w:rPr>
        <w:t>Nanocolor</w:t>
      </w:r>
      <w:r w:rsidRPr="00D47707">
        <w:rPr>
          <w:lang w:val="en-GB"/>
        </w:rPr>
        <w:t xml:space="preserve">). Ammonium nitrogen was analyzed by Nessler colorimetric method according to standards method </w:t>
      </w:r>
      <w:r>
        <w:rPr>
          <w:noProof/>
          <w:lang w:val="en-GB"/>
        </w:rPr>
        <w:t>(Apha, 1995)</w:t>
      </w:r>
      <w:r w:rsidRPr="00D47707">
        <w:rPr>
          <w:lang w:val="en-GB"/>
        </w:rPr>
        <w:t>.</w:t>
      </w:r>
    </w:p>
    <w:p w14:paraId="2670BD64" w14:textId="77777777" w:rsidR="004C0D1A" w:rsidRPr="00F83132" w:rsidRDefault="004C0D1A" w:rsidP="00EC26D9">
      <w:pPr>
        <w:pStyle w:val="CETBodytext"/>
        <w:spacing w:before="120"/>
        <w:rPr>
          <w:b/>
          <w:lang w:val="en-GB"/>
        </w:rPr>
      </w:pPr>
      <w:r w:rsidRPr="00F83132">
        <w:rPr>
          <w:b/>
          <w:lang w:val="en-GB"/>
        </w:rPr>
        <w:t>2.3 Calculations</w:t>
      </w:r>
    </w:p>
    <w:p w14:paraId="4E1E62B2" w14:textId="77777777" w:rsidR="004C0D1A" w:rsidRDefault="004C0D1A" w:rsidP="00EC26D9">
      <w:pPr>
        <w:pStyle w:val="CETBodytext"/>
      </w:pPr>
    </w:p>
    <w:p w14:paraId="7EBD176F" w14:textId="77777777" w:rsidR="004C0D1A" w:rsidRDefault="004C0D1A" w:rsidP="00EC26D9">
      <w:pPr>
        <w:pStyle w:val="CETBodytext"/>
      </w:pPr>
    </w:p>
    <w:p w14:paraId="3738F62F" w14:textId="77777777" w:rsidR="004C0D1A" w:rsidRPr="00EC26D9" w:rsidRDefault="004C0D1A" w:rsidP="00600535">
      <w:pPr>
        <w:pStyle w:val="CETBodytext"/>
        <w:rPr>
          <w:lang w:val="en-GB"/>
        </w:rPr>
      </w:pPr>
      <w:r w:rsidRPr="00D47707">
        <w:t xml:space="preserve">The efficiency of electrodic processes was assessed by calculating the </w:t>
      </w:r>
      <w:r>
        <w:t>C</w:t>
      </w:r>
      <w:r w:rsidRPr="00D47707">
        <w:t>oulombic efficiency (CE, i.e. the ratio of electron equivalents coming from anodic oxidation of COD that are converted into current), the cathode capture efficiency (CCE, i.e.</w:t>
      </w:r>
      <w:r>
        <w:t xml:space="preserve"> the ratio of electron equivalents that are used to reduce H</w:t>
      </w:r>
      <w:r>
        <w:rPr>
          <w:vertAlign w:val="superscript"/>
        </w:rPr>
        <w:t>+</w:t>
      </w:r>
      <w:r>
        <w:t xml:space="preserve"> to H</w:t>
      </w:r>
      <w:r>
        <w:rPr>
          <w:vertAlign w:val="subscript"/>
        </w:rPr>
        <w:t>2</w:t>
      </w:r>
      <w:r>
        <w:t xml:space="preserve">) </w:t>
      </w:r>
      <w:r>
        <w:rPr>
          <w:noProof/>
        </w:rPr>
        <w:t>(Villano et al., 2013)</w:t>
      </w:r>
      <w:r>
        <w:t>. Energetic efficiency</w:t>
      </w:r>
      <w:r w:rsidRPr="00D47707">
        <w:t xml:space="preserve"> (, i.e. the ratio</w:t>
      </w:r>
      <w:r>
        <w:t xml:space="preserve"> between the energy generated from hydrogen combustion anth the electric energy supplied to the the MEC as expressed as electric</w:t>
      </w:r>
      <w:r w:rsidRPr="00D47707">
        <w:t>).</w:t>
      </w:r>
      <w:r>
        <w:t xml:space="preserve"> </w:t>
      </w:r>
      <w:r w:rsidRPr="00D47707">
        <w:t xml:space="preserve">Energy balance was used to assess the energy efficiency, i.e. the ratio between the electrical energy used to run the MEC and the energy content of produced </w:t>
      </w:r>
      <w:r>
        <w:t>hydrogen</w:t>
      </w:r>
      <w:r>
        <w:rPr>
          <w:noProof/>
        </w:rPr>
        <w:t xml:space="preserve"> (Badia-Fabregat et al., 2019)</w:t>
      </w:r>
      <w:r w:rsidRPr="00D47707">
        <w:t xml:space="preserve">. </w:t>
      </w:r>
    </w:p>
    <w:p w14:paraId="1F494277" w14:textId="77777777" w:rsidR="004C0D1A" w:rsidRDefault="004C0D1A" w:rsidP="00600535">
      <w:pPr>
        <w:pStyle w:val="CETBodytext"/>
      </w:pPr>
    </w:p>
    <w:p w14:paraId="58879D74" w14:textId="77777777" w:rsidR="004C0D1A" w:rsidRDefault="004C0D1A" w:rsidP="00600535">
      <w:pPr>
        <w:pStyle w:val="CETBodytext"/>
      </w:pPr>
    </w:p>
    <w:p w14:paraId="65B05D41" w14:textId="77777777" w:rsidR="004C0D1A" w:rsidRDefault="004C0D1A" w:rsidP="00600535">
      <w:pPr>
        <w:pStyle w:val="CETBodytext"/>
      </w:pPr>
    </w:p>
    <w:p w14:paraId="39F678F4" w14:textId="77777777" w:rsidR="004C0D1A" w:rsidRDefault="004C0D1A" w:rsidP="00600535">
      <w:pPr>
        <w:pStyle w:val="CETBodytext"/>
      </w:pPr>
    </w:p>
    <w:p w14:paraId="3F8B0986" w14:textId="77777777" w:rsidR="004C0D1A" w:rsidRDefault="004C0D1A" w:rsidP="00340006">
      <w:pPr>
        <w:pStyle w:val="CETHeading1"/>
        <w:numPr>
          <w:ilvl w:val="0"/>
          <w:numId w:val="0"/>
        </w:numPr>
        <w:rPr>
          <w:lang w:val="en-GB"/>
        </w:rPr>
      </w:pPr>
      <w:r>
        <w:rPr>
          <w:lang w:val="en-GB"/>
        </w:rPr>
        <w:t>3. Results and discussion</w:t>
      </w:r>
    </w:p>
    <w:p w14:paraId="53F92E33" w14:textId="77777777" w:rsidR="004C0D1A" w:rsidRDefault="004C0D1A" w:rsidP="0062357A">
      <w:pPr>
        <w:pStyle w:val="CETheadingx"/>
        <w:numPr>
          <w:ilvl w:val="1"/>
          <w:numId w:val="23"/>
        </w:numPr>
      </w:pPr>
      <w:r>
        <w:t xml:space="preserve">Anode performance under potentiostatic and galvanostatic conditions </w:t>
      </w:r>
    </w:p>
    <w:p w14:paraId="196E302C" w14:textId="77777777" w:rsidR="004C0D1A" w:rsidRDefault="004C0D1A" w:rsidP="009D5211">
      <w:pPr>
        <w:pStyle w:val="CETBodytext"/>
        <w:rPr>
          <w:lang w:val="en-GB"/>
        </w:rPr>
      </w:pPr>
      <w:r>
        <w:rPr>
          <w:lang w:val="en-GB"/>
        </w:rPr>
        <w:t xml:space="preserve">The potentiostatic operating period, the feeding solution with an average concentration of 1.09 </w:t>
      </w:r>
      <w:r>
        <w:rPr>
          <w:rFonts w:cs="Arial"/>
          <w:lang w:val="en-GB"/>
        </w:rPr>
        <w:t>± 0.23</w:t>
      </w:r>
      <w:r>
        <w:rPr>
          <w:lang w:val="en-GB"/>
        </w:rPr>
        <w:t xml:space="preserve"> gCOD/L was fed at a 1.53 L/d in the anodic chamber of the MEC (Figure 1-A). The corresponding applied organic load rate resulted of 1.9 gCOD/Ld. During the 12 days of potentiostatic operation and an outlet concentration of 0.55 gCOD/L was registered. This resulted in an abatement of 0.90 gCOD/Ld. The COD removal efficiency was found to be 55 </w:t>
      </w:r>
      <w:r w:rsidRPr="00D47707">
        <w:rPr>
          <w:lang w:val="en-GB"/>
        </w:rPr>
        <w:t>±</w:t>
      </w:r>
      <w:r>
        <w:rPr>
          <w:lang w:val="en-GB"/>
        </w:rPr>
        <w:t xml:space="preserve"> 2 % (Table 1), while the coulombic efficiency was 50 </w:t>
      </w:r>
      <w:r w:rsidRPr="00D47707">
        <w:rPr>
          <w:lang w:val="en-GB"/>
        </w:rPr>
        <w:t>±</w:t>
      </w:r>
      <w:r>
        <w:rPr>
          <w:lang w:val="en-GB"/>
        </w:rPr>
        <w:t xml:space="preserve"> 4%, with a current output of 64 </w:t>
      </w:r>
      <w:r w:rsidRPr="00D47707">
        <w:rPr>
          <w:lang w:val="en-GB"/>
        </w:rPr>
        <w:t>±</w:t>
      </w:r>
      <w:r>
        <w:rPr>
          <w:lang w:val="en-GB"/>
        </w:rPr>
        <w:t xml:space="preserve">3 mA. On the other hand, during the galvanostatic operational period, the anodic chamber was fed with an average flow rate of 1.67 </w:t>
      </w:r>
      <w:r>
        <w:rPr>
          <w:rFonts w:cs="Arial"/>
          <w:lang w:val="en-GB"/>
        </w:rPr>
        <w:t>±</w:t>
      </w:r>
      <w:r>
        <w:rPr>
          <w:lang w:val="en-GB"/>
        </w:rPr>
        <w:t xml:space="preserve"> 0.11 L/d, the influent COD average concentration resulted 1.19 </w:t>
      </w:r>
      <w:r>
        <w:rPr>
          <w:rFonts w:cs="Arial"/>
          <w:lang w:val="en-GB"/>
        </w:rPr>
        <w:t xml:space="preserve">± 0.21 </w:t>
      </w:r>
      <w:r>
        <w:rPr>
          <w:lang w:val="en-GB"/>
        </w:rPr>
        <w:t xml:space="preserve">gCOD/L (Figure 1-B). During the galvanostatic operation, an average COD concentration of 1.14 gCOD/L was measured in the effluent, corresponding to an abatement of 0.55 gCOD/Ld and a COD removal efficiency of 33 </w:t>
      </w:r>
      <w:r w:rsidRPr="00D47707">
        <w:rPr>
          <w:lang w:val="en-GB"/>
        </w:rPr>
        <w:t>±</w:t>
      </w:r>
      <w:r>
        <w:rPr>
          <w:lang w:val="en-GB"/>
        </w:rPr>
        <w:t xml:space="preserve"> 6</w:t>
      </w:r>
      <w:r>
        <w:rPr>
          <w:lang w:val="en-GB"/>
        </w:rPr>
        <w:t xml:space="preserve"> %. The set of the galvanostatic condition promoted a significative decrease in anodic biofilm performances, caused by the increase of the anodic potential to +1.53 </w:t>
      </w:r>
      <w:r>
        <w:rPr>
          <w:rFonts w:cs="Arial"/>
          <w:lang w:val="en-GB"/>
        </w:rPr>
        <w:t>±</w:t>
      </w:r>
      <w:r>
        <w:rPr>
          <w:lang w:val="en-GB"/>
        </w:rPr>
        <w:t xml:space="preserve"> 0.06</w:t>
      </w:r>
      <w:r>
        <w:rPr>
          <w:lang w:val="en-GB"/>
        </w:rPr>
        <w:t xml:space="preserve"> V vs SHE, indicating the loss of the biological reaction in the anodic chamber.</w:t>
      </w:r>
      <w:r w:rsidRPr="009D5211">
        <w:rPr>
          <w:lang w:val="en-GB"/>
        </w:rPr>
        <w:t xml:space="preserve"> </w:t>
      </w:r>
      <w:r>
        <w:rPr>
          <w:lang w:val="en-GB"/>
        </w:rPr>
        <w:t>For the potentiostatic condition, on the other hand, the pH of the anode was 6.6 for the influent and 6.4 for the effluent.</w:t>
      </w:r>
      <w:r w:rsidRPr="009D5211">
        <w:rPr>
          <w:lang w:val="en-GB"/>
        </w:rPr>
        <w:t xml:space="preserve"> </w:t>
      </w:r>
      <w:r>
        <w:rPr>
          <w:lang w:val="en-GB"/>
        </w:rPr>
        <w:t xml:space="preserve">During the galvanostatic mode, the pH of the anolyte was found to be of 3.8, while the pH of the feeding solution was 6.5. </w:t>
      </w:r>
    </w:p>
    <w:p w14:paraId="333AD310" w14:textId="77777777" w:rsidR="004C0D1A" w:rsidRDefault="004C0D1A" w:rsidP="009D5211">
      <w:pPr>
        <w:pStyle w:val="CETBodytext"/>
        <w:rPr>
          <w:lang w:val="en-GB"/>
        </w:rPr>
      </w:pPr>
    </w:p>
    <w:p w14:paraId="72BFE6CC" w14:textId="77777777" w:rsidR="004C0D1A" w:rsidRPr="00B57B36" w:rsidRDefault="004C0D1A" w:rsidP="00A3669B">
      <w:pPr>
        <w:pStyle w:val="CETTabletitle"/>
        <w:jc w:val="center"/>
      </w:pPr>
      <w:r w:rsidRPr="00B57B36">
        <w:lastRenderedPageBreak/>
        <w:t xml:space="preserve">Table 1: </w:t>
      </w:r>
      <w:r>
        <w:t>Summary of the bioanode performances during the potentiostatic and galvanostatic MEC operation</w:t>
      </w:r>
    </w:p>
    <w:tbl>
      <w:tblPr>
        <w:tblW w:w="7223" w:type="dxa"/>
        <w:tblInd w:w="43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3"/>
        <w:gridCol w:w="2410"/>
        <w:gridCol w:w="2410"/>
      </w:tblGrid>
      <w:tr w:rsidR="004C0D1A" w:rsidRPr="00B57B36" w14:paraId="626E7CC6" w14:textId="77777777" w:rsidTr="00272813">
        <w:tc>
          <w:tcPr>
            <w:tcW w:w="2403" w:type="dxa"/>
            <w:tcBorders>
              <w:top w:val="single" w:sz="12" w:space="0" w:color="008000"/>
              <w:bottom w:val="single" w:sz="6" w:space="0" w:color="008000"/>
            </w:tcBorders>
            <w:shd w:val="clear" w:color="auto" w:fill="FFFFFF"/>
          </w:tcPr>
          <w:p w14:paraId="47062615" w14:textId="77777777" w:rsidR="004C0D1A" w:rsidRPr="00B57B36" w:rsidRDefault="004C0D1A" w:rsidP="00272813">
            <w:pPr>
              <w:pStyle w:val="CETBodytext"/>
              <w:jc w:val="center"/>
              <w:rPr>
                <w:lang w:val="en-GB"/>
              </w:rPr>
            </w:pPr>
          </w:p>
        </w:tc>
        <w:tc>
          <w:tcPr>
            <w:tcW w:w="2410" w:type="dxa"/>
            <w:tcBorders>
              <w:top w:val="single" w:sz="12" w:space="0" w:color="008000"/>
              <w:bottom w:val="single" w:sz="6" w:space="0" w:color="008000"/>
            </w:tcBorders>
            <w:shd w:val="clear" w:color="auto" w:fill="FFFFFF"/>
          </w:tcPr>
          <w:p w14:paraId="51EFC4C7" w14:textId="77777777" w:rsidR="004C0D1A" w:rsidRPr="00B57B36" w:rsidRDefault="004C0D1A" w:rsidP="00272813">
            <w:pPr>
              <w:pStyle w:val="CETBodytext"/>
              <w:ind w:right="-1"/>
              <w:jc w:val="center"/>
              <w:rPr>
                <w:rFonts w:cs="Arial"/>
                <w:szCs w:val="18"/>
                <w:lang w:val="en-GB"/>
              </w:rPr>
            </w:pPr>
            <w:r>
              <w:rPr>
                <w:rFonts w:cs="Arial"/>
                <w:szCs w:val="18"/>
                <w:lang w:val="en-GB"/>
              </w:rPr>
              <w:t>Potentiostatic</w:t>
            </w:r>
          </w:p>
        </w:tc>
        <w:tc>
          <w:tcPr>
            <w:tcW w:w="2410" w:type="dxa"/>
            <w:tcBorders>
              <w:top w:val="single" w:sz="12" w:space="0" w:color="008000"/>
              <w:bottom w:val="single" w:sz="6" w:space="0" w:color="008000"/>
            </w:tcBorders>
            <w:shd w:val="clear" w:color="auto" w:fill="FFFFFF"/>
          </w:tcPr>
          <w:p w14:paraId="765CD544" w14:textId="77777777" w:rsidR="004C0D1A" w:rsidRPr="00B57B36" w:rsidRDefault="004C0D1A" w:rsidP="00272813">
            <w:pPr>
              <w:pStyle w:val="CETBodytext"/>
              <w:ind w:right="-1"/>
              <w:jc w:val="center"/>
              <w:rPr>
                <w:rFonts w:cs="Arial"/>
                <w:szCs w:val="18"/>
                <w:lang w:val="en-GB"/>
              </w:rPr>
            </w:pPr>
            <w:r>
              <w:rPr>
                <w:lang w:val="en-GB"/>
              </w:rPr>
              <w:t>Galvanostatic</w:t>
            </w:r>
          </w:p>
        </w:tc>
      </w:tr>
      <w:tr w:rsidR="004C0D1A" w:rsidRPr="00B57B36" w14:paraId="206CD741" w14:textId="77777777" w:rsidTr="00272813">
        <w:tc>
          <w:tcPr>
            <w:tcW w:w="2403" w:type="dxa"/>
            <w:shd w:val="clear" w:color="auto" w:fill="FFFFFF"/>
          </w:tcPr>
          <w:p w14:paraId="43B5A77F" w14:textId="77777777" w:rsidR="004C0D1A" w:rsidRPr="00A83956" w:rsidRDefault="004C0D1A" w:rsidP="00272813">
            <w:pPr>
              <w:pStyle w:val="CETBodytext"/>
              <w:jc w:val="center"/>
              <w:rPr>
                <w:i/>
                <w:iCs/>
                <w:lang w:val="en-GB"/>
              </w:rPr>
            </w:pPr>
            <w:r>
              <w:rPr>
                <w:i/>
                <w:iCs/>
                <w:lang w:val="en-GB"/>
              </w:rPr>
              <w:t>COD removal (gCOD/Ld)</w:t>
            </w:r>
          </w:p>
        </w:tc>
        <w:tc>
          <w:tcPr>
            <w:tcW w:w="2410" w:type="dxa"/>
            <w:shd w:val="clear" w:color="auto" w:fill="FFFFFF"/>
          </w:tcPr>
          <w:p w14:paraId="2AE79EBC" w14:textId="77777777" w:rsidR="004C0D1A" w:rsidRPr="00B57B36" w:rsidRDefault="004C0D1A" w:rsidP="00272813">
            <w:pPr>
              <w:pStyle w:val="CETBodytext"/>
              <w:ind w:right="-1"/>
              <w:jc w:val="center"/>
              <w:rPr>
                <w:rFonts w:cs="Arial"/>
                <w:szCs w:val="18"/>
                <w:lang w:val="en-GB"/>
              </w:rPr>
            </w:pPr>
            <w:r>
              <w:rPr>
                <w:lang w:val="en-GB"/>
              </w:rPr>
              <w:t>0.90</w:t>
            </w:r>
            <w:r>
              <w:rPr>
                <w:lang w:val="en-GB"/>
              </w:rPr>
              <w:t xml:space="preserve"> </w:t>
            </w:r>
            <w:r w:rsidRPr="00D47707">
              <w:rPr>
                <w:lang w:val="en-GB"/>
              </w:rPr>
              <w:t>±</w:t>
            </w:r>
            <w:r>
              <w:rPr>
                <w:lang w:val="en-GB"/>
              </w:rPr>
              <w:t xml:space="preserve"> 0.11</w:t>
            </w:r>
          </w:p>
        </w:tc>
        <w:tc>
          <w:tcPr>
            <w:tcW w:w="2410" w:type="dxa"/>
            <w:shd w:val="clear" w:color="auto" w:fill="FFFFFF"/>
          </w:tcPr>
          <w:p w14:paraId="12C165D8" w14:textId="77777777" w:rsidR="004C0D1A" w:rsidRPr="00B57B36" w:rsidRDefault="004C0D1A" w:rsidP="00272813">
            <w:pPr>
              <w:pStyle w:val="CETBodytext"/>
              <w:ind w:right="-1"/>
              <w:jc w:val="center"/>
              <w:rPr>
                <w:rFonts w:cs="Arial"/>
                <w:szCs w:val="18"/>
                <w:lang w:val="en-GB"/>
              </w:rPr>
            </w:pPr>
            <w:r>
              <w:rPr>
                <w:lang w:val="en-GB"/>
              </w:rPr>
              <w:t>0.55</w:t>
            </w:r>
            <w:r>
              <w:rPr>
                <w:lang w:val="en-GB"/>
              </w:rPr>
              <w:t xml:space="preserve"> </w:t>
            </w:r>
            <w:r w:rsidRPr="00D47707">
              <w:rPr>
                <w:lang w:val="en-GB"/>
              </w:rPr>
              <w:t>±</w:t>
            </w:r>
            <w:r>
              <w:rPr>
                <w:lang w:val="en-GB"/>
              </w:rPr>
              <w:t xml:space="preserve"> 0.21</w:t>
            </w:r>
          </w:p>
        </w:tc>
      </w:tr>
      <w:tr w:rsidR="004C0D1A" w:rsidRPr="00B57B36" w14:paraId="6712D144" w14:textId="77777777" w:rsidTr="00272813">
        <w:tc>
          <w:tcPr>
            <w:tcW w:w="2403" w:type="dxa"/>
            <w:shd w:val="clear" w:color="auto" w:fill="FFFFFF"/>
          </w:tcPr>
          <w:p w14:paraId="0A8A8C8B" w14:textId="77777777" w:rsidR="004C0D1A" w:rsidRDefault="004C0D1A" w:rsidP="00272813">
            <w:pPr>
              <w:pStyle w:val="CETBodytext"/>
              <w:jc w:val="center"/>
              <w:rPr>
                <w:i/>
                <w:iCs/>
                <w:lang w:val="en-GB"/>
              </w:rPr>
            </w:pPr>
            <w:r>
              <w:rPr>
                <w:i/>
                <w:iCs/>
                <w:lang w:val="en-GB"/>
              </w:rPr>
              <w:t>COD removal efficiency (%)</w:t>
            </w:r>
          </w:p>
        </w:tc>
        <w:tc>
          <w:tcPr>
            <w:tcW w:w="2410" w:type="dxa"/>
            <w:shd w:val="clear" w:color="auto" w:fill="FFFFFF"/>
          </w:tcPr>
          <w:p w14:paraId="003E5F41" w14:textId="77777777" w:rsidR="004C0D1A" w:rsidRDefault="004C0D1A" w:rsidP="00272813">
            <w:pPr>
              <w:pStyle w:val="CETBodytext"/>
              <w:ind w:right="-1"/>
              <w:jc w:val="center"/>
              <w:rPr>
                <w:rFonts w:cs="Arial"/>
                <w:szCs w:val="18"/>
                <w:lang w:val="en-GB"/>
              </w:rPr>
            </w:pPr>
            <w:r>
              <w:rPr>
                <w:lang w:val="en-GB"/>
              </w:rPr>
              <w:t xml:space="preserve">55 </w:t>
            </w:r>
            <w:r w:rsidRPr="00D47707">
              <w:rPr>
                <w:lang w:val="en-GB"/>
              </w:rPr>
              <w:t>±</w:t>
            </w:r>
            <w:r>
              <w:rPr>
                <w:lang w:val="en-GB"/>
              </w:rPr>
              <w:t xml:space="preserve"> 2</w:t>
            </w:r>
          </w:p>
        </w:tc>
        <w:tc>
          <w:tcPr>
            <w:tcW w:w="2410" w:type="dxa"/>
            <w:shd w:val="clear" w:color="auto" w:fill="FFFFFF"/>
          </w:tcPr>
          <w:p w14:paraId="73D90146" w14:textId="77777777" w:rsidR="004C0D1A" w:rsidRDefault="004C0D1A" w:rsidP="00272813">
            <w:pPr>
              <w:pStyle w:val="CETBodytext"/>
              <w:ind w:right="-1"/>
              <w:jc w:val="center"/>
              <w:rPr>
                <w:lang w:val="en-GB"/>
              </w:rPr>
            </w:pPr>
            <w:r>
              <w:rPr>
                <w:lang w:val="en-GB"/>
              </w:rPr>
              <w:t xml:space="preserve">33 </w:t>
            </w:r>
            <w:r w:rsidRPr="00D47707">
              <w:rPr>
                <w:lang w:val="en-GB"/>
              </w:rPr>
              <w:t>±</w:t>
            </w:r>
            <w:r>
              <w:rPr>
                <w:lang w:val="en-GB"/>
              </w:rPr>
              <w:t xml:space="preserve"> 6</w:t>
            </w:r>
          </w:p>
        </w:tc>
      </w:tr>
      <w:tr w:rsidR="004C0D1A" w:rsidRPr="00B57B36" w14:paraId="6EA2F8C3" w14:textId="77777777" w:rsidTr="00272813">
        <w:tc>
          <w:tcPr>
            <w:tcW w:w="2403" w:type="dxa"/>
            <w:shd w:val="clear" w:color="auto" w:fill="FFFFFF"/>
          </w:tcPr>
          <w:p w14:paraId="57F30913" w14:textId="77777777" w:rsidR="004C0D1A" w:rsidRPr="00A83956" w:rsidRDefault="004C0D1A" w:rsidP="00272813">
            <w:pPr>
              <w:pStyle w:val="CETBodytext"/>
              <w:jc w:val="center"/>
              <w:rPr>
                <w:i/>
                <w:iCs/>
                <w:lang w:val="en-GB"/>
              </w:rPr>
            </w:pPr>
            <w:r>
              <w:rPr>
                <w:i/>
                <w:iCs/>
                <w:lang w:val="en-GB"/>
              </w:rPr>
              <w:t>Average current (mA)</w:t>
            </w:r>
          </w:p>
        </w:tc>
        <w:tc>
          <w:tcPr>
            <w:tcW w:w="2410" w:type="dxa"/>
            <w:shd w:val="clear" w:color="auto" w:fill="FFFFFF"/>
          </w:tcPr>
          <w:p w14:paraId="21B002E8" w14:textId="77777777" w:rsidR="004C0D1A" w:rsidRPr="00B57B36" w:rsidRDefault="004C0D1A" w:rsidP="00272813">
            <w:pPr>
              <w:pStyle w:val="CETBodytext"/>
              <w:ind w:right="-1"/>
              <w:jc w:val="center"/>
              <w:rPr>
                <w:rFonts w:cs="Arial"/>
                <w:szCs w:val="18"/>
                <w:lang w:val="en-GB"/>
              </w:rPr>
            </w:pPr>
            <w:r>
              <w:rPr>
                <w:rFonts w:cs="Arial"/>
                <w:szCs w:val="18"/>
                <w:lang w:val="en-GB"/>
              </w:rPr>
              <w:t xml:space="preserve">64 </w:t>
            </w:r>
            <w:r w:rsidRPr="00D47707">
              <w:rPr>
                <w:lang w:val="en-GB"/>
              </w:rPr>
              <w:t>±</w:t>
            </w:r>
            <w:r>
              <w:rPr>
                <w:lang w:val="en-GB"/>
              </w:rPr>
              <w:t xml:space="preserve"> 3</w:t>
            </w:r>
          </w:p>
        </w:tc>
        <w:tc>
          <w:tcPr>
            <w:tcW w:w="2410" w:type="dxa"/>
            <w:shd w:val="clear" w:color="auto" w:fill="FFFFFF"/>
          </w:tcPr>
          <w:p w14:paraId="786C526C" w14:textId="77777777" w:rsidR="004C0D1A" w:rsidRPr="00B57B36" w:rsidRDefault="004C0D1A" w:rsidP="00272813">
            <w:pPr>
              <w:pStyle w:val="CETBodytext"/>
              <w:ind w:right="-1"/>
              <w:jc w:val="center"/>
              <w:rPr>
                <w:rFonts w:cs="Arial"/>
                <w:szCs w:val="18"/>
                <w:lang w:val="en-GB"/>
              </w:rPr>
            </w:pPr>
            <w:r>
              <w:rPr>
                <w:lang w:val="en-GB"/>
              </w:rPr>
              <w:t xml:space="preserve">113 </w:t>
            </w:r>
            <w:r w:rsidRPr="00D47707">
              <w:rPr>
                <w:lang w:val="en-GB"/>
              </w:rPr>
              <w:t>±</w:t>
            </w:r>
            <w:r>
              <w:rPr>
                <w:lang w:val="en-GB"/>
              </w:rPr>
              <w:t xml:space="preserve"> </w:t>
            </w:r>
            <w:r>
              <w:rPr>
                <w:lang w:val="en-GB"/>
              </w:rPr>
              <w:t>1</w:t>
            </w:r>
          </w:p>
        </w:tc>
      </w:tr>
      <w:tr w:rsidR="004C0D1A" w:rsidRPr="00B57B36" w14:paraId="24F85B0F" w14:textId="77777777" w:rsidTr="00272813">
        <w:tc>
          <w:tcPr>
            <w:tcW w:w="2403" w:type="dxa"/>
            <w:shd w:val="clear" w:color="auto" w:fill="FFFFFF"/>
          </w:tcPr>
          <w:p w14:paraId="7D2E30AB" w14:textId="77777777" w:rsidR="004C0D1A" w:rsidRPr="00A83956" w:rsidRDefault="004C0D1A" w:rsidP="00272813">
            <w:pPr>
              <w:pStyle w:val="CETBodytext"/>
              <w:ind w:right="-1"/>
              <w:jc w:val="center"/>
              <w:rPr>
                <w:rFonts w:cs="Arial"/>
                <w:i/>
                <w:iCs/>
                <w:szCs w:val="18"/>
                <w:lang w:val="en-GB"/>
              </w:rPr>
            </w:pPr>
            <w:r>
              <w:rPr>
                <w:rFonts w:cs="Arial"/>
                <w:i/>
                <w:iCs/>
                <w:szCs w:val="18"/>
                <w:lang w:val="en-GB"/>
              </w:rPr>
              <w:t>CE (%)</w:t>
            </w:r>
          </w:p>
        </w:tc>
        <w:tc>
          <w:tcPr>
            <w:tcW w:w="2410" w:type="dxa"/>
            <w:shd w:val="clear" w:color="auto" w:fill="FFFFFF"/>
          </w:tcPr>
          <w:p w14:paraId="700E1C9C" w14:textId="77777777" w:rsidR="004C0D1A" w:rsidRPr="00B57B36" w:rsidRDefault="004C0D1A" w:rsidP="00272813">
            <w:pPr>
              <w:pStyle w:val="CETBodytext"/>
              <w:ind w:right="-1"/>
              <w:jc w:val="center"/>
              <w:rPr>
                <w:rFonts w:cs="Arial"/>
                <w:szCs w:val="18"/>
                <w:lang w:val="en-GB"/>
              </w:rPr>
            </w:pPr>
            <w:r>
              <w:rPr>
                <w:rFonts w:cs="Arial"/>
                <w:szCs w:val="18"/>
                <w:lang w:val="en-GB"/>
              </w:rPr>
              <w:t xml:space="preserve">50 </w:t>
            </w:r>
            <w:r w:rsidRPr="00D47707">
              <w:rPr>
                <w:lang w:val="en-GB"/>
              </w:rPr>
              <w:t>±</w:t>
            </w:r>
            <w:r>
              <w:rPr>
                <w:lang w:val="en-GB"/>
              </w:rPr>
              <w:t xml:space="preserve"> 4</w:t>
            </w:r>
          </w:p>
        </w:tc>
        <w:tc>
          <w:tcPr>
            <w:tcW w:w="2410" w:type="dxa"/>
            <w:shd w:val="clear" w:color="auto" w:fill="FFFFFF"/>
          </w:tcPr>
          <w:p w14:paraId="686C7CB0" w14:textId="77777777" w:rsidR="004C0D1A" w:rsidRPr="00B57B36" w:rsidRDefault="004C0D1A" w:rsidP="00272813">
            <w:pPr>
              <w:pStyle w:val="CETBodytext"/>
              <w:ind w:right="-1"/>
              <w:jc w:val="center"/>
              <w:rPr>
                <w:rFonts w:cs="Arial"/>
                <w:szCs w:val="18"/>
                <w:lang w:val="en-GB"/>
              </w:rPr>
            </w:pPr>
            <w:r>
              <w:rPr>
                <w:rFonts w:cs="Arial"/>
                <w:szCs w:val="18"/>
                <w:lang w:val="en-GB"/>
              </w:rPr>
              <w:t xml:space="preserve">17 </w:t>
            </w:r>
            <w:r w:rsidRPr="00D47707">
              <w:rPr>
                <w:lang w:val="en-GB"/>
              </w:rPr>
              <w:t>±</w:t>
            </w:r>
            <w:r>
              <w:rPr>
                <w:lang w:val="en-GB"/>
              </w:rPr>
              <w:t xml:space="preserve"> 7</w:t>
            </w:r>
          </w:p>
        </w:tc>
      </w:tr>
    </w:tbl>
    <w:p w14:paraId="66CA103C" w14:textId="77777777" w:rsidR="004C0D1A" w:rsidRDefault="004C0D1A" w:rsidP="009D5211">
      <w:pPr>
        <w:pStyle w:val="CETBodytext"/>
        <w:rPr>
          <w:lang w:val="en-GB"/>
        </w:rPr>
      </w:pPr>
    </w:p>
    <w:p w14:paraId="70DDBA11" w14:textId="77777777" w:rsidR="004C0D1A" w:rsidRPr="006C5DE1" w:rsidRDefault="004C0D1A" w:rsidP="000F5FF3">
      <w:pPr>
        <w:pStyle w:val="CETBodytext"/>
        <w:rPr>
          <w:lang w:val="en-GB"/>
        </w:rPr>
      </w:pPr>
    </w:p>
    <w:p w14:paraId="05380A14" w14:textId="77777777" w:rsidR="004C0D1A" w:rsidRDefault="004C0D1A" w:rsidP="00340006">
      <w:pPr>
        <w:pStyle w:val="CETBodytext"/>
        <w:rPr>
          <w:lang w:val="en-GB"/>
        </w:rPr>
      </w:pPr>
    </w:p>
    <w:p w14:paraId="51E743F5" w14:textId="77777777" w:rsidR="004C0D1A" w:rsidRDefault="004C0D1A" w:rsidP="00340006">
      <w:pPr>
        <w:pStyle w:val="CETBodytext"/>
        <w:rPr>
          <w:lang w:val="en-GB"/>
        </w:rPr>
      </w:pPr>
      <w:r w:rsidRPr="000F5FF3">
        <w:rPr>
          <w:noProof/>
        </w:rPr>
        <w:drawing>
          <wp:inline distT="0" distB="0" distL="0" distR="0" wp14:anchorId="287F47BA" wp14:editId="35EF69D0">
            <wp:extent cx="5607050" cy="1906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1387" cy="1907501"/>
                    </a:xfrm>
                    <a:prstGeom prst="rect">
                      <a:avLst/>
                    </a:prstGeom>
                    <a:noFill/>
                    <a:ln>
                      <a:noFill/>
                    </a:ln>
                  </pic:spPr>
                </pic:pic>
              </a:graphicData>
            </a:graphic>
          </wp:inline>
        </w:drawing>
      </w:r>
    </w:p>
    <w:p w14:paraId="3026EBAA" w14:textId="77777777" w:rsidR="004C0D1A" w:rsidRDefault="004C0D1A" w:rsidP="00340006">
      <w:pPr>
        <w:pStyle w:val="CETBodytext"/>
        <w:rPr>
          <w:lang w:val="en-GB"/>
        </w:rPr>
      </w:pPr>
      <w:r w:rsidRPr="0062357A">
        <w:rPr>
          <w:b/>
          <w:bCs/>
          <w:lang w:val="en-GB"/>
        </w:rPr>
        <w:t>Figure 1</w:t>
      </w:r>
      <w:r>
        <w:rPr>
          <w:lang w:val="en-GB"/>
        </w:rPr>
        <w:t>. Influent and effluent COD concentration in the anodic chamber during the potentiostatic (A) and galvanostatic (B) operation of the MEC</w:t>
      </w:r>
    </w:p>
    <w:p w14:paraId="602BB48B" w14:textId="77777777" w:rsidR="004C0D1A" w:rsidRDefault="004C0D1A" w:rsidP="00340006">
      <w:pPr>
        <w:pStyle w:val="CETBodytext"/>
        <w:rPr>
          <w:lang w:val="en-GB"/>
        </w:rPr>
      </w:pPr>
    </w:p>
    <w:p w14:paraId="07BA25E5" w14:textId="77777777" w:rsidR="004C0D1A" w:rsidRDefault="004C0D1A" w:rsidP="00340006">
      <w:pPr>
        <w:pStyle w:val="CETheadingx"/>
        <w:numPr>
          <w:ilvl w:val="1"/>
          <w:numId w:val="23"/>
        </w:numPr>
      </w:pPr>
      <w:r>
        <w:t>Cathode performance under potentiostatic and galvanostatic conditions</w:t>
      </w:r>
    </w:p>
    <w:p w14:paraId="0B4C7D2A" w14:textId="77777777" w:rsidR="004C0D1A" w:rsidRDefault="004C0D1A" w:rsidP="00340006">
      <w:pPr>
        <w:pStyle w:val="CETBodytext"/>
        <w:rPr>
          <w:lang w:val="en-GB"/>
        </w:rPr>
      </w:pPr>
      <w:r>
        <w:rPr>
          <w:lang w:val="en-GB"/>
        </w:rPr>
        <w:t>The electrons produced by COD anodic oxidation were transferred to the cathodic chamber in which the hydrogen production occurred on the stainless-steel electrode. Besides the hydrogen production rate, coulombic efficiency for the cathodic reaction was evaluated to assess the fraction of electrons recovered as hydrogen at the cathode. Under potentiostatic condition, in which the anode chamber was the working electrode of the cell, the cathodic performance was directly correlated to the anodic one, i.e. to the ability of the microorganisms at the anode to oxidize the organic matter and thus provide electrons that the cathode.</w:t>
      </w:r>
      <w:r w:rsidRPr="00EA6E60">
        <w:rPr>
          <w:lang w:val="en-GB"/>
        </w:rPr>
        <w:t xml:space="preserve"> </w:t>
      </w:r>
      <w:r>
        <w:rPr>
          <w:lang w:val="en-GB"/>
        </w:rPr>
        <w:t xml:space="preserve">During the potentiostatic conditions, the hydrogen production rate (represented by the slope of the cumulative hydrogen curve) reached an average value of 22 </w:t>
      </w:r>
      <w:r w:rsidRPr="00D47707">
        <w:rPr>
          <w:lang w:val="en-GB"/>
        </w:rPr>
        <w:t>±</w:t>
      </w:r>
      <w:r>
        <w:rPr>
          <w:lang w:val="en-GB"/>
        </w:rPr>
        <w:t xml:space="preserve"> meq/d (Figure 2-A) corresponding to 13 mmol/Ld. The cathodic capture efficiency resulted on average 38 </w:t>
      </w:r>
      <w:r w:rsidRPr="00D47707">
        <w:rPr>
          <w:lang w:val="en-GB"/>
        </w:rPr>
        <w:t>±</w:t>
      </w:r>
      <w:r>
        <w:rPr>
          <w:lang w:val="en-GB"/>
        </w:rPr>
        <w:t xml:space="preserve"> 8%. Interestingly hydrogen concentration in the cathodic effluent gas increase from 20 to 95 % in almost 6 days. During the potentiostatic conditions, the recorded pH was 12.4</w:t>
      </w:r>
      <w:r w:rsidRPr="00D47707">
        <w:rPr>
          <w:lang w:val="en-GB"/>
        </w:rPr>
        <w:t>±</w:t>
      </w:r>
      <w:r>
        <w:rPr>
          <w:lang w:val="en-GB"/>
        </w:rPr>
        <w:t>0.2 and had a regular trend: this is a basic- enough value to give the inhibition of the biological pathways of any microorganism in the reactor; it also explains the low organic carbonic value.</w:t>
      </w:r>
    </w:p>
    <w:p w14:paraId="106A65DD" w14:textId="77777777" w:rsidR="004C0D1A" w:rsidRDefault="004C0D1A" w:rsidP="00340006">
      <w:pPr>
        <w:pStyle w:val="CETBodytext"/>
        <w:rPr>
          <w:lang w:val="en-GB"/>
        </w:rPr>
      </w:pPr>
      <w:r>
        <w:rPr>
          <w:lang w:val="en-GB"/>
        </w:rPr>
        <w:t xml:space="preserve">Shifting to galvanostatic reactor operation, at a fixed current of 113 mA, an initial lag phase until day 6 was recorded in which a volumetric hydrogen concentration around 0.4 </w:t>
      </w:r>
      <w:r w:rsidRPr="00D47707">
        <w:rPr>
          <w:lang w:val="en-GB"/>
        </w:rPr>
        <w:t>±</w:t>
      </w:r>
      <w:r>
        <w:rPr>
          <w:lang w:val="en-GB"/>
        </w:rPr>
        <w:t xml:space="preserve"> 0.2% was recorded. Corresponding to day 6 a sharp increase in hydrogen cumulative production was observed, giving a slightly higher hydrogen production rate of 28 </w:t>
      </w:r>
      <w:r w:rsidRPr="00D47707">
        <w:rPr>
          <w:lang w:val="en-GB"/>
        </w:rPr>
        <w:t>±</w:t>
      </w:r>
      <w:r>
        <w:rPr>
          <w:lang w:val="en-GB"/>
        </w:rPr>
        <w:t xml:space="preserve"> 8</w:t>
      </w:r>
      <w:r>
        <w:rPr>
          <w:lang w:val="en-GB"/>
        </w:rPr>
        <w:t xml:space="preserve"> meq/d (Figure 2-B) which in any case corresponded to a volumetric concentration of hydrogen around 1.5 %. The resulting cathodic coulombic efficiency observed during the galvanostatic operation was 17 </w:t>
      </w:r>
      <w:r w:rsidRPr="00D47707">
        <w:rPr>
          <w:lang w:val="en-GB"/>
        </w:rPr>
        <w:t>±</w:t>
      </w:r>
      <w:r>
        <w:rPr>
          <w:lang w:val="en-GB"/>
        </w:rPr>
        <w:t xml:space="preserve"> 7% (Table 2). During the galvanostatic operation a slightly alkaline pH, i.e. 7.9 </w:t>
      </w:r>
      <w:r w:rsidRPr="00D47707">
        <w:rPr>
          <w:lang w:val="en-GB"/>
        </w:rPr>
        <w:t>±</w:t>
      </w:r>
      <w:r>
        <w:rPr>
          <w:lang w:val="en-GB"/>
        </w:rPr>
        <w:t xml:space="preserve"> 0.1 was observed in the cathodic. </w:t>
      </w:r>
    </w:p>
    <w:p w14:paraId="5CD28C33" w14:textId="77777777" w:rsidR="004C0D1A" w:rsidRDefault="004C0D1A" w:rsidP="00340006">
      <w:pPr>
        <w:pStyle w:val="CETBodytext"/>
        <w:rPr>
          <w:lang w:val="en-GB"/>
        </w:rPr>
      </w:pPr>
    </w:p>
    <w:p w14:paraId="14597438" w14:textId="77777777" w:rsidR="004C0D1A" w:rsidRDefault="004C0D1A" w:rsidP="0062357A">
      <w:pPr>
        <w:pStyle w:val="CETBodytext"/>
        <w:rPr>
          <w:lang w:val="en-GB"/>
        </w:rPr>
      </w:pPr>
      <w:r w:rsidRPr="009D5211">
        <w:rPr>
          <w:noProof/>
        </w:rPr>
        <w:drawing>
          <wp:inline distT="0" distB="0" distL="0" distR="0" wp14:anchorId="3CBB0FBA" wp14:editId="6F573121">
            <wp:extent cx="5727700" cy="1962032"/>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241" cy="1963587"/>
                    </a:xfrm>
                    <a:prstGeom prst="rect">
                      <a:avLst/>
                    </a:prstGeom>
                    <a:noFill/>
                    <a:ln>
                      <a:noFill/>
                    </a:ln>
                  </pic:spPr>
                </pic:pic>
              </a:graphicData>
            </a:graphic>
          </wp:inline>
        </w:drawing>
      </w:r>
    </w:p>
    <w:p w14:paraId="46CC4D34" w14:textId="77777777" w:rsidR="004C0D1A" w:rsidRDefault="004C0D1A" w:rsidP="0062357A">
      <w:pPr>
        <w:pStyle w:val="CETBodytext"/>
        <w:rPr>
          <w:lang w:val="en-GB"/>
        </w:rPr>
      </w:pPr>
      <w:r w:rsidRPr="0062357A">
        <w:rPr>
          <w:b/>
          <w:bCs/>
          <w:lang w:val="en-GB"/>
        </w:rPr>
        <w:t>Figure 2</w:t>
      </w:r>
      <w:r>
        <w:rPr>
          <w:lang w:val="en-GB"/>
        </w:rPr>
        <w:t>. Cumulative hydrogen production and hydrogen volumetric concentration in the outlet of the cathodic chamber during the potentiostatic (A) and galvanostatic (B) operation of the MEC</w:t>
      </w:r>
    </w:p>
    <w:p w14:paraId="26BA9AF6" w14:textId="77777777" w:rsidR="004C0D1A" w:rsidRPr="0062357A" w:rsidRDefault="004C0D1A" w:rsidP="0062357A">
      <w:pPr>
        <w:pStyle w:val="CETBodytext"/>
        <w:rPr>
          <w:lang w:val="en-GB"/>
        </w:rPr>
      </w:pPr>
    </w:p>
    <w:p w14:paraId="5FD78564" w14:textId="77777777" w:rsidR="004C0D1A" w:rsidRPr="00B57B36" w:rsidRDefault="004C0D1A" w:rsidP="00A3669B">
      <w:pPr>
        <w:pStyle w:val="CETTabletitle"/>
        <w:jc w:val="center"/>
      </w:pPr>
      <w:r w:rsidRPr="00B57B36">
        <w:lastRenderedPageBreak/>
        <w:t xml:space="preserve">Table </w:t>
      </w:r>
      <w:r>
        <w:t>2</w:t>
      </w:r>
      <w:r w:rsidRPr="00B57B36">
        <w:t xml:space="preserve">: </w:t>
      </w:r>
      <w:r>
        <w:t>Summary of the cathodic performances during the potentiostatic and galvanostatic MEC operation</w:t>
      </w:r>
    </w:p>
    <w:tbl>
      <w:tblPr>
        <w:tblW w:w="7223" w:type="dxa"/>
        <w:tblInd w:w="43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3"/>
        <w:gridCol w:w="2410"/>
        <w:gridCol w:w="2410"/>
      </w:tblGrid>
      <w:tr w:rsidR="004C0D1A" w:rsidRPr="00B57B36" w14:paraId="7D47A396" w14:textId="77777777" w:rsidTr="007845C8">
        <w:tc>
          <w:tcPr>
            <w:tcW w:w="2403" w:type="dxa"/>
            <w:tcBorders>
              <w:top w:val="single" w:sz="12" w:space="0" w:color="008000"/>
              <w:bottom w:val="single" w:sz="6" w:space="0" w:color="008000"/>
            </w:tcBorders>
            <w:shd w:val="clear" w:color="auto" w:fill="FFFFFF"/>
          </w:tcPr>
          <w:p w14:paraId="6A2525BE" w14:textId="77777777" w:rsidR="004C0D1A" w:rsidRPr="00B57B36" w:rsidRDefault="004C0D1A" w:rsidP="007845C8">
            <w:pPr>
              <w:pStyle w:val="CETBodytext"/>
              <w:jc w:val="center"/>
              <w:rPr>
                <w:lang w:val="en-GB"/>
              </w:rPr>
            </w:pPr>
          </w:p>
        </w:tc>
        <w:tc>
          <w:tcPr>
            <w:tcW w:w="2410" w:type="dxa"/>
            <w:tcBorders>
              <w:top w:val="single" w:sz="12" w:space="0" w:color="008000"/>
              <w:bottom w:val="single" w:sz="6" w:space="0" w:color="008000"/>
            </w:tcBorders>
            <w:shd w:val="clear" w:color="auto" w:fill="FFFFFF"/>
          </w:tcPr>
          <w:p w14:paraId="2E25D0C0" w14:textId="77777777" w:rsidR="004C0D1A" w:rsidRPr="00B57B36" w:rsidRDefault="004C0D1A" w:rsidP="007845C8">
            <w:pPr>
              <w:pStyle w:val="CETBodytext"/>
              <w:ind w:right="-1"/>
              <w:jc w:val="center"/>
              <w:rPr>
                <w:rFonts w:cs="Arial"/>
                <w:szCs w:val="18"/>
                <w:lang w:val="en-GB"/>
              </w:rPr>
            </w:pPr>
            <w:r>
              <w:rPr>
                <w:rFonts w:cs="Arial"/>
                <w:szCs w:val="18"/>
                <w:lang w:val="en-GB"/>
              </w:rPr>
              <w:t>Potentiostatic</w:t>
            </w:r>
          </w:p>
        </w:tc>
        <w:tc>
          <w:tcPr>
            <w:tcW w:w="2410" w:type="dxa"/>
            <w:tcBorders>
              <w:top w:val="single" w:sz="12" w:space="0" w:color="008000"/>
              <w:bottom w:val="single" w:sz="6" w:space="0" w:color="008000"/>
            </w:tcBorders>
            <w:shd w:val="clear" w:color="auto" w:fill="FFFFFF"/>
          </w:tcPr>
          <w:p w14:paraId="7BC630B6" w14:textId="77777777" w:rsidR="004C0D1A" w:rsidRPr="00B57B36" w:rsidRDefault="004C0D1A" w:rsidP="007845C8">
            <w:pPr>
              <w:pStyle w:val="CETBodytext"/>
              <w:ind w:right="-1"/>
              <w:jc w:val="center"/>
              <w:rPr>
                <w:rFonts w:cs="Arial"/>
                <w:szCs w:val="18"/>
                <w:lang w:val="en-GB"/>
              </w:rPr>
            </w:pPr>
            <w:r>
              <w:rPr>
                <w:lang w:val="en-GB"/>
              </w:rPr>
              <w:t>Galvanostatic</w:t>
            </w:r>
          </w:p>
        </w:tc>
      </w:tr>
      <w:tr w:rsidR="004C0D1A" w:rsidRPr="00B57B36" w14:paraId="5DFB8D7C" w14:textId="77777777" w:rsidTr="007845C8">
        <w:tc>
          <w:tcPr>
            <w:tcW w:w="2403" w:type="dxa"/>
            <w:shd w:val="clear" w:color="auto" w:fill="FFFFFF"/>
          </w:tcPr>
          <w:p w14:paraId="405B99DE" w14:textId="77777777" w:rsidR="004C0D1A" w:rsidRPr="00A83956" w:rsidRDefault="004C0D1A" w:rsidP="007845C8">
            <w:pPr>
              <w:pStyle w:val="CETBodytext"/>
              <w:jc w:val="center"/>
              <w:rPr>
                <w:i/>
                <w:iCs/>
                <w:lang w:val="en-GB"/>
              </w:rPr>
            </w:pPr>
            <w:r w:rsidRPr="00A83956">
              <w:rPr>
                <w:i/>
                <w:iCs/>
                <w:lang w:val="en-GB"/>
              </w:rPr>
              <w:t>rH</w:t>
            </w:r>
            <w:r w:rsidRPr="00A83956">
              <w:rPr>
                <w:i/>
                <w:iCs/>
                <w:vertAlign w:val="subscript"/>
                <w:lang w:val="en-GB"/>
              </w:rPr>
              <w:t>2</w:t>
            </w:r>
            <w:r w:rsidRPr="00A83956">
              <w:rPr>
                <w:i/>
                <w:iCs/>
                <w:lang w:val="en-GB"/>
              </w:rPr>
              <w:t xml:space="preserve"> (meq/d)</w:t>
            </w:r>
          </w:p>
        </w:tc>
        <w:tc>
          <w:tcPr>
            <w:tcW w:w="2410" w:type="dxa"/>
            <w:shd w:val="clear" w:color="auto" w:fill="FFFFFF"/>
          </w:tcPr>
          <w:p w14:paraId="152AB48A" w14:textId="77777777" w:rsidR="004C0D1A" w:rsidRPr="00B57B36" w:rsidRDefault="004C0D1A" w:rsidP="007845C8">
            <w:pPr>
              <w:pStyle w:val="CETBodytext"/>
              <w:ind w:right="-1"/>
              <w:jc w:val="center"/>
              <w:rPr>
                <w:rFonts w:cs="Arial"/>
                <w:szCs w:val="18"/>
                <w:lang w:val="en-GB"/>
              </w:rPr>
            </w:pPr>
            <w:r>
              <w:rPr>
                <w:rFonts w:cs="Arial"/>
                <w:szCs w:val="18"/>
                <w:lang w:val="en-GB"/>
              </w:rPr>
              <w:t xml:space="preserve">22 </w:t>
            </w:r>
            <w:r w:rsidRPr="00D47707">
              <w:rPr>
                <w:lang w:val="en-GB"/>
              </w:rPr>
              <w:t>±</w:t>
            </w:r>
            <w:r>
              <w:rPr>
                <w:lang w:val="en-GB"/>
              </w:rPr>
              <w:t xml:space="preserve"> 8</w:t>
            </w:r>
          </w:p>
        </w:tc>
        <w:tc>
          <w:tcPr>
            <w:tcW w:w="2410" w:type="dxa"/>
            <w:shd w:val="clear" w:color="auto" w:fill="FFFFFF"/>
          </w:tcPr>
          <w:p w14:paraId="225CD246" w14:textId="77777777" w:rsidR="004C0D1A" w:rsidRPr="00B57B36" w:rsidRDefault="004C0D1A" w:rsidP="007845C8">
            <w:pPr>
              <w:pStyle w:val="CETBodytext"/>
              <w:ind w:right="-1"/>
              <w:jc w:val="center"/>
              <w:rPr>
                <w:rFonts w:cs="Arial"/>
                <w:szCs w:val="18"/>
                <w:lang w:val="en-GB"/>
              </w:rPr>
            </w:pPr>
            <w:r>
              <w:rPr>
                <w:lang w:val="en-GB"/>
              </w:rPr>
              <w:t xml:space="preserve">28 </w:t>
            </w:r>
            <w:r w:rsidRPr="00D47707">
              <w:rPr>
                <w:lang w:val="en-GB"/>
              </w:rPr>
              <w:t>±</w:t>
            </w:r>
            <w:r>
              <w:rPr>
                <w:lang w:val="en-GB"/>
              </w:rPr>
              <w:t xml:space="preserve"> 8</w:t>
            </w:r>
          </w:p>
        </w:tc>
      </w:tr>
      <w:tr w:rsidR="004C0D1A" w:rsidRPr="00B57B36" w14:paraId="05E7A19E" w14:textId="77777777" w:rsidTr="007845C8">
        <w:tc>
          <w:tcPr>
            <w:tcW w:w="2403" w:type="dxa"/>
            <w:shd w:val="clear" w:color="auto" w:fill="FFFFFF"/>
          </w:tcPr>
          <w:p w14:paraId="166FC7E2" w14:textId="77777777" w:rsidR="004C0D1A" w:rsidRPr="00A83956" w:rsidRDefault="004C0D1A" w:rsidP="007845C8">
            <w:pPr>
              <w:pStyle w:val="CETBodytext"/>
              <w:ind w:right="-1"/>
              <w:jc w:val="center"/>
              <w:rPr>
                <w:rFonts w:cs="Arial"/>
                <w:i/>
                <w:iCs/>
                <w:szCs w:val="18"/>
                <w:lang w:val="en-GB"/>
              </w:rPr>
            </w:pPr>
            <w:r>
              <w:rPr>
                <w:rFonts w:cs="Arial"/>
                <w:i/>
                <w:iCs/>
                <w:szCs w:val="18"/>
                <w:lang w:val="en-GB"/>
              </w:rPr>
              <w:t>CCE (%)</w:t>
            </w:r>
          </w:p>
        </w:tc>
        <w:tc>
          <w:tcPr>
            <w:tcW w:w="2410" w:type="dxa"/>
            <w:shd w:val="clear" w:color="auto" w:fill="FFFFFF"/>
          </w:tcPr>
          <w:p w14:paraId="5953E9EA" w14:textId="77777777" w:rsidR="004C0D1A" w:rsidRPr="00B57B36" w:rsidRDefault="004C0D1A" w:rsidP="007845C8">
            <w:pPr>
              <w:pStyle w:val="CETBodytext"/>
              <w:ind w:right="-1"/>
              <w:jc w:val="center"/>
              <w:rPr>
                <w:rFonts w:cs="Arial"/>
                <w:szCs w:val="18"/>
                <w:lang w:val="en-GB"/>
              </w:rPr>
            </w:pPr>
            <w:r>
              <w:rPr>
                <w:rFonts w:cs="Arial"/>
                <w:szCs w:val="18"/>
                <w:lang w:val="en-GB"/>
              </w:rPr>
              <w:t xml:space="preserve">38 </w:t>
            </w:r>
            <w:r w:rsidRPr="00D47707">
              <w:rPr>
                <w:lang w:val="en-GB"/>
              </w:rPr>
              <w:t>±</w:t>
            </w:r>
            <w:r>
              <w:rPr>
                <w:lang w:val="en-GB"/>
              </w:rPr>
              <w:t xml:space="preserve"> 8</w:t>
            </w:r>
          </w:p>
        </w:tc>
        <w:tc>
          <w:tcPr>
            <w:tcW w:w="2410" w:type="dxa"/>
            <w:shd w:val="clear" w:color="auto" w:fill="FFFFFF"/>
          </w:tcPr>
          <w:p w14:paraId="0341946C" w14:textId="77777777" w:rsidR="004C0D1A" w:rsidRPr="00B57B36" w:rsidRDefault="004C0D1A" w:rsidP="007845C8">
            <w:pPr>
              <w:pStyle w:val="CETBodytext"/>
              <w:ind w:right="-1"/>
              <w:jc w:val="center"/>
              <w:rPr>
                <w:rFonts w:cs="Arial"/>
                <w:szCs w:val="18"/>
                <w:lang w:val="en-GB"/>
              </w:rPr>
            </w:pPr>
            <w:r>
              <w:rPr>
                <w:rFonts w:cs="Arial"/>
                <w:szCs w:val="18"/>
                <w:lang w:val="en-GB"/>
              </w:rPr>
              <w:t>27</w:t>
            </w:r>
            <w:r w:rsidRPr="00D47707">
              <w:rPr>
                <w:lang w:val="en-GB"/>
              </w:rPr>
              <w:t>±</w:t>
            </w:r>
            <w:r>
              <w:rPr>
                <w:lang w:val="en-GB"/>
              </w:rPr>
              <w:t>7</w:t>
            </w:r>
          </w:p>
        </w:tc>
      </w:tr>
    </w:tbl>
    <w:p w14:paraId="222FEE96" w14:textId="77777777" w:rsidR="004C0D1A" w:rsidRDefault="004C0D1A" w:rsidP="00340006">
      <w:pPr>
        <w:pStyle w:val="CETBodytext"/>
        <w:rPr>
          <w:lang w:val="en-GB"/>
        </w:rPr>
      </w:pPr>
    </w:p>
    <w:p w14:paraId="23E0C634" w14:textId="77777777" w:rsidR="004C0D1A" w:rsidRDefault="004C0D1A" w:rsidP="00340006">
      <w:pPr>
        <w:pStyle w:val="CETBodytext"/>
        <w:rPr>
          <w:lang w:val="en-GB"/>
        </w:rPr>
      </w:pPr>
    </w:p>
    <w:p w14:paraId="01207BB2" w14:textId="77777777" w:rsidR="004C0D1A" w:rsidRDefault="004C0D1A" w:rsidP="00340006">
      <w:pPr>
        <w:pStyle w:val="CETheadingx"/>
        <w:numPr>
          <w:ilvl w:val="1"/>
          <w:numId w:val="23"/>
        </w:numPr>
      </w:pPr>
      <w:r>
        <w:t>Electrochemical potentials and energy consumption of the process</w:t>
      </w:r>
    </w:p>
    <w:p w14:paraId="5635F95F" w14:textId="77777777" w:rsidR="004C0D1A" w:rsidRDefault="004C0D1A" w:rsidP="00E6330A">
      <w:pPr>
        <w:pStyle w:val="CETBodytext"/>
      </w:pPr>
      <w:r>
        <w:rPr>
          <w:lang w:val="en-GB"/>
        </w:rPr>
        <w:t>Under the first potentiostatic condition, the anode potential (</w:t>
      </w:r>
      <w:proofErr w:type="gramStart"/>
      <w:r>
        <w:rPr>
          <w:lang w:val="en-GB"/>
        </w:rPr>
        <w:t>i.e.</w:t>
      </w:r>
      <w:proofErr w:type="gramEnd"/>
      <w:r>
        <w:rPr>
          <w:lang w:val="en-GB"/>
        </w:rPr>
        <w:t xml:space="preserve"> working electrode) was controlled at + 0.21 V vs SHE, during the steady state operation of the MEC, cathodic chamber (i.e. counter electrode) potential resulted on average at -1.15 </w:t>
      </w:r>
      <w:r>
        <w:rPr>
          <w:rFonts w:cs="Arial"/>
          <w:lang w:val="en-GB"/>
        </w:rPr>
        <w:t>±</w:t>
      </w:r>
      <w:r>
        <w:rPr>
          <w:lang w:val="en-GB"/>
        </w:rPr>
        <w:t xml:space="preserve"> 0.02 V vs SHE while the cell voltage applied resulted on average at -1.56 </w:t>
      </w:r>
      <w:r>
        <w:rPr>
          <w:rFonts w:cs="Arial"/>
          <w:lang w:val="en-GB"/>
        </w:rPr>
        <w:t>±</w:t>
      </w:r>
      <w:r>
        <w:rPr>
          <w:lang w:val="en-GB"/>
        </w:rPr>
        <w:t xml:space="preserve"> 0.05 V (Figure 3-A). After the shift to galvanostatic condition, with the current controlled at +113 mA, the anodic potential (Figure 3-B) immediately increased to +1.53 </w:t>
      </w:r>
      <w:r>
        <w:rPr>
          <w:rFonts w:cs="Arial"/>
          <w:lang w:val="en-GB"/>
        </w:rPr>
        <w:t>±</w:t>
      </w:r>
      <w:r>
        <w:rPr>
          <w:lang w:val="en-GB"/>
        </w:rPr>
        <w:t xml:space="preserve"> 0.06 V vs SHE, indicating the establishment of the water oxidation reaction. The explanation of the potential increase relied on the establishment of a kinetic limitation of the anodic reaction, </w:t>
      </w:r>
      <w:proofErr w:type="gramStart"/>
      <w:r>
        <w:rPr>
          <w:lang w:val="en-GB"/>
        </w:rPr>
        <w:t>i.e.</w:t>
      </w:r>
      <w:proofErr w:type="gramEnd"/>
      <w:r>
        <w:rPr>
          <w:lang w:val="en-GB"/>
        </w:rPr>
        <w:t xml:space="preserve"> the bioanode was not sufficient to provide electrons for the new galvanostatic condition, for this reason, the potential increased until reaching a new available oxidation reaction to sustain the imposed condition. The cathodic chamber potential, as showed in Figure 3-B did not change significantly, showing an average value of </w:t>
      </w:r>
      <w:r>
        <w:t xml:space="preserve">-1.05 </w:t>
      </w:r>
      <w:r>
        <w:rPr>
          <w:rFonts w:cs="Arial"/>
        </w:rPr>
        <w:t>± 0.03</w:t>
      </w:r>
      <w:r>
        <w:t xml:space="preserve"> V vs SHE</w:t>
      </w:r>
      <w:r>
        <w:rPr>
          <w:lang w:val="en-GB"/>
        </w:rPr>
        <w:t xml:space="preserve">. </w:t>
      </w:r>
      <w:proofErr w:type="gramStart"/>
      <w:r>
        <w:rPr>
          <w:lang w:val="en-GB"/>
        </w:rPr>
        <w:t>As a consequence</w:t>
      </w:r>
      <w:proofErr w:type="gramEnd"/>
      <w:r>
        <w:rPr>
          <w:lang w:val="en-GB"/>
        </w:rPr>
        <w:t xml:space="preserve">, the cell voltage applied to the MEC increased to an average value of - </w:t>
      </w:r>
      <w:r>
        <w:t xml:space="preserve">3.03 </w:t>
      </w:r>
      <w:r>
        <w:rPr>
          <w:rFonts w:cs="Arial"/>
        </w:rPr>
        <w:t>±</w:t>
      </w:r>
      <w:r>
        <w:t xml:space="preserve"> 0.05 V (Table 3).</w:t>
      </w:r>
    </w:p>
    <w:p w14:paraId="6FAC9F51" w14:textId="77777777" w:rsidR="004C0D1A" w:rsidRDefault="004C0D1A" w:rsidP="00E6330A">
      <w:pPr>
        <w:pStyle w:val="CETBodytext"/>
        <w:rPr>
          <w:lang w:val="en-GB"/>
        </w:rPr>
      </w:pPr>
    </w:p>
    <w:p w14:paraId="4C68E667" w14:textId="77777777" w:rsidR="004C0D1A" w:rsidRPr="00111C83" w:rsidRDefault="004C0D1A" w:rsidP="00340006">
      <w:pPr>
        <w:pStyle w:val="CETBodytext"/>
        <w:rPr>
          <w:lang w:val="en-GB"/>
        </w:rPr>
      </w:pPr>
    </w:p>
    <w:p w14:paraId="6F5BE08C" w14:textId="77777777" w:rsidR="004C0D1A" w:rsidRDefault="004C0D1A" w:rsidP="00340006">
      <w:pPr>
        <w:pStyle w:val="CETBodytext"/>
        <w:rPr>
          <w:noProof/>
        </w:rPr>
      </w:pPr>
      <w:r w:rsidRPr="009D5211">
        <w:rPr>
          <w:noProof/>
        </w:rPr>
        <w:drawing>
          <wp:inline distT="0" distB="0" distL="0" distR="0" wp14:anchorId="7F04A1AA" wp14:editId="6FBAFF80">
            <wp:extent cx="5802031" cy="1955800"/>
            <wp:effectExtent l="0" t="0" r="825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4692" cy="1956697"/>
                    </a:xfrm>
                    <a:prstGeom prst="rect">
                      <a:avLst/>
                    </a:prstGeom>
                    <a:noFill/>
                    <a:ln>
                      <a:noFill/>
                    </a:ln>
                  </pic:spPr>
                </pic:pic>
              </a:graphicData>
            </a:graphic>
          </wp:inline>
        </w:drawing>
      </w:r>
    </w:p>
    <w:p w14:paraId="32C2409D" w14:textId="77777777" w:rsidR="004C0D1A" w:rsidRDefault="004C0D1A" w:rsidP="0062357A">
      <w:pPr>
        <w:pStyle w:val="CETBodytext"/>
        <w:rPr>
          <w:lang w:val="en-GB"/>
        </w:rPr>
      </w:pPr>
      <w:r w:rsidRPr="0062357A">
        <w:rPr>
          <w:b/>
          <w:bCs/>
          <w:lang w:val="en-GB"/>
        </w:rPr>
        <w:t>Figure 3</w:t>
      </w:r>
      <w:r>
        <w:rPr>
          <w:lang w:val="en-GB"/>
        </w:rPr>
        <w:t>. Electrochemical electrode potential and cell voltage time course during the potentiostatic (A) and galvanostatic (B) operation of the MEC</w:t>
      </w:r>
    </w:p>
    <w:p w14:paraId="61359449" w14:textId="77777777" w:rsidR="004C0D1A" w:rsidRPr="0062357A" w:rsidRDefault="004C0D1A" w:rsidP="00340006">
      <w:pPr>
        <w:pStyle w:val="CETBodytext"/>
        <w:rPr>
          <w:noProof/>
          <w:lang w:val="en-GB"/>
        </w:rPr>
      </w:pPr>
    </w:p>
    <w:p w14:paraId="5F8698C6" w14:textId="77777777" w:rsidR="004C0D1A" w:rsidRPr="00B57B36" w:rsidRDefault="004C0D1A" w:rsidP="00A3669B">
      <w:pPr>
        <w:pStyle w:val="CETTabletitle"/>
        <w:jc w:val="center"/>
      </w:pPr>
      <w:r w:rsidRPr="00B57B36">
        <w:t xml:space="preserve">Table </w:t>
      </w:r>
      <w:r>
        <w:t>3</w:t>
      </w:r>
      <w:r w:rsidRPr="00B57B36">
        <w:t xml:space="preserve">: </w:t>
      </w:r>
      <w:r>
        <w:t>Summary of the cathodic performances during the potentiostatic and galvanostatic MEC operation</w:t>
      </w:r>
    </w:p>
    <w:tbl>
      <w:tblPr>
        <w:tblW w:w="7223" w:type="dxa"/>
        <w:tblInd w:w="43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254"/>
        <w:gridCol w:w="2126"/>
        <w:gridCol w:w="1843"/>
      </w:tblGrid>
      <w:tr w:rsidR="004C0D1A" w:rsidRPr="00B57B36" w14:paraId="734A7C18" w14:textId="77777777" w:rsidTr="00A3669B">
        <w:tc>
          <w:tcPr>
            <w:tcW w:w="3254" w:type="dxa"/>
            <w:tcBorders>
              <w:top w:val="single" w:sz="12" w:space="0" w:color="008000"/>
              <w:bottom w:val="single" w:sz="6" w:space="0" w:color="008000"/>
            </w:tcBorders>
            <w:shd w:val="clear" w:color="auto" w:fill="FFFFFF"/>
          </w:tcPr>
          <w:p w14:paraId="499FBF1E" w14:textId="77777777" w:rsidR="004C0D1A" w:rsidRPr="00B57B36" w:rsidRDefault="004C0D1A" w:rsidP="00272813">
            <w:pPr>
              <w:pStyle w:val="CETBodytext"/>
              <w:jc w:val="center"/>
              <w:rPr>
                <w:lang w:val="en-GB"/>
              </w:rPr>
            </w:pPr>
          </w:p>
        </w:tc>
        <w:tc>
          <w:tcPr>
            <w:tcW w:w="2126" w:type="dxa"/>
            <w:tcBorders>
              <w:top w:val="single" w:sz="12" w:space="0" w:color="008000"/>
              <w:bottom w:val="single" w:sz="6" w:space="0" w:color="008000"/>
            </w:tcBorders>
            <w:shd w:val="clear" w:color="auto" w:fill="FFFFFF"/>
          </w:tcPr>
          <w:p w14:paraId="1073BDEA" w14:textId="77777777" w:rsidR="004C0D1A" w:rsidRPr="00B57B36" w:rsidRDefault="004C0D1A" w:rsidP="00272813">
            <w:pPr>
              <w:pStyle w:val="CETBodytext"/>
              <w:ind w:right="-1"/>
              <w:jc w:val="center"/>
              <w:rPr>
                <w:rFonts w:cs="Arial"/>
                <w:szCs w:val="18"/>
                <w:lang w:val="en-GB"/>
              </w:rPr>
            </w:pPr>
            <w:r>
              <w:rPr>
                <w:rFonts w:cs="Arial"/>
                <w:szCs w:val="18"/>
                <w:lang w:val="en-GB"/>
              </w:rPr>
              <w:t>Potentiostatic</w:t>
            </w:r>
          </w:p>
        </w:tc>
        <w:tc>
          <w:tcPr>
            <w:tcW w:w="1843" w:type="dxa"/>
            <w:tcBorders>
              <w:top w:val="single" w:sz="12" w:space="0" w:color="008000"/>
              <w:bottom w:val="single" w:sz="6" w:space="0" w:color="008000"/>
            </w:tcBorders>
            <w:shd w:val="clear" w:color="auto" w:fill="FFFFFF"/>
          </w:tcPr>
          <w:p w14:paraId="43496F95" w14:textId="77777777" w:rsidR="004C0D1A" w:rsidRPr="00B57B36" w:rsidRDefault="004C0D1A" w:rsidP="00272813">
            <w:pPr>
              <w:pStyle w:val="CETBodytext"/>
              <w:ind w:right="-1"/>
              <w:jc w:val="center"/>
              <w:rPr>
                <w:rFonts w:cs="Arial"/>
                <w:szCs w:val="18"/>
                <w:lang w:val="en-GB"/>
              </w:rPr>
            </w:pPr>
            <w:r>
              <w:rPr>
                <w:lang w:val="en-GB"/>
              </w:rPr>
              <w:t>Galvanostatic</w:t>
            </w:r>
          </w:p>
        </w:tc>
      </w:tr>
      <w:tr w:rsidR="004C0D1A" w:rsidRPr="00B57B36" w14:paraId="547B1C12" w14:textId="77777777" w:rsidTr="00A3669B">
        <w:tc>
          <w:tcPr>
            <w:tcW w:w="3254" w:type="dxa"/>
            <w:shd w:val="clear" w:color="auto" w:fill="FFFFFF"/>
          </w:tcPr>
          <w:p w14:paraId="0B87A42D" w14:textId="77777777" w:rsidR="004C0D1A" w:rsidRPr="00A83956" w:rsidRDefault="004C0D1A" w:rsidP="00272813">
            <w:pPr>
              <w:pStyle w:val="CETBodytext"/>
              <w:jc w:val="center"/>
              <w:rPr>
                <w:i/>
                <w:iCs/>
                <w:lang w:val="en-GB"/>
              </w:rPr>
            </w:pPr>
            <w:r>
              <w:rPr>
                <w:i/>
                <w:iCs/>
                <w:lang w:val="en-GB"/>
              </w:rPr>
              <w:t>Anode potential (V vs SHE)</w:t>
            </w:r>
          </w:p>
        </w:tc>
        <w:tc>
          <w:tcPr>
            <w:tcW w:w="2126" w:type="dxa"/>
            <w:shd w:val="clear" w:color="auto" w:fill="FFFFFF"/>
          </w:tcPr>
          <w:p w14:paraId="6DB204C6" w14:textId="77777777" w:rsidR="004C0D1A" w:rsidRPr="00B57B36" w:rsidRDefault="004C0D1A" w:rsidP="00272813">
            <w:pPr>
              <w:pStyle w:val="CETBodytext"/>
              <w:ind w:right="-1"/>
              <w:jc w:val="center"/>
              <w:rPr>
                <w:rFonts w:cs="Arial"/>
                <w:szCs w:val="18"/>
                <w:lang w:val="en-GB"/>
              </w:rPr>
            </w:pPr>
            <w:r>
              <w:rPr>
                <w:lang w:val="en-GB"/>
              </w:rPr>
              <w:t>+ 0.21</w:t>
            </w:r>
          </w:p>
        </w:tc>
        <w:tc>
          <w:tcPr>
            <w:tcW w:w="1843" w:type="dxa"/>
            <w:shd w:val="clear" w:color="auto" w:fill="FFFFFF"/>
          </w:tcPr>
          <w:p w14:paraId="616E0322" w14:textId="77777777" w:rsidR="004C0D1A" w:rsidRPr="00B57B36" w:rsidRDefault="004C0D1A" w:rsidP="00272813">
            <w:pPr>
              <w:pStyle w:val="CETBodytext"/>
              <w:ind w:right="-1"/>
              <w:jc w:val="center"/>
              <w:rPr>
                <w:rFonts w:cs="Arial"/>
                <w:szCs w:val="18"/>
                <w:lang w:val="en-GB"/>
              </w:rPr>
            </w:pPr>
            <w:r>
              <w:rPr>
                <w:lang w:val="en-GB"/>
              </w:rPr>
              <w:t xml:space="preserve">+ 1.53 </w:t>
            </w:r>
            <w:r>
              <w:rPr>
                <w:rFonts w:cs="Arial"/>
                <w:lang w:val="en-GB"/>
              </w:rPr>
              <w:t>±</w:t>
            </w:r>
            <w:r>
              <w:rPr>
                <w:lang w:val="en-GB"/>
              </w:rPr>
              <w:t xml:space="preserve"> 0.06</w:t>
            </w:r>
          </w:p>
        </w:tc>
      </w:tr>
      <w:tr w:rsidR="004C0D1A" w:rsidRPr="00B57B36" w14:paraId="766D87B0" w14:textId="77777777" w:rsidTr="00A3669B">
        <w:tc>
          <w:tcPr>
            <w:tcW w:w="3254" w:type="dxa"/>
            <w:shd w:val="clear" w:color="auto" w:fill="FFFFFF"/>
          </w:tcPr>
          <w:p w14:paraId="11F0CDE3" w14:textId="77777777" w:rsidR="004C0D1A" w:rsidRPr="00A83956" w:rsidRDefault="004C0D1A" w:rsidP="00A3669B">
            <w:pPr>
              <w:pStyle w:val="CETBodytext"/>
              <w:jc w:val="center"/>
              <w:rPr>
                <w:i/>
                <w:iCs/>
                <w:lang w:val="en-GB"/>
              </w:rPr>
            </w:pPr>
            <w:r>
              <w:rPr>
                <w:i/>
                <w:iCs/>
                <w:lang w:val="en-GB"/>
              </w:rPr>
              <w:t>Cathode potential (V vs SHE)</w:t>
            </w:r>
          </w:p>
        </w:tc>
        <w:tc>
          <w:tcPr>
            <w:tcW w:w="2126" w:type="dxa"/>
            <w:shd w:val="clear" w:color="auto" w:fill="FFFFFF"/>
          </w:tcPr>
          <w:p w14:paraId="5E172DCB" w14:textId="77777777" w:rsidR="004C0D1A" w:rsidRPr="00B57B36" w:rsidRDefault="004C0D1A" w:rsidP="00A3669B">
            <w:pPr>
              <w:pStyle w:val="CETBodytext"/>
              <w:ind w:right="-1"/>
              <w:jc w:val="center"/>
              <w:rPr>
                <w:rFonts w:cs="Arial"/>
                <w:szCs w:val="18"/>
                <w:lang w:val="en-GB"/>
              </w:rPr>
            </w:pPr>
            <w:r>
              <w:rPr>
                <w:lang w:val="en-GB"/>
              </w:rPr>
              <w:t xml:space="preserve">-1.15 </w:t>
            </w:r>
            <w:r>
              <w:rPr>
                <w:rFonts w:cs="Arial"/>
                <w:lang w:val="en-GB"/>
              </w:rPr>
              <w:t>±</w:t>
            </w:r>
            <w:r>
              <w:rPr>
                <w:lang w:val="en-GB"/>
              </w:rPr>
              <w:t xml:space="preserve"> 0.02</w:t>
            </w:r>
          </w:p>
        </w:tc>
        <w:tc>
          <w:tcPr>
            <w:tcW w:w="1843" w:type="dxa"/>
            <w:shd w:val="clear" w:color="auto" w:fill="FFFFFF"/>
          </w:tcPr>
          <w:p w14:paraId="3A44A4A8" w14:textId="77777777" w:rsidR="004C0D1A" w:rsidRPr="00B57B36" w:rsidRDefault="004C0D1A" w:rsidP="00A3669B">
            <w:pPr>
              <w:pStyle w:val="CETBodytext"/>
              <w:ind w:right="-1"/>
              <w:jc w:val="center"/>
              <w:rPr>
                <w:rFonts w:cs="Arial"/>
                <w:szCs w:val="18"/>
                <w:lang w:val="en-GB"/>
              </w:rPr>
            </w:pPr>
            <w:r>
              <w:t xml:space="preserve">-1.05 </w:t>
            </w:r>
            <w:r>
              <w:rPr>
                <w:rFonts w:cs="Arial"/>
              </w:rPr>
              <w:t>± 0.03</w:t>
            </w:r>
          </w:p>
        </w:tc>
      </w:tr>
      <w:tr w:rsidR="004C0D1A" w:rsidRPr="00B57B36" w14:paraId="5834ED13" w14:textId="77777777" w:rsidTr="00A3669B">
        <w:tc>
          <w:tcPr>
            <w:tcW w:w="3254" w:type="dxa"/>
            <w:shd w:val="clear" w:color="auto" w:fill="FFFFFF"/>
          </w:tcPr>
          <w:p w14:paraId="62FB4FCA" w14:textId="77777777" w:rsidR="004C0D1A" w:rsidRDefault="004C0D1A" w:rsidP="00A3669B">
            <w:pPr>
              <w:pStyle w:val="CETBodytext"/>
              <w:jc w:val="center"/>
              <w:rPr>
                <w:i/>
                <w:iCs/>
                <w:lang w:val="en-GB"/>
              </w:rPr>
            </w:pPr>
            <w:r>
              <w:rPr>
                <w:rFonts w:cs="Arial"/>
                <w:i/>
                <w:iCs/>
                <w:szCs w:val="18"/>
                <w:lang w:val="en-GB"/>
              </w:rPr>
              <w:t>Cell Voltage (V)</w:t>
            </w:r>
          </w:p>
        </w:tc>
        <w:tc>
          <w:tcPr>
            <w:tcW w:w="2126" w:type="dxa"/>
            <w:shd w:val="clear" w:color="auto" w:fill="FFFFFF"/>
          </w:tcPr>
          <w:p w14:paraId="5E30E51A" w14:textId="77777777" w:rsidR="004C0D1A" w:rsidRDefault="004C0D1A" w:rsidP="00A3669B">
            <w:pPr>
              <w:pStyle w:val="CETBodytext"/>
              <w:ind w:right="-1"/>
              <w:jc w:val="center"/>
              <w:rPr>
                <w:rFonts w:cs="Arial"/>
                <w:szCs w:val="18"/>
                <w:lang w:val="en-GB"/>
              </w:rPr>
            </w:pPr>
            <w:r>
              <w:rPr>
                <w:lang w:val="en-GB"/>
              </w:rPr>
              <w:t xml:space="preserve">-1.56 </w:t>
            </w:r>
            <w:r>
              <w:rPr>
                <w:rFonts w:cs="Arial"/>
                <w:lang w:val="en-GB"/>
              </w:rPr>
              <w:t>±</w:t>
            </w:r>
            <w:r>
              <w:rPr>
                <w:lang w:val="en-GB"/>
              </w:rPr>
              <w:t xml:space="preserve"> 0.05</w:t>
            </w:r>
          </w:p>
        </w:tc>
        <w:tc>
          <w:tcPr>
            <w:tcW w:w="1843" w:type="dxa"/>
            <w:shd w:val="clear" w:color="auto" w:fill="FFFFFF"/>
          </w:tcPr>
          <w:p w14:paraId="14D205CB" w14:textId="77777777" w:rsidR="004C0D1A" w:rsidRDefault="004C0D1A" w:rsidP="00A3669B">
            <w:pPr>
              <w:pStyle w:val="CETBodytext"/>
              <w:ind w:right="-1"/>
              <w:jc w:val="center"/>
              <w:rPr>
                <w:lang w:val="en-GB"/>
              </w:rPr>
            </w:pPr>
            <w:r>
              <w:rPr>
                <w:lang w:val="en-GB"/>
              </w:rPr>
              <w:t xml:space="preserve">- </w:t>
            </w:r>
            <w:r>
              <w:t xml:space="preserve">3.03 </w:t>
            </w:r>
            <w:r>
              <w:rPr>
                <w:rFonts w:cs="Arial"/>
              </w:rPr>
              <w:t>±</w:t>
            </w:r>
            <w:r>
              <w:t xml:space="preserve"> 0.05</w:t>
            </w:r>
          </w:p>
        </w:tc>
      </w:tr>
      <w:tr w:rsidR="004C0D1A" w:rsidRPr="00B57B36" w14:paraId="55701246" w14:textId="77777777" w:rsidTr="00A3669B">
        <w:tc>
          <w:tcPr>
            <w:tcW w:w="3254" w:type="dxa"/>
            <w:shd w:val="clear" w:color="auto" w:fill="FFFFFF"/>
          </w:tcPr>
          <w:p w14:paraId="0177D1D1" w14:textId="77777777" w:rsidR="004C0D1A" w:rsidRDefault="004C0D1A" w:rsidP="00A3669B">
            <w:pPr>
              <w:pStyle w:val="CETBodytext"/>
              <w:jc w:val="center"/>
              <w:rPr>
                <w:i/>
                <w:iCs/>
                <w:lang w:val="en-GB"/>
              </w:rPr>
            </w:pPr>
            <w:r>
              <w:rPr>
                <w:i/>
                <w:iCs/>
                <w:lang w:val="en-GB"/>
              </w:rPr>
              <w:t>Hydrogen production (kWh/Nm</w:t>
            </w:r>
            <w:r w:rsidRPr="00A3669B">
              <w:rPr>
                <w:i/>
                <w:iCs/>
                <w:vertAlign w:val="superscript"/>
                <w:lang w:val="en-GB"/>
              </w:rPr>
              <w:t>3</w:t>
            </w:r>
            <w:r>
              <w:rPr>
                <w:i/>
                <w:iCs/>
                <w:lang w:val="en-GB"/>
              </w:rPr>
              <w:t>H</w:t>
            </w:r>
            <w:r w:rsidRPr="004D78D6">
              <w:rPr>
                <w:i/>
                <w:iCs/>
                <w:vertAlign w:val="subscript"/>
                <w:lang w:val="en-GB"/>
              </w:rPr>
              <w:t>2</w:t>
            </w:r>
            <w:r>
              <w:rPr>
                <w:i/>
                <w:iCs/>
                <w:lang w:val="en-GB"/>
              </w:rPr>
              <w:t xml:space="preserve">) </w:t>
            </w:r>
          </w:p>
        </w:tc>
        <w:tc>
          <w:tcPr>
            <w:tcW w:w="2126" w:type="dxa"/>
            <w:shd w:val="clear" w:color="auto" w:fill="FFFFFF"/>
          </w:tcPr>
          <w:p w14:paraId="6CB8DF38" w14:textId="77777777" w:rsidR="004C0D1A" w:rsidRDefault="004C0D1A" w:rsidP="00A3669B">
            <w:pPr>
              <w:pStyle w:val="CETBodytext"/>
              <w:ind w:right="-1"/>
              <w:jc w:val="center"/>
              <w:rPr>
                <w:rFonts w:cs="Arial"/>
                <w:szCs w:val="18"/>
                <w:lang w:val="en-GB"/>
              </w:rPr>
            </w:pPr>
            <w:r>
              <w:rPr>
                <w:lang w:val="en-GB"/>
              </w:rPr>
              <w:t>9</w:t>
            </w:r>
            <w:r>
              <w:t xml:space="preserve"> </w:t>
            </w:r>
            <w:r>
              <w:rPr>
                <w:rFonts w:cs="Arial"/>
              </w:rPr>
              <w:t>± 1</w:t>
            </w:r>
          </w:p>
        </w:tc>
        <w:tc>
          <w:tcPr>
            <w:tcW w:w="1843" w:type="dxa"/>
            <w:shd w:val="clear" w:color="auto" w:fill="FFFFFF"/>
          </w:tcPr>
          <w:p w14:paraId="0B584C34" w14:textId="77777777" w:rsidR="004C0D1A" w:rsidRDefault="004C0D1A" w:rsidP="00A3669B">
            <w:pPr>
              <w:pStyle w:val="CETBodytext"/>
              <w:ind w:right="-1"/>
              <w:jc w:val="center"/>
              <w:rPr>
                <w:lang w:val="en-GB"/>
              </w:rPr>
            </w:pPr>
            <w:r>
              <w:t xml:space="preserve">49 </w:t>
            </w:r>
            <w:r>
              <w:rPr>
                <w:rFonts w:cs="Arial"/>
              </w:rPr>
              <w:t>± 5</w:t>
            </w:r>
          </w:p>
        </w:tc>
      </w:tr>
      <w:tr w:rsidR="004C0D1A" w:rsidRPr="00B57B36" w14:paraId="7A5ACB96" w14:textId="77777777" w:rsidTr="00A3669B">
        <w:tc>
          <w:tcPr>
            <w:tcW w:w="3254" w:type="dxa"/>
            <w:shd w:val="clear" w:color="auto" w:fill="FFFFFF"/>
          </w:tcPr>
          <w:p w14:paraId="4779E7CA" w14:textId="77777777" w:rsidR="004C0D1A" w:rsidRPr="00A83956" w:rsidRDefault="004C0D1A" w:rsidP="00A3669B">
            <w:pPr>
              <w:pStyle w:val="CETBodytext"/>
              <w:ind w:right="-1"/>
              <w:jc w:val="center"/>
              <w:rPr>
                <w:rFonts w:cs="Arial"/>
                <w:i/>
                <w:iCs/>
                <w:szCs w:val="18"/>
                <w:lang w:val="en-GB"/>
              </w:rPr>
            </w:pPr>
            <w:r>
              <w:rPr>
                <w:i/>
                <w:iCs/>
                <w:lang w:val="en-GB"/>
              </w:rPr>
              <w:t>COD removal (kWh/kgCOD</w:t>
            </w:r>
            <w:r w:rsidRPr="00A3669B">
              <w:rPr>
                <w:i/>
                <w:iCs/>
                <w:vertAlign w:val="subscript"/>
                <w:lang w:val="en-GB"/>
              </w:rPr>
              <w:t>removed</w:t>
            </w:r>
            <w:r>
              <w:rPr>
                <w:i/>
                <w:iCs/>
                <w:lang w:val="en-GB"/>
              </w:rPr>
              <w:t>)</w:t>
            </w:r>
          </w:p>
        </w:tc>
        <w:tc>
          <w:tcPr>
            <w:tcW w:w="2126" w:type="dxa"/>
            <w:shd w:val="clear" w:color="auto" w:fill="FFFFFF"/>
          </w:tcPr>
          <w:p w14:paraId="2ABDFA7D" w14:textId="77777777" w:rsidR="004C0D1A" w:rsidRPr="00B57B36" w:rsidRDefault="004C0D1A" w:rsidP="00A3669B">
            <w:pPr>
              <w:pStyle w:val="CETBodytext"/>
              <w:ind w:right="-1"/>
              <w:jc w:val="center"/>
              <w:rPr>
                <w:rFonts w:cs="Arial"/>
                <w:szCs w:val="18"/>
                <w:lang w:val="en-GB"/>
              </w:rPr>
            </w:pPr>
            <w:r>
              <w:rPr>
                <w:lang w:val="en-GB"/>
              </w:rPr>
              <w:t>2.3</w:t>
            </w:r>
            <w:r>
              <w:t xml:space="preserve"> </w:t>
            </w:r>
            <w:r>
              <w:rPr>
                <w:rFonts w:cs="Arial"/>
              </w:rPr>
              <w:t xml:space="preserve">± </w:t>
            </w:r>
            <w:r>
              <w:rPr>
                <w:rFonts w:cs="Arial"/>
              </w:rPr>
              <w:t>0.5</w:t>
            </w:r>
          </w:p>
        </w:tc>
        <w:tc>
          <w:tcPr>
            <w:tcW w:w="1843" w:type="dxa"/>
            <w:shd w:val="clear" w:color="auto" w:fill="FFFFFF"/>
          </w:tcPr>
          <w:p w14:paraId="553F5989" w14:textId="77777777" w:rsidR="004C0D1A" w:rsidRPr="00B57B36" w:rsidRDefault="004C0D1A" w:rsidP="00A3669B">
            <w:pPr>
              <w:pStyle w:val="CETBodytext"/>
              <w:ind w:right="-1"/>
              <w:jc w:val="center"/>
              <w:rPr>
                <w:rFonts w:cs="Arial"/>
                <w:szCs w:val="18"/>
                <w:lang w:val="en-GB"/>
              </w:rPr>
            </w:pPr>
            <w:r>
              <w:t>66.7</w:t>
            </w:r>
            <w:r>
              <w:t xml:space="preserve"> </w:t>
            </w:r>
            <w:r>
              <w:rPr>
                <w:rFonts w:cs="Arial"/>
              </w:rPr>
              <w:t>± 0.</w:t>
            </w:r>
            <w:r>
              <w:rPr>
                <w:rFonts w:cs="Arial"/>
              </w:rPr>
              <w:t>8</w:t>
            </w:r>
          </w:p>
        </w:tc>
      </w:tr>
    </w:tbl>
    <w:p w14:paraId="08412C23" w14:textId="77777777" w:rsidR="004C0D1A" w:rsidRDefault="004C0D1A" w:rsidP="007845C8">
      <w:pPr>
        <w:pStyle w:val="CETBodytext"/>
      </w:pPr>
    </w:p>
    <w:p w14:paraId="4746EAE5" w14:textId="77777777" w:rsidR="004C0D1A" w:rsidRDefault="004C0D1A" w:rsidP="007845C8">
      <w:pPr>
        <w:pStyle w:val="CETBodytext"/>
        <w:rPr>
          <w:lang w:val="en-GB"/>
        </w:rPr>
      </w:pPr>
      <w:r>
        <w:rPr>
          <w:lang w:val="en-GB"/>
        </w:rPr>
        <w:t>During the potentiostatic conditions operation, the MEC showed an energy efficiency (</w:t>
      </w:r>
      <w:proofErr w:type="gramStart"/>
      <w:r>
        <w:rPr>
          <w:lang w:val="en-GB"/>
        </w:rPr>
        <w:t>i.e.</w:t>
      </w:r>
      <w:proofErr w:type="gramEnd"/>
      <w:r>
        <w:rPr>
          <w:lang w:val="en-GB"/>
        </w:rPr>
        <w:t xml:space="preserve"> the ratio between the energy recovered as hydrogen and the energy applied) of 35%, moreover, the specific energy consumption for hydrogen production reached 9</w:t>
      </w:r>
      <w:r>
        <w:t xml:space="preserve"> </w:t>
      </w:r>
      <w:r>
        <w:rPr>
          <w:rFonts w:cs="Arial"/>
        </w:rPr>
        <w:t xml:space="preserve">± 1 </w:t>
      </w:r>
      <w:r>
        <w:rPr>
          <w:lang w:val="en-GB"/>
        </w:rPr>
        <w:t>kWh/Nm</w:t>
      </w:r>
      <w:r w:rsidRPr="0025403F">
        <w:rPr>
          <w:vertAlign w:val="superscript"/>
          <w:lang w:val="en-GB"/>
        </w:rPr>
        <w:t>3</w:t>
      </w:r>
      <w:r>
        <w:rPr>
          <w:lang w:val="en-GB"/>
        </w:rPr>
        <w:t xml:space="preserve"> of hydrogen produced, while the cost for the removal of COD resulted 2.3 kWh/kgCOD</w:t>
      </w:r>
      <w:r w:rsidRPr="004D78D6">
        <w:rPr>
          <w:vertAlign w:val="subscript"/>
          <w:lang w:val="en-GB"/>
        </w:rPr>
        <w:t>removed</w:t>
      </w:r>
      <w:r>
        <w:rPr>
          <w:lang w:val="en-GB"/>
        </w:rPr>
        <w:t>.</w:t>
      </w:r>
      <w:r w:rsidRPr="004D78D6">
        <w:t xml:space="preserve"> </w:t>
      </w:r>
      <w:r>
        <w:t>Due to the increase in cell voltage after the loss of the biological COD oxidation,</w:t>
      </w:r>
      <w:r>
        <w:rPr>
          <w:lang w:val="en-GB"/>
        </w:rPr>
        <w:t xml:space="preserve"> the specific energy consumption for hydrogen production increased to</w:t>
      </w:r>
      <w:r>
        <w:t xml:space="preserve"> 49 </w:t>
      </w:r>
      <w:r>
        <w:rPr>
          <w:rFonts w:cs="Arial"/>
        </w:rPr>
        <w:t xml:space="preserve">± 5 </w:t>
      </w:r>
      <w:r>
        <w:t>kWh/Nm</w:t>
      </w:r>
      <w:r w:rsidRPr="006A46B4">
        <w:rPr>
          <w:vertAlign w:val="superscript"/>
        </w:rPr>
        <w:t>3</w:t>
      </w:r>
      <w:r w:rsidRPr="00E6330A">
        <w:rPr>
          <w:lang w:val="en-GB"/>
        </w:rPr>
        <w:t xml:space="preserve"> </w:t>
      </w:r>
      <w:r>
        <w:rPr>
          <w:lang w:val="en-GB"/>
        </w:rPr>
        <w:t>H</w:t>
      </w:r>
      <w:r w:rsidRPr="00E6330A">
        <w:rPr>
          <w:vertAlign w:val="subscript"/>
          <w:lang w:val="en-GB"/>
        </w:rPr>
        <w:t>2</w:t>
      </w:r>
      <w:r>
        <w:t xml:space="preserve">, showing the effectiveness of the bioanode approach for green hydrogen production. Indeed, despite the actual cost of hydrogen production through alkaline electrolyzer results </w:t>
      </w:r>
      <w:r>
        <w:rPr>
          <w:lang w:val="en-GB"/>
        </w:rPr>
        <w:t>5 kWh/Nm</w:t>
      </w:r>
      <w:r w:rsidRPr="00A8776D">
        <w:rPr>
          <w:vertAlign w:val="superscript"/>
          <w:lang w:val="en-GB"/>
        </w:rPr>
        <w:t>3</w:t>
      </w:r>
      <w:r>
        <w:rPr>
          <w:lang w:val="en-GB"/>
        </w:rPr>
        <w:t>H</w:t>
      </w:r>
      <w:r w:rsidRPr="00E6330A">
        <w:rPr>
          <w:vertAlign w:val="subscript"/>
          <w:lang w:val="en-GB"/>
        </w:rPr>
        <w:t>2</w:t>
      </w:r>
      <w:r>
        <w:rPr>
          <w:lang w:val="en-GB"/>
        </w:rPr>
        <w:t xml:space="preserve"> </w:t>
      </w:r>
      <w:r>
        <w:rPr>
          <w:noProof/>
          <w:lang w:val="en-GB"/>
        </w:rPr>
        <w:t>(Son et al., 2021)</w:t>
      </w:r>
      <w:r>
        <w:rPr>
          <w:lang w:val="en-GB"/>
        </w:rPr>
        <w:t xml:space="preserve">, the MEC approach for the generation of green hydrogen resulted attractive. </w:t>
      </w:r>
    </w:p>
    <w:p w14:paraId="06AE252B" w14:textId="77777777" w:rsidR="004C0D1A" w:rsidRDefault="004C0D1A" w:rsidP="00340006">
      <w:pPr>
        <w:pStyle w:val="CETBodytext"/>
        <w:rPr>
          <w:lang w:val="en-GB"/>
        </w:rPr>
      </w:pPr>
    </w:p>
    <w:p w14:paraId="61D48B28" w14:textId="77777777" w:rsidR="004C0D1A" w:rsidRPr="007F422C" w:rsidRDefault="004C0D1A" w:rsidP="00340006">
      <w:pPr>
        <w:pStyle w:val="CETHeading1"/>
        <w:numPr>
          <w:ilvl w:val="0"/>
          <w:numId w:val="0"/>
        </w:numPr>
        <w:rPr>
          <w:lang w:val="en-GB"/>
        </w:rPr>
      </w:pPr>
      <w:r>
        <w:rPr>
          <w:lang w:val="en-GB"/>
        </w:rPr>
        <w:t xml:space="preserve">4. Conclusions </w:t>
      </w:r>
    </w:p>
    <w:p w14:paraId="31EB61A3" w14:textId="77777777" w:rsidR="004C0D1A" w:rsidRDefault="004C0D1A" w:rsidP="00E6330A">
      <w:pPr>
        <w:pStyle w:val="CETBodytext"/>
        <w:rPr>
          <w:lang w:val="en-GB"/>
        </w:rPr>
      </w:pPr>
      <w:r>
        <w:rPr>
          <w:lang w:val="en-GB"/>
        </w:rPr>
        <w:t xml:space="preserve">In this work, a continuous experimental work was conducted on a microbial electrolysis cell capable of converting organic matter into hydrogen. Under potentiostatic conditions, a COD removal efficiency of 55% was obtained, with a removal rate of 0.90 gCOD/Ld. The obtained current had an average value of 64 </w:t>
      </w:r>
      <w:r>
        <w:rPr>
          <w:rFonts w:cs="Arial"/>
          <w:lang w:val="en-GB"/>
        </w:rPr>
        <w:t>±</w:t>
      </w:r>
      <w:r>
        <w:rPr>
          <w:lang w:val="en-GB"/>
        </w:rPr>
        <w:t xml:space="preserve"> mA, resulting in a coulombic efficiency of 50 </w:t>
      </w:r>
      <w:r>
        <w:rPr>
          <w:rFonts w:cs="Arial"/>
          <w:lang w:val="en-GB"/>
        </w:rPr>
        <w:t>±</w:t>
      </w:r>
      <w:r>
        <w:rPr>
          <w:lang w:val="en-GB"/>
        </w:rPr>
        <w:t>%.</w:t>
      </w:r>
      <w:r w:rsidRPr="004D78D6">
        <w:rPr>
          <w:lang w:val="en-GB"/>
        </w:rPr>
        <w:t xml:space="preserve"> </w:t>
      </w:r>
      <w:r>
        <w:rPr>
          <w:lang w:val="en-GB"/>
        </w:rPr>
        <w:t xml:space="preserve">After the shift the into galvanostatic condition, the kinetic limitations present in the anodic biofilm promote the increase of </w:t>
      </w:r>
      <w:r>
        <w:rPr>
          <w:lang w:val="en-GB"/>
        </w:rPr>
        <w:lastRenderedPageBreak/>
        <w:t xml:space="preserve">the anodic potential to + 1.53 </w:t>
      </w:r>
      <w:r>
        <w:rPr>
          <w:rFonts w:cs="Arial"/>
        </w:rPr>
        <w:t>±</w:t>
      </w:r>
      <w:r>
        <w:rPr>
          <w:rFonts w:cs="Arial"/>
        </w:rPr>
        <w:t xml:space="preserve"> 0.06 </w:t>
      </w:r>
      <w:r>
        <w:rPr>
          <w:lang w:val="en-GB"/>
        </w:rPr>
        <w:t xml:space="preserve">V and a potential difference of - </w:t>
      </w:r>
      <w:r>
        <w:t xml:space="preserve">3.03 </w:t>
      </w:r>
      <w:r>
        <w:rPr>
          <w:rFonts w:cs="Arial"/>
        </w:rPr>
        <w:t>±</w:t>
      </w:r>
      <w:r>
        <w:t xml:space="preserve"> 0.05</w:t>
      </w:r>
      <w:r>
        <w:rPr>
          <w:lang w:val="en-GB"/>
        </w:rPr>
        <w:t xml:space="preserve"> V. Concerning energy consumption, the benefit of using the microbial electrolysis cell under potentiostatic conditions becomes even clearer since under galvanostatic conditions there is a consumption of hydrogen more than 5 times higher (49 kWh/Nm</w:t>
      </w:r>
      <w:r w:rsidRPr="006A46B4">
        <w:rPr>
          <w:vertAlign w:val="superscript"/>
        </w:rPr>
        <w:t>3</w:t>
      </w:r>
      <w:r>
        <w:rPr>
          <w:lang w:val="en-GB"/>
        </w:rPr>
        <w:t xml:space="preserve"> vs 9 kWh/Nm</w:t>
      </w:r>
      <w:r w:rsidRPr="006A46B4">
        <w:rPr>
          <w:vertAlign w:val="superscript"/>
        </w:rPr>
        <w:t>3</w:t>
      </w:r>
      <w:r>
        <w:rPr>
          <w:lang w:val="en-GB"/>
        </w:rPr>
        <w:t xml:space="preserve">). All these collected data showed clearly the advantage in the use a MEC under potentiostatic conditions to preserve biological activity of the anodic biofilm which is responsible for the organic matter oxidation and conversion into hydrogen. Moreover, as already described previously </w:t>
      </w:r>
      <w:r>
        <w:rPr>
          <w:noProof/>
          <w:lang w:val="en-GB"/>
        </w:rPr>
        <w:t>(Zeppilli et al., 2019)</w:t>
      </w:r>
      <w:r>
        <w:rPr>
          <w:lang w:val="en-GB"/>
        </w:rPr>
        <w:t xml:space="preserve">, the potentiostatic condition at the anode set the potential level of the electron acceptor, </w:t>
      </w:r>
      <w:proofErr w:type="gramStart"/>
      <w:r>
        <w:rPr>
          <w:lang w:val="en-GB"/>
        </w:rPr>
        <w:t>i.e.</w:t>
      </w:r>
      <w:proofErr w:type="gramEnd"/>
      <w:r>
        <w:rPr>
          <w:lang w:val="en-GB"/>
        </w:rPr>
        <w:t xml:space="preserve"> the graphite granules, preserving the biological activity in the anodic chamber, on the contrary different strategies like shifting the potentiostatic conditions from the anode to the cathode could be considered in the energetic optimization of the process. </w:t>
      </w:r>
    </w:p>
    <w:p w14:paraId="2E0D7778" w14:textId="77777777" w:rsidR="004C0D1A" w:rsidRPr="00B57B36" w:rsidRDefault="004C0D1A" w:rsidP="00E6330A">
      <w:pPr>
        <w:pStyle w:val="CETListbullets"/>
        <w:ind w:left="0" w:firstLine="0"/>
      </w:pPr>
      <w:bookmarkStart w:id="0" w:name="_Hlk495475023"/>
    </w:p>
    <w:bookmarkEnd w:id="0"/>
    <w:p w14:paraId="55ACF47C" w14:textId="77777777" w:rsidR="004C0D1A" w:rsidRDefault="004C0D1A" w:rsidP="00600535">
      <w:pPr>
        <w:pStyle w:val="CETBodytext"/>
      </w:pPr>
    </w:p>
    <w:p w14:paraId="672C143C" w14:textId="77777777" w:rsidR="004C0D1A" w:rsidRPr="007845C8" w:rsidRDefault="004C0D1A" w:rsidP="00600535">
      <w:pPr>
        <w:pStyle w:val="CETBodytext"/>
        <w:rPr>
          <w:b/>
          <w:bCs/>
        </w:rPr>
      </w:pPr>
      <w:r w:rsidRPr="007845C8">
        <w:rPr>
          <w:b/>
          <w:bCs/>
        </w:rPr>
        <w:t xml:space="preserve">Acknowledgements </w:t>
      </w:r>
    </w:p>
    <w:p w14:paraId="21111DD0" w14:textId="77777777" w:rsidR="004C0D1A" w:rsidRPr="005F4024" w:rsidRDefault="004C0D1A" w:rsidP="00600535">
      <w:pPr>
        <w:pStyle w:val="CETBodytext"/>
        <w:rPr>
          <w:lang w:val="en-GB"/>
        </w:rPr>
      </w:pPr>
      <w:r w:rsidRPr="005F4024">
        <w:rPr>
          <w:lang w:val="en-GB"/>
        </w:rPr>
        <w:t>The authors gratefully acknowledge the Italian National Institute for Insurance against Accidents at Work (Istituto Nazionale per l’Assicurazione contro gli Infortuni sul Lavoro, INAIL) for financial support of this research, in the frame of national Call BRiC 2022, Piano Attività di Ricerca 2022/2024, (ID64)</w:t>
      </w:r>
    </w:p>
    <w:p w14:paraId="28B16A23" w14:textId="77777777" w:rsidR="004C0D1A" w:rsidRPr="007B76F0" w:rsidRDefault="004C0D1A" w:rsidP="00600535">
      <w:pPr>
        <w:pStyle w:val="CETBodytext"/>
        <w:rPr>
          <w:lang w:val="en-GB"/>
        </w:rPr>
      </w:pPr>
    </w:p>
    <w:p w14:paraId="394195AF" w14:textId="77777777" w:rsidR="004C0D1A" w:rsidRPr="00B4765C" w:rsidRDefault="004C0D1A" w:rsidP="00600535">
      <w:pPr>
        <w:pStyle w:val="CETBodytext"/>
      </w:pPr>
      <w:r w:rsidRPr="005F4024">
        <w:rPr>
          <w:b/>
          <w:bCs/>
          <w:lang w:val="en-GB"/>
        </w:rPr>
        <w:t>Reference</w:t>
      </w:r>
    </w:p>
    <w:p w14:paraId="241833AA" w14:textId="77777777" w:rsidR="004C0D1A" w:rsidRPr="00B4765C" w:rsidRDefault="004C0D1A" w:rsidP="00600535">
      <w:pPr>
        <w:pStyle w:val="CETBodytext"/>
      </w:pPr>
    </w:p>
    <w:p w14:paraId="4F82D979" w14:textId="77777777" w:rsidR="004C0D1A" w:rsidRDefault="004C0D1A" w:rsidP="006464CC">
      <w:pPr>
        <w:pStyle w:val="CETReferencetext"/>
        <w:ind w:left="0" w:firstLine="0"/>
      </w:pPr>
    </w:p>
    <w:p w14:paraId="69DDD331" w14:textId="77777777" w:rsidR="004C0D1A" w:rsidRPr="00D90D74" w:rsidRDefault="004C0D1A" w:rsidP="00D90D74">
      <w:pPr>
        <w:pStyle w:val="EndNoteBibliography"/>
        <w:ind w:left="720" w:hanging="720"/>
      </w:pPr>
      <w:r w:rsidRPr="00D90D74">
        <w:t>Apha, Standard methods for the examination of water and wastewater. American public health association, Washington DC, 1995.</w:t>
      </w:r>
    </w:p>
    <w:p w14:paraId="7DFBEFA4" w14:textId="77777777" w:rsidR="004C0D1A" w:rsidRPr="00D90D74" w:rsidRDefault="004C0D1A" w:rsidP="00D90D74">
      <w:pPr>
        <w:pStyle w:val="EndNoteBibliography"/>
        <w:ind w:left="720" w:hanging="720"/>
      </w:pPr>
      <w:r w:rsidRPr="00D90D74">
        <w:t>Badia-Fabregat, M., et al., 2019. Hydrogen production from crude glycerol in an alkaline microbial electrolysis cell. International Journal of Hydrogen Energy. 44</w:t>
      </w:r>
      <w:r w:rsidRPr="00D90D74">
        <w:rPr>
          <w:b/>
        </w:rPr>
        <w:t>,</w:t>
      </w:r>
      <w:r w:rsidRPr="00D90D74">
        <w:t xml:space="preserve"> 17204-17213.</w:t>
      </w:r>
    </w:p>
    <w:p w14:paraId="4525558C" w14:textId="77777777" w:rsidR="004C0D1A" w:rsidRPr="00D90D74" w:rsidRDefault="004C0D1A" w:rsidP="00D90D74">
      <w:pPr>
        <w:pStyle w:val="EndNoteBibliography"/>
        <w:ind w:left="720" w:hanging="720"/>
      </w:pPr>
      <w:r w:rsidRPr="00D90D74">
        <w:t>Cristiani, L., et al., 2024. Enhancing energy efficiency and H2 production in lab-scale dual chamber microbial electrolysis cells: A focus on catholyte composition and voltage losses. Journal of Environmental Chemical Engineering. 12</w:t>
      </w:r>
      <w:r w:rsidRPr="00D90D74">
        <w:rPr>
          <w:b/>
        </w:rPr>
        <w:t>,</w:t>
      </w:r>
      <w:r w:rsidRPr="00D90D74">
        <w:t xml:space="preserve"> 111782.</w:t>
      </w:r>
    </w:p>
    <w:p w14:paraId="444FB626" w14:textId="77777777" w:rsidR="004C0D1A" w:rsidRPr="00D90D74" w:rsidRDefault="004C0D1A" w:rsidP="00D90D74">
      <w:pPr>
        <w:pStyle w:val="EndNoteBibliography"/>
        <w:ind w:left="720" w:hanging="720"/>
      </w:pPr>
      <w:r w:rsidRPr="00D90D74">
        <w:t>Gao, Y., et al., 2017. The 2 °C Global Temperature Target and the Evolution of the Long-Term Goal of Addressing Climate Change—From the United Nations Framework Convention on Climate Change to the Paris Agreement. Engineering. 3</w:t>
      </w:r>
      <w:r w:rsidRPr="00D90D74">
        <w:rPr>
          <w:b/>
        </w:rPr>
        <w:t>,</w:t>
      </w:r>
      <w:r w:rsidRPr="00D90D74">
        <w:t xml:space="preserve"> 272-278.</w:t>
      </w:r>
    </w:p>
    <w:p w14:paraId="410BA4EC" w14:textId="77777777" w:rsidR="004C0D1A" w:rsidRPr="00D90D74" w:rsidRDefault="004C0D1A" w:rsidP="00D90D74">
      <w:pPr>
        <w:pStyle w:val="EndNoteBibliography"/>
        <w:ind w:left="720" w:hanging="720"/>
      </w:pPr>
      <w:r w:rsidRPr="00D90D74">
        <w:t>Holladay, J. D., et al., 2009. An overview of hydrogen production technologies. Catalysis Today. 139</w:t>
      </w:r>
      <w:r w:rsidRPr="00D90D74">
        <w:rPr>
          <w:b/>
        </w:rPr>
        <w:t>,</w:t>
      </w:r>
      <w:r w:rsidRPr="00D90D74">
        <w:t xml:space="preserve"> 244-260.</w:t>
      </w:r>
    </w:p>
    <w:p w14:paraId="76C2D8C2" w14:textId="77777777" w:rsidR="004C0D1A" w:rsidRPr="00D90D74" w:rsidRDefault="004C0D1A" w:rsidP="00D90D74">
      <w:pPr>
        <w:pStyle w:val="EndNoteBibliography"/>
        <w:ind w:left="720" w:hanging="720"/>
      </w:pPr>
      <w:r w:rsidRPr="00D90D74">
        <w:t>Koroneos, C., et al., 2004. Life cycle assessment of hydrogen fuel production processes. International Journal of Hydrogen Energy. 29</w:t>
      </w:r>
      <w:r w:rsidRPr="00D90D74">
        <w:rPr>
          <w:b/>
        </w:rPr>
        <w:t>,</w:t>
      </w:r>
      <w:r w:rsidRPr="00D90D74">
        <w:t xml:space="preserve"> 1443-1450.</w:t>
      </w:r>
    </w:p>
    <w:p w14:paraId="2C028150" w14:textId="77777777" w:rsidR="004C0D1A" w:rsidRPr="00D90D74" w:rsidRDefault="004C0D1A" w:rsidP="00D90D74">
      <w:pPr>
        <w:pStyle w:val="EndNoteBibliography"/>
        <w:ind w:left="720" w:hanging="720"/>
      </w:pPr>
      <w:r w:rsidRPr="00D90D74">
        <w:t>Logan, B. E., et al., 2008. Microbial electrolysis cells for high yield hydrogen gas production from organic matter. Environ Sci Technol. 42</w:t>
      </w:r>
      <w:r w:rsidRPr="00D90D74">
        <w:rPr>
          <w:b/>
        </w:rPr>
        <w:t>,</w:t>
      </w:r>
      <w:r w:rsidRPr="00D90D74">
        <w:t xml:space="preserve"> 8630-40.</w:t>
      </w:r>
    </w:p>
    <w:p w14:paraId="7727B732" w14:textId="77777777" w:rsidR="004C0D1A" w:rsidRPr="00D90D74" w:rsidRDefault="004C0D1A" w:rsidP="00D90D74">
      <w:pPr>
        <w:pStyle w:val="EndNoteBibliography"/>
        <w:ind w:left="720" w:hanging="720"/>
      </w:pPr>
      <w:r w:rsidRPr="00D90D74">
        <w:t>Logan, B. E., et al., 2006. Microbial fuel cells: methodology and technology. Environ Sci Technol. 40</w:t>
      </w:r>
      <w:r w:rsidRPr="00D90D74">
        <w:rPr>
          <w:b/>
        </w:rPr>
        <w:t>,</w:t>
      </w:r>
      <w:r w:rsidRPr="00D90D74">
        <w:t xml:space="preserve"> 5181-92.</w:t>
      </w:r>
    </w:p>
    <w:p w14:paraId="49ABF0E6" w14:textId="77777777" w:rsidR="004C0D1A" w:rsidRPr="00D90D74" w:rsidRDefault="004C0D1A" w:rsidP="00D90D74">
      <w:pPr>
        <w:pStyle w:val="EndNoteBibliography"/>
        <w:ind w:left="720" w:hanging="720"/>
      </w:pPr>
      <w:r w:rsidRPr="00D90D74">
        <w:t>Rabaey, K., et al., 2009. Bioelectrochemical systems: from extracellular electron transfer to biotechnological application. Water Intelligence Online. 8</w:t>
      </w:r>
      <w:r w:rsidRPr="00D90D74">
        <w:rPr>
          <w:b/>
        </w:rPr>
        <w:t>,</w:t>
      </w:r>
      <w:r w:rsidRPr="00D90D74">
        <w:t xml:space="preserve"> 9781780401621.</w:t>
      </w:r>
    </w:p>
    <w:p w14:paraId="64458B95" w14:textId="77777777" w:rsidR="004C0D1A" w:rsidRPr="00D90D74" w:rsidRDefault="004C0D1A" w:rsidP="00D90D74">
      <w:pPr>
        <w:pStyle w:val="EndNoteBibliography"/>
        <w:ind w:left="720" w:hanging="720"/>
      </w:pPr>
      <w:r w:rsidRPr="00D90D74">
        <w:t>Rozendal, R. A., et al., 2008. Towards practical implementation of bioelectrochemical wastewater treatment. Trends in Biotechnology. 26</w:t>
      </w:r>
      <w:r w:rsidRPr="00D90D74">
        <w:rPr>
          <w:b/>
        </w:rPr>
        <w:t>,</w:t>
      </w:r>
      <w:r w:rsidRPr="00D90D74">
        <w:t xml:space="preserve"> 450-459.</w:t>
      </w:r>
    </w:p>
    <w:p w14:paraId="5B08BFC6" w14:textId="77777777" w:rsidR="004C0D1A" w:rsidRPr="00D90D74" w:rsidRDefault="004C0D1A" w:rsidP="00D90D74">
      <w:pPr>
        <w:pStyle w:val="EndNoteBibliography"/>
        <w:ind w:left="720" w:hanging="720"/>
      </w:pPr>
      <w:r w:rsidRPr="00D90D74">
        <w:t>Son, S., et al., 2021. Comparison of hydrogen production and system performance in a microbial electrolysis cell containing cathodes made of non-platinum catalysts and binders. Journal of Water Process Engineering. 40</w:t>
      </w:r>
      <w:r w:rsidRPr="00D90D74">
        <w:rPr>
          <w:b/>
        </w:rPr>
        <w:t>,</w:t>
      </w:r>
      <w:r w:rsidRPr="00D90D74">
        <w:t xml:space="preserve"> 101844.</w:t>
      </w:r>
    </w:p>
    <w:p w14:paraId="79B1F74D" w14:textId="77777777" w:rsidR="004C0D1A" w:rsidRPr="00D90D74" w:rsidRDefault="004C0D1A" w:rsidP="00D90D74">
      <w:pPr>
        <w:pStyle w:val="EndNoteBibliography"/>
        <w:ind w:left="720" w:hanging="720"/>
      </w:pPr>
      <w:r w:rsidRPr="00D90D74">
        <w:t>Villano, M., et al., 2013. Carbon and nitrogen removal and enhanced methane production in a microbial electrolysis cell. Bioresource Technology. 130</w:t>
      </w:r>
      <w:r w:rsidRPr="00D90D74">
        <w:rPr>
          <w:b/>
        </w:rPr>
        <w:t>,</w:t>
      </w:r>
      <w:r w:rsidRPr="00D90D74">
        <w:t xml:space="preserve"> 366-371.</w:t>
      </w:r>
    </w:p>
    <w:p w14:paraId="3B694626" w14:textId="77777777" w:rsidR="004C0D1A" w:rsidRPr="00D90D74" w:rsidRDefault="004C0D1A" w:rsidP="00D90D74">
      <w:pPr>
        <w:pStyle w:val="EndNoteBibliography"/>
        <w:ind w:left="720" w:hanging="720"/>
      </w:pPr>
      <w:r w:rsidRPr="00D90D74">
        <w:t>Zeppilli, M., et al., Reduction of carbon dioxide into acetate in a fully biological microbial electrolysis cell. Chemical Engineering Transactions, Vol. 49, 2016, pp. 445-450.</w:t>
      </w:r>
    </w:p>
    <w:p w14:paraId="50B4FF56" w14:textId="77777777" w:rsidR="004C0D1A" w:rsidRPr="00D90D74" w:rsidRDefault="004C0D1A" w:rsidP="00D90D74">
      <w:pPr>
        <w:pStyle w:val="EndNoteBibliography"/>
        <w:ind w:left="720" w:hanging="720"/>
      </w:pPr>
      <w:r w:rsidRPr="00D90D74">
        <w:t>Zeppilli, M., et al., 2021. Potentiostatic vs galvanostatic operation of a Microbial Electrolysis Cell for ammonium recovery and biogas upgrading. Biochemical Engineering Journal. 167</w:t>
      </w:r>
      <w:r w:rsidRPr="00D90D74">
        <w:rPr>
          <w:b/>
        </w:rPr>
        <w:t>,</w:t>
      </w:r>
      <w:r w:rsidRPr="00D90D74">
        <w:t xml:space="preserve"> 107886.</w:t>
      </w:r>
    </w:p>
    <w:p w14:paraId="4AB476C9" w14:textId="77777777" w:rsidR="004C0D1A" w:rsidRPr="00D90D74" w:rsidRDefault="004C0D1A" w:rsidP="00D90D74">
      <w:pPr>
        <w:pStyle w:val="EndNoteBibliography"/>
        <w:ind w:left="720" w:hanging="720"/>
      </w:pPr>
      <w:r w:rsidRPr="00D90D74">
        <w:t>Zeppilli, M., et al., 2019. Anodic vs cathodic potentiostatic control of a methane producing microbial electrolysis cell aimed at biogas upgrading. Biochemical Engineering Journal. 152</w:t>
      </w:r>
      <w:r w:rsidRPr="00D90D74">
        <w:rPr>
          <w:b/>
        </w:rPr>
        <w:t>,</w:t>
      </w:r>
      <w:r w:rsidRPr="00D90D74">
        <w:t xml:space="preserve"> 107393.</w:t>
      </w:r>
    </w:p>
    <w:p w14:paraId="083DD01E" w14:textId="77777777" w:rsidR="004C0D1A" w:rsidRDefault="004C0D1A" w:rsidP="006464CC">
      <w:pPr>
        <w:pStyle w:val="CETReferencetext"/>
        <w:ind w:left="0" w:firstLine="0"/>
      </w:pPr>
    </w:p>
    <w:p w14:paraId="4665D33C" w14:textId="77777777" w:rsidR="00D461BC" w:rsidRDefault="00D461BC"/>
    <w:sectPr w:rsidR="00D461BC" w:rsidSect="00D90D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810E18"/>
    <w:multiLevelType w:val="multilevel"/>
    <w:tmpl w:val="A1D63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9443807">
    <w:abstractNumId w:val="10"/>
  </w:num>
  <w:num w:numId="2" w16cid:durableId="1542664208">
    <w:abstractNumId w:val="8"/>
  </w:num>
  <w:num w:numId="3" w16cid:durableId="120543510">
    <w:abstractNumId w:val="3"/>
  </w:num>
  <w:num w:numId="4" w16cid:durableId="1716930278">
    <w:abstractNumId w:val="2"/>
  </w:num>
  <w:num w:numId="5" w16cid:durableId="653535944">
    <w:abstractNumId w:val="1"/>
  </w:num>
  <w:num w:numId="6" w16cid:durableId="1716661660">
    <w:abstractNumId w:val="0"/>
  </w:num>
  <w:num w:numId="7" w16cid:durableId="36904622">
    <w:abstractNumId w:val="9"/>
  </w:num>
  <w:num w:numId="8" w16cid:durableId="681709073">
    <w:abstractNumId w:val="7"/>
  </w:num>
  <w:num w:numId="9" w16cid:durableId="1275015093">
    <w:abstractNumId w:val="6"/>
  </w:num>
  <w:num w:numId="10" w16cid:durableId="1613516242">
    <w:abstractNumId w:val="5"/>
  </w:num>
  <w:num w:numId="11" w16cid:durableId="1068042270">
    <w:abstractNumId w:val="4"/>
  </w:num>
  <w:num w:numId="12" w16cid:durableId="532498530">
    <w:abstractNumId w:val="17"/>
  </w:num>
  <w:num w:numId="13" w16cid:durableId="167058715">
    <w:abstractNumId w:val="12"/>
  </w:num>
  <w:num w:numId="14" w16cid:durableId="997617301">
    <w:abstractNumId w:val="18"/>
  </w:num>
  <w:num w:numId="15" w16cid:durableId="188613459">
    <w:abstractNumId w:val="21"/>
  </w:num>
  <w:num w:numId="16" w16cid:durableId="1140926347">
    <w:abstractNumId w:val="20"/>
  </w:num>
  <w:num w:numId="17" w16cid:durableId="1214387919">
    <w:abstractNumId w:val="11"/>
  </w:num>
  <w:num w:numId="18" w16cid:durableId="313221457">
    <w:abstractNumId w:val="12"/>
    <w:lvlOverride w:ilvl="0">
      <w:startOverride w:val="1"/>
    </w:lvlOverride>
  </w:num>
  <w:num w:numId="19" w16cid:durableId="2069837981">
    <w:abstractNumId w:val="16"/>
  </w:num>
  <w:num w:numId="20" w16cid:durableId="501169429">
    <w:abstractNumId w:val="15"/>
  </w:num>
  <w:num w:numId="21" w16cid:durableId="397288648">
    <w:abstractNumId w:val="14"/>
  </w:num>
  <w:num w:numId="22" w16cid:durableId="861675099">
    <w:abstractNumId w:val="13"/>
  </w:num>
  <w:num w:numId="23" w16cid:durableId="1043097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C0D1A"/>
    <w:rsid w:val="004C0D1A"/>
    <w:rsid w:val="00D46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3F5C"/>
  <w15:chartTrackingRefBased/>
  <w15:docId w15:val="{1D674517-0CBB-4915-9DA7-A6193D01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4C0D1A"/>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C0D1A"/>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4C0D1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4C0D1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C0D1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C0D1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C0D1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C0D1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C0D1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4C0D1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rsid w:val="004C0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0D1A"/>
  </w:style>
  <w:style w:type="character" w:customStyle="1" w:styleId="Heading1Char">
    <w:name w:val="Heading 1 Char"/>
    <w:basedOn w:val="DefaultParagraphFont"/>
    <w:link w:val="Heading1"/>
    <w:uiPriority w:val="9"/>
    <w:rsid w:val="004C0D1A"/>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4C0D1A"/>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semiHidden/>
    <w:rsid w:val="004C0D1A"/>
    <w:rPr>
      <w:rFonts w:asciiTheme="majorHAnsi" w:eastAsiaTheme="majorEastAsia" w:hAnsiTheme="majorHAnsi" w:cstheme="majorBidi"/>
      <w:b/>
      <w:bCs/>
      <w:color w:val="4472C4" w:themeColor="accent1"/>
      <w:sz w:val="18"/>
      <w:szCs w:val="20"/>
      <w:lang w:val="en-GB"/>
    </w:rPr>
  </w:style>
  <w:style w:type="character" w:customStyle="1" w:styleId="Heading4Char">
    <w:name w:val="Heading 4 Char"/>
    <w:basedOn w:val="DefaultParagraphFont"/>
    <w:link w:val="Heading4"/>
    <w:uiPriority w:val="9"/>
    <w:semiHidden/>
    <w:rsid w:val="004C0D1A"/>
    <w:rPr>
      <w:rFonts w:asciiTheme="majorHAnsi" w:eastAsiaTheme="majorEastAsia" w:hAnsiTheme="majorHAnsi" w:cstheme="majorBidi"/>
      <w:b/>
      <w:bCs/>
      <w:i/>
      <w:iCs/>
      <w:color w:val="4472C4" w:themeColor="accent1"/>
      <w:sz w:val="18"/>
      <w:szCs w:val="20"/>
      <w:lang w:val="en-GB"/>
    </w:rPr>
  </w:style>
  <w:style w:type="character" w:customStyle="1" w:styleId="Heading5Char">
    <w:name w:val="Heading 5 Char"/>
    <w:basedOn w:val="DefaultParagraphFont"/>
    <w:link w:val="Heading5"/>
    <w:uiPriority w:val="9"/>
    <w:semiHidden/>
    <w:rsid w:val="004C0D1A"/>
    <w:rPr>
      <w:rFonts w:asciiTheme="majorHAnsi" w:eastAsiaTheme="majorEastAsia" w:hAnsiTheme="majorHAnsi" w:cstheme="majorBidi"/>
      <w:color w:val="1F3763" w:themeColor="accent1" w:themeShade="7F"/>
      <w:sz w:val="18"/>
      <w:szCs w:val="20"/>
      <w:lang w:val="en-GB"/>
    </w:rPr>
  </w:style>
  <w:style w:type="character" w:customStyle="1" w:styleId="Heading6Char">
    <w:name w:val="Heading 6 Char"/>
    <w:basedOn w:val="DefaultParagraphFont"/>
    <w:link w:val="Heading6"/>
    <w:uiPriority w:val="9"/>
    <w:semiHidden/>
    <w:rsid w:val="004C0D1A"/>
    <w:rPr>
      <w:rFonts w:asciiTheme="majorHAnsi" w:eastAsiaTheme="majorEastAsia" w:hAnsiTheme="majorHAnsi" w:cstheme="majorBidi"/>
      <w:i/>
      <w:iCs/>
      <w:color w:val="1F3763" w:themeColor="accent1" w:themeShade="7F"/>
      <w:sz w:val="18"/>
      <w:szCs w:val="20"/>
      <w:lang w:val="en-GB"/>
    </w:rPr>
  </w:style>
  <w:style w:type="character" w:customStyle="1" w:styleId="Heading7Char">
    <w:name w:val="Heading 7 Char"/>
    <w:basedOn w:val="DefaultParagraphFont"/>
    <w:link w:val="Heading7"/>
    <w:uiPriority w:val="9"/>
    <w:semiHidden/>
    <w:rsid w:val="004C0D1A"/>
    <w:rPr>
      <w:rFonts w:asciiTheme="majorHAnsi" w:eastAsiaTheme="majorEastAsia" w:hAnsiTheme="majorHAnsi" w:cstheme="majorBidi"/>
      <w:i/>
      <w:iCs/>
      <w:color w:val="404040" w:themeColor="text1" w:themeTint="BF"/>
      <w:sz w:val="18"/>
      <w:szCs w:val="20"/>
      <w:lang w:val="en-GB"/>
    </w:rPr>
  </w:style>
  <w:style w:type="character" w:customStyle="1" w:styleId="Heading8Char">
    <w:name w:val="Heading 8 Char"/>
    <w:basedOn w:val="DefaultParagraphFont"/>
    <w:link w:val="Heading8"/>
    <w:uiPriority w:val="9"/>
    <w:semiHidden/>
    <w:rsid w:val="004C0D1A"/>
    <w:rPr>
      <w:rFonts w:asciiTheme="majorHAnsi" w:eastAsiaTheme="majorEastAsia" w:hAnsiTheme="majorHAnsi" w:cstheme="majorBidi"/>
      <w:color w:val="404040" w:themeColor="text1" w:themeTint="BF"/>
      <w:sz w:val="18"/>
      <w:szCs w:val="20"/>
      <w:lang w:val="en-GB"/>
    </w:rPr>
  </w:style>
  <w:style w:type="character" w:customStyle="1" w:styleId="Heading9Char">
    <w:name w:val="Heading 9 Char"/>
    <w:basedOn w:val="DefaultParagraphFont"/>
    <w:link w:val="Heading9"/>
    <w:uiPriority w:val="9"/>
    <w:semiHidden/>
    <w:rsid w:val="004C0D1A"/>
    <w:rPr>
      <w:rFonts w:asciiTheme="majorHAnsi" w:eastAsiaTheme="majorEastAsia" w:hAnsiTheme="majorHAnsi" w:cstheme="majorBidi"/>
      <w:i/>
      <w:iCs/>
      <w:color w:val="404040" w:themeColor="text1" w:themeTint="BF"/>
      <w:sz w:val="18"/>
      <w:szCs w:val="20"/>
      <w:lang w:val="en-GB"/>
    </w:rPr>
  </w:style>
  <w:style w:type="paragraph" w:customStyle="1" w:styleId="CETAuthors">
    <w:name w:val="CET Authors"/>
    <w:basedOn w:val="CETBodytext"/>
    <w:link w:val="CETAuthorsCarattere"/>
    <w:qFormat/>
    <w:rsid w:val="004C0D1A"/>
    <w:pPr>
      <w:keepNext/>
      <w:suppressAutoHyphens/>
      <w:spacing w:after="120"/>
    </w:pPr>
    <w:rPr>
      <w:noProof/>
      <w:sz w:val="24"/>
      <w:lang w:val="en-GB"/>
    </w:rPr>
  </w:style>
  <w:style w:type="paragraph" w:customStyle="1" w:styleId="CETTitle">
    <w:name w:val="CET Title"/>
    <w:next w:val="CETAuthors"/>
    <w:link w:val="CETTitleCarattere"/>
    <w:rsid w:val="004C0D1A"/>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4C0D1A"/>
    <w:rPr>
      <w:rFonts w:ascii="Arial" w:eastAsia="Times New Roman" w:hAnsi="Arial" w:cs="Times New Roman"/>
      <w:noProof/>
      <w:sz w:val="24"/>
      <w:szCs w:val="20"/>
      <w:lang w:val="en-GB"/>
    </w:rPr>
  </w:style>
  <w:style w:type="character" w:customStyle="1" w:styleId="CETTitleCarattere">
    <w:name w:val="CET Title Carattere"/>
    <w:link w:val="CETTitle"/>
    <w:rsid w:val="004C0D1A"/>
    <w:rPr>
      <w:rFonts w:ascii="Arial" w:eastAsia="Times New Roman" w:hAnsi="Arial" w:cs="Times New Roman"/>
      <w:sz w:val="32"/>
      <w:szCs w:val="20"/>
      <w:lang w:val="en-GB"/>
    </w:rPr>
  </w:style>
  <w:style w:type="paragraph" w:customStyle="1" w:styleId="CETHeading1">
    <w:name w:val="CET Heading1"/>
    <w:next w:val="CETBodytext"/>
    <w:qFormat/>
    <w:rsid w:val="004C0D1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4C0D1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4C0D1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4C0D1A"/>
    <w:pPr>
      <w:keepNext/>
      <w:suppressAutoHyphens/>
      <w:spacing w:after="0" w:line="276" w:lineRule="auto"/>
      <w:contextualSpacing/>
    </w:pPr>
    <w:rPr>
      <w:rFonts w:ascii="Arial" w:eastAsia="Times New Roman" w:hAnsi="Arial" w:cs="Times New Roman"/>
      <w:noProof/>
      <w:sz w:val="16"/>
      <w:szCs w:val="20"/>
      <w:lang w:val="en-GB"/>
    </w:rPr>
  </w:style>
  <w:style w:type="table" w:styleId="TableSimple1">
    <w:name w:val="Table Simple 1"/>
    <w:basedOn w:val="TableNormal"/>
    <w:semiHidden/>
    <w:rsid w:val="004C0D1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4C0D1A"/>
    <w:rPr>
      <w:rFonts w:ascii="Arial" w:eastAsia="Times New Roman" w:hAnsi="Arial" w:cs="Times New Roman"/>
      <w:sz w:val="18"/>
      <w:szCs w:val="20"/>
      <w:lang w:val="en-US"/>
    </w:rPr>
  </w:style>
  <w:style w:type="paragraph" w:customStyle="1" w:styleId="CETReference">
    <w:name w:val="CET Reference"/>
    <w:qFormat/>
    <w:rsid w:val="004C0D1A"/>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4C0D1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4C0D1A"/>
    <w:rPr>
      <w:rFonts w:ascii="Arial" w:eastAsia="Times New Roman" w:hAnsi="Arial" w:cs="Times New Roman"/>
      <w:b/>
      <w:sz w:val="18"/>
      <w:szCs w:val="20"/>
      <w:lang w:val="en-US"/>
    </w:rPr>
  </w:style>
  <w:style w:type="character" w:customStyle="1" w:styleId="CETCaptionCarattere">
    <w:name w:val="CET Caption Carattere"/>
    <w:link w:val="CETCaption"/>
    <w:rsid w:val="004C0D1A"/>
    <w:rPr>
      <w:rFonts w:ascii="Arial" w:eastAsia="Times New Roman" w:hAnsi="Arial" w:cs="Times New Roman"/>
      <w:i/>
      <w:sz w:val="18"/>
      <w:szCs w:val="20"/>
      <w:lang w:val="en-GB"/>
    </w:rPr>
  </w:style>
  <w:style w:type="paragraph" w:customStyle="1" w:styleId="CETBodytextItalic">
    <w:name w:val="CET Body text (Italic)"/>
    <w:basedOn w:val="CETBodytext"/>
    <w:qFormat/>
    <w:rsid w:val="004C0D1A"/>
    <w:rPr>
      <w:i/>
      <w:lang w:val="en-GB"/>
    </w:rPr>
  </w:style>
  <w:style w:type="character" w:styleId="CommentReference">
    <w:name w:val="annotation reference"/>
    <w:basedOn w:val="DefaultParagraphFont"/>
    <w:uiPriority w:val="99"/>
    <w:semiHidden/>
    <w:unhideWhenUsed/>
    <w:rsid w:val="004C0D1A"/>
    <w:rPr>
      <w:sz w:val="16"/>
      <w:szCs w:val="16"/>
    </w:rPr>
  </w:style>
  <w:style w:type="paragraph" w:styleId="BalloonText">
    <w:name w:val="Balloon Text"/>
    <w:basedOn w:val="Normal"/>
    <w:link w:val="BalloonTextChar"/>
    <w:uiPriority w:val="99"/>
    <w:semiHidden/>
    <w:unhideWhenUsed/>
    <w:rsid w:val="004C0D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1A"/>
    <w:rPr>
      <w:rFonts w:ascii="Tahoma" w:eastAsia="Times New Roman" w:hAnsi="Tahoma" w:cs="Tahoma"/>
      <w:sz w:val="16"/>
      <w:szCs w:val="16"/>
      <w:lang w:val="en-GB"/>
    </w:rPr>
  </w:style>
  <w:style w:type="paragraph" w:styleId="Bibliography">
    <w:name w:val="Bibliography"/>
    <w:basedOn w:val="CETReferencetext"/>
    <w:uiPriority w:val="37"/>
    <w:unhideWhenUsed/>
    <w:rsid w:val="004C0D1A"/>
    <w:pPr>
      <w:spacing w:line="240" w:lineRule="auto"/>
      <w:ind w:left="720" w:hanging="720"/>
    </w:pPr>
  </w:style>
  <w:style w:type="paragraph" w:styleId="BodyText2">
    <w:name w:val="Body Text 2"/>
    <w:basedOn w:val="Normal"/>
    <w:link w:val="BodyText2Char"/>
    <w:uiPriority w:val="99"/>
    <w:semiHidden/>
    <w:unhideWhenUsed/>
    <w:rsid w:val="004C0D1A"/>
    <w:pPr>
      <w:spacing w:after="120" w:line="480" w:lineRule="auto"/>
    </w:pPr>
  </w:style>
  <w:style w:type="character" w:customStyle="1" w:styleId="BodyText2Char">
    <w:name w:val="Body Text 2 Char"/>
    <w:basedOn w:val="DefaultParagraphFont"/>
    <w:link w:val="BodyText2"/>
    <w:uiPriority w:val="99"/>
    <w:semiHidden/>
    <w:rsid w:val="004C0D1A"/>
    <w:rPr>
      <w:rFonts w:ascii="Arial" w:eastAsia="Times New Roman" w:hAnsi="Arial" w:cs="Times New Roman"/>
      <w:sz w:val="18"/>
      <w:szCs w:val="20"/>
      <w:lang w:val="en-GB"/>
    </w:rPr>
  </w:style>
  <w:style w:type="paragraph" w:styleId="BodyText3">
    <w:name w:val="Body Text 3"/>
    <w:basedOn w:val="Normal"/>
    <w:link w:val="BodyText3Char"/>
    <w:uiPriority w:val="99"/>
    <w:semiHidden/>
    <w:unhideWhenUsed/>
    <w:rsid w:val="004C0D1A"/>
    <w:pPr>
      <w:spacing w:after="120"/>
    </w:pPr>
    <w:rPr>
      <w:sz w:val="16"/>
      <w:szCs w:val="16"/>
    </w:rPr>
  </w:style>
  <w:style w:type="character" w:customStyle="1" w:styleId="BodyText3Char">
    <w:name w:val="Body Text 3 Char"/>
    <w:basedOn w:val="DefaultParagraphFont"/>
    <w:link w:val="BodyText3"/>
    <w:uiPriority w:val="99"/>
    <w:semiHidden/>
    <w:rsid w:val="004C0D1A"/>
    <w:rPr>
      <w:rFonts w:ascii="Arial" w:eastAsia="Times New Roman" w:hAnsi="Arial" w:cs="Times New Roman"/>
      <w:sz w:val="16"/>
      <w:szCs w:val="16"/>
      <w:lang w:val="en-GB"/>
    </w:rPr>
  </w:style>
  <w:style w:type="paragraph" w:styleId="BodyText">
    <w:name w:val="Body Text"/>
    <w:basedOn w:val="Normal"/>
    <w:link w:val="BodyTextChar"/>
    <w:uiPriority w:val="99"/>
    <w:semiHidden/>
    <w:unhideWhenUsed/>
    <w:rsid w:val="004C0D1A"/>
    <w:pPr>
      <w:spacing w:after="120"/>
    </w:pPr>
  </w:style>
  <w:style w:type="character" w:customStyle="1" w:styleId="BodyTextChar">
    <w:name w:val="Body Text Char"/>
    <w:basedOn w:val="DefaultParagraphFont"/>
    <w:link w:val="BodyText"/>
    <w:uiPriority w:val="99"/>
    <w:semiHidden/>
    <w:rsid w:val="004C0D1A"/>
    <w:rPr>
      <w:rFonts w:ascii="Arial" w:eastAsia="Times New Roman" w:hAnsi="Arial" w:cs="Times New Roman"/>
      <w:sz w:val="18"/>
      <w:szCs w:val="20"/>
      <w:lang w:val="en-GB"/>
    </w:rPr>
  </w:style>
  <w:style w:type="paragraph" w:styleId="Date">
    <w:name w:val="Date"/>
    <w:basedOn w:val="Normal"/>
    <w:next w:val="Normal"/>
    <w:link w:val="DateChar"/>
    <w:uiPriority w:val="99"/>
    <w:semiHidden/>
    <w:unhideWhenUsed/>
    <w:rsid w:val="004C0D1A"/>
  </w:style>
  <w:style w:type="character" w:customStyle="1" w:styleId="DateChar">
    <w:name w:val="Date Char"/>
    <w:basedOn w:val="DefaultParagraphFont"/>
    <w:link w:val="Date"/>
    <w:uiPriority w:val="99"/>
    <w:semiHidden/>
    <w:rsid w:val="004C0D1A"/>
    <w:rPr>
      <w:rFonts w:ascii="Arial" w:eastAsia="Times New Roman" w:hAnsi="Arial" w:cs="Times New Roman"/>
      <w:sz w:val="18"/>
      <w:szCs w:val="20"/>
      <w:lang w:val="en-GB"/>
    </w:rPr>
  </w:style>
  <w:style w:type="paragraph" w:styleId="Caption">
    <w:name w:val="caption"/>
    <w:basedOn w:val="Normal"/>
    <w:next w:val="Normal"/>
    <w:uiPriority w:val="35"/>
    <w:semiHidden/>
    <w:unhideWhenUsed/>
    <w:qFormat/>
    <w:rsid w:val="004C0D1A"/>
    <w:pPr>
      <w:spacing w:line="240" w:lineRule="auto"/>
    </w:pPr>
    <w:rPr>
      <w:b/>
      <w:bCs/>
      <w:color w:val="4472C4" w:themeColor="accent1"/>
      <w:szCs w:val="18"/>
    </w:rPr>
  </w:style>
  <w:style w:type="paragraph" w:styleId="List">
    <w:name w:val="List"/>
    <w:basedOn w:val="Normal"/>
    <w:uiPriority w:val="99"/>
    <w:semiHidden/>
    <w:unhideWhenUsed/>
    <w:rsid w:val="004C0D1A"/>
    <w:pPr>
      <w:ind w:left="283" w:hanging="283"/>
      <w:contextualSpacing/>
    </w:pPr>
  </w:style>
  <w:style w:type="paragraph" w:styleId="List2">
    <w:name w:val="List 2"/>
    <w:basedOn w:val="Normal"/>
    <w:uiPriority w:val="99"/>
    <w:semiHidden/>
    <w:unhideWhenUsed/>
    <w:rsid w:val="004C0D1A"/>
    <w:pPr>
      <w:ind w:left="566" w:hanging="283"/>
      <w:contextualSpacing/>
    </w:pPr>
  </w:style>
  <w:style w:type="paragraph" w:styleId="List3">
    <w:name w:val="List 3"/>
    <w:basedOn w:val="Normal"/>
    <w:uiPriority w:val="99"/>
    <w:semiHidden/>
    <w:unhideWhenUsed/>
    <w:rsid w:val="004C0D1A"/>
    <w:pPr>
      <w:ind w:left="849" w:hanging="283"/>
      <w:contextualSpacing/>
    </w:pPr>
  </w:style>
  <w:style w:type="paragraph" w:styleId="List4">
    <w:name w:val="List 4"/>
    <w:basedOn w:val="Normal"/>
    <w:uiPriority w:val="99"/>
    <w:semiHidden/>
    <w:unhideWhenUsed/>
    <w:rsid w:val="004C0D1A"/>
    <w:pPr>
      <w:ind w:left="1132" w:hanging="283"/>
      <w:contextualSpacing/>
    </w:pPr>
  </w:style>
  <w:style w:type="paragraph" w:styleId="List5">
    <w:name w:val="List 5"/>
    <w:basedOn w:val="Normal"/>
    <w:uiPriority w:val="99"/>
    <w:semiHidden/>
    <w:unhideWhenUsed/>
    <w:rsid w:val="004C0D1A"/>
    <w:pPr>
      <w:ind w:left="1415" w:hanging="283"/>
      <w:contextualSpacing/>
    </w:pPr>
  </w:style>
  <w:style w:type="paragraph" w:styleId="ListContinue">
    <w:name w:val="List Continue"/>
    <w:basedOn w:val="Normal"/>
    <w:uiPriority w:val="99"/>
    <w:semiHidden/>
    <w:unhideWhenUsed/>
    <w:rsid w:val="004C0D1A"/>
    <w:pPr>
      <w:spacing w:after="120"/>
      <w:ind w:left="283"/>
      <w:contextualSpacing/>
    </w:pPr>
  </w:style>
  <w:style w:type="paragraph" w:styleId="ListContinue2">
    <w:name w:val="List Continue 2"/>
    <w:basedOn w:val="Normal"/>
    <w:uiPriority w:val="99"/>
    <w:semiHidden/>
    <w:unhideWhenUsed/>
    <w:rsid w:val="004C0D1A"/>
    <w:pPr>
      <w:spacing w:after="120"/>
      <w:ind w:left="566"/>
      <w:contextualSpacing/>
    </w:pPr>
  </w:style>
  <w:style w:type="paragraph" w:styleId="ListContinue3">
    <w:name w:val="List Continue 3"/>
    <w:basedOn w:val="Normal"/>
    <w:uiPriority w:val="99"/>
    <w:semiHidden/>
    <w:unhideWhenUsed/>
    <w:rsid w:val="004C0D1A"/>
    <w:pPr>
      <w:spacing w:after="120"/>
      <w:ind w:left="849"/>
      <w:contextualSpacing/>
    </w:pPr>
  </w:style>
  <w:style w:type="paragraph" w:styleId="ListContinue4">
    <w:name w:val="List Continue 4"/>
    <w:basedOn w:val="Normal"/>
    <w:uiPriority w:val="99"/>
    <w:semiHidden/>
    <w:unhideWhenUsed/>
    <w:rsid w:val="004C0D1A"/>
    <w:pPr>
      <w:spacing w:after="120"/>
      <w:ind w:left="1132"/>
      <w:contextualSpacing/>
    </w:pPr>
  </w:style>
  <w:style w:type="paragraph" w:styleId="ListContinue5">
    <w:name w:val="List Continue 5"/>
    <w:basedOn w:val="Normal"/>
    <w:uiPriority w:val="99"/>
    <w:semiHidden/>
    <w:unhideWhenUsed/>
    <w:rsid w:val="004C0D1A"/>
    <w:pPr>
      <w:spacing w:after="120"/>
      <w:ind w:left="1415"/>
      <w:contextualSpacing/>
    </w:pPr>
  </w:style>
  <w:style w:type="paragraph" w:styleId="Signature">
    <w:name w:val="Signature"/>
    <w:basedOn w:val="Normal"/>
    <w:link w:val="SignatureChar"/>
    <w:uiPriority w:val="99"/>
    <w:semiHidden/>
    <w:unhideWhenUsed/>
    <w:rsid w:val="004C0D1A"/>
    <w:pPr>
      <w:spacing w:line="240" w:lineRule="auto"/>
      <w:ind w:left="4252"/>
    </w:pPr>
  </w:style>
  <w:style w:type="character" w:customStyle="1" w:styleId="SignatureChar">
    <w:name w:val="Signature Char"/>
    <w:basedOn w:val="DefaultParagraphFont"/>
    <w:link w:val="Signature"/>
    <w:uiPriority w:val="99"/>
    <w:semiHidden/>
    <w:rsid w:val="004C0D1A"/>
    <w:rPr>
      <w:rFonts w:ascii="Arial" w:eastAsia="Times New Roman" w:hAnsi="Arial" w:cs="Times New Roman"/>
      <w:sz w:val="18"/>
      <w:szCs w:val="20"/>
      <w:lang w:val="en-GB"/>
    </w:rPr>
  </w:style>
  <w:style w:type="paragraph" w:styleId="EmailSignature">
    <w:name w:val="E-mail Signature"/>
    <w:basedOn w:val="Normal"/>
    <w:link w:val="EmailSignatureChar"/>
    <w:uiPriority w:val="99"/>
    <w:semiHidden/>
    <w:unhideWhenUsed/>
    <w:rsid w:val="004C0D1A"/>
    <w:pPr>
      <w:spacing w:line="240" w:lineRule="auto"/>
    </w:pPr>
  </w:style>
  <w:style w:type="character" w:customStyle="1" w:styleId="EmailSignatureChar">
    <w:name w:val="Email Signature Char"/>
    <w:basedOn w:val="DefaultParagraphFont"/>
    <w:link w:val="EmailSignature"/>
    <w:uiPriority w:val="99"/>
    <w:semiHidden/>
    <w:rsid w:val="004C0D1A"/>
    <w:rPr>
      <w:rFonts w:ascii="Arial" w:eastAsia="Times New Roman" w:hAnsi="Arial" w:cs="Times New Roman"/>
      <w:sz w:val="18"/>
      <w:szCs w:val="20"/>
      <w:lang w:val="en-GB"/>
    </w:rPr>
  </w:style>
  <w:style w:type="paragraph" w:styleId="Salutation">
    <w:name w:val="Salutation"/>
    <w:basedOn w:val="Normal"/>
    <w:next w:val="Normal"/>
    <w:link w:val="SalutationChar"/>
    <w:uiPriority w:val="99"/>
    <w:semiHidden/>
    <w:unhideWhenUsed/>
    <w:rsid w:val="004C0D1A"/>
  </w:style>
  <w:style w:type="character" w:customStyle="1" w:styleId="SalutationChar">
    <w:name w:val="Salutation Char"/>
    <w:basedOn w:val="DefaultParagraphFont"/>
    <w:link w:val="Salutation"/>
    <w:uiPriority w:val="99"/>
    <w:semiHidden/>
    <w:rsid w:val="004C0D1A"/>
    <w:rPr>
      <w:rFonts w:ascii="Arial" w:eastAsia="Times New Roman" w:hAnsi="Arial" w:cs="Times New Roman"/>
      <w:sz w:val="18"/>
      <w:szCs w:val="20"/>
      <w:lang w:val="en-GB"/>
    </w:rPr>
  </w:style>
  <w:style w:type="paragraph" w:styleId="Closing">
    <w:name w:val="Closing"/>
    <w:basedOn w:val="Normal"/>
    <w:link w:val="ClosingChar"/>
    <w:uiPriority w:val="99"/>
    <w:semiHidden/>
    <w:unhideWhenUsed/>
    <w:rsid w:val="004C0D1A"/>
    <w:pPr>
      <w:spacing w:line="240" w:lineRule="auto"/>
      <w:ind w:left="4252"/>
    </w:pPr>
  </w:style>
  <w:style w:type="character" w:customStyle="1" w:styleId="ClosingChar">
    <w:name w:val="Closing Char"/>
    <w:basedOn w:val="DefaultParagraphFont"/>
    <w:link w:val="Closing"/>
    <w:uiPriority w:val="99"/>
    <w:semiHidden/>
    <w:rsid w:val="004C0D1A"/>
    <w:rPr>
      <w:rFonts w:ascii="Arial" w:eastAsia="Times New Roman" w:hAnsi="Arial" w:cs="Times New Roman"/>
      <w:sz w:val="18"/>
      <w:szCs w:val="20"/>
      <w:lang w:val="en-GB"/>
    </w:rPr>
  </w:style>
  <w:style w:type="paragraph" w:styleId="Index1">
    <w:name w:val="index 1"/>
    <w:basedOn w:val="Normal"/>
    <w:next w:val="Normal"/>
    <w:autoRedefine/>
    <w:uiPriority w:val="99"/>
    <w:semiHidden/>
    <w:unhideWhenUsed/>
    <w:rsid w:val="004C0D1A"/>
    <w:pPr>
      <w:spacing w:line="240" w:lineRule="auto"/>
      <w:ind w:left="220" w:hanging="220"/>
    </w:pPr>
  </w:style>
  <w:style w:type="paragraph" w:styleId="Index2">
    <w:name w:val="index 2"/>
    <w:basedOn w:val="Normal"/>
    <w:next w:val="Normal"/>
    <w:autoRedefine/>
    <w:uiPriority w:val="99"/>
    <w:semiHidden/>
    <w:unhideWhenUsed/>
    <w:rsid w:val="004C0D1A"/>
    <w:pPr>
      <w:spacing w:line="240" w:lineRule="auto"/>
      <w:ind w:left="440" w:hanging="220"/>
    </w:pPr>
  </w:style>
  <w:style w:type="paragraph" w:styleId="Index3">
    <w:name w:val="index 3"/>
    <w:basedOn w:val="Normal"/>
    <w:next w:val="Normal"/>
    <w:autoRedefine/>
    <w:uiPriority w:val="99"/>
    <w:semiHidden/>
    <w:unhideWhenUsed/>
    <w:rsid w:val="004C0D1A"/>
    <w:pPr>
      <w:spacing w:line="240" w:lineRule="auto"/>
      <w:ind w:left="660" w:hanging="220"/>
    </w:pPr>
  </w:style>
  <w:style w:type="paragraph" w:styleId="Index4">
    <w:name w:val="index 4"/>
    <w:basedOn w:val="Normal"/>
    <w:next w:val="Normal"/>
    <w:autoRedefine/>
    <w:uiPriority w:val="99"/>
    <w:semiHidden/>
    <w:unhideWhenUsed/>
    <w:rsid w:val="004C0D1A"/>
    <w:pPr>
      <w:spacing w:line="240" w:lineRule="auto"/>
      <w:ind w:left="880" w:hanging="220"/>
    </w:pPr>
  </w:style>
  <w:style w:type="paragraph" w:styleId="Index5">
    <w:name w:val="index 5"/>
    <w:basedOn w:val="Normal"/>
    <w:next w:val="Normal"/>
    <w:autoRedefine/>
    <w:uiPriority w:val="99"/>
    <w:semiHidden/>
    <w:unhideWhenUsed/>
    <w:rsid w:val="004C0D1A"/>
    <w:pPr>
      <w:spacing w:line="240" w:lineRule="auto"/>
      <w:ind w:left="1100" w:hanging="220"/>
    </w:pPr>
  </w:style>
  <w:style w:type="paragraph" w:styleId="Index6">
    <w:name w:val="index 6"/>
    <w:basedOn w:val="Normal"/>
    <w:next w:val="Normal"/>
    <w:autoRedefine/>
    <w:uiPriority w:val="99"/>
    <w:semiHidden/>
    <w:unhideWhenUsed/>
    <w:rsid w:val="004C0D1A"/>
    <w:pPr>
      <w:spacing w:line="240" w:lineRule="auto"/>
      <w:ind w:left="1320" w:hanging="220"/>
    </w:pPr>
  </w:style>
  <w:style w:type="paragraph" w:styleId="Index7">
    <w:name w:val="index 7"/>
    <w:basedOn w:val="Normal"/>
    <w:next w:val="Normal"/>
    <w:autoRedefine/>
    <w:uiPriority w:val="99"/>
    <w:semiHidden/>
    <w:unhideWhenUsed/>
    <w:rsid w:val="004C0D1A"/>
    <w:pPr>
      <w:spacing w:line="240" w:lineRule="auto"/>
      <w:ind w:left="1540" w:hanging="220"/>
    </w:pPr>
  </w:style>
  <w:style w:type="paragraph" w:styleId="Index8">
    <w:name w:val="index 8"/>
    <w:basedOn w:val="Normal"/>
    <w:next w:val="Normal"/>
    <w:autoRedefine/>
    <w:uiPriority w:val="99"/>
    <w:semiHidden/>
    <w:unhideWhenUsed/>
    <w:rsid w:val="004C0D1A"/>
    <w:pPr>
      <w:spacing w:line="240" w:lineRule="auto"/>
      <w:ind w:left="1760" w:hanging="220"/>
    </w:pPr>
  </w:style>
  <w:style w:type="paragraph" w:styleId="Index9">
    <w:name w:val="index 9"/>
    <w:basedOn w:val="Normal"/>
    <w:next w:val="Normal"/>
    <w:autoRedefine/>
    <w:uiPriority w:val="99"/>
    <w:semiHidden/>
    <w:unhideWhenUsed/>
    <w:rsid w:val="004C0D1A"/>
    <w:pPr>
      <w:spacing w:line="240" w:lineRule="auto"/>
      <w:ind w:left="1980" w:hanging="220"/>
    </w:pPr>
  </w:style>
  <w:style w:type="paragraph" w:styleId="TableofFigures">
    <w:name w:val="table of figures"/>
    <w:basedOn w:val="Normal"/>
    <w:next w:val="Normal"/>
    <w:uiPriority w:val="99"/>
    <w:semiHidden/>
    <w:unhideWhenUsed/>
    <w:rsid w:val="004C0D1A"/>
  </w:style>
  <w:style w:type="paragraph" w:styleId="TableofAuthorities">
    <w:name w:val="table of authorities"/>
    <w:basedOn w:val="Normal"/>
    <w:next w:val="Normal"/>
    <w:uiPriority w:val="99"/>
    <w:semiHidden/>
    <w:unhideWhenUsed/>
    <w:rsid w:val="004C0D1A"/>
    <w:pPr>
      <w:ind w:left="220" w:hanging="220"/>
    </w:pPr>
  </w:style>
  <w:style w:type="paragraph" w:styleId="EnvelopeAddress">
    <w:name w:val="envelope address"/>
    <w:basedOn w:val="Normal"/>
    <w:uiPriority w:val="99"/>
    <w:semiHidden/>
    <w:unhideWhenUsed/>
    <w:rsid w:val="004C0D1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4C0D1A"/>
    <w:pPr>
      <w:spacing w:line="240" w:lineRule="auto"/>
    </w:pPr>
    <w:rPr>
      <w:i/>
      <w:iCs/>
    </w:rPr>
  </w:style>
  <w:style w:type="character" w:customStyle="1" w:styleId="HTMLAddressChar">
    <w:name w:val="HTML Address Char"/>
    <w:basedOn w:val="DefaultParagraphFont"/>
    <w:link w:val="HTMLAddress"/>
    <w:uiPriority w:val="99"/>
    <w:semiHidden/>
    <w:rsid w:val="004C0D1A"/>
    <w:rPr>
      <w:rFonts w:ascii="Arial" w:eastAsia="Times New Roman" w:hAnsi="Arial" w:cs="Times New Roman"/>
      <w:i/>
      <w:iCs/>
      <w:sz w:val="18"/>
      <w:szCs w:val="20"/>
      <w:lang w:val="en-GB"/>
    </w:rPr>
  </w:style>
  <w:style w:type="paragraph" w:styleId="EnvelopeReturn">
    <w:name w:val="envelope return"/>
    <w:basedOn w:val="Normal"/>
    <w:uiPriority w:val="99"/>
    <w:semiHidden/>
    <w:unhideWhenUsed/>
    <w:rsid w:val="004C0D1A"/>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4C0D1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0D1A"/>
    <w:rPr>
      <w:rFonts w:asciiTheme="majorHAnsi" w:eastAsiaTheme="majorEastAsia" w:hAnsiTheme="majorHAnsi" w:cstheme="majorBidi"/>
      <w:sz w:val="24"/>
      <w:szCs w:val="24"/>
      <w:shd w:val="pct20" w:color="auto" w:fill="auto"/>
      <w:lang w:val="en-GB"/>
    </w:rPr>
  </w:style>
  <w:style w:type="paragraph" w:styleId="NoteHeading">
    <w:name w:val="Note Heading"/>
    <w:basedOn w:val="Normal"/>
    <w:next w:val="Normal"/>
    <w:link w:val="NoteHeadingChar"/>
    <w:uiPriority w:val="99"/>
    <w:semiHidden/>
    <w:unhideWhenUsed/>
    <w:rsid w:val="004C0D1A"/>
    <w:pPr>
      <w:spacing w:line="240" w:lineRule="auto"/>
    </w:pPr>
  </w:style>
  <w:style w:type="character" w:customStyle="1" w:styleId="NoteHeadingChar">
    <w:name w:val="Note Heading Char"/>
    <w:basedOn w:val="DefaultParagraphFont"/>
    <w:link w:val="NoteHeading"/>
    <w:uiPriority w:val="99"/>
    <w:semiHidden/>
    <w:rsid w:val="004C0D1A"/>
    <w:rPr>
      <w:rFonts w:ascii="Arial" w:eastAsia="Times New Roman" w:hAnsi="Arial" w:cs="Times New Roman"/>
      <w:sz w:val="18"/>
      <w:szCs w:val="20"/>
      <w:lang w:val="en-GB"/>
    </w:rPr>
  </w:style>
  <w:style w:type="paragraph" w:styleId="DocumentMap">
    <w:name w:val="Document Map"/>
    <w:basedOn w:val="Normal"/>
    <w:link w:val="DocumentMapChar"/>
    <w:uiPriority w:val="99"/>
    <w:semiHidden/>
    <w:unhideWhenUsed/>
    <w:rsid w:val="004C0D1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0D1A"/>
    <w:rPr>
      <w:rFonts w:ascii="Tahoma" w:eastAsia="Times New Roman" w:hAnsi="Tahoma" w:cs="Tahoma"/>
      <w:sz w:val="16"/>
      <w:szCs w:val="16"/>
      <w:lang w:val="en-GB"/>
    </w:rPr>
  </w:style>
  <w:style w:type="paragraph" w:styleId="NormalWeb">
    <w:name w:val="Normal (Web)"/>
    <w:basedOn w:val="Normal"/>
    <w:uiPriority w:val="99"/>
    <w:semiHidden/>
    <w:unhideWhenUsed/>
    <w:rsid w:val="004C0D1A"/>
    <w:rPr>
      <w:sz w:val="24"/>
      <w:szCs w:val="24"/>
    </w:rPr>
  </w:style>
  <w:style w:type="paragraph" w:styleId="ListNumber">
    <w:name w:val="List Number"/>
    <w:basedOn w:val="Normal"/>
    <w:uiPriority w:val="99"/>
    <w:semiHidden/>
    <w:unhideWhenUsed/>
    <w:rsid w:val="004C0D1A"/>
    <w:pPr>
      <w:numPr>
        <w:numId w:val="2"/>
      </w:numPr>
      <w:contextualSpacing/>
    </w:pPr>
  </w:style>
  <w:style w:type="paragraph" w:styleId="ListNumber2">
    <w:name w:val="List Number 2"/>
    <w:basedOn w:val="Normal"/>
    <w:uiPriority w:val="99"/>
    <w:semiHidden/>
    <w:unhideWhenUsed/>
    <w:rsid w:val="004C0D1A"/>
    <w:pPr>
      <w:numPr>
        <w:numId w:val="3"/>
      </w:numPr>
      <w:contextualSpacing/>
    </w:pPr>
  </w:style>
  <w:style w:type="paragraph" w:styleId="ListNumber3">
    <w:name w:val="List Number 3"/>
    <w:basedOn w:val="Normal"/>
    <w:uiPriority w:val="99"/>
    <w:semiHidden/>
    <w:unhideWhenUsed/>
    <w:rsid w:val="004C0D1A"/>
    <w:pPr>
      <w:numPr>
        <w:numId w:val="4"/>
      </w:numPr>
      <w:contextualSpacing/>
    </w:pPr>
  </w:style>
  <w:style w:type="paragraph" w:styleId="ListNumber4">
    <w:name w:val="List Number 4"/>
    <w:basedOn w:val="Normal"/>
    <w:uiPriority w:val="99"/>
    <w:semiHidden/>
    <w:unhideWhenUsed/>
    <w:rsid w:val="004C0D1A"/>
    <w:pPr>
      <w:numPr>
        <w:numId w:val="5"/>
      </w:numPr>
      <w:contextualSpacing/>
    </w:pPr>
  </w:style>
  <w:style w:type="paragraph" w:styleId="ListNumber5">
    <w:name w:val="List Number 5"/>
    <w:basedOn w:val="Normal"/>
    <w:uiPriority w:val="99"/>
    <w:semiHidden/>
    <w:unhideWhenUsed/>
    <w:rsid w:val="004C0D1A"/>
    <w:pPr>
      <w:numPr>
        <w:numId w:val="6"/>
      </w:numPr>
      <w:contextualSpacing/>
    </w:pPr>
  </w:style>
  <w:style w:type="paragraph" w:styleId="HTMLPreformatted">
    <w:name w:val="HTML Preformatted"/>
    <w:basedOn w:val="Normal"/>
    <w:link w:val="HTMLPreformattedChar"/>
    <w:uiPriority w:val="99"/>
    <w:semiHidden/>
    <w:unhideWhenUsed/>
    <w:rsid w:val="004C0D1A"/>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4C0D1A"/>
    <w:rPr>
      <w:rFonts w:ascii="Consolas" w:eastAsia="Times New Roman" w:hAnsi="Consolas" w:cs="Consolas"/>
      <w:sz w:val="18"/>
      <w:szCs w:val="20"/>
      <w:lang w:val="en-GB"/>
    </w:rPr>
  </w:style>
  <w:style w:type="paragraph" w:styleId="BodyTextFirstIndent">
    <w:name w:val="Body Text First Indent"/>
    <w:basedOn w:val="BodyText"/>
    <w:link w:val="BodyTextFirstIndentChar"/>
    <w:uiPriority w:val="99"/>
    <w:semiHidden/>
    <w:unhideWhenUsed/>
    <w:rsid w:val="004C0D1A"/>
    <w:pPr>
      <w:spacing w:after="200"/>
      <w:ind w:firstLine="360"/>
    </w:pPr>
  </w:style>
  <w:style w:type="character" w:customStyle="1" w:styleId="BodyTextFirstIndentChar">
    <w:name w:val="Body Text First Indent Char"/>
    <w:basedOn w:val="BodyTextChar"/>
    <w:link w:val="BodyTextFirstIndent"/>
    <w:uiPriority w:val="99"/>
    <w:semiHidden/>
    <w:rsid w:val="004C0D1A"/>
    <w:rPr>
      <w:rFonts w:ascii="Arial" w:eastAsia="Times New Roman" w:hAnsi="Arial" w:cs="Times New Roman"/>
      <w:sz w:val="18"/>
      <w:szCs w:val="20"/>
      <w:lang w:val="en-GB"/>
    </w:rPr>
  </w:style>
  <w:style w:type="paragraph" w:styleId="BodyTextIndent">
    <w:name w:val="Body Text Indent"/>
    <w:basedOn w:val="Normal"/>
    <w:link w:val="BodyTextIndentChar"/>
    <w:uiPriority w:val="99"/>
    <w:semiHidden/>
    <w:unhideWhenUsed/>
    <w:rsid w:val="004C0D1A"/>
    <w:pPr>
      <w:spacing w:after="120"/>
      <w:ind w:left="283"/>
    </w:pPr>
  </w:style>
  <w:style w:type="character" w:customStyle="1" w:styleId="BodyTextIndentChar">
    <w:name w:val="Body Text Indent Char"/>
    <w:basedOn w:val="DefaultParagraphFont"/>
    <w:link w:val="BodyTextIndent"/>
    <w:uiPriority w:val="99"/>
    <w:semiHidden/>
    <w:rsid w:val="004C0D1A"/>
    <w:rPr>
      <w:rFonts w:ascii="Arial" w:eastAsia="Times New Roman" w:hAnsi="Arial" w:cs="Times New Roman"/>
      <w:sz w:val="18"/>
      <w:szCs w:val="20"/>
      <w:lang w:val="en-GB"/>
    </w:rPr>
  </w:style>
  <w:style w:type="paragraph" w:styleId="BodyTextFirstIndent2">
    <w:name w:val="Body Text First Indent 2"/>
    <w:basedOn w:val="BodyTextIndent"/>
    <w:link w:val="BodyTextFirstIndent2Char"/>
    <w:uiPriority w:val="99"/>
    <w:semiHidden/>
    <w:unhideWhenUsed/>
    <w:rsid w:val="004C0D1A"/>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4C0D1A"/>
    <w:rPr>
      <w:rFonts w:ascii="Arial" w:eastAsia="Times New Roman" w:hAnsi="Arial" w:cs="Times New Roman"/>
      <w:sz w:val="18"/>
      <w:szCs w:val="20"/>
      <w:lang w:val="en-GB"/>
    </w:rPr>
  </w:style>
  <w:style w:type="paragraph" w:styleId="ListBullet">
    <w:name w:val="List Bullet"/>
    <w:basedOn w:val="Normal"/>
    <w:uiPriority w:val="99"/>
    <w:semiHidden/>
    <w:unhideWhenUsed/>
    <w:rsid w:val="004C0D1A"/>
    <w:pPr>
      <w:numPr>
        <w:numId w:val="7"/>
      </w:numPr>
      <w:contextualSpacing/>
    </w:pPr>
  </w:style>
  <w:style w:type="paragraph" w:styleId="ListBullet2">
    <w:name w:val="List Bullet 2"/>
    <w:basedOn w:val="Normal"/>
    <w:uiPriority w:val="99"/>
    <w:semiHidden/>
    <w:unhideWhenUsed/>
    <w:rsid w:val="004C0D1A"/>
    <w:pPr>
      <w:numPr>
        <w:numId w:val="8"/>
      </w:numPr>
      <w:contextualSpacing/>
    </w:pPr>
  </w:style>
  <w:style w:type="paragraph" w:styleId="ListBullet3">
    <w:name w:val="List Bullet 3"/>
    <w:basedOn w:val="Normal"/>
    <w:uiPriority w:val="99"/>
    <w:semiHidden/>
    <w:unhideWhenUsed/>
    <w:rsid w:val="004C0D1A"/>
    <w:pPr>
      <w:numPr>
        <w:numId w:val="9"/>
      </w:numPr>
      <w:contextualSpacing/>
    </w:pPr>
  </w:style>
  <w:style w:type="paragraph" w:styleId="ListBullet4">
    <w:name w:val="List Bullet 4"/>
    <w:basedOn w:val="Normal"/>
    <w:uiPriority w:val="99"/>
    <w:semiHidden/>
    <w:unhideWhenUsed/>
    <w:rsid w:val="004C0D1A"/>
    <w:pPr>
      <w:numPr>
        <w:numId w:val="10"/>
      </w:numPr>
      <w:contextualSpacing/>
    </w:pPr>
  </w:style>
  <w:style w:type="paragraph" w:styleId="ListBullet5">
    <w:name w:val="List Bullet 5"/>
    <w:basedOn w:val="Normal"/>
    <w:uiPriority w:val="99"/>
    <w:semiHidden/>
    <w:unhideWhenUsed/>
    <w:rsid w:val="004C0D1A"/>
    <w:pPr>
      <w:numPr>
        <w:numId w:val="11"/>
      </w:numPr>
      <w:contextualSpacing/>
    </w:pPr>
  </w:style>
  <w:style w:type="paragraph" w:styleId="BodyTextIndent2">
    <w:name w:val="Body Text Indent 2"/>
    <w:basedOn w:val="Normal"/>
    <w:link w:val="BodyTextIndent2Char"/>
    <w:uiPriority w:val="99"/>
    <w:semiHidden/>
    <w:unhideWhenUsed/>
    <w:rsid w:val="004C0D1A"/>
    <w:pPr>
      <w:spacing w:after="120" w:line="480" w:lineRule="auto"/>
      <w:ind w:left="283"/>
    </w:pPr>
  </w:style>
  <w:style w:type="character" w:customStyle="1" w:styleId="BodyTextIndent2Char">
    <w:name w:val="Body Text Indent 2 Char"/>
    <w:basedOn w:val="DefaultParagraphFont"/>
    <w:link w:val="BodyTextIndent2"/>
    <w:uiPriority w:val="99"/>
    <w:semiHidden/>
    <w:rsid w:val="004C0D1A"/>
    <w:rPr>
      <w:rFonts w:ascii="Arial" w:eastAsia="Times New Roman" w:hAnsi="Arial" w:cs="Times New Roman"/>
      <w:sz w:val="18"/>
      <w:szCs w:val="20"/>
      <w:lang w:val="en-GB"/>
    </w:rPr>
  </w:style>
  <w:style w:type="paragraph" w:styleId="BodyTextIndent3">
    <w:name w:val="Body Text Indent 3"/>
    <w:basedOn w:val="Normal"/>
    <w:link w:val="BodyTextIndent3Char"/>
    <w:uiPriority w:val="99"/>
    <w:semiHidden/>
    <w:unhideWhenUsed/>
    <w:rsid w:val="004C0D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0D1A"/>
    <w:rPr>
      <w:rFonts w:ascii="Arial" w:eastAsia="Times New Roman" w:hAnsi="Arial" w:cs="Times New Roman"/>
      <w:sz w:val="16"/>
      <w:szCs w:val="16"/>
      <w:lang w:val="en-GB"/>
    </w:rPr>
  </w:style>
  <w:style w:type="paragraph" w:styleId="NormalIndent">
    <w:name w:val="Normal Indent"/>
    <w:basedOn w:val="Normal"/>
    <w:uiPriority w:val="99"/>
    <w:semiHidden/>
    <w:unhideWhenUsed/>
    <w:rsid w:val="004C0D1A"/>
    <w:pPr>
      <w:ind w:left="720"/>
    </w:pPr>
  </w:style>
  <w:style w:type="paragraph" w:styleId="CommentText">
    <w:name w:val="annotation text"/>
    <w:basedOn w:val="Normal"/>
    <w:link w:val="CommentTextChar"/>
    <w:uiPriority w:val="99"/>
    <w:unhideWhenUsed/>
    <w:rsid w:val="004C0D1A"/>
    <w:pPr>
      <w:spacing w:line="240" w:lineRule="auto"/>
    </w:pPr>
  </w:style>
  <w:style w:type="character" w:customStyle="1" w:styleId="CommentTextChar">
    <w:name w:val="Comment Text Char"/>
    <w:basedOn w:val="DefaultParagraphFont"/>
    <w:link w:val="CommentText"/>
    <w:uiPriority w:val="99"/>
    <w:rsid w:val="004C0D1A"/>
    <w:rPr>
      <w:rFonts w:ascii="Arial" w:eastAsia="Times New Roman" w:hAnsi="Arial" w:cs="Times New Roman"/>
      <w:sz w:val="18"/>
      <w:szCs w:val="20"/>
      <w:lang w:val="en-GB"/>
    </w:rPr>
  </w:style>
  <w:style w:type="paragraph" w:styleId="CommentSubject">
    <w:name w:val="annotation subject"/>
    <w:basedOn w:val="CommentText"/>
    <w:next w:val="CommentText"/>
    <w:link w:val="CommentSubjectChar"/>
    <w:uiPriority w:val="99"/>
    <w:semiHidden/>
    <w:unhideWhenUsed/>
    <w:rsid w:val="004C0D1A"/>
    <w:rPr>
      <w:b/>
      <w:bCs/>
    </w:rPr>
  </w:style>
  <w:style w:type="character" w:customStyle="1" w:styleId="CommentSubjectChar">
    <w:name w:val="Comment Subject Char"/>
    <w:basedOn w:val="CommentTextChar"/>
    <w:link w:val="CommentSubject"/>
    <w:uiPriority w:val="99"/>
    <w:semiHidden/>
    <w:rsid w:val="004C0D1A"/>
    <w:rPr>
      <w:rFonts w:ascii="Arial" w:eastAsia="Times New Roman" w:hAnsi="Arial" w:cs="Times New Roman"/>
      <w:b/>
      <w:bCs/>
      <w:sz w:val="18"/>
      <w:szCs w:val="20"/>
      <w:lang w:val="en-GB"/>
    </w:rPr>
  </w:style>
  <w:style w:type="paragraph" w:styleId="TOC1">
    <w:name w:val="toc 1"/>
    <w:basedOn w:val="Normal"/>
    <w:next w:val="Normal"/>
    <w:autoRedefine/>
    <w:uiPriority w:val="39"/>
    <w:semiHidden/>
    <w:unhideWhenUsed/>
    <w:rsid w:val="004C0D1A"/>
    <w:pPr>
      <w:spacing w:after="100"/>
    </w:pPr>
  </w:style>
  <w:style w:type="paragraph" w:styleId="TOC2">
    <w:name w:val="toc 2"/>
    <w:basedOn w:val="Normal"/>
    <w:next w:val="Normal"/>
    <w:autoRedefine/>
    <w:uiPriority w:val="39"/>
    <w:semiHidden/>
    <w:unhideWhenUsed/>
    <w:rsid w:val="004C0D1A"/>
    <w:pPr>
      <w:spacing w:after="100"/>
      <w:ind w:left="220"/>
    </w:pPr>
  </w:style>
  <w:style w:type="paragraph" w:styleId="TOC3">
    <w:name w:val="toc 3"/>
    <w:basedOn w:val="Normal"/>
    <w:next w:val="Normal"/>
    <w:autoRedefine/>
    <w:uiPriority w:val="39"/>
    <w:semiHidden/>
    <w:unhideWhenUsed/>
    <w:rsid w:val="004C0D1A"/>
    <w:pPr>
      <w:spacing w:after="100"/>
      <w:ind w:left="440"/>
    </w:pPr>
  </w:style>
  <w:style w:type="paragraph" w:styleId="TOC4">
    <w:name w:val="toc 4"/>
    <w:basedOn w:val="Normal"/>
    <w:next w:val="Normal"/>
    <w:autoRedefine/>
    <w:uiPriority w:val="39"/>
    <w:semiHidden/>
    <w:unhideWhenUsed/>
    <w:rsid w:val="004C0D1A"/>
    <w:pPr>
      <w:spacing w:after="100"/>
      <w:ind w:left="660"/>
    </w:pPr>
  </w:style>
  <w:style w:type="paragraph" w:styleId="TOC5">
    <w:name w:val="toc 5"/>
    <w:basedOn w:val="Normal"/>
    <w:next w:val="Normal"/>
    <w:autoRedefine/>
    <w:uiPriority w:val="39"/>
    <w:semiHidden/>
    <w:unhideWhenUsed/>
    <w:rsid w:val="004C0D1A"/>
    <w:pPr>
      <w:spacing w:after="100"/>
      <w:ind w:left="880"/>
    </w:pPr>
  </w:style>
  <w:style w:type="paragraph" w:styleId="TOC6">
    <w:name w:val="toc 6"/>
    <w:basedOn w:val="Normal"/>
    <w:next w:val="Normal"/>
    <w:autoRedefine/>
    <w:uiPriority w:val="39"/>
    <w:semiHidden/>
    <w:unhideWhenUsed/>
    <w:rsid w:val="004C0D1A"/>
    <w:pPr>
      <w:spacing w:after="100"/>
      <w:ind w:left="1100"/>
    </w:pPr>
  </w:style>
  <w:style w:type="paragraph" w:styleId="TOC7">
    <w:name w:val="toc 7"/>
    <w:basedOn w:val="Normal"/>
    <w:next w:val="Normal"/>
    <w:autoRedefine/>
    <w:uiPriority w:val="39"/>
    <w:semiHidden/>
    <w:unhideWhenUsed/>
    <w:rsid w:val="004C0D1A"/>
    <w:pPr>
      <w:spacing w:after="100"/>
      <w:ind w:left="1320"/>
    </w:pPr>
  </w:style>
  <w:style w:type="paragraph" w:styleId="TOC8">
    <w:name w:val="toc 8"/>
    <w:basedOn w:val="Normal"/>
    <w:next w:val="Normal"/>
    <w:autoRedefine/>
    <w:uiPriority w:val="39"/>
    <w:semiHidden/>
    <w:unhideWhenUsed/>
    <w:rsid w:val="004C0D1A"/>
    <w:pPr>
      <w:spacing w:after="100"/>
      <w:ind w:left="1540"/>
    </w:pPr>
  </w:style>
  <w:style w:type="paragraph" w:styleId="TOC9">
    <w:name w:val="toc 9"/>
    <w:basedOn w:val="Normal"/>
    <w:next w:val="Normal"/>
    <w:autoRedefine/>
    <w:uiPriority w:val="39"/>
    <w:semiHidden/>
    <w:unhideWhenUsed/>
    <w:rsid w:val="004C0D1A"/>
    <w:pPr>
      <w:spacing w:after="100"/>
      <w:ind w:left="1760"/>
    </w:pPr>
  </w:style>
  <w:style w:type="paragraph" w:styleId="BlockText">
    <w:name w:val="Block Text"/>
    <w:basedOn w:val="Normal"/>
    <w:uiPriority w:val="99"/>
    <w:semiHidden/>
    <w:unhideWhenUsed/>
    <w:rsid w:val="004C0D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MacroText">
    <w:name w:val="macro"/>
    <w:link w:val="MacroTextChar"/>
    <w:uiPriority w:val="99"/>
    <w:semiHidden/>
    <w:unhideWhenUsed/>
    <w:rsid w:val="004C0D1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C0D1A"/>
    <w:rPr>
      <w:rFonts w:ascii="Consolas" w:hAnsi="Consolas" w:cs="Consolas"/>
      <w:sz w:val="20"/>
      <w:szCs w:val="20"/>
    </w:rPr>
  </w:style>
  <w:style w:type="paragraph" w:styleId="PlainText">
    <w:name w:val="Plain Text"/>
    <w:basedOn w:val="Normal"/>
    <w:link w:val="PlainTextChar"/>
    <w:uiPriority w:val="99"/>
    <w:semiHidden/>
    <w:unhideWhenUsed/>
    <w:rsid w:val="004C0D1A"/>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C0D1A"/>
    <w:rPr>
      <w:rFonts w:ascii="Consolas" w:eastAsia="Times New Roman" w:hAnsi="Consolas" w:cs="Consolas"/>
      <w:sz w:val="21"/>
      <w:szCs w:val="21"/>
      <w:lang w:val="en-GB"/>
    </w:rPr>
  </w:style>
  <w:style w:type="paragraph" w:styleId="FootnoteText">
    <w:name w:val="footnote text"/>
    <w:basedOn w:val="Normal"/>
    <w:link w:val="FootnoteTextChar"/>
    <w:uiPriority w:val="99"/>
    <w:semiHidden/>
    <w:unhideWhenUsed/>
    <w:rsid w:val="004C0D1A"/>
    <w:pPr>
      <w:spacing w:line="240" w:lineRule="auto"/>
    </w:pPr>
  </w:style>
  <w:style w:type="character" w:customStyle="1" w:styleId="FootnoteTextChar">
    <w:name w:val="Footnote Text Char"/>
    <w:basedOn w:val="DefaultParagraphFont"/>
    <w:link w:val="FootnoteText"/>
    <w:uiPriority w:val="99"/>
    <w:semiHidden/>
    <w:rsid w:val="004C0D1A"/>
    <w:rPr>
      <w:rFonts w:ascii="Arial" w:eastAsia="Times New Roman" w:hAnsi="Arial" w:cs="Times New Roman"/>
      <w:sz w:val="18"/>
      <w:szCs w:val="20"/>
      <w:lang w:val="en-GB"/>
    </w:rPr>
  </w:style>
  <w:style w:type="paragraph" w:styleId="EndnoteText">
    <w:name w:val="endnote text"/>
    <w:basedOn w:val="Normal"/>
    <w:link w:val="EndnoteTextChar"/>
    <w:uiPriority w:val="99"/>
    <w:semiHidden/>
    <w:unhideWhenUsed/>
    <w:rsid w:val="004C0D1A"/>
    <w:pPr>
      <w:spacing w:line="240" w:lineRule="auto"/>
    </w:pPr>
  </w:style>
  <w:style w:type="character" w:customStyle="1" w:styleId="EndnoteTextChar">
    <w:name w:val="Endnote Text Char"/>
    <w:basedOn w:val="DefaultParagraphFont"/>
    <w:link w:val="EndnoteText"/>
    <w:uiPriority w:val="99"/>
    <w:semiHidden/>
    <w:rsid w:val="004C0D1A"/>
    <w:rPr>
      <w:rFonts w:ascii="Arial" w:eastAsia="Times New Roman" w:hAnsi="Arial" w:cs="Times New Roman"/>
      <w:sz w:val="18"/>
      <w:szCs w:val="20"/>
      <w:lang w:val="en-GB"/>
    </w:rPr>
  </w:style>
  <w:style w:type="paragraph" w:styleId="IndexHeading">
    <w:name w:val="index heading"/>
    <w:basedOn w:val="Normal"/>
    <w:next w:val="Index1"/>
    <w:uiPriority w:val="99"/>
    <w:semiHidden/>
    <w:unhideWhenUsed/>
    <w:rsid w:val="004C0D1A"/>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4C0D1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C0D1A"/>
    <w:pPr>
      <w:outlineLvl w:val="9"/>
    </w:pPr>
  </w:style>
  <w:style w:type="paragraph" w:customStyle="1" w:styleId="CETemail">
    <w:name w:val="CET email"/>
    <w:next w:val="CETBodytext"/>
    <w:rsid w:val="004C0D1A"/>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4C0D1A"/>
    <w:rPr>
      <w:rFonts w:ascii="Arial" w:eastAsia="Times New Roman" w:hAnsi="Arial" w:cs="Times New Roman"/>
      <w:noProof/>
      <w:sz w:val="16"/>
      <w:szCs w:val="20"/>
      <w:lang w:val="en-GB"/>
    </w:rPr>
  </w:style>
  <w:style w:type="paragraph" w:customStyle="1" w:styleId="CETBodytextBold">
    <w:name w:val="CET Body text (Bold)"/>
    <w:basedOn w:val="CETBodytext"/>
    <w:rsid w:val="004C0D1A"/>
    <w:rPr>
      <w:b/>
    </w:rPr>
  </w:style>
  <w:style w:type="paragraph" w:customStyle="1" w:styleId="CETnumberingbullets">
    <w:name w:val="CET numbering (bullets)"/>
    <w:rsid w:val="004C0D1A"/>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4C0D1A"/>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4C0D1A"/>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4C0D1A"/>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4C0D1A"/>
    <w:rPr>
      <w:rFonts w:ascii="Arial" w:eastAsia="Times New Roman" w:hAnsi="Arial" w:cs="Times New Roman"/>
      <w:sz w:val="18"/>
      <w:szCs w:val="20"/>
      <w:lang w:val="en-GB"/>
    </w:rPr>
  </w:style>
  <w:style w:type="paragraph" w:styleId="Footer">
    <w:name w:val="footer"/>
    <w:basedOn w:val="Normal"/>
    <w:link w:val="FooterChar"/>
    <w:uiPriority w:val="99"/>
    <w:unhideWhenUsed/>
    <w:rsid w:val="004C0D1A"/>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4C0D1A"/>
    <w:rPr>
      <w:rFonts w:ascii="Arial" w:eastAsia="Times New Roman" w:hAnsi="Arial" w:cs="Times New Roman"/>
      <w:sz w:val="18"/>
      <w:szCs w:val="20"/>
      <w:lang w:val="en-GB"/>
    </w:rPr>
  </w:style>
  <w:style w:type="table" w:styleId="TableGrid">
    <w:name w:val="Table Grid"/>
    <w:basedOn w:val="TableNormal"/>
    <w:uiPriority w:val="59"/>
    <w:rsid w:val="004C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D1A"/>
    <w:rPr>
      <w:color w:val="0563C1" w:themeColor="hyperlink"/>
      <w:u w:val="single"/>
    </w:rPr>
  </w:style>
  <w:style w:type="character" w:customStyle="1" w:styleId="eudoraheader">
    <w:name w:val="eudoraheader"/>
    <w:basedOn w:val="DefaultParagraphFont"/>
    <w:rsid w:val="004C0D1A"/>
  </w:style>
  <w:style w:type="paragraph" w:customStyle="1" w:styleId="CETListbullets">
    <w:name w:val="CET List bullets"/>
    <w:qFormat/>
    <w:rsid w:val="004C0D1A"/>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4C0D1A"/>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4C0D1A"/>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4C0D1A"/>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4C0D1A"/>
    <w:pPr>
      <w:spacing w:before="120" w:after="120"/>
      <w:jc w:val="left"/>
    </w:pPr>
    <w:rPr>
      <w:lang w:val="en-GB"/>
    </w:rPr>
  </w:style>
  <w:style w:type="paragraph" w:customStyle="1" w:styleId="CETHeadingxx">
    <w:name w:val="CET Headingxx"/>
    <w:basedOn w:val="CETheadingx"/>
    <w:link w:val="CETHeadingxxChar"/>
    <w:qFormat/>
    <w:rsid w:val="004C0D1A"/>
    <w:pPr>
      <w:numPr>
        <w:ilvl w:val="0"/>
        <w:numId w:val="0"/>
      </w:numPr>
    </w:pPr>
  </w:style>
  <w:style w:type="character" w:customStyle="1" w:styleId="CETHeadingxxChar">
    <w:name w:val="CET Headingxx Char"/>
    <w:basedOn w:val="CETheadingxCarattere"/>
    <w:link w:val="CETHeadingxx"/>
    <w:rsid w:val="004C0D1A"/>
    <w:rPr>
      <w:rFonts w:ascii="Arial" w:eastAsia="Times New Roman" w:hAnsi="Arial" w:cs="Times New Roman"/>
      <w:b/>
      <w:sz w:val="18"/>
      <w:szCs w:val="20"/>
      <w:lang w:val="en-US"/>
    </w:rPr>
  </w:style>
  <w:style w:type="paragraph" w:styleId="ListParagraph">
    <w:name w:val="List Paragraph"/>
    <w:basedOn w:val="Normal"/>
    <w:uiPriority w:val="34"/>
    <w:rsid w:val="004C0D1A"/>
    <w:pPr>
      <w:ind w:left="720"/>
      <w:contextualSpacing/>
    </w:pPr>
  </w:style>
  <w:style w:type="character" w:styleId="UnresolvedMention">
    <w:name w:val="Unresolved Mention"/>
    <w:basedOn w:val="DefaultParagraphFont"/>
    <w:uiPriority w:val="99"/>
    <w:semiHidden/>
    <w:unhideWhenUsed/>
    <w:rsid w:val="004C0D1A"/>
    <w:rPr>
      <w:color w:val="605E5C"/>
      <w:shd w:val="clear" w:color="auto" w:fill="E1DFDD"/>
    </w:rPr>
  </w:style>
  <w:style w:type="paragraph" w:customStyle="1" w:styleId="EndNoteBibliographyTitle">
    <w:name w:val="EndNote Bibliography Title"/>
    <w:basedOn w:val="Normal"/>
    <w:link w:val="EndNoteBibliographyTitleChar"/>
    <w:rsid w:val="004C0D1A"/>
    <w:pPr>
      <w:jc w:val="center"/>
    </w:pPr>
    <w:rPr>
      <w:rFonts w:cs="Arial"/>
      <w:noProof/>
      <w:lang w:val="en-US"/>
    </w:rPr>
  </w:style>
  <w:style w:type="character" w:customStyle="1" w:styleId="EndNoteBibliographyTitleChar">
    <w:name w:val="EndNote Bibliography Title Char"/>
    <w:basedOn w:val="CETBodytextCarattere"/>
    <w:link w:val="EndNoteBibliographyTitle"/>
    <w:rsid w:val="004C0D1A"/>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4C0D1A"/>
    <w:pPr>
      <w:spacing w:line="240" w:lineRule="auto"/>
    </w:pPr>
    <w:rPr>
      <w:rFonts w:cs="Arial"/>
      <w:noProof/>
      <w:lang w:val="en-US"/>
    </w:rPr>
  </w:style>
  <w:style w:type="character" w:customStyle="1" w:styleId="EndNoteBibliographyChar">
    <w:name w:val="EndNote Bibliography Char"/>
    <w:basedOn w:val="CETBodytextCarattere"/>
    <w:link w:val="EndNoteBibliography"/>
    <w:rsid w:val="004C0D1A"/>
    <w:rPr>
      <w:rFonts w:ascii="Arial" w:eastAsia="Times New Roman" w:hAnsi="Arial" w:cs="Arial"/>
      <w:noProof/>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2991</Words>
  <Characters>17055</Characters>
  <Application>Microsoft Office Word</Application>
  <DocSecurity>0</DocSecurity>
  <Lines>142</Lines>
  <Paragraphs>40</Paragraphs>
  <ScaleCrop>false</ScaleCrop>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Zeppilli</dc:creator>
  <cp:keywords/>
  <dc:description/>
  <cp:lastModifiedBy>Marco Zeppilli</cp:lastModifiedBy>
  <cp:revision>1</cp:revision>
  <dcterms:created xsi:type="dcterms:W3CDTF">2024-01-31T17:28:00Z</dcterms:created>
  <dcterms:modified xsi:type="dcterms:W3CDTF">2024-01-31T17:29:00Z</dcterms:modified>
</cp:coreProperties>
</file>