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72C518CF"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w:t>
            </w:r>
            <w:r w:rsidRPr="00F93EDF">
              <w:rPr>
                <w:rFonts w:ascii="Tahoma" w:hAnsi="Tahoma" w:cs="Tahoma"/>
                <w:color w:val="000000"/>
                <w:sz w:val="14"/>
                <w:szCs w:val="14"/>
                <w:shd w:val="clear" w:color="auto" w:fill="FFFFFF"/>
              </w:rPr>
              <w:t xml:space="preserve"> </w:t>
            </w:r>
            <w:proofErr w:type="spellStart"/>
            <w:r w:rsidRPr="00293D18">
              <w:rPr>
                <w:rFonts w:ascii="Tahoma" w:hAnsi="Tahoma" w:cs="Tahoma"/>
                <w:sz w:val="14"/>
                <w:szCs w:val="14"/>
              </w:rPr>
              <w:t>Sauro</w:t>
            </w:r>
            <w:proofErr w:type="spellEnd"/>
            <w:r w:rsidRPr="00293D18">
              <w:rPr>
                <w:rFonts w:ascii="Tahoma" w:hAnsi="Tahoma" w:cs="Tahoma"/>
                <w:sz w:val="14"/>
                <w:szCs w:val="14"/>
              </w:rPr>
              <w:t xml:space="preserve"> </w:t>
            </w:r>
            <w:proofErr w:type="spellStart"/>
            <w:r w:rsidRPr="00293D18">
              <w:rPr>
                <w:rFonts w:ascii="Tahoma" w:hAnsi="Tahoma" w:cs="Tahoma"/>
                <w:sz w:val="14"/>
                <w:szCs w:val="14"/>
              </w:rPr>
              <w:t>Pierucci</w:t>
            </w:r>
            <w:proofErr w:type="spellEnd"/>
          </w:p>
          <w:p w14:paraId="1B0F1814" w14:textId="650290B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6C028EB8" w:rsidR="00E978D0" w:rsidRPr="00B57B36" w:rsidRDefault="00D55C2C" w:rsidP="00D55C2C">
      <w:pPr>
        <w:pStyle w:val="CETTitle"/>
      </w:pPr>
      <w:r w:rsidRPr="00D55C2C">
        <w:t xml:space="preserve">Using </w:t>
      </w:r>
      <w:r w:rsidR="002D7718">
        <w:t>a</w:t>
      </w:r>
      <w:r w:rsidRPr="00D55C2C">
        <w:t xml:space="preserve"> Microdevice </w:t>
      </w:r>
      <w:r w:rsidR="002D7718">
        <w:t>t</w:t>
      </w:r>
      <w:r w:rsidRPr="00D55C2C">
        <w:t xml:space="preserve">o Generate Alginate Droplets </w:t>
      </w:r>
      <w:r w:rsidR="002D7718">
        <w:t>i</w:t>
      </w:r>
      <w:r w:rsidRPr="00D55C2C">
        <w:t>n Sunflower</w:t>
      </w:r>
      <w:r>
        <w:t xml:space="preserve"> Oil</w:t>
      </w:r>
    </w:p>
    <w:p w14:paraId="0488FED2" w14:textId="392A1078" w:rsidR="00B57E6F" w:rsidRPr="00A871D5" w:rsidRDefault="00D55C2C" w:rsidP="00B57E6F">
      <w:pPr>
        <w:pStyle w:val="CETAuthors"/>
        <w:rPr>
          <w:lang w:val="it-IT"/>
        </w:rPr>
      </w:pPr>
      <w:r w:rsidRPr="00A871D5">
        <w:rPr>
          <w:lang w:val="it-IT"/>
        </w:rPr>
        <w:t>Letizia Marchetti</w:t>
      </w:r>
      <w:r w:rsidR="00B57E6F" w:rsidRPr="00A871D5">
        <w:rPr>
          <w:lang w:val="it-IT"/>
        </w:rPr>
        <w:t xml:space="preserve">, </w:t>
      </w:r>
      <w:r w:rsidRPr="00A871D5">
        <w:rPr>
          <w:lang w:val="it-IT"/>
        </w:rPr>
        <w:t>Elena Siniscalco, Matteo Antognoli*, Sara Tomasi Masoni, Roberto Mauri, Chiara Galletti</w:t>
      </w:r>
      <w:r w:rsidR="00E21F00" w:rsidRPr="00A871D5">
        <w:rPr>
          <w:lang w:val="it-IT"/>
        </w:rPr>
        <w:t>, Elisabetta Brunazzi</w:t>
      </w:r>
      <w:r w:rsidR="00B57E6F" w:rsidRPr="00A871D5">
        <w:rPr>
          <w:lang w:val="it-IT"/>
        </w:rPr>
        <w:t xml:space="preserve"> </w:t>
      </w:r>
    </w:p>
    <w:p w14:paraId="6B2D21B3" w14:textId="3BD0AB9D" w:rsidR="00B57E6F" w:rsidRPr="00A871D5" w:rsidRDefault="00D55C2C" w:rsidP="00B57E6F">
      <w:pPr>
        <w:pStyle w:val="CETAddress"/>
        <w:rPr>
          <w:lang w:val="it-IT"/>
        </w:rPr>
      </w:pPr>
      <w:r w:rsidRPr="00A871D5">
        <w:rPr>
          <w:lang w:val="it-IT"/>
        </w:rPr>
        <w:t>Dipartimento di Ingegneria Civile e Industriale, Università di Pisa, Largo Lazzarino 2, 56122 Pisa, Italy;</w:t>
      </w:r>
      <w:r w:rsidR="00B57E6F" w:rsidRPr="00A871D5">
        <w:rPr>
          <w:lang w:val="it-IT"/>
        </w:rPr>
        <w:t xml:space="preserve"> </w:t>
      </w:r>
    </w:p>
    <w:p w14:paraId="73F1267A" w14:textId="115334CD" w:rsidR="00B57E6F" w:rsidRPr="00B57B36" w:rsidRDefault="00A02FA5" w:rsidP="00B57E6F">
      <w:pPr>
        <w:pStyle w:val="CETemail"/>
      </w:pPr>
      <w:r w:rsidRPr="00A02FA5">
        <w:rPr>
          <w:lang w:val="en-US"/>
        </w:rPr>
        <w:t>*m</w:t>
      </w:r>
      <w:r w:rsidR="0069178B">
        <w:t>atteo.antognoli</w:t>
      </w:r>
      <w:r w:rsidR="00B57E6F" w:rsidRPr="00B57B36">
        <w:t>@</w:t>
      </w:r>
      <w:r w:rsidR="0069178B">
        <w:t>phd.unipi.it</w:t>
      </w:r>
    </w:p>
    <w:p w14:paraId="37A61FCE" w14:textId="46F72671" w:rsidR="00DA24C6" w:rsidRDefault="003B3440" w:rsidP="003B3440">
      <w:pPr>
        <w:pStyle w:val="CETBodytext"/>
      </w:pPr>
      <w:r>
        <w:t xml:space="preserve">Microfluidic devices may provide significant technological advancement in the production of micro and nanoparticles of interest in the pharmaceutical sector, for instance, particles used as drug carriers </w:t>
      </w:r>
      <w:r w:rsidR="004A2830">
        <w:t>(</w:t>
      </w:r>
      <w:r w:rsidR="009A00CC">
        <w:t>Yeh</w:t>
      </w:r>
      <w:r w:rsidR="004A2830">
        <w:t xml:space="preserve"> et al., 2013</w:t>
      </w:r>
      <w:r w:rsidR="000453B9">
        <w:t>)</w:t>
      </w:r>
      <w:r>
        <w:t>. Indeed, microfluidics enables the</w:t>
      </w:r>
      <w:r w:rsidR="002D7718">
        <w:t>ir</w:t>
      </w:r>
      <w:r>
        <w:t xml:space="preserve"> production with precise control of the dimensional distribution, not achievable with conventional beaker methods. The </w:t>
      </w:r>
      <w:r w:rsidR="002D7718">
        <w:t xml:space="preserve">particle </w:t>
      </w:r>
      <w:r>
        <w:t xml:space="preserve">size is crucial for the optimal operation, thus representing a key target along with the generation frequency. The device geometry, properties, and flow rates of the fluids are the main parameters that affect the generation process. </w:t>
      </w:r>
      <w:r w:rsidR="002D7718">
        <w:t xml:space="preserve">In this work, we </w:t>
      </w:r>
      <w:r>
        <w:t xml:space="preserve">investigate the production of alginate droplets in an X-shaped microdevice </w:t>
      </w:r>
      <w:r w:rsidR="004A2830" w:rsidRPr="00240320">
        <w:t>(</w:t>
      </w:r>
      <w:proofErr w:type="spellStart"/>
      <w:r w:rsidR="004A2830" w:rsidRPr="00240320">
        <w:t>Tomasi</w:t>
      </w:r>
      <w:proofErr w:type="spellEnd"/>
      <w:r w:rsidR="004A2830" w:rsidRPr="00240320">
        <w:t xml:space="preserve"> </w:t>
      </w:r>
      <w:proofErr w:type="spellStart"/>
      <w:r w:rsidR="004A2830" w:rsidRPr="00240320">
        <w:t>Masoni</w:t>
      </w:r>
      <w:proofErr w:type="spellEnd"/>
      <w:r w:rsidR="004A2830" w:rsidRPr="00240320">
        <w:t xml:space="preserve"> et al.</w:t>
      </w:r>
      <w:r w:rsidR="009A00CC">
        <w:t>, 2022</w:t>
      </w:r>
      <w:r w:rsidR="004A2830" w:rsidRPr="00240320">
        <w:t>)</w:t>
      </w:r>
      <w:r w:rsidRPr="00240320">
        <w:t>.</w:t>
      </w:r>
      <w:r>
        <w:t xml:space="preserve"> More specifically, we feed an alginate solution in sunflower oil working in the dripping regime. Experimental visualizations are carried out for different flow rates and concentrations of the surfactant to comprehend their effect on droplet formation. Interestingly, we identify operating conditions that prevent the formation of satellite droplets to preserve a narrow dimensional distribution.</w:t>
      </w:r>
    </w:p>
    <w:p w14:paraId="67A83EC8" w14:textId="2AA9248A" w:rsidR="00063A2C" w:rsidRDefault="00063A2C" w:rsidP="00063A2C">
      <w:pPr>
        <w:pStyle w:val="CETHeading1"/>
        <w:tabs>
          <w:tab w:val="clear" w:pos="360"/>
          <w:tab w:val="right" w:pos="7100"/>
        </w:tabs>
        <w:jc w:val="both"/>
        <w:rPr>
          <w:lang w:val="en-GB"/>
        </w:rPr>
      </w:pPr>
      <w:r>
        <w:rPr>
          <w:lang w:val="en-GB"/>
        </w:rPr>
        <w:t>Introduction</w:t>
      </w:r>
    </w:p>
    <w:p w14:paraId="6F1E17F0" w14:textId="039A7030" w:rsidR="00DB1236" w:rsidRPr="00DB1236" w:rsidRDefault="00DB1236" w:rsidP="00DB1236">
      <w:pPr>
        <w:pStyle w:val="CETBodytext"/>
        <w:rPr>
          <w:lang w:val="en-GB"/>
        </w:rPr>
      </w:pPr>
      <w:r w:rsidRPr="00DB1236">
        <w:rPr>
          <w:lang w:val="en-GB"/>
        </w:rPr>
        <w:t>Engineered particles are widely used in pharmaceutical and medical fields, as they can carry active pharmaceutical ingredients (APIs) and work as scaffold for cell culture or functionalized surfaces for immuno-essays. Micro and nanoparticles are mostly used for drug delivery purposes (</w:t>
      </w:r>
      <w:proofErr w:type="spellStart"/>
      <w:r w:rsidRPr="00DB1236">
        <w:rPr>
          <w:lang w:val="en-GB"/>
        </w:rPr>
        <w:t>Sarmento</w:t>
      </w:r>
      <w:proofErr w:type="spellEnd"/>
      <w:r w:rsidRPr="00DB1236">
        <w:rPr>
          <w:lang w:val="en-GB"/>
        </w:rPr>
        <w:t xml:space="preserve"> et al., 2007), thanks to their ability to encapsulate, transport, and </w:t>
      </w:r>
      <w:proofErr w:type="gramStart"/>
      <w:r w:rsidRPr="00DB1236">
        <w:rPr>
          <w:lang w:val="en-GB"/>
        </w:rPr>
        <w:t>controlled-release</w:t>
      </w:r>
      <w:proofErr w:type="gramEnd"/>
      <w:r w:rsidRPr="00DB1236">
        <w:rPr>
          <w:lang w:val="en-GB"/>
        </w:rPr>
        <w:t xml:space="preserve"> of APIs in the human body. </w:t>
      </w:r>
    </w:p>
    <w:p w14:paraId="70895263" w14:textId="77777777" w:rsidR="00DB1236" w:rsidRPr="00DB1236" w:rsidRDefault="00DB1236" w:rsidP="00DB1236">
      <w:pPr>
        <w:pStyle w:val="CETBodytext"/>
        <w:rPr>
          <w:lang w:val="en-GB"/>
        </w:rPr>
      </w:pPr>
      <w:r w:rsidRPr="00DB1236">
        <w:rPr>
          <w:lang w:val="en-GB"/>
        </w:rPr>
        <w:t xml:space="preserve">Shape, composition, and size determine the quality of particles and chemical or biochemical processes occurring in the compartmentalized volume of fluid. Nanoparticles are divided into spheres and capsules based on shape. Spheres are constituted by a unique homogeneous matrix, while capsules are formed by an external membrane and an internal cavity. Based on raw materials, the particles are classified into organic and inorganic. In the present work, we focus on spherical organic alginate particles. Alginate is a polymeric substance, a linear polysaccharide composed of β-D-mannuronic acid and α-L-glucuronic acid bound with covalent bonds 1-4. </w:t>
      </w:r>
    </w:p>
    <w:p w14:paraId="5F2A9813" w14:textId="11F7C5D5" w:rsidR="00DB1236" w:rsidRPr="00DB1236" w:rsidRDefault="00DB1236" w:rsidP="00DB1236">
      <w:pPr>
        <w:pStyle w:val="CETBodytext"/>
        <w:rPr>
          <w:lang w:val="en-GB"/>
        </w:rPr>
      </w:pPr>
      <w:r w:rsidRPr="00DB1236">
        <w:rPr>
          <w:lang w:val="en-GB"/>
        </w:rPr>
        <w:t>Alginate particles are used for enzyme delivery (</w:t>
      </w:r>
      <w:proofErr w:type="spellStart"/>
      <w:r w:rsidRPr="00DB1236">
        <w:rPr>
          <w:lang w:val="en-GB"/>
        </w:rPr>
        <w:t>Coppi</w:t>
      </w:r>
      <w:proofErr w:type="spellEnd"/>
      <w:r w:rsidRPr="00DB1236">
        <w:rPr>
          <w:lang w:val="en-GB"/>
        </w:rPr>
        <w:t xml:space="preserve"> et al., 2002), for the encapsulation of microbes (</w:t>
      </w:r>
      <w:proofErr w:type="spellStart"/>
      <w:r w:rsidR="009A00CC" w:rsidRPr="009A00CC">
        <w:t>Kalyanaraman</w:t>
      </w:r>
      <w:proofErr w:type="spellEnd"/>
      <w:r w:rsidR="009A00CC" w:rsidRPr="00DB1236">
        <w:rPr>
          <w:lang w:val="en-GB"/>
        </w:rPr>
        <w:t xml:space="preserve"> </w:t>
      </w:r>
      <w:r w:rsidRPr="00DB1236">
        <w:rPr>
          <w:lang w:val="en-GB"/>
        </w:rPr>
        <w:t xml:space="preserve">et al., 2009), and for the growth of immobilized </w:t>
      </w:r>
      <w:proofErr w:type="spellStart"/>
      <w:r w:rsidRPr="00DB1236">
        <w:rPr>
          <w:lang w:val="en-GB"/>
        </w:rPr>
        <w:t>Desmodesmus</w:t>
      </w:r>
      <w:proofErr w:type="spellEnd"/>
      <w:r w:rsidRPr="00DB1236">
        <w:rPr>
          <w:lang w:val="en-GB"/>
        </w:rPr>
        <w:t xml:space="preserve"> suspicious (de Jesus et al., 2019). </w:t>
      </w:r>
    </w:p>
    <w:p w14:paraId="0018F157" w14:textId="57C66B06" w:rsidR="00DB1236" w:rsidRPr="00DB1236" w:rsidRDefault="00DB1236" w:rsidP="00DB1236">
      <w:pPr>
        <w:pStyle w:val="CETBodytext"/>
        <w:rPr>
          <w:lang w:val="en-GB"/>
        </w:rPr>
      </w:pPr>
      <w:r w:rsidRPr="00DB1236">
        <w:rPr>
          <w:lang w:val="en-GB"/>
        </w:rPr>
        <w:t xml:space="preserve">Sodium alginate is </w:t>
      </w:r>
      <w:r w:rsidR="00506F7A">
        <w:rPr>
          <w:lang w:val="en-GB"/>
        </w:rPr>
        <w:t xml:space="preserve">biodegradable, biocompatible, </w:t>
      </w:r>
      <w:proofErr w:type="gramStart"/>
      <w:r w:rsidRPr="00DB1236">
        <w:rPr>
          <w:lang w:val="en-GB"/>
        </w:rPr>
        <w:t>cheap</w:t>
      </w:r>
      <w:proofErr w:type="gramEnd"/>
      <w:r w:rsidRPr="00DB1236">
        <w:rPr>
          <w:lang w:val="en-GB"/>
        </w:rPr>
        <w:t xml:space="preserve"> and easily available, but it may form highly viscous solutions with water, even at low concentrations, which makes it </w:t>
      </w:r>
      <w:r w:rsidRPr="008C1BB1">
        <w:rPr>
          <w:highlight w:val="yellow"/>
          <w:lang w:val="en-GB"/>
        </w:rPr>
        <w:t xml:space="preserve">difficult </w:t>
      </w:r>
      <w:r w:rsidR="001638B5" w:rsidRPr="008C1BB1">
        <w:rPr>
          <w:highlight w:val="yellow"/>
          <w:lang w:val="en-GB"/>
        </w:rPr>
        <w:t>to handle</w:t>
      </w:r>
      <w:r w:rsidRPr="008C1BB1">
        <w:rPr>
          <w:highlight w:val="yellow"/>
          <w:lang w:val="en-GB"/>
        </w:rPr>
        <w:t xml:space="preserve"> during particle formation</w:t>
      </w:r>
      <w:r w:rsidRPr="00DB1236">
        <w:rPr>
          <w:lang w:val="en-GB"/>
        </w:rPr>
        <w:t xml:space="preserve">. Production methods significantly affect particle quality, especially size, dimensional distribution, and reproducibility, and are divided into batch and microfluidic methods. The batch method includes atomization, coacervation, and </w:t>
      </w:r>
      <w:r w:rsidR="00506F7A">
        <w:rPr>
          <w:lang w:val="en-GB"/>
        </w:rPr>
        <w:t>e</w:t>
      </w:r>
      <w:r w:rsidR="00506F7A" w:rsidRPr="00506F7A">
        <w:rPr>
          <w:lang w:val="en-GB"/>
        </w:rPr>
        <w:t xml:space="preserve">mulsification </w:t>
      </w:r>
      <w:r w:rsidRPr="00DB1236">
        <w:rPr>
          <w:lang w:val="en-GB"/>
        </w:rPr>
        <w:t xml:space="preserve">method. They ensure easy equipment and high productivity, but with poor control of the particle dimension; indeed, it usually requires an additional filtration step to select the target-sized particles. The microfluidic method allows better control of the size distribution, as a microfluidic device generally treats low flow rates of liquid fluids in a small volume. Although this leads to less productivity with respect to the batch method the numbering-up method, i.e., placing several devices in parallel, can overcome the limit and avoid the scale-up procedure.  Moreover, the microfluidic approach is a sustainable choice that ensures savings </w:t>
      </w:r>
      <w:r w:rsidRPr="00DB1236">
        <w:rPr>
          <w:lang w:val="en-GB"/>
        </w:rPr>
        <w:lastRenderedPageBreak/>
        <w:t xml:space="preserve">on energy consumption and quantity of reagent, with a smaller amount of waste. For all these reasons, the microfluidic method has been widely adopted for making particles during the last decade. </w:t>
      </w:r>
    </w:p>
    <w:p w14:paraId="57EF4150" w14:textId="1A2088B8" w:rsidR="00DB1236" w:rsidRPr="00DB1236" w:rsidRDefault="00DB1236" w:rsidP="00DB1236">
      <w:pPr>
        <w:pStyle w:val="CETBodytext"/>
        <w:rPr>
          <w:lang w:val="en-GB"/>
        </w:rPr>
      </w:pPr>
      <w:r w:rsidRPr="00DB1236">
        <w:rPr>
          <w:lang w:val="en-GB"/>
        </w:rPr>
        <w:t>The microfluidic method includes two techniques to produce droplets</w:t>
      </w:r>
      <w:r w:rsidR="002D7718">
        <w:rPr>
          <w:lang w:val="en-GB"/>
        </w:rPr>
        <w:t>, i.e.,</w:t>
      </w:r>
      <w:r w:rsidRPr="00DB1236">
        <w:rPr>
          <w:lang w:val="en-GB"/>
        </w:rPr>
        <w:t xml:space="preserve"> solvent displacement and segmentation. The solvent displacement technique considers two phases: the solvent contains the raw material of the </w:t>
      </w:r>
      <w:r w:rsidR="00506F7A" w:rsidRPr="00DB1236">
        <w:rPr>
          <w:lang w:val="en-GB"/>
        </w:rPr>
        <w:t xml:space="preserve">particles, </w:t>
      </w:r>
      <w:r w:rsidR="00503898">
        <w:rPr>
          <w:lang w:val="en-GB"/>
        </w:rPr>
        <w:t xml:space="preserve">and </w:t>
      </w:r>
      <w:r w:rsidR="00506F7A" w:rsidRPr="00DB1236">
        <w:rPr>
          <w:lang w:val="en-GB"/>
        </w:rPr>
        <w:t>the</w:t>
      </w:r>
      <w:r w:rsidRPr="00DB1236">
        <w:rPr>
          <w:lang w:val="en-GB"/>
        </w:rPr>
        <w:t xml:space="preserve"> antisolvent is made with a substance in which the solvent can be dissolved but the raw material cannot. In this way, when the two phases are fed into the microdevice, the generation of the drops occurs thanks to the transfer of the solvent and the variation of the concentration. The segmentation or pinching method considers two immiscible phases, i.e., </w:t>
      </w:r>
      <w:proofErr w:type="gramStart"/>
      <w:r w:rsidRPr="00DB1236">
        <w:rPr>
          <w:lang w:val="en-GB"/>
        </w:rPr>
        <w:t>continuous</w:t>
      </w:r>
      <w:proofErr w:type="gramEnd"/>
      <w:r w:rsidRPr="00DB1236">
        <w:rPr>
          <w:lang w:val="en-GB"/>
        </w:rPr>
        <w:t xml:space="preserve"> and dispersed phases. When the two phases come into contact in the confluence region two main forces arise: the destabilizing one, as the interfacial force, </w:t>
      </w:r>
      <w:r w:rsidR="00503898">
        <w:rPr>
          <w:lang w:val="en-GB"/>
        </w:rPr>
        <w:t>promote</w:t>
      </w:r>
      <w:r w:rsidRPr="00DB1236">
        <w:rPr>
          <w:lang w:val="en-GB"/>
        </w:rPr>
        <w:t xml:space="preserve"> the formation of the droplet, instead the stabilizing forces, as inertial and viscous forces </w:t>
      </w:r>
      <w:r w:rsidR="00503898">
        <w:rPr>
          <w:lang w:val="en-GB"/>
        </w:rPr>
        <w:t>favour</w:t>
      </w:r>
      <w:r w:rsidRPr="00DB1236">
        <w:rPr>
          <w:lang w:val="en-GB"/>
        </w:rPr>
        <w:t xml:space="preserve"> the jet extension. The ratio between these forces influences the flow features, leading to the different flow regimes in the microdevice: the dripping, squeezing, and jetting regime. In the dripping regime, the droplet is formed in the confluence region, with a characteristic size smaller than that of the microchannels. In the squeezing regime, the droplet size is bigger than the characteristic size of microchannels. Instead, the jetting regime provides the droplet formation downstream of the jet extension. Hence, a suitable regime for making engineered particles is the dripping flow, as it ensures better control over the size of the droplets and narrow size distribution. The segmentation method can be applied to form uniform droplets of sodium alginate, that can be jellified in a batch of calcium chloride in a second phase (Chan et al.</w:t>
      </w:r>
      <w:r w:rsidR="009A00CC">
        <w:rPr>
          <w:lang w:val="en-GB"/>
        </w:rPr>
        <w:t>, 2009</w:t>
      </w:r>
      <w:r w:rsidRPr="00DB1236">
        <w:rPr>
          <w:lang w:val="en-GB"/>
        </w:rPr>
        <w:t>).</w:t>
      </w:r>
    </w:p>
    <w:p w14:paraId="00DFE21E" w14:textId="401E973F" w:rsidR="00DB1236" w:rsidRDefault="00DB1236" w:rsidP="00DB1236">
      <w:pPr>
        <w:pStyle w:val="CETBodytext"/>
        <w:rPr>
          <w:lang w:val="en-GB"/>
        </w:rPr>
      </w:pPr>
      <w:r w:rsidRPr="00DB1236">
        <w:rPr>
          <w:lang w:val="en-GB"/>
        </w:rPr>
        <w:t xml:space="preserve">Therefore, this work aims to investigate the microfluidic production of alginate </w:t>
      </w:r>
      <w:r w:rsidR="002D7718">
        <w:rPr>
          <w:lang w:val="en-GB"/>
        </w:rPr>
        <w:t>droplets</w:t>
      </w:r>
      <w:r w:rsidR="002D7718" w:rsidRPr="00DB1236">
        <w:rPr>
          <w:lang w:val="en-GB"/>
        </w:rPr>
        <w:t xml:space="preserve"> </w:t>
      </w:r>
      <w:r w:rsidRPr="00DB1236">
        <w:rPr>
          <w:lang w:val="en-GB"/>
        </w:rPr>
        <w:t>with the pinching technique in an X-shaped microdevice</w:t>
      </w:r>
      <w:r w:rsidR="00A86FAE">
        <w:rPr>
          <w:lang w:val="en-GB"/>
        </w:rPr>
        <w:t xml:space="preserve"> presenting square cross-section</w:t>
      </w:r>
      <w:r w:rsidRPr="00DB1236">
        <w:rPr>
          <w:lang w:val="en-GB"/>
        </w:rPr>
        <w:t xml:space="preserve">. The </w:t>
      </w:r>
      <w:r w:rsidR="00A86FAE">
        <w:rPr>
          <w:lang w:val="en-GB"/>
        </w:rPr>
        <w:t>channel characteristic size</w:t>
      </w:r>
      <w:r w:rsidRPr="00DB1236">
        <w:rPr>
          <w:lang w:val="en-GB"/>
        </w:rPr>
        <w:t xml:space="preserve"> is 1 mm to allow us to test the production of microparticles using a highly viscous sodium alginate solution and reduce the chance of channel clogging. The operating conditions are spanned to optimize the droplet formation process.</w:t>
      </w:r>
    </w:p>
    <w:p w14:paraId="07E7EE29" w14:textId="61C211AF" w:rsidR="00063A2C" w:rsidRDefault="00063A2C" w:rsidP="003B3440">
      <w:pPr>
        <w:pStyle w:val="CETHeading1"/>
        <w:tabs>
          <w:tab w:val="clear" w:pos="360"/>
          <w:tab w:val="right" w:pos="7100"/>
        </w:tabs>
        <w:jc w:val="both"/>
        <w:rPr>
          <w:lang w:val="en-GB"/>
        </w:rPr>
      </w:pPr>
      <w:r>
        <w:rPr>
          <w:lang w:val="en-GB"/>
        </w:rPr>
        <w:t xml:space="preserve">Experimental Setup </w:t>
      </w:r>
    </w:p>
    <w:p w14:paraId="7E3A9B16" w14:textId="7B11866C" w:rsidR="000420E4" w:rsidRDefault="007A4537" w:rsidP="000420E4">
      <w:pPr>
        <w:pStyle w:val="CETBodytext"/>
        <w:rPr>
          <w:lang w:val="en-GB"/>
        </w:rPr>
      </w:pPr>
      <w:r>
        <w:rPr>
          <w:lang w:val="en-GB"/>
        </w:rPr>
        <w:fldChar w:fldCharType="begin"/>
      </w:r>
      <w:r>
        <w:rPr>
          <w:lang w:val="en-GB"/>
        </w:rPr>
        <w:instrText xml:space="preserve"> REF _Ref126763846 \h </w:instrText>
      </w:r>
      <w:r>
        <w:rPr>
          <w:lang w:val="en-GB"/>
        </w:rPr>
      </w:r>
      <w:r>
        <w:rPr>
          <w:lang w:val="en-GB"/>
        </w:rPr>
        <w:fldChar w:fldCharType="separate"/>
      </w:r>
      <w:r w:rsidR="006D5E6D">
        <w:t xml:space="preserve">Figure </w:t>
      </w:r>
      <w:r w:rsidR="006D5E6D">
        <w:rPr>
          <w:noProof/>
        </w:rPr>
        <w:t>1</w:t>
      </w:r>
      <w:r>
        <w:rPr>
          <w:lang w:val="en-GB"/>
        </w:rPr>
        <w:fldChar w:fldCharType="end"/>
      </w:r>
      <w:r>
        <w:rPr>
          <w:lang w:val="en-GB"/>
        </w:rPr>
        <w:t xml:space="preserve"> </w:t>
      </w:r>
      <w:r w:rsidR="001509D8">
        <w:rPr>
          <w:lang w:val="en-GB"/>
        </w:rPr>
        <w:t>shows t</w:t>
      </w:r>
      <w:r w:rsidR="000420E4">
        <w:rPr>
          <w:lang w:val="en-GB"/>
        </w:rPr>
        <w:t>he X-shaped microdevice</w:t>
      </w:r>
      <w:r w:rsidR="001509D8">
        <w:rPr>
          <w:lang w:val="en-GB"/>
        </w:rPr>
        <w:t>, which</w:t>
      </w:r>
      <w:r w:rsidR="000420E4">
        <w:rPr>
          <w:lang w:val="en-GB"/>
        </w:rPr>
        <w:t xml:space="preserve"> consists of four identical channels in a flow-focusing configuration, i.e., three inlets and one outlet, with a square cross-section </w:t>
      </w:r>
      <w:r w:rsidR="006D38DD">
        <w:rPr>
          <w:lang w:val="en-GB"/>
        </w:rPr>
        <w:t xml:space="preserve">of </w:t>
      </w:r>
      <w:r w:rsidR="000420E4">
        <w:rPr>
          <w:lang w:val="en-GB"/>
        </w:rPr>
        <w:t xml:space="preserve">1 mm </w:t>
      </w:r>
      <w:r w:rsidR="00E1688C">
        <w:rPr>
          <w:rFonts w:ascii="Times New Roman" w:hAnsi="Times New Roman"/>
          <w:lang w:val="en-GB"/>
        </w:rPr>
        <w:t>ⅹ</w:t>
      </w:r>
      <m:oMath>
        <m:r>
          <w:rPr>
            <w:rFonts w:ascii="Cambria Math" w:hAnsi="Cambria Math"/>
            <w:lang w:val="en-GB"/>
          </w:rPr>
          <m:t xml:space="preserve"> </m:t>
        </m:r>
      </m:oMath>
      <w:r w:rsidR="000420E4">
        <w:rPr>
          <w:lang w:val="en-GB"/>
        </w:rPr>
        <w:t xml:space="preserve">1 mm. The length of the channels is 60 mm. </w:t>
      </w:r>
      <w:r w:rsidR="000420E4" w:rsidRPr="002408C7">
        <w:rPr>
          <w:lang w:val="en-GB"/>
        </w:rPr>
        <w:t>The micro</w:t>
      </w:r>
      <w:r w:rsidR="000420E4">
        <w:rPr>
          <w:lang w:val="en-GB"/>
        </w:rPr>
        <w:t>device</w:t>
      </w:r>
      <w:r w:rsidR="000420E4" w:rsidRPr="002408C7">
        <w:rPr>
          <w:lang w:val="en-GB"/>
        </w:rPr>
        <w:t xml:space="preserve"> </w:t>
      </w:r>
      <w:r w:rsidR="000420E4">
        <w:rPr>
          <w:lang w:val="en-GB"/>
        </w:rPr>
        <w:t xml:space="preserve">is made with </w:t>
      </w:r>
      <w:r w:rsidR="000420E4" w:rsidRPr="002408C7">
        <w:rPr>
          <w:lang w:val="en-GB"/>
        </w:rPr>
        <w:t>three layers of polymethylmethacrylate (PMMA), which are sealed with</w:t>
      </w:r>
      <w:r w:rsidR="000420E4">
        <w:rPr>
          <w:lang w:val="en-GB"/>
        </w:rPr>
        <w:t xml:space="preserve"> </w:t>
      </w:r>
      <w:r w:rsidR="000420E4" w:rsidRPr="002408C7">
        <w:rPr>
          <w:lang w:val="en-GB"/>
        </w:rPr>
        <w:t>two double-sided (Nitto-Denko, 597A-597AP) adhesive films, having an</w:t>
      </w:r>
      <w:r w:rsidR="000420E4">
        <w:rPr>
          <w:lang w:val="en-GB"/>
        </w:rPr>
        <w:t xml:space="preserve"> </w:t>
      </w:r>
      <w:r w:rsidR="000420E4" w:rsidRPr="002408C7">
        <w:rPr>
          <w:lang w:val="en-GB"/>
        </w:rPr>
        <w:t xml:space="preserve">overall thickness equal to 50 </w:t>
      </w:r>
      <m:oMath>
        <m:r>
          <m:rPr>
            <m:sty m:val="p"/>
          </m:rPr>
          <w:rPr>
            <w:rFonts w:ascii="Cambria Math" w:hAnsi="Cambria Math"/>
            <w:lang w:val="en-GB"/>
          </w:rPr>
          <m:t>μ</m:t>
        </m:r>
      </m:oMath>
      <w:r w:rsidR="000420E4" w:rsidRPr="002408C7">
        <w:rPr>
          <w:lang w:val="en-GB"/>
        </w:rPr>
        <w:t>m before being tightened with screws.</w:t>
      </w:r>
      <w:r w:rsidR="000420E4">
        <w:rPr>
          <w:lang w:val="en-GB"/>
        </w:rPr>
        <w:t xml:space="preserve"> </w:t>
      </w:r>
      <w:r w:rsidR="000420E4" w:rsidRPr="002408C7">
        <w:rPr>
          <w:lang w:val="en-GB"/>
        </w:rPr>
        <w:t>The central layer, which is 1 mm thick, has an X-shape cut,</w:t>
      </w:r>
      <w:r w:rsidR="000420E4">
        <w:rPr>
          <w:lang w:val="en-GB"/>
        </w:rPr>
        <w:t xml:space="preserve"> </w:t>
      </w:r>
      <w:r w:rsidR="000420E4" w:rsidRPr="002408C7">
        <w:rPr>
          <w:lang w:val="en-GB"/>
        </w:rPr>
        <w:t>while the top and bottom layers have a thickness of 3 mm each.</w:t>
      </w:r>
    </w:p>
    <w:p w14:paraId="7CA94398" w14:textId="091D3BC4" w:rsidR="00634941" w:rsidRDefault="00634941" w:rsidP="000420E4">
      <w:pPr>
        <w:pStyle w:val="CETBodytext"/>
        <w:rPr>
          <w:lang w:val="en-GB"/>
        </w:rPr>
      </w:pPr>
    </w:p>
    <w:p w14:paraId="4EACED21" w14:textId="77777777" w:rsidR="00516378" w:rsidRDefault="00634941" w:rsidP="00516378">
      <w:pPr>
        <w:pStyle w:val="CETBodytext"/>
        <w:keepNext/>
      </w:pPr>
      <w:r>
        <w:rPr>
          <w:noProof/>
        </w:rPr>
        <w:drawing>
          <wp:inline distT="0" distB="0" distL="0" distR="0" wp14:anchorId="6ECF95F9" wp14:editId="3F631118">
            <wp:extent cx="2079639" cy="18000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9639" cy="1800000"/>
                    </a:xfrm>
                    <a:prstGeom prst="rect">
                      <a:avLst/>
                    </a:prstGeom>
                    <a:noFill/>
                    <a:ln>
                      <a:noFill/>
                    </a:ln>
                  </pic:spPr>
                </pic:pic>
              </a:graphicData>
            </a:graphic>
          </wp:inline>
        </w:drawing>
      </w:r>
    </w:p>
    <w:p w14:paraId="7A5B7958" w14:textId="15B4FD60" w:rsidR="00634941" w:rsidRDefault="00516378" w:rsidP="00516378">
      <w:pPr>
        <w:pStyle w:val="CETCaption"/>
      </w:pPr>
      <w:bookmarkStart w:id="0" w:name="_Ref126763846"/>
      <w:r>
        <w:t xml:space="preserve">Figure </w:t>
      </w:r>
      <w:r>
        <w:fldChar w:fldCharType="begin"/>
      </w:r>
      <w:r>
        <w:instrText xml:space="preserve"> SEQ Figure \* ARABIC </w:instrText>
      </w:r>
      <w:r>
        <w:fldChar w:fldCharType="separate"/>
      </w:r>
      <w:r w:rsidR="006D5E6D">
        <w:rPr>
          <w:noProof/>
        </w:rPr>
        <w:t>1</w:t>
      </w:r>
      <w:r>
        <w:fldChar w:fldCharType="end"/>
      </w:r>
      <w:bookmarkEnd w:id="0"/>
      <w:r>
        <w:t xml:space="preserve"> Picture of the fabricated PMMA X-shaped microdevice for the experiments.</w:t>
      </w:r>
    </w:p>
    <w:p w14:paraId="295CA0E4" w14:textId="5693A2B4" w:rsidR="000420E4" w:rsidRDefault="000420E4" w:rsidP="00FC0013">
      <w:pPr>
        <w:pStyle w:val="CETBodytext"/>
        <w:tabs>
          <w:tab w:val="left" w:pos="567"/>
        </w:tabs>
        <w:rPr>
          <w:lang w:val="en-GB"/>
        </w:rPr>
      </w:pPr>
      <w:r>
        <w:rPr>
          <w:lang w:val="en-GB"/>
        </w:rPr>
        <w:t xml:space="preserve">One of the inlet channels is fed with an </w:t>
      </w:r>
      <w:r w:rsidRPr="00445D09">
        <w:rPr>
          <w:lang w:val="en-GB"/>
        </w:rPr>
        <w:t>aqueous solution of alginate</w:t>
      </w:r>
      <w:r>
        <w:rPr>
          <w:lang w:val="en-GB"/>
        </w:rPr>
        <w:t>, which is the disperse</w:t>
      </w:r>
      <w:r w:rsidR="002D7718">
        <w:rPr>
          <w:lang w:val="en-GB"/>
        </w:rPr>
        <w:t>d</w:t>
      </w:r>
      <w:r>
        <w:rPr>
          <w:lang w:val="en-GB"/>
        </w:rPr>
        <w:t xml:space="preserve"> phase, and the </w:t>
      </w:r>
      <w:r w:rsidRPr="00445D09">
        <w:rPr>
          <w:lang w:val="en-GB"/>
        </w:rPr>
        <w:t xml:space="preserve">other two </w:t>
      </w:r>
      <w:r>
        <w:rPr>
          <w:lang w:val="en-GB"/>
        </w:rPr>
        <w:t xml:space="preserve">opposite </w:t>
      </w:r>
      <w:r w:rsidRPr="00445D09">
        <w:rPr>
          <w:lang w:val="en-GB"/>
        </w:rPr>
        <w:t xml:space="preserve">channels are fed with </w:t>
      </w:r>
      <w:r w:rsidR="00C33BA9">
        <w:rPr>
          <w:lang w:val="en-GB"/>
        </w:rPr>
        <w:t xml:space="preserve">the continuous phase. </w:t>
      </w:r>
      <w:r w:rsidR="00DB4B04">
        <w:rPr>
          <w:lang w:val="en-GB"/>
        </w:rPr>
        <w:t xml:space="preserve">The dispersed phase is prepared by dissolving sodium alginate (CAS No. </w:t>
      </w:r>
      <w:r w:rsidR="00DB4B04" w:rsidRPr="004F02D0">
        <w:rPr>
          <w:lang w:val="en-GB"/>
        </w:rPr>
        <w:t>9005-38-3</w:t>
      </w:r>
      <w:r w:rsidR="00DB4B04">
        <w:rPr>
          <w:lang w:val="en-GB"/>
        </w:rPr>
        <w:t xml:space="preserve">, Sigma Aldrich, </w:t>
      </w:r>
      <w:proofErr w:type="spellStart"/>
      <w:r w:rsidR="00DB4B04" w:rsidRPr="004F02D0">
        <w:rPr>
          <w:lang w:val="en-GB"/>
        </w:rPr>
        <w:t>Steinheim</w:t>
      </w:r>
      <w:proofErr w:type="spellEnd"/>
      <w:r w:rsidR="00DB4B04" w:rsidRPr="004F02D0">
        <w:rPr>
          <w:lang w:val="en-GB"/>
        </w:rPr>
        <w:t>, Germ</w:t>
      </w:r>
      <w:r w:rsidR="00DB4B04">
        <w:rPr>
          <w:lang w:val="en-GB"/>
        </w:rPr>
        <w:t>any)</w:t>
      </w:r>
      <w:r w:rsidR="00DB4B04" w:rsidRPr="004F02D0">
        <w:rPr>
          <w:lang w:val="en-GB"/>
        </w:rPr>
        <w:t xml:space="preserve"> </w:t>
      </w:r>
      <w:r w:rsidR="00DB4B04">
        <w:rPr>
          <w:lang w:val="en-GB"/>
        </w:rPr>
        <w:t xml:space="preserve">in deionized water, with a concentration of 2 </w:t>
      </w:r>
      <w:proofErr w:type="spellStart"/>
      <w:r w:rsidR="00DB4B04">
        <w:rPr>
          <w:lang w:val="en-GB"/>
        </w:rPr>
        <w:t>wt</w:t>
      </w:r>
      <w:proofErr w:type="spellEnd"/>
      <w:r w:rsidR="00DB4B04">
        <w:rPr>
          <w:lang w:val="en-GB"/>
        </w:rPr>
        <w:t xml:space="preserve">%. </w:t>
      </w:r>
      <w:r w:rsidR="00C33BA9" w:rsidRPr="00DB4B04">
        <w:rPr>
          <w:highlight w:val="yellow"/>
          <w:lang w:val="en-GB"/>
        </w:rPr>
        <w:t>To single out the effect of the surfactant, two different continuous phases are prepared: the first one</w:t>
      </w:r>
      <w:r w:rsidR="00DB4B04" w:rsidRPr="00DB4B04">
        <w:rPr>
          <w:highlight w:val="yellow"/>
          <w:lang w:val="en-GB"/>
        </w:rPr>
        <w:t xml:space="preserve"> is made </w:t>
      </w:r>
      <w:r w:rsidR="004444CC">
        <w:rPr>
          <w:highlight w:val="yellow"/>
          <w:lang w:val="en-GB"/>
        </w:rPr>
        <w:t>of</w:t>
      </w:r>
      <w:r w:rsidR="00DB4B04" w:rsidRPr="00DB4B04">
        <w:rPr>
          <w:highlight w:val="yellow"/>
          <w:lang w:val="en-GB"/>
        </w:rPr>
        <w:t xml:space="preserve"> sunflower oil and</w:t>
      </w:r>
      <w:r w:rsidR="00C33BA9" w:rsidRPr="00DB4B04">
        <w:rPr>
          <w:highlight w:val="yellow"/>
          <w:lang w:val="en-GB"/>
        </w:rPr>
        <w:t xml:space="preserve"> 0.5 </w:t>
      </w:r>
      <w:proofErr w:type="spellStart"/>
      <w:r w:rsidR="00C33BA9" w:rsidRPr="00DB4B04">
        <w:rPr>
          <w:highlight w:val="yellow"/>
          <w:lang w:val="en-GB"/>
        </w:rPr>
        <w:t>wt</w:t>
      </w:r>
      <w:proofErr w:type="spellEnd"/>
      <w:r w:rsidR="00C33BA9" w:rsidRPr="00DB4B04">
        <w:rPr>
          <w:highlight w:val="yellow"/>
          <w:lang w:val="en-GB"/>
        </w:rPr>
        <w:t>%</w:t>
      </w:r>
      <w:r w:rsidRPr="00DB4B04">
        <w:rPr>
          <w:highlight w:val="yellow"/>
          <w:lang w:val="en-GB"/>
        </w:rPr>
        <w:t xml:space="preserve"> </w:t>
      </w:r>
      <w:r w:rsidR="00C33BA9" w:rsidRPr="00DB4B04">
        <w:rPr>
          <w:highlight w:val="yellow"/>
          <w:lang w:val="en-GB"/>
        </w:rPr>
        <w:t>of Span 80 (CAS No. 1338-43-8, Sigma Aldrich, St. Louis, USA) and the second one</w:t>
      </w:r>
      <w:r w:rsidR="00DB4B04" w:rsidRPr="00DB4B04">
        <w:rPr>
          <w:highlight w:val="yellow"/>
          <w:lang w:val="en-GB"/>
        </w:rPr>
        <w:t xml:space="preserve"> is made only </w:t>
      </w:r>
      <w:r w:rsidR="004444CC">
        <w:rPr>
          <w:highlight w:val="yellow"/>
          <w:lang w:val="en-GB"/>
        </w:rPr>
        <w:t>of</w:t>
      </w:r>
      <w:r w:rsidR="00DB4B04" w:rsidRPr="00DB4B04">
        <w:rPr>
          <w:highlight w:val="yellow"/>
          <w:lang w:val="en-GB"/>
        </w:rPr>
        <w:t xml:space="preserve"> sunflower oil</w:t>
      </w:r>
      <w:r w:rsidR="00C33BA9" w:rsidRPr="00DB4B04">
        <w:rPr>
          <w:highlight w:val="yellow"/>
          <w:lang w:val="en-GB"/>
        </w:rPr>
        <w:t>.</w:t>
      </w:r>
      <w:r w:rsidR="00C33BA9">
        <w:rPr>
          <w:lang w:val="en-GB"/>
        </w:rPr>
        <w:t xml:space="preserve"> The surface tension between the two phases is measured with a r</w:t>
      </w:r>
      <w:r w:rsidR="00C33BA9" w:rsidRPr="00890807">
        <w:rPr>
          <w:lang w:val="en-GB"/>
        </w:rPr>
        <w:t>ing tensiometer</w:t>
      </w:r>
      <w:r w:rsidR="00C33BA9">
        <w:rPr>
          <w:lang w:val="en-GB"/>
        </w:rPr>
        <w:t xml:space="preserve"> finding that the Span 80 surfactant can significantly decrease the surface tension from </w:t>
      </w:r>
      <w:r w:rsidR="00C33BA9" w:rsidRPr="00ED44EB">
        <w:rPr>
          <w:lang w:val="en-GB"/>
        </w:rPr>
        <w:t xml:space="preserve">0.038 </w:t>
      </w:r>
      <w:proofErr w:type="spellStart"/>
      <w:r w:rsidR="00C33BA9" w:rsidRPr="00ED44EB">
        <w:rPr>
          <w:lang w:val="en-GB"/>
        </w:rPr>
        <w:t>N</w:t>
      </w:r>
      <w:r w:rsidR="00C33BA9" w:rsidRPr="00ED44EB">
        <w:rPr>
          <w:rFonts w:cs="Arial"/>
          <w:lang w:val="en-GB"/>
        </w:rPr>
        <w:t>·</w:t>
      </w:r>
      <w:r w:rsidR="00C33BA9" w:rsidRPr="00ED44EB">
        <w:rPr>
          <w:lang w:val="en-GB"/>
        </w:rPr>
        <w:t>m</w:t>
      </w:r>
      <w:proofErr w:type="spellEnd"/>
      <w:r w:rsidR="00C33BA9" w:rsidRPr="00ED44EB">
        <w:rPr>
          <w:lang w:val="en-GB"/>
        </w:rPr>
        <w:t xml:space="preserve"> to 0.020 </w:t>
      </w:r>
      <w:proofErr w:type="spellStart"/>
      <w:r w:rsidR="00C33BA9" w:rsidRPr="00ED44EB">
        <w:rPr>
          <w:lang w:val="en-GB"/>
        </w:rPr>
        <w:t>N</w:t>
      </w:r>
      <w:r w:rsidR="00C33BA9" w:rsidRPr="00ED44EB">
        <w:rPr>
          <w:rFonts w:cs="Arial"/>
          <w:lang w:val="en-GB"/>
        </w:rPr>
        <w:t>·</w:t>
      </w:r>
      <w:r w:rsidR="00C33BA9" w:rsidRPr="00ED44EB">
        <w:rPr>
          <w:lang w:val="en-GB"/>
        </w:rPr>
        <w:t>m</w:t>
      </w:r>
      <w:proofErr w:type="spellEnd"/>
      <w:r w:rsidR="00C33BA9" w:rsidRPr="00ED44EB">
        <w:rPr>
          <w:lang w:val="en-GB"/>
        </w:rPr>
        <w:t>.</w:t>
      </w:r>
      <w:r w:rsidR="00DB4B04">
        <w:rPr>
          <w:lang w:val="en-GB"/>
        </w:rPr>
        <w:t xml:space="preserve"> </w:t>
      </w:r>
      <w:r w:rsidR="00DB4B04" w:rsidRPr="00DB4B04">
        <w:rPr>
          <w:highlight w:val="yellow"/>
          <w:lang w:val="en-GB"/>
        </w:rPr>
        <w:t>Density and viscosity are not affected by the addition of the surfactant.</w:t>
      </w:r>
    </w:p>
    <w:p w14:paraId="61951515" w14:textId="329B6D2A" w:rsidR="000420E4" w:rsidRDefault="000420E4" w:rsidP="00356C69">
      <w:pPr>
        <w:pStyle w:val="CETBodytext"/>
        <w:rPr>
          <w:lang w:val="en-GB"/>
        </w:rPr>
      </w:pPr>
      <w:r>
        <w:rPr>
          <w:lang w:val="en-GB"/>
        </w:rPr>
        <w:t xml:space="preserve">The physical properties of the two solutions are summarized in </w:t>
      </w:r>
      <w:r w:rsidR="007A4537">
        <w:rPr>
          <w:lang w:val="en-GB"/>
        </w:rPr>
        <w:fldChar w:fldCharType="begin"/>
      </w:r>
      <w:r w:rsidR="007A4537">
        <w:rPr>
          <w:lang w:val="en-GB"/>
        </w:rPr>
        <w:instrText xml:space="preserve"> REF _Ref126763870 \h </w:instrText>
      </w:r>
      <w:r w:rsidR="007A4537">
        <w:rPr>
          <w:lang w:val="en-GB"/>
        </w:rPr>
      </w:r>
      <w:r w:rsidR="007A4537">
        <w:rPr>
          <w:lang w:val="en-GB"/>
        </w:rPr>
        <w:fldChar w:fldCharType="separate"/>
      </w:r>
      <w:r w:rsidR="006D5E6D">
        <w:t xml:space="preserve">Table </w:t>
      </w:r>
      <w:r w:rsidR="006D5E6D">
        <w:rPr>
          <w:noProof/>
        </w:rPr>
        <w:t>1</w:t>
      </w:r>
      <w:r w:rsidR="007A4537">
        <w:rPr>
          <w:lang w:val="en-GB"/>
        </w:rPr>
        <w:fldChar w:fldCharType="end"/>
      </w:r>
      <w:r>
        <w:rPr>
          <w:lang w:val="en-GB"/>
        </w:rPr>
        <w:t xml:space="preserve">. The density is </w:t>
      </w:r>
      <w:r w:rsidR="00E53599">
        <w:rPr>
          <w:lang w:val="en-GB"/>
        </w:rPr>
        <w:t xml:space="preserve">obtained </w:t>
      </w:r>
      <w:r>
        <w:rPr>
          <w:lang w:val="en-GB"/>
        </w:rPr>
        <w:t xml:space="preserve">from </w:t>
      </w:r>
      <w:r w:rsidR="004C3ECC">
        <w:rPr>
          <w:lang w:val="en-GB"/>
        </w:rPr>
        <w:t xml:space="preserve">the </w:t>
      </w:r>
      <w:r>
        <w:rPr>
          <w:lang w:val="en-GB"/>
        </w:rPr>
        <w:t>literature</w:t>
      </w:r>
      <w:r w:rsidR="007A0770">
        <w:rPr>
          <w:lang w:val="en-GB"/>
        </w:rPr>
        <w:t xml:space="preserve"> </w:t>
      </w:r>
      <w:r w:rsidR="007A0770" w:rsidRPr="003A048C">
        <w:rPr>
          <w:lang w:val="en-GB"/>
        </w:rPr>
        <w:t xml:space="preserve">(Del </w:t>
      </w:r>
      <w:proofErr w:type="spellStart"/>
      <w:r w:rsidR="007A0770" w:rsidRPr="003A048C">
        <w:rPr>
          <w:lang w:val="en-GB"/>
        </w:rPr>
        <w:t>Gaudio</w:t>
      </w:r>
      <w:proofErr w:type="spellEnd"/>
      <w:r w:rsidR="007A0770" w:rsidRPr="003A048C">
        <w:rPr>
          <w:lang w:val="en-GB"/>
        </w:rPr>
        <w:t xml:space="preserve"> P. et al.</w:t>
      </w:r>
      <w:r w:rsidR="00261273">
        <w:rPr>
          <w:lang w:val="en-GB"/>
        </w:rPr>
        <w:t>, 2005</w:t>
      </w:r>
      <w:r w:rsidR="007A0770" w:rsidRPr="003A048C">
        <w:rPr>
          <w:lang w:val="en-GB"/>
        </w:rPr>
        <w:t>)</w:t>
      </w:r>
      <w:r w:rsidR="002D7718">
        <w:rPr>
          <w:lang w:val="en-GB"/>
        </w:rPr>
        <w:t>;</w:t>
      </w:r>
      <w:r w:rsidR="00E53599">
        <w:rPr>
          <w:lang w:val="en-GB"/>
        </w:rPr>
        <w:t xml:space="preserve"> </w:t>
      </w:r>
      <w:r>
        <w:rPr>
          <w:lang w:val="en-GB"/>
        </w:rPr>
        <w:t xml:space="preserve">instead, the viscosity is directly measured with the </w:t>
      </w:r>
      <w:proofErr w:type="spellStart"/>
      <w:r>
        <w:rPr>
          <w:lang w:val="en-GB"/>
        </w:rPr>
        <w:t>Ubbelohde</w:t>
      </w:r>
      <w:proofErr w:type="spellEnd"/>
      <w:r>
        <w:rPr>
          <w:lang w:val="en-GB"/>
        </w:rPr>
        <w:t xml:space="preserve"> viscosimeter</w:t>
      </w:r>
      <w:r w:rsidR="00E53599">
        <w:rPr>
          <w:lang w:val="en-GB"/>
        </w:rPr>
        <w:t xml:space="preserve"> by averaging the resulting values achieved from three experiments</w:t>
      </w:r>
      <w:r>
        <w:rPr>
          <w:lang w:val="en-GB"/>
        </w:rPr>
        <w:t>.</w:t>
      </w:r>
      <w:r w:rsidR="00E1688C">
        <w:rPr>
          <w:lang w:val="en-GB"/>
        </w:rPr>
        <w:t xml:space="preserve"> </w:t>
      </w:r>
    </w:p>
    <w:p w14:paraId="295F8CE1" w14:textId="77777777" w:rsidR="000420E4" w:rsidRDefault="000420E4" w:rsidP="000420E4">
      <w:pPr>
        <w:pStyle w:val="CETBodytext"/>
        <w:rPr>
          <w:lang w:val="en-GB"/>
        </w:rPr>
      </w:pPr>
    </w:p>
    <w:p w14:paraId="08EE63ED" w14:textId="0B132881" w:rsidR="00516378" w:rsidRDefault="00516378" w:rsidP="00516378">
      <w:pPr>
        <w:pStyle w:val="CETTabletitle"/>
      </w:pPr>
      <w:bookmarkStart w:id="1" w:name="_Ref126763870"/>
      <w:r>
        <w:t xml:space="preserve">Table </w:t>
      </w:r>
      <w:r>
        <w:fldChar w:fldCharType="begin"/>
      </w:r>
      <w:r>
        <w:instrText xml:space="preserve"> SEQ Table \* ARABIC </w:instrText>
      </w:r>
      <w:r>
        <w:fldChar w:fldCharType="separate"/>
      </w:r>
      <w:r w:rsidR="006D5E6D">
        <w:rPr>
          <w:noProof/>
        </w:rPr>
        <w:t>1</w:t>
      </w:r>
      <w:r>
        <w:fldChar w:fldCharType="end"/>
      </w:r>
      <w:bookmarkEnd w:id="1"/>
      <w:r>
        <w:t xml:space="preserve"> </w:t>
      </w:r>
      <w:r w:rsidRPr="004D484F">
        <w:t>Physical properties of the working fluids (the reference temperature is 25°C)</w:t>
      </w:r>
      <w:r>
        <w:t>.</w:t>
      </w:r>
    </w:p>
    <w:tbl>
      <w:tblPr>
        <w:tblStyle w:val="Tabellasemplice-2"/>
        <w:tblW w:w="0" w:type="auto"/>
        <w:tblBorders>
          <w:top w:val="single" w:sz="4" w:space="0" w:color="auto"/>
          <w:bottom w:val="single" w:sz="4" w:space="0" w:color="auto"/>
        </w:tblBorders>
        <w:tblLook w:val="04A0" w:firstRow="1" w:lastRow="0" w:firstColumn="1" w:lastColumn="0" w:noHBand="0" w:noVBand="1"/>
      </w:tblPr>
      <w:tblGrid>
        <w:gridCol w:w="2650"/>
        <w:gridCol w:w="3057"/>
        <w:gridCol w:w="3059"/>
      </w:tblGrid>
      <w:tr w:rsidR="000420E4" w14:paraId="1D40746E" w14:textId="77777777" w:rsidTr="00356C69">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650" w:type="dxa"/>
            <w:tcBorders>
              <w:top w:val="single" w:sz="4" w:space="0" w:color="auto"/>
              <w:bottom w:val="single" w:sz="4" w:space="0" w:color="auto"/>
              <w:right w:val="nil"/>
            </w:tcBorders>
          </w:tcPr>
          <w:p w14:paraId="5D090E8D" w14:textId="77777777" w:rsidR="000420E4" w:rsidRDefault="000420E4" w:rsidP="00FD094C">
            <w:pPr>
              <w:pStyle w:val="CETBodytext"/>
              <w:jc w:val="center"/>
              <w:rPr>
                <w:lang w:val="en-GB"/>
              </w:rPr>
            </w:pPr>
          </w:p>
        </w:tc>
        <w:tc>
          <w:tcPr>
            <w:tcW w:w="3057" w:type="dxa"/>
            <w:tcBorders>
              <w:top w:val="single" w:sz="4" w:space="0" w:color="auto"/>
              <w:left w:val="nil"/>
              <w:bottom w:val="single" w:sz="4" w:space="0" w:color="auto"/>
            </w:tcBorders>
          </w:tcPr>
          <w:p w14:paraId="3F801EC6" w14:textId="77777777" w:rsidR="000420E4" w:rsidRDefault="000420E4" w:rsidP="00FD094C">
            <w:pPr>
              <w:pStyle w:val="CETBodytext"/>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Density [kg/m</w:t>
            </w:r>
            <w:r w:rsidRPr="00752A08">
              <w:rPr>
                <w:vertAlign w:val="superscript"/>
                <w:lang w:val="en-GB"/>
              </w:rPr>
              <w:t>3</w:t>
            </w:r>
            <w:r>
              <w:rPr>
                <w:lang w:val="en-GB"/>
              </w:rPr>
              <w:t>]</w:t>
            </w:r>
          </w:p>
        </w:tc>
        <w:tc>
          <w:tcPr>
            <w:tcW w:w="3059" w:type="dxa"/>
            <w:tcBorders>
              <w:top w:val="single" w:sz="4" w:space="0" w:color="auto"/>
              <w:bottom w:val="single" w:sz="4" w:space="0" w:color="auto"/>
            </w:tcBorders>
          </w:tcPr>
          <w:p w14:paraId="31296CD2" w14:textId="77777777" w:rsidR="000420E4" w:rsidRDefault="000420E4" w:rsidP="00FD094C">
            <w:pPr>
              <w:pStyle w:val="CETBodytext"/>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 xml:space="preserve">Viscosity [mPa </w:t>
            </w:r>
            <m:oMath>
              <m:r>
                <m:rPr>
                  <m:sty m:val="bi"/>
                </m:rPr>
                <w:rPr>
                  <w:rFonts w:ascii="Cambria Math" w:hAnsi="Cambria Math"/>
                  <w:lang w:val="en-GB"/>
                </w:rPr>
                <m:t>∙</m:t>
              </m:r>
            </m:oMath>
            <w:r>
              <w:rPr>
                <w:lang w:val="en-GB"/>
              </w:rPr>
              <w:t xml:space="preserve"> s]</w:t>
            </w:r>
          </w:p>
        </w:tc>
      </w:tr>
      <w:tr w:rsidR="000420E4" w14:paraId="06570F14" w14:textId="77777777" w:rsidTr="00356C69">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650" w:type="dxa"/>
            <w:tcBorders>
              <w:top w:val="single" w:sz="4" w:space="0" w:color="auto"/>
              <w:bottom w:val="none" w:sz="0" w:space="0" w:color="auto"/>
              <w:right w:val="nil"/>
            </w:tcBorders>
          </w:tcPr>
          <w:p w14:paraId="4CBF6605" w14:textId="77777777" w:rsidR="000420E4" w:rsidRDefault="000420E4" w:rsidP="00FD094C">
            <w:pPr>
              <w:pStyle w:val="CETBodytext"/>
              <w:jc w:val="center"/>
              <w:rPr>
                <w:lang w:val="en-GB"/>
              </w:rPr>
            </w:pPr>
            <w:r>
              <w:rPr>
                <w:lang w:val="en-GB"/>
              </w:rPr>
              <w:t>Dispersed phase</w:t>
            </w:r>
          </w:p>
        </w:tc>
        <w:tc>
          <w:tcPr>
            <w:tcW w:w="3057" w:type="dxa"/>
            <w:tcBorders>
              <w:top w:val="single" w:sz="4" w:space="0" w:color="auto"/>
              <w:left w:val="nil"/>
              <w:bottom w:val="none" w:sz="0" w:space="0" w:color="auto"/>
            </w:tcBorders>
          </w:tcPr>
          <w:p w14:paraId="65B9A149" w14:textId="77777777" w:rsidR="000420E4" w:rsidRDefault="000420E4" w:rsidP="00FD094C">
            <w:pPr>
              <w:pStyle w:val="CETBodytext"/>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1003.2</w:t>
            </w:r>
          </w:p>
        </w:tc>
        <w:tc>
          <w:tcPr>
            <w:tcW w:w="3059" w:type="dxa"/>
            <w:tcBorders>
              <w:top w:val="single" w:sz="4" w:space="0" w:color="auto"/>
              <w:bottom w:val="none" w:sz="0" w:space="0" w:color="auto"/>
            </w:tcBorders>
          </w:tcPr>
          <w:p w14:paraId="1D6D54B3" w14:textId="77777777" w:rsidR="000420E4" w:rsidRDefault="000420E4" w:rsidP="00FD094C">
            <w:pPr>
              <w:pStyle w:val="CETBodytext"/>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241.2</w:t>
            </w:r>
          </w:p>
        </w:tc>
      </w:tr>
      <w:tr w:rsidR="000420E4" w14:paraId="0F911A87" w14:textId="77777777" w:rsidTr="00356C69">
        <w:trPr>
          <w:trHeight w:val="313"/>
        </w:trPr>
        <w:tc>
          <w:tcPr>
            <w:cnfStyle w:val="001000000000" w:firstRow="0" w:lastRow="0" w:firstColumn="1" w:lastColumn="0" w:oddVBand="0" w:evenVBand="0" w:oddHBand="0" w:evenHBand="0" w:firstRowFirstColumn="0" w:firstRowLastColumn="0" w:lastRowFirstColumn="0" w:lastRowLastColumn="0"/>
            <w:tcW w:w="2650" w:type="dxa"/>
            <w:tcBorders>
              <w:bottom w:val="single" w:sz="4" w:space="0" w:color="auto"/>
              <w:right w:val="nil"/>
            </w:tcBorders>
          </w:tcPr>
          <w:p w14:paraId="54EA20A5" w14:textId="1186838D" w:rsidR="000420E4" w:rsidRDefault="000420E4" w:rsidP="00FD094C">
            <w:pPr>
              <w:pStyle w:val="CETBodytext"/>
              <w:jc w:val="center"/>
              <w:rPr>
                <w:lang w:val="en-GB"/>
              </w:rPr>
            </w:pPr>
            <w:r>
              <w:rPr>
                <w:lang w:val="en-GB"/>
              </w:rPr>
              <w:t xml:space="preserve">Continuous </w:t>
            </w:r>
            <w:r w:rsidRPr="00DB4B04">
              <w:rPr>
                <w:highlight w:val="yellow"/>
                <w:lang w:val="en-GB"/>
              </w:rPr>
              <w:t>phase</w:t>
            </w:r>
            <w:r w:rsidR="00DB4B04" w:rsidRPr="00DB4B04">
              <w:rPr>
                <w:highlight w:val="yellow"/>
                <w:lang w:val="en-GB"/>
              </w:rPr>
              <w:t>s</w:t>
            </w:r>
          </w:p>
        </w:tc>
        <w:tc>
          <w:tcPr>
            <w:tcW w:w="3057" w:type="dxa"/>
            <w:tcBorders>
              <w:left w:val="nil"/>
            </w:tcBorders>
          </w:tcPr>
          <w:p w14:paraId="34F3447E" w14:textId="77777777" w:rsidR="000420E4" w:rsidRDefault="000420E4" w:rsidP="00FD094C">
            <w:pPr>
              <w:pStyle w:val="CETBodytext"/>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913.3</w:t>
            </w:r>
          </w:p>
        </w:tc>
        <w:tc>
          <w:tcPr>
            <w:tcW w:w="3059" w:type="dxa"/>
          </w:tcPr>
          <w:p w14:paraId="7397547C" w14:textId="77777777" w:rsidR="000420E4" w:rsidRDefault="000420E4" w:rsidP="00FD094C">
            <w:pPr>
              <w:pStyle w:val="CETBodytext"/>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79.5</w:t>
            </w:r>
          </w:p>
        </w:tc>
      </w:tr>
    </w:tbl>
    <w:p w14:paraId="4CB35BB9" w14:textId="77777777" w:rsidR="000420E4" w:rsidRDefault="000420E4" w:rsidP="000420E4">
      <w:pPr>
        <w:pStyle w:val="CETBodytext"/>
        <w:rPr>
          <w:lang w:val="en-GB"/>
        </w:rPr>
      </w:pPr>
    </w:p>
    <w:p w14:paraId="17D2A845" w14:textId="77777777" w:rsidR="000420E4" w:rsidRDefault="000420E4" w:rsidP="000420E4">
      <w:pPr>
        <w:pStyle w:val="CETBodytext"/>
        <w:rPr>
          <w:lang w:val="en-GB"/>
        </w:rPr>
      </w:pPr>
    </w:p>
    <w:p w14:paraId="48A523DB" w14:textId="2C9CCC02" w:rsidR="004A63FC" w:rsidRDefault="002066DA" w:rsidP="000420E4">
      <w:pPr>
        <w:pStyle w:val="CETBodytext"/>
      </w:pPr>
      <w:r>
        <w:rPr>
          <w:lang w:val="en-GB"/>
        </w:rPr>
        <w:t xml:space="preserve">The experimental setup is </w:t>
      </w:r>
      <w:r w:rsidR="00E53599">
        <w:rPr>
          <w:lang w:val="en-GB"/>
        </w:rPr>
        <w:t xml:space="preserve">represented </w:t>
      </w:r>
      <w:r>
        <w:rPr>
          <w:lang w:val="en-GB"/>
        </w:rPr>
        <w:t xml:space="preserve">in </w:t>
      </w:r>
      <w:r w:rsidR="007A4537">
        <w:rPr>
          <w:lang w:val="en-GB"/>
        </w:rPr>
        <w:fldChar w:fldCharType="begin"/>
      </w:r>
      <w:r w:rsidR="007A4537">
        <w:rPr>
          <w:lang w:val="en-GB"/>
        </w:rPr>
        <w:instrText xml:space="preserve"> REF _Ref126763890 \h </w:instrText>
      </w:r>
      <w:r w:rsidR="007A4537">
        <w:rPr>
          <w:lang w:val="en-GB"/>
        </w:rPr>
      </w:r>
      <w:r w:rsidR="007A4537">
        <w:rPr>
          <w:lang w:val="en-GB"/>
        </w:rPr>
        <w:fldChar w:fldCharType="separate"/>
      </w:r>
      <w:r w:rsidR="006D5E6D">
        <w:t xml:space="preserve">Figure </w:t>
      </w:r>
      <w:r w:rsidR="006D5E6D">
        <w:rPr>
          <w:noProof/>
        </w:rPr>
        <w:t>2</w:t>
      </w:r>
      <w:r w:rsidR="007A4537">
        <w:rPr>
          <w:lang w:val="en-GB"/>
        </w:rPr>
        <w:fldChar w:fldCharType="end"/>
      </w:r>
      <w:r>
        <w:rPr>
          <w:lang w:val="en-GB"/>
        </w:rPr>
        <w:t>.</w:t>
      </w:r>
      <w:r w:rsidR="00800322">
        <w:rPr>
          <w:lang w:val="en-GB"/>
        </w:rPr>
        <w:t xml:space="preserve"> </w:t>
      </w:r>
      <w:r w:rsidR="000420E4" w:rsidRPr="00752A08">
        <w:rPr>
          <w:lang w:val="en-GB"/>
        </w:rPr>
        <w:t xml:space="preserve">The </w:t>
      </w:r>
      <w:r w:rsidR="000420E4">
        <w:rPr>
          <w:lang w:val="en-GB"/>
        </w:rPr>
        <w:t>continuous phase</w:t>
      </w:r>
      <w:r w:rsidR="000420E4" w:rsidRPr="00752A08">
        <w:rPr>
          <w:lang w:val="en-GB"/>
        </w:rPr>
        <w:t xml:space="preserve"> </w:t>
      </w:r>
      <w:r w:rsidR="000420E4">
        <w:rPr>
          <w:lang w:val="en-GB"/>
        </w:rPr>
        <w:t>is</w:t>
      </w:r>
      <w:r w:rsidR="000420E4" w:rsidRPr="00752A08">
        <w:rPr>
          <w:lang w:val="en-GB"/>
        </w:rPr>
        <w:t xml:space="preserve"> introduced by using a KD Scientific</w:t>
      </w:r>
      <w:r w:rsidR="000420E4">
        <w:rPr>
          <w:lang w:val="en-GB"/>
        </w:rPr>
        <w:t xml:space="preserve"> </w:t>
      </w:r>
      <w:r w:rsidR="000420E4" w:rsidRPr="00752A08">
        <w:rPr>
          <w:lang w:val="en-GB"/>
        </w:rPr>
        <w:t>syringe pump Gemini 88</w:t>
      </w:r>
      <w:r w:rsidR="000420E4">
        <w:rPr>
          <w:lang w:val="en-GB"/>
        </w:rPr>
        <w:t xml:space="preserve"> and </w:t>
      </w:r>
      <w:r w:rsidR="00800322">
        <w:rPr>
          <w:lang w:val="en-GB"/>
        </w:rPr>
        <w:t xml:space="preserve">the </w:t>
      </w:r>
      <w:r w:rsidR="000420E4" w:rsidRPr="00752A08">
        <w:t>dispersed phase is fed with a Harvard Apparatus syringe pump</w:t>
      </w:r>
      <w:r w:rsidR="000420E4">
        <w:t xml:space="preserve">, </w:t>
      </w:r>
      <w:r w:rsidR="000420E4">
        <w:rPr>
          <w:lang w:val="en-GB"/>
        </w:rPr>
        <w:t xml:space="preserve">equipped with two </w:t>
      </w:r>
      <w:r w:rsidR="000420E4" w:rsidRPr="004D484F">
        <w:rPr>
          <w:lang w:val="en-GB"/>
        </w:rPr>
        <w:t>Becton</w:t>
      </w:r>
      <w:r w:rsidR="000420E4">
        <w:rPr>
          <w:lang w:val="en-GB"/>
        </w:rPr>
        <w:t xml:space="preserve"> </w:t>
      </w:r>
      <w:r w:rsidR="000420E4" w:rsidRPr="004D484F">
        <w:rPr>
          <w:lang w:val="en-GB"/>
        </w:rPr>
        <w:t>Dickson</w:t>
      </w:r>
      <w:r w:rsidR="00E53599">
        <w:rPr>
          <w:lang w:val="en-GB"/>
        </w:rPr>
        <w:t xml:space="preserve"> </w:t>
      </w:r>
      <w:proofErr w:type="spellStart"/>
      <w:r w:rsidR="00E53599">
        <w:rPr>
          <w:lang w:val="en-GB"/>
        </w:rPr>
        <w:t>luer</w:t>
      </w:r>
      <w:proofErr w:type="spellEnd"/>
      <w:r w:rsidR="00E53599">
        <w:rPr>
          <w:lang w:val="en-GB"/>
        </w:rPr>
        <w:t>-lock</w:t>
      </w:r>
      <w:r w:rsidR="000420E4" w:rsidRPr="004D484F">
        <w:rPr>
          <w:lang w:val="en-GB"/>
        </w:rPr>
        <w:t xml:space="preserve"> plastic</w:t>
      </w:r>
      <w:r w:rsidR="000420E4">
        <w:rPr>
          <w:lang w:val="en-GB"/>
        </w:rPr>
        <w:t xml:space="preserve"> </w:t>
      </w:r>
      <w:r w:rsidR="000420E4" w:rsidRPr="004D484F">
        <w:rPr>
          <w:lang w:val="en-GB"/>
        </w:rPr>
        <w:t xml:space="preserve">syringes of </w:t>
      </w:r>
      <w:r w:rsidR="000420E4">
        <w:rPr>
          <w:lang w:val="en-GB"/>
        </w:rPr>
        <w:t>2</w:t>
      </w:r>
      <w:r w:rsidR="000420E4" w:rsidRPr="004D484F">
        <w:rPr>
          <w:lang w:val="en-GB"/>
        </w:rPr>
        <w:t>0 mL</w:t>
      </w:r>
      <w:r w:rsidR="000420E4">
        <w:rPr>
          <w:lang w:val="en-GB"/>
        </w:rPr>
        <w:t xml:space="preserve"> and one of 5 mL, respectively</w:t>
      </w:r>
      <w:r w:rsidR="000420E4" w:rsidRPr="00752A08">
        <w:t>.</w:t>
      </w:r>
      <w:r w:rsidR="00263329">
        <w:t xml:space="preserve"> The PVC tubes have </w:t>
      </w:r>
      <w:r w:rsidR="004C3ECC">
        <w:t xml:space="preserve">a </w:t>
      </w:r>
      <w:r w:rsidR="00263329">
        <w:t xml:space="preserve">diameter of </w:t>
      </w:r>
      <w:r w:rsidR="004C3ECC">
        <w:t xml:space="preserve">2 </w:t>
      </w:r>
      <w:r w:rsidR="00263329">
        <w:t xml:space="preserve">mm and </w:t>
      </w:r>
      <w:r w:rsidR="004C3ECC">
        <w:t xml:space="preserve">a </w:t>
      </w:r>
      <w:r w:rsidR="00263329">
        <w:t>thickness</w:t>
      </w:r>
      <w:r w:rsidR="004C3ECC">
        <w:t xml:space="preserve"> of</w:t>
      </w:r>
      <w:r w:rsidR="00263329">
        <w:t xml:space="preserve"> </w:t>
      </w:r>
      <w:r w:rsidR="004C3ECC">
        <w:t>1</w:t>
      </w:r>
      <w:r w:rsidR="00263329">
        <w:t xml:space="preserve"> mm.</w:t>
      </w:r>
    </w:p>
    <w:p w14:paraId="1E2FF1CF" w14:textId="51D84756" w:rsidR="009511D2" w:rsidRPr="00752A08" w:rsidRDefault="009511D2" w:rsidP="009511D2">
      <w:pPr>
        <w:pStyle w:val="CETBodytext"/>
        <w:rPr>
          <w:lang w:val="en-GB"/>
        </w:rPr>
      </w:pPr>
      <w:r w:rsidRPr="00752A08">
        <w:rPr>
          <w:lang w:val="en-GB"/>
        </w:rPr>
        <w:t xml:space="preserve">Experiments </w:t>
      </w:r>
      <w:r w:rsidR="002D7718">
        <w:rPr>
          <w:lang w:val="en-GB"/>
        </w:rPr>
        <w:t>are</w:t>
      </w:r>
      <w:r w:rsidR="002D7718" w:rsidRPr="00752A08">
        <w:rPr>
          <w:lang w:val="en-GB"/>
        </w:rPr>
        <w:t xml:space="preserve"> </w:t>
      </w:r>
      <w:r w:rsidRPr="00752A08">
        <w:rPr>
          <w:lang w:val="en-GB"/>
        </w:rPr>
        <w:t>carried out in a controlled-temperature</w:t>
      </w:r>
      <w:r>
        <w:rPr>
          <w:lang w:val="en-GB"/>
        </w:rPr>
        <w:t xml:space="preserve"> </w:t>
      </w:r>
      <w:r w:rsidRPr="00752A08">
        <w:rPr>
          <w:lang w:val="en-GB"/>
        </w:rPr>
        <w:t xml:space="preserve">room at 25 </w:t>
      </w:r>
      <w:r>
        <w:rPr>
          <w:lang w:val="en-GB"/>
        </w:rPr>
        <w:t>°</w:t>
      </w:r>
      <w:r w:rsidRPr="00752A08">
        <w:rPr>
          <w:lang w:val="en-GB"/>
        </w:rPr>
        <w:t>C.</w:t>
      </w:r>
    </w:p>
    <w:p w14:paraId="305C5CFB" w14:textId="59332988" w:rsidR="009511D2" w:rsidRDefault="009511D2" w:rsidP="009511D2">
      <w:pPr>
        <w:pStyle w:val="CETBodytext"/>
        <w:rPr>
          <w:lang w:val="en-GB"/>
        </w:rPr>
      </w:pPr>
      <w:r w:rsidRPr="00752A08">
        <w:rPr>
          <w:lang w:val="en-GB"/>
        </w:rPr>
        <w:t xml:space="preserve">The flow inside the </w:t>
      </w:r>
      <w:r w:rsidR="009D2D0B">
        <w:rPr>
          <w:lang w:val="en-GB"/>
        </w:rPr>
        <w:t>microdevice</w:t>
      </w:r>
      <w:r w:rsidR="009D2D0B" w:rsidRPr="00752A08">
        <w:rPr>
          <w:lang w:val="en-GB"/>
        </w:rPr>
        <w:t xml:space="preserve"> </w:t>
      </w:r>
      <w:r w:rsidRPr="00752A08">
        <w:rPr>
          <w:lang w:val="en-GB"/>
        </w:rPr>
        <w:t>is observed using an upright microscope</w:t>
      </w:r>
      <w:r>
        <w:rPr>
          <w:lang w:val="en-GB"/>
        </w:rPr>
        <w:t xml:space="preserve"> </w:t>
      </w:r>
      <w:r w:rsidRPr="00752A08">
        <w:rPr>
          <w:lang w:val="en-GB"/>
        </w:rPr>
        <w:t>model Nikon Eclipse 80i equipped</w:t>
      </w:r>
      <w:r>
        <w:rPr>
          <w:lang w:val="en-GB"/>
        </w:rPr>
        <w:t xml:space="preserve"> </w:t>
      </w:r>
      <w:r w:rsidRPr="00752A08">
        <w:rPr>
          <w:lang w:val="en-GB"/>
        </w:rPr>
        <w:t>with a magnifying lens of</w:t>
      </w:r>
      <w:r>
        <w:rPr>
          <w:lang w:val="en-GB"/>
        </w:rPr>
        <w:t xml:space="preserve"> </w:t>
      </w:r>
      <w:r w:rsidRPr="00752A08">
        <w:rPr>
          <w:lang w:val="en-GB"/>
        </w:rPr>
        <w:t>4</w:t>
      </w:r>
      <m:oMath>
        <m:r>
          <w:rPr>
            <w:rFonts w:ascii="Cambria Math" w:hAnsi="Cambria Math"/>
            <w:lang w:val="en-GB"/>
          </w:rPr>
          <m:t>×</m:t>
        </m:r>
      </m:oMath>
      <w:r w:rsidRPr="00752A08">
        <w:rPr>
          <w:lang w:val="en-GB"/>
        </w:rPr>
        <w:t xml:space="preserve"> having an aperture value equal to </w:t>
      </w:r>
      <w:r w:rsidRPr="00506F7A">
        <w:rPr>
          <w:rFonts w:ascii="Cambria Math" w:hAnsi="Cambria Math" w:cs="Cambria Math"/>
          <w:i/>
          <w:iCs/>
          <w:lang w:val="en-GB"/>
        </w:rPr>
        <w:t>N.A</w:t>
      </w:r>
      <w:r>
        <w:rPr>
          <w:rFonts w:ascii="Cambria Math" w:hAnsi="Cambria Math" w:cs="Cambria Math"/>
          <w:lang w:val="en-GB"/>
        </w:rPr>
        <w:t>.</w:t>
      </w:r>
      <w:r w:rsidRPr="00752A08">
        <w:rPr>
          <w:lang w:val="en-GB"/>
        </w:rPr>
        <w:t xml:space="preserve"> = 0.13. The light source is an</w:t>
      </w:r>
      <w:r>
        <w:rPr>
          <w:lang w:val="en-GB"/>
        </w:rPr>
        <w:t xml:space="preserve"> </w:t>
      </w:r>
      <w:r w:rsidRPr="00752A08">
        <w:rPr>
          <w:lang w:val="en-GB"/>
        </w:rPr>
        <w:t xml:space="preserve">OSRAM </w:t>
      </w:r>
      <w:r w:rsidR="00890807">
        <w:rPr>
          <w:lang w:val="en-GB"/>
        </w:rPr>
        <w:t xml:space="preserve">Xenophon </w:t>
      </w:r>
      <w:r w:rsidRPr="00752A08">
        <w:rPr>
          <w:lang w:val="en-GB"/>
        </w:rPr>
        <w:t>FCR 64625 HLX 12 V-100 W) lamp. Experimental</w:t>
      </w:r>
      <w:r>
        <w:rPr>
          <w:lang w:val="en-GB"/>
        </w:rPr>
        <w:t xml:space="preserve"> </w:t>
      </w:r>
      <w:r w:rsidRPr="00752A08">
        <w:rPr>
          <w:lang w:val="en-GB"/>
        </w:rPr>
        <w:t xml:space="preserve">images are acquired with the high-speed camera </w:t>
      </w:r>
      <w:proofErr w:type="spellStart"/>
      <w:r w:rsidRPr="00752A08">
        <w:rPr>
          <w:lang w:val="en-GB"/>
        </w:rPr>
        <w:t>Optomotive</w:t>
      </w:r>
      <w:proofErr w:type="spellEnd"/>
      <w:r w:rsidRPr="00752A08">
        <w:rPr>
          <w:lang w:val="en-GB"/>
        </w:rPr>
        <w:t xml:space="preserve"> Velociraptor</w:t>
      </w:r>
      <w:r>
        <w:rPr>
          <w:lang w:val="en-GB"/>
        </w:rPr>
        <w:t xml:space="preserve"> </w:t>
      </w:r>
      <w:r w:rsidRPr="00752A08">
        <w:rPr>
          <w:lang w:val="en-GB"/>
        </w:rPr>
        <w:t xml:space="preserve">HS, </w:t>
      </w:r>
      <w:r w:rsidR="00503898">
        <w:rPr>
          <w:lang w:val="en-GB"/>
        </w:rPr>
        <w:t xml:space="preserve">which has </w:t>
      </w:r>
      <w:r w:rsidRPr="00752A08">
        <w:rPr>
          <w:lang w:val="en-GB"/>
        </w:rPr>
        <w:t>a square monochrome sensor with a resolution of</w:t>
      </w:r>
      <w:r>
        <w:rPr>
          <w:lang w:val="en-GB"/>
        </w:rPr>
        <w:t xml:space="preserve"> </w:t>
      </w:r>
      <w:r w:rsidRPr="00752A08">
        <w:rPr>
          <w:lang w:val="en-GB"/>
        </w:rPr>
        <w:t xml:space="preserve">2048 </w:t>
      </w:r>
      <m:oMath>
        <m:r>
          <w:rPr>
            <w:rFonts w:ascii="Cambria Math" w:hAnsi="Cambria Math"/>
            <w:lang w:val="en-GB"/>
          </w:rPr>
          <m:t>×</m:t>
        </m:r>
      </m:oMath>
      <w:r>
        <w:rPr>
          <w:lang w:val="en-GB"/>
        </w:rPr>
        <w:t xml:space="preserve"> </w:t>
      </w:r>
      <w:r w:rsidRPr="00752A08">
        <w:rPr>
          <w:lang w:val="en-GB"/>
        </w:rPr>
        <w:t>2048 pixels and the maximum frame rate is 174 frames/s for the</w:t>
      </w:r>
      <w:r>
        <w:rPr>
          <w:lang w:val="en-GB"/>
        </w:rPr>
        <w:t xml:space="preserve"> </w:t>
      </w:r>
      <w:r w:rsidRPr="00752A08">
        <w:rPr>
          <w:lang w:val="en-GB"/>
        </w:rPr>
        <w:t>whole sensor.</w:t>
      </w:r>
      <w:r>
        <w:rPr>
          <w:lang w:val="en-GB"/>
        </w:rPr>
        <w:t xml:space="preserve"> </w:t>
      </w:r>
      <w:r w:rsidRPr="00752A08">
        <w:rPr>
          <w:lang w:val="en-GB"/>
        </w:rPr>
        <w:t>Furthermore, all the experiments are performed in a</w:t>
      </w:r>
      <w:r>
        <w:rPr>
          <w:lang w:val="en-GB"/>
        </w:rPr>
        <w:t xml:space="preserve"> </w:t>
      </w:r>
      <w:r w:rsidRPr="00752A08">
        <w:rPr>
          <w:lang w:val="en-GB"/>
        </w:rPr>
        <w:t>dark room to maintain a constant level of luminosity and to</w:t>
      </w:r>
      <w:r>
        <w:rPr>
          <w:lang w:val="en-GB"/>
        </w:rPr>
        <w:t xml:space="preserve"> </w:t>
      </w:r>
      <w:r w:rsidRPr="00752A08">
        <w:rPr>
          <w:lang w:val="en-GB"/>
        </w:rPr>
        <w:t>minimize any reflection and shadow.</w:t>
      </w:r>
      <w:r w:rsidR="009D2D0B">
        <w:rPr>
          <w:lang w:val="en-GB"/>
        </w:rPr>
        <w:t xml:space="preserve"> </w:t>
      </w:r>
    </w:p>
    <w:p w14:paraId="2FCD99D5" w14:textId="3779B927" w:rsidR="005E53E8" w:rsidRDefault="00561FF1" w:rsidP="009511D2">
      <w:pPr>
        <w:pStyle w:val="CETBodytext"/>
        <w:rPr>
          <w:lang w:val="en-GB"/>
        </w:rPr>
      </w:pPr>
      <w:r>
        <w:rPr>
          <w:lang w:val="en-GB"/>
        </w:rPr>
        <w:t xml:space="preserve">The alginate solution </w:t>
      </w:r>
      <w:r w:rsidR="00263329">
        <w:rPr>
          <w:lang w:val="en-GB"/>
        </w:rPr>
        <w:t>is</w:t>
      </w:r>
      <w:r>
        <w:rPr>
          <w:lang w:val="en-GB"/>
        </w:rPr>
        <w:t xml:space="preserve"> coloured by adding a negligible quantity of red dye (E124)</w:t>
      </w:r>
      <w:r w:rsidR="005E53E8">
        <w:rPr>
          <w:lang w:val="en-GB"/>
        </w:rPr>
        <w:t xml:space="preserve"> improving</w:t>
      </w:r>
      <w:r>
        <w:rPr>
          <w:lang w:val="en-GB"/>
        </w:rPr>
        <w:t xml:space="preserve"> </w:t>
      </w:r>
      <w:r w:rsidR="005E53E8">
        <w:rPr>
          <w:lang w:val="en-GB"/>
        </w:rPr>
        <w:t>the</w:t>
      </w:r>
      <w:r>
        <w:rPr>
          <w:lang w:val="en-GB"/>
        </w:rPr>
        <w:t xml:space="preserve"> contrast between the dispersed and continuous </w:t>
      </w:r>
      <w:r w:rsidR="00890807">
        <w:rPr>
          <w:lang w:val="en-GB"/>
        </w:rPr>
        <w:t>phases</w:t>
      </w:r>
      <w:r>
        <w:rPr>
          <w:lang w:val="en-GB"/>
        </w:rPr>
        <w:t>. At least 200 images with size 500</w:t>
      </w:r>
      <m:oMath>
        <m:r>
          <w:rPr>
            <w:rFonts w:ascii="Cambria Math" w:hAnsi="Cambria Math"/>
            <w:lang w:val="en-GB"/>
          </w:rPr>
          <m:t>×</m:t>
        </m:r>
      </m:oMath>
      <w:r>
        <w:rPr>
          <w:lang w:val="en-GB"/>
        </w:rPr>
        <w:t xml:space="preserve">2048 </w:t>
      </w:r>
      <w:r w:rsidR="00263329">
        <w:rPr>
          <w:lang w:val="en-GB"/>
        </w:rPr>
        <w:t>are</w:t>
      </w:r>
      <w:r>
        <w:rPr>
          <w:lang w:val="en-GB"/>
        </w:rPr>
        <w:t xml:space="preserve"> collected </w:t>
      </w:r>
      <w:r w:rsidR="00263329">
        <w:rPr>
          <w:lang w:val="en-GB"/>
        </w:rPr>
        <w:t>for</w:t>
      </w:r>
      <w:r>
        <w:rPr>
          <w:lang w:val="en-GB"/>
        </w:rPr>
        <w:t xml:space="preserve"> each test</w:t>
      </w:r>
      <w:r w:rsidR="00263329">
        <w:rPr>
          <w:lang w:val="en-GB"/>
        </w:rPr>
        <w:t>,</w:t>
      </w:r>
      <w:r>
        <w:rPr>
          <w:lang w:val="en-GB"/>
        </w:rPr>
        <w:t xml:space="preserve"> tuning the frame rate acquisition depending on the flow </w:t>
      </w:r>
      <w:r w:rsidR="00263329">
        <w:rPr>
          <w:lang w:val="en-GB"/>
        </w:rPr>
        <w:t>rate</w:t>
      </w:r>
      <w:r>
        <w:rPr>
          <w:lang w:val="en-GB"/>
        </w:rPr>
        <w:t xml:space="preserve">. The maximum frame rate </w:t>
      </w:r>
      <w:r w:rsidR="00263329">
        <w:rPr>
          <w:lang w:val="en-GB"/>
        </w:rPr>
        <w:t>employed</w:t>
      </w:r>
      <w:r>
        <w:rPr>
          <w:lang w:val="en-GB"/>
        </w:rPr>
        <w:t xml:space="preserve"> is 100 Hz, which </w:t>
      </w:r>
      <w:r w:rsidR="00263329">
        <w:rPr>
          <w:lang w:val="en-GB"/>
        </w:rPr>
        <w:t>is</w:t>
      </w:r>
      <w:r>
        <w:rPr>
          <w:lang w:val="en-GB"/>
        </w:rPr>
        <w:t xml:space="preserve"> sufficient to </w:t>
      </w:r>
      <w:r w:rsidR="00263329">
        <w:rPr>
          <w:lang w:val="en-GB"/>
        </w:rPr>
        <w:t>capture several instants of the</w:t>
      </w:r>
      <w:r>
        <w:rPr>
          <w:lang w:val="en-GB"/>
        </w:rPr>
        <w:t xml:space="preserve"> </w:t>
      </w:r>
      <w:r w:rsidR="00263329">
        <w:rPr>
          <w:lang w:val="en-GB"/>
        </w:rPr>
        <w:t>pinching process</w:t>
      </w:r>
      <w:r>
        <w:rPr>
          <w:lang w:val="en-GB"/>
        </w:rPr>
        <w:t>.</w:t>
      </w:r>
    </w:p>
    <w:p w14:paraId="1253616E" w14:textId="517CC93D" w:rsidR="00263329" w:rsidRPr="000420E4" w:rsidRDefault="005E53E8" w:rsidP="009511D2">
      <w:pPr>
        <w:pStyle w:val="CETBodytext"/>
        <w:rPr>
          <w:lang w:val="en-GB"/>
        </w:rPr>
      </w:pPr>
      <w:r>
        <w:rPr>
          <w:lang w:val="en-GB"/>
        </w:rPr>
        <w:t>At the end of each experiment</w:t>
      </w:r>
      <w:r w:rsidR="00890807">
        <w:rPr>
          <w:lang w:val="en-GB"/>
        </w:rPr>
        <w:t>,</w:t>
      </w:r>
      <w:r>
        <w:rPr>
          <w:lang w:val="en-GB"/>
        </w:rPr>
        <w:t xml:space="preserve"> the device</w:t>
      </w:r>
      <w:r w:rsidR="00263329">
        <w:rPr>
          <w:lang w:val="en-GB"/>
        </w:rPr>
        <w:t xml:space="preserve"> and tubes</w:t>
      </w:r>
      <w:r>
        <w:rPr>
          <w:lang w:val="en-GB"/>
        </w:rPr>
        <w:t xml:space="preserve"> </w:t>
      </w:r>
      <w:r w:rsidR="00263329">
        <w:rPr>
          <w:lang w:val="en-GB"/>
        </w:rPr>
        <w:t>are</w:t>
      </w:r>
      <w:r>
        <w:rPr>
          <w:lang w:val="en-GB"/>
        </w:rPr>
        <w:t xml:space="preserve"> clean</w:t>
      </w:r>
      <w:r w:rsidR="00263329">
        <w:rPr>
          <w:lang w:val="en-GB"/>
        </w:rPr>
        <w:t>sed</w:t>
      </w:r>
      <w:r>
        <w:rPr>
          <w:lang w:val="en-GB"/>
        </w:rPr>
        <w:t xml:space="preserve"> from the sodium alginate solution with deionized water twice: the first time with a rapid wash (pushing the syringes</w:t>
      </w:r>
      <w:r w:rsidR="00263329">
        <w:rPr>
          <w:lang w:val="en-GB"/>
        </w:rPr>
        <w:t xml:space="preserve"> by hand</w:t>
      </w:r>
      <w:r>
        <w:rPr>
          <w:lang w:val="en-GB"/>
        </w:rPr>
        <w:t>) and then at</w:t>
      </w:r>
      <w:r w:rsidR="00DB1236">
        <w:rPr>
          <w:lang w:val="en-GB"/>
        </w:rPr>
        <w:t xml:space="preserve"> a</w:t>
      </w:r>
      <w:r>
        <w:rPr>
          <w:lang w:val="en-GB"/>
        </w:rPr>
        <w:t xml:space="preserve"> low flow rate for an overnight wash (18 hours).</w:t>
      </w:r>
    </w:p>
    <w:p w14:paraId="2C18F451" w14:textId="77777777" w:rsidR="009511D2" w:rsidRPr="001210F2" w:rsidRDefault="009511D2" w:rsidP="000420E4">
      <w:pPr>
        <w:pStyle w:val="CETBodytext"/>
        <w:rPr>
          <w:lang w:val="en-GB"/>
        </w:rPr>
      </w:pPr>
    </w:p>
    <w:p w14:paraId="7F75D80D" w14:textId="77777777" w:rsidR="00516378" w:rsidRDefault="004A63FC" w:rsidP="00516378">
      <w:pPr>
        <w:pStyle w:val="CETBodytext"/>
        <w:keepNext/>
      </w:pPr>
      <w:r>
        <w:rPr>
          <w:noProof/>
        </w:rPr>
        <w:drawing>
          <wp:inline distT="0" distB="0" distL="0" distR="0" wp14:anchorId="11FFDB36" wp14:editId="145C813A">
            <wp:extent cx="5414607" cy="3312000"/>
            <wp:effectExtent l="0" t="0" r="0"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a:picLocks noChangeAspect="1" noChangeArrowheads="1"/>
                    </pic:cNvPicPr>
                  </pic:nvPicPr>
                  <pic:blipFill>
                    <a:blip r:embed="rId11"/>
                    <a:stretch>
                      <a:fillRect/>
                    </a:stretch>
                  </pic:blipFill>
                  <pic:spPr bwMode="auto">
                    <a:xfrm>
                      <a:off x="0" y="0"/>
                      <a:ext cx="5414607" cy="3312000"/>
                    </a:xfrm>
                    <a:prstGeom prst="rect">
                      <a:avLst/>
                    </a:prstGeom>
                    <a:noFill/>
                    <a:ln>
                      <a:noFill/>
                    </a:ln>
                  </pic:spPr>
                </pic:pic>
              </a:graphicData>
            </a:graphic>
          </wp:inline>
        </w:drawing>
      </w:r>
    </w:p>
    <w:p w14:paraId="6E5F5E83" w14:textId="2D7E798B" w:rsidR="004A63FC" w:rsidRPr="00752A08" w:rsidRDefault="00516378" w:rsidP="001509D8">
      <w:pPr>
        <w:pStyle w:val="CETCaption"/>
      </w:pPr>
      <w:bookmarkStart w:id="2" w:name="_Ref126763890"/>
      <w:r>
        <w:t xml:space="preserve">Figure </w:t>
      </w:r>
      <w:r>
        <w:fldChar w:fldCharType="begin"/>
      </w:r>
      <w:r>
        <w:instrText xml:space="preserve"> SEQ Figure \* ARABIC </w:instrText>
      </w:r>
      <w:r>
        <w:fldChar w:fldCharType="separate"/>
      </w:r>
      <w:r w:rsidR="006D5E6D">
        <w:rPr>
          <w:noProof/>
        </w:rPr>
        <w:t>2</w:t>
      </w:r>
      <w:r>
        <w:fldChar w:fldCharType="end"/>
      </w:r>
      <w:bookmarkEnd w:id="2"/>
      <w:r>
        <w:t xml:space="preserve"> </w:t>
      </w:r>
      <w:r w:rsidRPr="00516378">
        <w:t xml:space="preserve">Schematic representation of the experimental setup, consisting of two syringe pumps, a </w:t>
      </w:r>
      <w:proofErr w:type="gramStart"/>
      <w:r w:rsidRPr="00516378">
        <w:t>microscope</w:t>
      </w:r>
      <w:proofErr w:type="gramEnd"/>
      <w:r w:rsidRPr="00516378">
        <w:t xml:space="preserve"> and a high-speed camera.</w:t>
      </w:r>
    </w:p>
    <w:p w14:paraId="677EBFF0" w14:textId="51173077" w:rsidR="00600535" w:rsidRDefault="0069178B" w:rsidP="00600535">
      <w:pPr>
        <w:pStyle w:val="CETHeading1"/>
        <w:tabs>
          <w:tab w:val="clear" w:pos="360"/>
          <w:tab w:val="right" w:pos="7100"/>
        </w:tabs>
        <w:jc w:val="both"/>
        <w:rPr>
          <w:lang w:val="en-GB"/>
        </w:rPr>
      </w:pPr>
      <w:r>
        <w:rPr>
          <w:lang w:val="en-GB"/>
        </w:rPr>
        <w:lastRenderedPageBreak/>
        <w:t>Results</w:t>
      </w:r>
    </w:p>
    <w:p w14:paraId="7C440D34" w14:textId="5902033F" w:rsidR="00824DB0" w:rsidRPr="00824DB0" w:rsidRDefault="00824DB0" w:rsidP="00512E8C">
      <w:pPr>
        <w:pStyle w:val="CETBodytext"/>
        <w:rPr>
          <w:lang w:val="en-GB"/>
        </w:rPr>
      </w:pPr>
      <w:r w:rsidRPr="00B93DC6">
        <w:rPr>
          <w:lang w:val="en-GB"/>
        </w:rPr>
        <w:t>This section describes the main experimental results</w:t>
      </w:r>
      <w:r w:rsidR="00E53599">
        <w:rPr>
          <w:lang w:val="en-GB"/>
        </w:rPr>
        <w:t xml:space="preserve"> focusing</w:t>
      </w:r>
      <w:r w:rsidRPr="00B93DC6">
        <w:rPr>
          <w:lang w:val="en-GB"/>
        </w:rPr>
        <w:t xml:space="preserve"> </w:t>
      </w:r>
      <w:r w:rsidR="00E53599">
        <w:rPr>
          <w:lang w:val="en-GB"/>
        </w:rPr>
        <w:t xml:space="preserve">on </w:t>
      </w:r>
      <w:r w:rsidRPr="00B93DC6">
        <w:rPr>
          <w:lang w:val="en-GB"/>
        </w:rPr>
        <w:t>the role of surfactant</w:t>
      </w:r>
      <w:r w:rsidR="007E0341">
        <w:rPr>
          <w:lang w:val="en-GB"/>
        </w:rPr>
        <w:t xml:space="preserve"> and then of the flow rates</w:t>
      </w:r>
      <w:r w:rsidRPr="00B93DC6">
        <w:rPr>
          <w:lang w:val="en-GB"/>
        </w:rPr>
        <w:t xml:space="preserve"> </w:t>
      </w:r>
      <w:r w:rsidR="007E0341">
        <w:rPr>
          <w:lang w:val="en-GB"/>
        </w:rPr>
        <w:t>in</w:t>
      </w:r>
      <w:r w:rsidR="00E53599">
        <w:rPr>
          <w:lang w:val="en-GB"/>
        </w:rPr>
        <w:t xml:space="preserve"> the pinching process working in dripping flow </w:t>
      </w:r>
      <w:r w:rsidR="007E0341">
        <w:rPr>
          <w:lang w:val="en-GB"/>
        </w:rPr>
        <w:t>conditions.</w:t>
      </w:r>
      <w:r w:rsidR="00E53599">
        <w:rPr>
          <w:lang w:val="en-GB"/>
        </w:rPr>
        <w:t xml:space="preserve"> </w:t>
      </w:r>
    </w:p>
    <w:p w14:paraId="5A4613FE" w14:textId="77777777" w:rsidR="00B93DC6" w:rsidRPr="00063A2C" w:rsidRDefault="00B93DC6" w:rsidP="00063A2C">
      <w:pPr>
        <w:pStyle w:val="CETBodytext"/>
        <w:rPr>
          <w:lang w:val="en-GB"/>
        </w:rPr>
      </w:pPr>
    </w:p>
    <w:p w14:paraId="39201711" w14:textId="77777777" w:rsidR="00636707" w:rsidRPr="00636707" w:rsidRDefault="0093052B" w:rsidP="00636707">
      <w:pPr>
        <w:pStyle w:val="CETBodytext"/>
        <w:rPr>
          <w:lang w:val="en-GB"/>
        </w:rPr>
      </w:pPr>
      <w:r>
        <w:rPr>
          <w:noProof/>
          <w:lang w:val="en-GB"/>
        </w:rPr>
        <w:drawing>
          <wp:inline distT="0" distB="0" distL="0" distR="0" wp14:anchorId="56F3E737" wp14:editId="772E247A">
            <wp:extent cx="5400000" cy="3458655"/>
            <wp:effectExtent l="0" t="0" r="0" b="889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2"/>
                    <a:stretch>
                      <a:fillRect/>
                    </a:stretch>
                  </pic:blipFill>
                  <pic:spPr>
                    <a:xfrm>
                      <a:off x="0" y="0"/>
                      <a:ext cx="5400000" cy="3458655"/>
                    </a:xfrm>
                    <a:prstGeom prst="rect">
                      <a:avLst/>
                    </a:prstGeom>
                  </pic:spPr>
                </pic:pic>
              </a:graphicData>
            </a:graphic>
          </wp:inline>
        </w:drawing>
      </w:r>
    </w:p>
    <w:p w14:paraId="54FC7C4C" w14:textId="454CEBC7" w:rsidR="009F56DA" w:rsidRPr="00356C69" w:rsidRDefault="00E07E8E" w:rsidP="007A08CC">
      <w:pPr>
        <w:pStyle w:val="CETCaption"/>
        <w:rPr>
          <w:i w:val="0"/>
          <w:iCs/>
        </w:rPr>
      </w:pPr>
      <w:r w:rsidRPr="00356C69">
        <w:rPr>
          <w:i w:val="0"/>
          <w:iCs/>
        </w:rPr>
        <w:t xml:space="preserve">    </w:t>
      </w:r>
      <w:r w:rsidR="000C091F">
        <w:rPr>
          <w:i w:val="0"/>
          <w:iCs/>
        </w:rPr>
        <w:t xml:space="preserve">                     </w:t>
      </w:r>
      <w:r w:rsidR="00634941">
        <w:rPr>
          <w:i w:val="0"/>
          <w:iCs/>
        </w:rPr>
        <w:tab/>
      </w:r>
      <w:r w:rsidR="00634941">
        <w:rPr>
          <w:i w:val="0"/>
          <w:iCs/>
        </w:rPr>
        <w:tab/>
      </w:r>
      <w:r w:rsidR="00634941">
        <w:rPr>
          <w:i w:val="0"/>
          <w:iCs/>
        </w:rPr>
        <w:tab/>
      </w:r>
      <w:r w:rsidR="000C091F">
        <w:rPr>
          <w:i w:val="0"/>
          <w:iCs/>
        </w:rPr>
        <w:t xml:space="preserve">     (</w:t>
      </w:r>
      <w:r w:rsidRPr="00356C69">
        <w:rPr>
          <w:i w:val="0"/>
          <w:iCs/>
        </w:rPr>
        <w:t>a</w:t>
      </w:r>
      <w:r w:rsidR="000C091F">
        <w:rPr>
          <w:i w:val="0"/>
          <w:iCs/>
        </w:rPr>
        <w:t>)</w:t>
      </w:r>
      <w:r w:rsidRPr="00356C69">
        <w:rPr>
          <w:i w:val="0"/>
          <w:iCs/>
        </w:rPr>
        <w:t xml:space="preserve">                    </w:t>
      </w:r>
      <w:r w:rsidR="002F4592" w:rsidRPr="00356C69">
        <w:rPr>
          <w:i w:val="0"/>
          <w:iCs/>
        </w:rPr>
        <w:t xml:space="preserve">           </w:t>
      </w:r>
      <w:r w:rsidR="0022591F" w:rsidRPr="00356C69">
        <w:rPr>
          <w:i w:val="0"/>
          <w:iCs/>
        </w:rPr>
        <w:tab/>
      </w:r>
      <w:r w:rsidR="000C091F" w:rsidRPr="00356C69">
        <w:rPr>
          <w:i w:val="0"/>
          <w:iCs/>
        </w:rPr>
        <w:tab/>
      </w:r>
      <w:r w:rsidR="000C091F">
        <w:rPr>
          <w:i w:val="0"/>
          <w:iCs/>
        </w:rPr>
        <w:t xml:space="preserve">                 </w:t>
      </w:r>
      <w:proofErr w:type="gramStart"/>
      <w:r w:rsidR="0093052B">
        <w:rPr>
          <w:i w:val="0"/>
          <w:iCs/>
        </w:rPr>
        <w:t xml:space="preserve">   </w:t>
      </w:r>
      <w:r w:rsidR="0093052B" w:rsidRPr="00356C69">
        <w:rPr>
          <w:i w:val="0"/>
          <w:iCs/>
        </w:rPr>
        <w:t>(</w:t>
      </w:r>
      <w:proofErr w:type="gramEnd"/>
      <w:r w:rsidRPr="00356C69">
        <w:rPr>
          <w:i w:val="0"/>
          <w:iCs/>
        </w:rPr>
        <w:t>b</w:t>
      </w:r>
      <w:r w:rsidR="0022591F" w:rsidRPr="00356C69">
        <w:rPr>
          <w:i w:val="0"/>
          <w:iCs/>
        </w:rPr>
        <w:t>)</w:t>
      </w:r>
      <w:r w:rsidRPr="00356C69">
        <w:rPr>
          <w:i w:val="0"/>
          <w:iCs/>
        </w:rPr>
        <w:t xml:space="preserve">                           </w:t>
      </w:r>
    </w:p>
    <w:p w14:paraId="75395F53" w14:textId="40563312" w:rsidR="009F56DA" w:rsidRPr="00516378" w:rsidRDefault="009F56DA" w:rsidP="00516378">
      <w:pPr>
        <w:pStyle w:val="CETCaption"/>
      </w:pPr>
      <w:bookmarkStart w:id="3" w:name="_Ref126763983"/>
      <w:r w:rsidRPr="00516378">
        <w:t xml:space="preserve">Figure </w:t>
      </w:r>
      <w:r w:rsidRPr="00516378">
        <w:fldChar w:fldCharType="begin"/>
      </w:r>
      <w:r w:rsidRPr="00516378">
        <w:instrText xml:space="preserve"> SEQ Figure \* ARABIC </w:instrText>
      </w:r>
      <w:r w:rsidRPr="00516378">
        <w:fldChar w:fldCharType="separate"/>
      </w:r>
      <w:r w:rsidR="006D5E6D">
        <w:rPr>
          <w:noProof/>
        </w:rPr>
        <w:t>3</w:t>
      </w:r>
      <w:r w:rsidRPr="00516378">
        <w:fldChar w:fldCharType="end"/>
      </w:r>
      <w:bookmarkEnd w:id="3"/>
      <w:r w:rsidRPr="00516378">
        <w:t xml:space="preserve"> </w:t>
      </w:r>
      <w:r w:rsidR="00263329" w:rsidRPr="00516378">
        <w:t>P</w:t>
      </w:r>
      <w:r w:rsidR="00824DB0" w:rsidRPr="00516378">
        <w:t xml:space="preserve">inching process (a) </w:t>
      </w:r>
      <w:r w:rsidR="00263329" w:rsidRPr="00516378">
        <w:t xml:space="preserve">in </w:t>
      </w:r>
      <w:r w:rsidR="0093052B" w:rsidRPr="00516378">
        <w:t xml:space="preserve">the </w:t>
      </w:r>
      <w:r w:rsidR="00263329" w:rsidRPr="00516378">
        <w:t>presence</w:t>
      </w:r>
      <w:r w:rsidR="00824DB0" w:rsidRPr="00516378">
        <w:t xml:space="preserve"> and (b) </w:t>
      </w:r>
      <w:r w:rsidR="00263329" w:rsidRPr="00516378">
        <w:t xml:space="preserve">absence of </w:t>
      </w:r>
      <w:r w:rsidR="002D7718" w:rsidRPr="00516378">
        <w:t>Span</w:t>
      </w:r>
      <w:r w:rsidR="002D7718">
        <w:t xml:space="preserve"> </w:t>
      </w:r>
      <w:r w:rsidR="002D7718" w:rsidRPr="00516378">
        <w:t>80</w:t>
      </w:r>
      <w:r w:rsidR="002D7718">
        <w:t xml:space="preserve"> </w:t>
      </w:r>
      <w:r w:rsidR="00263329" w:rsidRPr="00516378">
        <w:t>surfactant</w:t>
      </w:r>
      <w:r w:rsidR="00824DB0" w:rsidRPr="00516378">
        <w:t xml:space="preserve">. The continuous phase flow rate is equal to 400 </w:t>
      </w:r>
      <w:proofErr w:type="spellStart"/>
      <w:r w:rsidR="00824DB0" w:rsidRPr="00516378">
        <w:t>μL</w:t>
      </w:r>
      <w:proofErr w:type="spellEnd"/>
      <w:r w:rsidR="00824DB0" w:rsidRPr="00516378">
        <w:t xml:space="preserve">/min and the dispersed phase flow rate </w:t>
      </w:r>
      <w:r w:rsidR="00E53599" w:rsidRPr="00516378">
        <w:t xml:space="preserve">is </w:t>
      </w:r>
      <w:r w:rsidR="00824DB0" w:rsidRPr="00516378">
        <w:t xml:space="preserve">10 </w:t>
      </w:r>
      <w:proofErr w:type="spellStart"/>
      <w:r w:rsidR="00824DB0" w:rsidRPr="00516378">
        <w:t>μL</w:t>
      </w:r>
      <w:proofErr w:type="spellEnd"/>
      <w:r w:rsidR="00824DB0" w:rsidRPr="00516378">
        <w:t>/min.</w:t>
      </w:r>
    </w:p>
    <w:p w14:paraId="65F8F883" w14:textId="451A3192" w:rsidR="00824DB0" w:rsidRDefault="007A4537" w:rsidP="00824DB0">
      <w:pPr>
        <w:pStyle w:val="CETBodytext"/>
      </w:pPr>
      <w:r>
        <w:fldChar w:fldCharType="begin"/>
      </w:r>
      <w:r>
        <w:instrText xml:space="preserve"> REF _Ref126763983 \h </w:instrText>
      </w:r>
      <w:r>
        <w:fldChar w:fldCharType="separate"/>
      </w:r>
      <w:r w:rsidR="006D5E6D" w:rsidRPr="00516378">
        <w:t xml:space="preserve">Figure </w:t>
      </w:r>
      <w:r w:rsidR="006D5E6D">
        <w:rPr>
          <w:noProof/>
        </w:rPr>
        <w:t>3</w:t>
      </w:r>
      <w:r>
        <w:fldChar w:fldCharType="end"/>
      </w:r>
      <w:r w:rsidR="007E0341">
        <w:t xml:space="preserve"> </w:t>
      </w:r>
      <w:r w:rsidR="00824DB0">
        <w:t>shows the</w:t>
      </w:r>
      <w:r w:rsidR="007E0341">
        <w:t xml:space="preserve"> alginate</w:t>
      </w:r>
      <w:r w:rsidR="00824DB0">
        <w:t xml:space="preserve"> </w:t>
      </w:r>
      <w:r w:rsidR="007E0341">
        <w:t>droplet generation</w:t>
      </w:r>
      <w:r w:rsidR="00824DB0">
        <w:t xml:space="preserve"> obtained in presence of </w:t>
      </w:r>
      <w:r w:rsidR="002D7718">
        <w:t xml:space="preserve">the </w:t>
      </w:r>
      <w:r w:rsidR="00824DB0">
        <w:t>Span</w:t>
      </w:r>
      <w:r w:rsidR="002D7718">
        <w:t xml:space="preserve"> </w:t>
      </w:r>
      <w:r w:rsidR="00824DB0">
        <w:t xml:space="preserve">80 </w:t>
      </w:r>
      <w:r w:rsidR="002D7718">
        <w:t xml:space="preserve">surfactant </w:t>
      </w:r>
      <w:r w:rsidR="00824DB0">
        <w:t>in the continuous phase (</w:t>
      </w:r>
      <w:r>
        <w:fldChar w:fldCharType="begin"/>
      </w:r>
      <w:r>
        <w:instrText xml:space="preserve"> REF _Ref126763983 \h </w:instrText>
      </w:r>
      <w:r>
        <w:fldChar w:fldCharType="separate"/>
      </w:r>
      <w:r w:rsidR="006D5E6D" w:rsidRPr="00516378">
        <w:t xml:space="preserve">Figure </w:t>
      </w:r>
      <w:r w:rsidR="006D5E6D">
        <w:rPr>
          <w:noProof/>
        </w:rPr>
        <w:t>3</w:t>
      </w:r>
      <w:r>
        <w:fldChar w:fldCharType="end"/>
      </w:r>
      <w:r w:rsidR="00824DB0">
        <w:t xml:space="preserve">a) and without </w:t>
      </w:r>
      <w:r w:rsidR="007E0341">
        <w:t xml:space="preserve">it </w:t>
      </w:r>
      <w:r w:rsidR="00824DB0">
        <w:t>(</w:t>
      </w:r>
      <w:r>
        <w:fldChar w:fldCharType="begin"/>
      </w:r>
      <w:r>
        <w:instrText xml:space="preserve"> REF _Ref126763983 \h </w:instrText>
      </w:r>
      <w:r>
        <w:fldChar w:fldCharType="separate"/>
      </w:r>
      <w:r w:rsidR="006D5E6D" w:rsidRPr="00516378">
        <w:t xml:space="preserve">Figure </w:t>
      </w:r>
      <w:r w:rsidR="006D5E6D">
        <w:rPr>
          <w:noProof/>
        </w:rPr>
        <w:t>3</w:t>
      </w:r>
      <w:r>
        <w:fldChar w:fldCharType="end"/>
      </w:r>
      <w:r w:rsidR="00824DB0">
        <w:t>b)</w:t>
      </w:r>
      <w:r w:rsidR="007E0341">
        <w:t xml:space="preserve">, feeding 400 </w:t>
      </w:r>
      <w:proofErr w:type="spellStart"/>
      <w:r w:rsidR="007E0341" w:rsidRPr="0071210F">
        <w:t>μ</w:t>
      </w:r>
      <w:r w:rsidR="007E0341">
        <w:t>L</w:t>
      </w:r>
      <w:proofErr w:type="spellEnd"/>
      <w:r w:rsidR="007E0341" w:rsidRPr="0071210F">
        <w:t>/min</w:t>
      </w:r>
      <w:r w:rsidR="007E0341">
        <w:t xml:space="preserve"> of </w:t>
      </w:r>
      <w:r w:rsidR="00DB1236">
        <w:t xml:space="preserve">the </w:t>
      </w:r>
      <w:r w:rsidR="007E0341">
        <w:t xml:space="preserve">oil phase and 10 </w:t>
      </w:r>
      <w:proofErr w:type="spellStart"/>
      <w:r w:rsidR="007E0341" w:rsidRPr="0071210F">
        <w:t>μ</w:t>
      </w:r>
      <w:r w:rsidR="007E0341">
        <w:t>L</w:t>
      </w:r>
      <w:proofErr w:type="spellEnd"/>
      <w:r w:rsidR="007E0341" w:rsidRPr="0071210F">
        <w:t>/min</w:t>
      </w:r>
      <w:r w:rsidR="007E0341">
        <w:t xml:space="preserve"> of the </w:t>
      </w:r>
      <w:r w:rsidR="001D7BEF">
        <w:t>aqueous</w:t>
      </w:r>
      <w:r w:rsidR="007E0341">
        <w:t xml:space="preserve"> one</w:t>
      </w:r>
      <w:r w:rsidR="00824DB0">
        <w:t>.</w:t>
      </w:r>
      <w:r w:rsidR="007E0341">
        <w:t xml:space="preserve"> After a few seconds of transient flow, the dynamic process </w:t>
      </w:r>
      <w:r w:rsidR="005B15AF">
        <w:t xml:space="preserve">becomes </w:t>
      </w:r>
      <w:r w:rsidR="007E0341" w:rsidRPr="007E0341">
        <w:t>cyclic</w:t>
      </w:r>
      <w:r w:rsidR="007E0341">
        <w:t xml:space="preserve">. </w:t>
      </w:r>
      <w:r w:rsidR="00824DB0">
        <w:t>Both figures contain six experimental images obtained at different instants</w:t>
      </w:r>
      <w:r w:rsidR="007E0341">
        <w:t xml:space="preserve"> of the cycle</w:t>
      </w:r>
      <w:r w:rsidR="00824DB0">
        <w:t>. The instants are made dimensionless with respect to the</w:t>
      </w:r>
      <w:r w:rsidR="00506F7A">
        <w:t xml:space="preserve"> cycle</w:t>
      </w:r>
      <w:r w:rsidR="00824DB0">
        <w:t xml:space="preserve"> period </w:t>
      </w:r>
      <m:oMath>
        <m:r>
          <w:rPr>
            <w:rFonts w:ascii="Cambria Math" w:hAnsi="Cambria Math"/>
          </w:rPr>
          <m:t>τ</m:t>
        </m:r>
      </m:oMath>
      <w:r w:rsidR="00824DB0">
        <w:t>. From</w:t>
      </w:r>
      <w:r w:rsidR="002764A1">
        <w:t xml:space="preserve"> </w:t>
      </w:r>
      <m:oMath>
        <m:r>
          <w:rPr>
            <w:rFonts w:ascii="Cambria Math" w:hAnsi="Cambria Math"/>
          </w:rPr>
          <m:t>t/ τ</m:t>
        </m:r>
      </m:oMath>
      <w:r w:rsidR="00824DB0" w:rsidDel="00AC7852">
        <w:t xml:space="preserve"> </w:t>
      </w:r>
      <w:r w:rsidR="00824DB0">
        <w:t xml:space="preserve">=0 to </w:t>
      </w:r>
      <m:oMath>
        <m:r>
          <w:rPr>
            <w:rFonts w:ascii="Cambria Math" w:hAnsi="Cambria Math"/>
          </w:rPr>
          <m:t>t/τ</m:t>
        </m:r>
      </m:oMath>
      <w:r w:rsidR="00824DB0" w:rsidDel="00AC7852">
        <w:t xml:space="preserve"> </w:t>
      </w:r>
      <w:r w:rsidR="00824DB0">
        <w:t>=0.</w:t>
      </w:r>
      <w:r w:rsidR="007E0341">
        <w:t>5</w:t>
      </w:r>
      <w:r w:rsidR="00824DB0">
        <w:t>, the alginate phase stretches into the outlet channels</w:t>
      </w:r>
      <w:r w:rsidR="007E0341">
        <w:t>. Then,</w:t>
      </w:r>
      <w:r w:rsidR="00BA610E">
        <w:t xml:space="preserve"> a striction in the </w:t>
      </w:r>
      <w:r w:rsidR="001D7BEF">
        <w:t>aqueous</w:t>
      </w:r>
      <w:r w:rsidR="00BA610E">
        <w:t xml:space="preserve"> solution is formed and </w:t>
      </w:r>
      <w:r w:rsidR="00356C69">
        <w:t xml:space="preserve">becomes </w:t>
      </w:r>
      <w:r w:rsidR="00BA610E">
        <w:t>thinner</w:t>
      </w:r>
      <w:r w:rsidR="00824DB0">
        <w:t xml:space="preserve"> until </w:t>
      </w:r>
      <m:oMath>
        <m:r>
          <m:rPr>
            <m:sty m:val="p"/>
          </m:rPr>
          <w:rPr>
            <w:rFonts w:ascii="Cambria Math" w:hAnsi="Cambria Math"/>
          </w:rPr>
          <m:t>t/</m:t>
        </m:r>
        <m:r>
          <w:rPr>
            <w:rFonts w:ascii="Cambria Math" w:hAnsi="Cambria Math"/>
          </w:rPr>
          <m:t>τ</m:t>
        </m:r>
      </m:oMath>
      <w:r w:rsidR="00824DB0" w:rsidDel="00AC7852">
        <w:t xml:space="preserve"> </w:t>
      </w:r>
      <w:r w:rsidR="00824DB0">
        <w:t xml:space="preserve">=0.8, </w:t>
      </w:r>
      <w:r w:rsidR="00BA610E">
        <w:t xml:space="preserve">when </w:t>
      </w:r>
      <w:r w:rsidR="00824DB0">
        <w:t>the droplet detaches from the inlet streams.</w:t>
      </w:r>
      <w:r w:rsidR="00BA610E">
        <w:t xml:space="preserve"> This instant is critical, as it </w:t>
      </w:r>
      <w:r w:rsidR="005B15AF">
        <w:t xml:space="preserve">determines </w:t>
      </w:r>
      <w:r w:rsidR="00BA610E">
        <w:t>the size</w:t>
      </w:r>
      <w:r w:rsidR="005D756E">
        <w:t xml:space="preserve"> of the main droplet</w:t>
      </w:r>
      <w:r w:rsidR="00BA610E">
        <w:t xml:space="preserve"> as well as the formation of satellite droplets.</w:t>
      </w:r>
      <w:r w:rsidR="00824DB0">
        <w:t xml:space="preserve"> </w:t>
      </w:r>
      <w:r w:rsidR="00800322">
        <w:t>Afterward</w:t>
      </w:r>
      <w:r w:rsidR="00503898">
        <w:t>s</w:t>
      </w:r>
      <w:r w:rsidR="00824DB0">
        <w:t>, the droplet</w:t>
      </w:r>
      <w:r w:rsidR="00BA610E">
        <w:t>s</w:t>
      </w:r>
      <w:r w:rsidR="00824DB0">
        <w:t xml:space="preserve"> </w:t>
      </w:r>
      <w:r w:rsidR="00BA610E">
        <w:t xml:space="preserve">are </w:t>
      </w:r>
      <w:r w:rsidR="00824DB0">
        <w:t xml:space="preserve">driven downstream in the outlet channel. </w:t>
      </w:r>
    </w:p>
    <w:p w14:paraId="1B62B513" w14:textId="70C4D67D" w:rsidR="00824DB0" w:rsidRDefault="00824DB0" w:rsidP="00824DB0">
      <w:pPr>
        <w:pStyle w:val="CETBodytext"/>
      </w:pPr>
      <w:r>
        <w:t xml:space="preserve">The satellites are not desirable, because it is possible to control neither their shape nor their dimensions. </w:t>
      </w:r>
    </w:p>
    <w:p w14:paraId="34C95A91" w14:textId="707B90D3" w:rsidR="00824DB0" w:rsidRPr="00D375A7" w:rsidRDefault="00824DB0" w:rsidP="00824DB0">
      <w:pPr>
        <w:pStyle w:val="CETBodytext"/>
      </w:pPr>
      <w:r>
        <w:rPr>
          <w:lang w:val="en-GB"/>
        </w:rPr>
        <w:t xml:space="preserve">Comparing </w:t>
      </w:r>
      <w:r w:rsidR="007A4537">
        <w:fldChar w:fldCharType="begin"/>
      </w:r>
      <w:r w:rsidR="007A4537">
        <w:instrText xml:space="preserve"> REF _Ref126763983 \h </w:instrText>
      </w:r>
      <w:r w:rsidR="007A4537">
        <w:fldChar w:fldCharType="separate"/>
      </w:r>
      <w:r w:rsidR="006D5E6D" w:rsidRPr="00516378">
        <w:t xml:space="preserve">Figure </w:t>
      </w:r>
      <w:r w:rsidR="006D5E6D">
        <w:rPr>
          <w:noProof/>
        </w:rPr>
        <w:t>3</w:t>
      </w:r>
      <w:r w:rsidR="007A4537">
        <w:fldChar w:fldCharType="end"/>
      </w:r>
      <w:r w:rsidR="007A4537">
        <w:t>a and b</w:t>
      </w:r>
      <w:r>
        <w:rPr>
          <w:lang w:val="en-GB"/>
        </w:rPr>
        <w:t xml:space="preserve">, it is worth mentioning that fewer satellites are formed using the surfactant. </w:t>
      </w:r>
      <w:r w:rsidRPr="00793893">
        <w:rPr>
          <w:lang w:val="en-GB"/>
        </w:rPr>
        <w:t xml:space="preserve">Furthermore, in </w:t>
      </w:r>
      <w:r>
        <w:rPr>
          <w:lang w:val="en-GB"/>
        </w:rPr>
        <w:t xml:space="preserve">Figure </w:t>
      </w:r>
      <w:r w:rsidR="007A0770" w:rsidRPr="003A048C">
        <w:rPr>
          <w:lang w:val="en-GB"/>
        </w:rPr>
        <w:t>3</w:t>
      </w:r>
      <w:r>
        <w:rPr>
          <w:lang w:val="en-GB"/>
        </w:rPr>
        <w:t>b, the</w:t>
      </w:r>
      <w:r w:rsidRPr="00793893">
        <w:rPr>
          <w:lang w:val="en-GB"/>
        </w:rPr>
        <w:t xml:space="preserve"> droplet form</w:t>
      </w:r>
      <w:r>
        <w:rPr>
          <w:lang w:val="en-GB"/>
        </w:rPr>
        <w:t>s</w:t>
      </w:r>
      <w:r w:rsidRPr="00793893">
        <w:rPr>
          <w:lang w:val="en-GB"/>
        </w:rPr>
        <w:t xml:space="preserve"> further downstream </w:t>
      </w:r>
      <w:r>
        <w:rPr>
          <w:lang w:val="en-GB"/>
        </w:rPr>
        <w:t>in the outlet</w:t>
      </w:r>
      <w:r w:rsidRPr="00793893">
        <w:rPr>
          <w:lang w:val="en-GB"/>
        </w:rPr>
        <w:t xml:space="preserve"> channel.</w:t>
      </w:r>
      <w:r>
        <w:rPr>
          <w:lang w:val="en-GB"/>
        </w:rPr>
        <w:t xml:space="preserve"> Therefore, the use of surfactant seems to facilitate the pinching</w:t>
      </w:r>
      <w:r w:rsidR="00BA610E">
        <w:rPr>
          <w:lang w:val="en-GB"/>
        </w:rPr>
        <w:t xml:space="preserve"> of the dispersed phase achieving a </w:t>
      </w:r>
      <w:r w:rsidR="005D756E">
        <w:rPr>
          <w:lang w:val="en-GB"/>
        </w:rPr>
        <w:t>neater</w:t>
      </w:r>
      <w:r w:rsidR="00BA610E">
        <w:rPr>
          <w:lang w:val="en-GB"/>
        </w:rPr>
        <w:t xml:space="preserve"> cut of the fluid</w:t>
      </w:r>
      <w:r>
        <w:rPr>
          <w:lang w:val="en-GB"/>
        </w:rPr>
        <w:t xml:space="preserve">. On the other hand, </w:t>
      </w:r>
      <w:r w:rsidR="00BA610E">
        <w:rPr>
          <w:lang w:val="en-GB"/>
        </w:rPr>
        <w:t xml:space="preserve">the </w:t>
      </w:r>
      <w:r>
        <w:rPr>
          <w:lang w:val="en-GB"/>
        </w:rPr>
        <w:t>presence</w:t>
      </w:r>
      <w:r w:rsidR="00BA610E">
        <w:rPr>
          <w:lang w:val="en-GB"/>
        </w:rPr>
        <w:t xml:space="preserve"> of surfactant may be undesirable, as it</w:t>
      </w:r>
      <w:r>
        <w:rPr>
          <w:lang w:val="en-GB"/>
        </w:rPr>
        <w:t xml:space="preserve"> can inhibit </w:t>
      </w:r>
      <w:r w:rsidR="00BA610E">
        <w:rPr>
          <w:lang w:val="en-GB"/>
        </w:rPr>
        <w:t xml:space="preserve">or alter chemical or biochemical </w:t>
      </w:r>
      <w:r w:rsidR="005D756E">
        <w:rPr>
          <w:lang w:val="en-GB"/>
        </w:rPr>
        <w:t>reaction</w:t>
      </w:r>
      <w:r w:rsidR="00AF6790">
        <w:rPr>
          <w:lang w:val="en-GB"/>
        </w:rPr>
        <w:t>s</w:t>
      </w:r>
      <w:r w:rsidR="00BA610E">
        <w:rPr>
          <w:lang w:val="en-GB"/>
        </w:rPr>
        <w:t xml:space="preserve"> </w:t>
      </w:r>
      <w:r w:rsidR="00AF6790">
        <w:rPr>
          <w:lang w:val="en-GB"/>
        </w:rPr>
        <w:t>in the application of</w:t>
      </w:r>
      <w:r w:rsidR="00BA610E">
        <w:rPr>
          <w:lang w:val="en-GB"/>
        </w:rPr>
        <w:t xml:space="preserve"> interest</w:t>
      </w:r>
      <w:r w:rsidR="004C3ECC">
        <w:rPr>
          <w:lang w:val="en-GB"/>
        </w:rPr>
        <w:t>.</w:t>
      </w:r>
      <w:r>
        <w:rPr>
          <w:lang w:val="en-GB"/>
        </w:rPr>
        <w:t xml:space="preserve"> </w:t>
      </w:r>
      <w:r w:rsidR="00BA610E">
        <w:rPr>
          <w:lang w:val="en-GB"/>
        </w:rPr>
        <w:t>For such a reason, the Span</w:t>
      </w:r>
      <w:r w:rsidR="007B5A1D">
        <w:rPr>
          <w:lang w:val="en-GB"/>
        </w:rPr>
        <w:t xml:space="preserve"> </w:t>
      </w:r>
      <w:r w:rsidR="00BA610E">
        <w:rPr>
          <w:lang w:val="en-GB"/>
        </w:rPr>
        <w:t>80</w:t>
      </w:r>
      <w:r w:rsidR="005D756E">
        <w:rPr>
          <w:lang w:val="en-GB"/>
        </w:rPr>
        <w:t xml:space="preserve"> concentration</w:t>
      </w:r>
      <w:r w:rsidR="00BA610E">
        <w:rPr>
          <w:lang w:val="en-GB"/>
        </w:rPr>
        <w:t xml:space="preserve"> </w:t>
      </w:r>
      <w:r w:rsidR="005D756E">
        <w:rPr>
          <w:lang w:val="en-GB"/>
        </w:rPr>
        <w:t>was</w:t>
      </w:r>
      <w:r w:rsidR="00BA610E">
        <w:rPr>
          <w:lang w:val="en-GB"/>
        </w:rPr>
        <w:t xml:space="preserve"> </w:t>
      </w:r>
      <w:r w:rsidR="005D756E">
        <w:rPr>
          <w:lang w:val="en-GB"/>
        </w:rPr>
        <w:t>limited to</w:t>
      </w:r>
      <w:r w:rsidR="00BA610E">
        <w:rPr>
          <w:lang w:val="en-GB"/>
        </w:rPr>
        <w:t xml:space="preserve"> 0.5 </w:t>
      </w:r>
      <w:proofErr w:type="spellStart"/>
      <w:r w:rsidR="00BA610E">
        <w:rPr>
          <w:lang w:val="en-GB"/>
        </w:rPr>
        <w:t>wt</w:t>
      </w:r>
      <w:proofErr w:type="spellEnd"/>
      <w:r w:rsidR="00BA610E">
        <w:rPr>
          <w:lang w:val="en-GB"/>
        </w:rPr>
        <w:t>%</w:t>
      </w:r>
      <w:r w:rsidR="005D756E">
        <w:rPr>
          <w:lang w:val="en-GB"/>
        </w:rPr>
        <w:t xml:space="preserve"> in this investigation.</w:t>
      </w:r>
    </w:p>
    <w:p w14:paraId="2BA43D26" w14:textId="2CB7B866" w:rsidR="00824DB0" w:rsidRDefault="005D756E" w:rsidP="00824DB0">
      <w:pPr>
        <w:pStyle w:val="CETBodytext"/>
        <w:rPr>
          <w:lang w:val="en-GB"/>
        </w:rPr>
      </w:pPr>
      <w:r>
        <w:rPr>
          <w:lang w:val="en-GB"/>
        </w:rPr>
        <w:t xml:space="preserve">The surfactant promotes the formation of more uniform </w:t>
      </w:r>
      <w:r w:rsidR="007A4537">
        <w:rPr>
          <w:lang w:val="en-GB"/>
        </w:rPr>
        <w:t>droplets;</w:t>
      </w:r>
      <w:r>
        <w:rPr>
          <w:lang w:val="en-GB"/>
        </w:rPr>
        <w:t xml:space="preserve"> </w:t>
      </w:r>
      <w:r w:rsidR="007A4537">
        <w:rPr>
          <w:lang w:val="en-GB"/>
        </w:rPr>
        <w:t>thus,</w:t>
      </w:r>
      <w:r>
        <w:rPr>
          <w:lang w:val="en-GB"/>
        </w:rPr>
        <w:t xml:space="preserve"> the pinching process is now observed by</w:t>
      </w:r>
      <w:r w:rsidR="00824DB0">
        <w:rPr>
          <w:lang w:val="en-GB"/>
        </w:rPr>
        <w:t xml:space="preserve"> varying</w:t>
      </w:r>
      <w:r>
        <w:rPr>
          <w:lang w:val="en-GB"/>
        </w:rPr>
        <w:t xml:space="preserve"> the </w:t>
      </w:r>
      <w:r w:rsidR="00824DB0">
        <w:rPr>
          <w:lang w:val="en-GB"/>
        </w:rPr>
        <w:t>inlet flow rates</w:t>
      </w:r>
      <w:r w:rsidR="00AF6790">
        <w:rPr>
          <w:lang w:val="en-GB"/>
        </w:rPr>
        <w:t xml:space="preserve"> in presence of </w:t>
      </w:r>
      <w:r w:rsidR="002D7718">
        <w:rPr>
          <w:lang w:val="en-GB"/>
        </w:rPr>
        <w:t xml:space="preserve">the </w:t>
      </w:r>
      <w:r w:rsidR="00AF6790">
        <w:rPr>
          <w:lang w:val="en-GB"/>
        </w:rPr>
        <w:t>Span</w:t>
      </w:r>
      <w:r w:rsidR="007B5A1D">
        <w:rPr>
          <w:lang w:val="en-GB"/>
        </w:rPr>
        <w:t xml:space="preserve"> </w:t>
      </w:r>
      <w:r w:rsidR="00AF6790">
        <w:rPr>
          <w:lang w:val="en-GB"/>
        </w:rPr>
        <w:t>80</w:t>
      </w:r>
      <w:r w:rsidR="002D7718">
        <w:rPr>
          <w:lang w:val="en-GB"/>
        </w:rPr>
        <w:t xml:space="preserve"> surfactant</w:t>
      </w:r>
      <w:r w:rsidR="00824DB0">
        <w:rPr>
          <w:lang w:val="en-GB"/>
        </w:rPr>
        <w:t xml:space="preserve">. </w:t>
      </w:r>
    </w:p>
    <w:p w14:paraId="3589487A" w14:textId="77777777" w:rsidR="005A0995" w:rsidRPr="005A0995" w:rsidRDefault="005A0995" w:rsidP="005A0995">
      <w:pPr>
        <w:pStyle w:val="CETBodytext"/>
        <w:rPr>
          <w:lang w:val="en-GB"/>
        </w:rPr>
      </w:pPr>
    </w:p>
    <w:p w14:paraId="500465C6" w14:textId="166B42B5" w:rsidR="00AF4BAD" w:rsidRPr="00537D93" w:rsidRDefault="00ED44EB" w:rsidP="00AF4BAD">
      <w:pPr>
        <w:pStyle w:val="CETBodytext"/>
        <w:rPr>
          <w:lang w:val="en-GB"/>
        </w:rPr>
      </w:pPr>
      <w:r>
        <w:rPr>
          <w:noProof/>
        </w:rPr>
        <w:lastRenderedPageBreak/>
        <w:drawing>
          <wp:inline distT="0" distB="0" distL="0" distR="0" wp14:anchorId="06AC2E7E" wp14:editId="53D12A94">
            <wp:extent cx="5563349" cy="1800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3349" cy="1800000"/>
                    </a:xfrm>
                    <a:prstGeom prst="rect">
                      <a:avLst/>
                    </a:prstGeom>
                    <a:noFill/>
                    <a:ln>
                      <a:noFill/>
                    </a:ln>
                  </pic:spPr>
                </pic:pic>
              </a:graphicData>
            </a:graphic>
          </wp:inline>
        </w:drawing>
      </w:r>
    </w:p>
    <w:p w14:paraId="22EDB2E9" w14:textId="1B4B6C32" w:rsidR="00AF6790" w:rsidRDefault="00AF6790" w:rsidP="00AF6790">
      <w:pPr>
        <w:pStyle w:val="CETCaption"/>
      </w:pPr>
      <w:r w:rsidRPr="00356C69">
        <w:rPr>
          <w:i w:val="0"/>
        </w:rPr>
        <w:tab/>
      </w:r>
      <w:r w:rsidRPr="00356C69">
        <w:rPr>
          <w:i w:val="0"/>
        </w:rPr>
        <w:tab/>
      </w:r>
      <w:r>
        <w:tab/>
      </w:r>
      <w:r>
        <w:tab/>
        <w:t xml:space="preserve">   (a)</w:t>
      </w:r>
      <w:r>
        <w:tab/>
      </w:r>
      <w:r>
        <w:tab/>
      </w:r>
      <w:r>
        <w:tab/>
      </w:r>
      <w:r>
        <w:tab/>
      </w:r>
      <w:r>
        <w:tab/>
        <w:t xml:space="preserve">   </w:t>
      </w:r>
      <w:proofErr w:type="gramStart"/>
      <w:r>
        <w:t xml:space="preserve">   (</w:t>
      </w:r>
      <w:proofErr w:type="gramEnd"/>
      <w:r>
        <w:t>b)</w:t>
      </w:r>
    </w:p>
    <w:p w14:paraId="5E53DF2C" w14:textId="3B99F946" w:rsidR="00C20B2B" w:rsidRDefault="00066BC8" w:rsidP="00C20B2B">
      <w:pPr>
        <w:pStyle w:val="CETCaption"/>
      </w:pPr>
      <w:bookmarkStart w:id="4" w:name="_Ref126764068"/>
      <w:r>
        <w:t xml:space="preserve">Figure </w:t>
      </w:r>
      <w:r>
        <w:fldChar w:fldCharType="begin"/>
      </w:r>
      <w:r>
        <w:instrText xml:space="preserve"> SEQ Figure \* ARABIC </w:instrText>
      </w:r>
      <w:r>
        <w:fldChar w:fldCharType="separate"/>
      </w:r>
      <w:r w:rsidR="006D5E6D">
        <w:rPr>
          <w:noProof/>
        </w:rPr>
        <w:t>4</w:t>
      </w:r>
      <w:r>
        <w:fldChar w:fldCharType="end"/>
      </w:r>
      <w:bookmarkEnd w:id="4"/>
      <w:r>
        <w:t xml:space="preserve"> </w:t>
      </w:r>
      <w:r w:rsidR="00824DB0">
        <w:t xml:space="preserve">Comparison between different inlet flow rates, keeping the ratio between the flow rate equal to </w:t>
      </w:r>
      <w:proofErr w:type="gramStart"/>
      <w:r w:rsidR="00ED44EB">
        <w:t>40</w:t>
      </w:r>
      <w:r w:rsidR="00824DB0">
        <w:t>,</w:t>
      </w:r>
      <w:proofErr w:type="gramEnd"/>
      <w:r w:rsidR="00824DB0">
        <w:t xml:space="preserve"> of the pinching process</w:t>
      </w:r>
      <w:r w:rsidR="00AF6790">
        <w:t xml:space="preserve"> at instants (a)</w:t>
      </w:r>
      <w:r w:rsidR="00AF6790" w:rsidRPr="00AF6790">
        <w:t xml:space="preserve"> </w:t>
      </w:r>
      <m:oMath>
        <m:r>
          <w:rPr>
            <w:rFonts w:ascii="Cambria Math" w:hAnsi="Cambria Math"/>
          </w:rPr>
          <m:t xml:space="preserve">t/ </m:t>
        </m:r>
        <m:r>
          <w:rPr>
            <w:rFonts w:ascii="Cambria Math" w:hAnsi="Cambria Math"/>
          </w:rPr>
          <m:t>τ</m:t>
        </m:r>
      </m:oMath>
      <w:r w:rsidR="00AF6790" w:rsidDel="00AC7852">
        <w:t xml:space="preserve"> </w:t>
      </w:r>
      <w:r w:rsidR="00AF6790">
        <w:t xml:space="preserve">=0.8 and (b) </w:t>
      </w:r>
      <m:oMath>
        <m:r>
          <w:rPr>
            <w:rFonts w:ascii="Cambria Math" w:hAnsi="Cambria Math"/>
          </w:rPr>
          <m:t xml:space="preserve">t/ </m:t>
        </m:r>
        <m:r>
          <w:rPr>
            <w:rFonts w:ascii="Cambria Math" w:hAnsi="Cambria Math"/>
          </w:rPr>
          <m:t>τ</m:t>
        </m:r>
      </m:oMath>
      <w:r w:rsidR="00AF6790" w:rsidDel="00AC7852">
        <w:t xml:space="preserve"> </w:t>
      </w:r>
      <w:r w:rsidR="00AF6790">
        <w:t>=0.85</w:t>
      </w:r>
      <w:r w:rsidR="00824DB0">
        <w:t>.</w:t>
      </w:r>
    </w:p>
    <w:p w14:paraId="282DFB26" w14:textId="7A45F203" w:rsidR="00CE41DF" w:rsidRDefault="007A4537" w:rsidP="00824DB0">
      <w:pPr>
        <w:pStyle w:val="CETBodytext"/>
        <w:rPr>
          <w:lang w:val="en-GB"/>
        </w:rPr>
      </w:pPr>
      <w:r>
        <w:rPr>
          <w:lang w:val="en-GB"/>
        </w:rPr>
        <w:fldChar w:fldCharType="begin"/>
      </w:r>
      <w:r>
        <w:rPr>
          <w:lang w:val="en-GB"/>
        </w:rPr>
        <w:instrText xml:space="preserve"> REF _Ref126764068 \h </w:instrText>
      </w:r>
      <w:r>
        <w:rPr>
          <w:lang w:val="en-GB"/>
        </w:rPr>
      </w:r>
      <w:r>
        <w:rPr>
          <w:lang w:val="en-GB"/>
        </w:rPr>
        <w:fldChar w:fldCharType="separate"/>
      </w:r>
      <w:r w:rsidR="006D5E6D">
        <w:t xml:space="preserve">Figure </w:t>
      </w:r>
      <w:r w:rsidR="006D5E6D">
        <w:rPr>
          <w:noProof/>
        </w:rPr>
        <w:t>4</w:t>
      </w:r>
      <w:r>
        <w:rPr>
          <w:lang w:val="en-GB"/>
        </w:rPr>
        <w:fldChar w:fldCharType="end"/>
      </w:r>
      <w:r w:rsidR="005D756E" w:rsidRPr="00F53388">
        <w:rPr>
          <w:lang w:val="en-GB"/>
        </w:rPr>
        <w:t xml:space="preserve"> </w:t>
      </w:r>
      <w:r w:rsidR="00824DB0" w:rsidRPr="00F53388">
        <w:rPr>
          <w:lang w:val="en-GB"/>
        </w:rPr>
        <w:t xml:space="preserve">shows a comparison </w:t>
      </w:r>
      <w:r w:rsidR="00824DB0">
        <w:rPr>
          <w:lang w:val="en-GB"/>
        </w:rPr>
        <w:t>between the</w:t>
      </w:r>
      <w:r w:rsidR="00824DB0" w:rsidRPr="00F53388">
        <w:rPr>
          <w:lang w:val="en-GB"/>
        </w:rPr>
        <w:t xml:space="preserve"> droplet</w:t>
      </w:r>
      <w:r w:rsidR="00824DB0">
        <w:rPr>
          <w:lang w:val="en-GB"/>
        </w:rPr>
        <w:t>s</w:t>
      </w:r>
      <w:r w:rsidR="00824DB0" w:rsidRPr="00F53388">
        <w:rPr>
          <w:lang w:val="en-GB"/>
        </w:rPr>
        <w:t xml:space="preserve"> obtained with different </w:t>
      </w:r>
      <w:r w:rsidR="00824DB0">
        <w:rPr>
          <w:lang w:val="en-GB"/>
        </w:rPr>
        <w:t xml:space="preserve">inlet </w:t>
      </w:r>
      <w:r w:rsidR="00824DB0" w:rsidRPr="00F53388">
        <w:rPr>
          <w:lang w:val="en-GB"/>
        </w:rPr>
        <w:t xml:space="preserve">flow rates. </w:t>
      </w:r>
      <w:r w:rsidR="00824DB0">
        <w:rPr>
          <w:lang w:val="en-GB"/>
        </w:rPr>
        <w:t xml:space="preserve">In </w:t>
      </w:r>
      <w:r w:rsidR="00AF6790">
        <w:rPr>
          <w:lang w:val="en-GB"/>
        </w:rPr>
        <w:t>the figure</w:t>
      </w:r>
      <w:r w:rsidR="00824DB0">
        <w:rPr>
          <w:lang w:val="en-GB"/>
        </w:rPr>
        <w:t>, t</w:t>
      </w:r>
      <w:r w:rsidR="00824DB0" w:rsidRPr="00F53388">
        <w:rPr>
          <w:lang w:val="en-GB"/>
        </w:rPr>
        <w:t xml:space="preserve">he flow rates increase from top to bottom. </w:t>
      </w:r>
      <w:r w:rsidR="00824DB0">
        <w:rPr>
          <w:lang w:val="en-GB"/>
        </w:rPr>
        <w:t xml:space="preserve">Two different instants are shown in </w:t>
      </w:r>
      <w:r>
        <w:rPr>
          <w:lang w:val="en-GB"/>
        </w:rPr>
        <w:fldChar w:fldCharType="begin"/>
      </w:r>
      <w:r>
        <w:rPr>
          <w:lang w:val="en-GB"/>
        </w:rPr>
        <w:instrText xml:space="preserve"> REF _Ref126764068 \h </w:instrText>
      </w:r>
      <w:r>
        <w:rPr>
          <w:lang w:val="en-GB"/>
        </w:rPr>
      </w:r>
      <w:r>
        <w:rPr>
          <w:lang w:val="en-GB"/>
        </w:rPr>
        <w:fldChar w:fldCharType="separate"/>
      </w:r>
      <w:r w:rsidR="006D5E6D">
        <w:t xml:space="preserve">Figure </w:t>
      </w:r>
      <w:r w:rsidR="006D5E6D">
        <w:rPr>
          <w:noProof/>
        </w:rPr>
        <w:t>4</w:t>
      </w:r>
      <w:r>
        <w:rPr>
          <w:lang w:val="en-GB"/>
        </w:rPr>
        <w:fldChar w:fldCharType="end"/>
      </w:r>
      <w:r w:rsidR="00824DB0">
        <w:rPr>
          <w:lang w:val="en-GB"/>
        </w:rPr>
        <w:t>: o</w:t>
      </w:r>
      <w:r w:rsidR="00824DB0" w:rsidRPr="00F53388">
        <w:rPr>
          <w:lang w:val="en-GB"/>
        </w:rPr>
        <w:t>n the left, a</w:t>
      </w:r>
      <w:r w:rsidR="00824DB0">
        <w:rPr>
          <w:lang w:val="en-GB"/>
        </w:rPr>
        <w:t xml:space="preserve"> moment </w:t>
      </w:r>
      <w:r w:rsidR="00824DB0" w:rsidRPr="00F53388">
        <w:rPr>
          <w:lang w:val="en-GB"/>
        </w:rPr>
        <w:t xml:space="preserve">before </w:t>
      </w:r>
      <w:r w:rsidR="00824DB0">
        <w:rPr>
          <w:lang w:val="en-GB"/>
        </w:rPr>
        <w:t xml:space="preserve">the </w:t>
      </w:r>
      <w:r w:rsidR="00824DB0" w:rsidRPr="00F53388">
        <w:rPr>
          <w:lang w:val="en-GB"/>
        </w:rPr>
        <w:t>pinching</w:t>
      </w:r>
      <w:r w:rsidR="00824DB0">
        <w:rPr>
          <w:lang w:val="en-GB"/>
        </w:rPr>
        <w:t xml:space="preserve"> phase,</w:t>
      </w:r>
      <w:r w:rsidR="00824DB0" w:rsidRPr="00F53388">
        <w:rPr>
          <w:lang w:val="en-GB"/>
        </w:rPr>
        <w:t xml:space="preserve"> and on the right</w:t>
      </w:r>
      <w:r w:rsidR="00824DB0">
        <w:rPr>
          <w:lang w:val="en-GB"/>
        </w:rPr>
        <w:t xml:space="preserve">, </w:t>
      </w:r>
      <w:r w:rsidR="00824DB0" w:rsidRPr="00F53388">
        <w:rPr>
          <w:lang w:val="en-GB"/>
        </w:rPr>
        <w:t>an instant later.</w:t>
      </w:r>
      <w:r w:rsidR="00824DB0">
        <w:rPr>
          <w:lang w:val="en-GB"/>
        </w:rPr>
        <w:t xml:space="preserve"> </w:t>
      </w:r>
      <w:r w:rsidR="00CE41DF">
        <w:rPr>
          <w:lang w:val="en-GB"/>
        </w:rPr>
        <w:t>In the former, it appears that more fluid is retained behind the main droplet by increasing the inlet flow rates.</w:t>
      </w:r>
      <w:r w:rsidR="00C85B93">
        <w:rPr>
          <w:lang w:val="en-GB"/>
        </w:rPr>
        <w:t xml:space="preserve"> The latter shows the diameter of the droplet shrinks with the increase of the fluid velocity, and both the dimensions and the number of satellites grow up. </w:t>
      </w:r>
    </w:p>
    <w:p w14:paraId="757A950C" w14:textId="2D345446" w:rsidR="00C85B93" w:rsidRDefault="00824DB0" w:rsidP="00824DB0">
      <w:pPr>
        <w:pStyle w:val="CETBodytext"/>
        <w:rPr>
          <w:lang w:val="en-GB"/>
        </w:rPr>
      </w:pPr>
      <w:r>
        <w:rPr>
          <w:lang w:val="en-GB"/>
        </w:rPr>
        <w:t xml:space="preserve">To quantify the presence of undesirable </w:t>
      </w:r>
      <w:r w:rsidR="00C85B93">
        <w:rPr>
          <w:lang w:val="en-GB"/>
        </w:rPr>
        <w:t>satellite droplets</w:t>
      </w:r>
      <w:r>
        <w:rPr>
          <w:lang w:val="en-GB"/>
        </w:rPr>
        <w:t xml:space="preserve">, </w:t>
      </w:r>
      <w:r w:rsidR="00C85B93">
        <w:rPr>
          <w:lang w:val="en-GB"/>
        </w:rPr>
        <w:t>an automated</w:t>
      </w:r>
      <w:r>
        <w:rPr>
          <w:lang w:val="en-GB"/>
        </w:rPr>
        <w:t xml:space="preserve"> </w:t>
      </w:r>
      <w:r w:rsidR="00EE7E9A">
        <w:rPr>
          <w:lang w:val="en-GB"/>
        </w:rPr>
        <w:t>MATLAB</w:t>
      </w:r>
      <w:r w:rsidRPr="00356C69">
        <w:rPr>
          <w:vertAlign w:val="superscript"/>
          <w:lang w:val="en-GB"/>
        </w:rPr>
        <w:t>®</w:t>
      </w:r>
      <w:r>
        <w:rPr>
          <w:lang w:val="en-GB"/>
        </w:rPr>
        <w:t xml:space="preserve"> code</w:t>
      </w:r>
      <w:r w:rsidR="00C85B93">
        <w:rPr>
          <w:lang w:val="en-GB"/>
        </w:rPr>
        <w:t xml:space="preserve"> is created</w:t>
      </w:r>
      <w:r>
        <w:rPr>
          <w:lang w:val="en-GB"/>
        </w:rPr>
        <w:t xml:space="preserve"> to evaluate </w:t>
      </w:r>
      <w:r w:rsidR="009511D2">
        <w:rPr>
          <w:lang w:val="en-GB"/>
        </w:rPr>
        <w:t xml:space="preserve">the pinching </w:t>
      </w:r>
      <w:r>
        <w:rPr>
          <w:lang w:val="en-GB"/>
        </w:rPr>
        <w:t xml:space="preserve">efficiency and </w:t>
      </w:r>
      <w:r w:rsidR="009511D2">
        <w:rPr>
          <w:lang w:val="en-GB"/>
        </w:rPr>
        <w:t>the</w:t>
      </w:r>
      <w:r w:rsidR="00C85B93">
        <w:rPr>
          <w:lang w:val="en-GB"/>
        </w:rPr>
        <w:t xml:space="preserve"> droplet</w:t>
      </w:r>
      <w:r w:rsidR="009511D2">
        <w:rPr>
          <w:lang w:val="en-GB"/>
        </w:rPr>
        <w:t xml:space="preserve"> </w:t>
      </w:r>
      <w:r>
        <w:rPr>
          <w:lang w:val="en-GB"/>
        </w:rPr>
        <w:t>diameters.</w:t>
      </w:r>
    </w:p>
    <w:p w14:paraId="7DD0CD76" w14:textId="077A1092" w:rsidR="00C85B93" w:rsidRDefault="00C85B93" w:rsidP="00824DB0">
      <w:pPr>
        <w:pStyle w:val="CETBodytext"/>
      </w:pPr>
      <w:r>
        <w:rPr>
          <w:lang w:val="en-GB"/>
        </w:rPr>
        <w:t xml:space="preserve">The routine </w:t>
      </w:r>
      <w:r w:rsidR="00A41179">
        <w:rPr>
          <w:lang w:val="en-GB"/>
        </w:rPr>
        <w:t>examines</w:t>
      </w:r>
      <w:r>
        <w:rPr>
          <w:lang w:val="en-GB"/>
        </w:rPr>
        <w:t xml:space="preserve"> several images at the instant</w:t>
      </w:r>
      <w:r w:rsidR="00824DB0">
        <w:rPr>
          <w:lang w:val="en-GB"/>
        </w:rPr>
        <w:t xml:space="preserve"> </w:t>
      </w:r>
      <m:oMath>
        <m:r>
          <w:rPr>
            <w:rFonts w:ascii="Cambria Math" w:hAnsi="Cambria Math"/>
          </w:rPr>
          <m:t>t/ τ</m:t>
        </m:r>
      </m:oMath>
      <w:r w:rsidDel="00AC7852">
        <w:t xml:space="preserve"> </w:t>
      </w:r>
      <w:r>
        <w:t>=0.85 from the collected experimental frames. The images are post-processed to represent and analyze the region occupied only by the dispersed phase</w:t>
      </w:r>
      <w:r w:rsidR="00B561B2">
        <w:t xml:space="preserve">, as </w:t>
      </w:r>
      <w:r w:rsidR="00996BFE">
        <w:t>depicted</w:t>
      </w:r>
      <w:r w:rsidR="00B561B2">
        <w:t xml:space="preserve"> in </w:t>
      </w:r>
      <w:r w:rsidR="00B561B2">
        <w:fldChar w:fldCharType="begin"/>
      </w:r>
      <w:r w:rsidR="00B561B2">
        <w:instrText xml:space="preserve"> REF _Ref126764161 \h </w:instrText>
      </w:r>
      <w:r w:rsidR="00B561B2">
        <w:fldChar w:fldCharType="separate"/>
      </w:r>
      <w:r w:rsidR="006D5E6D">
        <w:t xml:space="preserve">Figure </w:t>
      </w:r>
      <w:r w:rsidR="006D5E6D">
        <w:rPr>
          <w:noProof/>
        </w:rPr>
        <w:t>5</w:t>
      </w:r>
      <w:r w:rsidR="00B561B2">
        <w:fldChar w:fldCharType="end"/>
      </w:r>
      <w:r>
        <w:t>.</w:t>
      </w:r>
    </w:p>
    <w:p w14:paraId="18455A3B" w14:textId="77777777" w:rsidR="009B60A5" w:rsidRPr="00356C69" w:rsidRDefault="009B60A5" w:rsidP="00824DB0">
      <w:pPr>
        <w:pStyle w:val="CETBodytext"/>
      </w:pPr>
    </w:p>
    <w:p w14:paraId="75DADCE9" w14:textId="41CECD00" w:rsidR="00903297" w:rsidRDefault="00ED44EB" w:rsidP="00903297">
      <w:pPr>
        <w:pStyle w:val="CETBodytext"/>
        <w:keepNext/>
      </w:pPr>
      <w:r>
        <w:rPr>
          <w:noProof/>
        </w:rPr>
        <w:drawing>
          <wp:inline distT="0" distB="0" distL="0" distR="0" wp14:anchorId="0E3427E3" wp14:editId="2300C685">
            <wp:extent cx="5534149" cy="18000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4149" cy="1800000"/>
                    </a:xfrm>
                    <a:prstGeom prst="rect">
                      <a:avLst/>
                    </a:prstGeom>
                    <a:noFill/>
                    <a:ln>
                      <a:noFill/>
                    </a:ln>
                  </pic:spPr>
                </pic:pic>
              </a:graphicData>
            </a:graphic>
          </wp:inline>
        </w:drawing>
      </w:r>
    </w:p>
    <w:p w14:paraId="67E377C0" w14:textId="77777777" w:rsidR="007A4537" w:rsidRDefault="007A4537" w:rsidP="007A4537">
      <w:pPr>
        <w:pStyle w:val="CETCaption"/>
      </w:pPr>
      <w:r w:rsidRPr="00356C69">
        <w:rPr>
          <w:i w:val="0"/>
        </w:rPr>
        <w:tab/>
      </w:r>
      <w:r w:rsidRPr="00356C69">
        <w:rPr>
          <w:i w:val="0"/>
        </w:rPr>
        <w:tab/>
      </w:r>
      <w:r>
        <w:tab/>
      </w:r>
      <w:r>
        <w:tab/>
        <w:t xml:space="preserve">   (a)</w:t>
      </w:r>
      <w:r>
        <w:tab/>
      </w:r>
      <w:r>
        <w:tab/>
      </w:r>
      <w:r>
        <w:tab/>
      </w:r>
      <w:r>
        <w:tab/>
      </w:r>
      <w:r>
        <w:tab/>
        <w:t xml:space="preserve">   </w:t>
      </w:r>
      <w:proofErr w:type="gramStart"/>
      <w:r>
        <w:t xml:space="preserve">   (</w:t>
      </w:r>
      <w:proofErr w:type="gramEnd"/>
      <w:r>
        <w:t>b)</w:t>
      </w:r>
    </w:p>
    <w:p w14:paraId="67582D0F" w14:textId="79A18129" w:rsidR="00C85B93" w:rsidRPr="00B561B2" w:rsidRDefault="00903297" w:rsidP="00903297">
      <w:pPr>
        <w:pStyle w:val="CETCaption"/>
        <w:rPr>
          <w:lang w:val="en-US"/>
        </w:rPr>
      </w:pPr>
      <w:bookmarkStart w:id="5" w:name="_Ref126764161"/>
      <w:r>
        <w:t xml:space="preserve">Figure </w:t>
      </w:r>
      <w:r>
        <w:fldChar w:fldCharType="begin"/>
      </w:r>
      <w:r>
        <w:instrText xml:space="preserve"> SEQ Figure \* ARABIC </w:instrText>
      </w:r>
      <w:r>
        <w:fldChar w:fldCharType="separate"/>
      </w:r>
      <w:r w:rsidR="006D5E6D">
        <w:rPr>
          <w:noProof/>
        </w:rPr>
        <w:t>5</w:t>
      </w:r>
      <w:r>
        <w:fldChar w:fldCharType="end"/>
      </w:r>
      <w:bookmarkEnd w:id="5"/>
      <w:r>
        <w:t xml:space="preserve"> </w:t>
      </w:r>
      <w:r w:rsidR="00B561B2">
        <w:t>(a) E</w:t>
      </w:r>
      <w:r>
        <w:t>xperimental</w:t>
      </w:r>
      <w:r w:rsidR="00B561B2">
        <w:t xml:space="preserve"> frames and (b) </w:t>
      </w:r>
      <w:r w:rsidR="00996BFE">
        <w:t xml:space="preserve">zoom of the </w:t>
      </w:r>
      <w:r w:rsidR="00B561B2">
        <w:t>post-processed images</w:t>
      </w:r>
      <w:r>
        <w:t xml:space="preserve"> obtained with</w:t>
      </w:r>
      <w:r w:rsidR="00B561B2">
        <w:t xml:space="preserve"> MATLAB</w:t>
      </w:r>
      <w:r w:rsidR="00B561B2" w:rsidRPr="00356C69">
        <w:rPr>
          <w:vertAlign w:val="superscript"/>
        </w:rPr>
        <w:t>®</w:t>
      </w:r>
      <w:r w:rsidR="00996BFE">
        <w:t>: the white regions indicate the extension of the dispersed phase occupied by the satellite droplets and the main one.</w:t>
      </w:r>
    </w:p>
    <w:p w14:paraId="4DC0C365" w14:textId="77777777" w:rsidR="007829CD" w:rsidRDefault="007829CD" w:rsidP="007829CD">
      <w:pPr>
        <w:pStyle w:val="CETBodytext"/>
      </w:pPr>
      <w:r>
        <w:t xml:space="preserve">Eventually, the droplet diameters are evaluated by </w:t>
      </w:r>
      <w:r w:rsidRPr="00625A05">
        <w:t>assuming perfectly spherical-shaped droplets.</w:t>
      </w:r>
      <w:r>
        <w:t xml:space="preserve"> We define the pinching efficiency (</w:t>
      </w:r>
      <m:oMath>
        <m:r>
          <w:rPr>
            <w:rFonts w:ascii="Cambria Math" w:hAnsi="Cambria Math"/>
            <w:lang w:val="en-GB"/>
          </w:rPr>
          <m:t>φ</m:t>
        </m:r>
      </m:oMath>
      <w:r>
        <w:t xml:space="preserve">) </w:t>
      </w:r>
      <w:r w:rsidRPr="004458EE">
        <w:rPr>
          <w:lang w:val="en-GB"/>
        </w:rPr>
        <w:t xml:space="preserve">as the ratio </w:t>
      </w:r>
      <w:r>
        <w:rPr>
          <w:lang w:val="en-GB"/>
        </w:rPr>
        <w:t xml:space="preserve">between </w:t>
      </w:r>
      <w:r w:rsidRPr="004458EE">
        <w:rPr>
          <w:lang w:val="en-GB"/>
        </w:rPr>
        <w:t xml:space="preserve">the volume occupied by the </w:t>
      </w:r>
      <w:r>
        <w:rPr>
          <w:lang w:val="en-GB"/>
        </w:rPr>
        <w:t xml:space="preserve">main </w:t>
      </w:r>
      <w:r w:rsidRPr="004458EE">
        <w:rPr>
          <w:lang w:val="en-GB"/>
        </w:rPr>
        <w:t>droplet</w:t>
      </w:r>
      <w:r>
        <w:rPr>
          <w:lang w:val="en-GB"/>
        </w:rPr>
        <w:t xml:space="preserve"> and</w:t>
      </w:r>
      <w:r w:rsidRPr="004458EE">
        <w:rPr>
          <w:lang w:val="en-GB"/>
        </w:rPr>
        <w:t xml:space="preserve"> the total volume</w:t>
      </w:r>
      <w:r>
        <w:rPr>
          <w:lang w:val="en-GB"/>
        </w:rPr>
        <w:t xml:space="preserve"> of the dispersed phase:</w:t>
      </w:r>
    </w:p>
    <w:p w14:paraId="7714C8E3" w14:textId="77777777" w:rsidR="007829CD" w:rsidRDefault="007829CD" w:rsidP="00240323">
      <w:pPr>
        <w:pStyle w:val="CETEquation"/>
      </w:pPr>
      <m:oMathPara>
        <m:oMath>
          <m:r>
            <w:rPr>
              <w:rFonts w:ascii="Cambria Math" w:hAnsi="Cambria Math"/>
            </w:rPr>
            <m:t>φ</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V</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1</m:t>
                  </m:r>
                </m:sub>
              </m:sSub>
            </m:den>
          </m:f>
        </m:oMath>
      </m:oMathPara>
    </w:p>
    <w:p w14:paraId="736BAC71" w14:textId="77777777" w:rsidR="007829CD" w:rsidRDefault="007829CD" w:rsidP="007829CD">
      <w:pPr>
        <w:pStyle w:val="CETBodytext"/>
      </w:pPr>
      <w:r>
        <w:rPr>
          <w:lang w:val="en-GB"/>
        </w:rPr>
        <w:t xml:space="preserve">where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1</m:t>
            </m:r>
          </m:sub>
        </m:sSub>
      </m:oMath>
      <w:r>
        <w:rPr>
          <w:lang w:val="en-GB"/>
        </w:rPr>
        <w:t xml:space="preserve"> is the volume of the main droplet and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2</m:t>
            </m:r>
          </m:sub>
        </m:sSub>
      </m:oMath>
      <w:r>
        <w:rPr>
          <w:lang w:val="en-GB"/>
        </w:rPr>
        <w:t xml:space="preserve"> is the volume of satellite droplets. </w:t>
      </w:r>
      <w:r w:rsidRPr="00356C69">
        <w:t xml:space="preserve">It </w:t>
      </w:r>
      <w:r>
        <w:t xml:space="preserve">is </w:t>
      </w:r>
      <w:r w:rsidRPr="00356C69">
        <w:t>worth noting that the product of the pinching e</w:t>
      </w:r>
      <w:r>
        <w:t>fficiency with the flow rate of the dispersed phase represents the portion of the volumetric flow rate used to form the main droplet.</w:t>
      </w:r>
    </w:p>
    <w:p w14:paraId="5EEB08BA" w14:textId="3AC7C68F" w:rsidR="0042094E" w:rsidRPr="00FC0013" w:rsidRDefault="00824DB0" w:rsidP="00FC0013">
      <w:pPr>
        <w:pStyle w:val="CETBodytext"/>
        <w:rPr>
          <w:lang w:val="en-GB"/>
        </w:rPr>
      </w:pPr>
      <w:r>
        <w:rPr>
          <w:lang w:val="en-GB"/>
        </w:rPr>
        <w:t>Accordingly, it is possible to calculate the diameter of the main droplet</w:t>
      </w:r>
      <w:r w:rsidR="009B60A5">
        <w:rPr>
          <w:lang w:val="en-GB"/>
        </w:rPr>
        <w:t xml:space="preserve">s for each operating condition </w:t>
      </w:r>
      <w:proofErr w:type="spellStart"/>
      <w:r w:rsidR="009B60A5">
        <w:rPr>
          <w:lang w:val="en-GB"/>
        </w:rPr>
        <w:t>analyzed</w:t>
      </w:r>
      <w:proofErr w:type="spellEnd"/>
      <w:r>
        <w:rPr>
          <w:lang w:val="en-GB"/>
        </w:rPr>
        <w:t xml:space="preserve">. </w:t>
      </w:r>
    </w:p>
    <w:p w14:paraId="41400475" w14:textId="614F97D2" w:rsidR="00516378" w:rsidRDefault="00516378" w:rsidP="00516378">
      <w:pPr>
        <w:pStyle w:val="CETTabletitle"/>
      </w:pPr>
      <w:bookmarkStart w:id="6" w:name="_Ref126764470"/>
      <w:r>
        <w:lastRenderedPageBreak/>
        <w:t xml:space="preserve">Table </w:t>
      </w:r>
      <w:r>
        <w:fldChar w:fldCharType="begin"/>
      </w:r>
      <w:r>
        <w:instrText xml:space="preserve"> SEQ Table \* ARABIC </w:instrText>
      </w:r>
      <w:r>
        <w:fldChar w:fldCharType="separate"/>
      </w:r>
      <w:r w:rsidR="006D5E6D">
        <w:rPr>
          <w:noProof/>
        </w:rPr>
        <w:t>2</w:t>
      </w:r>
      <w:r>
        <w:fldChar w:fldCharType="end"/>
      </w:r>
      <w:bookmarkEnd w:id="6"/>
      <w:r>
        <w:t xml:space="preserve"> </w:t>
      </w:r>
      <w:r w:rsidRPr="00516378">
        <w:t>Pinching efficiency and main droplet diameter for different inlet flow rates.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250"/>
        <w:gridCol w:w="2385"/>
        <w:gridCol w:w="1886"/>
        <w:gridCol w:w="1370"/>
        <w:gridCol w:w="896"/>
      </w:tblGrid>
      <w:tr w:rsidR="001638B5" w:rsidRPr="00B57B36" w14:paraId="779231AF" w14:textId="77777777" w:rsidTr="001638B5">
        <w:trPr>
          <w:trHeight w:val="513"/>
        </w:trPr>
        <w:tc>
          <w:tcPr>
            <w:tcW w:w="2250" w:type="dxa"/>
            <w:tcBorders>
              <w:top w:val="single" w:sz="12" w:space="0" w:color="008000"/>
              <w:bottom w:val="single" w:sz="6" w:space="0" w:color="008000"/>
            </w:tcBorders>
            <w:shd w:val="clear" w:color="auto" w:fill="FFFFFF"/>
          </w:tcPr>
          <w:p w14:paraId="18AE1432" w14:textId="77777777" w:rsidR="001638B5" w:rsidRPr="00B57B36" w:rsidRDefault="001638B5" w:rsidP="00FD094C">
            <w:pPr>
              <w:pStyle w:val="CETBodytext"/>
              <w:jc w:val="center"/>
              <w:rPr>
                <w:lang w:val="en-GB"/>
              </w:rPr>
            </w:pPr>
            <w:r>
              <w:rPr>
                <w:lang w:val="en-GB"/>
              </w:rPr>
              <w:t>Continuous flow rate [</w:t>
            </w:r>
            <m:oMath>
              <m:r>
                <w:rPr>
                  <w:rFonts w:ascii="Cambria Math" w:hAnsi="Cambria Math"/>
                  <w:lang w:val="en-GB"/>
                </w:rPr>
                <m:t>μ</m:t>
              </m:r>
            </m:oMath>
            <w:r>
              <w:rPr>
                <w:lang w:val="en-GB"/>
              </w:rPr>
              <w:t>L/min]</w:t>
            </w:r>
          </w:p>
        </w:tc>
        <w:tc>
          <w:tcPr>
            <w:tcW w:w="2385" w:type="dxa"/>
            <w:tcBorders>
              <w:top w:val="single" w:sz="12" w:space="0" w:color="008000"/>
              <w:bottom w:val="single" w:sz="6" w:space="0" w:color="008000"/>
            </w:tcBorders>
            <w:shd w:val="clear" w:color="auto" w:fill="FFFFFF"/>
          </w:tcPr>
          <w:p w14:paraId="2F5A53C8" w14:textId="77777777" w:rsidR="002764A1" w:rsidRDefault="001638B5" w:rsidP="00FD094C">
            <w:pPr>
              <w:pStyle w:val="CETBodytext"/>
              <w:jc w:val="center"/>
              <w:rPr>
                <w:lang w:val="en-GB"/>
              </w:rPr>
            </w:pPr>
            <w:r>
              <w:rPr>
                <w:lang w:val="en-GB"/>
              </w:rPr>
              <w:t xml:space="preserve">Dispersed flow rate </w:t>
            </w:r>
          </w:p>
          <w:p w14:paraId="69498273" w14:textId="5B5A3970" w:rsidR="001638B5" w:rsidRPr="00B57B36" w:rsidRDefault="001638B5" w:rsidP="00FD094C">
            <w:pPr>
              <w:pStyle w:val="CETBodytext"/>
              <w:jc w:val="center"/>
              <w:rPr>
                <w:lang w:val="en-GB"/>
              </w:rPr>
            </w:pPr>
            <w:r>
              <w:rPr>
                <w:lang w:val="en-GB"/>
              </w:rPr>
              <w:t>[</w:t>
            </w:r>
            <m:oMath>
              <m:r>
                <w:rPr>
                  <w:rFonts w:ascii="Cambria Math" w:hAnsi="Cambria Math"/>
                  <w:lang w:val="en-GB"/>
                </w:rPr>
                <m:t>μ</m:t>
              </m:r>
            </m:oMath>
            <w:r>
              <w:rPr>
                <w:lang w:val="en-GB"/>
              </w:rPr>
              <w:t>L/min]</w:t>
            </w:r>
          </w:p>
        </w:tc>
        <w:tc>
          <w:tcPr>
            <w:tcW w:w="1886" w:type="dxa"/>
            <w:tcBorders>
              <w:top w:val="single" w:sz="12" w:space="0" w:color="008000"/>
              <w:bottom w:val="single" w:sz="6" w:space="0" w:color="008000"/>
            </w:tcBorders>
            <w:shd w:val="clear" w:color="auto" w:fill="FFFFFF"/>
          </w:tcPr>
          <w:p w14:paraId="1D5A4257" w14:textId="77777777" w:rsidR="002764A1" w:rsidRDefault="001638B5" w:rsidP="00FD094C">
            <w:pPr>
              <w:pStyle w:val="CETBodytext"/>
              <w:jc w:val="center"/>
              <w:rPr>
                <w:lang w:val="en-GB"/>
              </w:rPr>
            </w:pPr>
            <m:oMath>
              <m:r>
                <w:rPr>
                  <w:rFonts w:ascii="Cambria Math" w:hAnsi="Cambria Math"/>
                  <w:lang w:val="en-GB"/>
                </w:rPr>
                <m:t>φ</m:t>
              </m:r>
            </m:oMath>
            <w:r w:rsidR="002764A1">
              <w:rPr>
                <w:lang w:val="en-GB"/>
              </w:rPr>
              <w:t xml:space="preserve"> </w:t>
            </w:r>
          </w:p>
          <w:p w14:paraId="441E7023" w14:textId="374CEE2F" w:rsidR="001638B5" w:rsidRDefault="002764A1" w:rsidP="00FD094C">
            <w:pPr>
              <w:pStyle w:val="CETBodytext"/>
              <w:jc w:val="center"/>
              <w:rPr>
                <w:lang w:val="en-GB"/>
              </w:rPr>
            </w:pPr>
            <w:r>
              <w:rPr>
                <w:lang w:val="en-GB"/>
              </w:rPr>
              <w:t>[%]</w:t>
            </w:r>
          </w:p>
        </w:tc>
        <w:tc>
          <w:tcPr>
            <w:tcW w:w="1370" w:type="dxa"/>
            <w:tcBorders>
              <w:top w:val="single" w:sz="12" w:space="0" w:color="008000"/>
              <w:bottom w:val="single" w:sz="6" w:space="0" w:color="008000"/>
            </w:tcBorders>
            <w:shd w:val="clear" w:color="auto" w:fill="FFFFFF"/>
          </w:tcPr>
          <w:p w14:paraId="77774DA1" w14:textId="34274A4B" w:rsidR="001638B5" w:rsidRPr="008C1BB1" w:rsidRDefault="001638B5" w:rsidP="00FD094C">
            <w:pPr>
              <w:pStyle w:val="CETBodytext"/>
              <w:jc w:val="center"/>
              <w:rPr>
                <w:highlight w:val="yellow"/>
                <w:lang w:val="en-GB"/>
              </w:rPr>
            </w:pPr>
            <w:r w:rsidRPr="008C1BB1">
              <w:rPr>
                <w:highlight w:val="yellow"/>
                <w:lang w:val="en-GB"/>
              </w:rPr>
              <w:t>Productivity [</w:t>
            </w:r>
            <m:oMath>
              <m:r>
                <w:rPr>
                  <w:rFonts w:ascii="Cambria Math" w:hAnsi="Cambria Math"/>
                  <w:highlight w:val="yellow"/>
                  <w:lang w:val="en-GB"/>
                </w:rPr>
                <m:t>μ</m:t>
              </m:r>
            </m:oMath>
            <w:r w:rsidRPr="008C1BB1">
              <w:rPr>
                <w:highlight w:val="yellow"/>
                <w:lang w:val="en-GB"/>
              </w:rPr>
              <w:t>L/min]</w:t>
            </w:r>
          </w:p>
        </w:tc>
        <w:tc>
          <w:tcPr>
            <w:tcW w:w="896" w:type="dxa"/>
            <w:tcBorders>
              <w:top w:val="single" w:sz="12" w:space="0" w:color="008000"/>
              <w:bottom w:val="single" w:sz="6" w:space="0" w:color="008000"/>
            </w:tcBorders>
            <w:shd w:val="clear" w:color="auto" w:fill="FFFFFF"/>
          </w:tcPr>
          <w:p w14:paraId="5EC0B9F1" w14:textId="57EE992E" w:rsidR="001638B5" w:rsidRDefault="001638B5" w:rsidP="00FD094C">
            <w:pPr>
              <w:pStyle w:val="CETBodytext"/>
              <w:jc w:val="center"/>
              <w:rPr>
                <w:lang w:val="en-GB"/>
              </w:rPr>
            </w:pPr>
            <w:r>
              <w:rPr>
                <w:lang w:val="en-GB"/>
              </w:rPr>
              <w:t>Diameter</w:t>
            </w:r>
          </w:p>
          <w:p w14:paraId="22AA3A7A" w14:textId="77777777" w:rsidR="001638B5" w:rsidRDefault="001638B5" w:rsidP="00FD094C">
            <w:pPr>
              <w:pStyle w:val="CETBodytext"/>
              <w:jc w:val="center"/>
              <w:rPr>
                <w:lang w:val="en-GB"/>
              </w:rPr>
            </w:pPr>
            <w:r>
              <w:rPr>
                <w:lang w:val="en-GB"/>
              </w:rPr>
              <w:t>[mm]</w:t>
            </w:r>
          </w:p>
        </w:tc>
      </w:tr>
      <w:tr w:rsidR="001638B5" w:rsidRPr="00B57B36" w14:paraId="79000B40" w14:textId="77777777" w:rsidTr="001638B5">
        <w:trPr>
          <w:trHeight w:val="245"/>
        </w:trPr>
        <w:tc>
          <w:tcPr>
            <w:tcW w:w="2250" w:type="dxa"/>
            <w:shd w:val="clear" w:color="auto" w:fill="FFFFFF"/>
          </w:tcPr>
          <w:p w14:paraId="3E88FED6" w14:textId="77777777" w:rsidR="001638B5" w:rsidRPr="00B57B36" w:rsidRDefault="001638B5" w:rsidP="00FD094C">
            <w:pPr>
              <w:pStyle w:val="CETBodytext"/>
              <w:jc w:val="center"/>
              <w:rPr>
                <w:lang w:val="en-GB"/>
              </w:rPr>
            </w:pPr>
            <w:r>
              <w:rPr>
                <w:lang w:val="en-GB"/>
              </w:rPr>
              <w:t>200</w:t>
            </w:r>
          </w:p>
        </w:tc>
        <w:tc>
          <w:tcPr>
            <w:tcW w:w="2385" w:type="dxa"/>
            <w:shd w:val="clear" w:color="auto" w:fill="FFFFFF"/>
          </w:tcPr>
          <w:p w14:paraId="28A51FC0" w14:textId="77777777" w:rsidR="001638B5" w:rsidRPr="00B57B36" w:rsidRDefault="001638B5" w:rsidP="00FD094C">
            <w:pPr>
              <w:pStyle w:val="CETBodytext"/>
              <w:jc w:val="center"/>
              <w:rPr>
                <w:lang w:val="en-GB"/>
              </w:rPr>
            </w:pPr>
            <w:r>
              <w:rPr>
                <w:lang w:val="en-GB"/>
              </w:rPr>
              <w:t>5</w:t>
            </w:r>
          </w:p>
        </w:tc>
        <w:tc>
          <w:tcPr>
            <w:tcW w:w="1886" w:type="dxa"/>
            <w:shd w:val="clear" w:color="auto" w:fill="FFFFFF"/>
          </w:tcPr>
          <w:p w14:paraId="61BFD194" w14:textId="651673A9" w:rsidR="001638B5" w:rsidRDefault="001638B5" w:rsidP="00FD094C">
            <w:pPr>
              <w:pStyle w:val="CETBodytext"/>
              <w:jc w:val="center"/>
              <w:rPr>
                <w:lang w:val="en-GB"/>
              </w:rPr>
            </w:pPr>
            <w:r>
              <w:rPr>
                <w:lang w:val="en-GB"/>
              </w:rPr>
              <w:t>99.33</w:t>
            </w:r>
          </w:p>
        </w:tc>
        <w:tc>
          <w:tcPr>
            <w:tcW w:w="1370" w:type="dxa"/>
            <w:shd w:val="clear" w:color="auto" w:fill="FFFFFF"/>
          </w:tcPr>
          <w:p w14:paraId="4AAC924B" w14:textId="6259F7E2" w:rsidR="001638B5" w:rsidRPr="008C1BB1" w:rsidRDefault="001638B5" w:rsidP="00FD094C">
            <w:pPr>
              <w:pStyle w:val="CETBodytext"/>
              <w:jc w:val="center"/>
              <w:rPr>
                <w:highlight w:val="yellow"/>
                <w:lang w:val="en-GB"/>
              </w:rPr>
            </w:pPr>
            <w:r w:rsidRPr="008C1BB1">
              <w:rPr>
                <w:highlight w:val="yellow"/>
                <w:lang w:val="en-GB"/>
              </w:rPr>
              <w:t>4.81</w:t>
            </w:r>
          </w:p>
        </w:tc>
        <w:tc>
          <w:tcPr>
            <w:tcW w:w="896" w:type="dxa"/>
            <w:shd w:val="clear" w:color="auto" w:fill="FFFFFF"/>
          </w:tcPr>
          <w:p w14:paraId="16D809E3" w14:textId="36EA041D" w:rsidR="001638B5" w:rsidRDefault="001638B5" w:rsidP="00FD094C">
            <w:pPr>
              <w:pStyle w:val="CETBodytext"/>
              <w:jc w:val="center"/>
              <w:rPr>
                <w:lang w:val="en-GB"/>
              </w:rPr>
            </w:pPr>
            <w:r>
              <w:rPr>
                <w:lang w:val="en-GB"/>
              </w:rPr>
              <w:t xml:space="preserve">0.86 </w:t>
            </w:r>
          </w:p>
        </w:tc>
      </w:tr>
      <w:tr w:rsidR="001638B5" w:rsidRPr="00B57B36" w14:paraId="04805788" w14:textId="77777777" w:rsidTr="001638B5">
        <w:trPr>
          <w:trHeight w:val="256"/>
        </w:trPr>
        <w:tc>
          <w:tcPr>
            <w:tcW w:w="2250" w:type="dxa"/>
            <w:shd w:val="clear" w:color="auto" w:fill="FFFFFF"/>
          </w:tcPr>
          <w:p w14:paraId="11BC8286" w14:textId="77777777" w:rsidR="001638B5" w:rsidRDefault="001638B5" w:rsidP="00FD094C">
            <w:pPr>
              <w:pStyle w:val="CETBodytext"/>
              <w:jc w:val="center"/>
              <w:rPr>
                <w:lang w:val="en-GB"/>
              </w:rPr>
            </w:pPr>
            <w:r>
              <w:rPr>
                <w:rFonts w:cs="Arial"/>
                <w:szCs w:val="18"/>
                <w:lang w:val="en-GB"/>
              </w:rPr>
              <w:t>400</w:t>
            </w:r>
          </w:p>
        </w:tc>
        <w:tc>
          <w:tcPr>
            <w:tcW w:w="2385" w:type="dxa"/>
            <w:shd w:val="clear" w:color="auto" w:fill="FFFFFF"/>
          </w:tcPr>
          <w:p w14:paraId="07E8144B" w14:textId="77777777" w:rsidR="001638B5" w:rsidRPr="00B57B36" w:rsidRDefault="001638B5" w:rsidP="00FD094C">
            <w:pPr>
              <w:pStyle w:val="CETBodytext"/>
              <w:jc w:val="center"/>
              <w:rPr>
                <w:lang w:val="en-GB"/>
              </w:rPr>
            </w:pPr>
            <w:r>
              <w:rPr>
                <w:lang w:val="en-GB"/>
              </w:rPr>
              <w:t>10</w:t>
            </w:r>
          </w:p>
        </w:tc>
        <w:tc>
          <w:tcPr>
            <w:tcW w:w="1886" w:type="dxa"/>
            <w:shd w:val="clear" w:color="auto" w:fill="FFFFFF"/>
          </w:tcPr>
          <w:p w14:paraId="6D5F2AE7" w14:textId="27C17F6F" w:rsidR="001638B5" w:rsidRDefault="001638B5" w:rsidP="00FD094C">
            <w:pPr>
              <w:pStyle w:val="CETBodytext"/>
              <w:jc w:val="center"/>
              <w:rPr>
                <w:lang w:val="en-GB"/>
              </w:rPr>
            </w:pPr>
            <w:r>
              <w:rPr>
                <w:lang w:val="en-GB"/>
              </w:rPr>
              <w:t>96.53</w:t>
            </w:r>
          </w:p>
        </w:tc>
        <w:tc>
          <w:tcPr>
            <w:tcW w:w="1370" w:type="dxa"/>
            <w:shd w:val="clear" w:color="auto" w:fill="FFFFFF"/>
          </w:tcPr>
          <w:p w14:paraId="7E21338C" w14:textId="72B30DC1" w:rsidR="001638B5" w:rsidRPr="008C1BB1" w:rsidRDefault="001638B5" w:rsidP="00FD094C">
            <w:pPr>
              <w:pStyle w:val="CETBodytext"/>
              <w:jc w:val="center"/>
              <w:rPr>
                <w:highlight w:val="yellow"/>
                <w:lang w:val="en-GB"/>
              </w:rPr>
            </w:pPr>
            <w:r w:rsidRPr="008C1BB1">
              <w:rPr>
                <w:highlight w:val="yellow"/>
                <w:lang w:val="en-GB"/>
              </w:rPr>
              <w:t>9.65</w:t>
            </w:r>
          </w:p>
        </w:tc>
        <w:tc>
          <w:tcPr>
            <w:tcW w:w="896" w:type="dxa"/>
            <w:shd w:val="clear" w:color="auto" w:fill="FFFFFF"/>
          </w:tcPr>
          <w:p w14:paraId="76FDDFD1" w14:textId="59752534" w:rsidR="001638B5" w:rsidRDefault="001638B5" w:rsidP="00FD094C">
            <w:pPr>
              <w:pStyle w:val="CETBodytext"/>
              <w:jc w:val="center"/>
              <w:rPr>
                <w:lang w:val="en-GB"/>
              </w:rPr>
            </w:pPr>
            <w:r>
              <w:rPr>
                <w:lang w:val="en-GB"/>
              </w:rPr>
              <w:t xml:space="preserve">0.80 </w:t>
            </w:r>
          </w:p>
        </w:tc>
      </w:tr>
      <w:tr w:rsidR="001638B5" w:rsidRPr="00B57B36" w14:paraId="178634EF" w14:textId="77777777" w:rsidTr="001638B5">
        <w:trPr>
          <w:trHeight w:val="256"/>
        </w:trPr>
        <w:tc>
          <w:tcPr>
            <w:tcW w:w="2250" w:type="dxa"/>
            <w:shd w:val="clear" w:color="auto" w:fill="FFFFFF"/>
          </w:tcPr>
          <w:p w14:paraId="4AAAA099" w14:textId="77777777" w:rsidR="001638B5" w:rsidRDefault="001638B5" w:rsidP="00FD094C">
            <w:pPr>
              <w:pStyle w:val="CETBodytext"/>
              <w:jc w:val="center"/>
              <w:rPr>
                <w:lang w:val="en-GB"/>
              </w:rPr>
            </w:pPr>
            <w:r>
              <w:rPr>
                <w:lang w:val="en-GB"/>
              </w:rPr>
              <w:t>1200</w:t>
            </w:r>
          </w:p>
        </w:tc>
        <w:tc>
          <w:tcPr>
            <w:tcW w:w="2385" w:type="dxa"/>
            <w:shd w:val="clear" w:color="auto" w:fill="FFFFFF"/>
          </w:tcPr>
          <w:p w14:paraId="0EDFDD29" w14:textId="77777777" w:rsidR="001638B5" w:rsidRPr="00B57B36" w:rsidRDefault="001638B5" w:rsidP="00FD094C">
            <w:pPr>
              <w:pStyle w:val="CETBodytext"/>
              <w:jc w:val="center"/>
              <w:rPr>
                <w:lang w:val="en-GB"/>
              </w:rPr>
            </w:pPr>
            <w:r>
              <w:rPr>
                <w:lang w:val="en-GB"/>
              </w:rPr>
              <w:t>30</w:t>
            </w:r>
          </w:p>
        </w:tc>
        <w:tc>
          <w:tcPr>
            <w:tcW w:w="1886" w:type="dxa"/>
            <w:shd w:val="clear" w:color="auto" w:fill="FFFFFF"/>
          </w:tcPr>
          <w:p w14:paraId="3D341DA0" w14:textId="4542890F" w:rsidR="001638B5" w:rsidRDefault="001638B5" w:rsidP="00FD094C">
            <w:pPr>
              <w:pStyle w:val="CETBodytext"/>
              <w:jc w:val="center"/>
              <w:rPr>
                <w:lang w:val="en-GB"/>
              </w:rPr>
            </w:pPr>
            <w:r>
              <w:rPr>
                <w:lang w:val="en-GB"/>
              </w:rPr>
              <w:t>95.43</w:t>
            </w:r>
          </w:p>
        </w:tc>
        <w:tc>
          <w:tcPr>
            <w:tcW w:w="1370" w:type="dxa"/>
            <w:shd w:val="clear" w:color="auto" w:fill="FFFFFF"/>
          </w:tcPr>
          <w:p w14:paraId="19D74C2F" w14:textId="54167580" w:rsidR="001638B5" w:rsidRPr="008C1BB1" w:rsidRDefault="001638B5" w:rsidP="00356C69">
            <w:pPr>
              <w:pStyle w:val="CETBodytext"/>
              <w:jc w:val="center"/>
              <w:rPr>
                <w:highlight w:val="yellow"/>
                <w:lang w:val="en-GB"/>
              </w:rPr>
            </w:pPr>
            <w:r w:rsidRPr="008C1BB1">
              <w:rPr>
                <w:highlight w:val="yellow"/>
                <w:lang w:val="en-GB"/>
              </w:rPr>
              <w:t>28.6</w:t>
            </w:r>
          </w:p>
        </w:tc>
        <w:tc>
          <w:tcPr>
            <w:tcW w:w="896" w:type="dxa"/>
            <w:shd w:val="clear" w:color="auto" w:fill="FFFFFF"/>
          </w:tcPr>
          <w:p w14:paraId="136151A7" w14:textId="5AC38522" w:rsidR="001638B5" w:rsidRDefault="001638B5" w:rsidP="00356C69">
            <w:pPr>
              <w:pStyle w:val="CETBodytext"/>
              <w:jc w:val="center"/>
              <w:rPr>
                <w:lang w:val="en-GB"/>
              </w:rPr>
            </w:pPr>
            <w:r>
              <w:rPr>
                <w:lang w:val="en-GB"/>
              </w:rPr>
              <w:t>0.76</w:t>
            </w:r>
          </w:p>
        </w:tc>
      </w:tr>
    </w:tbl>
    <w:p w14:paraId="4CBFC619" w14:textId="77777777" w:rsidR="00824DB0" w:rsidRDefault="00824DB0" w:rsidP="00824DB0">
      <w:pPr>
        <w:pStyle w:val="CETBodytext"/>
      </w:pPr>
    </w:p>
    <w:p w14:paraId="59B190F7" w14:textId="2637D19F" w:rsidR="00824DB0" w:rsidRPr="0098225D" w:rsidRDefault="00996BFE" w:rsidP="00824DB0">
      <w:pPr>
        <w:pStyle w:val="CETBodytext"/>
      </w:pPr>
      <w:r>
        <w:fldChar w:fldCharType="begin"/>
      </w:r>
      <w:r>
        <w:instrText xml:space="preserve"> REF _Ref126764470 \h </w:instrText>
      </w:r>
      <w:r>
        <w:fldChar w:fldCharType="separate"/>
      </w:r>
      <w:r w:rsidR="006D5E6D">
        <w:t xml:space="preserve">Table </w:t>
      </w:r>
      <w:r w:rsidR="006D5E6D">
        <w:rPr>
          <w:noProof/>
        </w:rPr>
        <w:t>2</w:t>
      </w:r>
      <w:r>
        <w:fldChar w:fldCharType="end"/>
      </w:r>
      <w:r>
        <w:t xml:space="preserve"> </w:t>
      </w:r>
      <w:r w:rsidR="00824DB0">
        <w:t>shows</w:t>
      </w:r>
      <w:r w:rsidR="00824DB0" w:rsidRPr="0098225D">
        <w:t xml:space="preserve"> the </w:t>
      </w:r>
      <w:r w:rsidR="00824DB0">
        <w:t xml:space="preserve">experimental </w:t>
      </w:r>
      <w:r w:rsidR="00824DB0" w:rsidRPr="0098225D">
        <w:t xml:space="preserve">diameter </w:t>
      </w:r>
      <w:r w:rsidR="00824DB0">
        <w:t xml:space="preserve">of the main droplet </w:t>
      </w:r>
      <w:r w:rsidR="00824DB0" w:rsidRPr="0098225D">
        <w:t xml:space="preserve">and </w:t>
      </w:r>
      <w:r w:rsidR="009511D2">
        <w:t xml:space="preserve">pinching </w:t>
      </w:r>
      <w:r w:rsidR="00824DB0" w:rsidRPr="0098225D">
        <w:t xml:space="preserve">efficiency for the three flow combinations. </w:t>
      </w:r>
      <w:r w:rsidR="00824DB0">
        <w:t>Both t</w:t>
      </w:r>
      <w:r w:rsidR="00824DB0" w:rsidRPr="0098225D">
        <w:t xml:space="preserve">he efficiency </w:t>
      </w:r>
      <w:r w:rsidR="00824DB0">
        <w:t>and the droplet diameter decrease</w:t>
      </w:r>
      <w:r w:rsidR="00824DB0" w:rsidRPr="0098225D">
        <w:t xml:space="preserve"> </w:t>
      </w:r>
      <w:r w:rsidR="00824DB0">
        <w:t>as the flow rates increase.</w:t>
      </w:r>
      <w:r w:rsidR="00824DB0" w:rsidRPr="0098225D">
        <w:t xml:space="preserve"> </w:t>
      </w:r>
      <w:r w:rsidR="000F2A23">
        <w:t>Thus</w:t>
      </w:r>
      <w:r w:rsidR="000F2A23" w:rsidRPr="000F2A23">
        <w:t>, by increasing the flow rates there is an increase in productivity and the generation of dispersion of drops with smaller diameters, however at the expense of a greater number of satellites</w:t>
      </w:r>
      <w:r w:rsidR="00824DB0">
        <w:t>.</w:t>
      </w:r>
      <w:r w:rsidR="00824DB0" w:rsidRPr="0098225D">
        <w:t xml:space="preserve"> </w:t>
      </w:r>
      <w:r w:rsidR="008C1BB1" w:rsidRPr="008C1BB1">
        <w:rPr>
          <w:highlight w:val="yellow"/>
        </w:rPr>
        <w:t xml:space="preserve">Indeed, we consider the productivity as the product of pinching efficiency and volumetric flow rate of alginate solution, which denotes the alginate solution </w:t>
      </w:r>
      <w:r w:rsidR="008C1BB1" w:rsidRPr="004444CC">
        <w:rPr>
          <w:highlight w:val="yellow"/>
        </w:rPr>
        <w:t>volume</w:t>
      </w:r>
      <w:r w:rsidR="004444CC" w:rsidRPr="004444CC">
        <w:rPr>
          <w:highlight w:val="yellow"/>
        </w:rPr>
        <w:t xml:space="preserve"> that has effectively encapsulated into the main droplet, excluding any contribution of the satellite droplets.</w:t>
      </w:r>
    </w:p>
    <w:p w14:paraId="68D26B83" w14:textId="39E3882D" w:rsidR="00600535" w:rsidRDefault="00600535" w:rsidP="00600535">
      <w:pPr>
        <w:pStyle w:val="CETHeading1"/>
        <w:rPr>
          <w:lang w:val="en-GB"/>
        </w:rPr>
      </w:pPr>
      <w:r w:rsidRPr="00B57B36">
        <w:rPr>
          <w:lang w:val="en-GB"/>
        </w:rPr>
        <w:t>Conclusions</w:t>
      </w:r>
    </w:p>
    <w:p w14:paraId="7FCB2B29" w14:textId="241D76C4" w:rsidR="003E1344" w:rsidRPr="00512E8C" w:rsidRDefault="003E1344" w:rsidP="00512E8C">
      <w:pPr>
        <w:pStyle w:val="CETBodytext"/>
        <w:rPr>
          <w:lang w:val="en-GB"/>
        </w:rPr>
      </w:pPr>
      <w:r w:rsidRPr="003E1344">
        <w:rPr>
          <w:lang w:val="en-GB"/>
        </w:rPr>
        <w:t xml:space="preserve">The present work has investigated the segmentation process in an X-shaped microfluidic device by using </w:t>
      </w:r>
      <w:r w:rsidR="00065E5A">
        <w:rPr>
          <w:lang w:val="en-GB"/>
        </w:rPr>
        <w:t xml:space="preserve">sunflower oil and </w:t>
      </w:r>
      <w:r w:rsidRPr="003E1344">
        <w:rPr>
          <w:lang w:val="en-GB"/>
        </w:rPr>
        <w:t>a highly viscous solution of sodium alginate. The physical and interfacial properties of the two phases have been observed in the presence and absence of surfactant. The surfactant significantly affects the pinching process during droplet generation, promoting the formation of more uniform droplets and, thus, microparticles. In addition, the investigation has spanned different inlet flow rates at the same flow rate ratio between the dispersed and continuous phases. The results have shown that by increasing the flow rates it is possible to generate smaller particles with a broader diameter distribution</w:t>
      </w:r>
      <w:r w:rsidR="00F70D19">
        <w:rPr>
          <w:lang w:val="en-GB"/>
        </w:rPr>
        <w:t xml:space="preserve">. </w:t>
      </w:r>
      <w:r w:rsidRPr="003E1344">
        <w:rPr>
          <w:lang w:val="en-GB"/>
        </w:rPr>
        <w:t xml:space="preserve">Based on the available data, the case of 400 </w:t>
      </w:r>
      <w:proofErr w:type="spellStart"/>
      <w:r w:rsidRPr="003E1344">
        <w:rPr>
          <w:lang w:val="en-GB"/>
        </w:rPr>
        <w:t>μL</w:t>
      </w:r>
      <w:proofErr w:type="spellEnd"/>
      <w:r w:rsidRPr="003E1344">
        <w:rPr>
          <w:lang w:val="en-GB"/>
        </w:rPr>
        <w:t xml:space="preserve">/min of the oil phase and 10 </w:t>
      </w:r>
      <w:proofErr w:type="spellStart"/>
      <w:r w:rsidRPr="003E1344">
        <w:rPr>
          <w:lang w:val="en-GB"/>
        </w:rPr>
        <w:t>μL</w:t>
      </w:r>
      <w:proofErr w:type="spellEnd"/>
      <w:r w:rsidRPr="003E1344">
        <w:rPr>
          <w:lang w:val="en-GB"/>
        </w:rPr>
        <w:t xml:space="preserve">/min of the aqueous one </w:t>
      </w:r>
      <w:r w:rsidR="00F70D19">
        <w:rPr>
          <w:lang w:val="en-GB"/>
        </w:rPr>
        <w:t xml:space="preserve">could represent a </w:t>
      </w:r>
      <w:proofErr w:type="spellStart"/>
      <w:r w:rsidR="00F70D19">
        <w:rPr>
          <w:lang w:val="en-GB"/>
        </w:rPr>
        <w:t>tradeoff</w:t>
      </w:r>
      <w:proofErr w:type="spellEnd"/>
      <w:r w:rsidR="00F70D19">
        <w:rPr>
          <w:lang w:val="en-GB"/>
        </w:rPr>
        <w:t xml:space="preserve"> </w:t>
      </w:r>
      <w:r w:rsidR="007829CD">
        <w:rPr>
          <w:lang w:val="en-GB"/>
        </w:rPr>
        <w:t>between pinching efficiency and droplet productivity</w:t>
      </w:r>
      <w:r w:rsidRPr="003E1344">
        <w:rPr>
          <w:lang w:val="en-GB"/>
        </w:rPr>
        <w:t xml:space="preserve">. The developed </w:t>
      </w:r>
      <w:r>
        <w:rPr>
          <w:lang w:val="en-GB"/>
        </w:rPr>
        <w:t>MATLAB</w:t>
      </w:r>
      <w:r w:rsidRPr="00356C69">
        <w:rPr>
          <w:vertAlign w:val="superscript"/>
          <w:lang w:val="en-GB"/>
        </w:rPr>
        <w:t>®</w:t>
      </w:r>
      <w:r w:rsidRPr="003E1344">
        <w:rPr>
          <w:lang w:val="en-GB"/>
        </w:rPr>
        <w:t xml:space="preserve"> code</w:t>
      </w:r>
      <w:r w:rsidR="00065E5A">
        <w:rPr>
          <w:lang w:val="en-GB"/>
        </w:rPr>
        <w:t>, which allows to evaluate the pinching efficiency based on the relevance of</w:t>
      </w:r>
      <w:r w:rsidRPr="003E1344">
        <w:rPr>
          <w:lang w:val="en-GB"/>
        </w:rPr>
        <w:t xml:space="preserve"> </w:t>
      </w:r>
      <w:r w:rsidR="00065E5A">
        <w:rPr>
          <w:lang w:val="en-GB"/>
        </w:rPr>
        <w:t xml:space="preserve">undesirable satellites, </w:t>
      </w:r>
      <w:r w:rsidRPr="003E1344">
        <w:rPr>
          <w:lang w:val="en-GB"/>
        </w:rPr>
        <w:t>could be a useful tool to control the pinching process and the droplet quality in microfluidic devices. Further studies and additional experimental data are required spanning the inlet flow rates at different flow rate ratios. The</w:t>
      </w:r>
      <w:r w:rsidR="002D7718">
        <w:rPr>
          <w:lang w:val="en-GB"/>
        </w:rPr>
        <w:t xml:space="preserve">se data may represent a useful validation dataset for the implementation of </w:t>
      </w:r>
      <w:r w:rsidRPr="003E1344">
        <w:rPr>
          <w:lang w:val="en-GB"/>
        </w:rPr>
        <w:t xml:space="preserve">more advanced numerical methods, such as </w:t>
      </w:r>
      <w:r w:rsidR="002D7718">
        <w:rPr>
          <w:lang w:val="en-GB"/>
        </w:rPr>
        <w:t>multiphase Computational Fluid Dynamics. Indeed, numerical modelling</w:t>
      </w:r>
      <w:r w:rsidRPr="003E1344">
        <w:rPr>
          <w:lang w:val="en-GB"/>
        </w:rPr>
        <w:t xml:space="preserve"> could</w:t>
      </w:r>
      <w:r w:rsidR="002D7718">
        <w:rPr>
          <w:lang w:val="en-GB"/>
        </w:rPr>
        <w:t xml:space="preserve"> provide further </w:t>
      </w:r>
      <w:r w:rsidRPr="003E1344">
        <w:rPr>
          <w:lang w:val="en-GB"/>
        </w:rPr>
        <w:t>insights into the pinching process and the optimal working condition</w:t>
      </w:r>
      <w:r w:rsidR="002D7718">
        <w:rPr>
          <w:lang w:val="en-GB"/>
        </w:rPr>
        <w:t>s</w:t>
      </w:r>
      <w:r w:rsidRPr="003E1344">
        <w:rPr>
          <w:lang w:val="en-GB"/>
        </w:rPr>
        <w:t xml:space="preserve">, </w:t>
      </w:r>
      <w:r w:rsidR="00053A36">
        <w:rPr>
          <w:lang w:val="en-GB"/>
        </w:rPr>
        <w:t>also exploiting numerical sensitivity analysis tools.</w:t>
      </w:r>
    </w:p>
    <w:p w14:paraId="48ABD492" w14:textId="77777777" w:rsidR="004A2830" w:rsidRPr="00B57B36" w:rsidRDefault="004A2830" w:rsidP="004A2830">
      <w:pPr>
        <w:pStyle w:val="CETReference"/>
      </w:pPr>
      <w:r w:rsidRPr="00B57B36">
        <w:t>References</w:t>
      </w:r>
    </w:p>
    <w:p w14:paraId="4D604AD4" w14:textId="75EB432B" w:rsidR="002271EA" w:rsidRPr="009A00CC" w:rsidRDefault="0082759A" w:rsidP="009A00CC">
      <w:pPr>
        <w:pStyle w:val="CETReferencetext"/>
      </w:pPr>
      <w:r w:rsidRPr="009A00CC">
        <w:t>Chan E.S., Lee B. B., Ravindra P., Poncelet D.</w:t>
      </w:r>
      <w:r w:rsidR="003524E3" w:rsidRPr="009A00CC">
        <w:t>, 2009,</w:t>
      </w:r>
      <w:r w:rsidRPr="009A00CC">
        <w:t xml:space="preserve"> </w:t>
      </w:r>
      <w:r w:rsidR="002271EA" w:rsidRPr="009A00CC">
        <w:t xml:space="preserve">Prediction models for shape and size of ca-alginate </w:t>
      </w:r>
      <w:proofErr w:type="spellStart"/>
      <w:r w:rsidR="002271EA" w:rsidRPr="009A00CC">
        <w:t>macrobeads</w:t>
      </w:r>
      <w:proofErr w:type="spellEnd"/>
      <w:r w:rsidR="002271EA" w:rsidRPr="009A00CC">
        <w:t xml:space="preserve"> produced through extrusion-dripping method</w:t>
      </w:r>
      <w:r w:rsidR="003524E3" w:rsidRPr="009A00CC">
        <w:t>,</w:t>
      </w:r>
      <w:r w:rsidR="002271EA" w:rsidRPr="009A00CC">
        <w:t xml:space="preserve"> Journal of Colloid and Interface Science, 338 (1), pp. 63 - </w:t>
      </w:r>
      <w:proofErr w:type="gramStart"/>
      <w:r w:rsidR="002271EA" w:rsidRPr="009A00CC">
        <w:t>72</w:t>
      </w:r>
      <w:proofErr w:type="gramEnd"/>
      <w:r w:rsidR="002271EA" w:rsidRPr="009A00CC">
        <w:t xml:space="preserve"> </w:t>
      </w:r>
    </w:p>
    <w:p w14:paraId="4D085304" w14:textId="1737EE3C" w:rsidR="002271EA" w:rsidRPr="009A00CC" w:rsidRDefault="0082759A" w:rsidP="009A00CC">
      <w:pPr>
        <w:pStyle w:val="CETReferencetext"/>
      </w:pPr>
      <w:proofErr w:type="spellStart"/>
      <w:r w:rsidRPr="009A00CC">
        <w:t>Coppi</w:t>
      </w:r>
      <w:proofErr w:type="spellEnd"/>
      <w:r w:rsidRPr="009A00CC">
        <w:t xml:space="preserve"> G., </w:t>
      </w:r>
      <w:proofErr w:type="spellStart"/>
      <w:r w:rsidRPr="009A00CC">
        <w:t>Iannuccelli</w:t>
      </w:r>
      <w:proofErr w:type="spellEnd"/>
      <w:r w:rsidRPr="009A00CC">
        <w:t xml:space="preserve"> V., </w:t>
      </w:r>
      <w:proofErr w:type="spellStart"/>
      <w:r w:rsidRPr="009A00CC">
        <w:t>Bernabei</w:t>
      </w:r>
      <w:proofErr w:type="spellEnd"/>
      <w:r w:rsidRPr="009A00CC">
        <w:t xml:space="preserve"> M.T., </w:t>
      </w:r>
      <w:proofErr w:type="spellStart"/>
      <w:r w:rsidRPr="009A00CC">
        <w:t>Cameroni</w:t>
      </w:r>
      <w:proofErr w:type="spellEnd"/>
      <w:r w:rsidRPr="009A00CC">
        <w:t xml:space="preserve"> R.</w:t>
      </w:r>
      <w:r w:rsidR="003524E3" w:rsidRPr="009A00CC">
        <w:t>, 2002,</w:t>
      </w:r>
      <w:r w:rsidRPr="009A00CC">
        <w:t xml:space="preserve"> </w:t>
      </w:r>
      <w:r w:rsidR="002271EA" w:rsidRPr="009A00CC">
        <w:t>Alginate microparticles for enzyme peroral administration</w:t>
      </w:r>
      <w:r w:rsidR="003524E3" w:rsidRPr="009A00CC">
        <w:t xml:space="preserve">, </w:t>
      </w:r>
      <w:r w:rsidR="002271EA" w:rsidRPr="009A00CC">
        <w:t xml:space="preserve">International Journal of Pharmaceutics, 242 (1-2), pp. 263 - 266 </w:t>
      </w:r>
    </w:p>
    <w:p w14:paraId="5E5F9B8F" w14:textId="1BA6C3AF" w:rsidR="0082759A" w:rsidRDefault="009A00CC" w:rsidP="009A00CC">
      <w:pPr>
        <w:pStyle w:val="CETReferencetext"/>
      </w:pPr>
      <w:r>
        <w:t>d</w:t>
      </w:r>
      <w:r w:rsidR="0082759A" w:rsidRPr="009A00CC">
        <w:t xml:space="preserve">e Jesus G.C., Gaspar Bastos R., </w:t>
      </w:r>
      <w:proofErr w:type="spellStart"/>
      <w:r w:rsidR="0082759A" w:rsidRPr="009A00CC">
        <w:t>Altenhofen</w:t>
      </w:r>
      <w:proofErr w:type="spellEnd"/>
      <w:r w:rsidR="0082759A" w:rsidRPr="009A00CC">
        <w:t xml:space="preserve"> da Silva M.</w:t>
      </w:r>
      <w:r w:rsidR="00800322" w:rsidRPr="009A00CC">
        <w:t>,</w:t>
      </w:r>
      <w:r w:rsidR="003524E3" w:rsidRPr="009A00CC">
        <w:t xml:space="preserve"> 2019,</w:t>
      </w:r>
      <w:r w:rsidR="00800322" w:rsidRPr="009A00CC">
        <w:t xml:space="preserve"> </w:t>
      </w:r>
      <w:r w:rsidR="002271EA" w:rsidRPr="009A00CC">
        <w:t xml:space="preserve">Production and characterization of alginate beads for growth of immobilized </w:t>
      </w:r>
      <w:proofErr w:type="spellStart"/>
      <w:r w:rsidR="002271EA" w:rsidRPr="009A00CC">
        <w:t>Desmodesmus</w:t>
      </w:r>
      <w:proofErr w:type="spellEnd"/>
      <w:r w:rsidR="002271EA" w:rsidRPr="009A00CC">
        <w:t xml:space="preserve"> </w:t>
      </w:r>
      <w:proofErr w:type="spellStart"/>
      <w:r w:rsidR="002271EA" w:rsidRPr="009A00CC">
        <w:t>subspicatus</w:t>
      </w:r>
      <w:proofErr w:type="spellEnd"/>
      <w:r w:rsidR="002271EA" w:rsidRPr="009A00CC">
        <w:t xml:space="preserve"> and its potential to remove potassium, carbon and nitrogen from sugarcane vinasse</w:t>
      </w:r>
      <w:r w:rsidR="003524E3" w:rsidRPr="009A00CC">
        <w:t xml:space="preserve">, </w:t>
      </w:r>
      <w:proofErr w:type="spellStart"/>
      <w:r w:rsidR="002271EA" w:rsidRPr="009A00CC">
        <w:t>Biocatalysis</w:t>
      </w:r>
      <w:proofErr w:type="spellEnd"/>
      <w:r w:rsidR="002271EA" w:rsidRPr="009A00CC">
        <w:t xml:space="preserve"> and Agricultural Biotechnology, 22, art. no. </w:t>
      </w:r>
      <w:proofErr w:type="gramStart"/>
      <w:r w:rsidR="002271EA" w:rsidRPr="009A00CC">
        <w:t>101438</w:t>
      </w:r>
      <w:proofErr w:type="gramEnd"/>
    </w:p>
    <w:p w14:paraId="13154AA2" w14:textId="77777777" w:rsidR="009A00CC" w:rsidRPr="009A00CC" w:rsidRDefault="009A00CC" w:rsidP="009A00CC">
      <w:pPr>
        <w:pStyle w:val="CETReferencetext"/>
      </w:pPr>
      <w:r w:rsidRPr="003A048C">
        <w:t xml:space="preserve">Del </w:t>
      </w:r>
      <w:proofErr w:type="spellStart"/>
      <w:r w:rsidRPr="003A048C">
        <w:t>Gaudio</w:t>
      </w:r>
      <w:proofErr w:type="spellEnd"/>
      <w:r w:rsidRPr="003A048C">
        <w:t xml:space="preserve"> P., Colombo P., Colombo G., Russo P., </w:t>
      </w:r>
      <w:proofErr w:type="spellStart"/>
      <w:r w:rsidRPr="003A048C">
        <w:t>Sonvico</w:t>
      </w:r>
      <w:proofErr w:type="spellEnd"/>
      <w:r w:rsidRPr="003A048C">
        <w:t xml:space="preserve"> F., 2005, Mechanisms of formation and disintegration of alginate beads obtained by prilling, International Journal of Pharmaceutics, 302 (1-2), pp. 1 - </w:t>
      </w:r>
      <w:proofErr w:type="gramStart"/>
      <w:r w:rsidRPr="003A048C">
        <w:t>9</w:t>
      </w:r>
      <w:proofErr w:type="gramEnd"/>
    </w:p>
    <w:p w14:paraId="1EADF824" w14:textId="6C4D24EF" w:rsidR="009A00CC" w:rsidRPr="009A00CC" w:rsidRDefault="009A00CC" w:rsidP="009A00CC">
      <w:pPr>
        <w:pStyle w:val="CETReferencetext"/>
      </w:pPr>
      <w:proofErr w:type="spellStart"/>
      <w:r w:rsidRPr="009A00CC">
        <w:t>Kalyanaraman</w:t>
      </w:r>
      <w:proofErr w:type="spellEnd"/>
      <w:r w:rsidRPr="009A00CC">
        <w:t xml:space="preserve"> M., </w:t>
      </w:r>
      <w:proofErr w:type="spellStart"/>
      <w:r w:rsidRPr="009A00CC">
        <w:t>Retterer</w:t>
      </w:r>
      <w:proofErr w:type="spellEnd"/>
      <w:r w:rsidRPr="009A00CC">
        <w:t xml:space="preserve"> S.T., McKnight T.E., Ericson M.N., Allman S.L., Elkins J.G., Palumbo A.V., Keller M., </w:t>
      </w:r>
      <w:proofErr w:type="spellStart"/>
      <w:r w:rsidRPr="009A00CC">
        <w:t>Doktycz</w:t>
      </w:r>
      <w:proofErr w:type="spellEnd"/>
      <w:r w:rsidRPr="009A00CC">
        <w:t xml:space="preserve"> M.J., 2009, Controlled microfluidic production of alginate beads for in situ encapsulation of microbes, 1st Annual ORNL Biomedical Science and Engineering Conference, BSEC 2009, art. no. 5090482 </w:t>
      </w:r>
    </w:p>
    <w:p w14:paraId="0B65F735" w14:textId="38285BA6" w:rsidR="009A4CEE" w:rsidRPr="009A00CC" w:rsidRDefault="00A3691B" w:rsidP="009A00CC">
      <w:pPr>
        <w:pStyle w:val="CETReferencetext"/>
      </w:pPr>
      <w:proofErr w:type="spellStart"/>
      <w:r w:rsidRPr="009A00CC">
        <w:t>Sarmento</w:t>
      </w:r>
      <w:proofErr w:type="spellEnd"/>
      <w:r w:rsidRPr="009A00CC">
        <w:t xml:space="preserve"> B., Ribeiro A., </w:t>
      </w:r>
      <w:proofErr w:type="spellStart"/>
      <w:r w:rsidRPr="009A00CC">
        <w:t>Veiga</w:t>
      </w:r>
      <w:proofErr w:type="spellEnd"/>
      <w:r w:rsidRPr="009A00CC">
        <w:t xml:space="preserve"> F., Sampaio P., Neufeld R., Ferreira D.</w:t>
      </w:r>
      <w:r w:rsidR="003524E3" w:rsidRPr="009A00CC">
        <w:t>, 2007,</w:t>
      </w:r>
      <w:r w:rsidRPr="009A00CC">
        <w:t xml:space="preserve"> </w:t>
      </w:r>
      <w:r w:rsidR="009A4CEE" w:rsidRPr="009A00CC">
        <w:t>Alginate/chitosan nanoparticles are effective for oral insulin delivery</w:t>
      </w:r>
      <w:r w:rsidR="003524E3" w:rsidRPr="009A00CC">
        <w:t xml:space="preserve">, </w:t>
      </w:r>
      <w:r w:rsidR="009A4CEE" w:rsidRPr="009A00CC">
        <w:t xml:space="preserve">Pharmaceutical Research, 24 (12), pp. 2198 - </w:t>
      </w:r>
      <w:proofErr w:type="gramStart"/>
      <w:r w:rsidR="009A4CEE" w:rsidRPr="009A00CC">
        <w:t>2206</w:t>
      </w:r>
      <w:proofErr w:type="gramEnd"/>
      <w:r w:rsidR="009A4CEE" w:rsidRPr="009A00CC">
        <w:t xml:space="preserve"> </w:t>
      </w:r>
    </w:p>
    <w:p w14:paraId="1FFAC5B4" w14:textId="72563BBB" w:rsidR="003524E3" w:rsidRDefault="002271EA" w:rsidP="009A00CC">
      <w:pPr>
        <w:pStyle w:val="CETReferencetext"/>
      </w:pPr>
      <w:proofErr w:type="spellStart"/>
      <w:r w:rsidRPr="009A00CC">
        <w:t>Tomasi</w:t>
      </w:r>
      <w:proofErr w:type="spellEnd"/>
      <w:r w:rsidRPr="009A00CC">
        <w:t xml:space="preserve"> </w:t>
      </w:r>
      <w:proofErr w:type="spellStart"/>
      <w:r w:rsidRPr="009A00CC">
        <w:t>Masoni</w:t>
      </w:r>
      <w:proofErr w:type="spellEnd"/>
      <w:r w:rsidRPr="009A00CC">
        <w:t xml:space="preserve"> S., </w:t>
      </w:r>
      <w:proofErr w:type="spellStart"/>
      <w:r w:rsidRPr="009A00CC">
        <w:t>Antognoli</w:t>
      </w:r>
      <w:proofErr w:type="spellEnd"/>
      <w:r w:rsidRPr="009A00CC">
        <w:t xml:space="preserve"> M., </w:t>
      </w:r>
      <w:proofErr w:type="spellStart"/>
      <w:r w:rsidRPr="009A00CC">
        <w:t>Mariotti</w:t>
      </w:r>
      <w:proofErr w:type="spellEnd"/>
      <w:r w:rsidRPr="009A00CC">
        <w:t xml:space="preserve"> A., Mauri R., </w:t>
      </w:r>
      <w:proofErr w:type="spellStart"/>
      <w:r w:rsidRPr="009A00CC">
        <w:t>Salvetti</w:t>
      </w:r>
      <w:proofErr w:type="spellEnd"/>
      <w:r w:rsidRPr="009A00CC">
        <w:t xml:space="preserve"> M.V., </w:t>
      </w:r>
      <w:proofErr w:type="spellStart"/>
      <w:r w:rsidRPr="009A00CC">
        <w:t>Galletti</w:t>
      </w:r>
      <w:proofErr w:type="spellEnd"/>
      <w:r w:rsidRPr="009A00CC">
        <w:t xml:space="preserve"> C., </w:t>
      </w:r>
      <w:proofErr w:type="spellStart"/>
      <w:r w:rsidRPr="009A00CC">
        <w:t>Brunazzi</w:t>
      </w:r>
      <w:proofErr w:type="spellEnd"/>
      <w:r w:rsidRPr="009A00CC">
        <w:t xml:space="preserve"> E.</w:t>
      </w:r>
      <w:r w:rsidR="003524E3" w:rsidRPr="009A00CC">
        <w:t>, 2022,</w:t>
      </w:r>
      <w:r w:rsidRPr="009A00CC">
        <w:t xml:space="preserve"> Flow regimes, mixing and reaction yield of a mixture in an X-microreactor</w:t>
      </w:r>
      <w:r w:rsidR="003524E3" w:rsidRPr="009A00CC">
        <w:t xml:space="preserve">, </w:t>
      </w:r>
      <w:r w:rsidRPr="009A00CC">
        <w:t xml:space="preserve">Chemical Engineering Journal, 437, art. no. </w:t>
      </w:r>
      <w:proofErr w:type="gramStart"/>
      <w:r w:rsidRPr="009A00CC">
        <w:t>135113</w:t>
      </w:r>
      <w:proofErr w:type="gramEnd"/>
    </w:p>
    <w:p w14:paraId="713E762F" w14:textId="243789E3" w:rsidR="009A00CC" w:rsidRPr="009A00CC" w:rsidRDefault="009A00CC" w:rsidP="009A00CC">
      <w:pPr>
        <w:pStyle w:val="CETReferencetext"/>
      </w:pPr>
      <w:r w:rsidRPr="009A00CC">
        <w:t xml:space="preserve">Yeh C.H., Zhao Q., Lee S.J., Lin Y.C., 2009, Using a T-junction microfluidic chip for monodisperse calcium alginate microparticles and encapsulation of nanoparticles, Sensors and Actuators, A: Physical, 151 (2), pp. 231 - </w:t>
      </w:r>
      <w:proofErr w:type="gramStart"/>
      <w:r w:rsidRPr="009A00CC">
        <w:t>236</w:t>
      </w:r>
      <w:proofErr w:type="gramEnd"/>
    </w:p>
    <w:sectPr w:rsidR="009A00CC" w:rsidRPr="009A00CC"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7B93E6" w14:textId="77777777" w:rsidR="00421E09" w:rsidRDefault="00421E09" w:rsidP="004F5E36">
      <w:r>
        <w:separator/>
      </w:r>
    </w:p>
  </w:endnote>
  <w:endnote w:type="continuationSeparator" w:id="0">
    <w:p w14:paraId="636A7432" w14:textId="77777777" w:rsidR="00421E09" w:rsidRDefault="00421E09"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6975C" w14:textId="77777777" w:rsidR="00421E09" w:rsidRDefault="00421E09" w:rsidP="004F5E36">
      <w:r>
        <w:separator/>
      </w:r>
    </w:p>
  </w:footnote>
  <w:footnote w:type="continuationSeparator" w:id="0">
    <w:p w14:paraId="4C884E2C" w14:textId="77777777" w:rsidR="00421E09" w:rsidRDefault="00421E09"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E0154B2"/>
    <w:multiLevelType w:val="hybridMultilevel"/>
    <w:tmpl w:val="90547CBE"/>
    <w:lvl w:ilvl="0" w:tplc="D2C8D9F8">
      <w:start w:val="1"/>
      <w:numFmt w:val="lowerLetter"/>
      <w:lvlText w:val="(%1)"/>
      <w:lvlJc w:val="left"/>
      <w:pPr>
        <w:ind w:left="2064" w:hanging="360"/>
      </w:pPr>
      <w:rPr>
        <w:rFonts w:hint="default"/>
      </w:rPr>
    </w:lvl>
    <w:lvl w:ilvl="1" w:tplc="04100019" w:tentative="1">
      <w:start w:val="1"/>
      <w:numFmt w:val="lowerLetter"/>
      <w:lvlText w:val="%2."/>
      <w:lvlJc w:val="left"/>
      <w:pPr>
        <w:ind w:left="2784" w:hanging="360"/>
      </w:pPr>
    </w:lvl>
    <w:lvl w:ilvl="2" w:tplc="0410001B" w:tentative="1">
      <w:start w:val="1"/>
      <w:numFmt w:val="lowerRoman"/>
      <w:lvlText w:val="%3."/>
      <w:lvlJc w:val="right"/>
      <w:pPr>
        <w:ind w:left="3504" w:hanging="180"/>
      </w:pPr>
    </w:lvl>
    <w:lvl w:ilvl="3" w:tplc="0410000F" w:tentative="1">
      <w:start w:val="1"/>
      <w:numFmt w:val="decimal"/>
      <w:lvlText w:val="%4."/>
      <w:lvlJc w:val="left"/>
      <w:pPr>
        <w:ind w:left="4224" w:hanging="360"/>
      </w:pPr>
    </w:lvl>
    <w:lvl w:ilvl="4" w:tplc="04100019" w:tentative="1">
      <w:start w:val="1"/>
      <w:numFmt w:val="lowerLetter"/>
      <w:lvlText w:val="%5."/>
      <w:lvlJc w:val="left"/>
      <w:pPr>
        <w:ind w:left="4944" w:hanging="360"/>
      </w:pPr>
    </w:lvl>
    <w:lvl w:ilvl="5" w:tplc="0410001B" w:tentative="1">
      <w:start w:val="1"/>
      <w:numFmt w:val="lowerRoman"/>
      <w:lvlText w:val="%6."/>
      <w:lvlJc w:val="right"/>
      <w:pPr>
        <w:ind w:left="5664" w:hanging="180"/>
      </w:pPr>
    </w:lvl>
    <w:lvl w:ilvl="6" w:tplc="0410000F" w:tentative="1">
      <w:start w:val="1"/>
      <w:numFmt w:val="decimal"/>
      <w:lvlText w:val="%7."/>
      <w:lvlJc w:val="left"/>
      <w:pPr>
        <w:ind w:left="6384" w:hanging="360"/>
      </w:pPr>
    </w:lvl>
    <w:lvl w:ilvl="7" w:tplc="04100019" w:tentative="1">
      <w:start w:val="1"/>
      <w:numFmt w:val="lowerLetter"/>
      <w:lvlText w:val="%8."/>
      <w:lvlJc w:val="left"/>
      <w:pPr>
        <w:ind w:left="7104" w:hanging="360"/>
      </w:pPr>
    </w:lvl>
    <w:lvl w:ilvl="8" w:tplc="0410001B" w:tentative="1">
      <w:start w:val="1"/>
      <w:numFmt w:val="lowerRoman"/>
      <w:lvlText w:val="%9."/>
      <w:lvlJc w:val="right"/>
      <w:pPr>
        <w:ind w:left="7824"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87212DF"/>
    <w:multiLevelType w:val="hybridMultilevel"/>
    <w:tmpl w:val="C0A2B1A0"/>
    <w:lvl w:ilvl="0" w:tplc="A768C270">
      <w:start w:val="1"/>
      <w:numFmt w:val="lowerLetter"/>
      <w:lvlText w:val="(%1)"/>
      <w:lvlJc w:val="left"/>
      <w:pPr>
        <w:ind w:left="3540" w:hanging="708"/>
      </w:pPr>
      <w:rPr>
        <w:rFonts w:hint="default"/>
      </w:rPr>
    </w:lvl>
    <w:lvl w:ilvl="1" w:tplc="04100019" w:tentative="1">
      <w:start w:val="1"/>
      <w:numFmt w:val="lowerLetter"/>
      <w:lvlText w:val="%2."/>
      <w:lvlJc w:val="left"/>
      <w:pPr>
        <w:ind w:left="3912" w:hanging="360"/>
      </w:pPr>
    </w:lvl>
    <w:lvl w:ilvl="2" w:tplc="0410001B" w:tentative="1">
      <w:start w:val="1"/>
      <w:numFmt w:val="lowerRoman"/>
      <w:lvlText w:val="%3."/>
      <w:lvlJc w:val="right"/>
      <w:pPr>
        <w:ind w:left="4632" w:hanging="180"/>
      </w:pPr>
    </w:lvl>
    <w:lvl w:ilvl="3" w:tplc="0410000F" w:tentative="1">
      <w:start w:val="1"/>
      <w:numFmt w:val="decimal"/>
      <w:lvlText w:val="%4."/>
      <w:lvlJc w:val="left"/>
      <w:pPr>
        <w:ind w:left="5352" w:hanging="360"/>
      </w:pPr>
    </w:lvl>
    <w:lvl w:ilvl="4" w:tplc="04100019" w:tentative="1">
      <w:start w:val="1"/>
      <w:numFmt w:val="lowerLetter"/>
      <w:lvlText w:val="%5."/>
      <w:lvlJc w:val="left"/>
      <w:pPr>
        <w:ind w:left="6072" w:hanging="360"/>
      </w:pPr>
    </w:lvl>
    <w:lvl w:ilvl="5" w:tplc="0410001B" w:tentative="1">
      <w:start w:val="1"/>
      <w:numFmt w:val="lowerRoman"/>
      <w:lvlText w:val="%6."/>
      <w:lvlJc w:val="right"/>
      <w:pPr>
        <w:ind w:left="6792" w:hanging="180"/>
      </w:pPr>
    </w:lvl>
    <w:lvl w:ilvl="6" w:tplc="0410000F" w:tentative="1">
      <w:start w:val="1"/>
      <w:numFmt w:val="decimal"/>
      <w:lvlText w:val="%7."/>
      <w:lvlJc w:val="left"/>
      <w:pPr>
        <w:ind w:left="7512" w:hanging="360"/>
      </w:pPr>
    </w:lvl>
    <w:lvl w:ilvl="7" w:tplc="04100019" w:tentative="1">
      <w:start w:val="1"/>
      <w:numFmt w:val="lowerLetter"/>
      <w:lvlText w:val="%8."/>
      <w:lvlJc w:val="left"/>
      <w:pPr>
        <w:ind w:left="8232" w:hanging="360"/>
      </w:pPr>
    </w:lvl>
    <w:lvl w:ilvl="8" w:tplc="0410001B" w:tentative="1">
      <w:start w:val="1"/>
      <w:numFmt w:val="lowerRoman"/>
      <w:lvlText w:val="%9."/>
      <w:lvlJc w:val="right"/>
      <w:pPr>
        <w:ind w:left="8952" w:hanging="180"/>
      </w:pPr>
    </w:lvl>
  </w:abstractNum>
  <w:num w:numId="1" w16cid:durableId="21442750">
    <w:abstractNumId w:val="10"/>
  </w:num>
  <w:num w:numId="2" w16cid:durableId="1928997816">
    <w:abstractNumId w:val="8"/>
  </w:num>
  <w:num w:numId="3" w16cid:durableId="1014840366">
    <w:abstractNumId w:val="3"/>
  </w:num>
  <w:num w:numId="4" w16cid:durableId="1688557993">
    <w:abstractNumId w:val="2"/>
  </w:num>
  <w:num w:numId="5" w16cid:durableId="215700506">
    <w:abstractNumId w:val="1"/>
  </w:num>
  <w:num w:numId="6" w16cid:durableId="347828005">
    <w:abstractNumId w:val="0"/>
  </w:num>
  <w:num w:numId="7" w16cid:durableId="77215526">
    <w:abstractNumId w:val="9"/>
  </w:num>
  <w:num w:numId="8" w16cid:durableId="2125928213">
    <w:abstractNumId w:val="7"/>
  </w:num>
  <w:num w:numId="9" w16cid:durableId="2137865488">
    <w:abstractNumId w:val="6"/>
  </w:num>
  <w:num w:numId="10" w16cid:durableId="481315226">
    <w:abstractNumId w:val="5"/>
  </w:num>
  <w:num w:numId="11" w16cid:durableId="656350109">
    <w:abstractNumId w:val="4"/>
  </w:num>
  <w:num w:numId="12" w16cid:durableId="1635678924">
    <w:abstractNumId w:val="18"/>
  </w:num>
  <w:num w:numId="13" w16cid:durableId="1857690146">
    <w:abstractNumId w:val="12"/>
  </w:num>
  <w:num w:numId="14" w16cid:durableId="1829974605">
    <w:abstractNumId w:val="19"/>
  </w:num>
  <w:num w:numId="15" w16cid:durableId="1177043252">
    <w:abstractNumId w:val="21"/>
  </w:num>
  <w:num w:numId="16" w16cid:durableId="1843159077">
    <w:abstractNumId w:val="20"/>
  </w:num>
  <w:num w:numId="17" w16cid:durableId="1007094453">
    <w:abstractNumId w:val="11"/>
  </w:num>
  <w:num w:numId="18" w16cid:durableId="514266917">
    <w:abstractNumId w:val="12"/>
    <w:lvlOverride w:ilvl="0">
      <w:startOverride w:val="1"/>
    </w:lvlOverride>
  </w:num>
  <w:num w:numId="19" w16cid:durableId="2104177570">
    <w:abstractNumId w:val="17"/>
  </w:num>
  <w:num w:numId="20" w16cid:durableId="678460487">
    <w:abstractNumId w:val="16"/>
  </w:num>
  <w:num w:numId="21" w16cid:durableId="1983928476">
    <w:abstractNumId w:val="14"/>
  </w:num>
  <w:num w:numId="22" w16cid:durableId="2135177476">
    <w:abstractNumId w:val="13"/>
  </w:num>
  <w:num w:numId="23" w16cid:durableId="1939023871">
    <w:abstractNumId w:val="10"/>
    <w:lvlOverride w:ilvl="0">
      <w:startOverride w:val="1"/>
    </w:lvlOverride>
    <w:lvlOverride w:ilvl="1"/>
    <w:lvlOverride w:ilvl="2">
      <w:startOverride w:val="76"/>
    </w:lvlOverride>
  </w:num>
  <w:num w:numId="24" w16cid:durableId="814686064">
    <w:abstractNumId w:val="22"/>
  </w:num>
  <w:num w:numId="25" w16cid:durableId="208236199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3148D"/>
    <w:rsid w:val="00031EEC"/>
    <w:rsid w:val="000420E4"/>
    <w:rsid w:val="00043DFC"/>
    <w:rsid w:val="000453B9"/>
    <w:rsid w:val="00051566"/>
    <w:rsid w:val="00053A36"/>
    <w:rsid w:val="000562A9"/>
    <w:rsid w:val="00062A9A"/>
    <w:rsid w:val="00063A2C"/>
    <w:rsid w:val="00065058"/>
    <w:rsid w:val="00065E5A"/>
    <w:rsid w:val="00066BC8"/>
    <w:rsid w:val="0007027E"/>
    <w:rsid w:val="0007355C"/>
    <w:rsid w:val="00086C39"/>
    <w:rsid w:val="00087A1C"/>
    <w:rsid w:val="000A03B2"/>
    <w:rsid w:val="000A537A"/>
    <w:rsid w:val="000C091F"/>
    <w:rsid w:val="000D0268"/>
    <w:rsid w:val="000D34BE"/>
    <w:rsid w:val="000E102F"/>
    <w:rsid w:val="000E36F1"/>
    <w:rsid w:val="000E3A73"/>
    <w:rsid w:val="000E414A"/>
    <w:rsid w:val="000E4192"/>
    <w:rsid w:val="000F093C"/>
    <w:rsid w:val="000F2A23"/>
    <w:rsid w:val="000F787B"/>
    <w:rsid w:val="00100668"/>
    <w:rsid w:val="00103251"/>
    <w:rsid w:val="0012091F"/>
    <w:rsid w:val="001210F2"/>
    <w:rsid w:val="00126BC2"/>
    <w:rsid w:val="001308B6"/>
    <w:rsid w:val="0013121F"/>
    <w:rsid w:val="00131FE6"/>
    <w:rsid w:val="00132381"/>
    <w:rsid w:val="0013263F"/>
    <w:rsid w:val="001331DF"/>
    <w:rsid w:val="00133A71"/>
    <w:rsid w:val="00134DE4"/>
    <w:rsid w:val="0014034D"/>
    <w:rsid w:val="00144D16"/>
    <w:rsid w:val="001509D8"/>
    <w:rsid w:val="00150E59"/>
    <w:rsid w:val="00152DE3"/>
    <w:rsid w:val="0015434C"/>
    <w:rsid w:val="00160879"/>
    <w:rsid w:val="001638B5"/>
    <w:rsid w:val="00164CF9"/>
    <w:rsid w:val="001667A6"/>
    <w:rsid w:val="00184AD6"/>
    <w:rsid w:val="001A1CF1"/>
    <w:rsid w:val="001A4AF7"/>
    <w:rsid w:val="001B0349"/>
    <w:rsid w:val="001B1E93"/>
    <w:rsid w:val="001B65C1"/>
    <w:rsid w:val="001C159E"/>
    <w:rsid w:val="001C684B"/>
    <w:rsid w:val="001D0CFB"/>
    <w:rsid w:val="001D21AF"/>
    <w:rsid w:val="001D53FC"/>
    <w:rsid w:val="001D7BEF"/>
    <w:rsid w:val="001F42A5"/>
    <w:rsid w:val="001F7B9D"/>
    <w:rsid w:val="00201C93"/>
    <w:rsid w:val="00204013"/>
    <w:rsid w:val="002066DA"/>
    <w:rsid w:val="00206CD5"/>
    <w:rsid w:val="00212935"/>
    <w:rsid w:val="00217943"/>
    <w:rsid w:val="00220DC1"/>
    <w:rsid w:val="002224B4"/>
    <w:rsid w:val="0022591F"/>
    <w:rsid w:val="002271EA"/>
    <w:rsid w:val="00234A70"/>
    <w:rsid w:val="00240320"/>
    <w:rsid w:val="00240323"/>
    <w:rsid w:val="002447EF"/>
    <w:rsid w:val="00251550"/>
    <w:rsid w:val="00261273"/>
    <w:rsid w:val="00263329"/>
    <w:rsid w:val="00263B05"/>
    <w:rsid w:val="0027221A"/>
    <w:rsid w:val="00275B61"/>
    <w:rsid w:val="002764A1"/>
    <w:rsid w:val="00280807"/>
    <w:rsid w:val="00280FAF"/>
    <w:rsid w:val="00282656"/>
    <w:rsid w:val="002916C2"/>
    <w:rsid w:val="00296B83"/>
    <w:rsid w:val="002A53B1"/>
    <w:rsid w:val="002B4015"/>
    <w:rsid w:val="002B78CE"/>
    <w:rsid w:val="002B7919"/>
    <w:rsid w:val="002C2FB6"/>
    <w:rsid w:val="002D7718"/>
    <w:rsid w:val="002E5FA7"/>
    <w:rsid w:val="002F3309"/>
    <w:rsid w:val="002F4592"/>
    <w:rsid w:val="003008CE"/>
    <w:rsid w:val="003009B7"/>
    <w:rsid w:val="00300E56"/>
    <w:rsid w:val="0030152C"/>
    <w:rsid w:val="0030469C"/>
    <w:rsid w:val="00321CA6"/>
    <w:rsid w:val="00323763"/>
    <w:rsid w:val="00323C5F"/>
    <w:rsid w:val="00333A2F"/>
    <w:rsid w:val="00334C09"/>
    <w:rsid w:val="00343CC0"/>
    <w:rsid w:val="003524E3"/>
    <w:rsid w:val="00356C69"/>
    <w:rsid w:val="003723D4"/>
    <w:rsid w:val="00381905"/>
    <w:rsid w:val="00381F12"/>
    <w:rsid w:val="00384CC8"/>
    <w:rsid w:val="003871FD"/>
    <w:rsid w:val="003A048C"/>
    <w:rsid w:val="003A1E30"/>
    <w:rsid w:val="003A2829"/>
    <w:rsid w:val="003A7D1C"/>
    <w:rsid w:val="003B304B"/>
    <w:rsid w:val="003B3146"/>
    <w:rsid w:val="003B3440"/>
    <w:rsid w:val="003C03FA"/>
    <w:rsid w:val="003C2105"/>
    <w:rsid w:val="003E1344"/>
    <w:rsid w:val="003F015E"/>
    <w:rsid w:val="00400414"/>
    <w:rsid w:val="00412B9D"/>
    <w:rsid w:val="0041446B"/>
    <w:rsid w:val="0042094E"/>
    <w:rsid w:val="00421E09"/>
    <w:rsid w:val="00432C13"/>
    <w:rsid w:val="0044071E"/>
    <w:rsid w:val="0044329C"/>
    <w:rsid w:val="004444CC"/>
    <w:rsid w:val="004458EE"/>
    <w:rsid w:val="00453E24"/>
    <w:rsid w:val="004566EC"/>
    <w:rsid w:val="00457456"/>
    <w:rsid w:val="004577FE"/>
    <w:rsid w:val="00457B9C"/>
    <w:rsid w:val="0046164A"/>
    <w:rsid w:val="004628D2"/>
    <w:rsid w:val="00462DCD"/>
    <w:rsid w:val="004648AD"/>
    <w:rsid w:val="004703A9"/>
    <w:rsid w:val="004760DE"/>
    <w:rsid w:val="004763D7"/>
    <w:rsid w:val="004A004E"/>
    <w:rsid w:val="004A24CF"/>
    <w:rsid w:val="004A2830"/>
    <w:rsid w:val="004A63FC"/>
    <w:rsid w:val="004B0E9C"/>
    <w:rsid w:val="004C3D1D"/>
    <w:rsid w:val="004C3D84"/>
    <w:rsid w:val="004C3ECC"/>
    <w:rsid w:val="004C4005"/>
    <w:rsid w:val="004C4FC5"/>
    <w:rsid w:val="004C58EA"/>
    <w:rsid w:val="004C7913"/>
    <w:rsid w:val="004E08D0"/>
    <w:rsid w:val="004E31D2"/>
    <w:rsid w:val="004E4A94"/>
    <w:rsid w:val="004E4DD6"/>
    <w:rsid w:val="004F56A3"/>
    <w:rsid w:val="004F5E36"/>
    <w:rsid w:val="00500227"/>
    <w:rsid w:val="00500C3E"/>
    <w:rsid w:val="00502ED9"/>
    <w:rsid w:val="00503898"/>
    <w:rsid w:val="00506F7A"/>
    <w:rsid w:val="00507B47"/>
    <w:rsid w:val="00507BEF"/>
    <w:rsid w:val="00507CC9"/>
    <w:rsid w:val="005119A5"/>
    <w:rsid w:val="00512E8C"/>
    <w:rsid w:val="00513EAB"/>
    <w:rsid w:val="00515C73"/>
    <w:rsid w:val="00516378"/>
    <w:rsid w:val="0052742F"/>
    <w:rsid w:val="005278B7"/>
    <w:rsid w:val="00532016"/>
    <w:rsid w:val="005346C8"/>
    <w:rsid w:val="00537D93"/>
    <w:rsid w:val="00541B7A"/>
    <w:rsid w:val="00543E7D"/>
    <w:rsid w:val="00547A68"/>
    <w:rsid w:val="00552027"/>
    <w:rsid w:val="0055297D"/>
    <w:rsid w:val="005531C9"/>
    <w:rsid w:val="005560D2"/>
    <w:rsid w:val="00561FF1"/>
    <w:rsid w:val="00567117"/>
    <w:rsid w:val="00570C43"/>
    <w:rsid w:val="005A0995"/>
    <w:rsid w:val="005B15AF"/>
    <w:rsid w:val="005B2110"/>
    <w:rsid w:val="005B61E6"/>
    <w:rsid w:val="005C5F46"/>
    <w:rsid w:val="005C77E1"/>
    <w:rsid w:val="005D21AF"/>
    <w:rsid w:val="005D668A"/>
    <w:rsid w:val="005D6A2F"/>
    <w:rsid w:val="005D756E"/>
    <w:rsid w:val="005E1A82"/>
    <w:rsid w:val="005E215E"/>
    <w:rsid w:val="005E53E8"/>
    <w:rsid w:val="005E794C"/>
    <w:rsid w:val="005F0A28"/>
    <w:rsid w:val="005F0E5E"/>
    <w:rsid w:val="005F259A"/>
    <w:rsid w:val="00600535"/>
    <w:rsid w:val="006031BB"/>
    <w:rsid w:val="00610CD6"/>
    <w:rsid w:val="0061121F"/>
    <w:rsid w:val="00620C07"/>
    <w:rsid w:val="00620DEE"/>
    <w:rsid w:val="00621F92"/>
    <w:rsid w:val="0062280A"/>
    <w:rsid w:val="00625639"/>
    <w:rsid w:val="00625A05"/>
    <w:rsid w:val="006315FA"/>
    <w:rsid w:val="00631B33"/>
    <w:rsid w:val="00632021"/>
    <w:rsid w:val="00634941"/>
    <w:rsid w:val="00636707"/>
    <w:rsid w:val="0064184D"/>
    <w:rsid w:val="006422CC"/>
    <w:rsid w:val="00644603"/>
    <w:rsid w:val="00645AC6"/>
    <w:rsid w:val="00660E3E"/>
    <w:rsid w:val="00662E74"/>
    <w:rsid w:val="00680A18"/>
    <w:rsid w:val="00680C23"/>
    <w:rsid w:val="00683F28"/>
    <w:rsid w:val="00684C4D"/>
    <w:rsid w:val="0069178B"/>
    <w:rsid w:val="00693766"/>
    <w:rsid w:val="006A0C9D"/>
    <w:rsid w:val="006A3281"/>
    <w:rsid w:val="006A4751"/>
    <w:rsid w:val="006A6DC0"/>
    <w:rsid w:val="006B03A3"/>
    <w:rsid w:val="006B4888"/>
    <w:rsid w:val="006C2E45"/>
    <w:rsid w:val="006C359C"/>
    <w:rsid w:val="006C5579"/>
    <w:rsid w:val="006D38DD"/>
    <w:rsid w:val="006D5E6D"/>
    <w:rsid w:val="006D6E8B"/>
    <w:rsid w:val="006E3319"/>
    <w:rsid w:val="006E737D"/>
    <w:rsid w:val="006F7811"/>
    <w:rsid w:val="00713973"/>
    <w:rsid w:val="00720A24"/>
    <w:rsid w:val="00732386"/>
    <w:rsid w:val="0073514D"/>
    <w:rsid w:val="007447F3"/>
    <w:rsid w:val="0075464C"/>
    <w:rsid w:val="0075499F"/>
    <w:rsid w:val="00765769"/>
    <w:rsid w:val="007661C8"/>
    <w:rsid w:val="0077098D"/>
    <w:rsid w:val="00773BAF"/>
    <w:rsid w:val="007829CD"/>
    <w:rsid w:val="00783E78"/>
    <w:rsid w:val="00787674"/>
    <w:rsid w:val="0078769C"/>
    <w:rsid w:val="007931FA"/>
    <w:rsid w:val="00793893"/>
    <w:rsid w:val="007A0770"/>
    <w:rsid w:val="007A08CC"/>
    <w:rsid w:val="007A2E52"/>
    <w:rsid w:val="007A4537"/>
    <w:rsid w:val="007A4861"/>
    <w:rsid w:val="007A52DC"/>
    <w:rsid w:val="007A7BBA"/>
    <w:rsid w:val="007B0C50"/>
    <w:rsid w:val="007B2370"/>
    <w:rsid w:val="007B48F9"/>
    <w:rsid w:val="007B4AFD"/>
    <w:rsid w:val="007B5A1D"/>
    <w:rsid w:val="007C0E75"/>
    <w:rsid w:val="007C1A43"/>
    <w:rsid w:val="007C227A"/>
    <w:rsid w:val="007D0951"/>
    <w:rsid w:val="007E0341"/>
    <w:rsid w:val="007E2B55"/>
    <w:rsid w:val="007F0FE6"/>
    <w:rsid w:val="007F20BD"/>
    <w:rsid w:val="007F5FCA"/>
    <w:rsid w:val="0080013E"/>
    <w:rsid w:val="00800322"/>
    <w:rsid w:val="00813288"/>
    <w:rsid w:val="008168FC"/>
    <w:rsid w:val="00817FA1"/>
    <w:rsid w:val="008203C1"/>
    <w:rsid w:val="00820863"/>
    <w:rsid w:val="00824DB0"/>
    <w:rsid w:val="0082759A"/>
    <w:rsid w:val="00830996"/>
    <w:rsid w:val="008345F1"/>
    <w:rsid w:val="0084261B"/>
    <w:rsid w:val="00865B07"/>
    <w:rsid w:val="008667EA"/>
    <w:rsid w:val="00871440"/>
    <w:rsid w:val="0087637F"/>
    <w:rsid w:val="00877B37"/>
    <w:rsid w:val="00883AD3"/>
    <w:rsid w:val="00886045"/>
    <w:rsid w:val="008867E8"/>
    <w:rsid w:val="00890807"/>
    <w:rsid w:val="00892AD5"/>
    <w:rsid w:val="008A1512"/>
    <w:rsid w:val="008C1BB1"/>
    <w:rsid w:val="008C47E9"/>
    <w:rsid w:val="008D32B9"/>
    <w:rsid w:val="008D433B"/>
    <w:rsid w:val="008D4A16"/>
    <w:rsid w:val="008E566E"/>
    <w:rsid w:val="0090161A"/>
    <w:rsid w:val="00901EB6"/>
    <w:rsid w:val="0090270D"/>
    <w:rsid w:val="00903297"/>
    <w:rsid w:val="00904C62"/>
    <w:rsid w:val="00906C45"/>
    <w:rsid w:val="009143DB"/>
    <w:rsid w:val="00922BA8"/>
    <w:rsid w:val="00924DAC"/>
    <w:rsid w:val="00927058"/>
    <w:rsid w:val="00927A47"/>
    <w:rsid w:val="0093052B"/>
    <w:rsid w:val="00933DE3"/>
    <w:rsid w:val="00942750"/>
    <w:rsid w:val="009450CE"/>
    <w:rsid w:val="009459BB"/>
    <w:rsid w:val="00947179"/>
    <w:rsid w:val="009511D2"/>
    <w:rsid w:val="0095164B"/>
    <w:rsid w:val="00954090"/>
    <w:rsid w:val="009573E7"/>
    <w:rsid w:val="00957F82"/>
    <w:rsid w:val="00963E05"/>
    <w:rsid w:val="00964A45"/>
    <w:rsid w:val="00967843"/>
    <w:rsid w:val="00967D54"/>
    <w:rsid w:val="00971028"/>
    <w:rsid w:val="00980075"/>
    <w:rsid w:val="0098225D"/>
    <w:rsid w:val="00993B84"/>
    <w:rsid w:val="00996483"/>
    <w:rsid w:val="00996BFE"/>
    <w:rsid w:val="00996C2B"/>
    <w:rsid w:val="00996F5A"/>
    <w:rsid w:val="009A00CC"/>
    <w:rsid w:val="009A19B2"/>
    <w:rsid w:val="009A4CEE"/>
    <w:rsid w:val="009A5468"/>
    <w:rsid w:val="009A647D"/>
    <w:rsid w:val="009B041A"/>
    <w:rsid w:val="009B60A5"/>
    <w:rsid w:val="009C37C3"/>
    <w:rsid w:val="009C506A"/>
    <w:rsid w:val="009C7C86"/>
    <w:rsid w:val="009D2D0B"/>
    <w:rsid w:val="009D2FF7"/>
    <w:rsid w:val="009E6B95"/>
    <w:rsid w:val="009E7884"/>
    <w:rsid w:val="009E788A"/>
    <w:rsid w:val="009F0E08"/>
    <w:rsid w:val="009F1339"/>
    <w:rsid w:val="009F56DA"/>
    <w:rsid w:val="00A02FA5"/>
    <w:rsid w:val="00A07269"/>
    <w:rsid w:val="00A1763D"/>
    <w:rsid w:val="00A17CEC"/>
    <w:rsid w:val="00A21DAD"/>
    <w:rsid w:val="00A27EF0"/>
    <w:rsid w:val="00A3691B"/>
    <w:rsid w:val="00A41179"/>
    <w:rsid w:val="00A42361"/>
    <w:rsid w:val="00A50B20"/>
    <w:rsid w:val="00A51390"/>
    <w:rsid w:val="00A54936"/>
    <w:rsid w:val="00A60D13"/>
    <w:rsid w:val="00A7223D"/>
    <w:rsid w:val="00A72745"/>
    <w:rsid w:val="00A76EFC"/>
    <w:rsid w:val="00A86FAE"/>
    <w:rsid w:val="00A871D5"/>
    <w:rsid w:val="00A87D50"/>
    <w:rsid w:val="00A91010"/>
    <w:rsid w:val="00A97F29"/>
    <w:rsid w:val="00AA702E"/>
    <w:rsid w:val="00AA7D26"/>
    <w:rsid w:val="00AB0964"/>
    <w:rsid w:val="00AB2E75"/>
    <w:rsid w:val="00AB5011"/>
    <w:rsid w:val="00AC7368"/>
    <w:rsid w:val="00AD16B9"/>
    <w:rsid w:val="00AD3CDB"/>
    <w:rsid w:val="00AE0DA5"/>
    <w:rsid w:val="00AE377D"/>
    <w:rsid w:val="00AF0EBA"/>
    <w:rsid w:val="00AF4BAD"/>
    <w:rsid w:val="00AF6790"/>
    <w:rsid w:val="00B02C8A"/>
    <w:rsid w:val="00B05033"/>
    <w:rsid w:val="00B17FBD"/>
    <w:rsid w:val="00B315A6"/>
    <w:rsid w:val="00B31813"/>
    <w:rsid w:val="00B33365"/>
    <w:rsid w:val="00B358BD"/>
    <w:rsid w:val="00B54E93"/>
    <w:rsid w:val="00B561B2"/>
    <w:rsid w:val="00B57B36"/>
    <w:rsid w:val="00B57E6F"/>
    <w:rsid w:val="00B606F1"/>
    <w:rsid w:val="00B72A89"/>
    <w:rsid w:val="00B80356"/>
    <w:rsid w:val="00B8686D"/>
    <w:rsid w:val="00B93DC6"/>
    <w:rsid w:val="00B93F69"/>
    <w:rsid w:val="00B946FD"/>
    <w:rsid w:val="00BA14E2"/>
    <w:rsid w:val="00BA4C26"/>
    <w:rsid w:val="00BA610E"/>
    <w:rsid w:val="00BB1DDC"/>
    <w:rsid w:val="00BC30C9"/>
    <w:rsid w:val="00BD077D"/>
    <w:rsid w:val="00BE3E58"/>
    <w:rsid w:val="00BF4EA2"/>
    <w:rsid w:val="00C01616"/>
    <w:rsid w:val="00C0162B"/>
    <w:rsid w:val="00C068ED"/>
    <w:rsid w:val="00C10FE7"/>
    <w:rsid w:val="00C20B2B"/>
    <w:rsid w:val="00C22E0C"/>
    <w:rsid w:val="00C238E8"/>
    <w:rsid w:val="00C33BA9"/>
    <w:rsid w:val="00C345B1"/>
    <w:rsid w:val="00C40142"/>
    <w:rsid w:val="00C42B73"/>
    <w:rsid w:val="00C42F6E"/>
    <w:rsid w:val="00C52C3C"/>
    <w:rsid w:val="00C57182"/>
    <w:rsid w:val="00C57863"/>
    <w:rsid w:val="00C627A3"/>
    <w:rsid w:val="00C640AF"/>
    <w:rsid w:val="00C655FD"/>
    <w:rsid w:val="00C75407"/>
    <w:rsid w:val="00C84D96"/>
    <w:rsid w:val="00C85B93"/>
    <w:rsid w:val="00C870A8"/>
    <w:rsid w:val="00C94434"/>
    <w:rsid w:val="00CA0D75"/>
    <w:rsid w:val="00CA1C95"/>
    <w:rsid w:val="00CA5A9C"/>
    <w:rsid w:val="00CC4C20"/>
    <w:rsid w:val="00CD3517"/>
    <w:rsid w:val="00CD4203"/>
    <w:rsid w:val="00CD5FE2"/>
    <w:rsid w:val="00CD7219"/>
    <w:rsid w:val="00CE41DF"/>
    <w:rsid w:val="00CE4BA5"/>
    <w:rsid w:val="00CE58E1"/>
    <w:rsid w:val="00CE7C68"/>
    <w:rsid w:val="00D01B88"/>
    <w:rsid w:val="00D02B4C"/>
    <w:rsid w:val="00D040C4"/>
    <w:rsid w:val="00D04D77"/>
    <w:rsid w:val="00D055FF"/>
    <w:rsid w:val="00D059E7"/>
    <w:rsid w:val="00D137C9"/>
    <w:rsid w:val="00D17E5F"/>
    <w:rsid w:val="00D20AD1"/>
    <w:rsid w:val="00D22136"/>
    <w:rsid w:val="00D357B5"/>
    <w:rsid w:val="00D375A7"/>
    <w:rsid w:val="00D46B7E"/>
    <w:rsid w:val="00D55C2C"/>
    <w:rsid w:val="00D57C84"/>
    <w:rsid w:val="00D6057D"/>
    <w:rsid w:val="00D67A0B"/>
    <w:rsid w:val="00D71640"/>
    <w:rsid w:val="00D836C5"/>
    <w:rsid w:val="00D84576"/>
    <w:rsid w:val="00D94934"/>
    <w:rsid w:val="00DA1399"/>
    <w:rsid w:val="00DA24C6"/>
    <w:rsid w:val="00DA43FB"/>
    <w:rsid w:val="00DA4D7B"/>
    <w:rsid w:val="00DB1236"/>
    <w:rsid w:val="00DB399A"/>
    <w:rsid w:val="00DB475D"/>
    <w:rsid w:val="00DB4B04"/>
    <w:rsid w:val="00DD271C"/>
    <w:rsid w:val="00DE264A"/>
    <w:rsid w:val="00DF5072"/>
    <w:rsid w:val="00DF6877"/>
    <w:rsid w:val="00E02D18"/>
    <w:rsid w:val="00E041E7"/>
    <w:rsid w:val="00E07E8E"/>
    <w:rsid w:val="00E16693"/>
    <w:rsid w:val="00E1688C"/>
    <w:rsid w:val="00E214BF"/>
    <w:rsid w:val="00E21F00"/>
    <w:rsid w:val="00E23CA1"/>
    <w:rsid w:val="00E26BAA"/>
    <w:rsid w:val="00E35A67"/>
    <w:rsid w:val="00E409A8"/>
    <w:rsid w:val="00E50C12"/>
    <w:rsid w:val="00E53599"/>
    <w:rsid w:val="00E65B91"/>
    <w:rsid w:val="00E7209D"/>
    <w:rsid w:val="00E72EAD"/>
    <w:rsid w:val="00E73602"/>
    <w:rsid w:val="00E77223"/>
    <w:rsid w:val="00E83DC6"/>
    <w:rsid w:val="00E8528B"/>
    <w:rsid w:val="00E85B94"/>
    <w:rsid w:val="00E94D7F"/>
    <w:rsid w:val="00E978D0"/>
    <w:rsid w:val="00EA4613"/>
    <w:rsid w:val="00EA7F91"/>
    <w:rsid w:val="00EB1523"/>
    <w:rsid w:val="00EC0E49"/>
    <w:rsid w:val="00EC101F"/>
    <w:rsid w:val="00EC1D9F"/>
    <w:rsid w:val="00ED44EB"/>
    <w:rsid w:val="00EE0131"/>
    <w:rsid w:val="00EE17B0"/>
    <w:rsid w:val="00EE7E9A"/>
    <w:rsid w:val="00EF06D9"/>
    <w:rsid w:val="00EF0B79"/>
    <w:rsid w:val="00F0784D"/>
    <w:rsid w:val="00F07B6A"/>
    <w:rsid w:val="00F3049E"/>
    <w:rsid w:val="00F30C64"/>
    <w:rsid w:val="00F32BA2"/>
    <w:rsid w:val="00F32CDB"/>
    <w:rsid w:val="00F371FD"/>
    <w:rsid w:val="00F4245E"/>
    <w:rsid w:val="00F53388"/>
    <w:rsid w:val="00F565FE"/>
    <w:rsid w:val="00F63A70"/>
    <w:rsid w:val="00F63D8C"/>
    <w:rsid w:val="00F645F2"/>
    <w:rsid w:val="00F70D19"/>
    <w:rsid w:val="00F7534E"/>
    <w:rsid w:val="00F85CFE"/>
    <w:rsid w:val="00F93EDF"/>
    <w:rsid w:val="00FA1802"/>
    <w:rsid w:val="00FA21D0"/>
    <w:rsid w:val="00FA5F5F"/>
    <w:rsid w:val="00FB0C3E"/>
    <w:rsid w:val="00FB730C"/>
    <w:rsid w:val="00FC0013"/>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817FA1"/>
    <w:pPr>
      <w:keepNext/>
      <w:suppressAutoHyphens/>
      <w:spacing w:before="120" w:after="120" w:line="240" w:lineRule="auto"/>
    </w:pPr>
    <w:rPr>
      <w:rFonts w:ascii="Arial" w:eastAsia="Times New Roman" w:hAnsi="Arial" w:cs="Times New Roman"/>
      <w:bCs/>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817FA1"/>
    <w:rPr>
      <w:rFonts w:ascii="Arial" w:eastAsia="Times New Roman" w:hAnsi="Arial" w:cs="Times New Roman"/>
      <w:bCs/>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val="0"/>
      <w:bCs/>
      <w:sz w:val="18"/>
      <w:szCs w:val="20"/>
      <w:lang w:val="en-US"/>
    </w:rPr>
  </w:style>
  <w:style w:type="paragraph" w:styleId="Paragrafoelenco">
    <w:name w:val="List Paragraph"/>
    <w:basedOn w:val="Normale"/>
    <w:uiPriority w:val="34"/>
    <w:rsid w:val="00280FAF"/>
    <w:pPr>
      <w:ind w:left="720"/>
      <w:contextualSpacing/>
    </w:pPr>
  </w:style>
  <w:style w:type="table" w:styleId="Tabellasemplice-2">
    <w:name w:val="Plain Table 2"/>
    <w:basedOn w:val="Tabellanormale"/>
    <w:uiPriority w:val="42"/>
    <w:rsid w:val="000420E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e">
    <w:name w:val="Revision"/>
    <w:hidden/>
    <w:uiPriority w:val="99"/>
    <w:semiHidden/>
    <w:rsid w:val="00A871D5"/>
    <w:pPr>
      <w:spacing w:after="0" w:line="240" w:lineRule="auto"/>
    </w:pPr>
    <w:rPr>
      <w:rFonts w:ascii="Arial" w:eastAsia="Times New Roman" w:hAnsi="Arial" w:cs="Times New Roman"/>
      <w:sz w:val="18"/>
      <w:szCs w:val="20"/>
      <w:lang w:val="en-GB"/>
    </w:rPr>
  </w:style>
  <w:style w:type="character" w:styleId="Testosegnaposto">
    <w:name w:val="Placeholder Text"/>
    <w:basedOn w:val="Carpredefinitoparagrafo"/>
    <w:uiPriority w:val="99"/>
    <w:semiHidden/>
    <w:rsid w:val="00E1688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453633">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02028">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E509C-130A-420C-94ED-9714D4C20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2927</Words>
  <Characters>16689</Characters>
  <Application>Microsoft Office Word</Application>
  <DocSecurity>0</DocSecurity>
  <Lines>139</Lines>
  <Paragraphs>39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19577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Letizia Marchetti</cp:lastModifiedBy>
  <cp:revision>19</cp:revision>
  <cp:lastPrinted>2015-05-12T18:31:00Z</cp:lastPrinted>
  <dcterms:created xsi:type="dcterms:W3CDTF">2023-02-14T09:53:00Z</dcterms:created>
  <dcterms:modified xsi:type="dcterms:W3CDTF">2023-04-18T07:24:00Z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a4db9903bd4edcdddec459c485dca41690ba6c970da55d3912acedf098554e36</vt:lpwstr>
  </property>
</Properties>
</file>