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E4D4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E4D4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E4D4B">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489E933D" w14:textId="77777777" w:rsidR="001E4D4B" w:rsidRDefault="001E4D4B" w:rsidP="001E4D4B">
      <w:pPr>
        <w:pStyle w:val="CETTitle"/>
      </w:pPr>
      <w:r>
        <w:t>Changes in Chemical and Physical Properties of Bio-Based Thermoplastics during Fused Deposition Modelling (FDM) Process</w:t>
      </w:r>
    </w:p>
    <w:p w14:paraId="06837304" w14:textId="77777777" w:rsidR="001E4D4B" w:rsidRPr="00DC4168" w:rsidRDefault="001E4D4B" w:rsidP="001E4D4B">
      <w:pPr>
        <w:pStyle w:val="CETAuthors"/>
        <w:jc w:val="center"/>
        <w:rPr>
          <w:lang w:val="it-IT"/>
        </w:rPr>
      </w:pPr>
      <w:r>
        <w:rPr>
          <w:lang w:val="it-IT"/>
        </w:rPr>
        <w:t>Antonella Patti</w:t>
      </w:r>
      <w:r>
        <w:rPr>
          <w:vertAlign w:val="superscript"/>
          <w:lang w:val="it-IT"/>
        </w:rPr>
        <w:t>a,</w:t>
      </w:r>
      <w:r>
        <w:rPr>
          <w:lang w:val="it-IT"/>
        </w:rPr>
        <w:t>*, Stefano Acierno</w:t>
      </w:r>
      <w:r>
        <w:rPr>
          <w:vertAlign w:val="superscript"/>
          <w:lang w:val="it-IT"/>
        </w:rPr>
        <w:t>b</w:t>
      </w:r>
      <w:r>
        <w:rPr>
          <w:lang w:val="it-IT"/>
        </w:rPr>
        <w:t>, Gianluca Cicala</w:t>
      </w:r>
      <w:r>
        <w:rPr>
          <w:vertAlign w:val="superscript"/>
          <w:lang w:val="it-IT"/>
        </w:rPr>
        <w:t>a</w:t>
      </w:r>
      <w:r>
        <w:rPr>
          <w:lang w:val="it-IT"/>
        </w:rPr>
        <w:t>, Domenico Acierno</w:t>
      </w:r>
      <w:r>
        <w:rPr>
          <w:vertAlign w:val="superscript"/>
          <w:lang w:val="it-IT"/>
        </w:rPr>
        <w:t>c</w:t>
      </w:r>
    </w:p>
    <w:p w14:paraId="7BE00A7C" w14:textId="77777777" w:rsidR="001E4D4B" w:rsidRPr="00B57B36" w:rsidRDefault="001E4D4B" w:rsidP="001E4D4B">
      <w:pPr>
        <w:pStyle w:val="CETAddress"/>
      </w:pPr>
      <w:r w:rsidRPr="00B57B36">
        <w:rPr>
          <w:vertAlign w:val="superscript"/>
        </w:rPr>
        <w:t>a</w:t>
      </w:r>
      <w:r>
        <w:t>Department of Civil Engineering and Architecture (DICAr), University of Catania, Viale Andrea Doria 6,95125 Catania, Italy</w:t>
      </w:r>
    </w:p>
    <w:p w14:paraId="5CFF336D" w14:textId="77777777" w:rsidR="001E4D4B" w:rsidRDefault="001E4D4B" w:rsidP="001E4D4B">
      <w:pPr>
        <w:pStyle w:val="CETAddress"/>
      </w:pPr>
      <w:r w:rsidRPr="00B57B36">
        <w:rPr>
          <w:vertAlign w:val="superscript"/>
        </w:rPr>
        <w:t>b</w:t>
      </w:r>
      <w:r>
        <w:t>Department of Engineering, University of Sannio, Piazza Roma 21, 82100 Benevento, Italy.</w:t>
      </w:r>
    </w:p>
    <w:p w14:paraId="4564CA84" w14:textId="77777777" w:rsidR="001E4D4B" w:rsidRPr="00DC4168" w:rsidRDefault="001E4D4B" w:rsidP="001E4D4B">
      <w:pPr>
        <w:pStyle w:val="CETAddress"/>
        <w:rPr>
          <w:lang w:val="it-IT"/>
        </w:rPr>
      </w:pPr>
      <w:r w:rsidRPr="00DC4168">
        <w:rPr>
          <w:vertAlign w:val="superscript"/>
          <w:lang w:val="it-IT"/>
        </w:rPr>
        <w:t>c</w:t>
      </w:r>
      <w:r>
        <w:rPr>
          <w:lang w:val="it-IT"/>
        </w:rPr>
        <w:t>CRdC Nuove Tecnologie per le Attività Produttive Scarl,Via Nuova Agnano 11, 80125, Naples, Italy</w:t>
      </w:r>
    </w:p>
    <w:p w14:paraId="46BA15B3" w14:textId="77777777" w:rsidR="001E4D4B" w:rsidRDefault="001E4D4B" w:rsidP="001E4D4B">
      <w:pPr>
        <w:pStyle w:val="CETemail"/>
      </w:pPr>
      <w:r>
        <w:rPr>
          <w:lang w:val="en-US"/>
        </w:rPr>
        <w:t>antonella.patti</w:t>
      </w:r>
      <w:r>
        <w:rPr>
          <w:rFonts w:cs="Arial"/>
          <w:lang w:val="en-US"/>
        </w:rPr>
        <w:t>@</w:t>
      </w:r>
      <w:r>
        <w:rPr>
          <w:lang w:val="en-US"/>
        </w:rPr>
        <w:t>unict.it</w:t>
      </w:r>
    </w:p>
    <w:p w14:paraId="06467126" w14:textId="6663A816" w:rsidR="009B01F1" w:rsidRDefault="009B01F1" w:rsidP="009B01F1">
      <w:pPr>
        <w:pStyle w:val="CETemail"/>
        <w:jc w:val="both"/>
        <w:rPr>
          <w:sz w:val="18"/>
          <w:szCs w:val="18"/>
        </w:rPr>
      </w:pPr>
      <w:r w:rsidRPr="00E90586">
        <w:rPr>
          <w:color w:val="FF0000"/>
          <w:sz w:val="18"/>
          <w:szCs w:val="18"/>
        </w:rPr>
        <w:t xml:space="preserve">The purpose of this research was to better understand the potential degradation effects of bioderived thermoplastic polymers during fused deposition modeling (FDM). </w:t>
      </w:r>
      <w:r w:rsidRPr="009B01F1">
        <w:rPr>
          <w:sz w:val="18"/>
          <w:szCs w:val="18"/>
        </w:rPr>
        <w:t xml:space="preserve">Commercially available filaments made from virgin and recycled </w:t>
      </w:r>
      <w:r w:rsidRPr="00237763">
        <w:rPr>
          <w:color w:val="FF0000"/>
          <w:sz w:val="18"/>
          <w:szCs w:val="18"/>
        </w:rPr>
        <w:t>polylactic</w:t>
      </w:r>
      <w:r w:rsidRPr="009B01F1">
        <w:rPr>
          <w:sz w:val="18"/>
          <w:szCs w:val="18"/>
        </w:rPr>
        <w:t xml:space="preserve"> acid (PLA) (</w:t>
      </w:r>
      <w:r w:rsidR="00AC4995">
        <w:rPr>
          <w:sz w:val="18"/>
          <w:szCs w:val="18"/>
        </w:rPr>
        <w:t xml:space="preserve">named </w:t>
      </w:r>
      <w:r w:rsidRPr="009B01F1">
        <w:rPr>
          <w:sz w:val="18"/>
          <w:szCs w:val="18"/>
        </w:rPr>
        <w:t>PLA-1 and PLA-2</w:t>
      </w:r>
      <w:r w:rsidR="00AC4995">
        <w:rPr>
          <w:sz w:val="18"/>
          <w:szCs w:val="18"/>
        </w:rPr>
        <w:t>, respectively</w:t>
      </w:r>
      <w:r w:rsidRPr="009B01F1">
        <w:rPr>
          <w:sz w:val="18"/>
          <w:szCs w:val="18"/>
        </w:rPr>
        <w:t xml:space="preserve">), as well as a wood flour/PLA composite (PLA-3), </w:t>
      </w:r>
      <w:r w:rsidR="00AC4995">
        <w:rPr>
          <w:sz w:val="18"/>
          <w:szCs w:val="18"/>
        </w:rPr>
        <w:t>were</w:t>
      </w:r>
      <w:r w:rsidRPr="009B01F1">
        <w:rPr>
          <w:sz w:val="18"/>
          <w:szCs w:val="18"/>
        </w:rPr>
        <w:t xml:space="preserve"> considered. </w:t>
      </w:r>
      <w:r w:rsidR="00AC4995">
        <w:rPr>
          <w:sz w:val="18"/>
          <w:szCs w:val="18"/>
        </w:rPr>
        <w:t>P</w:t>
      </w:r>
      <w:r w:rsidRPr="009B01F1">
        <w:rPr>
          <w:sz w:val="18"/>
          <w:szCs w:val="18"/>
        </w:rPr>
        <w:t>re-optimized conditions</w:t>
      </w:r>
      <w:r w:rsidR="00AC4995">
        <w:rPr>
          <w:sz w:val="18"/>
          <w:szCs w:val="18"/>
        </w:rPr>
        <w:t>,</w:t>
      </w:r>
      <w:r w:rsidR="00AC4995" w:rsidRPr="009B01F1">
        <w:rPr>
          <w:sz w:val="18"/>
          <w:szCs w:val="18"/>
        </w:rPr>
        <w:t xml:space="preserve"> satisfy</w:t>
      </w:r>
      <w:r w:rsidR="00AC4995">
        <w:rPr>
          <w:sz w:val="18"/>
          <w:szCs w:val="18"/>
        </w:rPr>
        <w:t>ing</w:t>
      </w:r>
      <w:r w:rsidR="00AC4995" w:rsidRPr="009B01F1">
        <w:rPr>
          <w:sz w:val="18"/>
          <w:szCs w:val="18"/>
        </w:rPr>
        <w:t xml:space="preserve"> the printing quality of 3D final products</w:t>
      </w:r>
      <w:r w:rsidR="00AC4995">
        <w:rPr>
          <w:sz w:val="18"/>
          <w:szCs w:val="18"/>
        </w:rPr>
        <w:t>,</w:t>
      </w:r>
      <w:r w:rsidR="00AC4995" w:rsidRPr="009B01F1">
        <w:rPr>
          <w:sz w:val="18"/>
          <w:szCs w:val="18"/>
        </w:rPr>
        <w:t xml:space="preserve"> </w:t>
      </w:r>
      <w:r w:rsidRPr="009B01F1">
        <w:rPr>
          <w:sz w:val="18"/>
          <w:szCs w:val="18"/>
        </w:rPr>
        <w:t>at an extruder temperature of 210</w:t>
      </w:r>
      <w:r w:rsidR="00E90586">
        <w:rPr>
          <w:sz w:val="18"/>
          <w:szCs w:val="18"/>
        </w:rPr>
        <w:t xml:space="preserve"> </w:t>
      </w:r>
      <w:r w:rsidRPr="009B01F1">
        <w:rPr>
          <w:sz w:val="18"/>
          <w:szCs w:val="18"/>
        </w:rPr>
        <w:t>°C</w:t>
      </w:r>
      <w:r w:rsidR="00AC4995">
        <w:rPr>
          <w:sz w:val="18"/>
          <w:szCs w:val="18"/>
        </w:rPr>
        <w:t>,</w:t>
      </w:r>
      <w:r w:rsidRPr="009B01F1">
        <w:rPr>
          <w:sz w:val="18"/>
          <w:szCs w:val="18"/>
        </w:rPr>
        <w:t xml:space="preserve"> were used</w:t>
      </w:r>
      <w:r w:rsidR="00AC4995">
        <w:rPr>
          <w:sz w:val="18"/>
          <w:szCs w:val="18"/>
        </w:rPr>
        <w:t xml:space="preserve"> t</w:t>
      </w:r>
      <w:r w:rsidR="00AC4995" w:rsidRPr="009B01F1">
        <w:rPr>
          <w:sz w:val="18"/>
          <w:szCs w:val="18"/>
        </w:rPr>
        <w:t>o realize samples</w:t>
      </w:r>
      <w:r w:rsidR="00F85EEA">
        <w:rPr>
          <w:sz w:val="18"/>
          <w:szCs w:val="18"/>
        </w:rPr>
        <w:t xml:space="preserve">. </w:t>
      </w:r>
      <w:r w:rsidRPr="009B01F1">
        <w:rPr>
          <w:sz w:val="18"/>
          <w:szCs w:val="18"/>
        </w:rPr>
        <w:t>The main characterization techniques</w:t>
      </w:r>
      <w:r w:rsidR="00F85EEA">
        <w:rPr>
          <w:sz w:val="18"/>
          <w:szCs w:val="18"/>
        </w:rPr>
        <w:t>,</w:t>
      </w:r>
      <w:r w:rsidRPr="009B01F1">
        <w:rPr>
          <w:sz w:val="18"/>
          <w:szCs w:val="18"/>
        </w:rPr>
        <w:t xml:space="preserve"> were dynamic rotational rheology (in time sweep mode) and infrared spectroscopy (in attenuated total reflectance mode). </w:t>
      </w:r>
      <w:r w:rsidR="00E40A5E" w:rsidRPr="00E40A5E">
        <w:rPr>
          <w:color w:val="FF0000"/>
          <w:sz w:val="18"/>
          <w:szCs w:val="18"/>
        </w:rPr>
        <w:t xml:space="preserve">These methods allowed </w:t>
      </w:r>
      <w:r w:rsidR="00E40A5E" w:rsidRPr="009B01F1">
        <w:rPr>
          <w:sz w:val="18"/>
          <w:szCs w:val="18"/>
        </w:rPr>
        <w:t>to verify molecular modifications</w:t>
      </w:r>
      <w:r w:rsidR="00E40A5E">
        <w:rPr>
          <w:sz w:val="18"/>
          <w:szCs w:val="18"/>
        </w:rPr>
        <w:t>,</w:t>
      </w:r>
      <w:r w:rsidR="00E40A5E" w:rsidRPr="009B01F1">
        <w:rPr>
          <w:sz w:val="18"/>
          <w:szCs w:val="18"/>
        </w:rPr>
        <w:t xml:space="preserve"> occurring in the polymer </w:t>
      </w:r>
      <w:r w:rsidR="00E40A5E" w:rsidRPr="00E40A5E">
        <w:rPr>
          <w:color w:val="FF0000"/>
          <w:sz w:val="18"/>
          <w:szCs w:val="18"/>
        </w:rPr>
        <w:t>structure</w:t>
      </w:r>
      <w:r w:rsidR="00E40A5E">
        <w:rPr>
          <w:sz w:val="18"/>
          <w:szCs w:val="18"/>
        </w:rPr>
        <w:t xml:space="preserve"> </w:t>
      </w:r>
      <w:r w:rsidR="00E40A5E" w:rsidRPr="009B01F1">
        <w:rPr>
          <w:sz w:val="18"/>
          <w:szCs w:val="18"/>
        </w:rPr>
        <w:t>during the 3D printing process</w:t>
      </w:r>
      <w:r w:rsidR="00E40A5E">
        <w:rPr>
          <w:sz w:val="18"/>
          <w:szCs w:val="18"/>
        </w:rPr>
        <w:t>.</w:t>
      </w:r>
      <w:r w:rsidR="00E40A5E" w:rsidRPr="009B01F1">
        <w:rPr>
          <w:sz w:val="18"/>
          <w:szCs w:val="18"/>
        </w:rPr>
        <w:t xml:space="preserve"> </w:t>
      </w:r>
      <w:r w:rsidRPr="009B01F1">
        <w:rPr>
          <w:sz w:val="18"/>
          <w:szCs w:val="18"/>
        </w:rPr>
        <w:t xml:space="preserve">The storage and loss modulus, </w:t>
      </w:r>
      <w:r w:rsidR="00AC4995">
        <w:rPr>
          <w:sz w:val="18"/>
          <w:szCs w:val="18"/>
        </w:rPr>
        <w:t>and</w:t>
      </w:r>
      <w:r w:rsidRPr="009B01F1">
        <w:rPr>
          <w:sz w:val="18"/>
          <w:szCs w:val="18"/>
        </w:rPr>
        <w:t xml:space="preserve"> complex viscosity</w:t>
      </w:r>
      <w:r w:rsidR="00E40A5E">
        <w:rPr>
          <w:sz w:val="18"/>
          <w:szCs w:val="18"/>
        </w:rPr>
        <w:t xml:space="preserve"> </w:t>
      </w:r>
      <w:r w:rsidRPr="009B01F1">
        <w:rPr>
          <w:sz w:val="18"/>
          <w:szCs w:val="18"/>
        </w:rPr>
        <w:t xml:space="preserve">over time </w:t>
      </w:r>
      <w:r w:rsidR="00E40A5E" w:rsidRPr="00E40A5E">
        <w:rPr>
          <w:color w:val="FF0000"/>
          <w:sz w:val="18"/>
          <w:szCs w:val="18"/>
        </w:rPr>
        <w:t xml:space="preserve">were presented for </w:t>
      </w:r>
      <w:r w:rsidRPr="009B01F1">
        <w:rPr>
          <w:sz w:val="18"/>
          <w:szCs w:val="18"/>
        </w:rPr>
        <w:t xml:space="preserve">both neat and printed specimens. </w:t>
      </w:r>
      <w:r w:rsidR="00AC4995">
        <w:rPr>
          <w:sz w:val="18"/>
          <w:szCs w:val="18"/>
        </w:rPr>
        <w:t>A c</w:t>
      </w:r>
      <w:r w:rsidRPr="009B01F1">
        <w:rPr>
          <w:sz w:val="18"/>
          <w:szCs w:val="18"/>
        </w:rPr>
        <w:t>ompari</w:t>
      </w:r>
      <w:r w:rsidR="00AC4995">
        <w:rPr>
          <w:sz w:val="18"/>
          <w:szCs w:val="18"/>
        </w:rPr>
        <w:t>son between</w:t>
      </w:r>
      <w:r w:rsidRPr="009B01F1">
        <w:rPr>
          <w:sz w:val="18"/>
          <w:szCs w:val="18"/>
        </w:rPr>
        <w:t xml:space="preserve"> the properties of printed and unprocessed materials revealed a decrease in rheological parameters over time as well as a loss in absorbance intensity for typical absorption bands. The viscosity </w:t>
      </w:r>
      <w:r w:rsidR="00237763" w:rsidRPr="00237763">
        <w:rPr>
          <w:color w:val="FF0000"/>
          <w:sz w:val="18"/>
          <w:szCs w:val="18"/>
        </w:rPr>
        <w:t xml:space="preserve">values </w:t>
      </w:r>
      <w:r w:rsidRPr="009B01F1">
        <w:rPr>
          <w:sz w:val="18"/>
          <w:szCs w:val="18"/>
        </w:rPr>
        <w:t xml:space="preserve">of PLA-1 and PLA-2 </w:t>
      </w:r>
      <w:r w:rsidRPr="00237763">
        <w:rPr>
          <w:color w:val="FF0000"/>
          <w:sz w:val="18"/>
          <w:szCs w:val="18"/>
        </w:rPr>
        <w:t>w</w:t>
      </w:r>
      <w:r w:rsidR="00237763" w:rsidRPr="00237763">
        <w:rPr>
          <w:color w:val="FF0000"/>
          <w:sz w:val="18"/>
          <w:szCs w:val="18"/>
        </w:rPr>
        <w:t>ere</w:t>
      </w:r>
      <w:r w:rsidRPr="009B01F1">
        <w:rPr>
          <w:sz w:val="18"/>
          <w:szCs w:val="18"/>
        </w:rPr>
        <w:t xml:space="preserve"> found to be</w:t>
      </w:r>
      <w:r w:rsidR="00E40A5E">
        <w:rPr>
          <w:sz w:val="18"/>
          <w:szCs w:val="18"/>
        </w:rPr>
        <w:t xml:space="preserve"> </w:t>
      </w:r>
      <w:r w:rsidR="00E40A5E" w:rsidRPr="00E40A5E">
        <w:rPr>
          <w:color w:val="FF0000"/>
          <w:sz w:val="18"/>
          <w:szCs w:val="18"/>
        </w:rPr>
        <w:t>strongly</w:t>
      </w:r>
      <w:r w:rsidRPr="009B01F1">
        <w:rPr>
          <w:sz w:val="18"/>
          <w:szCs w:val="18"/>
        </w:rPr>
        <w:t xml:space="preserve"> unstable, with a significant decreasing trend over time.</w:t>
      </w:r>
      <w:r w:rsidR="002C43E6">
        <w:rPr>
          <w:sz w:val="18"/>
          <w:szCs w:val="18"/>
        </w:rPr>
        <w:t xml:space="preserve"> </w:t>
      </w:r>
      <w:r w:rsidRPr="009B01F1">
        <w:rPr>
          <w:sz w:val="18"/>
          <w:szCs w:val="18"/>
        </w:rPr>
        <w:t>Th</w:t>
      </w:r>
      <w:r w:rsidR="0002253E">
        <w:rPr>
          <w:sz w:val="18"/>
          <w:szCs w:val="18"/>
        </w:rPr>
        <w:t>e</w:t>
      </w:r>
      <w:r w:rsidRPr="009B01F1">
        <w:rPr>
          <w:sz w:val="18"/>
          <w:szCs w:val="18"/>
        </w:rPr>
        <w:t xml:space="preserve"> experimental data were modeled using an exponential decay law, and the </w:t>
      </w:r>
      <w:r w:rsidR="00AC4995">
        <w:rPr>
          <w:sz w:val="18"/>
          <w:szCs w:val="18"/>
        </w:rPr>
        <w:t xml:space="preserve">original </w:t>
      </w:r>
      <w:r w:rsidRPr="009B01F1">
        <w:rPr>
          <w:sz w:val="18"/>
          <w:szCs w:val="18"/>
        </w:rPr>
        <w:t>decline was attributed primarily to the interaction of high temperatures and shear stress. Despite the fact that degradation effects were visible in wood/PLA composite materials, such systems remained thermally more stable than pure polymers.</w:t>
      </w:r>
    </w:p>
    <w:p w14:paraId="621562B8" w14:textId="7EE730C2" w:rsidR="001E4D4B" w:rsidRDefault="001E4D4B" w:rsidP="009B01F1">
      <w:pPr>
        <w:pStyle w:val="CETHeading1"/>
      </w:pPr>
      <w:r w:rsidRPr="00B57B36">
        <w:t>Introduction</w:t>
      </w:r>
    </w:p>
    <w:p w14:paraId="69791870" w14:textId="2D4F3CD3" w:rsidR="001E4D4B" w:rsidRPr="00DC4168" w:rsidRDefault="001E4D4B" w:rsidP="001E4D4B">
      <w:pPr>
        <w:pStyle w:val="Paragrafoelenco"/>
        <w:ind w:left="0"/>
        <w:rPr>
          <w:rFonts w:cs="Arial"/>
          <w:szCs w:val="18"/>
        </w:rPr>
      </w:pPr>
      <w:r w:rsidRPr="00DC4168">
        <w:rPr>
          <w:rFonts w:cs="Arial"/>
          <w:szCs w:val="18"/>
        </w:rPr>
        <w:t xml:space="preserve">The wide range of Additive Manufacturing (AM) technologies includes many different techniques to develop parts with complex geometries and shapes: material extrusion, powder bed fusion, material jetting, binder jetting, and </w:t>
      </w:r>
      <w:r w:rsidR="00E90586">
        <w:rPr>
          <w:rFonts w:cs="Arial"/>
          <w:szCs w:val="18"/>
        </w:rPr>
        <w:t>v</w:t>
      </w:r>
      <w:r w:rsidRPr="00DC4168">
        <w:rPr>
          <w:rFonts w:cs="Arial"/>
          <w:szCs w:val="18"/>
        </w:rPr>
        <w:t xml:space="preserve">at </w:t>
      </w:r>
      <w:r w:rsidR="00E90586">
        <w:rPr>
          <w:rFonts w:cs="Arial"/>
          <w:color w:val="FF0000"/>
          <w:szCs w:val="18"/>
        </w:rPr>
        <w:t>p</w:t>
      </w:r>
      <w:r w:rsidRPr="00A71F0C">
        <w:rPr>
          <w:rFonts w:cs="Arial"/>
          <w:color w:val="FF0000"/>
          <w:szCs w:val="18"/>
        </w:rPr>
        <w:t>hotopolymerization</w:t>
      </w:r>
      <w:r w:rsidR="00A71F0C">
        <w:rPr>
          <w:rFonts w:cs="Arial"/>
          <w:szCs w:val="18"/>
        </w:rPr>
        <w:t xml:space="preserve"> </w:t>
      </w:r>
      <w:r>
        <w:rPr>
          <w:rFonts w:cs="Arial"/>
          <w:szCs w:val="18"/>
        </w:rPr>
        <w:fldChar w:fldCharType="begin" w:fldLock="1"/>
      </w:r>
      <w:r>
        <w:rPr>
          <w:rFonts w:cs="Arial"/>
          <w:szCs w:val="18"/>
        </w:rPr>
        <w:instrText>ADDIN CSL_CITATION {"citationItems":[{"id":"ITEM-1","itemData":{"ISSN":"1943-8095","abstract":"This article presents a review work on additive manufacturing technologies as reported in various journals and proceedings. Additive manufacturing technology enables to fabricate physical part directly from the computer aided design data by layer by layer deposition of raw material in solid, liquid and gas form without using any tools, and without producing any waste material. In its early days, this technology was mainly used to build up prototype models in various industries. However, current application of additive manufacturing is not limited around prototyping as it is moving rapidly towards the fabrication of functional end-user parts. It has shown huge potential in the field of tooling, manufacturing and medicine for direct or indirect fabrication purposes. Moreover, additive technologies require a lot of research and development to solve issues like speed, materials, non-linear behavior, and high cost of the additive manufacturing systems.","author":[{"dropping-particle":"","family":"Negi","given":"Sushant","non-dropping-particle":"","parse-names":false,"suffix":""},{"dropping-particle":"","family":"Kumar Sharma","given":"Rajesh","non-dropping-particle":"","parse-names":false,"suffix":""},{"dropping-particle":"","family":"Dhiman","given":"Suresh","non-dropping-particle":"","parse-names":false,"suffix":""}],"container-title":"Journal of Manufacturing Technology Research ","id":"ITEM-1","issue":"1","issued":{"date-parts":[["2013"]]},"page":"75-96","title":"Basics, applications and future of additive manufacturing technologies: A review ","type":"article-journal","volume":"5"},"uris":["http://www.mendeley.com/documents/?uuid=bb05f381-fed0-310f-8292-99a05e5629ba"]}],"mendeley":{"formattedCitation":"(Negi et al., 2013)","plainTextFormattedCitation":"(Negi et al., 2013)","previouslyFormattedCitation":"(Negi et al., 2013)"},"properties":{"noteIndex":0},"schema":"https://github.com/citation-style-language/schema/raw/master/csl-citation.json"}</w:instrText>
      </w:r>
      <w:r>
        <w:rPr>
          <w:rFonts w:cs="Arial"/>
          <w:szCs w:val="18"/>
        </w:rPr>
        <w:fldChar w:fldCharType="separate"/>
      </w:r>
      <w:r w:rsidRPr="00E657B5">
        <w:rPr>
          <w:rFonts w:cs="Arial"/>
          <w:noProof/>
          <w:szCs w:val="18"/>
        </w:rPr>
        <w:t>(Negi et al., 2013)</w:t>
      </w:r>
      <w:r>
        <w:rPr>
          <w:rFonts w:cs="Arial"/>
          <w:szCs w:val="18"/>
        </w:rPr>
        <w:fldChar w:fldCharType="end"/>
      </w:r>
      <w:r w:rsidR="00A71F0C">
        <w:rPr>
          <w:rFonts w:cs="Arial"/>
          <w:szCs w:val="18"/>
        </w:rPr>
        <w:t>.</w:t>
      </w:r>
    </w:p>
    <w:p w14:paraId="65AB7A98" w14:textId="0546B226" w:rsidR="001E4D4B" w:rsidRPr="00DC4168" w:rsidRDefault="001E4D4B" w:rsidP="001E4D4B">
      <w:pPr>
        <w:pStyle w:val="Paragrafoelenco"/>
        <w:ind w:left="0"/>
        <w:rPr>
          <w:rFonts w:cs="Arial"/>
          <w:szCs w:val="18"/>
        </w:rPr>
      </w:pPr>
      <w:r w:rsidRPr="00DC4168">
        <w:rPr>
          <w:rFonts w:cs="Arial"/>
          <w:szCs w:val="18"/>
        </w:rPr>
        <w:t xml:space="preserve">The fused deposition modelling (FDM) is often chosen as manufacturing (AM) technology in different industrial contexts such as automotive and aerospace to fashion and textiles world, given its low cost, smooth operation, ease of support material removal, better raw material handling and ability to process different thermoplastics </w:t>
      </w:r>
      <w:r w:rsidRPr="00DC4168">
        <w:rPr>
          <w:rFonts w:cs="Arial"/>
          <w:szCs w:val="18"/>
        </w:rPr>
        <w:fldChar w:fldCharType="begin" w:fldLock="1"/>
      </w:r>
      <w:r>
        <w:rPr>
          <w:rFonts w:cs="Arial"/>
          <w:szCs w:val="18"/>
        </w:rPr>
        <w:instrText>ADDIN CSL_CITATION {"citationItems":[{"id":"ITEM-1","itemData":{"DOI":"10.1108/RPJ-08-2018-0199","ISSN":"13552546","abstract":"Purpose: Fabrication of customized products in low volume through conventional manufacturing incurs a high cost, longer processing time and huge material waste. Hence, the concept of additive manufacturing (AM) comes into existence and fused deposition modelling (FDM), is at the forefront of researches related to polymer-based additive manufacturing. The purpose of this paper is to summarize the research works carried on the applications of FDM. Design/methodology/approach: In the present paper, an extensive review has been performed related to major application areas (such as a sensor, shielding, scaffolding, drug delivery devices, microfluidic devices, rapid tooling, four-dimensional printing, automotive and aerospace, prosthetics and orthosis, fashion and architecture) where FDM has been tested. Finally, a roadmap for future research work in the FDM application has been discussed. As an example for future research scope, a case study on the usage of FDM printed ABS-carbon black composite for solvent sensing is demonstrated. Findings: The printability of composite filament through FDM enhanced its application range. Sensors developed using FDM incurs a low cost and produces a result comparable to those conventional techniques. EMI shielding manufactured by FDM is light and non-oxidative. Biodegradable and biocompatible scaffolds of complex shapes are possible to manufacture by FDM. Further, FDM enables the fabrication of on-demand and customized prosthetics and orthosis. Tooling time and cost involved in the manufacturing of low volume customized products are reduced by FDM based rapid tooling technique. Results of the solvent sensing case study indicate that three-dimensional printed conductive polymer composites can sense different solvents. The sensors with a lower thickness (0.6 mm) exhibit better sensitivity. Originality/value: This paper outlines the capabilities of FDM and provides information to the user about the different applications possible with FDM.","author":[{"dropping-particle":"","family":"Sathies","given":"T.","non-dropping-particle":"","parse-names":false,"suffix":""},{"dropping-particle":"","family":"Senthil","given":"P.","non-dropping-particle":"","parse-names":false,"suffix":""},{"dropping-particle":"","family":"Anoop","given":"M. S.","non-dropping-particle":"","parse-names":false,"suffix":""}],"container-title":"Rapid Prototyping Journal","id":"ITEM-1","issue":"4","issued":{"date-parts":[["2020","5","14"]]},"page":"669-687","publisher":"Emerald Group Holdings Ltd.","title":"A review on advancements in applications of fused deposition modelling process","type":"article-journal","volume":"26"},"uris":["http://www.mendeley.com/documents/?uuid=7079bd5d-0309-3497-91a3-64ad2ece04ff"]}],"mendeley":{"formattedCitation":"(Sathies et al., 2020)","plainTextFormattedCitation":"(Sathies et al., 2020)","previouslyFormattedCitation":"(Sathies et al., 2020)"},"properties":{"noteIndex":0},"schema":"https://github.com/citation-style-language/schema/raw/master/csl-citation.json"}</w:instrText>
      </w:r>
      <w:r w:rsidRPr="00DC4168">
        <w:rPr>
          <w:rFonts w:cs="Arial"/>
          <w:szCs w:val="18"/>
        </w:rPr>
        <w:fldChar w:fldCharType="separate"/>
      </w:r>
      <w:r w:rsidRPr="00A27BE5">
        <w:rPr>
          <w:rFonts w:cs="Arial"/>
          <w:noProof/>
          <w:szCs w:val="18"/>
        </w:rPr>
        <w:t>(Sathies et al., 2020)</w:t>
      </w:r>
      <w:r w:rsidRPr="00DC4168">
        <w:rPr>
          <w:rFonts w:cs="Arial"/>
          <w:szCs w:val="18"/>
        </w:rPr>
        <w:fldChar w:fldCharType="end"/>
      </w:r>
      <w:r w:rsidRPr="00DC4168">
        <w:rPr>
          <w:rFonts w:cs="Arial"/>
          <w:szCs w:val="18"/>
        </w:rPr>
        <w:t xml:space="preserve">. </w:t>
      </w:r>
      <w:r w:rsidR="000B2ED8" w:rsidRPr="000B2ED8">
        <w:rPr>
          <w:rFonts w:cs="Arial"/>
          <w:szCs w:val="18"/>
        </w:rPr>
        <w:t>Th</w:t>
      </w:r>
      <w:r w:rsidR="00A71F0C">
        <w:rPr>
          <w:rFonts w:cs="Arial"/>
          <w:szCs w:val="18"/>
        </w:rPr>
        <w:t>e</w:t>
      </w:r>
      <w:r w:rsidR="00A71F0C" w:rsidRPr="00A71F0C">
        <w:rPr>
          <w:rFonts w:cs="Arial"/>
          <w:color w:val="FF0000"/>
          <w:szCs w:val="18"/>
        </w:rPr>
        <w:t xml:space="preserve"> FDM</w:t>
      </w:r>
      <w:r w:rsidR="000B2ED8" w:rsidRPr="00A71F0C">
        <w:rPr>
          <w:rFonts w:cs="Arial"/>
          <w:color w:val="FF0000"/>
          <w:szCs w:val="18"/>
        </w:rPr>
        <w:t xml:space="preserve"> </w:t>
      </w:r>
      <w:r w:rsidR="000B2ED8" w:rsidRPr="000B2ED8">
        <w:rPr>
          <w:rFonts w:cs="Arial"/>
          <w:szCs w:val="18"/>
        </w:rPr>
        <w:t>method involves melting a polymer-based filament, extruding it through a nozzle, and then layering it on a heated support by drawing a 3D object from computer-aided design (CAD) models with precise, meticulous, and detailed geometry</w:t>
      </w:r>
      <w:r w:rsidR="00C13C7C">
        <w:rPr>
          <w:rFonts w:cs="Arial"/>
          <w:szCs w:val="18"/>
        </w:rPr>
        <w:t xml:space="preserve"> </w:t>
      </w:r>
      <w:r w:rsidRPr="009C5FB9">
        <w:rPr>
          <w:rFonts w:cs="Arial"/>
          <w:color w:val="FF0000"/>
          <w:szCs w:val="18"/>
        </w:rPr>
        <w:fldChar w:fldCharType="begin" w:fldLock="1"/>
      </w:r>
      <w:r w:rsidR="002B1D66">
        <w:rPr>
          <w:rFonts w:cs="Arial"/>
          <w:color w:val="FF0000"/>
          <w:szCs w:val="18"/>
        </w:rPr>
        <w:instrText>ADDIN CSL_CITATION {"citationItems":[{"id":"ITEM-1","itemData":{"DOI":"10.3303/CET2291070","ISBN":"978-88-95608-89-1","ISSN":"2283-9216","abstract":"The major aspects affecting the environmental and health impact of the fused deposition modelling (FDM) are concerned with energy consumption, waste material, and emission of harmful by-products. To reduce pollution associated with 3D printing development, a study has been conducted to optimize operating temperatures, process times, and filament constituting material, with carefulness as the same characteristics may adversely affect the appearance and mechanical properties of 3D printed parts. In this regard, pellets of polylactide acid (PLA) have been extruded in a lab compounder to create a bio-based filament that was printed under various operating conditions, i.e., by changing layer thickness (0.14, 0.19, 0.29 mm), infill density (50, 70%, 100%), patter (linear, honeycomb, octangular), extruder temperature (from 180 to 220 °C). 3D printed specimens were examined using dynamic-mechanical analysis (DMA) by verifying the sample size and weight, as well as the printing time. Analysis on material viscosity at different testing temperatures was also performed to identify potential range of extruder temperatures, and limit printing attempts Finally, measurements of volatile organic compounds (VOC) emission have been conducted on thermally treated samples at temperatures of 70°C, 190°C, and 220°C, to gain information on potential quantity of pollution deriving from the extruded polymer, deposited layers on the heated plate, and potential residues in the printer.","author":[{"dropping-particle":"","family":"Patti","given":"Antonella","non-dropping-particle":"","parse-names":false,"suffix":""},{"dropping-particle":"","family":"Acierno","given":"Stefano","non-dropping-particle":"","parse-names":false,"suffix":""},{"dropping-particle":"","family":"Cicala","given":"Gianluca","non-dropping-particle":"","parse-names":false,"suffix":""},{"dropping-particle":"","family":"Tuccitto","given":"Nunzio","non-dropping-particle":"","parse-names":false,"suffix":""},{"dropping-particle":"","family":"Acierno","given":"Domenico","non-dropping-particle":"","parse-names":false,"suffix":""}],"container-title":"Chemical Engineering Transactions","id":"ITEM-1","issued":{"date-parts":[["2022","6","15"]]},"page":"415-420","title":"Refining the 3D Printer Set-up to Reduce the Environmental Impact of the Fused Deposition Modelling (fdm) Technology","type":"article-journal","volume":"91"},"uris":["http://www.mendeley.com/documents/?uuid=1fd44c43-7da2-3456-aac3-aec025e97a38"]}],"mendeley":{"formattedCitation":"(Patti, Acierno, Cicala, Tuccitto, et al., 2022)","manualFormatting":"(Patti et al., 2022a)","plainTextFormattedCitation":"(Patti, Acierno, Cicala, Tuccitto, et al., 2022)","previouslyFormattedCitation":"(Patti, Acierno, et al., 2022b)"},"properties":{"noteIndex":0},"schema":"https://github.com/citation-style-language/schema/raw/master/csl-citation.json"}</w:instrText>
      </w:r>
      <w:r w:rsidRPr="009C5FB9">
        <w:rPr>
          <w:rFonts w:cs="Arial"/>
          <w:color w:val="FF0000"/>
          <w:szCs w:val="18"/>
        </w:rPr>
        <w:fldChar w:fldCharType="separate"/>
      </w:r>
      <w:r w:rsidRPr="009C5FB9">
        <w:rPr>
          <w:rFonts w:cs="Arial"/>
          <w:noProof/>
          <w:color w:val="FF0000"/>
          <w:szCs w:val="18"/>
        </w:rPr>
        <w:t>(Patti et al., 2022</w:t>
      </w:r>
      <w:r w:rsidR="009C5FB9" w:rsidRPr="009C5FB9">
        <w:rPr>
          <w:rFonts w:cs="Arial"/>
          <w:noProof/>
          <w:color w:val="FF0000"/>
          <w:szCs w:val="18"/>
        </w:rPr>
        <w:t>a</w:t>
      </w:r>
      <w:r w:rsidRPr="009C5FB9">
        <w:rPr>
          <w:rFonts w:cs="Arial"/>
          <w:noProof/>
          <w:color w:val="FF0000"/>
          <w:szCs w:val="18"/>
        </w:rPr>
        <w:t>)</w:t>
      </w:r>
      <w:r w:rsidRPr="009C5FB9">
        <w:rPr>
          <w:rFonts w:cs="Arial"/>
          <w:color w:val="FF0000"/>
          <w:szCs w:val="18"/>
        </w:rPr>
        <w:fldChar w:fldCharType="end"/>
      </w:r>
      <w:r w:rsidR="009C5FB9" w:rsidRPr="009C5FB9">
        <w:rPr>
          <w:rFonts w:cs="Arial"/>
          <w:color w:val="FF0000"/>
          <w:szCs w:val="18"/>
        </w:rPr>
        <w:t>.</w:t>
      </w:r>
    </w:p>
    <w:p w14:paraId="0C022785" w14:textId="504E27B7" w:rsidR="00781C30" w:rsidRDefault="000B2ED8" w:rsidP="001E4D4B">
      <w:pPr>
        <w:pStyle w:val="Paragrafoelenco"/>
        <w:ind w:left="0"/>
        <w:rPr>
          <w:rFonts w:cs="Arial"/>
          <w:szCs w:val="18"/>
        </w:rPr>
      </w:pPr>
      <w:r w:rsidRPr="000B2ED8">
        <w:rPr>
          <w:rFonts w:cs="Arial"/>
          <w:szCs w:val="18"/>
        </w:rPr>
        <w:t xml:space="preserve">Synthetic thermoplastics derived from crude oil, such as acrylonitrile butadiene styrene (ABS) and polyether ether ketone (PEEK), or bio-based polymers, such as polylactic acid (PLA) and polycaprolactone (PCL), </w:t>
      </w:r>
      <w:r>
        <w:rPr>
          <w:rFonts w:cs="Arial"/>
          <w:szCs w:val="18"/>
        </w:rPr>
        <w:t xml:space="preserve">or </w:t>
      </w:r>
      <w:r w:rsidRPr="000B2ED8">
        <w:rPr>
          <w:rFonts w:cs="Arial"/>
          <w:szCs w:val="18"/>
        </w:rPr>
        <w:t xml:space="preserve">composite systems composed of carbon, glass, and natural fibers, ceramic and metallic particles are among the most commonly used materials in FDM technique </w:t>
      </w:r>
      <w:r w:rsidR="001E4D4B">
        <w:rPr>
          <w:rFonts w:cs="Arial"/>
          <w:szCs w:val="18"/>
        </w:rPr>
        <w:fldChar w:fldCharType="begin" w:fldLock="1"/>
      </w:r>
      <w:r w:rsidR="00A24106">
        <w:rPr>
          <w:rFonts w:cs="Arial"/>
          <w:szCs w:val="18"/>
        </w:rPr>
        <w:instrText>ADDIN CSL_CITATION {"citationItems":[{"id":"ITEM-1","itemData":{"DOI":"10.3390/SOLIDS3030034","ISSN":"2673-6497","abstract":"This publication summarises the current state of knowledge and technology on the possibilities and limitations of using mineral and synthetic fillers in the field of 3D printing of thermoplastics. FDM technology can be perceived as a miniaturised variation of conventional extrusion processing (a microextrusion process). However, scaling the process down has an undoubtful drawback of significantly reducing the extrudate diameter (often by a factor of &amp;asymp;20&amp;ndash;30). Therefore, the results produced under conventional extrusion processing cannot be simply translated to processes run with the application of FDM technology. With that in mind, discussing the latest findings in composite materials preparation and application in FDM 3D printing was necessary.","author":[{"dropping-particle":"","family":"Sztorch","given":"Bogna","non-dropping-particle":"","parse-names":false,"suffix":""},{"dropping-particle":"","family":"Brz","given":"Dariusz","non-dropping-particle":"","parse-names":false,"suffix":""},{"dropping-particle":"","family":"Akalski","given":"˛","non-dropping-particle":"","parse-names":false,"suffix":""},{"dropping-particle":"","family":"Pakuła","given":"Daria","non-dropping-particle":"","parse-names":false,"suffix":""},{"dropping-particle":"","family":"Frydrych","given":"Miłosz","non-dropping-particle":"","parse-names":false,"suffix":""},{"dropping-particle":"","family":"Špitalský","given":"Zdeno","non-dropping-particle":"","parse-names":false,"suffix":""},{"dropping-particle":"","family":"Przekop","given":"Robert E","non-dropping-particle":"","parse-names":false,"suffix":""}],"container-title":"Solids","id":"ITEM-1","issue":"3","issued":{"date-parts":[["2022","9","16"]]},"page":"508-548","publisher":"Multidisciplinary Digital Publishing Institute","title":"Natural and Synthetic Polymer Fillers for Applications in 3D Printing—FDM Technology Area","type":"article-journal","volume":"3"},"uris":["http://www.mendeley.com/documents/?uuid=c2cfdd5e-2536-391d-be0b-87dd9f74ab2e"]}],"mendeley":{"formattedCitation":"(Sztorch et al., 2022)","plainTextFormattedCitation":"(Sztorch et al., 2022)","previouslyFormattedCitation":"(Sztorch et al., 2022)"},"properties":{"noteIndex":0},"schema":"https://github.com/citation-style-language/schema/raw/master/csl-citation.json"}</w:instrText>
      </w:r>
      <w:r w:rsidR="001E4D4B">
        <w:rPr>
          <w:rFonts w:cs="Arial"/>
          <w:szCs w:val="18"/>
        </w:rPr>
        <w:fldChar w:fldCharType="separate"/>
      </w:r>
      <w:r w:rsidR="001E4D4B" w:rsidRPr="006510AC">
        <w:rPr>
          <w:rFonts w:cs="Arial"/>
          <w:noProof/>
          <w:szCs w:val="18"/>
        </w:rPr>
        <w:t>(Sztorch et al., 2022)</w:t>
      </w:r>
      <w:r w:rsidR="001E4D4B">
        <w:rPr>
          <w:rFonts w:cs="Arial"/>
          <w:szCs w:val="18"/>
        </w:rPr>
        <w:fldChar w:fldCharType="end"/>
      </w:r>
      <w:r w:rsidR="00C13C7C">
        <w:rPr>
          <w:rFonts w:cs="Arial"/>
          <w:szCs w:val="18"/>
        </w:rPr>
        <w:t>.</w:t>
      </w:r>
    </w:p>
    <w:p w14:paraId="7E8B075C" w14:textId="52E45C4F" w:rsidR="001E4D4B" w:rsidRDefault="009C5FB9" w:rsidP="001E4D4B">
      <w:pPr>
        <w:pStyle w:val="Paragrafoelenco"/>
        <w:ind w:left="0"/>
        <w:rPr>
          <w:rFonts w:cs="Arial"/>
          <w:szCs w:val="18"/>
        </w:rPr>
      </w:pPr>
      <w:r w:rsidRPr="009C5FB9">
        <w:rPr>
          <w:rFonts w:cs="Arial"/>
          <w:color w:val="FF0000"/>
          <w:szCs w:val="18"/>
        </w:rPr>
        <w:t xml:space="preserve">Research </w:t>
      </w:r>
      <w:r w:rsidR="00E90586">
        <w:rPr>
          <w:rFonts w:cs="Arial"/>
          <w:color w:val="FF0000"/>
          <w:szCs w:val="18"/>
        </w:rPr>
        <w:t>efforts are</w:t>
      </w:r>
      <w:r w:rsidRPr="009C5FB9">
        <w:rPr>
          <w:rFonts w:cs="Arial"/>
          <w:color w:val="FF0000"/>
          <w:szCs w:val="18"/>
        </w:rPr>
        <w:t xml:space="preserve"> shifting toward more sustainable, low-impact alternatives to common petroleum-derived polymers, such as those derived from renewable resources and recycling operations, to reduce environmental concerns such as greenhouse gas emissions and trash accumulation in the environment and landfills. </w:t>
      </w:r>
      <w:r w:rsidR="001E4D4B" w:rsidRPr="001A0B81">
        <w:rPr>
          <w:rFonts w:cs="Arial"/>
          <w:szCs w:val="18"/>
        </w:rPr>
        <w:fldChar w:fldCharType="begin" w:fldLock="1"/>
      </w:r>
      <w:r w:rsidR="002B1D66">
        <w:rPr>
          <w:rFonts w:cs="Arial"/>
          <w:szCs w:val="18"/>
        </w:rPr>
        <w:instrText>ADDIN CSL_CITATION {"citationItems":[{"id":"ITEM-1","itemData":{"DOI":"10.3303/CET2296010","ISBN":"978-88-95608-95-2","ISSN":"2283-9216","abstract":"This study was devoted to promote eco-friendly processes and products in film packaging and 3D printer industries though sustainable and biodegradable resources, circular economy approach and recycling operation. A commercial bio-based filament, obtained by recycling of biobags, has been considered. An initial rheological characterization consisting both in dynamic (i.e., time sweep, frequency sweep) and transient (i.e., stress relaxation) mode testing, was conducted on pelletized recycled material. The complex viscosity trend over time at different testing temperatures (210°C, 190°C, 170°C) allowed to attest the polymer thermal stability as function of testing temperature. The shear modulus against time at different testing temperatures (130, 150, 170°C, and 210°C) provided information on the minimum temperature of extruded melted polymer, deposited on the printer platform, to ensure adhesion between layers. The storage and loss modulus vs oscillation frequency from 130°C to 170°C allowed to identify the temperature at which viscous behaviour of the processed material could be guaranteed during the extrusion process. Then, attempts to print the recycled polymer were carried out at 180°C, 190°C, 210°C, respectively. Finally, thermo-mechanical characteristics of 3D specimens, printed at 190 and 210°C, have been compared in terms of storage modulus and dissipation factors.","author":[{"dropping-particle":"","family":"Patti","given":"Antonella","non-dropping-particle":"","parse-names":false,"suffix":""},{"dropping-particle":"","family":"Acierno","given":"Stefano","non-dropping-particle":"","parse-names":false,"suffix":""},{"dropping-particle":"","family":"Cicala","given":"Gianluca","non-dropping-particle":"","parse-names":false,"suffix":""},{"dropping-particle":"","family":"Acierno","given":"Domenico","non-dropping-particle":"","parse-names":false,"suffix":""}],"container-title":"Chemical Engineering Transactions","id":"ITEM-1","issued":{"date-parts":[["2022","11","30"]]},"page":"55-60","title":"Recycling Waste from Film Packaging to 3D Printing Applications: a Prospective Study to Identify the Processing Temperature","type":"article-journal","volume":"96"},"uris":["http://www.mendeley.com/documents/?uuid=7173564a-706e-3e2a-8285-2a5b6d935eb6"]}],"mendeley":{"formattedCitation":"(Patti, Acierno, Cicala, and Acierno, 2022)","manualFormatting":"(Patti et al., 2022b)","plainTextFormattedCitation":"(Patti, Acierno, Cicala, and Acierno, 2022)","previouslyFormattedCitation":"(Patti, Acierno, et al., 2022a)"},"properties":{"noteIndex":0},"schema":"https://github.com/citation-style-language/schema/raw/master/csl-citation.json"}</w:instrText>
      </w:r>
      <w:r w:rsidR="001E4D4B" w:rsidRPr="001A0B81">
        <w:rPr>
          <w:rFonts w:cs="Arial"/>
          <w:szCs w:val="18"/>
        </w:rPr>
        <w:fldChar w:fldCharType="separate"/>
      </w:r>
      <w:r w:rsidR="001E4D4B" w:rsidRPr="001A0B81">
        <w:rPr>
          <w:rFonts w:cs="Arial"/>
          <w:noProof/>
          <w:szCs w:val="18"/>
        </w:rPr>
        <w:t>(</w:t>
      </w:r>
      <w:r w:rsidR="001E4D4B" w:rsidRPr="009C5FB9">
        <w:rPr>
          <w:rFonts w:cs="Arial"/>
          <w:noProof/>
          <w:color w:val="FF0000"/>
          <w:szCs w:val="18"/>
        </w:rPr>
        <w:t>Patti</w:t>
      </w:r>
      <w:r w:rsidRPr="009C5FB9">
        <w:rPr>
          <w:rFonts w:cs="Arial"/>
          <w:noProof/>
          <w:color w:val="FF0000"/>
          <w:szCs w:val="18"/>
        </w:rPr>
        <w:t xml:space="preserve"> et al.,</w:t>
      </w:r>
      <w:r w:rsidR="001E4D4B" w:rsidRPr="009C5FB9">
        <w:rPr>
          <w:rFonts w:cs="Arial"/>
          <w:noProof/>
          <w:color w:val="FF0000"/>
          <w:szCs w:val="18"/>
        </w:rPr>
        <w:t xml:space="preserve"> 2022</w:t>
      </w:r>
      <w:r w:rsidRPr="009C5FB9">
        <w:rPr>
          <w:rFonts w:cs="Arial"/>
          <w:noProof/>
          <w:color w:val="FF0000"/>
          <w:szCs w:val="18"/>
        </w:rPr>
        <w:t>b</w:t>
      </w:r>
      <w:r w:rsidR="001E4D4B" w:rsidRPr="001A0B81">
        <w:rPr>
          <w:rFonts w:cs="Arial"/>
          <w:noProof/>
          <w:szCs w:val="18"/>
        </w:rPr>
        <w:t>)</w:t>
      </w:r>
      <w:r w:rsidR="001E4D4B" w:rsidRPr="001A0B81">
        <w:rPr>
          <w:rFonts w:cs="Arial"/>
          <w:szCs w:val="18"/>
        </w:rPr>
        <w:fldChar w:fldCharType="end"/>
      </w:r>
      <w:r>
        <w:rPr>
          <w:rFonts w:cs="Arial"/>
          <w:szCs w:val="18"/>
        </w:rPr>
        <w:t>.</w:t>
      </w:r>
    </w:p>
    <w:p w14:paraId="36A65513" w14:textId="5142280F" w:rsidR="001E4D4B" w:rsidRDefault="006C4DF6" w:rsidP="001E4D4B">
      <w:pPr>
        <w:pStyle w:val="Paragrafoelenco"/>
        <w:ind w:left="0"/>
        <w:rPr>
          <w:rFonts w:cs="Arial"/>
          <w:szCs w:val="18"/>
        </w:rPr>
      </w:pPr>
      <w:r>
        <w:rPr>
          <w:rFonts w:cs="Arial"/>
          <w:szCs w:val="18"/>
        </w:rPr>
        <w:lastRenderedPageBreak/>
        <w:t>Depending on the environmental conditions</w:t>
      </w:r>
      <w:r w:rsidR="00A2120D">
        <w:rPr>
          <w:rFonts w:cs="Arial"/>
          <w:szCs w:val="18"/>
        </w:rPr>
        <w:t xml:space="preserve"> (heat, air, water</w:t>
      </w:r>
      <w:r>
        <w:rPr>
          <w:rFonts w:cs="Arial"/>
          <w:szCs w:val="18"/>
        </w:rPr>
        <w:t xml:space="preserve">, </w:t>
      </w:r>
      <w:r w:rsidR="00A2120D">
        <w:rPr>
          <w:rFonts w:cs="Arial"/>
          <w:szCs w:val="18"/>
        </w:rPr>
        <w:t xml:space="preserve">light etc), </w:t>
      </w:r>
      <w:r>
        <w:rPr>
          <w:rFonts w:cs="Arial"/>
          <w:szCs w:val="18"/>
        </w:rPr>
        <w:t>polymers can</w:t>
      </w:r>
      <w:r w:rsidR="00A2120D">
        <w:rPr>
          <w:rFonts w:cs="Arial"/>
          <w:szCs w:val="18"/>
        </w:rPr>
        <w:t xml:space="preserve"> easily</w:t>
      </w:r>
      <w:r>
        <w:rPr>
          <w:rFonts w:cs="Arial"/>
          <w:szCs w:val="18"/>
        </w:rPr>
        <w:t xml:space="preserve"> degrade </w:t>
      </w:r>
      <w:r w:rsidR="00A2120D">
        <w:rPr>
          <w:rFonts w:cs="Arial"/>
          <w:szCs w:val="18"/>
        </w:rPr>
        <w:t xml:space="preserve">resulting into an </w:t>
      </w:r>
      <w:r w:rsidR="00A2120D" w:rsidRPr="00A2120D">
        <w:rPr>
          <w:rFonts w:cs="Arial"/>
          <w:szCs w:val="18"/>
        </w:rPr>
        <w:t>embrittlement</w:t>
      </w:r>
      <w:r w:rsidR="00A2120D">
        <w:rPr>
          <w:rFonts w:cs="Arial"/>
          <w:szCs w:val="18"/>
        </w:rPr>
        <w:t>, reduced mechanical properties and molecular weight</w:t>
      </w:r>
      <w:r w:rsidR="002B1D66">
        <w:rPr>
          <w:rFonts w:cs="Arial"/>
          <w:szCs w:val="18"/>
        </w:rPr>
        <w:t xml:space="preserve"> </w:t>
      </w:r>
      <w:r w:rsidR="002B1D66">
        <w:rPr>
          <w:rFonts w:cs="Arial"/>
          <w:szCs w:val="18"/>
        </w:rPr>
        <w:fldChar w:fldCharType="begin" w:fldLock="1"/>
      </w:r>
      <w:r w:rsidR="002B1D66">
        <w:rPr>
          <w:rFonts w:cs="Arial"/>
          <w:szCs w:val="18"/>
        </w:rPr>
        <w:instrText>ADDIN CSL_CITATION {"citationItems":[{"id":"ITEM-1","itemData":{"DOI":"10.3390/polym12010015","ISSN":"2073-4360","abstract":"&lt;p&gt;Polyurethane is a polymer adaptable to different scientific and industrial requirements; nevertheless it is also extremely susceptible to UV radiation, which compromises the physical and mechanical functionality. In this framework, our study investigated the effect of waterborne polyurethane dispersion (WPUD) applied to a polyester (PET)-based fabric, through the impregnation method, on the puncturing and water resistance of the pristine material, before and after UV weathering. Results confirmed an increment of both features in the prepared fabrics, attributed to the PUR textile treatment; but a partially loss of the gained properties in the samples due to the UV weathering. In order to improve the efficiency of the impregnating dispersions, in protecting the durability of the treated materials, the addition of different UV light stabilizers, or/and of crosslinking agent into WPUD was also tested. From the experimental data, it can be concluded that formulations based on WPUD, containing both the crosslinker and UV organic absorber, have displayed an increment of their perforation and water resistance for the treated samples with respect to the starting textile, and contemporary have preserved the features against the UV light. Finally, microscopic and spectroscopic analyses have been performed as further characterization techniques of the samples surface.&lt;/p&gt;","author":[{"dropping-particle":"","family":"Patti","given":"Antonella","non-dropping-particle":"","parse-names":false,"suffix":""},{"dropping-particle":"","family":"Acierno","given":"Domenico","non-dropping-particle":"","parse-names":false,"suffix":""}],"container-title":"Polymers","id":"ITEM-1","issue":"1","issued":{"date-parts":[["2019","12","19"]]},"page":"15","publisher":"MDPI AG","title":"The Puncture and Water Resistance of Polyurethane- Impregnated Fabrics after UV Weathering","type":"article-journal","volume":"12"},"uris":["http://www.mendeley.com/documents/?uuid=ec85a5fd-f430-32ea-b9fc-46717ae8e1f5"]}],"mendeley":{"formattedCitation":"(Patti et al., 2019)","plainTextFormattedCitation":"(Patti et al., 2019)"},"properties":{"noteIndex":0},"schema":"https://github.com/citation-style-language/schema/raw/master/csl-citation.json"}</w:instrText>
      </w:r>
      <w:r w:rsidR="002B1D66">
        <w:rPr>
          <w:rFonts w:cs="Arial"/>
          <w:szCs w:val="18"/>
        </w:rPr>
        <w:fldChar w:fldCharType="separate"/>
      </w:r>
      <w:r w:rsidR="002B1D66" w:rsidRPr="002B1D66">
        <w:rPr>
          <w:rFonts w:cs="Arial"/>
          <w:noProof/>
          <w:szCs w:val="18"/>
        </w:rPr>
        <w:t>(Patti et al., 2019)</w:t>
      </w:r>
      <w:r w:rsidR="002B1D66">
        <w:rPr>
          <w:rFonts w:cs="Arial"/>
          <w:szCs w:val="18"/>
        </w:rPr>
        <w:fldChar w:fldCharType="end"/>
      </w:r>
      <w:r w:rsidR="00A2120D">
        <w:rPr>
          <w:rFonts w:cs="Arial"/>
          <w:szCs w:val="18"/>
        </w:rPr>
        <w:t xml:space="preserve">. </w:t>
      </w:r>
      <w:r w:rsidR="000B2ED8" w:rsidRPr="000B2ED8">
        <w:rPr>
          <w:rFonts w:cs="Arial"/>
          <w:szCs w:val="18"/>
        </w:rPr>
        <w:t xml:space="preserve">In most cases, polymer processing is followed by a series of chemical events that significantly alter the physical and chemical properties of produced </w:t>
      </w:r>
      <w:proofErr w:type="gramStart"/>
      <w:r w:rsidR="000B2ED8" w:rsidRPr="000B2ED8">
        <w:rPr>
          <w:rFonts w:cs="Arial"/>
          <w:szCs w:val="18"/>
        </w:rPr>
        <w:t>goods</w:t>
      </w:r>
      <w:r w:rsidR="00781C30">
        <w:rPr>
          <w:rFonts w:cs="Arial"/>
          <w:szCs w:val="18"/>
        </w:rPr>
        <w:t>,</w:t>
      </w:r>
      <w:r w:rsidR="000B2ED8" w:rsidRPr="000B2ED8">
        <w:rPr>
          <w:rFonts w:cs="Arial"/>
          <w:szCs w:val="18"/>
        </w:rPr>
        <w:t xml:space="preserve"> and</w:t>
      </w:r>
      <w:proofErr w:type="gramEnd"/>
      <w:r w:rsidR="000B2ED8" w:rsidRPr="000B2ED8">
        <w:rPr>
          <w:rFonts w:cs="Arial"/>
          <w:szCs w:val="18"/>
        </w:rPr>
        <w:t xml:space="preserve"> shorten their useful lives. The thermal, mechanical, and autocatalytic events that occur during extrusion can involve free radicals, ions, and low molecular weight entities.</w:t>
      </w:r>
      <w:r w:rsidR="000B2ED8">
        <w:rPr>
          <w:rFonts w:cs="Arial"/>
          <w:szCs w:val="18"/>
        </w:rPr>
        <w:t xml:space="preserve"> </w:t>
      </w:r>
      <w:r w:rsidR="001E4D4B" w:rsidRPr="00DC4168">
        <w:rPr>
          <w:rFonts w:cs="Arial"/>
          <w:szCs w:val="18"/>
        </w:rPr>
        <w:t xml:space="preserve">At the typical </w:t>
      </w:r>
      <w:r w:rsidR="000B2ED8">
        <w:rPr>
          <w:rFonts w:cs="Arial"/>
          <w:szCs w:val="18"/>
        </w:rPr>
        <w:t xml:space="preserve">polymer </w:t>
      </w:r>
      <w:r w:rsidR="001E4D4B" w:rsidRPr="00DC4168">
        <w:rPr>
          <w:rFonts w:cs="Arial"/>
          <w:szCs w:val="18"/>
        </w:rPr>
        <w:t xml:space="preserve">processing conditions, </w:t>
      </w:r>
      <w:r w:rsidR="00CC652E" w:rsidRPr="00CC652E">
        <w:rPr>
          <w:rFonts w:cs="Arial"/>
          <w:szCs w:val="18"/>
        </w:rPr>
        <w:t>i.e.,</w:t>
      </w:r>
      <w:r w:rsidR="001E4D4B" w:rsidRPr="00CC652E">
        <w:rPr>
          <w:rFonts w:cs="Arial"/>
          <w:szCs w:val="18"/>
        </w:rPr>
        <w:t xml:space="preserve"> </w:t>
      </w:r>
      <w:r w:rsidR="001E4D4B" w:rsidRPr="00DC4168">
        <w:rPr>
          <w:rFonts w:cs="Arial"/>
          <w:szCs w:val="18"/>
        </w:rPr>
        <w:t xml:space="preserve">in presence of oxygen, at temperatures </w:t>
      </w:r>
      <w:r w:rsidR="000B2ED8">
        <w:rPr>
          <w:rFonts w:cs="Arial"/>
          <w:szCs w:val="18"/>
        </w:rPr>
        <w:t>ranging from</w:t>
      </w:r>
      <w:r w:rsidR="001E4D4B" w:rsidRPr="00DC4168">
        <w:rPr>
          <w:rFonts w:cs="Arial"/>
          <w:szCs w:val="18"/>
        </w:rPr>
        <w:t xml:space="preserve"> 180</w:t>
      </w:r>
      <w:r w:rsidR="000B2ED8">
        <w:rPr>
          <w:rFonts w:cs="Arial"/>
          <w:szCs w:val="18"/>
        </w:rPr>
        <w:t xml:space="preserve"> to </w:t>
      </w:r>
      <w:r w:rsidR="001E4D4B" w:rsidRPr="002012F4">
        <w:rPr>
          <w:rFonts w:cs="Arial"/>
          <w:color w:val="FF0000"/>
          <w:szCs w:val="18"/>
        </w:rPr>
        <w:t>250</w:t>
      </w:r>
      <w:r w:rsidR="002012F4" w:rsidRPr="002012F4">
        <w:rPr>
          <w:rFonts w:cs="Arial"/>
          <w:color w:val="FF0000"/>
          <w:szCs w:val="18"/>
        </w:rPr>
        <w:t xml:space="preserve"> </w:t>
      </w:r>
      <w:r w:rsidR="001E4D4B" w:rsidRPr="002012F4">
        <w:rPr>
          <w:rFonts w:cs="Arial"/>
          <w:color w:val="FF0000"/>
          <w:szCs w:val="18"/>
        </w:rPr>
        <w:t>°C</w:t>
      </w:r>
      <w:r w:rsidR="001E4D4B" w:rsidRPr="00DC4168">
        <w:rPr>
          <w:rFonts w:cs="Arial"/>
          <w:szCs w:val="18"/>
        </w:rPr>
        <w:t>, and shear rates rang</w:t>
      </w:r>
      <w:r w:rsidR="000B2ED8">
        <w:rPr>
          <w:rFonts w:cs="Arial"/>
          <w:szCs w:val="18"/>
        </w:rPr>
        <w:t>ing</w:t>
      </w:r>
      <w:r w:rsidR="001E4D4B" w:rsidRPr="00DC4168">
        <w:rPr>
          <w:rFonts w:cs="Arial"/>
          <w:szCs w:val="18"/>
        </w:rPr>
        <w:t xml:space="preserve"> </w:t>
      </w:r>
      <w:r w:rsidR="000B2ED8">
        <w:rPr>
          <w:rFonts w:cs="Arial"/>
          <w:szCs w:val="18"/>
        </w:rPr>
        <w:t>from</w:t>
      </w:r>
      <w:r w:rsidR="001E4D4B" w:rsidRPr="00DC4168">
        <w:rPr>
          <w:rFonts w:cs="Arial"/>
          <w:szCs w:val="18"/>
        </w:rPr>
        <w:t xml:space="preserve"> 10</w:t>
      </w:r>
      <w:r w:rsidR="000B2ED8">
        <w:rPr>
          <w:rFonts w:cs="Arial"/>
          <w:szCs w:val="18"/>
        </w:rPr>
        <w:t xml:space="preserve"> to </w:t>
      </w:r>
      <w:r w:rsidR="001E4D4B" w:rsidRPr="00DC4168">
        <w:rPr>
          <w:rFonts w:cs="Arial"/>
          <w:szCs w:val="18"/>
        </w:rPr>
        <w:t>10</w:t>
      </w:r>
      <w:r w:rsidR="001E4D4B" w:rsidRPr="00DC4168">
        <w:rPr>
          <w:rFonts w:cs="Arial"/>
          <w:szCs w:val="18"/>
          <w:vertAlign w:val="superscript"/>
        </w:rPr>
        <w:t>3</w:t>
      </w:r>
      <w:r w:rsidR="001E4D4B" w:rsidRPr="00DC4168">
        <w:rPr>
          <w:rFonts w:cs="Arial"/>
          <w:szCs w:val="18"/>
        </w:rPr>
        <w:t xml:space="preserve"> s</w:t>
      </w:r>
      <w:r w:rsidR="001E4D4B" w:rsidRPr="00DC4168">
        <w:rPr>
          <w:rFonts w:cs="Arial"/>
          <w:szCs w:val="18"/>
          <w:vertAlign w:val="superscript"/>
        </w:rPr>
        <w:t>-</w:t>
      </w:r>
      <w:r w:rsidR="001E4D4B" w:rsidRPr="00781C30">
        <w:rPr>
          <w:rFonts w:cs="Arial"/>
          <w:szCs w:val="18"/>
          <w:vertAlign w:val="superscript"/>
        </w:rPr>
        <w:t>1</w:t>
      </w:r>
      <w:r w:rsidR="000B2ED8">
        <w:rPr>
          <w:rFonts w:cs="Arial"/>
          <w:szCs w:val="18"/>
        </w:rPr>
        <w:t xml:space="preserve"> the m</w:t>
      </w:r>
      <w:r w:rsidR="000B2ED8" w:rsidRPr="000B2ED8">
        <w:rPr>
          <w:rFonts w:cs="Arial"/>
          <w:szCs w:val="18"/>
        </w:rPr>
        <w:t xml:space="preserve">echanical </w:t>
      </w:r>
      <w:r w:rsidR="000B2ED8">
        <w:rPr>
          <w:rFonts w:cs="Arial"/>
          <w:szCs w:val="18"/>
        </w:rPr>
        <w:t>stress</w:t>
      </w:r>
      <w:r w:rsidR="000B2ED8" w:rsidRPr="000B2ED8">
        <w:rPr>
          <w:rFonts w:cs="Arial"/>
          <w:szCs w:val="18"/>
        </w:rPr>
        <w:t xml:space="preserve"> or oxidati</w:t>
      </w:r>
      <w:r w:rsidR="000B2ED8">
        <w:rPr>
          <w:rFonts w:cs="Arial"/>
          <w:szCs w:val="18"/>
        </w:rPr>
        <w:t>ve reactions</w:t>
      </w:r>
      <w:r w:rsidR="000B2ED8" w:rsidRPr="000B2ED8">
        <w:rPr>
          <w:rFonts w:cs="Arial"/>
          <w:szCs w:val="18"/>
        </w:rPr>
        <w:t xml:space="preserve"> can change the properties of a material.</w:t>
      </w:r>
      <w:r w:rsidR="001E4D4B" w:rsidRPr="00DC4168">
        <w:rPr>
          <w:rFonts w:cs="Arial"/>
          <w:szCs w:val="18"/>
        </w:rPr>
        <w:t xml:space="preserve"> </w:t>
      </w:r>
      <w:r w:rsidR="000B2ED8" w:rsidRPr="000B2ED8">
        <w:rPr>
          <w:rFonts w:cs="Arial"/>
          <w:szCs w:val="18"/>
        </w:rPr>
        <w:t xml:space="preserve">Processing degradation involves the formation of alkyl (R°) radicals, which react with oxygen to form </w:t>
      </w:r>
      <w:proofErr w:type="spellStart"/>
      <w:r w:rsidR="000B2ED8" w:rsidRPr="002012F4">
        <w:rPr>
          <w:rFonts w:cs="Arial"/>
          <w:color w:val="FF0000"/>
          <w:szCs w:val="18"/>
        </w:rPr>
        <w:t>perox</w:t>
      </w:r>
      <w:r w:rsidR="002012F4" w:rsidRPr="002012F4">
        <w:rPr>
          <w:rFonts w:cs="Arial"/>
          <w:color w:val="FF0000"/>
          <w:szCs w:val="18"/>
        </w:rPr>
        <w:t>y</w:t>
      </w:r>
      <w:proofErr w:type="spellEnd"/>
      <w:r w:rsidR="002012F4" w:rsidRPr="002012F4">
        <w:rPr>
          <w:rFonts w:cs="Arial"/>
          <w:color w:val="FF0000"/>
          <w:szCs w:val="18"/>
        </w:rPr>
        <w:t xml:space="preserve"> radical</w:t>
      </w:r>
      <w:r w:rsidR="000B2ED8" w:rsidRPr="002012F4">
        <w:rPr>
          <w:rFonts w:cs="Arial"/>
          <w:color w:val="FF0000"/>
          <w:szCs w:val="18"/>
        </w:rPr>
        <w:t xml:space="preserve"> </w:t>
      </w:r>
      <w:r w:rsidR="000B2ED8" w:rsidRPr="000B2ED8">
        <w:rPr>
          <w:rFonts w:cs="Arial"/>
          <w:szCs w:val="18"/>
        </w:rPr>
        <w:t>(RO2°). When these radicals are produced, macromolecular bonds are inevitably broken, resulting in a decrease in molecular weight.</w:t>
      </w:r>
      <w:r w:rsidR="001E4D4B" w:rsidRPr="00DC4168">
        <w:rPr>
          <w:rFonts w:cs="Arial"/>
          <w:szCs w:val="18"/>
        </w:rPr>
        <w:t xml:space="preserve"> </w:t>
      </w:r>
      <w:r w:rsidR="00CC652E" w:rsidRPr="00CC652E">
        <w:rPr>
          <w:rFonts w:cs="Arial"/>
          <w:szCs w:val="18"/>
        </w:rPr>
        <w:t xml:space="preserve">The chemical changes that occur during extrusion can be described using the traditional thermal oxidation scheme. This scheme begins with mechanical </w:t>
      </w:r>
      <w:r w:rsidR="00821BC2">
        <w:rPr>
          <w:rFonts w:cs="Arial"/>
          <w:szCs w:val="18"/>
        </w:rPr>
        <w:t>destruction and oxidation</w:t>
      </w:r>
      <w:r w:rsidR="00CC652E" w:rsidRPr="00CC652E">
        <w:rPr>
          <w:rFonts w:cs="Arial"/>
          <w:szCs w:val="18"/>
        </w:rPr>
        <w:t xml:space="preserve"> as the primary cause</w:t>
      </w:r>
      <w:r w:rsidR="00821BC2">
        <w:rPr>
          <w:rFonts w:cs="Arial"/>
          <w:szCs w:val="18"/>
        </w:rPr>
        <w:t>s</w:t>
      </w:r>
      <w:r w:rsidR="00CC652E" w:rsidRPr="00CC652E">
        <w:rPr>
          <w:rFonts w:cs="Arial"/>
          <w:szCs w:val="18"/>
        </w:rPr>
        <w:t xml:space="preserve"> of polymer chain breakage</w:t>
      </w:r>
      <w:r w:rsidR="001E4D4B" w:rsidRPr="00DC4168">
        <w:rPr>
          <w:rFonts w:cs="Arial"/>
          <w:szCs w:val="18"/>
        </w:rPr>
        <w:t xml:space="preserve"> </w:t>
      </w:r>
      <w:r w:rsidR="001E4D4B" w:rsidRPr="00DC4168">
        <w:rPr>
          <w:rFonts w:cs="Arial"/>
          <w:szCs w:val="18"/>
        </w:rPr>
        <w:fldChar w:fldCharType="begin" w:fldLock="1"/>
      </w:r>
      <w:r w:rsidR="001E4D4B">
        <w:rPr>
          <w:rFonts w:cs="Arial"/>
          <w:szCs w:val="18"/>
        </w:rPr>
        <w:instrText>ADDIN CSL_CITATION {"citationItems":[{"id":"ITEM-1","itemData":{"DOI":"10.1016/0141-3910(95)00160-3","ISSN":"01413910","abstract":"Investigations and numerical representation of chemical transformation mechanisms occurring during polymer processing have recently become a very important problem. In this paper a model put forward to describe the interrelation of mechanical degradation and thermal oxidation phenomena during PE extrusion. This model permits determination of changes in molecular weight, the amounts of reacted oxygen and the quantities of accumulated peroxide together with the amount of the inhibitor used during extrusion. These parameters have a significant affect on the physical and mechanical properties of the polymer and make it possible to assess its lifetime in finished products under operating conditions.","author":[{"dropping-particle":"","family":"El'darov","given":"E. G.","non-dropping-particle":"","parse-names":false,"suffix":""},{"dropping-particle":"V.","family":"Mamedov","given":"F.","non-dropping-particle":"","parse-names":false,"suffix":""},{"dropping-particle":"","family":"Gol'dberg","given":"V. M.","non-dropping-particle":"","parse-names":false,"suffix":""},{"dropping-particle":"","family":"Zaikov","given":"G. E.","non-dropping-particle":"","parse-names":false,"suffix":""}],"container-title":"Polymer Degradation and Stability","id":"ITEM-1","issue":"3","issued":{"date-parts":[["1996"]]},"page":"271-279","publisher":"Elsevier Ltd","title":"A kinetic model of polymer degradation during extrusion","type":"article-journal","volume":"51"},"uris":["http://www.mendeley.com/documents/?uuid=73dc6aa8-f0a1-32c3-8076-bf0d70080834"]}],"mendeley":{"formattedCitation":"(El’darov et al., 1996)","plainTextFormattedCitation":"(El’darov et al., 1996)","previouslyFormattedCitation":"(El’darov et al., 1996)"},"properties":{"noteIndex":0},"schema":"https://github.com/citation-style-language/schema/raw/master/csl-citation.json"}</w:instrText>
      </w:r>
      <w:r w:rsidR="001E4D4B" w:rsidRPr="00DC4168">
        <w:rPr>
          <w:rFonts w:cs="Arial"/>
          <w:szCs w:val="18"/>
        </w:rPr>
        <w:fldChar w:fldCharType="separate"/>
      </w:r>
      <w:r w:rsidR="001E4D4B" w:rsidRPr="00A27BE5">
        <w:rPr>
          <w:rFonts w:cs="Arial"/>
          <w:noProof/>
          <w:szCs w:val="18"/>
        </w:rPr>
        <w:t>(El’darov et al., 1996)</w:t>
      </w:r>
      <w:r w:rsidR="001E4D4B" w:rsidRPr="00DC4168">
        <w:rPr>
          <w:rFonts w:cs="Arial"/>
          <w:szCs w:val="18"/>
        </w:rPr>
        <w:fldChar w:fldCharType="end"/>
      </w:r>
      <w:r w:rsidR="002012F4" w:rsidRPr="002012F4">
        <w:rPr>
          <w:rFonts w:cs="Arial"/>
          <w:color w:val="FF0000"/>
          <w:szCs w:val="18"/>
        </w:rPr>
        <w:t>.</w:t>
      </w:r>
    </w:p>
    <w:p w14:paraId="51345E8F" w14:textId="55AAB1D5" w:rsidR="00604720" w:rsidRDefault="00604720" w:rsidP="001E4D4B">
      <w:pPr>
        <w:pStyle w:val="Paragrafoelenco"/>
        <w:ind w:left="0"/>
        <w:rPr>
          <w:rFonts w:cs="Arial"/>
          <w:szCs w:val="18"/>
        </w:rPr>
      </w:pPr>
      <w:r w:rsidRPr="00604720">
        <w:rPr>
          <w:rFonts w:cs="Arial"/>
          <w:szCs w:val="18"/>
        </w:rPr>
        <w:t xml:space="preserve">Carrasco et al. </w:t>
      </w:r>
      <w:r w:rsidR="00917880">
        <w:rPr>
          <w:rFonts w:cs="Arial"/>
          <w:szCs w:val="18"/>
        </w:rPr>
        <w:fldChar w:fldCharType="begin" w:fldLock="1"/>
      </w:r>
      <w:r w:rsidR="002B1D66">
        <w:rPr>
          <w:rFonts w:cs="Arial"/>
          <w:szCs w:val="18"/>
        </w:rPr>
        <w:instrText>ADDIN CSL_CITATION {"citationItems":[{"id":"ITEM-1","itemData":{"DOI":"10.1016/j.polymdegradstab.2009.11.045","ISSN":"01413910","abstract":"The processing of poly(lactic acid) (injection and extrusion/injection) as well as annealing of processed materials were studied in order to analyze the variation of its chemical structure, thermal degradation and mechanical properties. Processing of PLA was responsible for a decrease in molecular weight, as determined by GPC, due to chain scission. The degree of crystallinity was evaluated by means of differential scanning calorimetry and X-ray diffraction. It was found that mechanical processing led to the quasi disappearance of crystal structure whereas it was recovered after annealing. These findings were qualitatively corroborated by means of FTIR. By analyzing 1H NMR and 13C NMR chemical shifts and peak areas, it was possible to affirm that the chemical composition of PLA did not change after processing, but the proportion of methyl groups increased, thus indicating the presence of a different molecular environment. The thermal stability of the various materials was established by calculating various characteristic temperatures from thermograms as well as conversion and conversion derivative curves. Finally, the mechanical behaviour was determined by means of tensile testing (Young modulus, yield strength and elongation at break). © 2009 Elsevier Ltd. All rights reserved.","author":[{"dropping-particle":"","family":"Carrasco","given":"F.","non-dropping-particle":"","parse-names":false,"suffix":""},{"dropping-particle":"","family":"Pagès","given":"P.","non-dropping-particle":"","parse-names":false,"suffix":""},{"dropping-particle":"","family":"Gámez-Pérez","given":"J.","non-dropping-particle":"","parse-names":false,"suffix":""},{"dropping-particle":"","family":"Santana","given":"O. O.","non-dropping-particle":"","parse-names":false,"suffix":""},{"dropping-particle":"","family":"Maspoch","given":"M. L.","non-dropping-particle":"","parse-names":false,"suffix":""}],"container-title":"Polymer Degradation and Stability","id":"ITEM-1","issue":"2","issued":{"date-parts":[["2010","2"]]},"page":"116-125","title":"Processing of poly(lactic acid): Characterization of chemical structure, thermal stability and mechanical properties","type":"article-journal","volume":"95"},"uris":["http://www.mendeley.com/documents/?uuid=d259e162-1cb8-3267-b595-2772af66d8ff"]}],"mendeley":{"formattedCitation":"(Carrasco et al., 2010)","manualFormatting":"(2010)","plainTextFormattedCitation":"(Carrasco et al., 2010)","previouslyFormattedCitation":"(Carrasco et al., 2010)"},"properties":{"noteIndex":0},"schema":"https://github.com/citation-style-language/schema/raw/master/csl-citation.json"}</w:instrText>
      </w:r>
      <w:r w:rsidR="00917880">
        <w:rPr>
          <w:rFonts w:cs="Arial"/>
          <w:szCs w:val="18"/>
        </w:rPr>
        <w:fldChar w:fldCharType="separate"/>
      </w:r>
      <w:r w:rsidR="00917880" w:rsidRPr="00917880">
        <w:rPr>
          <w:rFonts w:cs="Arial"/>
          <w:noProof/>
          <w:szCs w:val="18"/>
        </w:rPr>
        <w:t>(2010)</w:t>
      </w:r>
      <w:r w:rsidR="00917880">
        <w:rPr>
          <w:rFonts w:cs="Arial"/>
          <w:szCs w:val="18"/>
        </w:rPr>
        <w:fldChar w:fldCharType="end"/>
      </w:r>
      <w:r w:rsidR="00917880">
        <w:rPr>
          <w:rFonts w:cs="Arial"/>
          <w:szCs w:val="18"/>
        </w:rPr>
        <w:t xml:space="preserve"> </w:t>
      </w:r>
      <w:r w:rsidRPr="00604720">
        <w:rPr>
          <w:rFonts w:cs="Arial"/>
          <w:szCs w:val="18"/>
        </w:rPr>
        <w:t xml:space="preserve">used dynamic thermogravimetry to investigate the kinetics of thermal degradation of PLA during the two main industrial processes of injection and extrusion followed by injection, with or without additional annealing. </w:t>
      </w:r>
      <w:proofErr w:type="gramStart"/>
      <w:r w:rsidRPr="00604720">
        <w:rPr>
          <w:rFonts w:cs="Arial"/>
          <w:szCs w:val="18"/>
        </w:rPr>
        <w:t>All of</w:t>
      </w:r>
      <w:proofErr w:type="gramEnd"/>
      <w:r w:rsidRPr="00604720">
        <w:rPr>
          <w:rFonts w:cs="Arial"/>
          <w:szCs w:val="18"/>
        </w:rPr>
        <w:t xml:space="preserve"> the processed materials had degradation temperatures that were very similar but lower than the unprocessed systems. The order of reaction was shown to be </w:t>
      </w:r>
      <w:proofErr w:type="gramStart"/>
      <w:r w:rsidRPr="00604720">
        <w:rPr>
          <w:rFonts w:cs="Arial"/>
          <w:szCs w:val="18"/>
        </w:rPr>
        <w:t>first-order</w:t>
      </w:r>
      <w:proofErr w:type="gramEnd"/>
      <w:r w:rsidRPr="00604720">
        <w:rPr>
          <w:rFonts w:cs="Arial"/>
          <w:szCs w:val="18"/>
        </w:rPr>
        <w:t xml:space="preserve"> throughout the conversion range.</w:t>
      </w:r>
    </w:p>
    <w:p w14:paraId="2153F69E" w14:textId="7F4D62B1" w:rsidR="00704FB2" w:rsidRPr="00112A28" w:rsidRDefault="00CC652E" w:rsidP="001E4D4B">
      <w:pPr>
        <w:pStyle w:val="Paragrafoelenco"/>
        <w:ind w:left="0"/>
        <w:rPr>
          <w:rFonts w:cs="Arial"/>
          <w:szCs w:val="18"/>
        </w:rPr>
      </w:pPr>
      <w:r w:rsidRPr="00CC652E">
        <w:rPr>
          <w:rFonts w:cs="Arial"/>
          <w:szCs w:val="18"/>
        </w:rPr>
        <w:t xml:space="preserve">In this context, the goal of our research was to investigate how material properties changed after </w:t>
      </w:r>
      <w:r w:rsidR="005206AE" w:rsidRPr="00CC652E">
        <w:rPr>
          <w:rFonts w:cs="Arial"/>
          <w:szCs w:val="18"/>
        </w:rPr>
        <w:t xml:space="preserve">FDM </w:t>
      </w:r>
      <w:r w:rsidRPr="00CC652E">
        <w:rPr>
          <w:rFonts w:cs="Arial"/>
          <w:szCs w:val="18"/>
        </w:rPr>
        <w:t>processing</w:t>
      </w:r>
      <w:r w:rsidR="005206AE">
        <w:rPr>
          <w:rFonts w:cs="Arial"/>
          <w:szCs w:val="18"/>
        </w:rPr>
        <w:t xml:space="preserve"> </w:t>
      </w:r>
      <w:r w:rsidRPr="00CC652E">
        <w:rPr>
          <w:rFonts w:cs="Arial"/>
          <w:szCs w:val="18"/>
        </w:rPr>
        <w:t xml:space="preserve">technology. Infrared spectroscopy and rotational rheology were used to investigate three different </w:t>
      </w:r>
      <w:r w:rsidR="00704FB2">
        <w:rPr>
          <w:rFonts w:cs="Arial"/>
          <w:szCs w:val="18"/>
        </w:rPr>
        <w:t>PLA</w:t>
      </w:r>
      <w:r w:rsidRPr="00CC652E">
        <w:rPr>
          <w:rFonts w:cs="Arial"/>
          <w:szCs w:val="18"/>
        </w:rPr>
        <w:t>-based filaments</w:t>
      </w:r>
      <w:r>
        <w:rPr>
          <w:rFonts w:cs="Arial"/>
          <w:szCs w:val="18"/>
        </w:rPr>
        <w:t xml:space="preserve">. </w:t>
      </w:r>
      <w:r w:rsidRPr="00CC652E">
        <w:rPr>
          <w:rFonts w:cs="Arial"/>
          <w:szCs w:val="18"/>
        </w:rPr>
        <w:t xml:space="preserve">Each filament was then extruded under pre-optimized conditions in a 3D printing machine. The printed specimens were then characterized using the same </w:t>
      </w:r>
      <w:r w:rsidR="005206AE">
        <w:rPr>
          <w:rFonts w:cs="Arial"/>
          <w:szCs w:val="18"/>
        </w:rPr>
        <w:t>methods</w:t>
      </w:r>
      <w:r w:rsidRPr="00CC652E">
        <w:rPr>
          <w:rFonts w:cs="Arial"/>
          <w:szCs w:val="18"/>
        </w:rPr>
        <w:t xml:space="preserve"> as the </w:t>
      </w:r>
      <w:r w:rsidR="005206AE">
        <w:rPr>
          <w:rFonts w:cs="Arial"/>
          <w:szCs w:val="18"/>
        </w:rPr>
        <w:t>raw</w:t>
      </w:r>
      <w:r w:rsidRPr="00CC652E">
        <w:rPr>
          <w:rFonts w:cs="Arial"/>
          <w:szCs w:val="18"/>
        </w:rPr>
        <w:t xml:space="preserve"> materials. </w:t>
      </w:r>
      <w:r w:rsidR="005206AE" w:rsidRPr="00CC652E">
        <w:rPr>
          <w:rFonts w:cs="Arial"/>
          <w:szCs w:val="18"/>
        </w:rPr>
        <w:t>Differences</w:t>
      </w:r>
      <w:r w:rsidRPr="00CC652E">
        <w:rPr>
          <w:rFonts w:cs="Arial"/>
          <w:szCs w:val="18"/>
        </w:rPr>
        <w:t xml:space="preserve"> in absorbance in correspondence of characteristic groups at typical wavenumbers for PLA polymer, as well as </w:t>
      </w:r>
      <w:r w:rsidR="005206AE" w:rsidRPr="00CC652E">
        <w:rPr>
          <w:rFonts w:cs="Arial"/>
          <w:szCs w:val="18"/>
        </w:rPr>
        <w:t>variations</w:t>
      </w:r>
      <w:r w:rsidRPr="00CC652E">
        <w:rPr>
          <w:rFonts w:cs="Arial"/>
          <w:szCs w:val="18"/>
        </w:rPr>
        <w:t xml:space="preserve"> in complex viscosity as a function of time, were regarded as useful aspects for determining structural </w:t>
      </w:r>
      <w:r w:rsidR="005206AE" w:rsidRPr="00CC652E">
        <w:rPr>
          <w:rFonts w:cs="Arial"/>
          <w:szCs w:val="18"/>
        </w:rPr>
        <w:t>alterations</w:t>
      </w:r>
      <w:r w:rsidRPr="00CC652E">
        <w:rPr>
          <w:rFonts w:cs="Arial"/>
          <w:szCs w:val="18"/>
        </w:rPr>
        <w:t xml:space="preserve"> of the polymer macromolecules during the printing process.</w:t>
      </w:r>
    </w:p>
    <w:p w14:paraId="63F079B6" w14:textId="77777777" w:rsidR="001E4D4B" w:rsidRPr="001A0B81" w:rsidRDefault="001E4D4B" w:rsidP="001E4D4B">
      <w:pPr>
        <w:pStyle w:val="CETHeading1"/>
        <w:rPr>
          <w:lang w:val="en-GB"/>
        </w:rPr>
      </w:pPr>
      <w:r>
        <w:rPr>
          <w:lang w:val="en-GB"/>
        </w:rPr>
        <w:t>Materials and methods</w:t>
      </w:r>
    </w:p>
    <w:p w14:paraId="1B7A2DD6" w14:textId="536AE9AA" w:rsidR="001E4D4B" w:rsidRPr="006E1524" w:rsidRDefault="006E1524" w:rsidP="006E1524">
      <w:pPr>
        <w:pStyle w:val="CETheadingx"/>
      </w:pPr>
      <w:r>
        <w:t xml:space="preserve">2.1 </w:t>
      </w:r>
      <w:r w:rsidR="001E4D4B" w:rsidRPr="006E1524">
        <w:t>Materials</w:t>
      </w:r>
    </w:p>
    <w:p w14:paraId="431312D6" w14:textId="758B8CCD" w:rsidR="006E1524" w:rsidRPr="00851E5A" w:rsidRDefault="001E4D4B" w:rsidP="00851E5A">
      <w:pPr>
        <w:pStyle w:val="CETBodytext"/>
      </w:pPr>
      <w:r w:rsidRPr="00851E5A">
        <w:t xml:space="preserve">Three commercially available filaments provided by </w:t>
      </w:r>
      <w:proofErr w:type="spellStart"/>
      <w:r w:rsidRPr="00851E5A">
        <w:t>Eumakers</w:t>
      </w:r>
      <w:proofErr w:type="spellEnd"/>
      <w:r w:rsidRPr="00851E5A">
        <w:t xml:space="preserve"> (Barletta, Italy) were used in this investigation. The first (PLA-1) is made of virgin polylactide acid pellets (codified as </w:t>
      </w:r>
      <w:proofErr w:type="spellStart"/>
      <w:r w:rsidRPr="00851E5A">
        <w:t>IngeoTM</w:t>
      </w:r>
      <w:proofErr w:type="spellEnd"/>
      <w:r w:rsidRPr="00851E5A">
        <w:t xml:space="preserve"> Biopolymer 4032D by </w:t>
      </w:r>
      <w:proofErr w:type="spellStart"/>
      <w:r w:rsidRPr="00851E5A">
        <w:t>Natureworks</w:t>
      </w:r>
      <w:proofErr w:type="spellEnd"/>
      <w:r w:rsidRPr="00851E5A">
        <w:t xml:space="preserve">, USA). The second (PLA-2) </w:t>
      </w:r>
      <w:r w:rsidR="00CC652E" w:rsidRPr="00851E5A">
        <w:t xml:space="preserve">is made from waste </w:t>
      </w:r>
      <w:r w:rsidR="00F67013">
        <w:t>of</w:t>
      </w:r>
      <w:r w:rsidR="00CC652E" w:rsidRPr="00851E5A">
        <w:t xml:space="preserve"> PLA-1 filament manufacturing process. </w:t>
      </w:r>
      <w:r w:rsidRPr="00851E5A">
        <w:t xml:space="preserve">The third (PLA-3) is </w:t>
      </w:r>
      <w:r w:rsidR="00CC652E" w:rsidRPr="00851E5A">
        <w:t>a combination</w:t>
      </w:r>
      <w:r w:rsidRPr="00851E5A">
        <w:t xml:space="preserve"> of Fir wood fibers and PLA polymer. </w:t>
      </w:r>
    </w:p>
    <w:p w14:paraId="794435EF" w14:textId="6C0E9ABC" w:rsidR="001E4D4B" w:rsidRPr="006E1524" w:rsidRDefault="006E1524" w:rsidP="006E1524">
      <w:pPr>
        <w:pStyle w:val="CETheadingx"/>
      </w:pPr>
      <w:r w:rsidRPr="006E1524">
        <w:t xml:space="preserve">2.2 </w:t>
      </w:r>
      <w:r w:rsidR="001E4D4B" w:rsidRPr="006E1524">
        <w:t>Sample Preparation</w:t>
      </w:r>
    </w:p>
    <w:p w14:paraId="48D60FB4" w14:textId="59B641B6" w:rsidR="001E4D4B" w:rsidRPr="006E1524" w:rsidRDefault="00CC652E" w:rsidP="00851E5A">
      <w:pPr>
        <w:pStyle w:val="CETBodytext"/>
      </w:pPr>
      <w:r w:rsidRPr="00CC652E">
        <w:t>The</w:t>
      </w:r>
      <w:r w:rsidR="00821BC2" w:rsidRPr="00CC652E">
        <w:t xml:space="preserve"> conditions</w:t>
      </w:r>
      <w:r w:rsidR="00821BC2">
        <w:t xml:space="preserve"> for the</w:t>
      </w:r>
      <w:r w:rsidRPr="00CC652E">
        <w:t xml:space="preserve"> </w:t>
      </w:r>
      <w:r w:rsidR="00821BC2">
        <w:t xml:space="preserve">filaments’ </w:t>
      </w:r>
      <w:r w:rsidRPr="00CC652E">
        <w:t xml:space="preserve">extrusion were carefully considered </w:t>
      </w:r>
      <w:r>
        <w:t>to ensure</w:t>
      </w:r>
      <w:r w:rsidRPr="00CC652E">
        <w:t xml:space="preserve"> the highest printing quality of 3D printed parts</w:t>
      </w:r>
      <w:r>
        <w:t xml:space="preserve"> (pre-optimized according to our previous works)</w:t>
      </w:r>
      <w:r w:rsidR="001E4D4B" w:rsidRPr="006E1524">
        <w:t xml:space="preserve">. A printing device made by </w:t>
      </w:r>
      <w:proofErr w:type="spellStart"/>
      <w:r w:rsidR="001E4D4B" w:rsidRPr="006E1524">
        <w:t>Zortax</w:t>
      </w:r>
      <w:proofErr w:type="spellEnd"/>
      <w:r w:rsidR="001E4D4B" w:rsidRPr="006E1524">
        <w:t xml:space="preserve"> (Olsztyn, Poland) was utilized for all the materials. The extruder temperature </w:t>
      </w:r>
      <w:r>
        <w:t>was</w:t>
      </w:r>
      <w:r w:rsidR="001E4D4B" w:rsidRPr="006E1524">
        <w:t xml:space="preserve"> set at 210°C, the platform temperature </w:t>
      </w:r>
      <w:r>
        <w:t>was</w:t>
      </w:r>
      <w:r w:rsidRPr="006E1524">
        <w:t xml:space="preserve"> set </w:t>
      </w:r>
      <w:r w:rsidR="001E4D4B" w:rsidRPr="006E1524">
        <w:t xml:space="preserve">at </w:t>
      </w:r>
      <w:r w:rsidR="001E4D4B" w:rsidRPr="002012F4">
        <w:rPr>
          <w:color w:val="FF0000"/>
        </w:rPr>
        <w:t>70</w:t>
      </w:r>
      <w:r w:rsidR="002012F4" w:rsidRPr="002012F4">
        <w:rPr>
          <w:color w:val="FF0000"/>
        </w:rPr>
        <w:t xml:space="preserve"> </w:t>
      </w:r>
      <w:r w:rsidR="001E4D4B" w:rsidRPr="002012F4">
        <w:rPr>
          <w:color w:val="FF0000"/>
        </w:rPr>
        <w:t>°C</w:t>
      </w:r>
      <w:r w:rsidR="001E4D4B" w:rsidRPr="006E1524">
        <w:t xml:space="preserve">, and the number of top surface layers </w:t>
      </w:r>
      <w:r>
        <w:t>was</w:t>
      </w:r>
      <w:r w:rsidRPr="006E1524">
        <w:t xml:space="preserve"> set </w:t>
      </w:r>
      <w:r w:rsidR="001E4D4B" w:rsidRPr="006E1524">
        <w:t xml:space="preserve">at 6. Then, the printing speed was left to the default value while the retraction speed was established of 27 and 20 mm/s for neat PLA polymers and wood composite, respectively. The layer thickness was </w:t>
      </w:r>
      <w:r w:rsidR="00821BC2">
        <w:t xml:space="preserve">fixed </w:t>
      </w:r>
      <w:r w:rsidR="001E4D4B" w:rsidRPr="006E1524">
        <w:t xml:space="preserve">equal to 0.09 mm for the unfilled polymers, and equal to 0.19 mm for the wood filled resin. Before the processing and testing, all materials were dried in </w:t>
      </w:r>
      <w:r w:rsidR="00B728D1" w:rsidRPr="006E1524">
        <w:t>an</w:t>
      </w:r>
      <w:r w:rsidR="001E4D4B" w:rsidRPr="006E1524">
        <w:t xml:space="preserve"> oven at </w:t>
      </w:r>
      <w:r w:rsidR="001E4D4B" w:rsidRPr="002012F4">
        <w:rPr>
          <w:color w:val="FF0000"/>
        </w:rPr>
        <w:t>70</w:t>
      </w:r>
      <w:r w:rsidR="002012F4" w:rsidRPr="002012F4">
        <w:rPr>
          <w:color w:val="FF0000"/>
        </w:rPr>
        <w:t xml:space="preserve"> </w:t>
      </w:r>
      <w:r w:rsidR="001E4D4B" w:rsidRPr="002012F4">
        <w:rPr>
          <w:color w:val="FF0000"/>
        </w:rPr>
        <w:t xml:space="preserve">°C </w:t>
      </w:r>
      <w:r w:rsidR="001E4D4B" w:rsidRPr="006E1524">
        <w:t xml:space="preserve">for 7 hours. For the rheological investigations, disc-shaped specimens </w:t>
      </w:r>
      <w:r w:rsidR="00B728D1">
        <w:t>measuring</w:t>
      </w:r>
      <w:r w:rsidR="001E4D4B" w:rsidRPr="006E1524">
        <w:t xml:space="preserve"> 25 mm in diameter and 2 mm in thickness </w:t>
      </w:r>
      <w:r w:rsidR="00B728D1">
        <w:t>were</w:t>
      </w:r>
      <w:r w:rsidR="001E4D4B" w:rsidRPr="006E1524">
        <w:t xml:space="preserve"> produced.</w:t>
      </w:r>
    </w:p>
    <w:p w14:paraId="57254C39" w14:textId="6E06C9B8" w:rsidR="001E4D4B" w:rsidRDefault="001E4D4B" w:rsidP="00704197">
      <w:pPr>
        <w:pStyle w:val="CETheadingx"/>
        <w:numPr>
          <w:ilvl w:val="2"/>
          <w:numId w:val="23"/>
        </w:numPr>
      </w:pPr>
      <w:r>
        <w:t>Characterization techniques</w:t>
      </w:r>
    </w:p>
    <w:p w14:paraId="58050135" w14:textId="4655DA04" w:rsidR="00704197" w:rsidRDefault="00930CF2" w:rsidP="00704197">
      <w:pPr>
        <w:pStyle w:val="CETBodytext"/>
      </w:pPr>
      <w:r w:rsidRPr="00930CF2">
        <w:t xml:space="preserve">Fourier transform infrared (FTIR) spectroscopy was used to characterize the molecular structure of polymers and identify conformational </w:t>
      </w:r>
      <w:r w:rsidR="00821BC2">
        <w:t>differences</w:t>
      </w:r>
      <w:r w:rsidRPr="00930CF2">
        <w:t xml:space="preserve"> that could be attributed to the degradation process. This analysis was carried out in attenuated total reflectance (ATR) mode with a Perkin Elmer spectrometer (model Spectrum 65 FT IR) (USA)</w:t>
      </w:r>
      <w:r w:rsidR="001E4D4B">
        <w:t>. Samples were put in contact with a diamond crystal (</w:t>
      </w:r>
      <w:r w:rsidR="001E4D4B" w:rsidRPr="00231B18">
        <w:t>high refractive index and excellent IR transmitting properties</w:t>
      </w:r>
      <w:r w:rsidR="001E4D4B">
        <w:t>). Measurements were performed in a wavelength number range between 650-4000 cm</w:t>
      </w:r>
      <w:r w:rsidR="001E4D4B" w:rsidRPr="006B6615">
        <w:rPr>
          <w:vertAlign w:val="superscript"/>
        </w:rPr>
        <w:t>-1</w:t>
      </w:r>
      <w:r w:rsidR="001E4D4B">
        <w:t xml:space="preserve"> at 16 scan per measurements. The </w:t>
      </w:r>
      <w:r w:rsidR="00704197">
        <w:t xml:space="preserve">camera </w:t>
      </w:r>
      <w:r w:rsidR="001E4D4B">
        <w:t xml:space="preserve">resolution was 4 </w:t>
      </w:r>
      <w:proofErr w:type="gramStart"/>
      <w:r w:rsidR="001E4D4B">
        <w:t>cm</w:t>
      </w:r>
      <w:r w:rsidR="001E4D4B" w:rsidRPr="006B6615">
        <w:rPr>
          <w:vertAlign w:val="superscript"/>
        </w:rPr>
        <w:t>-1</w:t>
      </w:r>
      <w:proofErr w:type="gramEnd"/>
      <w:r w:rsidR="001E4D4B">
        <w:t xml:space="preserve">. </w:t>
      </w:r>
      <w:r w:rsidR="001E4D4B" w:rsidRPr="00A5641F">
        <w:t>The peak at 1455 cm</w:t>
      </w:r>
      <w:r w:rsidR="001E4D4B" w:rsidRPr="00A5641F">
        <w:rPr>
          <w:vertAlign w:val="superscript"/>
        </w:rPr>
        <w:t>-1</w:t>
      </w:r>
      <w:r w:rsidR="001E4D4B" w:rsidRPr="00A5641F">
        <w:t xml:space="preserve"> </w:t>
      </w:r>
      <w:r w:rsidR="00704197" w:rsidRPr="00A5641F">
        <w:t>connected to the asymmetric bending of the methyl group</w:t>
      </w:r>
      <w:r w:rsidR="00704197">
        <w:t>, was</w:t>
      </w:r>
      <w:r w:rsidR="001E4D4B" w:rsidRPr="00A5641F">
        <w:t xml:space="preserve"> frequently </w:t>
      </w:r>
      <w:r w:rsidR="00821BC2">
        <w:t>considered</w:t>
      </w:r>
      <w:r w:rsidR="001E4D4B" w:rsidRPr="00A5641F">
        <w:t xml:space="preserve"> as an internal standard for PLA polymers</w:t>
      </w:r>
      <w:r w:rsidR="00704197">
        <w:t xml:space="preserve">. This peak </w:t>
      </w:r>
      <w:r w:rsidR="001E4D4B" w:rsidRPr="00A5641F">
        <w:t>was used to normalize each curve</w:t>
      </w:r>
      <w:r w:rsidR="001E4D4B">
        <w:t>.</w:t>
      </w:r>
    </w:p>
    <w:p w14:paraId="0F60103C" w14:textId="61E20CAD" w:rsidR="00851E5A" w:rsidRPr="00704197" w:rsidRDefault="00704197" w:rsidP="00704197">
      <w:pPr>
        <w:pStyle w:val="CETBodytext"/>
      </w:pPr>
      <w:r w:rsidRPr="00704197">
        <w:t xml:space="preserve">The time-sweep rheometric test was </w:t>
      </w:r>
      <w:r w:rsidR="00821BC2" w:rsidRPr="00704197">
        <w:t>employed</w:t>
      </w:r>
      <w:r w:rsidRPr="00704197">
        <w:t xml:space="preserve"> to assess the </w:t>
      </w:r>
      <w:r w:rsidR="00821BC2">
        <w:t>physical</w:t>
      </w:r>
      <w:r w:rsidRPr="00704197">
        <w:t xml:space="preserve"> changes that occurred in the polymer over time. This analysis was carried out for 900 seconds at 210°C in a rotational rheometer (TA Instruments, USA) in a plate-plate configuration (D = 25 mm, gap = 1 mm) at a frequency of 1 rad/s. During testing, a nitrogen atmosphere was imposed to prevent oxidative effects in the thermally induced decomposition of samples.</w:t>
      </w:r>
    </w:p>
    <w:p w14:paraId="573FC2F9" w14:textId="562F621B" w:rsidR="001E4D4B" w:rsidRDefault="001E4D4B" w:rsidP="001E4D4B">
      <w:pPr>
        <w:pStyle w:val="CETHeading1"/>
      </w:pPr>
      <w:r>
        <w:lastRenderedPageBreak/>
        <w:t>Experimental Results</w:t>
      </w:r>
    </w:p>
    <w:p w14:paraId="4427AF63" w14:textId="2AF4CCA7" w:rsidR="001E4D4B" w:rsidRDefault="006E1524" w:rsidP="006E1524">
      <w:pPr>
        <w:pStyle w:val="CETheadingx"/>
      </w:pPr>
      <w:r>
        <w:t xml:space="preserve">3.1 </w:t>
      </w:r>
      <w:r w:rsidR="001E4D4B">
        <w:t>Rheological measurements</w:t>
      </w:r>
    </w:p>
    <w:p w14:paraId="6C02DDE9" w14:textId="4CBC0328" w:rsidR="00DC730E" w:rsidRDefault="00ED732D" w:rsidP="00DC730E">
      <w:pPr>
        <w:pStyle w:val="CETBodytext"/>
      </w:pPr>
      <w:r w:rsidRPr="00ED732D">
        <w:t xml:space="preserve">The storage (G') and loss moduli (G") in Pa, as well as the complex viscosity </w:t>
      </w:r>
      <w:r>
        <w:rPr>
          <w:lang w:val="en-GB"/>
        </w:rPr>
        <w:t>(</w:t>
      </w:r>
      <w:r>
        <w:rPr>
          <w:rFonts w:cs="Arial"/>
          <w:lang w:val="en-GB"/>
        </w:rPr>
        <w:t>η</w:t>
      </w:r>
      <w:r>
        <w:rPr>
          <w:lang w:val="en-GB"/>
        </w:rPr>
        <w:t>*)</w:t>
      </w:r>
      <w:r w:rsidRPr="00ED732D">
        <w:t xml:space="preserve"> in Pa*s, were measured at </w:t>
      </w:r>
      <w:r w:rsidRPr="002012F4">
        <w:rPr>
          <w:color w:val="FF0000"/>
        </w:rPr>
        <w:t>210</w:t>
      </w:r>
      <w:r w:rsidR="002012F4" w:rsidRPr="002012F4">
        <w:rPr>
          <w:color w:val="FF0000"/>
        </w:rPr>
        <w:t xml:space="preserve"> </w:t>
      </w:r>
      <w:r w:rsidRPr="002012F4">
        <w:rPr>
          <w:color w:val="FF0000"/>
        </w:rPr>
        <w:t>°</w:t>
      </w:r>
      <w:proofErr w:type="spellStart"/>
      <w:r w:rsidRPr="002012F4">
        <w:rPr>
          <w:color w:val="FF0000"/>
        </w:rPr>
        <w:t xml:space="preserve">C </w:t>
      </w:r>
      <w:r w:rsidRPr="00ED732D">
        <w:t>over</w:t>
      </w:r>
      <w:proofErr w:type="spellEnd"/>
      <w:r w:rsidRPr="00ED732D">
        <w:t xml:space="preserve"> 900 s during time sweep experiments of neat and extruded materials</w:t>
      </w:r>
      <w:r w:rsidR="009638B2">
        <w:t xml:space="preserve">. Figure </w:t>
      </w:r>
      <w:r w:rsidR="00C13C7C">
        <w:t>1</w:t>
      </w:r>
      <w:r w:rsidR="009638B2">
        <w:t xml:space="preserve"> depicts a </w:t>
      </w:r>
      <w:r w:rsidR="00C931B4">
        <w:t xml:space="preserve">data </w:t>
      </w:r>
      <w:r w:rsidR="009638B2">
        <w:t>summary.</w:t>
      </w:r>
    </w:p>
    <w:p w14:paraId="681A5396" w14:textId="7DBEB711" w:rsidR="009638B2" w:rsidRDefault="00DC730E" w:rsidP="009638B2">
      <w:pPr>
        <w:pStyle w:val="CETBodytext"/>
        <w:jc w:val="left"/>
        <w:rPr>
          <w:i/>
          <w:iCs/>
        </w:rPr>
      </w:pPr>
      <w:r>
        <w:rPr>
          <w:noProof/>
        </w:rPr>
        <w:drawing>
          <wp:inline distT="0" distB="0" distL="0" distR="0" wp14:anchorId="2538AA33" wp14:editId="5844CF57">
            <wp:extent cx="5579745" cy="3055544"/>
            <wp:effectExtent l="0" t="0" r="190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8762"/>
                    <a:stretch/>
                  </pic:blipFill>
                  <pic:spPr bwMode="auto">
                    <a:xfrm>
                      <a:off x="0" y="0"/>
                      <a:ext cx="5579745" cy="3055544"/>
                    </a:xfrm>
                    <a:prstGeom prst="rect">
                      <a:avLst/>
                    </a:prstGeom>
                    <a:noFill/>
                    <a:ln>
                      <a:noFill/>
                    </a:ln>
                    <a:extLst>
                      <a:ext uri="{53640926-AAD7-44D8-BBD7-CCE9431645EC}">
                        <a14:shadowObscured xmlns:a14="http://schemas.microsoft.com/office/drawing/2010/main"/>
                      </a:ext>
                    </a:extLst>
                  </pic:spPr>
                </pic:pic>
              </a:graphicData>
            </a:graphic>
          </wp:inline>
        </w:drawing>
      </w:r>
    </w:p>
    <w:p w14:paraId="55059D0C" w14:textId="0B345A85" w:rsidR="009638B2" w:rsidRDefault="009638B2" w:rsidP="009638B2">
      <w:pPr>
        <w:pStyle w:val="CETBodytext"/>
        <w:jc w:val="left"/>
        <w:rPr>
          <w:noProof/>
        </w:rPr>
      </w:pPr>
      <w:r>
        <w:rPr>
          <w:i/>
          <w:iCs/>
        </w:rPr>
        <w:t xml:space="preserve">Figure </w:t>
      </w:r>
      <w:r w:rsidR="00C13C7C">
        <w:rPr>
          <w:i/>
          <w:iCs/>
        </w:rPr>
        <w:t>1</w:t>
      </w:r>
      <w:r>
        <w:rPr>
          <w:i/>
          <w:iCs/>
        </w:rPr>
        <w:t xml:space="preserve">. Storage modulus (G’), </w:t>
      </w:r>
      <w:r w:rsidR="000B7653">
        <w:rPr>
          <w:i/>
          <w:iCs/>
        </w:rPr>
        <w:t>l</w:t>
      </w:r>
      <w:r>
        <w:rPr>
          <w:i/>
          <w:iCs/>
        </w:rPr>
        <w:t xml:space="preserve">oss modulus (G’’), </w:t>
      </w:r>
      <w:r w:rsidR="000B7653">
        <w:rPr>
          <w:i/>
          <w:iCs/>
        </w:rPr>
        <w:t>and c</w:t>
      </w:r>
      <w:r>
        <w:rPr>
          <w:i/>
          <w:iCs/>
        </w:rPr>
        <w:t>omplex viscosity (</w:t>
      </w:r>
      <w:r>
        <w:rPr>
          <w:rFonts w:cs="Arial"/>
          <w:i/>
          <w:iCs/>
        </w:rPr>
        <w:t>η</w:t>
      </w:r>
      <w:r>
        <w:rPr>
          <w:i/>
          <w:iCs/>
        </w:rPr>
        <w:t>*) at 210°C as function of time (s) for neat and printed materials.</w:t>
      </w:r>
    </w:p>
    <w:p w14:paraId="5366C35A" w14:textId="77777777" w:rsidR="009638B2" w:rsidRDefault="009638B2" w:rsidP="009638B2">
      <w:pPr>
        <w:pStyle w:val="CETBodytext"/>
        <w:rPr>
          <w:lang w:val="en-GB"/>
        </w:rPr>
      </w:pPr>
    </w:p>
    <w:p w14:paraId="2861466A" w14:textId="55F311BD" w:rsidR="009638B2" w:rsidRDefault="000B7653" w:rsidP="009638B2">
      <w:pPr>
        <w:pStyle w:val="CETBodytext"/>
        <w:rPr>
          <w:lang w:val="en-GB"/>
        </w:rPr>
      </w:pPr>
      <w:r w:rsidRPr="000B7653">
        <w:rPr>
          <w:lang w:val="en-GB"/>
        </w:rPr>
        <w:t xml:space="preserve">The loss modulus was always greater than the storage modulus in all cases, and the flow </w:t>
      </w:r>
      <w:proofErr w:type="spellStart"/>
      <w:r w:rsidRPr="000B7653">
        <w:rPr>
          <w:lang w:val="en-GB"/>
        </w:rPr>
        <w:t>behavior</w:t>
      </w:r>
      <w:proofErr w:type="spellEnd"/>
      <w:r w:rsidRPr="000B7653">
        <w:rPr>
          <w:lang w:val="en-GB"/>
        </w:rPr>
        <w:t xml:space="preserve"> was dominated by the viscous component ("liquid-like structure"). The moduli </w:t>
      </w:r>
      <w:r w:rsidR="00B3174B">
        <w:rPr>
          <w:lang w:val="en-GB"/>
        </w:rPr>
        <w:t>and complex viscosity f</w:t>
      </w:r>
      <w:r w:rsidRPr="000B7653">
        <w:rPr>
          <w:lang w:val="en-GB"/>
        </w:rPr>
        <w:t xml:space="preserve">or the </w:t>
      </w:r>
      <w:r>
        <w:rPr>
          <w:lang w:val="en-GB"/>
        </w:rPr>
        <w:t>unprocessed</w:t>
      </w:r>
      <w:r w:rsidRPr="000B7653">
        <w:rPr>
          <w:lang w:val="en-GB"/>
        </w:rPr>
        <w:t xml:space="preserve"> PLA-1 and PLA-2 remained nearly constant up to 900 sec</w:t>
      </w:r>
      <w:r w:rsidR="00F347DC">
        <w:rPr>
          <w:lang w:val="en-GB"/>
        </w:rPr>
        <w:t xml:space="preserve"> by confirming a good thermal stability of the pristine materials</w:t>
      </w:r>
      <w:r w:rsidRPr="000B7653">
        <w:rPr>
          <w:lang w:val="en-GB"/>
        </w:rPr>
        <w:t>.</w:t>
      </w:r>
      <w:r>
        <w:rPr>
          <w:lang w:val="en-GB"/>
        </w:rPr>
        <w:t xml:space="preserve"> </w:t>
      </w:r>
      <w:r w:rsidR="00B3174B" w:rsidRPr="00B3174B">
        <w:rPr>
          <w:lang w:val="en-GB"/>
        </w:rPr>
        <w:t xml:space="preserve">When these systems were printed, however, the initial values (at zero time) of </w:t>
      </w:r>
      <w:r w:rsidR="00B3174B">
        <w:rPr>
          <w:lang w:val="en-GB"/>
        </w:rPr>
        <w:t>all the rheological</w:t>
      </w:r>
      <w:r w:rsidR="00B3174B" w:rsidRPr="00B3174B">
        <w:rPr>
          <w:lang w:val="en-GB"/>
        </w:rPr>
        <w:t xml:space="preserve"> </w:t>
      </w:r>
      <w:r w:rsidR="00B3174B">
        <w:rPr>
          <w:lang w:val="en-GB"/>
        </w:rPr>
        <w:t xml:space="preserve">signals </w:t>
      </w:r>
      <w:r w:rsidR="00B3174B" w:rsidRPr="00B3174B">
        <w:rPr>
          <w:lang w:val="en-GB"/>
        </w:rPr>
        <w:t>were significantly reduced, and after about 100 seconds, entered a decreasing phase.</w:t>
      </w:r>
      <w:r w:rsidR="00B3174B">
        <w:rPr>
          <w:lang w:val="en-GB"/>
        </w:rPr>
        <w:t xml:space="preserve"> </w:t>
      </w:r>
      <w:r w:rsidR="00C62225">
        <w:rPr>
          <w:lang w:val="en-GB"/>
        </w:rPr>
        <w:t xml:space="preserve">This </w:t>
      </w:r>
      <w:r w:rsidR="00DC730E">
        <w:rPr>
          <w:lang w:val="en-GB"/>
        </w:rPr>
        <w:t>trend</w:t>
      </w:r>
      <w:r w:rsidR="00B3174B">
        <w:rPr>
          <w:lang w:val="en-GB"/>
        </w:rPr>
        <w:t xml:space="preserve"> </w:t>
      </w:r>
      <w:r w:rsidR="00C62225">
        <w:rPr>
          <w:lang w:val="en-GB"/>
        </w:rPr>
        <w:t>was ascribed to</w:t>
      </w:r>
      <w:r w:rsidR="00B3174B">
        <w:rPr>
          <w:lang w:val="en-GB"/>
        </w:rPr>
        <w:t xml:space="preserve"> degradation mechanisms that took place at high temperature of </w:t>
      </w:r>
      <w:r w:rsidR="00B3174B" w:rsidRPr="002012F4">
        <w:rPr>
          <w:color w:val="FF0000"/>
          <w:lang w:val="en-GB"/>
        </w:rPr>
        <w:t>210</w:t>
      </w:r>
      <w:r w:rsidR="002012F4" w:rsidRPr="002012F4">
        <w:rPr>
          <w:color w:val="FF0000"/>
          <w:lang w:val="en-GB"/>
        </w:rPr>
        <w:t xml:space="preserve"> </w:t>
      </w:r>
      <w:r w:rsidR="00B3174B" w:rsidRPr="002012F4">
        <w:rPr>
          <w:color w:val="FF0000"/>
          <w:lang w:val="en-GB"/>
        </w:rPr>
        <w:t>°C</w:t>
      </w:r>
      <w:r w:rsidR="00F22A9B">
        <w:rPr>
          <w:lang w:val="en-GB"/>
        </w:rPr>
        <w:t>.</w:t>
      </w:r>
    </w:p>
    <w:p w14:paraId="36D70782" w14:textId="0AAACFD0" w:rsidR="009638B2" w:rsidRDefault="009638B2" w:rsidP="009638B2">
      <w:pPr>
        <w:pStyle w:val="CETBodytext"/>
        <w:rPr>
          <w:lang w:val="en-GB"/>
        </w:rPr>
      </w:pPr>
      <w:r>
        <w:rPr>
          <w:lang w:val="en-GB"/>
        </w:rPr>
        <w:t xml:space="preserve">In the case of wood-based composite, </w:t>
      </w:r>
      <w:r w:rsidR="00F22A9B">
        <w:rPr>
          <w:lang w:val="en-GB"/>
        </w:rPr>
        <w:t>t</w:t>
      </w:r>
      <w:r w:rsidR="00F22A9B" w:rsidRPr="00F22A9B">
        <w:rPr>
          <w:lang w:val="en-GB"/>
        </w:rPr>
        <w:t>he values of G' and G" for PLA-3 and printed PLA-3 show</w:t>
      </w:r>
      <w:r w:rsidR="00293001">
        <w:rPr>
          <w:lang w:val="en-GB"/>
        </w:rPr>
        <w:t>ed</w:t>
      </w:r>
      <w:r w:rsidR="00F22A9B" w:rsidRPr="00F22A9B">
        <w:rPr>
          <w:lang w:val="en-GB"/>
        </w:rPr>
        <w:t xml:space="preserve"> very small differences, with qualitatively very similar trends as a function of time.</w:t>
      </w:r>
      <w:r w:rsidR="00F22A9B">
        <w:rPr>
          <w:lang w:val="en-GB"/>
        </w:rPr>
        <w:t xml:space="preserve"> A</w:t>
      </w:r>
      <w:r w:rsidR="00F22A9B" w:rsidRPr="00F22A9B">
        <w:rPr>
          <w:lang w:val="en-GB"/>
        </w:rPr>
        <w:t>lthough the complex viscosity of extruded specimens was always lower than that of the basic material, no variation in this parameter was observed over time, remaining around a constant value of</w:t>
      </w:r>
      <w:r w:rsidR="00F22A9B">
        <w:rPr>
          <w:lang w:val="en-GB"/>
        </w:rPr>
        <w:t xml:space="preserve"> </w:t>
      </w:r>
      <w:r>
        <w:rPr>
          <w:lang w:val="en-GB"/>
        </w:rPr>
        <w:t>1.2x10</w:t>
      </w:r>
      <w:r>
        <w:rPr>
          <w:vertAlign w:val="superscript"/>
          <w:lang w:val="en-GB"/>
        </w:rPr>
        <w:t>3</w:t>
      </w:r>
      <w:r>
        <w:rPr>
          <w:lang w:val="en-GB"/>
        </w:rPr>
        <w:t xml:space="preserve"> Pa*s</w:t>
      </w:r>
      <w:r w:rsidR="0023682C">
        <w:rPr>
          <w:lang w:val="en-GB"/>
        </w:rPr>
        <w:t>.</w:t>
      </w:r>
      <w:r w:rsidR="00F22A9B">
        <w:rPr>
          <w:lang w:val="en-GB"/>
        </w:rPr>
        <w:t xml:space="preserve"> </w:t>
      </w:r>
      <w:r w:rsidR="00F22A9B" w:rsidRPr="00F22A9B">
        <w:rPr>
          <w:lang w:val="en-GB"/>
        </w:rPr>
        <w:t xml:space="preserve">This </w:t>
      </w:r>
      <w:r w:rsidR="00DC730E">
        <w:rPr>
          <w:lang w:val="en-GB"/>
        </w:rPr>
        <w:t>attitude</w:t>
      </w:r>
      <w:r w:rsidR="00F22A9B" w:rsidRPr="00F22A9B">
        <w:rPr>
          <w:lang w:val="en-GB"/>
        </w:rPr>
        <w:t xml:space="preserve"> </w:t>
      </w:r>
      <w:r w:rsidR="00F22A9B">
        <w:rPr>
          <w:lang w:val="en-GB"/>
        </w:rPr>
        <w:t>was r</w:t>
      </w:r>
      <w:r w:rsidR="00F22A9B" w:rsidRPr="00F22A9B">
        <w:rPr>
          <w:lang w:val="en-GB"/>
        </w:rPr>
        <w:t>egarded as a sign of good thermal stability of wood/PLA composites</w:t>
      </w:r>
      <w:r w:rsidR="00F22A9B">
        <w:rPr>
          <w:lang w:val="en-GB"/>
        </w:rPr>
        <w:t xml:space="preserve"> at 210 °</w:t>
      </w:r>
      <w:r w:rsidR="00DC730E">
        <w:rPr>
          <w:lang w:val="en-GB"/>
        </w:rPr>
        <w:t>C and</w:t>
      </w:r>
      <w:r w:rsidR="00F22A9B">
        <w:rPr>
          <w:lang w:val="en-GB"/>
        </w:rPr>
        <w:t xml:space="preserve"> </w:t>
      </w:r>
      <w:r w:rsidR="00F22A9B" w:rsidRPr="00F22A9B">
        <w:rPr>
          <w:lang w:val="en-GB"/>
        </w:rPr>
        <w:t>was attributed to the formation of tortuous pathways within the polymer of dispersed fillers</w:t>
      </w:r>
      <w:r w:rsidR="00F22A9B">
        <w:rPr>
          <w:lang w:val="en-GB"/>
        </w:rPr>
        <w:t xml:space="preserve">. The wood particles </w:t>
      </w:r>
      <w:r w:rsidR="00F22A9B" w:rsidRPr="00F22A9B">
        <w:rPr>
          <w:lang w:val="en-GB"/>
        </w:rPr>
        <w:t>slowed the mass diffusion of degradation products from the polymer's bulk to the gas phase and protected against thermal decomposition</w:t>
      </w:r>
      <w:r w:rsidR="00F22A9B">
        <w:rPr>
          <w:lang w:val="en-GB"/>
        </w:rPr>
        <w:t xml:space="preserve"> </w:t>
      </w:r>
      <w:r>
        <w:rPr>
          <w:lang w:val="en-GB"/>
        </w:rPr>
        <w:fldChar w:fldCharType="begin" w:fldLock="1"/>
      </w:r>
      <w:r w:rsidR="00F1148C">
        <w:rPr>
          <w:lang w:val="en-GB"/>
        </w:rPr>
        <w:instrText>ADDIN CSL_CITATION {"citationItems":[{"id":"ITEM-1","itemData":{"DOI":"10.3390/POLYM13142226","abstract":"In this paper, we study the effect of the addition of wood flour as a filler in a recycled polyethylene (r-PE) in view of its potential applications in 3D printing. The composites, prepared by melt mixing, are characterized with torque measurements performed during the compounding, dynamic rotational rheology, and infrared spectroscopy. Data show that the introduction of wood results in increased viscosity and in sensible viscous heating during the compounding. The r-PE appear to be stable at temperatures up to 180 °C while at higher temperatures the material shows a rheological response characterized by time-increasing viscoelastic moduli that suggests a thermal degradation governed by crosslinking reactions. The compounds (with wood loading up to 50% in wt.) also shows thermal stability at temperatures up to 180 °C. The viscoelastic behavior and the infrared spectra of the r-PE matrix suggests the presence of branches in the macromolecular structure due to the process. Although the addition of wood particles determines increased viscoelastic moduli, a solid-like viscoelastic response is not shown even for the highest wood concentrations. This behavior, due to a poor compatibility and weak interfacial adhesion between the two phases, is however promising in view of common processing technologies as extrusion or injection molding.","author":[{"dropping-particle":"","family":"Patti","given":"Antonella","non-dropping-particle":"","parse-names":false,"suffix":""},{"dropping-particle":"","family":"Cicala","given":"Gianluca","non-dropping-particle":"","parse-names":false,"suffix":""},{"dropping-particle":"","family":"Acierno","given":"Stefano","non-dropping-particle":"","parse-names":false,"suffix":""}],"container-title":"Polymers","id":"ITEM-1","issue":"14","issued":{"date-parts":[["2021","7","6"]]},"page":"2226","publisher":"Multidisciplinary Digital Publishing Institute","title":"Rotational Rheology of Wood Flour Composites Based on Recycled Polyethylene","type":"article-journal","volume":"13"},"uris":["http://www.mendeley.com/documents/?uuid=c29a76dc-3709-3ad6-9d73-cb8ad599bd98"]}],"mendeley":{"formattedCitation":"(Patti et al., 2021)","plainTextFormattedCitation":"(Patti et al., 2021)","previouslyFormattedCitation":"(Patti et al., 2021)"},"properties":{"noteIndex":0},"schema":"https://github.com/citation-style-language/schema/raw/master/csl-citation.json"}</w:instrText>
      </w:r>
      <w:r>
        <w:rPr>
          <w:lang w:val="en-GB"/>
        </w:rPr>
        <w:fldChar w:fldCharType="separate"/>
      </w:r>
      <w:r>
        <w:rPr>
          <w:noProof/>
          <w:lang w:val="en-GB"/>
        </w:rPr>
        <w:t>(Patti et al., 2021)</w:t>
      </w:r>
      <w:r>
        <w:rPr>
          <w:lang w:val="en-GB"/>
        </w:rPr>
        <w:fldChar w:fldCharType="end"/>
      </w:r>
      <w:r>
        <w:rPr>
          <w:lang w:val="en-GB"/>
        </w:rPr>
        <w:t>.</w:t>
      </w:r>
    </w:p>
    <w:p w14:paraId="7247C623" w14:textId="345B712A" w:rsidR="009638B2" w:rsidRDefault="00293001" w:rsidP="009638B2">
      <w:pPr>
        <w:pStyle w:val="CETBodytext"/>
      </w:pPr>
      <w:r w:rsidRPr="00293001">
        <w:rPr>
          <w:lang w:val="en-GB"/>
        </w:rPr>
        <w:t>The decrease in viscosity of a polymeric material is usually attributed to a decrease in molecular weight caused by various mechanisms of polymer chain degradation. Intermolecular vibrations and macromolecule conformational changes increase as temperature rises.</w:t>
      </w:r>
      <w:r>
        <w:rPr>
          <w:lang w:val="en-GB"/>
        </w:rPr>
        <w:t xml:space="preserve"> </w:t>
      </w:r>
      <w:r w:rsidRPr="00293001">
        <w:t>When the chemical bonds are sufficiently stressed, homolytic dissociation occurs, resulting in fragments with radical end-groups (thermal degradation). When water is absorbed into the polymer, both species (polymer and water) can react, resulting in ester cleavage and the diffusion of low molecular-weight products out of the polymer, as well as the formation of new chain ends</w:t>
      </w:r>
      <w:r w:rsidR="009638B2">
        <w:t xml:space="preserve"> (hydrolytic degradation). </w:t>
      </w:r>
      <w:r w:rsidRPr="00293001">
        <w:t xml:space="preserve">When polymers are melted at high temperatures in an oxygen-depleted environment, the combined effects of temperature and mechanical stress can cause polymer macromolecules to degrade, resulting in chemical </w:t>
      </w:r>
      <w:r w:rsidR="00DC730E" w:rsidRPr="00293001">
        <w:t>alterations</w:t>
      </w:r>
      <w:r w:rsidRPr="00293001">
        <w:t xml:space="preserve"> </w:t>
      </w:r>
      <w:r w:rsidR="00DC730E">
        <w:t>of the</w:t>
      </w:r>
      <w:r w:rsidRPr="00293001">
        <w:t xml:space="preserve"> polymer structure (thermo-mechanical degradation). When exposed to air, a branched radical chain reaction can occur via hydrogen attack or homolytic scission of a carbon-carbon bond (oxidative degradation)</w:t>
      </w:r>
      <w:r>
        <w:t xml:space="preserve"> </w:t>
      </w:r>
      <w:r w:rsidR="00F1148C">
        <w:fldChar w:fldCharType="begin" w:fldLock="1"/>
      </w:r>
      <w:r w:rsidR="00D570EC">
        <w:instrText>ADDIN CSL_CITATION {"citationItems":[{"id":"ITEM-1","itemData":{"DOI":"10.1515/CTI-2020-0015/MACHINEREADABLECITATION/RIS","ISSN":"25693263","abstract":"The reader will find basic knowledge about the degradation of polymers, its causes, course and consequences in a broader context, as indicated through the list of the chapter titles: Introduction; Depolymerization; Initiated cleavage (degradation) of macromolecules; Thermal degradation; Photochemical degradation; Mechanochemical degradation; Oxidative degradation; Polymer burning; Kinetics of cleaving macromolecules when chain depolymerization is negligible; Degradation in polymer recycling; Protection of polymers against degradation.","author":[{"dropping-particle":"","family":"Vohlidal","given":"Jiri","non-dropping-particle":"","parse-names":false,"suffix":""}],"container-title":"Chemistry Teacher International","id":"ITEM-1","issue":"2","issued":{"date-parts":[["2021","6","1"]]},"page":"213-220","publisher":"Walter de Gruyter GmbH","title":"Polymer degradation: A short review","type":"article-journal","volume":"3"},"uris":["http://www.mendeley.com/documents/?uuid=ed952166-b56a-31bf-90e7-b80360bccf1f"]}],"mendeley":{"formattedCitation":"(Vohlidal, 2021)","plainTextFormattedCitation":"(Vohlidal, 2021)","previouslyFormattedCitation":"(Vohlidal, 2021)"},"properties":{"noteIndex":0},"schema":"https://github.com/citation-style-language/schema/raw/master/csl-citation.json"}</w:instrText>
      </w:r>
      <w:r w:rsidR="00F1148C">
        <w:fldChar w:fldCharType="separate"/>
      </w:r>
      <w:r w:rsidR="00F1148C" w:rsidRPr="00F1148C">
        <w:rPr>
          <w:noProof/>
        </w:rPr>
        <w:t>(Vohlidal, 2021)</w:t>
      </w:r>
      <w:r w:rsidR="00F1148C">
        <w:fldChar w:fldCharType="end"/>
      </w:r>
      <w:r w:rsidR="002012F4" w:rsidRPr="002012F4">
        <w:rPr>
          <w:color w:val="FF0000"/>
        </w:rPr>
        <w:t>.</w:t>
      </w:r>
    </w:p>
    <w:p w14:paraId="1CAAEA88" w14:textId="59122391" w:rsidR="001E4D4B" w:rsidRPr="008D3DC2" w:rsidRDefault="00D12372" w:rsidP="001E4D4B">
      <w:pPr>
        <w:pStyle w:val="CETBodytext"/>
      </w:pPr>
      <w:r>
        <w:t>I</w:t>
      </w:r>
      <w:r w:rsidRPr="00D12372">
        <w:t>n this case</w:t>
      </w:r>
      <w:r>
        <w:t xml:space="preserve">, </w:t>
      </w:r>
      <w:r w:rsidRPr="00D12372">
        <w:t>oxidative and hydrolytic degradation were ruled out</w:t>
      </w:r>
      <w:r>
        <w:t>. T</w:t>
      </w:r>
      <w:r w:rsidRPr="00D12372">
        <w:t xml:space="preserve">he amount of water in the filaments was deemed insignificant because each material had been thoroughly dried prior to the operation. Furthermore, the polymer was completely contained during the extrusion process, and the only point of contact with air occurred during feeding at the air-polymer interface </w:t>
      </w:r>
      <w:r w:rsidR="00D570EC">
        <w:fldChar w:fldCharType="begin" w:fldLock="1"/>
      </w:r>
      <w:r w:rsidR="00A24106">
        <w:instrText>ADDIN CSL_CITATION {"citationItems":[{"id":"ITEM-1","itemData":{"DOI":"10.1016/J.CRCI.2006.06.004","ISSN":"1631-0748","abstract":"This paper deals with the degradation processes occurring during polymer processing. Some general aspects of polymer processing are first recalled. Then, oxidation mechanisms and kinetics are evoked and the main processing methods are compared from this point of view. Temperature-molar mass maps allow to define a processability window and to envisage ways to widen this window. The final chapter is devoted to a case study: the PET processing, which is characterized by an especially complex combination of degradation processes. To cite this article: X. Colin and J. Verdu, C. R. Chimie 9 (2006). © 2006 Académie des sciences.","author":[{"dropping-particle":"","family":"Colin","given":"Xavier","non-dropping-particle":"","parse-names":false,"suffix":""},{"dropping-particle":"","family":"Verdu","given":"Jacques","non-dropping-particle":"","parse-names":false,"suffix":""}],"container-title":"Comptes Rendus Chimie","id":"ITEM-1","issue":"11-12","issued":{"date-parts":[["2006","11","1"]]},"page":"1380-1395","publisher":"No longer published by Elsevier","title":"Polymer degradation during processing","type":"article-journal","volume":"9"},"uris":["http://www.mendeley.com/documents/?uuid=38cc62d6-492b-3c57-a45a-af4167b7378f"]}],"mendeley":{"formattedCitation":"(Colin et al., 2006)","plainTextFormattedCitation":"(Colin et al., 2006)","previouslyFormattedCitation":"(Colin et al., 2006)"},"properties":{"noteIndex":0},"schema":"https://github.com/citation-style-language/schema/raw/master/csl-citation.json"}</w:instrText>
      </w:r>
      <w:r w:rsidR="00D570EC">
        <w:fldChar w:fldCharType="separate"/>
      </w:r>
      <w:r w:rsidR="00D570EC" w:rsidRPr="00D570EC">
        <w:rPr>
          <w:noProof/>
        </w:rPr>
        <w:t>(Colin et al., 2006)</w:t>
      </w:r>
      <w:r w:rsidR="00D570EC">
        <w:fldChar w:fldCharType="end"/>
      </w:r>
      <w:r w:rsidR="001E4D4B">
        <w:t xml:space="preserve">. </w:t>
      </w:r>
      <w:r w:rsidR="001E4D4B" w:rsidRPr="005134D2">
        <w:t>For these reasons, thermal</w:t>
      </w:r>
      <w:r w:rsidR="006E2C67">
        <w:t xml:space="preserve">-mechanical </w:t>
      </w:r>
      <w:r w:rsidR="001E4D4B" w:rsidRPr="005134D2">
        <w:lastRenderedPageBreak/>
        <w:t xml:space="preserve">degradation </w:t>
      </w:r>
      <w:r w:rsidR="006E2C67">
        <w:t>was</w:t>
      </w:r>
      <w:r w:rsidR="001E4D4B" w:rsidRPr="005134D2">
        <w:t xml:space="preserve"> considered the main </w:t>
      </w:r>
      <w:r w:rsidR="001E4D4B">
        <w:t>reason of</w:t>
      </w:r>
      <w:r w:rsidR="001E4D4B" w:rsidRPr="005134D2">
        <w:t xml:space="preserve"> the viscosity </w:t>
      </w:r>
      <w:r w:rsidR="00DC730E">
        <w:t>drop</w:t>
      </w:r>
      <w:r w:rsidR="001E4D4B">
        <w:t xml:space="preserve">. A kinetic model for the PLA degradation, induced by hydrolysis and heat, was proposed in </w:t>
      </w:r>
      <w:r w:rsidR="001E4D4B">
        <w:fldChar w:fldCharType="begin" w:fldLock="1"/>
      </w:r>
      <w:r w:rsidR="001E4D4B">
        <w:instrText>ADDIN CSL_CITATION {"citationItems":[{"id":"ITEM-1","itemData":{"DOI":"10.1016/J.POLYMDEGRADSTAB.2013.12.031","ISSN":"01413910","abstract":"Poly(Lactic Acid), PLA, is an extremely interesting polymer for industrial applications in which degradability is required. However, it presents considerable processing issues due to its sensitivity to stocking and processing conditions. In particular, the decrease of molecular weight at high temperature during processing in the molten state induces a reduction of viscosity. In this work the degradation of a commercial grade of PLA in the molten state was studied through the analysis of the rheological properties as a function of time and drying conditions. In particular, measurements of the complex viscosity were taken during time at a frequency of 1 rad/s in the temperature range at which the polymer is usually processed (from 180 C to 220 C) on samples stored at ambient humidity and on samples subjected to drying. A kinetic model of degradation of PLA which keeps into account the contribution of hydrolysis and thermal degradation was applied to the experimental data and the parameters of the model were obtained as a function of temperature for the commercial grade analysed. © 2013 Elsevier Ltd. All rights reserved.","author":[{"dropping-particle":"","family":"Speranza","given":"V.","non-dropping-particle":"","parse-names":false,"suffix":""},{"dropping-particle":"","family":"Meo","given":"A.","non-dropping-particle":"De","parse-names":false,"suffix":""},{"dropping-particle":"","family":"Pantani","given":"R.","non-dropping-particle":"","parse-names":false,"suffix":""}],"container-title":"Polymer Degradation and Stability","id":"ITEM-1","issue":"1","issued":{"date-parts":[["2014","2"]]},"page":"37-41","title":"Thermal and hydrolytic degradation kinetics of PLA in the molten state","type":"article-journal","volume":"100"},"uris":["http://www.mendeley.com/documents/?uuid=78e455e0-0e44-392a-9b90-3fb25727092a"]}],"mendeley":{"formattedCitation":"(Speranza et al., 2014)","plainTextFormattedCitation":"(Speranza et al., 2014)","previouslyFormattedCitation":"(Speranza et al., 2014)"},"properties":{"noteIndex":0},"schema":"https://github.com/citation-style-language/schema/raw/master/csl-citation.json"}</w:instrText>
      </w:r>
      <w:r w:rsidR="001E4D4B">
        <w:fldChar w:fldCharType="separate"/>
      </w:r>
      <w:r w:rsidR="001E4D4B" w:rsidRPr="003E3E71">
        <w:rPr>
          <w:noProof/>
        </w:rPr>
        <w:t>(Speranza et al., 2014)</w:t>
      </w:r>
      <w:r w:rsidR="001E4D4B">
        <w:fldChar w:fldCharType="end"/>
      </w:r>
      <w:r w:rsidR="001E4D4B">
        <w:t xml:space="preserve"> and </w:t>
      </w:r>
      <w:r>
        <w:t>used</w:t>
      </w:r>
      <w:r w:rsidR="001E4D4B">
        <w:t xml:space="preserve"> to describe experimental </w:t>
      </w:r>
      <w:r>
        <w:t>data</w:t>
      </w:r>
      <w:r w:rsidR="001E4D4B">
        <w:t xml:space="preserve">. The viscosity </w:t>
      </w:r>
      <w:r w:rsidR="00DC730E">
        <w:t xml:space="preserve">of dried and non-dried samples, under different testing temperatures, </w:t>
      </w:r>
      <w:r w:rsidR="001E4D4B">
        <w:t>w</w:t>
      </w:r>
      <w:r w:rsidR="00DC730E">
        <w:t xml:space="preserve">as </w:t>
      </w:r>
      <w:r>
        <w:t>measured using</w:t>
      </w:r>
      <w:r w:rsidR="001E4D4B">
        <w:t xml:space="preserve"> dynamic time sweep rheological tests. </w:t>
      </w:r>
      <w:r w:rsidR="001E4D4B">
        <w:rPr>
          <w:lang w:val="en-GB"/>
        </w:rPr>
        <w:t>The zero-shear viscosity (</w:t>
      </w:r>
      <w:r w:rsidR="001E4D4B">
        <w:rPr>
          <w:rFonts w:cs="Arial"/>
          <w:lang w:val="en-GB"/>
        </w:rPr>
        <w:t>η</w:t>
      </w:r>
      <w:r w:rsidR="001E4D4B">
        <w:rPr>
          <w:lang w:val="en-GB"/>
        </w:rPr>
        <w:t xml:space="preserve">) </w:t>
      </w:r>
      <w:r w:rsidR="00DC730E">
        <w:rPr>
          <w:lang w:val="en-GB"/>
        </w:rPr>
        <w:t>was</w:t>
      </w:r>
      <w:r w:rsidR="001E4D4B">
        <w:rPr>
          <w:lang w:val="en-GB"/>
        </w:rPr>
        <w:t xml:space="preserve"> correlated to the polymer molecular weight (Mw) through the Eq.1:</w:t>
      </w:r>
    </w:p>
    <w:p w14:paraId="63F41442" w14:textId="77777777" w:rsidR="001E4D4B" w:rsidRDefault="001E4D4B" w:rsidP="001E4D4B">
      <w:pPr>
        <w:pStyle w:val="CETEquation"/>
      </w:pPr>
      <m:oMath>
        <m:r>
          <m:rPr>
            <m:sty m:val="p"/>
          </m:rPr>
          <w:rPr>
            <w:rFonts w:ascii="Cambria Math" w:hAnsi="Cambria Math"/>
          </w:rPr>
          <m:t>η∝</m:t>
        </m:r>
        <m:sSup>
          <m:sSupPr>
            <m:ctrlPr>
              <w:rPr>
                <w:rFonts w:ascii="Cambria Math" w:hAnsi="Cambria Math"/>
              </w:rPr>
            </m:ctrlPr>
          </m:sSupPr>
          <m:e>
            <m:sSub>
              <m:sSubPr>
                <m:ctrlPr>
                  <w:rPr>
                    <w:rFonts w:ascii="Cambria Math" w:hAnsi="Cambria Math"/>
                  </w:rPr>
                </m:ctrlPr>
              </m:sSubPr>
              <m:e>
                <m:r>
                  <w:rPr>
                    <w:rFonts w:ascii="Cambria Math" w:hAnsi="Cambria Math"/>
                  </w:rPr>
                  <m:t>M</m:t>
                </m:r>
              </m:e>
              <m:sub>
                <m:r>
                  <w:rPr>
                    <w:rFonts w:ascii="Cambria Math" w:hAnsi="Cambria Math"/>
                  </w:rPr>
                  <m:t>n</m:t>
                </m:r>
              </m:sub>
            </m:sSub>
          </m:e>
          <m:sup>
            <m:r>
              <m:rPr>
                <m:sty m:val="p"/>
              </m:rPr>
              <w:rPr>
                <w:rFonts w:ascii="Cambria Math" w:hAnsi="Cambria Math"/>
              </w:rPr>
              <m:t>3.4</m:t>
            </m:r>
          </m:sup>
        </m:sSup>
      </m:oMath>
      <w:r>
        <w:tab/>
        <w:t>(1)</w:t>
      </w:r>
    </w:p>
    <w:p w14:paraId="25BA124D" w14:textId="77777777" w:rsidR="001E4D4B" w:rsidRDefault="001E4D4B" w:rsidP="001E4D4B">
      <w:pPr>
        <w:pStyle w:val="CETBodytext"/>
      </w:pPr>
      <w:r>
        <w:rPr>
          <w:lang w:val="en-GB"/>
        </w:rPr>
        <w:t>T</w:t>
      </w:r>
      <w:r>
        <w:t>he ester concentration (C</w:t>
      </w:r>
      <w:r w:rsidRPr="00AA7C20">
        <w:rPr>
          <w:vertAlign w:val="subscript"/>
        </w:rPr>
        <w:t>E</w:t>
      </w:r>
      <w:r>
        <w:t>) has been correlated to the molecular mass (M) according to the Eq. 2:</w:t>
      </w:r>
    </w:p>
    <w:p w14:paraId="6E5CE425" w14:textId="77777777" w:rsidR="001E4D4B" w:rsidRDefault="00000000" w:rsidP="001E4D4B">
      <w:pPr>
        <w:pStyle w:val="CETEquation"/>
      </w:pPr>
      <m:oMath>
        <m:sSub>
          <m:sSubPr>
            <m:ctrlPr>
              <w:rPr>
                <w:rFonts w:ascii="Cambria Math" w:hAnsi="Cambria Math"/>
                <w:lang w:val="en-US"/>
              </w:rPr>
            </m:ctrlPr>
          </m:sSubPr>
          <m:e>
            <m:r>
              <w:rPr>
                <w:rFonts w:ascii="Cambria Math" w:hAnsi="Cambria Math"/>
              </w:rPr>
              <m:t>C</m:t>
            </m:r>
          </m:e>
          <m:sub>
            <m:r>
              <w:rPr>
                <w:rFonts w:ascii="Cambria Math" w:hAnsi="Cambria Math"/>
              </w:rPr>
              <m:t>E</m:t>
            </m:r>
          </m:sub>
        </m:sSub>
        <m:r>
          <m:rPr>
            <m:sty m:val="p"/>
          </m:rPr>
          <w:rPr>
            <w:rFonts w:ascii="Cambria Math" w:hAnsi="Cambria Math"/>
          </w:rPr>
          <m:t>=</m:t>
        </m:r>
        <m:f>
          <m:fPr>
            <m:ctrlPr>
              <w:rPr>
                <w:rFonts w:ascii="Cambria Math" w:hAnsi="Cambria Math"/>
                <w:lang w:val="en-US"/>
              </w:rPr>
            </m:ctrlPr>
          </m:fPr>
          <m:num>
            <m:r>
              <w:rPr>
                <w:rFonts w:ascii="Cambria Math" w:hAnsi="Cambria Math"/>
              </w:rPr>
              <m:t>ρ</m:t>
            </m:r>
          </m:num>
          <m:den>
            <m:sSub>
              <m:sSubPr>
                <m:ctrlPr>
                  <w:rPr>
                    <w:rFonts w:ascii="Cambria Math" w:hAnsi="Cambria Math"/>
                    <w:lang w:val="en-US"/>
                  </w:rPr>
                </m:ctrlPr>
              </m:sSubPr>
              <m:e>
                <m:r>
                  <w:rPr>
                    <w:rFonts w:ascii="Cambria Math" w:hAnsi="Cambria Math"/>
                  </w:rPr>
                  <m:t>M</m:t>
                </m:r>
              </m:e>
              <m:sub>
                <m:r>
                  <w:rPr>
                    <w:rFonts w:ascii="Cambria Math" w:hAnsi="Cambria Math"/>
                  </w:rPr>
                  <m:t>n</m:t>
                </m:r>
              </m:sub>
            </m:sSub>
          </m:den>
        </m:f>
        <m:d>
          <m:dPr>
            <m:ctrlPr>
              <w:rPr>
                <w:rFonts w:ascii="Cambria Math" w:hAnsi="Cambria Math"/>
                <w:lang w:val="en-US"/>
              </w:rPr>
            </m:ctrlPr>
          </m:dPr>
          <m:e>
            <m:r>
              <w:rPr>
                <w:rFonts w:ascii="Cambria Math" w:hAnsi="Cambria Math"/>
              </w:rPr>
              <m:t>DP</m:t>
            </m:r>
            <m:r>
              <m:rPr>
                <m:sty m:val="p"/>
              </m:rPr>
              <w:rPr>
                <w:rFonts w:ascii="Cambria Math" w:hAnsi="Cambria Math"/>
              </w:rPr>
              <m:t>-1</m:t>
            </m:r>
          </m:e>
        </m:d>
      </m:oMath>
      <w:r w:rsidR="001E4D4B">
        <w:tab/>
        <w:t>(2)</w:t>
      </w:r>
    </w:p>
    <w:p w14:paraId="7CA946EA" w14:textId="77777777" w:rsidR="001E4D4B" w:rsidRDefault="001E4D4B" w:rsidP="001E4D4B">
      <w:pPr>
        <w:pStyle w:val="CETBodytext"/>
      </w:pPr>
      <w:r>
        <w:t xml:space="preserve">where </w:t>
      </w:r>
      <w:r>
        <w:rPr>
          <w:rFonts w:ascii="Cambria Math" w:hAnsi="Cambria Math"/>
        </w:rPr>
        <w:t>ρ</w:t>
      </w:r>
      <w:r>
        <w:t xml:space="preserve"> is polymer density and DP </w:t>
      </w:r>
      <m:oMath>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num>
              <m:den>
                <m:r>
                  <w:rPr>
                    <w:rFonts w:ascii="Cambria Math" w:hAnsi="Cambria Math"/>
                  </w:rPr>
                  <m:t>M</m:t>
                </m:r>
              </m:den>
            </m:f>
          </m:e>
        </m:d>
      </m:oMath>
      <w:r>
        <w:t xml:space="preserve"> is the average degree of polymerization.</w:t>
      </w:r>
    </w:p>
    <w:p w14:paraId="0512795F" w14:textId="05AD953C" w:rsidR="001E4D4B" w:rsidRDefault="001E4D4B" w:rsidP="001E4D4B">
      <w:pPr>
        <w:pStyle w:val="CETBodytext"/>
      </w:pPr>
      <w:r>
        <w:rPr>
          <w:lang w:val="en-GB"/>
        </w:rPr>
        <w:t xml:space="preserve">In this case, by considering </w:t>
      </w:r>
      <w:r w:rsidRPr="002747AA">
        <w:rPr>
          <w:lang w:val="en-GB"/>
        </w:rPr>
        <w:t xml:space="preserve">only </w:t>
      </w:r>
      <w:r>
        <w:rPr>
          <w:lang w:val="en-GB"/>
        </w:rPr>
        <w:t xml:space="preserve">the occurrence of </w:t>
      </w:r>
      <w:r w:rsidRPr="002747AA">
        <w:rPr>
          <w:lang w:val="en-GB"/>
        </w:rPr>
        <w:t>thermal degradation</w:t>
      </w:r>
      <w:r>
        <w:rPr>
          <w:lang w:val="en-GB"/>
        </w:rPr>
        <w:t xml:space="preserve"> (</w:t>
      </w:r>
      <w:r>
        <w:t>assumed as first-order reaction)</w:t>
      </w:r>
      <w:r>
        <w:rPr>
          <w:lang w:val="en-GB"/>
        </w:rPr>
        <w:t xml:space="preserve">, the </w:t>
      </w:r>
      <w:r w:rsidR="00247449">
        <w:rPr>
          <w:lang w:val="en-GB"/>
        </w:rPr>
        <w:t xml:space="preserve">time evolution </w:t>
      </w:r>
      <w:r w:rsidR="00DC730E">
        <w:t>of</w:t>
      </w:r>
      <w:r>
        <w:t xml:space="preserve"> ester concentration </w:t>
      </w:r>
      <w:r w:rsidR="00DC730E">
        <w:t xml:space="preserve">can be </w:t>
      </w:r>
      <w:r w:rsidR="00247449">
        <w:t>determined</w:t>
      </w:r>
      <w:r>
        <w:t xml:space="preserve"> </w:t>
      </w:r>
      <w:r w:rsidR="00247449">
        <w:t xml:space="preserve">from </w:t>
      </w:r>
      <w:r w:rsidR="009531CD">
        <w:t>Eq.3</w:t>
      </w:r>
      <w:r w:rsidR="00F47F8A">
        <w:t>:</w:t>
      </w:r>
    </w:p>
    <w:p w14:paraId="571DE8AC" w14:textId="44E61593" w:rsidR="001E4D4B" w:rsidRPr="009531CD" w:rsidRDefault="00000000" w:rsidP="001E4D4B">
      <w:pPr>
        <w:pStyle w:val="CETEquation"/>
      </w:pPr>
      <m:oMath>
        <m:f>
          <m:fPr>
            <m:ctrlPr>
              <w:rPr>
                <w:rFonts w:ascii="Cambria Math" w:hAnsi="Cambria Math"/>
                <w:lang w:val="en-US"/>
              </w:rPr>
            </m:ctrlPr>
          </m:fPr>
          <m:num>
            <m:r>
              <w:rPr>
                <w:rFonts w:ascii="Cambria Math" w:hAnsi="Cambria Math"/>
              </w:rPr>
              <m:t>d</m:t>
            </m:r>
          </m:num>
          <m:den>
            <m:r>
              <w:rPr>
                <w:rFonts w:ascii="Cambria Math" w:hAnsi="Cambria Math"/>
              </w:rPr>
              <m:t>dt</m:t>
            </m:r>
          </m:den>
        </m:f>
        <m:sSub>
          <m:sSubPr>
            <m:ctrlPr>
              <w:rPr>
                <w:rFonts w:ascii="Cambria Math" w:hAnsi="Cambria Math"/>
                <w:lang w:val="en-US"/>
              </w:rPr>
            </m:ctrlPr>
          </m:sSubPr>
          <m:e>
            <m:r>
              <w:rPr>
                <w:rFonts w:ascii="Cambria Math" w:hAnsi="Cambria Math"/>
              </w:rPr>
              <m:t>C</m:t>
            </m:r>
          </m:e>
          <m:sub>
            <m:r>
              <w:rPr>
                <w:rFonts w:ascii="Cambria Math" w:hAnsi="Cambria Math"/>
              </w:rPr>
              <m:t>E</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m:t>
            </m:r>
            <m:r>
              <w:rPr>
                <w:rFonts w:ascii="Cambria Math" w:hAnsi="Cambria Math"/>
              </w:rPr>
              <m:t>R</m:t>
            </m:r>
          </m:e>
          <m:sub>
            <m:r>
              <w:rPr>
                <w:rFonts w:ascii="Cambria Math" w:hAnsi="Cambria Math"/>
              </w:rPr>
              <m:t>t</m:t>
            </m:r>
          </m:sub>
        </m:sSub>
        <m:sSub>
          <m:sSubPr>
            <m:ctrlPr>
              <w:rPr>
                <w:rFonts w:ascii="Cambria Math" w:hAnsi="Cambria Math"/>
                <w:lang w:val="en-US"/>
              </w:rPr>
            </m:ctrlPr>
          </m:sSubPr>
          <m:e>
            <m:r>
              <w:rPr>
                <w:rFonts w:ascii="Cambria Math" w:hAnsi="Cambria Math"/>
              </w:rPr>
              <m:t>C</m:t>
            </m:r>
          </m:e>
          <m:sub>
            <m:r>
              <w:rPr>
                <w:rFonts w:ascii="Cambria Math" w:hAnsi="Cambria Math"/>
              </w:rPr>
              <m:t>E</m:t>
            </m:r>
          </m:sub>
        </m:sSub>
      </m:oMath>
      <w:r w:rsidR="001E4D4B">
        <w:tab/>
        <w:t>(3)</w:t>
      </w:r>
    </w:p>
    <w:p w14:paraId="0BB117D8" w14:textId="4C5BF713" w:rsidR="006E2C67" w:rsidRDefault="006E2C67" w:rsidP="001E4D4B">
      <w:pPr>
        <w:pStyle w:val="CETEquation"/>
      </w:pPr>
      <w:r w:rsidRPr="006E2C67">
        <w:t xml:space="preserve">It was possible to deduce that the ester concentration decreased over time in an exponential decay </w:t>
      </w:r>
      <w:r w:rsidR="00247449">
        <w:t>relation</w:t>
      </w:r>
      <w:r w:rsidRPr="006E2C67">
        <w:t>. Since the ester concentration was indirectly related to the viscosity via the molecular weight, the same model was considered useful to fit the experimental data of viscosity in time:</w:t>
      </w:r>
    </w:p>
    <w:p w14:paraId="191F0B61" w14:textId="759C63E4" w:rsidR="001E4D4B" w:rsidRDefault="001E4D4B" w:rsidP="001E4D4B">
      <w:pPr>
        <w:pStyle w:val="CETEquation"/>
      </w:pPr>
      <m:oMath>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0</m:t>
            </m:r>
          </m:sub>
        </m:sSub>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i/>
                    <w:iCs/>
                  </w:rPr>
                </m:ctrlPr>
              </m:fPr>
              <m:num>
                <m:r>
                  <w:rPr>
                    <w:rFonts w:ascii="Cambria Math" w:hAnsi="Cambria Math"/>
                  </w:rPr>
                  <m:t>t</m:t>
                </m:r>
              </m:num>
              <m:den>
                <m:r>
                  <w:rPr>
                    <w:rFonts w:ascii="Cambria Math" w:hAnsi="Cambria Math"/>
                  </w:rPr>
                  <m:t>τ</m:t>
                </m:r>
              </m:den>
            </m:f>
          </m:sup>
        </m:sSup>
      </m:oMath>
      <w:r>
        <w:tab/>
        <w:t>(</w:t>
      </w:r>
      <w:r w:rsidR="009531CD">
        <w:t>4</w:t>
      </w:r>
      <w:r>
        <w:t>)</w:t>
      </w:r>
    </w:p>
    <w:p w14:paraId="570456FD" w14:textId="77777777" w:rsidR="001E4D4B" w:rsidRDefault="001E4D4B" w:rsidP="001E4D4B">
      <w:pPr>
        <w:pStyle w:val="CETBodytext"/>
        <w:rPr>
          <w:rFonts w:cs="Arial"/>
          <w:lang w:val="en-GB"/>
        </w:rPr>
      </w:pPr>
      <w:r>
        <w:rPr>
          <w:lang w:val="en-GB"/>
        </w:rPr>
        <w:t xml:space="preserve">where </w:t>
      </w:r>
      <m:oMath>
        <m:sSub>
          <m:sSubPr>
            <m:ctrlPr>
              <w:rPr>
                <w:rFonts w:ascii="Cambria Math" w:hAnsi="Cambria Math"/>
                <w:lang w:val="en-GB"/>
              </w:rPr>
            </m:ctrlPr>
          </m:sSubPr>
          <m:e>
            <m:r>
              <w:rPr>
                <w:rFonts w:ascii="Cambria Math" w:hAnsi="Cambria Math"/>
                <w:lang w:val="en-GB"/>
              </w:rPr>
              <m:t>η</m:t>
            </m:r>
          </m:e>
          <m:sub>
            <m:r>
              <m:rPr>
                <m:sty m:val="p"/>
              </m:rPr>
              <w:rPr>
                <w:rFonts w:ascii="Cambria Math" w:hAnsi="Cambria Math"/>
                <w:lang w:val="en-GB"/>
              </w:rPr>
              <m:t>0</m:t>
            </m:r>
          </m:sub>
        </m:sSub>
      </m:oMath>
      <w:r>
        <w:rPr>
          <w:lang w:val="en-GB"/>
        </w:rPr>
        <w:t xml:space="preserve"> was the value of viscosity at zero-time (initially) and </w:t>
      </w:r>
      <w:r>
        <w:rPr>
          <w:rFonts w:cs="Arial"/>
          <w:lang w:val="en-GB"/>
        </w:rPr>
        <w:sym w:font="Symbol" w:char="F074"/>
      </w:r>
      <w:r>
        <w:rPr>
          <w:rFonts w:cs="Arial"/>
          <w:lang w:val="en-GB"/>
        </w:rPr>
        <w:t xml:space="preserve"> </w:t>
      </w:r>
      <w:r>
        <w:rPr>
          <w:lang w:val="en-GB"/>
        </w:rPr>
        <w:t>was the exponential decay constant (characteristic time). The longer the characteristic time (</w:t>
      </w:r>
      <w:r>
        <w:rPr>
          <w:rFonts w:cs="Arial"/>
          <w:lang w:val="en-GB"/>
        </w:rPr>
        <w:sym w:font="Symbol" w:char="F074"/>
      </w:r>
      <w:r>
        <w:rPr>
          <w:rFonts w:cs="Arial"/>
          <w:lang w:val="en-GB"/>
        </w:rPr>
        <w:t>), the slower the decrease in viscosity.</w:t>
      </w:r>
    </w:p>
    <w:p w14:paraId="5C89FE14" w14:textId="3B125125" w:rsidR="001E4D4B" w:rsidRDefault="006E2C67" w:rsidP="001E4D4B">
      <w:pPr>
        <w:pStyle w:val="CETBodytext"/>
        <w:rPr>
          <w:rFonts w:cs="Arial"/>
          <w:lang w:val="en-GB"/>
        </w:rPr>
      </w:pPr>
      <w:r w:rsidRPr="006E2C67">
        <w:rPr>
          <w:rFonts w:cs="Arial"/>
          <w:lang w:val="en-GB"/>
        </w:rPr>
        <w:t xml:space="preserve">Figure </w:t>
      </w:r>
      <w:r w:rsidR="005D51B0">
        <w:rPr>
          <w:rFonts w:cs="Arial"/>
          <w:lang w:val="en-GB"/>
        </w:rPr>
        <w:t>2</w:t>
      </w:r>
      <w:r w:rsidRPr="006E2C67">
        <w:rPr>
          <w:rFonts w:cs="Arial"/>
          <w:lang w:val="en-GB"/>
        </w:rPr>
        <w:t xml:space="preserve"> shows the experimental results for PLA-1 and PLA-2 models using exponential decay </w:t>
      </w:r>
      <w:r>
        <w:rPr>
          <w:rFonts w:cs="Arial"/>
          <w:lang w:val="en-GB"/>
        </w:rPr>
        <w:t xml:space="preserve">and </w:t>
      </w:r>
      <w:r w:rsidRPr="006E2C67">
        <w:rPr>
          <w:rFonts w:cs="Arial"/>
          <w:lang w:val="en-GB"/>
        </w:rPr>
        <w:t>Table 1 shows a summary of the model's parameters</w:t>
      </w:r>
      <w:r w:rsidR="009531CD">
        <w:rPr>
          <w:rFonts w:cs="Arial"/>
          <w:lang w:val="en-GB"/>
        </w:rPr>
        <w:t>.</w:t>
      </w:r>
    </w:p>
    <w:p w14:paraId="772B25B0" w14:textId="77777777" w:rsidR="001E4D4B" w:rsidRDefault="001E4D4B" w:rsidP="001E4D4B">
      <w:pPr>
        <w:pStyle w:val="CETBodytext"/>
        <w:rPr>
          <w:rFonts w:cs="Arial"/>
          <w:lang w:val="en-GB"/>
        </w:rPr>
      </w:pPr>
      <w:r>
        <w:rPr>
          <w:noProof/>
        </w:rPr>
        <w:drawing>
          <wp:inline distT="0" distB="0" distL="0" distR="0" wp14:anchorId="3FB52486" wp14:editId="3F76372E">
            <wp:extent cx="2273337" cy="180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0671"/>
                    <a:stretch/>
                  </pic:blipFill>
                  <pic:spPr bwMode="auto">
                    <a:xfrm>
                      <a:off x="0" y="0"/>
                      <a:ext cx="227333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D51B6FD" w14:textId="01438DB9" w:rsidR="001E4D4B" w:rsidRDefault="001E4D4B" w:rsidP="001E4D4B">
      <w:pPr>
        <w:pStyle w:val="CETCaption"/>
      </w:pPr>
      <w:r w:rsidRPr="00722926">
        <w:t xml:space="preserve">Figure </w:t>
      </w:r>
      <w:r w:rsidR="005D51B0">
        <w:t>2</w:t>
      </w:r>
      <w:r w:rsidRPr="00722926">
        <w:t xml:space="preserve">. Exponential decay model to fit viscosity data </w:t>
      </w:r>
      <w:r>
        <w:t>and corresponding model parameters</w:t>
      </w:r>
      <w:r w:rsidRPr="00FC695C">
        <w:t xml:space="preserve"> </w:t>
      </w:r>
      <w:r>
        <w:t>for</w:t>
      </w:r>
      <w:r w:rsidRPr="00722926">
        <w:t xml:space="preserve"> PLA-1 and PLA-2</w:t>
      </w:r>
      <w:r>
        <w:t>.</w:t>
      </w:r>
    </w:p>
    <w:p w14:paraId="53C7E937" w14:textId="4868BF67" w:rsidR="00824083" w:rsidRDefault="00824083" w:rsidP="001E4D4B">
      <w:pPr>
        <w:pStyle w:val="CETCaption"/>
      </w:pPr>
      <w:r>
        <w:t>Table 1</w:t>
      </w:r>
      <w:r w:rsidRPr="00722926">
        <w:t xml:space="preserve">. </w:t>
      </w:r>
      <w:r>
        <w:t xml:space="preserve"> Fitting parameters in terms of initial viscosity and characteristics decay time for</w:t>
      </w:r>
      <w:r w:rsidRPr="00722926">
        <w:t xml:space="preserve"> PLA-1 and PLA-2</w:t>
      </w:r>
      <w:r>
        <w:t>.</w:t>
      </w:r>
    </w:p>
    <w:tbl>
      <w:tblPr>
        <w:tblpPr w:leftFromText="180" w:rightFromText="180" w:vertAnchor="text" w:horzAnchor="margin" w:tblpY="15"/>
        <w:tblW w:w="716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5"/>
        <w:gridCol w:w="1636"/>
        <w:gridCol w:w="1153"/>
        <w:gridCol w:w="1545"/>
        <w:gridCol w:w="1537"/>
        <w:gridCol w:w="1261"/>
      </w:tblGrid>
      <w:tr w:rsidR="009531CD" w:rsidRPr="00B57B36" w14:paraId="0992A84F" w14:textId="77777777" w:rsidTr="009531CD">
        <w:trPr>
          <w:trHeight w:val="357"/>
        </w:trPr>
        <w:tc>
          <w:tcPr>
            <w:tcW w:w="35" w:type="dxa"/>
            <w:tcBorders>
              <w:top w:val="single" w:sz="12" w:space="0" w:color="008000"/>
              <w:bottom w:val="single" w:sz="6" w:space="0" w:color="008000"/>
            </w:tcBorders>
            <w:shd w:val="clear" w:color="auto" w:fill="FFFFFF"/>
          </w:tcPr>
          <w:p w14:paraId="36D01784" w14:textId="77777777" w:rsidR="009531CD" w:rsidRPr="00B57B36" w:rsidRDefault="009531CD" w:rsidP="009531CD">
            <w:pPr>
              <w:pStyle w:val="CETBodytext"/>
              <w:jc w:val="left"/>
              <w:rPr>
                <w:lang w:val="en-GB"/>
              </w:rPr>
            </w:pPr>
          </w:p>
        </w:tc>
        <w:tc>
          <w:tcPr>
            <w:tcW w:w="1636" w:type="dxa"/>
            <w:tcBorders>
              <w:top w:val="single" w:sz="12" w:space="0" w:color="008000"/>
              <w:bottom w:val="single" w:sz="6" w:space="0" w:color="008000"/>
            </w:tcBorders>
            <w:shd w:val="clear" w:color="auto" w:fill="FFFFFF"/>
          </w:tcPr>
          <w:p w14:paraId="6822E76F" w14:textId="77777777" w:rsidR="009531CD" w:rsidRPr="00927AA9" w:rsidRDefault="009531CD" w:rsidP="009531CD">
            <w:pPr>
              <w:pStyle w:val="CETBodytext"/>
              <w:jc w:val="left"/>
              <w:rPr>
                <w:sz w:val="16"/>
                <w:szCs w:val="16"/>
                <w:lang w:val="en-GB"/>
              </w:rPr>
            </w:pPr>
          </w:p>
        </w:tc>
        <w:tc>
          <w:tcPr>
            <w:tcW w:w="1153" w:type="dxa"/>
            <w:tcBorders>
              <w:top w:val="single" w:sz="12" w:space="0" w:color="008000"/>
              <w:bottom w:val="single" w:sz="6" w:space="0" w:color="008000"/>
            </w:tcBorders>
            <w:shd w:val="clear" w:color="auto" w:fill="FFFFFF"/>
          </w:tcPr>
          <w:p w14:paraId="3C00046C" w14:textId="7315D6D7" w:rsidR="009531CD" w:rsidRPr="00927AA9" w:rsidRDefault="009531CD" w:rsidP="009531CD">
            <w:pPr>
              <w:pStyle w:val="CETBodytext"/>
              <w:jc w:val="left"/>
              <w:rPr>
                <w:sz w:val="16"/>
                <w:szCs w:val="16"/>
                <w:lang w:val="en-GB"/>
              </w:rPr>
            </w:pPr>
            <w:r>
              <w:rPr>
                <w:sz w:val="16"/>
                <w:szCs w:val="16"/>
                <w:lang w:val="en-GB"/>
              </w:rPr>
              <w:t>PLA-1</w:t>
            </w:r>
          </w:p>
        </w:tc>
        <w:tc>
          <w:tcPr>
            <w:tcW w:w="1545" w:type="dxa"/>
            <w:tcBorders>
              <w:top w:val="single" w:sz="12" w:space="0" w:color="008000"/>
              <w:bottom w:val="single" w:sz="6" w:space="0" w:color="008000"/>
            </w:tcBorders>
            <w:shd w:val="clear" w:color="auto" w:fill="FFFFFF"/>
          </w:tcPr>
          <w:p w14:paraId="5E6A9943" w14:textId="563563A7" w:rsidR="009531CD" w:rsidRPr="00927AA9" w:rsidRDefault="009531CD" w:rsidP="009531CD">
            <w:pPr>
              <w:pStyle w:val="CETBodytext"/>
              <w:jc w:val="left"/>
              <w:rPr>
                <w:sz w:val="16"/>
                <w:szCs w:val="16"/>
                <w:lang w:val="en-GB"/>
              </w:rPr>
            </w:pPr>
            <w:r>
              <w:rPr>
                <w:sz w:val="16"/>
                <w:szCs w:val="16"/>
                <w:lang w:val="en-GB"/>
              </w:rPr>
              <w:t>PLA-1 printed</w:t>
            </w:r>
          </w:p>
        </w:tc>
        <w:tc>
          <w:tcPr>
            <w:tcW w:w="1537" w:type="dxa"/>
            <w:tcBorders>
              <w:top w:val="single" w:sz="12" w:space="0" w:color="008000"/>
              <w:bottom w:val="single" w:sz="6" w:space="0" w:color="008000"/>
            </w:tcBorders>
            <w:shd w:val="clear" w:color="auto" w:fill="FFFFFF"/>
          </w:tcPr>
          <w:p w14:paraId="57FFBC0C" w14:textId="125A5768" w:rsidR="009531CD" w:rsidRPr="00927AA9" w:rsidRDefault="009531CD" w:rsidP="009531CD">
            <w:pPr>
              <w:pStyle w:val="CETBodytext"/>
              <w:jc w:val="left"/>
              <w:rPr>
                <w:sz w:val="16"/>
                <w:szCs w:val="16"/>
                <w:lang w:val="en-GB"/>
              </w:rPr>
            </w:pPr>
            <w:r>
              <w:rPr>
                <w:sz w:val="16"/>
                <w:szCs w:val="16"/>
                <w:lang w:val="en-GB"/>
              </w:rPr>
              <w:t>PLA-2 neat</w:t>
            </w:r>
          </w:p>
        </w:tc>
        <w:tc>
          <w:tcPr>
            <w:tcW w:w="1261" w:type="dxa"/>
            <w:tcBorders>
              <w:top w:val="single" w:sz="12" w:space="0" w:color="008000"/>
              <w:bottom w:val="single" w:sz="6" w:space="0" w:color="008000"/>
            </w:tcBorders>
            <w:shd w:val="clear" w:color="auto" w:fill="FFFFFF"/>
          </w:tcPr>
          <w:p w14:paraId="497E33B6" w14:textId="29AA7D2E" w:rsidR="009531CD" w:rsidRPr="00927AA9" w:rsidRDefault="009531CD" w:rsidP="009531CD">
            <w:pPr>
              <w:pStyle w:val="CETBodytext"/>
              <w:jc w:val="left"/>
              <w:rPr>
                <w:sz w:val="16"/>
                <w:szCs w:val="16"/>
                <w:lang w:val="en-GB"/>
              </w:rPr>
            </w:pPr>
            <w:r>
              <w:rPr>
                <w:sz w:val="16"/>
                <w:szCs w:val="16"/>
                <w:lang w:val="en-GB"/>
              </w:rPr>
              <w:t>PLA-2 printed</w:t>
            </w:r>
          </w:p>
        </w:tc>
      </w:tr>
      <w:tr w:rsidR="009531CD" w:rsidRPr="00B57B36" w14:paraId="515E0D02" w14:textId="77777777" w:rsidTr="009531CD">
        <w:trPr>
          <w:trHeight w:val="248"/>
        </w:trPr>
        <w:tc>
          <w:tcPr>
            <w:tcW w:w="35" w:type="dxa"/>
            <w:shd w:val="clear" w:color="auto" w:fill="FFFFFF"/>
          </w:tcPr>
          <w:p w14:paraId="5A4F9459" w14:textId="77777777" w:rsidR="009531CD" w:rsidRPr="00B57B36" w:rsidRDefault="009531CD" w:rsidP="009531CD">
            <w:pPr>
              <w:pStyle w:val="CETBodytext"/>
              <w:jc w:val="left"/>
              <w:rPr>
                <w:lang w:val="en-GB"/>
              </w:rPr>
            </w:pPr>
          </w:p>
        </w:tc>
        <w:tc>
          <w:tcPr>
            <w:tcW w:w="1636" w:type="dxa"/>
            <w:shd w:val="clear" w:color="auto" w:fill="FFFFFF"/>
          </w:tcPr>
          <w:p w14:paraId="39FAF645" w14:textId="77777777" w:rsidR="009531CD" w:rsidRPr="00722926" w:rsidRDefault="009531CD" w:rsidP="009531CD">
            <w:pPr>
              <w:pStyle w:val="CETBodytext"/>
              <w:rPr>
                <w:lang w:val="en-GB"/>
              </w:rPr>
            </w:pPr>
            <w:r>
              <w:rPr>
                <w:rFonts w:cs="Arial"/>
                <w:lang w:val="en-GB"/>
              </w:rPr>
              <w:t>η</w:t>
            </w:r>
            <w:r w:rsidRPr="00722926">
              <w:rPr>
                <w:vertAlign w:val="subscript"/>
                <w:lang w:val="en-GB"/>
              </w:rPr>
              <w:t>0</w:t>
            </w:r>
            <w:r>
              <w:rPr>
                <w:lang w:val="en-GB"/>
              </w:rPr>
              <w:t xml:space="preserve"> (Pa*s)</w:t>
            </w:r>
          </w:p>
        </w:tc>
        <w:tc>
          <w:tcPr>
            <w:tcW w:w="1153" w:type="dxa"/>
            <w:shd w:val="clear" w:color="auto" w:fill="FFFFFF"/>
          </w:tcPr>
          <w:p w14:paraId="6BC68A08" w14:textId="77777777" w:rsidR="009531CD" w:rsidRPr="00722926" w:rsidRDefault="009531CD" w:rsidP="009531CD">
            <w:pPr>
              <w:pStyle w:val="CETBodytext"/>
              <w:rPr>
                <w:sz w:val="16"/>
                <w:szCs w:val="16"/>
                <w:lang w:val="en-GB"/>
              </w:rPr>
            </w:pPr>
            <w:r w:rsidRPr="00722926">
              <w:rPr>
                <w:sz w:val="16"/>
                <w:szCs w:val="16"/>
                <w:lang w:val="en-GB"/>
              </w:rPr>
              <w:t>1552</w:t>
            </w:r>
          </w:p>
        </w:tc>
        <w:tc>
          <w:tcPr>
            <w:tcW w:w="1545" w:type="dxa"/>
            <w:shd w:val="clear" w:color="auto" w:fill="FFFFFF"/>
          </w:tcPr>
          <w:p w14:paraId="3AAA545C" w14:textId="77777777" w:rsidR="009531CD" w:rsidRPr="00722926" w:rsidRDefault="009531CD" w:rsidP="009531CD">
            <w:pPr>
              <w:pStyle w:val="CETBodytext"/>
              <w:rPr>
                <w:sz w:val="16"/>
                <w:szCs w:val="16"/>
                <w:lang w:val="en-GB"/>
              </w:rPr>
            </w:pPr>
            <w:r w:rsidRPr="00722926">
              <w:rPr>
                <w:sz w:val="16"/>
                <w:szCs w:val="16"/>
                <w:lang w:val="en-GB"/>
              </w:rPr>
              <w:t>462</w:t>
            </w:r>
          </w:p>
        </w:tc>
        <w:tc>
          <w:tcPr>
            <w:tcW w:w="1537" w:type="dxa"/>
            <w:shd w:val="clear" w:color="auto" w:fill="FFFFFF"/>
          </w:tcPr>
          <w:p w14:paraId="33732637" w14:textId="77777777" w:rsidR="009531CD" w:rsidRPr="00722926" w:rsidRDefault="009531CD" w:rsidP="009531CD">
            <w:pPr>
              <w:pStyle w:val="CETBodytext"/>
              <w:rPr>
                <w:sz w:val="16"/>
                <w:szCs w:val="16"/>
                <w:lang w:val="en-GB"/>
              </w:rPr>
            </w:pPr>
            <w:r w:rsidRPr="00722926">
              <w:rPr>
                <w:sz w:val="16"/>
                <w:szCs w:val="16"/>
                <w:lang w:val="en-GB"/>
              </w:rPr>
              <w:t>1725</w:t>
            </w:r>
          </w:p>
        </w:tc>
        <w:tc>
          <w:tcPr>
            <w:tcW w:w="1261" w:type="dxa"/>
            <w:shd w:val="clear" w:color="auto" w:fill="FFFFFF"/>
          </w:tcPr>
          <w:p w14:paraId="638DC8D2" w14:textId="77777777" w:rsidR="009531CD" w:rsidRPr="00722926" w:rsidRDefault="009531CD" w:rsidP="009531CD">
            <w:pPr>
              <w:pStyle w:val="CETBodytext"/>
              <w:rPr>
                <w:sz w:val="16"/>
                <w:szCs w:val="16"/>
                <w:lang w:val="en-GB"/>
              </w:rPr>
            </w:pPr>
            <w:r w:rsidRPr="00722926">
              <w:rPr>
                <w:sz w:val="16"/>
                <w:szCs w:val="16"/>
                <w:lang w:val="en-GB"/>
              </w:rPr>
              <w:t>461</w:t>
            </w:r>
          </w:p>
        </w:tc>
      </w:tr>
      <w:tr w:rsidR="009531CD" w:rsidRPr="00B57B36" w14:paraId="43C419BC" w14:textId="77777777" w:rsidTr="009531CD">
        <w:trPr>
          <w:trHeight w:val="237"/>
        </w:trPr>
        <w:tc>
          <w:tcPr>
            <w:tcW w:w="35" w:type="dxa"/>
            <w:shd w:val="clear" w:color="auto" w:fill="FFFFFF"/>
          </w:tcPr>
          <w:p w14:paraId="2025F513" w14:textId="77777777" w:rsidR="009531CD" w:rsidRPr="00B57B36" w:rsidRDefault="009531CD" w:rsidP="009531CD">
            <w:pPr>
              <w:pStyle w:val="CETBodytext"/>
              <w:ind w:right="-1"/>
              <w:jc w:val="left"/>
              <w:rPr>
                <w:rFonts w:cs="Arial"/>
                <w:szCs w:val="18"/>
                <w:lang w:val="en-GB"/>
              </w:rPr>
            </w:pPr>
          </w:p>
        </w:tc>
        <w:tc>
          <w:tcPr>
            <w:tcW w:w="1636" w:type="dxa"/>
            <w:shd w:val="clear" w:color="auto" w:fill="FFFFFF"/>
          </w:tcPr>
          <w:p w14:paraId="6B378A3B" w14:textId="77777777" w:rsidR="009531CD" w:rsidRDefault="009531CD" w:rsidP="009531CD">
            <w:pPr>
              <w:pStyle w:val="CETBodytext"/>
              <w:ind w:right="-1"/>
              <w:rPr>
                <w:rFonts w:cs="Arial"/>
                <w:szCs w:val="18"/>
                <w:lang w:val="en-GB"/>
              </w:rPr>
            </w:pPr>
            <w:r>
              <w:rPr>
                <w:rFonts w:cs="Arial"/>
                <w:szCs w:val="18"/>
                <w:lang w:val="en-GB"/>
              </w:rPr>
              <w:sym w:font="Symbol" w:char="F074"/>
            </w:r>
            <w:r>
              <w:rPr>
                <w:rFonts w:cs="Arial"/>
                <w:szCs w:val="18"/>
                <w:lang w:val="en-GB"/>
              </w:rPr>
              <w:t xml:space="preserve"> (s)</w:t>
            </w:r>
          </w:p>
        </w:tc>
        <w:tc>
          <w:tcPr>
            <w:tcW w:w="1153" w:type="dxa"/>
            <w:shd w:val="clear" w:color="auto" w:fill="FFFFFF"/>
          </w:tcPr>
          <w:p w14:paraId="4CBED957"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1</w:t>
            </w:r>
            <w:r>
              <w:rPr>
                <w:rFonts w:cs="Arial"/>
                <w:sz w:val="16"/>
                <w:szCs w:val="16"/>
                <w:lang w:val="en-GB"/>
              </w:rPr>
              <w:t>.11x10</w:t>
            </w:r>
            <w:r w:rsidRPr="009531CD">
              <w:rPr>
                <w:rFonts w:cs="Arial"/>
                <w:sz w:val="16"/>
                <w:szCs w:val="16"/>
                <w:vertAlign w:val="superscript"/>
                <w:lang w:val="en-GB"/>
              </w:rPr>
              <w:t>4</w:t>
            </w:r>
          </w:p>
        </w:tc>
        <w:tc>
          <w:tcPr>
            <w:tcW w:w="1545" w:type="dxa"/>
            <w:shd w:val="clear" w:color="auto" w:fill="FFFFFF"/>
          </w:tcPr>
          <w:p w14:paraId="50A4CBA0"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1</w:t>
            </w:r>
            <w:r>
              <w:rPr>
                <w:rFonts w:cs="Arial"/>
                <w:sz w:val="16"/>
                <w:szCs w:val="16"/>
                <w:lang w:val="en-GB"/>
              </w:rPr>
              <w:t>.</w:t>
            </w:r>
            <w:r w:rsidRPr="00722926">
              <w:rPr>
                <w:rFonts w:cs="Arial"/>
                <w:sz w:val="16"/>
                <w:szCs w:val="16"/>
                <w:lang w:val="en-GB"/>
              </w:rPr>
              <w:t>06</w:t>
            </w:r>
            <w:r>
              <w:rPr>
                <w:rFonts w:cs="Arial"/>
                <w:sz w:val="16"/>
                <w:szCs w:val="16"/>
                <w:lang w:val="en-GB"/>
              </w:rPr>
              <w:t xml:space="preserve"> x10</w:t>
            </w:r>
            <w:r w:rsidRPr="009531CD">
              <w:rPr>
                <w:rFonts w:cs="Arial"/>
                <w:sz w:val="16"/>
                <w:szCs w:val="16"/>
                <w:vertAlign w:val="superscript"/>
                <w:lang w:val="en-GB"/>
              </w:rPr>
              <w:t>3</w:t>
            </w:r>
          </w:p>
        </w:tc>
        <w:tc>
          <w:tcPr>
            <w:tcW w:w="1537" w:type="dxa"/>
            <w:shd w:val="clear" w:color="auto" w:fill="FFFFFF"/>
          </w:tcPr>
          <w:p w14:paraId="5D249DFA"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1</w:t>
            </w:r>
            <w:r>
              <w:rPr>
                <w:rFonts w:cs="Arial"/>
                <w:sz w:val="16"/>
                <w:szCs w:val="16"/>
                <w:lang w:val="en-GB"/>
              </w:rPr>
              <w:t>.</w:t>
            </w:r>
            <w:r w:rsidRPr="00722926">
              <w:rPr>
                <w:rFonts w:cs="Arial"/>
                <w:sz w:val="16"/>
                <w:szCs w:val="16"/>
                <w:lang w:val="en-GB"/>
              </w:rPr>
              <w:t>03</w:t>
            </w:r>
            <w:r>
              <w:rPr>
                <w:rFonts w:cs="Arial"/>
                <w:sz w:val="16"/>
                <w:szCs w:val="16"/>
                <w:lang w:val="en-GB"/>
              </w:rPr>
              <w:t xml:space="preserve"> x10</w:t>
            </w:r>
            <w:r w:rsidRPr="009531CD">
              <w:rPr>
                <w:rFonts w:cs="Arial"/>
                <w:sz w:val="16"/>
                <w:szCs w:val="16"/>
                <w:vertAlign w:val="superscript"/>
                <w:lang w:val="en-GB"/>
              </w:rPr>
              <w:t>4</w:t>
            </w:r>
          </w:p>
        </w:tc>
        <w:tc>
          <w:tcPr>
            <w:tcW w:w="1261" w:type="dxa"/>
            <w:shd w:val="clear" w:color="auto" w:fill="FFFFFF"/>
          </w:tcPr>
          <w:p w14:paraId="60CD6C64" w14:textId="0C910935" w:rsidR="009531CD" w:rsidRPr="00722926" w:rsidRDefault="009531CD" w:rsidP="009531CD">
            <w:pPr>
              <w:pStyle w:val="CETBodytext"/>
              <w:ind w:right="-1"/>
              <w:rPr>
                <w:rFonts w:cs="Arial"/>
                <w:sz w:val="16"/>
                <w:szCs w:val="16"/>
                <w:lang w:val="en-GB"/>
              </w:rPr>
            </w:pPr>
            <w:r w:rsidRPr="00722926">
              <w:rPr>
                <w:rFonts w:cs="Arial"/>
                <w:sz w:val="16"/>
                <w:szCs w:val="16"/>
                <w:lang w:val="en-GB"/>
              </w:rPr>
              <w:t>1</w:t>
            </w:r>
            <w:r>
              <w:rPr>
                <w:rFonts w:cs="Arial"/>
                <w:sz w:val="16"/>
                <w:szCs w:val="16"/>
                <w:lang w:val="en-GB"/>
              </w:rPr>
              <w:t>.</w:t>
            </w:r>
            <w:r w:rsidRPr="00722926">
              <w:rPr>
                <w:rFonts w:cs="Arial"/>
                <w:sz w:val="16"/>
                <w:szCs w:val="16"/>
                <w:lang w:val="en-GB"/>
              </w:rPr>
              <w:t>2</w:t>
            </w:r>
            <w:r>
              <w:rPr>
                <w:rFonts w:cs="Arial"/>
                <w:sz w:val="16"/>
                <w:szCs w:val="16"/>
                <w:lang w:val="en-GB"/>
              </w:rPr>
              <w:t>8 x10</w:t>
            </w:r>
            <w:r w:rsidRPr="009531CD">
              <w:rPr>
                <w:rFonts w:cs="Arial"/>
                <w:sz w:val="16"/>
                <w:szCs w:val="16"/>
                <w:vertAlign w:val="superscript"/>
                <w:lang w:val="en-GB"/>
              </w:rPr>
              <w:t>3</w:t>
            </w:r>
          </w:p>
        </w:tc>
      </w:tr>
      <w:tr w:rsidR="009531CD" w:rsidRPr="00B57B36" w14:paraId="00502952" w14:textId="77777777" w:rsidTr="009531CD">
        <w:trPr>
          <w:trHeight w:val="237"/>
        </w:trPr>
        <w:tc>
          <w:tcPr>
            <w:tcW w:w="35" w:type="dxa"/>
            <w:shd w:val="clear" w:color="auto" w:fill="FFFFFF"/>
          </w:tcPr>
          <w:p w14:paraId="551C203B" w14:textId="77777777" w:rsidR="009531CD" w:rsidRPr="00B57B36" w:rsidRDefault="009531CD" w:rsidP="009531CD">
            <w:pPr>
              <w:pStyle w:val="CETBodytext"/>
              <w:ind w:right="-1"/>
              <w:jc w:val="left"/>
              <w:rPr>
                <w:rFonts w:cs="Arial"/>
                <w:szCs w:val="18"/>
                <w:lang w:val="en-GB"/>
              </w:rPr>
            </w:pPr>
          </w:p>
        </w:tc>
        <w:tc>
          <w:tcPr>
            <w:tcW w:w="1636" w:type="dxa"/>
            <w:shd w:val="clear" w:color="auto" w:fill="FFFFFF"/>
          </w:tcPr>
          <w:p w14:paraId="330D5698" w14:textId="77777777" w:rsidR="009531CD" w:rsidRDefault="009531CD" w:rsidP="009531CD">
            <w:pPr>
              <w:pStyle w:val="CETBodytext"/>
              <w:ind w:right="-1"/>
              <w:rPr>
                <w:rFonts w:cs="Arial"/>
                <w:szCs w:val="18"/>
                <w:lang w:val="en-GB"/>
              </w:rPr>
            </w:pPr>
            <w:r>
              <w:rPr>
                <w:rFonts w:cs="Arial"/>
                <w:szCs w:val="18"/>
                <w:lang w:val="en-GB"/>
              </w:rPr>
              <w:t>R</w:t>
            </w:r>
            <w:r w:rsidRPr="00722926">
              <w:rPr>
                <w:rFonts w:cs="Arial"/>
                <w:szCs w:val="18"/>
                <w:vertAlign w:val="superscript"/>
                <w:lang w:val="en-GB"/>
              </w:rPr>
              <w:t>2</w:t>
            </w:r>
          </w:p>
        </w:tc>
        <w:tc>
          <w:tcPr>
            <w:tcW w:w="1153" w:type="dxa"/>
            <w:shd w:val="clear" w:color="auto" w:fill="FFFFFF"/>
          </w:tcPr>
          <w:p w14:paraId="21BFD2EC"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0.98</w:t>
            </w:r>
          </w:p>
        </w:tc>
        <w:tc>
          <w:tcPr>
            <w:tcW w:w="1545" w:type="dxa"/>
            <w:shd w:val="clear" w:color="auto" w:fill="FFFFFF"/>
          </w:tcPr>
          <w:p w14:paraId="570B6912"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0.99</w:t>
            </w:r>
          </w:p>
        </w:tc>
        <w:tc>
          <w:tcPr>
            <w:tcW w:w="1537" w:type="dxa"/>
            <w:shd w:val="clear" w:color="auto" w:fill="FFFFFF"/>
          </w:tcPr>
          <w:p w14:paraId="6BCAC05D"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0.97</w:t>
            </w:r>
          </w:p>
        </w:tc>
        <w:tc>
          <w:tcPr>
            <w:tcW w:w="1261" w:type="dxa"/>
            <w:shd w:val="clear" w:color="auto" w:fill="FFFFFF"/>
          </w:tcPr>
          <w:p w14:paraId="5C428E0B" w14:textId="77777777" w:rsidR="009531CD" w:rsidRPr="00722926" w:rsidRDefault="009531CD" w:rsidP="009531CD">
            <w:pPr>
              <w:pStyle w:val="CETBodytext"/>
              <w:ind w:right="-1"/>
              <w:rPr>
                <w:rFonts w:cs="Arial"/>
                <w:sz w:val="16"/>
                <w:szCs w:val="16"/>
                <w:lang w:val="en-GB"/>
              </w:rPr>
            </w:pPr>
            <w:r w:rsidRPr="00722926">
              <w:rPr>
                <w:rFonts w:cs="Arial"/>
                <w:sz w:val="16"/>
                <w:szCs w:val="16"/>
                <w:lang w:val="en-GB"/>
              </w:rPr>
              <w:t>0.99</w:t>
            </w:r>
          </w:p>
        </w:tc>
      </w:tr>
    </w:tbl>
    <w:p w14:paraId="77241797" w14:textId="77777777" w:rsidR="009531CD" w:rsidRPr="00722926" w:rsidRDefault="009531CD" w:rsidP="001E4D4B">
      <w:pPr>
        <w:pStyle w:val="CETCaption"/>
      </w:pPr>
    </w:p>
    <w:p w14:paraId="5836A085" w14:textId="2E223500" w:rsidR="009531CD" w:rsidRDefault="009531CD" w:rsidP="001E4D4B">
      <w:pPr>
        <w:pStyle w:val="CETBodytext"/>
        <w:rPr>
          <w:lang w:val="en-GB"/>
        </w:rPr>
      </w:pPr>
    </w:p>
    <w:p w14:paraId="567A1CE6" w14:textId="77777777" w:rsidR="00824083" w:rsidRDefault="00824083" w:rsidP="006E2C67">
      <w:pPr>
        <w:pStyle w:val="CETBodytext"/>
      </w:pPr>
    </w:p>
    <w:p w14:paraId="73CCC71E" w14:textId="77777777" w:rsidR="00824083" w:rsidRDefault="00824083" w:rsidP="006E2C67">
      <w:pPr>
        <w:pStyle w:val="CETBodytext"/>
      </w:pPr>
    </w:p>
    <w:p w14:paraId="267CAD68" w14:textId="2906D16B" w:rsidR="006E2C67" w:rsidRPr="006E2C67" w:rsidRDefault="006E2C67" w:rsidP="006E2C67">
      <w:pPr>
        <w:pStyle w:val="CETBodytext"/>
      </w:pPr>
      <w:r w:rsidRPr="006E2C67">
        <w:t xml:space="preserve">The decay kinetics of the two polymers were extremely comparable </w:t>
      </w:r>
      <w:r>
        <w:t>both as</w:t>
      </w:r>
      <w:r w:rsidRPr="006E2C67">
        <w:t xml:space="preserve"> basic and extruded materials. It was discovered that the characteristic degradation time of virgin materials was one order of magnitude longer </w:t>
      </w:r>
      <w:r w:rsidR="005D51B0">
        <w:t xml:space="preserve">than </w:t>
      </w:r>
      <w:r w:rsidRPr="006E2C67">
        <w:t>printed materials. The initial viscosity of the printed materials (4x10</w:t>
      </w:r>
      <w:r w:rsidRPr="006E2C67">
        <w:rPr>
          <w:vertAlign w:val="superscript"/>
        </w:rPr>
        <w:t>2</w:t>
      </w:r>
      <w:r w:rsidRPr="006E2C67">
        <w:t xml:space="preserve"> Pa*s) was achieved for virgin filaments after about 2x10</w:t>
      </w:r>
      <w:r w:rsidRPr="006E2C67">
        <w:rPr>
          <w:vertAlign w:val="superscript"/>
        </w:rPr>
        <w:t>4</w:t>
      </w:r>
      <w:r w:rsidRPr="006E2C67">
        <w:t xml:space="preserve"> s (about 5 hours) at 210</w:t>
      </w:r>
      <w:r>
        <w:t xml:space="preserve"> °</w:t>
      </w:r>
      <w:r w:rsidRPr="006E2C67">
        <w:t xml:space="preserve">C. Taking these factors into account, the combined effect of temperature and mechanical stress during </w:t>
      </w:r>
      <w:r>
        <w:t xml:space="preserve">printer </w:t>
      </w:r>
      <w:r w:rsidRPr="006E2C67">
        <w:t>extrusion</w:t>
      </w:r>
      <w:r w:rsidR="00FB4732">
        <w:t xml:space="preserve"> (residence time of polymer in the barrel approximately of 10 sec) </w:t>
      </w:r>
      <w:r w:rsidRPr="006E2C67">
        <w:t xml:space="preserve">could be compared to </w:t>
      </w:r>
      <w:r>
        <w:t>the effect</w:t>
      </w:r>
      <w:r w:rsidRPr="006E2C67">
        <w:t xml:space="preserve"> </w:t>
      </w:r>
      <w:r>
        <w:t xml:space="preserve">of the </w:t>
      </w:r>
      <w:r w:rsidRPr="006E2C67">
        <w:t xml:space="preserve">210 °C </w:t>
      </w:r>
      <w:r>
        <w:t xml:space="preserve">alone </w:t>
      </w:r>
      <w:r w:rsidRPr="006E2C67">
        <w:t>for 5 hours.</w:t>
      </w:r>
    </w:p>
    <w:p w14:paraId="3259EE52" w14:textId="02ACB7A8" w:rsidR="001E4D4B" w:rsidRDefault="006E1524" w:rsidP="00C9638D">
      <w:pPr>
        <w:pStyle w:val="CETHeadingxx"/>
      </w:pPr>
      <w:r>
        <w:lastRenderedPageBreak/>
        <w:t>3</w:t>
      </w:r>
      <w:r w:rsidR="006E2C67">
        <w:t>.</w:t>
      </w:r>
      <w:r>
        <w:t xml:space="preserve">2 </w:t>
      </w:r>
      <w:r w:rsidR="001E4D4B">
        <w:t>Infrared spectroscopy</w:t>
      </w:r>
    </w:p>
    <w:p w14:paraId="1554E0EC" w14:textId="69DC81AD" w:rsidR="00A34CAE" w:rsidRDefault="00A34CAE" w:rsidP="00A34CAE">
      <w:pPr>
        <w:rPr>
          <w:lang w:val="en-US"/>
        </w:rPr>
      </w:pPr>
      <w:r w:rsidRPr="00A34CAE">
        <w:rPr>
          <w:lang w:val="en-US"/>
        </w:rPr>
        <w:t xml:space="preserve">Figure </w:t>
      </w:r>
      <w:r w:rsidR="005D51B0">
        <w:rPr>
          <w:lang w:val="en-US"/>
        </w:rPr>
        <w:t>3</w:t>
      </w:r>
      <w:r w:rsidRPr="00A34CAE">
        <w:rPr>
          <w:lang w:val="en-US"/>
        </w:rPr>
        <w:t xml:space="preserve"> depicts a comparison of the FTIR-ATR spectra of basic filaments and printed materials. For each investigated system, several well-documented absorption features and overall aspects characteristics of</w:t>
      </w:r>
      <w:r>
        <w:rPr>
          <w:lang w:val="en-US"/>
        </w:rPr>
        <w:t xml:space="preserve"> </w:t>
      </w:r>
      <w:r w:rsidRPr="00A34CAE">
        <w:rPr>
          <w:lang w:val="en-US"/>
        </w:rPr>
        <w:t xml:space="preserve">semicrystalline PLA polymer </w:t>
      </w:r>
      <w:proofErr w:type="gramStart"/>
      <w:r w:rsidRPr="00A34CAE">
        <w:rPr>
          <w:lang w:val="en-US"/>
        </w:rPr>
        <w:t>were</w:t>
      </w:r>
      <w:proofErr w:type="gramEnd"/>
      <w:r w:rsidRPr="00A34CAE">
        <w:rPr>
          <w:lang w:val="en-US"/>
        </w:rPr>
        <w:t xml:space="preserve"> displayed.</w:t>
      </w:r>
    </w:p>
    <w:p w14:paraId="2C017BB9" w14:textId="7CF670DE" w:rsidR="001E4D4B" w:rsidRDefault="001E4D4B" w:rsidP="001E4D4B">
      <w:pPr>
        <w:jc w:val="left"/>
      </w:pPr>
      <w:r>
        <w:rPr>
          <w:noProof/>
        </w:rPr>
        <w:drawing>
          <wp:inline distT="0" distB="0" distL="0" distR="0" wp14:anchorId="76217B05" wp14:editId="0C4781B0">
            <wp:extent cx="4313509" cy="3600258"/>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1"/>
                    <a:stretch/>
                  </pic:blipFill>
                  <pic:spPr bwMode="auto">
                    <a:xfrm>
                      <a:off x="0" y="0"/>
                      <a:ext cx="4325763" cy="3610486"/>
                    </a:xfrm>
                    <a:prstGeom prst="rect">
                      <a:avLst/>
                    </a:prstGeom>
                    <a:noFill/>
                    <a:ln>
                      <a:noFill/>
                    </a:ln>
                    <a:extLst>
                      <a:ext uri="{53640926-AAD7-44D8-BBD7-CCE9431645EC}">
                        <a14:shadowObscured xmlns:a14="http://schemas.microsoft.com/office/drawing/2010/main"/>
                      </a:ext>
                    </a:extLst>
                  </pic:spPr>
                </pic:pic>
              </a:graphicData>
            </a:graphic>
          </wp:inline>
        </w:drawing>
      </w:r>
    </w:p>
    <w:p w14:paraId="4FF444AB" w14:textId="67C20643" w:rsidR="001E4D4B" w:rsidRDefault="001E4D4B" w:rsidP="001E4D4B">
      <w:pPr>
        <w:pStyle w:val="CETCaption"/>
      </w:pPr>
      <w:r w:rsidRPr="000118AE">
        <w:t xml:space="preserve">Figure </w:t>
      </w:r>
      <w:r w:rsidR="005D51B0">
        <w:t>3</w:t>
      </w:r>
      <w:r>
        <w:t>: ATR spectra of basic filament (dashed curve) and 3D printed material (solid curve) for virgin (a), recycled PLA (b), and composite (c) materials.</w:t>
      </w:r>
    </w:p>
    <w:p w14:paraId="2C0B9D3E" w14:textId="4229D5CF" w:rsidR="00A950E4" w:rsidRDefault="001E4D4B" w:rsidP="00A950E4">
      <w:pPr>
        <w:pStyle w:val="CETBodytext"/>
      </w:pPr>
      <w:r>
        <w:t xml:space="preserve">Similar to the work by </w:t>
      </w:r>
      <w:r w:rsidRPr="00A24106">
        <w:t>Pop et al.</w:t>
      </w:r>
      <w:r w:rsidRPr="00A24106">
        <w:fldChar w:fldCharType="begin" w:fldLock="1"/>
      </w:r>
      <w:r w:rsidR="00A24106">
        <w:instrText>ADDIN CSL_CITATION {"citationItems":[{"id":"ITEM-1","itemData":{"DOI":"10.1002/APP.47382","ISSN":"1097-4628","abstract":"Three-dimensional (3D) printing processes are nowadays leading the charge in transforming traditional art, engineering, and manufacturing processes. In this study, the structural and thermal behavior of commercially available filaments composed of synthetic poly(acrylonitrile-co-butadiene-co-styrene) thermoplastic as well as poly(lactic acid) and poly(lactic acid)/polyhydroxyalcanoate reinforced with bamboo (Bambusa sp.) wood flour composite biothermoplastics were assessed by differential scanning calorimetry and infrared spectroscopy, aiming to understand the modifications that occur at the molecular level during their 3D printing. It has been determined that the biothermoplastic materials undergo both molecular reorientations related to tacticity increase and crystallinity decrease when submitted to 3D printing extrusion, while the synthetic thermoplastic undergoes crosslinking due to its butadiene component. All of the studied materials present good water stability (with water uptake values between 0.8% and 24%), and the water absorption follows a pseudo-Fickian mechanism. © 2019 Wiley Periodicals, Inc. J. Appl. Polym. Sci. 2019.","author":[{"dropping-particle":"","family":"Pop","given":"Mihai Alin","non-dropping-particle":"","parse-names":false,"suffix":""},{"dropping-particle":"","family":"Croitoru","given":"Catalin","non-dropping-particle":"","parse-names":false,"suffix":""},{"dropping-particle":"","family":"Bedő","given":"Tibor","non-dropping-particle":"","parse-names":false,"suffix":""},{"dropping-particle":"","family":"Geaman","given":"Virgil","non-dropping-particle":"","parse-names":false,"suffix":""},{"dropping-particle":"","family":"Radomir","given":"Irinel","non-dropping-particle":"","parse-names":false,"suffix":""},{"dropping-particle":"","family":"Coșnița","given":"Mihaela","non-dropping-particle":"","parse-names":false,"suffix":""},{"dropping-particle":"","family":"Zaharia","given":"Sebastian Marian","non-dropping-particle":"","parse-names":false,"suffix":""},{"dropping-particle":"","family":"Chicoș","given":"Lucia Antoaneta","non-dropping-particle":"","parse-names":false,"suffix":""},{"dropping-particle":"","family":"Miloșan","given":"Ioan","non-dropping-particle":"","parse-names":false,"suffix":""}],"container-title":"Journal of Applied Polymer Science","id":"ITEM-1","issue":"17","issued":{"date-parts":[["2019","5","5"]]},"page":"47382","publisher":"John Wiley &amp; Sons, Ltd","title":"Structural changes during 3D printing of bioderived and synthetic thermoplastic materials","type":"article-journal","volume":"136"},"uris":["http://www.mendeley.com/documents/?uuid=2d3f76fa-c30b-3f3c-9997-dc4f276e3e73"]}],"mendeley":{"formattedCitation":"(Pop et al., 2019)","manualFormatting":"( 2019)","plainTextFormattedCitation":"(Pop et al., 2019)","previouslyFormattedCitation":"(Pop et al., 2019)"},"properties":{"noteIndex":0},"schema":"https://github.com/citation-style-language/schema/raw/master/csl-citation.json"}</w:instrText>
      </w:r>
      <w:r w:rsidRPr="00A24106">
        <w:fldChar w:fldCharType="separate"/>
      </w:r>
      <w:r w:rsidR="00A24106" w:rsidRPr="00A24106">
        <w:rPr>
          <w:noProof/>
        </w:rPr>
        <w:t>( 2019)</w:t>
      </w:r>
      <w:r w:rsidRPr="00A24106">
        <w:fldChar w:fldCharType="end"/>
      </w:r>
      <w:r>
        <w:t xml:space="preserve"> the main changes in intensity between the basic and printed samples were found in correspondence of: </w:t>
      </w:r>
      <w:proofErr w:type="spellStart"/>
      <w:r>
        <w:t>i</w:t>
      </w:r>
      <w:proofErr w:type="spellEnd"/>
      <w:r>
        <w:t>) the characteristic peaks of C-H alkane stretching in the range of 2800-3000 cm</w:t>
      </w:r>
      <w:r w:rsidRPr="001529A6">
        <w:rPr>
          <w:vertAlign w:val="superscript"/>
        </w:rPr>
        <w:t>-1</w:t>
      </w:r>
      <w:r>
        <w:t>; ii) the characteristic peak attributed carboxyl group (C=O) stretching at 1750 cm</w:t>
      </w:r>
      <w:r w:rsidRPr="001529A6">
        <w:rPr>
          <w:vertAlign w:val="superscript"/>
        </w:rPr>
        <w:t>-1</w:t>
      </w:r>
      <w:r>
        <w:t>; iii) peaks at 1183 cm</w:t>
      </w:r>
      <w:r w:rsidRPr="003F66C3">
        <w:rPr>
          <w:vertAlign w:val="superscript"/>
        </w:rPr>
        <w:t>-1</w:t>
      </w:r>
      <w:r>
        <w:t xml:space="preserve"> and at 1085 cm</w:t>
      </w:r>
      <w:r w:rsidRPr="003F66C3">
        <w:rPr>
          <w:vertAlign w:val="superscript"/>
        </w:rPr>
        <w:t>-1</w:t>
      </w:r>
      <w:r>
        <w:t xml:space="preserve">, the first attributed to the C-O vibration of ester group (symmetric stretching), the second attributed to the C-O-C vibration of ester group (asymmetric stretching). </w:t>
      </w:r>
      <w:proofErr w:type="gramStart"/>
      <w:r w:rsidR="00A34CAE" w:rsidRPr="00A34CAE">
        <w:t>All of</w:t>
      </w:r>
      <w:proofErr w:type="gramEnd"/>
      <w:r w:rsidR="00A34CAE" w:rsidRPr="00A34CAE">
        <w:t xml:space="preserve"> the tested materials showed very similar </w:t>
      </w:r>
      <w:r w:rsidR="00247449" w:rsidRPr="00A34CAE">
        <w:t>variations</w:t>
      </w:r>
      <w:r w:rsidR="00A34CAE" w:rsidRPr="00A34CAE">
        <w:t xml:space="preserve"> in absorbance intensity of characteristic groups (Table 2). The reduction in intensity in correspondence of 1085 cm</w:t>
      </w:r>
      <w:r w:rsidR="00A34CAE" w:rsidRPr="005D51B0">
        <w:rPr>
          <w:vertAlign w:val="superscript"/>
        </w:rPr>
        <w:t>-1</w:t>
      </w:r>
      <w:r w:rsidR="00A34CAE" w:rsidRPr="00A34CAE">
        <w:t xml:space="preserve"> and 1183 cm</w:t>
      </w:r>
      <w:r w:rsidR="00A34CAE" w:rsidRPr="005D51B0">
        <w:rPr>
          <w:vertAlign w:val="superscript"/>
        </w:rPr>
        <w:t>-1</w:t>
      </w:r>
      <w:r w:rsidR="00A34CAE" w:rsidRPr="00A34CAE">
        <w:t xml:space="preserve"> was slightly higher than 20% for the PLA-1 and PLA-2 filaments, and around 13% for the PLA-3 filament; the reduction in carboxyl group absorbance in correspondence at 1750 cm</w:t>
      </w:r>
      <w:r w:rsidR="00A34CAE" w:rsidRPr="00247449">
        <w:rPr>
          <w:vertAlign w:val="superscript"/>
        </w:rPr>
        <w:t>-1</w:t>
      </w:r>
      <w:r w:rsidR="00A34CAE" w:rsidRPr="00A34CAE">
        <w:t xml:space="preserve"> was around 20-30%.</w:t>
      </w:r>
      <w:r w:rsidR="00A34CAE">
        <w:t xml:space="preserve"> </w:t>
      </w:r>
      <w:r w:rsidR="00A34CAE" w:rsidRPr="00A34CAE">
        <w:t xml:space="preserve">The latter signal grew in proportion to the presence of syndiotactic polylactide acid and was thought to be indicative of morphological changes. As a result, </w:t>
      </w:r>
      <w:r w:rsidR="00247449" w:rsidRPr="00A34CAE">
        <w:t>changes</w:t>
      </w:r>
      <w:r w:rsidR="00A34CAE" w:rsidRPr="00A34CAE">
        <w:t xml:space="preserve"> in the intensity of this band have been linked to the restructuring of PLA macromolecules during 3D printing</w:t>
      </w:r>
      <w:r w:rsidR="0033472C">
        <w:t xml:space="preserve"> </w:t>
      </w:r>
      <w:r w:rsidR="001E3A95" w:rsidRPr="001E3A95">
        <w:fldChar w:fldCharType="begin" w:fldLock="1"/>
      </w:r>
      <w:r w:rsidR="001E3A95" w:rsidRPr="001E3A95">
        <w:instrText>ADDIN CSL_CITATION {"citationItems":[{"id":"ITEM-1","itemData":{"DOI":"10.1002/APP.47382","ISSN":"1097-4628","abstract":"Three-dimensional (3D) printing processes are nowadays leading the charge in transforming traditional art, engineering, and manufacturing processes. In this study, the structural and thermal behavior of commercially available filaments composed of synthetic poly(acrylonitrile-co-butadiene-co-styrene) thermoplastic as well as poly(lactic acid) and poly(lactic acid)/polyhydroxyalcanoate reinforced with bamboo (Bambusa sp.) wood flour composite biothermoplastics were assessed by differential scanning calorimetry and infrared spectroscopy, aiming to understand the modifications that occur at the molecular level during their 3D printing. It has been determined that the biothermoplastic materials undergo both molecular reorientations related to tacticity increase and crystallinity decrease when submitted to 3D printing extrusion, while the synthetic thermoplastic undergoes crosslinking due to its butadiene component. All of the studied materials present good water stability (with water uptake values between 0.8% and 24%), and the water absorption follows a pseudo-Fickian mechanism. © 2019 Wiley Periodicals, Inc. J. Appl. Polym. Sci. 2019.","author":[{"dropping-particle":"","family":"Pop","given":"Mihai Alin","non-dropping-particle":"","parse-names":false,"suffix":""},{"dropping-particle":"","family":"Croitoru","given":"Catalin","non-dropping-particle":"","parse-names":false,"suffix":""},{"dropping-particle":"","family":"Bedő","given":"Tibor","non-dropping-particle":"","parse-names":false,"suffix":""},{"dropping-particle":"","family":"Geaman","given":"Virgil","non-dropping-particle":"","parse-names":false,"suffix":""},{"dropping-particle":"","family":"Radomir","given":"Irinel","non-dropping-particle":"","parse-names":false,"suffix":""},{"dropping-particle":"","family":"Coșnița","given":"Mihaela","non-dropping-particle":"","parse-names":false,"suffix":""},{"dropping-particle":"","family":"Zaharia","given":"Sebastian Marian","non-dropping-particle":"","parse-names":false,"suffix":""},{"dropping-particle":"","family":"Chicoș","given":"Lucia Antoaneta","non-dropping-particle":"","parse-names":false,"suffix":""},{"dropping-particle":"","family":"Miloșan","given":"Ioan","non-dropping-particle":"","parse-names":false,"suffix":""}],"container-title":"Journal of Applied Polymer Science","id":"ITEM-1","issue":"17","issued":{"date-parts":[["2019","5","5"]]},"page":"47382","publisher":"John Wiley &amp; Sons, Ltd","title":"Structural changes during 3D printing of bioderived and synthetic thermoplastic materials","type":"article-journal","volume":"136"},"uris":["http://www.mendeley.com/documents/?uuid=2d3f76fa-c30b-3f3c-9997-dc4f276e3e73"]}],"mendeley":{"formattedCitation":"(Pop et al., 2019)","plainTextFormattedCitation":"(Pop et al., 2019)","previouslyFormattedCitation":"(Pop et al., 2019)"},"properties":{"noteIndex":0},"schema":"https://github.com/citation-style-language/schema/raw/master/csl-citation.json"}</w:instrText>
      </w:r>
      <w:r w:rsidR="001E3A95" w:rsidRPr="001E3A95">
        <w:fldChar w:fldCharType="separate"/>
      </w:r>
      <w:r w:rsidR="001E3A95" w:rsidRPr="001E3A95">
        <w:rPr>
          <w:noProof/>
        </w:rPr>
        <w:t>(Pop et al., 2019)</w:t>
      </w:r>
      <w:r w:rsidR="001E3A95" w:rsidRPr="001E3A95">
        <w:fldChar w:fldCharType="end"/>
      </w:r>
      <w:r w:rsidR="00A950E4">
        <w:t xml:space="preserve">. </w:t>
      </w:r>
      <w:r w:rsidR="00A950E4" w:rsidRPr="00A950E4">
        <w:t>The slight increase in the hydroxyl band at 3400 cm</w:t>
      </w:r>
      <w:r w:rsidR="00A950E4" w:rsidRPr="00B02508">
        <w:rPr>
          <w:vertAlign w:val="superscript"/>
        </w:rPr>
        <w:t>-1</w:t>
      </w:r>
      <w:r w:rsidR="00A950E4" w:rsidRPr="00A950E4">
        <w:t xml:space="preserve"> after PLA processing </w:t>
      </w:r>
      <w:r w:rsidR="00B02508" w:rsidRPr="00B02508">
        <w:t>was regarded as insignificant</w:t>
      </w:r>
      <w:r w:rsidR="00A950E4" w:rsidRPr="00A950E4">
        <w:t>, indicating that degradation occurred primarily via chain scission</w:t>
      </w:r>
      <w:r w:rsidR="0003427E">
        <w:t xml:space="preserve"> </w:t>
      </w:r>
      <w:r w:rsidR="0003427E">
        <w:fldChar w:fldCharType="begin" w:fldLock="1"/>
      </w:r>
      <w:r w:rsidR="00917880">
        <w:instrText>ADDIN CSL_CITATION {"citationItems":[{"id":"ITEM-1","itemData":{"DOI":"10.1016/J.POLYMERTESTING.2016.03.005","ISSN":"0142-9418","abstract":"The role of temperature, shear and oxygen on PLA degradation was investigated. Thermo-mechanical degradation induces a larger decrease in PLA molecular weight than thermo-oxidative degradation. This was associated with different degradation processes (mainly chain scission) that took place under the two conditions. Given the PLA robustness to endure reprocessing, it was possible to conclude that the primary and secondary antioxidant (B900) had a synergetic effect on PLA stability.","author":[{"dropping-particle":"","family":"Oliveira","given":"Manuel","non-dropping-particle":"","parse-names":false,"suffix":""},{"dropping-particle":"","family":"Santos","given":"Elsa","non-dropping-particle":"","parse-names":false,"suffix":""},{"dropping-particle":"","family":"Araújo","given":"Andreia","non-dropping-particle":"","parse-names":false,"suffix":""},{"dropping-particle":"","family":"Fechine","given":"Guilhermino J.M.","non-dropping-particle":"","parse-names":false,"suffix":""},{"dropping-particle":"V.","family":"Machado","given":"Ana","non-dropping-particle":"","parse-names":false,"suffix":""},{"dropping-particle":"","family":"Botelho","given":"Gabriela","non-dropping-particle":"","parse-names":false,"suffix":""}],"container-title":"Polymer Testing","id":"ITEM-1","issued":{"date-parts":[["2016","5","1"]]},"page":"109-116","publisher":"Elsevier","title":"The role of shear and stabilizer on PLA degradation","type":"article-journal","volume":"51"},"uris":["http://www.mendeley.com/documents/?uuid=12c236e2-7a41-38ff-a81b-46a236c4a0fb"]}],"mendeley":{"formattedCitation":"(Oliveira et al., 2016)","plainTextFormattedCitation":"(Oliveira et al., 2016)","previouslyFormattedCitation":"(Oliveira et al., 2016)"},"properties":{"noteIndex":0},"schema":"https://github.com/citation-style-language/schema/raw/master/csl-citation.json"}</w:instrText>
      </w:r>
      <w:r w:rsidR="0003427E">
        <w:fldChar w:fldCharType="separate"/>
      </w:r>
      <w:r w:rsidR="0003427E" w:rsidRPr="0003427E">
        <w:rPr>
          <w:noProof/>
        </w:rPr>
        <w:t>(Oliveira et al., 2016)</w:t>
      </w:r>
      <w:r w:rsidR="0003427E">
        <w:fldChar w:fldCharType="end"/>
      </w:r>
      <w:r w:rsidR="00A950E4" w:rsidRPr="00A950E4">
        <w:t>.</w:t>
      </w:r>
      <w:r w:rsidR="0003427E">
        <w:t xml:space="preserve"> </w:t>
      </w:r>
    </w:p>
    <w:p w14:paraId="0A89B10C" w14:textId="77777777" w:rsidR="0003427E" w:rsidRDefault="0003427E" w:rsidP="00A950E4">
      <w:pPr>
        <w:pStyle w:val="CETBodytext"/>
      </w:pPr>
    </w:p>
    <w:p w14:paraId="7CCE8068" w14:textId="379AD5B5" w:rsidR="001E4D4B" w:rsidRPr="00B57B36" w:rsidRDefault="001E4D4B" w:rsidP="00A950E4">
      <w:pPr>
        <w:pStyle w:val="CETBodytext"/>
      </w:pPr>
      <w:r w:rsidRPr="00B57B36">
        <w:t xml:space="preserve">Table </w:t>
      </w:r>
      <w:r w:rsidR="001E3A95">
        <w:t>2</w:t>
      </w:r>
      <w:r w:rsidRPr="00B57B36">
        <w:t>:</w:t>
      </w:r>
      <w:r>
        <w:t xml:space="preserve"> Absorbance ratio between basic and printed materials at given wavelength.</w:t>
      </w:r>
    </w:p>
    <w:tbl>
      <w:tblPr>
        <w:tblW w:w="63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50"/>
        <w:gridCol w:w="903"/>
        <w:gridCol w:w="474"/>
        <w:gridCol w:w="1016"/>
        <w:gridCol w:w="641"/>
        <w:gridCol w:w="903"/>
      </w:tblGrid>
      <w:tr w:rsidR="001E4D4B" w:rsidRPr="00B57B36" w14:paraId="07E0EDDC" w14:textId="77777777" w:rsidTr="005C30E6">
        <w:trPr>
          <w:trHeight w:val="383"/>
        </w:trPr>
        <w:tc>
          <w:tcPr>
            <w:tcW w:w="2452" w:type="dxa"/>
            <w:tcBorders>
              <w:top w:val="single" w:sz="12" w:space="0" w:color="008000"/>
              <w:bottom w:val="single" w:sz="6" w:space="0" w:color="008000"/>
            </w:tcBorders>
            <w:shd w:val="clear" w:color="auto" w:fill="FFFFFF"/>
          </w:tcPr>
          <w:p w14:paraId="19210FD8" w14:textId="77777777" w:rsidR="001E4D4B" w:rsidRPr="00B57B36" w:rsidRDefault="001E4D4B" w:rsidP="005C30E6">
            <w:pPr>
              <w:pStyle w:val="CETBodytext"/>
              <w:jc w:val="left"/>
              <w:rPr>
                <w:lang w:val="en-GB"/>
              </w:rPr>
            </w:pPr>
            <w:r>
              <w:rPr>
                <w:lang w:val="en-GB"/>
              </w:rPr>
              <w:t>Wavelength</w:t>
            </w:r>
            <w:r>
              <w:t xml:space="preserve"> </w:t>
            </w:r>
          </w:p>
        </w:tc>
        <w:tc>
          <w:tcPr>
            <w:tcW w:w="901" w:type="dxa"/>
            <w:tcBorders>
              <w:top w:val="single" w:sz="12" w:space="0" w:color="008000"/>
              <w:bottom w:val="single" w:sz="6" w:space="0" w:color="008000"/>
            </w:tcBorders>
            <w:shd w:val="clear" w:color="auto" w:fill="FFFFFF"/>
          </w:tcPr>
          <w:p w14:paraId="246980E6" w14:textId="77777777" w:rsidR="001E4D4B" w:rsidRPr="00927AA9" w:rsidRDefault="00000000" w:rsidP="005C30E6">
            <w:pPr>
              <w:pStyle w:val="CETBodytext"/>
              <w:jc w:val="left"/>
              <w:rPr>
                <w:sz w:val="16"/>
                <w:szCs w:val="16"/>
                <w:lang w:val="en-GB"/>
              </w:rPr>
            </w:pPr>
            <m:oMathPara>
              <m:oMath>
                <m:f>
                  <m:fPr>
                    <m:ctrlPr>
                      <w:rPr>
                        <w:rFonts w:ascii="Cambria Math" w:hAnsi="Cambria Math"/>
                        <w:i/>
                        <w:sz w:val="16"/>
                        <w:szCs w:val="16"/>
                        <w:lang w:val="en-GB"/>
                      </w:rPr>
                    </m:ctrlPr>
                  </m:fPr>
                  <m:num>
                    <m:sSub>
                      <m:sSubPr>
                        <m:ctrlPr>
                          <w:rPr>
                            <w:rFonts w:ascii="Cambria Math" w:hAnsi="Cambria Math"/>
                            <w:i/>
                            <w:sz w:val="16"/>
                            <w:szCs w:val="16"/>
                            <w:lang w:val="en-GB"/>
                          </w:rPr>
                        </m:ctrlPr>
                      </m:sSubPr>
                      <m:e>
                        <m:r>
                          <w:rPr>
                            <w:rFonts w:ascii="Cambria Math" w:hAnsi="Cambria Math"/>
                            <w:sz w:val="16"/>
                            <w:szCs w:val="16"/>
                            <w:lang w:val="en-GB"/>
                          </w:rPr>
                          <m:t>A</m:t>
                        </m:r>
                      </m:e>
                      <m:sub>
                        <m:r>
                          <w:rPr>
                            <w:rFonts w:ascii="Cambria Math" w:hAnsi="Cambria Math"/>
                            <w:sz w:val="16"/>
                            <w:szCs w:val="16"/>
                            <w:lang w:val="en-GB"/>
                          </w:rPr>
                          <m:t>Printed PLA-1</m:t>
                        </m:r>
                      </m:sub>
                    </m:sSub>
                  </m:num>
                  <m:den>
                    <m:sSub>
                      <m:sSubPr>
                        <m:ctrlPr>
                          <w:rPr>
                            <w:rFonts w:ascii="Cambria Math" w:hAnsi="Cambria Math"/>
                            <w:i/>
                            <w:sz w:val="16"/>
                            <w:szCs w:val="16"/>
                            <w:lang w:val="en-GB"/>
                          </w:rPr>
                        </m:ctrlPr>
                      </m:sSubPr>
                      <m:e>
                        <m:r>
                          <w:rPr>
                            <w:rFonts w:ascii="Cambria Math" w:hAnsi="Cambria Math"/>
                            <w:sz w:val="16"/>
                            <w:szCs w:val="16"/>
                            <w:lang w:val="en-GB"/>
                          </w:rPr>
                          <m:t>A</m:t>
                        </m:r>
                      </m:e>
                      <m:sub>
                        <m:r>
                          <w:rPr>
                            <w:rFonts w:ascii="Cambria Math" w:hAnsi="Cambria Math"/>
                            <w:sz w:val="16"/>
                            <w:szCs w:val="16"/>
                            <w:lang w:val="en-GB"/>
                          </w:rPr>
                          <m:t>PLA-1</m:t>
                        </m:r>
                      </m:sub>
                    </m:sSub>
                  </m:den>
                </m:f>
              </m:oMath>
            </m:oMathPara>
          </w:p>
        </w:tc>
        <w:tc>
          <w:tcPr>
            <w:tcW w:w="475" w:type="dxa"/>
            <w:tcBorders>
              <w:top w:val="single" w:sz="12" w:space="0" w:color="008000"/>
              <w:bottom w:val="single" w:sz="6" w:space="0" w:color="008000"/>
            </w:tcBorders>
            <w:shd w:val="clear" w:color="auto" w:fill="FFFFFF"/>
          </w:tcPr>
          <w:p w14:paraId="7E82D091" w14:textId="77777777" w:rsidR="001E4D4B" w:rsidRPr="00927AA9" w:rsidRDefault="001E4D4B" w:rsidP="005C30E6">
            <w:pPr>
              <w:pStyle w:val="CETBodytext"/>
              <w:jc w:val="left"/>
              <w:rPr>
                <w:sz w:val="16"/>
                <w:szCs w:val="16"/>
                <w:lang w:val="en-GB"/>
              </w:rPr>
            </w:pPr>
          </w:p>
        </w:tc>
        <w:tc>
          <w:tcPr>
            <w:tcW w:w="1016" w:type="dxa"/>
            <w:tcBorders>
              <w:top w:val="single" w:sz="12" w:space="0" w:color="008000"/>
              <w:bottom w:val="single" w:sz="6" w:space="0" w:color="008000"/>
            </w:tcBorders>
            <w:shd w:val="clear" w:color="auto" w:fill="FFFFFF"/>
          </w:tcPr>
          <w:p w14:paraId="7B8842C8" w14:textId="77777777" w:rsidR="001E4D4B" w:rsidRPr="00927AA9" w:rsidRDefault="00000000" w:rsidP="005C30E6">
            <w:pPr>
              <w:pStyle w:val="CETBodytext"/>
              <w:jc w:val="left"/>
              <w:rPr>
                <w:sz w:val="16"/>
                <w:szCs w:val="16"/>
                <w:lang w:val="en-GB"/>
              </w:rPr>
            </w:pPr>
            <m:oMathPara>
              <m:oMath>
                <m:f>
                  <m:fPr>
                    <m:ctrlPr>
                      <w:rPr>
                        <w:rFonts w:ascii="Cambria Math" w:hAnsi="Cambria Math"/>
                        <w:i/>
                        <w:sz w:val="16"/>
                        <w:szCs w:val="16"/>
                        <w:lang w:val="en-GB"/>
                      </w:rPr>
                    </m:ctrlPr>
                  </m:fPr>
                  <m:num>
                    <m:sSub>
                      <m:sSubPr>
                        <m:ctrlPr>
                          <w:rPr>
                            <w:rFonts w:ascii="Cambria Math" w:hAnsi="Cambria Math"/>
                            <w:i/>
                            <w:sz w:val="16"/>
                            <w:szCs w:val="16"/>
                            <w:lang w:val="en-GB"/>
                          </w:rPr>
                        </m:ctrlPr>
                      </m:sSubPr>
                      <m:e>
                        <m:r>
                          <w:rPr>
                            <w:rFonts w:ascii="Cambria Math" w:hAnsi="Cambria Math"/>
                            <w:sz w:val="16"/>
                            <w:szCs w:val="16"/>
                            <w:lang w:val="en-GB"/>
                          </w:rPr>
                          <m:t>A</m:t>
                        </m:r>
                      </m:e>
                      <m:sub>
                        <m:r>
                          <w:rPr>
                            <w:rFonts w:ascii="Cambria Math" w:hAnsi="Cambria Math"/>
                            <w:sz w:val="16"/>
                            <w:szCs w:val="16"/>
                            <w:lang w:val="en-GB"/>
                          </w:rPr>
                          <m:t>Printed PLA-2</m:t>
                        </m:r>
                      </m:sub>
                    </m:sSub>
                  </m:num>
                  <m:den>
                    <m:sSub>
                      <m:sSubPr>
                        <m:ctrlPr>
                          <w:rPr>
                            <w:rFonts w:ascii="Cambria Math" w:hAnsi="Cambria Math"/>
                            <w:i/>
                            <w:sz w:val="16"/>
                            <w:szCs w:val="16"/>
                            <w:lang w:val="en-GB"/>
                          </w:rPr>
                        </m:ctrlPr>
                      </m:sSubPr>
                      <m:e>
                        <m:r>
                          <w:rPr>
                            <w:rFonts w:ascii="Cambria Math" w:hAnsi="Cambria Math"/>
                            <w:sz w:val="16"/>
                            <w:szCs w:val="16"/>
                            <w:lang w:val="en-GB"/>
                          </w:rPr>
                          <m:t>A</m:t>
                        </m:r>
                      </m:e>
                      <m:sub>
                        <m:r>
                          <w:rPr>
                            <w:rFonts w:ascii="Cambria Math" w:hAnsi="Cambria Math"/>
                            <w:sz w:val="16"/>
                            <w:szCs w:val="16"/>
                            <w:lang w:val="en-GB"/>
                          </w:rPr>
                          <m:t xml:space="preserve"> PLA-2</m:t>
                        </m:r>
                      </m:sub>
                    </m:sSub>
                  </m:den>
                </m:f>
              </m:oMath>
            </m:oMathPara>
          </w:p>
        </w:tc>
        <w:tc>
          <w:tcPr>
            <w:tcW w:w="642" w:type="dxa"/>
            <w:tcBorders>
              <w:top w:val="single" w:sz="12" w:space="0" w:color="008000"/>
              <w:bottom w:val="single" w:sz="6" w:space="0" w:color="008000"/>
            </w:tcBorders>
            <w:shd w:val="clear" w:color="auto" w:fill="FFFFFF"/>
          </w:tcPr>
          <w:p w14:paraId="3576F974" w14:textId="77777777" w:rsidR="001E4D4B" w:rsidRPr="00927AA9" w:rsidRDefault="001E4D4B" w:rsidP="005C30E6">
            <w:pPr>
              <w:pStyle w:val="CETBodytext"/>
              <w:jc w:val="left"/>
              <w:rPr>
                <w:sz w:val="16"/>
                <w:szCs w:val="16"/>
                <w:lang w:val="en-GB"/>
              </w:rPr>
            </w:pPr>
          </w:p>
        </w:tc>
        <w:tc>
          <w:tcPr>
            <w:tcW w:w="901" w:type="dxa"/>
            <w:tcBorders>
              <w:top w:val="single" w:sz="12" w:space="0" w:color="008000"/>
              <w:bottom w:val="single" w:sz="6" w:space="0" w:color="008000"/>
            </w:tcBorders>
            <w:shd w:val="clear" w:color="auto" w:fill="FFFFFF"/>
          </w:tcPr>
          <w:p w14:paraId="304CA84A" w14:textId="77777777" w:rsidR="001E4D4B" w:rsidRPr="00927AA9" w:rsidRDefault="00000000" w:rsidP="005C30E6">
            <w:pPr>
              <w:pStyle w:val="CETBodytext"/>
              <w:jc w:val="left"/>
              <w:rPr>
                <w:sz w:val="16"/>
                <w:szCs w:val="16"/>
                <w:lang w:val="en-GB"/>
              </w:rPr>
            </w:pPr>
            <m:oMathPara>
              <m:oMath>
                <m:f>
                  <m:fPr>
                    <m:ctrlPr>
                      <w:rPr>
                        <w:rFonts w:ascii="Cambria Math" w:hAnsi="Cambria Math"/>
                        <w:i/>
                        <w:sz w:val="16"/>
                        <w:szCs w:val="16"/>
                        <w:lang w:val="en-GB"/>
                      </w:rPr>
                    </m:ctrlPr>
                  </m:fPr>
                  <m:num>
                    <m:sSub>
                      <m:sSubPr>
                        <m:ctrlPr>
                          <w:rPr>
                            <w:rFonts w:ascii="Cambria Math" w:hAnsi="Cambria Math"/>
                            <w:i/>
                            <w:sz w:val="16"/>
                            <w:szCs w:val="16"/>
                            <w:lang w:val="en-GB"/>
                          </w:rPr>
                        </m:ctrlPr>
                      </m:sSubPr>
                      <m:e>
                        <m:r>
                          <w:rPr>
                            <w:rFonts w:ascii="Cambria Math" w:hAnsi="Cambria Math"/>
                            <w:sz w:val="16"/>
                            <w:szCs w:val="16"/>
                            <w:lang w:val="en-GB"/>
                          </w:rPr>
                          <m:t>A</m:t>
                        </m:r>
                      </m:e>
                      <m:sub>
                        <m:r>
                          <w:rPr>
                            <w:rFonts w:ascii="Cambria Math" w:hAnsi="Cambria Math"/>
                            <w:sz w:val="16"/>
                            <w:szCs w:val="16"/>
                            <w:lang w:val="en-GB"/>
                          </w:rPr>
                          <m:t>Printed PLA-3</m:t>
                        </m:r>
                      </m:sub>
                    </m:sSub>
                  </m:num>
                  <m:den>
                    <m:sSub>
                      <m:sSubPr>
                        <m:ctrlPr>
                          <w:rPr>
                            <w:rFonts w:ascii="Cambria Math" w:hAnsi="Cambria Math"/>
                            <w:i/>
                            <w:sz w:val="16"/>
                            <w:szCs w:val="16"/>
                            <w:lang w:val="en-GB"/>
                          </w:rPr>
                        </m:ctrlPr>
                      </m:sSubPr>
                      <m:e>
                        <m:r>
                          <w:rPr>
                            <w:rFonts w:ascii="Cambria Math" w:hAnsi="Cambria Math"/>
                            <w:sz w:val="16"/>
                            <w:szCs w:val="16"/>
                            <w:lang w:val="en-GB"/>
                          </w:rPr>
                          <m:t>A</m:t>
                        </m:r>
                      </m:e>
                      <m:sub>
                        <m:r>
                          <w:rPr>
                            <w:rFonts w:ascii="Cambria Math" w:hAnsi="Cambria Math"/>
                            <w:sz w:val="16"/>
                            <w:szCs w:val="16"/>
                            <w:lang w:val="en-GB"/>
                          </w:rPr>
                          <m:t>PLA-3</m:t>
                        </m:r>
                      </m:sub>
                    </m:sSub>
                  </m:den>
                </m:f>
              </m:oMath>
            </m:oMathPara>
          </w:p>
        </w:tc>
      </w:tr>
      <w:tr w:rsidR="001E4D4B" w:rsidRPr="00B57B36" w14:paraId="65C4B9BB" w14:textId="77777777" w:rsidTr="005C30E6">
        <w:trPr>
          <w:trHeight w:val="266"/>
        </w:trPr>
        <w:tc>
          <w:tcPr>
            <w:tcW w:w="2452" w:type="dxa"/>
            <w:shd w:val="clear" w:color="auto" w:fill="FFFFFF"/>
          </w:tcPr>
          <w:p w14:paraId="5B11D5A1" w14:textId="77777777" w:rsidR="001E4D4B" w:rsidRPr="00B57B36" w:rsidRDefault="001E4D4B" w:rsidP="005C30E6">
            <w:pPr>
              <w:pStyle w:val="CETBodytext"/>
              <w:jc w:val="left"/>
              <w:rPr>
                <w:lang w:val="en-GB"/>
              </w:rPr>
            </w:pPr>
            <w:r w:rsidRPr="00927AA9">
              <w:rPr>
                <w:sz w:val="16"/>
                <w:szCs w:val="16"/>
                <w:lang w:val="en-GB"/>
              </w:rPr>
              <w:t xml:space="preserve">2920 </w:t>
            </w:r>
            <w:proofErr w:type="gramStart"/>
            <w:r w:rsidRPr="00927AA9">
              <w:rPr>
                <w:sz w:val="16"/>
                <w:szCs w:val="16"/>
                <w:lang w:val="en-GB"/>
              </w:rPr>
              <w:t>cm</w:t>
            </w:r>
            <w:r w:rsidRPr="00927AA9">
              <w:rPr>
                <w:sz w:val="16"/>
                <w:szCs w:val="16"/>
                <w:vertAlign w:val="superscript"/>
                <w:lang w:val="en-GB"/>
              </w:rPr>
              <w:t>-</w:t>
            </w:r>
            <w:r>
              <w:rPr>
                <w:sz w:val="16"/>
                <w:szCs w:val="16"/>
                <w:vertAlign w:val="superscript"/>
                <w:lang w:val="en-GB"/>
              </w:rPr>
              <w:t>1</w:t>
            </w:r>
            <w:proofErr w:type="gramEnd"/>
          </w:p>
        </w:tc>
        <w:tc>
          <w:tcPr>
            <w:tcW w:w="901" w:type="dxa"/>
            <w:shd w:val="clear" w:color="auto" w:fill="FFFFFF"/>
          </w:tcPr>
          <w:p w14:paraId="563D70FB" w14:textId="77777777" w:rsidR="001E4D4B" w:rsidRPr="00B57B36" w:rsidRDefault="001E4D4B" w:rsidP="005C30E6">
            <w:pPr>
              <w:pStyle w:val="CETBodytext"/>
              <w:rPr>
                <w:lang w:val="en-GB"/>
              </w:rPr>
            </w:pPr>
            <w:r>
              <w:rPr>
                <w:lang w:val="en-GB"/>
              </w:rPr>
              <w:t>1.92</w:t>
            </w:r>
          </w:p>
        </w:tc>
        <w:tc>
          <w:tcPr>
            <w:tcW w:w="475" w:type="dxa"/>
            <w:shd w:val="clear" w:color="auto" w:fill="FFFFFF"/>
          </w:tcPr>
          <w:p w14:paraId="0E2431D1" w14:textId="77777777" w:rsidR="001E4D4B" w:rsidRPr="00B57B36" w:rsidRDefault="001E4D4B" w:rsidP="005C30E6">
            <w:pPr>
              <w:pStyle w:val="CETBodytext"/>
              <w:rPr>
                <w:lang w:val="en-GB"/>
              </w:rPr>
            </w:pPr>
          </w:p>
        </w:tc>
        <w:tc>
          <w:tcPr>
            <w:tcW w:w="1016" w:type="dxa"/>
            <w:shd w:val="clear" w:color="auto" w:fill="FFFFFF"/>
          </w:tcPr>
          <w:p w14:paraId="1D97D03B" w14:textId="77777777" w:rsidR="001E4D4B" w:rsidRPr="00B57B36" w:rsidRDefault="001E4D4B" w:rsidP="005C30E6">
            <w:pPr>
              <w:pStyle w:val="CETBodytext"/>
              <w:rPr>
                <w:lang w:val="en-GB"/>
              </w:rPr>
            </w:pPr>
            <w:r>
              <w:rPr>
                <w:lang w:val="en-GB"/>
              </w:rPr>
              <w:t>4.43</w:t>
            </w:r>
          </w:p>
        </w:tc>
        <w:tc>
          <w:tcPr>
            <w:tcW w:w="642" w:type="dxa"/>
            <w:shd w:val="clear" w:color="auto" w:fill="FFFFFF"/>
          </w:tcPr>
          <w:p w14:paraId="641C2ED7" w14:textId="77777777" w:rsidR="001E4D4B" w:rsidRPr="00B57B36" w:rsidRDefault="001E4D4B" w:rsidP="005C30E6">
            <w:pPr>
              <w:pStyle w:val="CETBodytext"/>
              <w:rPr>
                <w:lang w:val="en-GB"/>
              </w:rPr>
            </w:pPr>
          </w:p>
        </w:tc>
        <w:tc>
          <w:tcPr>
            <w:tcW w:w="901" w:type="dxa"/>
            <w:shd w:val="clear" w:color="auto" w:fill="FFFFFF"/>
          </w:tcPr>
          <w:p w14:paraId="283DCBEB" w14:textId="77777777" w:rsidR="001E4D4B" w:rsidRPr="00B57B36" w:rsidRDefault="001E4D4B" w:rsidP="005C30E6">
            <w:pPr>
              <w:pStyle w:val="CETBodytext"/>
              <w:rPr>
                <w:lang w:val="en-GB"/>
              </w:rPr>
            </w:pPr>
            <w:r>
              <w:rPr>
                <w:lang w:val="en-GB"/>
              </w:rPr>
              <w:t>1.28</w:t>
            </w:r>
          </w:p>
        </w:tc>
      </w:tr>
      <w:tr w:rsidR="001E4D4B" w:rsidRPr="00B57B36" w14:paraId="39F746E8" w14:textId="77777777" w:rsidTr="005C30E6">
        <w:trPr>
          <w:trHeight w:val="255"/>
        </w:trPr>
        <w:tc>
          <w:tcPr>
            <w:tcW w:w="2452" w:type="dxa"/>
            <w:shd w:val="clear" w:color="auto" w:fill="FFFFFF"/>
          </w:tcPr>
          <w:p w14:paraId="47162016" w14:textId="77777777" w:rsidR="001E4D4B" w:rsidRPr="00B57B36" w:rsidRDefault="001E4D4B" w:rsidP="005C30E6">
            <w:pPr>
              <w:pStyle w:val="CETBodytext"/>
              <w:ind w:right="-1"/>
              <w:jc w:val="left"/>
              <w:rPr>
                <w:rFonts w:cs="Arial"/>
                <w:szCs w:val="18"/>
                <w:lang w:val="en-GB"/>
              </w:rPr>
            </w:pPr>
            <w:r w:rsidRPr="00927AA9">
              <w:rPr>
                <w:sz w:val="16"/>
                <w:szCs w:val="16"/>
                <w:lang w:val="en-GB"/>
              </w:rPr>
              <w:t xml:space="preserve">1750 </w:t>
            </w:r>
            <w:proofErr w:type="gramStart"/>
            <w:r w:rsidRPr="00927AA9">
              <w:rPr>
                <w:sz w:val="16"/>
                <w:szCs w:val="16"/>
                <w:lang w:val="en-GB"/>
              </w:rPr>
              <w:t>cm</w:t>
            </w:r>
            <w:r w:rsidRPr="00927AA9">
              <w:rPr>
                <w:sz w:val="16"/>
                <w:szCs w:val="16"/>
                <w:vertAlign w:val="superscript"/>
                <w:lang w:val="en-GB"/>
              </w:rPr>
              <w:t>-</w:t>
            </w:r>
            <w:r>
              <w:rPr>
                <w:sz w:val="16"/>
                <w:szCs w:val="16"/>
                <w:vertAlign w:val="superscript"/>
                <w:lang w:val="en-GB"/>
              </w:rPr>
              <w:t>1</w:t>
            </w:r>
            <w:proofErr w:type="gramEnd"/>
          </w:p>
        </w:tc>
        <w:tc>
          <w:tcPr>
            <w:tcW w:w="901" w:type="dxa"/>
            <w:shd w:val="clear" w:color="auto" w:fill="FFFFFF"/>
          </w:tcPr>
          <w:p w14:paraId="36D9CE13" w14:textId="77777777" w:rsidR="001E4D4B" w:rsidRDefault="001E4D4B" w:rsidP="005C30E6">
            <w:pPr>
              <w:pStyle w:val="CETBodytext"/>
              <w:ind w:right="-1"/>
              <w:rPr>
                <w:rFonts w:cs="Arial"/>
                <w:szCs w:val="18"/>
                <w:lang w:val="en-GB"/>
              </w:rPr>
            </w:pPr>
            <w:r>
              <w:rPr>
                <w:rFonts w:cs="Arial"/>
                <w:szCs w:val="18"/>
                <w:lang w:val="en-GB"/>
              </w:rPr>
              <w:t>0.76</w:t>
            </w:r>
          </w:p>
        </w:tc>
        <w:tc>
          <w:tcPr>
            <w:tcW w:w="475" w:type="dxa"/>
            <w:shd w:val="clear" w:color="auto" w:fill="FFFFFF"/>
          </w:tcPr>
          <w:p w14:paraId="5CC37FD3" w14:textId="77777777" w:rsidR="001E4D4B" w:rsidRDefault="001E4D4B" w:rsidP="005C30E6">
            <w:pPr>
              <w:pStyle w:val="CETBodytext"/>
              <w:ind w:right="-1"/>
              <w:rPr>
                <w:rFonts w:cs="Arial"/>
                <w:szCs w:val="18"/>
                <w:lang w:val="en-GB"/>
              </w:rPr>
            </w:pPr>
          </w:p>
        </w:tc>
        <w:tc>
          <w:tcPr>
            <w:tcW w:w="1016" w:type="dxa"/>
            <w:shd w:val="clear" w:color="auto" w:fill="FFFFFF"/>
          </w:tcPr>
          <w:p w14:paraId="530BA216" w14:textId="77777777" w:rsidR="001E4D4B" w:rsidRDefault="001E4D4B" w:rsidP="005C30E6">
            <w:pPr>
              <w:pStyle w:val="CETBodytext"/>
              <w:ind w:right="-1"/>
              <w:rPr>
                <w:rFonts w:cs="Arial"/>
                <w:szCs w:val="18"/>
                <w:lang w:val="en-GB"/>
              </w:rPr>
            </w:pPr>
            <w:r>
              <w:rPr>
                <w:rFonts w:cs="Arial"/>
                <w:szCs w:val="18"/>
                <w:lang w:val="en-GB"/>
              </w:rPr>
              <w:t>0.74</w:t>
            </w:r>
          </w:p>
        </w:tc>
        <w:tc>
          <w:tcPr>
            <w:tcW w:w="642" w:type="dxa"/>
            <w:shd w:val="clear" w:color="auto" w:fill="FFFFFF"/>
          </w:tcPr>
          <w:p w14:paraId="0055F712" w14:textId="77777777" w:rsidR="001E4D4B" w:rsidRDefault="001E4D4B" w:rsidP="005C30E6">
            <w:pPr>
              <w:pStyle w:val="CETBodytext"/>
              <w:ind w:right="-1"/>
              <w:rPr>
                <w:rFonts w:cs="Arial"/>
                <w:szCs w:val="18"/>
                <w:lang w:val="en-GB"/>
              </w:rPr>
            </w:pPr>
          </w:p>
        </w:tc>
        <w:tc>
          <w:tcPr>
            <w:tcW w:w="901" w:type="dxa"/>
            <w:shd w:val="clear" w:color="auto" w:fill="FFFFFF"/>
          </w:tcPr>
          <w:p w14:paraId="7CF40F2E" w14:textId="77777777" w:rsidR="001E4D4B" w:rsidRDefault="001E4D4B" w:rsidP="005C30E6">
            <w:pPr>
              <w:pStyle w:val="CETBodytext"/>
              <w:ind w:right="-1"/>
              <w:rPr>
                <w:rFonts w:cs="Arial"/>
                <w:szCs w:val="18"/>
                <w:lang w:val="en-GB"/>
              </w:rPr>
            </w:pPr>
            <w:r>
              <w:rPr>
                <w:rFonts w:cs="Arial"/>
                <w:szCs w:val="18"/>
                <w:lang w:val="en-GB"/>
              </w:rPr>
              <w:t>0.81</w:t>
            </w:r>
          </w:p>
        </w:tc>
      </w:tr>
      <w:tr w:rsidR="001E4D4B" w:rsidRPr="00B57B36" w14:paraId="1F084196" w14:textId="77777777" w:rsidTr="005C30E6">
        <w:trPr>
          <w:trHeight w:val="255"/>
        </w:trPr>
        <w:tc>
          <w:tcPr>
            <w:tcW w:w="2452" w:type="dxa"/>
            <w:shd w:val="clear" w:color="auto" w:fill="FFFFFF"/>
          </w:tcPr>
          <w:p w14:paraId="5E68096C" w14:textId="77777777" w:rsidR="001E4D4B" w:rsidRDefault="001E4D4B" w:rsidP="005C30E6">
            <w:pPr>
              <w:pStyle w:val="CETBodytext"/>
              <w:ind w:right="-1"/>
              <w:jc w:val="left"/>
              <w:rPr>
                <w:lang w:val="en-GB"/>
              </w:rPr>
            </w:pPr>
            <w:r w:rsidRPr="00927AA9">
              <w:rPr>
                <w:sz w:val="16"/>
                <w:szCs w:val="16"/>
                <w:lang w:val="en-GB"/>
              </w:rPr>
              <w:t xml:space="preserve">1650 </w:t>
            </w:r>
            <w:proofErr w:type="gramStart"/>
            <w:r w:rsidRPr="00927AA9">
              <w:rPr>
                <w:sz w:val="16"/>
                <w:szCs w:val="16"/>
                <w:lang w:val="en-GB"/>
              </w:rPr>
              <w:t>cm</w:t>
            </w:r>
            <w:r w:rsidRPr="00927AA9">
              <w:rPr>
                <w:sz w:val="16"/>
                <w:szCs w:val="16"/>
                <w:vertAlign w:val="superscript"/>
                <w:lang w:val="en-GB"/>
              </w:rPr>
              <w:t>-1</w:t>
            </w:r>
            <w:proofErr w:type="gramEnd"/>
          </w:p>
        </w:tc>
        <w:tc>
          <w:tcPr>
            <w:tcW w:w="901" w:type="dxa"/>
            <w:shd w:val="clear" w:color="auto" w:fill="FFFFFF"/>
          </w:tcPr>
          <w:p w14:paraId="583E5797" w14:textId="77777777" w:rsidR="001E4D4B" w:rsidRDefault="001E4D4B" w:rsidP="005C30E6">
            <w:pPr>
              <w:pStyle w:val="CETBodytext"/>
              <w:ind w:right="-1"/>
              <w:rPr>
                <w:rFonts w:cs="Arial"/>
                <w:szCs w:val="18"/>
                <w:lang w:val="en-GB"/>
              </w:rPr>
            </w:pPr>
            <w:r>
              <w:rPr>
                <w:rFonts w:cs="Arial"/>
                <w:szCs w:val="18"/>
                <w:lang w:val="en-GB"/>
              </w:rPr>
              <w:t>2.00</w:t>
            </w:r>
          </w:p>
        </w:tc>
        <w:tc>
          <w:tcPr>
            <w:tcW w:w="475" w:type="dxa"/>
            <w:shd w:val="clear" w:color="auto" w:fill="FFFFFF"/>
          </w:tcPr>
          <w:p w14:paraId="6AB31026" w14:textId="77777777" w:rsidR="001E4D4B" w:rsidRDefault="001E4D4B" w:rsidP="005C30E6">
            <w:pPr>
              <w:pStyle w:val="CETBodytext"/>
              <w:ind w:right="-1"/>
              <w:rPr>
                <w:rFonts w:cs="Arial"/>
                <w:szCs w:val="18"/>
                <w:lang w:val="en-GB"/>
              </w:rPr>
            </w:pPr>
          </w:p>
        </w:tc>
        <w:tc>
          <w:tcPr>
            <w:tcW w:w="1016" w:type="dxa"/>
            <w:shd w:val="clear" w:color="auto" w:fill="FFFFFF"/>
          </w:tcPr>
          <w:p w14:paraId="727F68E7" w14:textId="77777777" w:rsidR="001E4D4B" w:rsidRDefault="001E4D4B" w:rsidP="005C30E6">
            <w:pPr>
              <w:pStyle w:val="CETBodytext"/>
              <w:ind w:right="-1"/>
              <w:rPr>
                <w:rFonts w:cs="Arial"/>
                <w:szCs w:val="18"/>
                <w:lang w:val="en-GB"/>
              </w:rPr>
            </w:pPr>
            <w:r>
              <w:rPr>
                <w:rFonts w:cs="Arial"/>
                <w:szCs w:val="18"/>
                <w:lang w:val="en-GB"/>
              </w:rPr>
              <w:t>2.00</w:t>
            </w:r>
          </w:p>
        </w:tc>
        <w:tc>
          <w:tcPr>
            <w:tcW w:w="642" w:type="dxa"/>
            <w:shd w:val="clear" w:color="auto" w:fill="FFFFFF"/>
          </w:tcPr>
          <w:p w14:paraId="1CE863BA" w14:textId="77777777" w:rsidR="001E4D4B" w:rsidRDefault="001E4D4B" w:rsidP="005C30E6">
            <w:pPr>
              <w:pStyle w:val="CETBodytext"/>
              <w:ind w:right="-1"/>
              <w:rPr>
                <w:rFonts w:cs="Arial"/>
                <w:szCs w:val="18"/>
                <w:lang w:val="en-GB"/>
              </w:rPr>
            </w:pPr>
          </w:p>
        </w:tc>
        <w:tc>
          <w:tcPr>
            <w:tcW w:w="901" w:type="dxa"/>
            <w:shd w:val="clear" w:color="auto" w:fill="FFFFFF"/>
          </w:tcPr>
          <w:p w14:paraId="1A468926" w14:textId="77777777" w:rsidR="001E4D4B" w:rsidRDefault="001E4D4B" w:rsidP="005C30E6">
            <w:pPr>
              <w:pStyle w:val="CETBodytext"/>
              <w:ind w:right="-1"/>
              <w:rPr>
                <w:rFonts w:cs="Arial"/>
                <w:szCs w:val="18"/>
                <w:lang w:val="en-GB"/>
              </w:rPr>
            </w:pPr>
            <w:r>
              <w:rPr>
                <w:rFonts w:cs="Arial"/>
                <w:szCs w:val="18"/>
                <w:lang w:val="en-GB"/>
              </w:rPr>
              <w:t>2.04</w:t>
            </w:r>
          </w:p>
        </w:tc>
      </w:tr>
      <w:tr w:rsidR="001E4D4B" w:rsidRPr="00B57B36" w14:paraId="46B5D045" w14:textId="77777777" w:rsidTr="005C30E6">
        <w:trPr>
          <w:trHeight w:val="255"/>
        </w:trPr>
        <w:tc>
          <w:tcPr>
            <w:tcW w:w="2452" w:type="dxa"/>
            <w:shd w:val="clear" w:color="auto" w:fill="FFFFFF"/>
          </w:tcPr>
          <w:p w14:paraId="1AC8D59C" w14:textId="77777777" w:rsidR="001E4D4B" w:rsidRDefault="001E4D4B" w:rsidP="005C30E6">
            <w:pPr>
              <w:pStyle w:val="CETBodytext"/>
              <w:ind w:right="-1"/>
              <w:jc w:val="left"/>
              <w:rPr>
                <w:lang w:val="en-GB"/>
              </w:rPr>
            </w:pPr>
            <w:r w:rsidRPr="00927AA9">
              <w:rPr>
                <w:sz w:val="16"/>
                <w:szCs w:val="16"/>
                <w:lang w:val="en-GB"/>
              </w:rPr>
              <w:t xml:space="preserve">1183 </w:t>
            </w:r>
            <w:proofErr w:type="gramStart"/>
            <w:r w:rsidRPr="00927AA9">
              <w:rPr>
                <w:sz w:val="16"/>
                <w:szCs w:val="16"/>
                <w:lang w:val="en-GB"/>
              </w:rPr>
              <w:t>cm</w:t>
            </w:r>
            <w:r w:rsidRPr="00927AA9">
              <w:rPr>
                <w:sz w:val="16"/>
                <w:szCs w:val="16"/>
                <w:vertAlign w:val="superscript"/>
                <w:lang w:val="en-GB"/>
              </w:rPr>
              <w:t>-1</w:t>
            </w:r>
            <w:proofErr w:type="gramEnd"/>
          </w:p>
        </w:tc>
        <w:tc>
          <w:tcPr>
            <w:tcW w:w="901" w:type="dxa"/>
            <w:shd w:val="clear" w:color="auto" w:fill="FFFFFF"/>
          </w:tcPr>
          <w:p w14:paraId="25B78B67" w14:textId="77777777" w:rsidR="001E4D4B" w:rsidRDefault="001E4D4B" w:rsidP="005C30E6">
            <w:pPr>
              <w:pStyle w:val="CETBodytext"/>
              <w:ind w:right="-1"/>
              <w:rPr>
                <w:rFonts w:cs="Arial"/>
                <w:szCs w:val="18"/>
                <w:lang w:val="en-GB"/>
              </w:rPr>
            </w:pPr>
            <w:r>
              <w:rPr>
                <w:rFonts w:cs="Arial"/>
                <w:szCs w:val="18"/>
                <w:lang w:val="en-GB"/>
              </w:rPr>
              <w:t>0.76</w:t>
            </w:r>
          </w:p>
        </w:tc>
        <w:tc>
          <w:tcPr>
            <w:tcW w:w="475" w:type="dxa"/>
            <w:shd w:val="clear" w:color="auto" w:fill="FFFFFF"/>
          </w:tcPr>
          <w:p w14:paraId="0D6BBE12" w14:textId="77777777" w:rsidR="001E4D4B" w:rsidRDefault="001E4D4B" w:rsidP="005C30E6">
            <w:pPr>
              <w:pStyle w:val="CETBodytext"/>
              <w:ind w:right="-1"/>
              <w:rPr>
                <w:rFonts w:cs="Arial"/>
                <w:szCs w:val="18"/>
                <w:lang w:val="en-GB"/>
              </w:rPr>
            </w:pPr>
          </w:p>
        </w:tc>
        <w:tc>
          <w:tcPr>
            <w:tcW w:w="1016" w:type="dxa"/>
            <w:shd w:val="clear" w:color="auto" w:fill="FFFFFF"/>
          </w:tcPr>
          <w:p w14:paraId="79676F3C" w14:textId="77777777" w:rsidR="001E4D4B" w:rsidRDefault="001E4D4B" w:rsidP="005C30E6">
            <w:pPr>
              <w:pStyle w:val="CETBodytext"/>
              <w:ind w:right="-1"/>
              <w:rPr>
                <w:rFonts w:cs="Arial"/>
                <w:szCs w:val="18"/>
                <w:lang w:val="en-GB"/>
              </w:rPr>
            </w:pPr>
            <w:r>
              <w:rPr>
                <w:rFonts w:cs="Arial"/>
                <w:szCs w:val="18"/>
                <w:lang w:val="en-GB"/>
              </w:rPr>
              <w:t>0.77</w:t>
            </w:r>
          </w:p>
        </w:tc>
        <w:tc>
          <w:tcPr>
            <w:tcW w:w="642" w:type="dxa"/>
            <w:shd w:val="clear" w:color="auto" w:fill="FFFFFF"/>
          </w:tcPr>
          <w:p w14:paraId="10234191" w14:textId="77777777" w:rsidR="001E4D4B" w:rsidRDefault="001E4D4B" w:rsidP="005C30E6">
            <w:pPr>
              <w:pStyle w:val="CETBodytext"/>
              <w:ind w:right="-1"/>
              <w:rPr>
                <w:rFonts w:cs="Arial"/>
                <w:szCs w:val="18"/>
                <w:lang w:val="en-GB"/>
              </w:rPr>
            </w:pPr>
          </w:p>
        </w:tc>
        <w:tc>
          <w:tcPr>
            <w:tcW w:w="901" w:type="dxa"/>
            <w:shd w:val="clear" w:color="auto" w:fill="FFFFFF"/>
          </w:tcPr>
          <w:p w14:paraId="33971964" w14:textId="77777777" w:rsidR="001E4D4B" w:rsidRDefault="001E4D4B" w:rsidP="005C30E6">
            <w:pPr>
              <w:pStyle w:val="CETBodytext"/>
              <w:ind w:right="-1"/>
              <w:rPr>
                <w:rFonts w:cs="Arial"/>
                <w:szCs w:val="18"/>
                <w:lang w:val="en-GB"/>
              </w:rPr>
            </w:pPr>
            <w:r>
              <w:rPr>
                <w:rFonts w:cs="Arial"/>
                <w:szCs w:val="18"/>
                <w:lang w:val="en-GB"/>
              </w:rPr>
              <w:t>0.86</w:t>
            </w:r>
          </w:p>
        </w:tc>
      </w:tr>
      <w:tr w:rsidR="001E4D4B" w:rsidRPr="00B57B36" w14:paraId="7FF33D89" w14:textId="77777777" w:rsidTr="005C30E6">
        <w:trPr>
          <w:trHeight w:val="255"/>
        </w:trPr>
        <w:tc>
          <w:tcPr>
            <w:tcW w:w="2452" w:type="dxa"/>
            <w:shd w:val="clear" w:color="auto" w:fill="FFFFFF"/>
          </w:tcPr>
          <w:p w14:paraId="4803B0B9" w14:textId="77777777" w:rsidR="001E4D4B" w:rsidRDefault="001E4D4B" w:rsidP="005C30E6">
            <w:pPr>
              <w:pStyle w:val="CETBodytext"/>
              <w:ind w:right="-1"/>
              <w:jc w:val="left"/>
              <w:rPr>
                <w:lang w:val="en-GB"/>
              </w:rPr>
            </w:pPr>
            <w:r w:rsidRPr="00927AA9">
              <w:rPr>
                <w:sz w:val="16"/>
                <w:szCs w:val="16"/>
                <w:lang w:val="en-GB"/>
              </w:rPr>
              <w:t xml:space="preserve">1085 </w:t>
            </w:r>
            <w:proofErr w:type="gramStart"/>
            <w:r w:rsidRPr="00927AA9">
              <w:rPr>
                <w:sz w:val="16"/>
                <w:szCs w:val="16"/>
                <w:lang w:val="en-GB"/>
              </w:rPr>
              <w:t>cm</w:t>
            </w:r>
            <w:r w:rsidRPr="00927AA9">
              <w:rPr>
                <w:sz w:val="16"/>
                <w:szCs w:val="16"/>
                <w:vertAlign w:val="superscript"/>
                <w:lang w:val="en-GB"/>
              </w:rPr>
              <w:t>-1</w:t>
            </w:r>
            <w:proofErr w:type="gramEnd"/>
          </w:p>
        </w:tc>
        <w:tc>
          <w:tcPr>
            <w:tcW w:w="901" w:type="dxa"/>
            <w:shd w:val="clear" w:color="auto" w:fill="FFFFFF"/>
          </w:tcPr>
          <w:p w14:paraId="509F71E3" w14:textId="77777777" w:rsidR="001E4D4B" w:rsidRDefault="001E4D4B" w:rsidP="005C30E6">
            <w:pPr>
              <w:pStyle w:val="CETBodytext"/>
              <w:ind w:right="-1"/>
              <w:rPr>
                <w:rFonts w:cs="Arial"/>
                <w:szCs w:val="18"/>
                <w:lang w:val="en-GB"/>
              </w:rPr>
            </w:pPr>
            <w:r>
              <w:rPr>
                <w:rFonts w:cs="Arial"/>
                <w:szCs w:val="18"/>
                <w:lang w:val="en-GB"/>
              </w:rPr>
              <w:t>0.73</w:t>
            </w:r>
          </w:p>
        </w:tc>
        <w:tc>
          <w:tcPr>
            <w:tcW w:w="475" w:type="dxa"/>
            <w:shd w:val="clear" w:color="auto" w:fill="FFFFFF"/>
          </w:tcPr>
          <w:p w14:paraId="0FE0F2A6" w14:textId="77777777" w:rsidR="001E4D4B" w:rsidRDefault="001E4D4B" w:rsidP="005C30E6">
            <w:pPr>
              <w:pStyle w:val="CETBodytext"/>
              <w:ind w:right="-1"/>
              <w:rPr>
                <w:rFonts w:cs="Arial"/>
                <w:szCs w:val="18"/>
                <w:lang w:val="en-GB"/>
              </w:rPr>
            </w:pPr>
          </w:p>
        </w:tc>
        <w:tc>
          <w:tcPr>
            <w:tcW w:w="1016" w:type="dxa"/>
            <w:shd w:val="clear" w:color="auto" w:fill="FFFFFF"/>
          </w:tcPr>
          <w:p w14:paraId="43C99455" w14:textId="77777777" w:rsidR="001E4D4B" w:rsidRDefault="001E4D4B" w:rsidP="005C30E6">
            <w:pPr>
              <w:pStyle w:val="CETBodytext"/>
              <w:ind w:right="-1"/>
              <w:rPr>
                <w:rFonts w:cs="Arial"/>
                <w:szCs w:val="18"/>
                <w:lang w:val="en-GB"/>
              </w:rPr>
            </w:pPr>
            <w:r>
              <w:rPr>
                <w:rFonts w:cs="Arial"/>
                <w:szCs w:val="18"/>
                <w:lang w:val="en-GB"/>
              </w:rPr>
              <w:t>0.76</w:t>
            </w:r>
          </w:p>
        </w:tc>
        <w:tc>
          <w:tcPr>
            <w:tcW w:w="642" w:type="dxa"/>
            <w:shd w:val="clear" w:color="auto" w:fill="FFFFFF"/>
          </w:tcPr>
          <w:p w14:paraId="274C6C67" w14:textId="77777777" w:rsidR="001E4D4B" w:rsidRDefault="001E4D4B" w:rsidP="005C30E6">
            <w:pPr>
              <w:pStyle w:val="CETBodytext"/>
              <w:ind w:right="-1"/>
              <w:rPr>
                <w:rFonts w:cs="Arial"/>
                <w:szCs w:val="18"/>
                <w:lang w:val="en-GB"/>
              </w:rPr>
            </w:pPr>
          </w:p>
        </w:tc>
        <w:tc>
          <w:tcPr>
            <w:tcW w:w="901" w:type="dxa"/>
            <w:shd w:val="clear" w:color="auto" w:fill="FFFFFF"/>
          </w:tcPr>
          <w:p w14:paraId="39E777FF" w14:textId="77777777" w:rsidR="001E4D4B" w:rsidRDefault="001E4D4B" w:rsidP="005C30E6">
            <w:pPr>
              <w:pStyle w:val="CETBodytext"/>
              <w:ind w:right="-1"/>
              <w:rPr>
                <w:rFonts w:cs="Arial"/>
                <w:szCs w:val="18"/>
                <w:lang w:val="en-GB"/>
              </w:rPr>
            </w:pPr>
            <w:r>
              <w:rPr>
                <w:rFonts w:cs="Arial"/>
                <w:szCs w:val="18"/>
                <w:lang w:val="en-GB"/>
              </w:rPr>
              <w:t>0.86</w:t>
            </w:r>
          </w:p>
        </w:tc>
      </w:tr>
    </w:tbl>
    <w:p w14:paraId="7D70F1FF" w14:textId="1AD10007" w:rsidR="001E4D4B" w:rsidRPr="00B57B36" w:rsidRDefault="001E4D4B" w:rsidP="00A56FC8">
      <w:pPr>
        <w:pStyle w:val="CETHeading1"/>
      </w:pPr>
      <w:r>
        <w:lastRenderedPageBreak/>
        <w:t>Conclusion</w:t>
      </w:r>
    </w:p>
    <w:p w14:paraId="2CD13793" w14:textId="671624FF" w:rsidR="00DA27A7" w:rsidRDefault="00DA27A7" w:rsidP="001E4D4B">
      <w:pPr>
        <w:pStyle w:val="CETBodytext"/>
        <w:rPr>
          <w:szCs w:val="18"/>
          <w:lang w:val="en-GB"/>
        </w:rPr>
      </w:pPr>
      <w:r w:rsidRPr="00DA27A7">
        <w:rPr>
          <w:szCs w:val="18"/>
          <w:lang w:val="en-GB"/>
        </w:rPr>
        <w:t xml:space="preserve">This study was a preliminary investigation into the effect of 3D printing on the final properties of thermoplastic biopolymers, two of which were unfilled (PLA-1 and PLA-2) and one of which was filled with wood powder (PLA-3). A comparison of the rheological parameters and FTIR-ATR spectra of printed and pristine materials provided qualitative information on the structural changes of polymer </w:t>
      </w:r>
      <w:r w:rsidR="00EC5EC4">
        <w:rPr>
          <w:szCs w:val="18"/>
          <w:lang w:val="en-GB"/>
        </w:rPr>
        <w:t>chains</w:t>
      </w:r>
      <w:r w:rsidRPr="00DA27A7">
        <w:rPr>
          <w:szCs w:val="18"/>
          <w:lang w:val="en-GB"/>
        </w:rPr>
        <w:t xml:space="preserve"> and, as a result, on the degradation phenomenon that occurs during the process.</w:t>
      </w:r>
    </w:p>
    <w:p w14:paraId="19B271DB" w14:textId="48E584AA" w:rsidR="0053799F" w:rsidRDefault="00EC5EC4" w:rsidP="0053799F">
      <w:pPr>
        <w:pStyle w:val="CETBodytext"/>
        <w:rPr>
          <w:szCs w:val="18"/>
          <w:lang w:val="en-GB"/>
        </w:rPr>
      </w:pPr>
      <w:r>
        <w:rPr>
          <w:lang w:val="en-GB"/>
        </w:rPr>
        <w:t>M</w:t>
      </w:r>
      <w:r w:rsidR="00DA27A7" w:rsidRPr="00DA27A7">
        <w:rPr>
          <w:lang w:val="en-GB"/>
        </w:rPr>
        <w:t xml:space="preserve">easurements </w:t>
      </w:r>
      <w:r>
        <w:rPr>
          <w:lang w:val="en-GB"/>
        </w:rPr>
        <w:t>o</w:t>
      </w:r>
      <w:r w:rsidRPr="00DA27A7">
        <w:rPr>
          <w:lang w:val="en-GB"/>
        </w:rPr>
        <w:t>ver</w:t>
      </w:r>
      <w:r>
        <w:rPr>
          <w:lang w:val="en-GB"/>
        </w:rPr>
        <w:t xml:space="preserve"> </w:t>
      </w:r>
      <w:r w:rsidRPr="00DA27A7">
        <w:rPr>
          <w:lang w:val="en-GB"/>
        </w:rPr>
        <w:t>900</w:t>
      </w:r>
      <w:r>
        <w:rPr>
          <w:lang w:val="en-GB"/>
        </w:rPr>
        <w:t xml:space="preserve"> sec</w:t>
      </w:r>
      <w:r w:rsidRPr="00DA27A7">
        <w:rPr>
          <w:lang w:val="en-GB"/>
        </w:rPr>
        <w:t xml:space="preserve"> </w:t>
      </w:r>
      <w:r w:rsidR="00DA27A7" w:rsidRPr="00DA27A7">
        <w:rPr>
          <w:lang w:val="en-GB"/>
        </w:rPr>
        <w:t>of storage and loss modulus, as well as viscosity, revealed a strong instability of rheological signals</w:t>
      </w:r>
      <w:r w:rsidR="00302993">
        <w:rPr>
          <w:lang w:val="en-GB"/>
        </w:rPr>
        <w:t xml:space="preserve"> in time</w:t>
      </w:r>
      <w:r w:rsidR="00DA27A7" w:rsidRPr="00DA27A7">
        <w:rPr>
          <w:lang w:val="en-GB"/>
        </w:rPr>
        <w:t xml:space="preserve">, particularly in the case of unfilled polymers. The initial viscosity of pristine filaments was reduced by more than 70% when the polymer was printed. </w:t>
      </w:r>
      <w:r w:rsidR="004F26E0">
        <w:rPr>
          <w:lang w:val="en-GB"/>
        </w:rPr>
        <w:t>T</w:t>
      </w:r>
      <w:r w:rsidR="004F26E0" w:rsidRPr="00DA27A7">
        <w:rPr>
          <w:lang w:val="en-GB"/>
        </w:rPr>
        <w:t xml:space="preserve">hen </w:t>
      </w:r>
      <w:r w:rsidR="004F26E0">
        <w:rPr>
          <w:lang w:val="en-GB"/>
        </w:rPr>
        <w:t>i</w:t>
      </w:r>
      <w:r w:rsidR="00DA27A7" w:rsidRPr="00DA27A7">
        <w:rPr>
          <w:lang w:val="en-GB"/>
        </w:rPr>
        <w:t xml:space="preserve">t continued to fall over </w:t>
      </w:r>
      <w:r w:rsidR="0076582D">
        <w:rPr>
          <w:lang w:val="en-GB"/>
        </w:rPr>
        <w:t xml:space="preserve">the </w:t>
      </w:r>
      <w:r w:rsidR="00302993">
        <w:rPr>
          <w:lang w:val="en-GB"/>
        </w:rPr>
        <w:t>testing period</w:t>
      </w:r>
      <w:r w:rsidR="00DA27A7" w:rsidRPr="00DA27A7">
        <w:rPr>
          <w:lang w:val="en-GB"/>
        </w:rPr>
        <w:t xml:space="preserve"> as the material was kept at higher temperatures</w:t>
      </w:r>
      <w:r w:rsidR="00DA27A7">
        <w:rPr>
          <w:lang w:val="en-GB"/>
        </w:rPr>
        <w:t xml:space="preserve">. </w:t>
      </w:r>
      <w:r w:rsidR="004F26E0" w:rsidRPr="004F26E0">
        <w:rPr>
          <w:szCs w:val="18"/>
        </w:rPr>
        <w:t>The decay characteristic time of printed materials (10</w:t>
      </w:r>
      <w:r w:rsidR="004F26E0" w:rsidRPr="004F26E0">
        <w:rPr>
          <w:szCs w:val="18"/>
          <w:vertAlign w:val="superscript"/>
        </w:rPr>
        <w:t>4</w:t>
      </w:r>
      <w:r w:rsidR="004F26E0" w:rsidRPr="004F26E0">
        <w:rPr>
          <w:szCs w:val="18"/>
        </w:rPr>
        <w:t xml:space="preserve"> s) was found to be one order of magnitude higher than that of basic filaments (10</w:t>
      </w:r>
      <w:r w:rsidR="004F26E0" w:rsidRPr="004F26E0">
        <w:rPr>
          <w:szCs w:val="18"/>
          <w:vertAlign w:val="superscript"/>
        </w:rPr>
        <w:t>3</w:t>
      </w:r>
      <w:r w:rsidR="004F26E0" w:rsidRPr="004F26E0">
        <w:rPr>
          <w:szCs w:val="18"/>
        </w:rPr>
        <w:t xml:space="preserve"> s).</w:t>
      </w:r>
      <w:r w:rsidR="004F26E0">
        <w:rPr>
          <w:szCs w:val="18"/>
        </w:rPr>
        <w:t xml:space="preserve"> </w:t>
      </w:r>
      <w:r w:rsidR="00A22C5A">
        <w:rPr>
          <w:lang w:val="en-GB"/>
        </w:rPr>
        <w:t xml:space="preserve">For the wood-based composite, </w:t>
      </w:r>
      <w:r w:rsidR="005A6396">
        <w:rPr>
          <w:lang w:val="en-GB"/>
        </w:rPr>
        <w:t>d</w:t>
      </w:r>
      <w:r w:rsidR="005A6396" w:rsidRPr="005A6396">
        <w:rPr>
          <w:lang w:val="en-GB"/>
        </w:rPr>
        <w:t>espite slightly lower values, the trend of rheological parameters in printed materials was nearly identical to that of raw materials</w:t>
      </w:r>
      <w:r w:rsidR="00A24106">
        <w:rPr>
          <w:lang w:val="en-GB"/>
        </w:rPr>
        <w:t>, confirming a good stability.</w:t>
      </w:r>
      <w:r w:rsidR="002457B8">
        <w:rPr>
          <w:lang w:val="en-GB"/>
        </w:rPr>
        <w:t xml:space="preserve"> </w:t>
      </w:r>
      <w:proofErr w:type="gramStart"/>
      <w:r w:rsidR="004F26E0" w:rsidRPr="004F26E0">
        <w:rPr>
          <w:szCs w:val="18"/>
          <w:lang w:val="en-GB"/>
        </w:rPr>
        <w:t>All of</w:t>
      </w:r>
      <w:proofErr w:type="gramEnd"/>
      <w:r w:rsidR="00302993">
        <w:rPr>
          <w:szCs w:val="18"/>
          <w:lang w:val="en-GB"/>
        </w:rPr>
        <w:t xml:space="preserve"> the</w:t>
      </w:r>
      <w:r w:rsidR="004F26E0" w:rsidRPr="004F26E0">
        <w:rPr>
          <w:szCs w:val="18"/>
          <w:lang w:val="en-GB"/>
        </w:rPr>
        <w:t xml:space="preserve"> </w:t>
      </w:r>
      <w:r w:rsidR="004F26E0">
        <w:rPr>
          <w:szCs w:val="18"/>
          <w:lang w:val="en-GB"/>
        </w:rPr>
        <w:t xml:space="preserve">printed </w:t>
      </w:r>
      <w:r w:rsidR="004F26E0" w:rsidRPr="004F26E0">
        <w:rPr>
          <w:szCs w:val="18"/>
          <w:lang w:val="en-GB"/>
        </w:rPr>
        <w:t>systems showed a reduction in absorbance intensity for typical absorption bands when compared to basic filaments.</w:t>
      </w:r>
    </w:p>
    <w:p w14:paraId="52EDACFE" w14:textId="613C31E0" w:rsidR="0053799F" w:rsidRPr="0053799F" w:rsidRDefault="00302993" w:rsidP="0053799F">
      <w:pPr>
        <w:pStyle w:val="CETBodytext"/>
        <w:rPr>
          <w:szCs w:val="18"/>
        </w:rPr>
      </w:pPr>
      <w:r>
        <w:rPr>
          <w:szCs w:val="18"/>
        </w:rPr>
        <w:t>In conclusion</w:t>
      </w:r>
      <w:r w:rsidR="0053799F" w:rsidRPr="0053799F">
        <w:rPr>
          <w:szCs w:val="18"/>
        </w:rPr>
        <w:t xml:space="preserve">, the printing process caused a </w:t>
      </w:r>
      <w:r>
        <w:rPr>
          <w:szCs w:val="18"/>
        </w:rPr>
        <w:t xml:space="preserve">polymer </w:t>
      </w:r>
      <w:r w:rsidR="0053799F" w:rsidRPr="0053799F">
        <w:rPr>
          <w:szCs w:val="18"/>
        </w:rPr>
        <w:t xml:space="preserve">decomposition reaction, which </w:t>
      </w:r>
      <w:r w:rsidR="0076582D">
        <w:rPr>
          <w:szCs w:val="18"/>
        </w:rPr>
        <w:t>led to reduce</w:t>
      </w:r>
      <w:r w:rsidR="0053799F" w:rsidRPr="0053799F">
        <w:rPr>
          <w:szCs w:val="18"/>
        </w:rPr>
        <w:t xml:space="preserve"> </w:t>
      </w:r>
      <w:r w:rsidR="0076582D">
        <w:rPr>
          <w:szCs w:val="18"/>
        </w:rPr>
        <w:t>the</w:t>
      </w:r>
      <w:r w:rsidR="0053799F" w:rsidRPr="0053799F">
        <w:rPr>
          <w:szCs w:val="18"/>
        </w:rPr>
        <w:t xml:space="preserve"> rheological properties and absorption band</w:t>
      </w:r>
      <w:r w:rsidR="0076582D">
        <w:rPr>
          <w:szCs w:val="18"/>
        </w:rPr>
        <w:t>s</w:t>
      </w:r>
      <w:r w:rsidR="0053799F" w:rsidRPr="0053799F">
        <w:rPr>
          <w:szCs w:val="18"/>
        </w:rPr>
        <w:t xml:space="preserve"> intensity. If the material was kept at high temperatures, this </w:t>
      </w:r>
      <w:r>
        <w:rPr>
          <w:szCs w:val="18"/>
        </w:rPr>
        <w:t xml:space="preserve">detrimental </w:t>
      </w:r>
      <w:r w:rsidR="0053799F" w:rsidRPr="0053799F">
        <w:rPr>
          <w:szCs w:val="18"/>
        </w:rPr>
        <w:t xml:space="preserve">action could be sustained over time </w:t>
      </w:r>
      <w:r w:rsidRPr="00302993">
        <w:rPr>
          <w:szCs w:val="18"/>
        </w:rPr>
        <w:t xml:space="preserve">further damaging the macromolecules </w:t>
      </w:r>
      <w:r w:rsidRPr="0053799F">
        <w:rPr>
          <w:szCs w:val="18"/>
        </w:rPr>
        <w:t>in pure systems</w:t>
      </w:r>
      <w:r w:rsidR="0053799F" w:rsidRPr="0053799F">
        <w:rPr>
          <w:szCs w:val="18"/>
        </w:rPr>
        <w:t xml:space="preserve">, whereas </w:t>
      </w:r>
      <w:r w:rsidR="00A30338">
        <w:rPr>
          <w:szCs w:val="18"/>
        </w:rPr>
        <w:t xml:space="preserve">it </w:t>
      </w:r>
      <w:r w:rsidR="00060D8F">
        <w:rPr>
          <w:szCs w:val="18"/>
        </w:rPr>
        <w:t>remained</w:t>
      </w:r>
      <w:r w:rsidR="0053799F" w:rsidRPr="0053799F">
        <w:rPr>
          <w:szCs w:val="18"/>
        </w:rPr>
        <w:t xml:space="preserve"> </w:t>
      </w:r>
      <w:r w:rsidR="00060D8F">
        <w:rPr>
          <w:szCs w:val="18"/>
        </w:rPr>
        <w:t>confined</w:t>
      </w:r>
      <w:r w:rsidR="0053799F" w:rsidRPr="0053799F">
        <w:rPr>
          <w:szCs w:val="18"/>
        </w:rPr>
        <w:t xml:space="preserve"> to the duration of the </w:t>
      </w:r>
      <w:r w:rsidR="00060D8F">
        <w:rPr>
          <w:szCs w:val="18"/>
        </w:rPr>
        <w:t xml:space="preserve">printing </w:t>
      </w:r>
      <w:r w:rsidR="0053799F" w:rsidRPr="0053799F">
        <w:rPr>
          <w:szCs w:val="18"/>
        </w:rPr>
        <w:t>process</w:t>
      </w:r>
      <w:r>
        <w:rPr>
          <w:szCs w:val="18"/>
        </w:rPr>
        <w:t xml:space="preserve"> in wood composites</w:t>
      </w:r>
      <w:r w:rsidR="0053799F" w:rsidRPr="0053799F">
        <w:rPr>
          <w:szCs w:val="18"/>
        </w:rPr>
        <w:t>.</w:t>
      </w:r>
    </w:p>
    <w:p w14:paraId="29AB902C" w14:textId="4930099D" w:rsidR="001E4D4B" w:rsidRDefault="001E4D4B" w:rsidP="001E4D4B">
      <w:pPr>
        <w:pStyle w:val="CETAcknowledgementstitle"/>
      </w:pPr>
      <w:r w:rsidRPr="00B57B36">
        <w:t>Acknowledgments</w:t>
      </w:r>
    </w:p>
    <w:p w14:paraId="35C69E15" w14:textId="64CE9D92" w:rsidR="001E4D4B" w:rsidRPr="00112A28" w:rsidRDefault="001E4D4B" w:rsidP="001E4D4B">
      <w:pPr>
        <w:pStyle w:val="CETBodytext"/>
        <w:rPr>
          <w:lang w:val="en-GB"/>
        </w:rPr>
      </w:pPr>
      <w:r w:rsidRPr="00112A28">
        <w:rPr>
          <w:lang w:val="en-GB"/>
        </w:rPr>
        <w:t>A. Patti wishes to thank the Italian Ministry of Education, Universities and</w:t>
      </w:r>
      <w:r w:rsidR="000E4FD3">
        <w:rPr>
          <w:lang w:val="en-GB"/>
        </w:rPr>
        <w:t xml:space="preserve"> </w:t>
      </w:r>
      <w:r w:rsidRPr="00112A28">
        <w:rPr>
          <w:lang w:val="en-GB"/>
        </w:rPr>
        <w:t>Research (MIUR) in the framework of Action 1.2 “Researcher Mobility” of The Axis I of PON R&amp;I2014-142 2020 under the call “AIM—</w:t>
      </w:r>
      <w:proofErr w:type="spellStart"/>
      <w:r w:rsidRPr="00112A28">
        <w:rPr>
          <w:lang w:val="en-GB"/>
        </w:rPr>
        <w:t>Attrazione</w:t>
      </w:r>
      <w:proofErr w:type="spellEnd"/>
      <w:r w:rsidRPr="00112A28">
        <w:rPr>
          <w:lang w:val="en-GB"/>
        </w:rPr>
        <w:t xml:space="preserve"> e </w:t>
      </w:r>
      <w:proofErr w:type="spellStart"/>
      <w:r w:rsidRPr="00112A28">
        <w:rPr>
          <w:lang w:val="en-GB"/>
        </w:rPr>
        <w:t>Mobilità</w:t>
      </w:r>
      <w:proofErr w:type="spellEnd"/>
      <w:r w:rsidRPr="00112A28">
        <w:rPr>
          <w:lang w:val="en-GB"/>
        </w:rPr>
        <w:t xml:space="preserve"> </w:t>
      </w:r>
      <w:proofErr w:type="spellStart"/>
      <w:r w:rsidRPr="00112A28">
        <w:rPr>
          <w:lang w:val="en-GB"/>
        </w:rPr>
        <w:t>Internazionale</w:t>
      </w:r>
      <w:proofErr w:type="spellEnd"/>
      <w:r w:rsidRPr="00112A28">
        <w:rPr>
          <w:lang w:val="en-GB"/>
        </w:rPr>
        <w:t xml:space="preserve">”. S. </w:t>
      </w:r>
      <w:proofErr w:type="spellStart"/>
      <w:r w:rsidRPr="00112A28">
        <w:rPr>
          <w:lang w:val="en-GB"/>
        </w:rPr>
        <w:t>Acierno</w:t>
      </w:r>
      <w:proofErr w:type="spellEnd"/>
      <w:r w:rsidRPr="00112A28">
        <w:rPr>
          <w:lang w:val="en-GB"/>
        </w:rPr>
        <w:t xml:space="preserve"> and G. Cicala</w:t>
      </w:r>
      <w:r w:rsidR="00704FB2">
        <w:rPr>
          <w:lang w:val="en-GB"/>
        </w:rPr>
        <w:t xml:space="preserve"> </w:t>
      </w:r>
      <w:r w:rsidRPr="00112A28">
        <w:rPr>
          <w:lang w:val="en-GB"/>
        </w:rPr>
        <w:t>acknowledge the support of the Italian Ministry of University, project PRIN 2017, 20179</w:t>
      </w:r>
      <w:proofErr w:type="gramStart"/>
      <w:r w:rsidRPr="00112A28">
        <w:rPr>
          <w:lang w:val="en-GB"/>
        </w:rPr>
        <w:t>SWLKA“</w:t>
      </w:r>
      <w:proofErr w:type="gramEnd"/>
      <w:r w:rsidRPr="00112A28">
        <w:rPr>
          <w:lang w:val="en-GB"/>
        </w:rPr>
        <w:t xml:space="preserve">Multiple Advanced Materials Manufactured by Additive technologies (MAMMA) </w:t>
      </w:r>
    </w:p>
    <w:p w14:paraId="1FAB6B04" w14:textId="77777777" w:rsidR="001E4D4B" w:rsidRDefault="001E4D4B" w:rsidP="001E4D4B">
      <w:pPr>
        <w:pStyle w:val="CETReference"/>
      </w:pPr>
      <w:r w:rsidRPr="00B57B36">
        <w:t>References</w:t>
      </w:r>
    </w:p>
    <w:bookmarkStart w:id="0" w:name="_Hlk131431831"/>
    <w:p w14:paraId="22D85DBB"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Pr="00917880">
        <w:rPr>
          <w:rFonts w:cs="Arial"/>
          <w:noProof/>
          <w:szCs w:val="24"/>
        </w:rPr>
        <w:t xml:space="preserve">Carrasco, F., Pagès, P., Gámez-Pérez, J., Santana, O. O. and Maspoch, M. L. (2010), Processing of Poly(Lactic Acid): Characterization of Chemical Structure, Thermal Stability and Mechanical Properties. </w:t>
      </w:r>
      <w:r w:rsidRPr="00917880">
        <w:rPr>
          <w:rFonts w:cs="Arial"/>
          <w:i/>
          <w:iCs/>
          <w:noProof/>
          <w:szCs w:val="24"/>
        </w:rPr>
        <w:t>Polymer Degradation and Stability</w:t>
      </w:r>
      <w:r w:rsidRPr="00917880">
        <w:rPr>
          <w:rFonts w:cs="Arial"/>
          <w:noProof/>
          <w:szCs w:val="24"/>
        </w:rPr>
        <w:t>, 95(2): 116–125.</w:t>
      </w:r>
    </w:p>
    <w:p w14:paraId="61908D59"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Colin, X</w:t>
      </w:r>
      <w:r>
        <w:rPr>
          <w:rFonts w:cs="Arial"/>
          <w:noProof/>
          <w:szCs w:val="24"/>
        </w:rPr>
        <w:t>.</w:t>
      </w:r>
      <w:r w:rsidRPr="00917880">
        <w:rPr>
          <w:rFonts w:cs="Arial"/>
          <w:noProof/>
          <w:szCs w:val="24"/>
        </w:rPr>
        <w:t xml:space="preserve"> and Verdu, J</w:t>
      </w:r>
      <w:r>
        <w:rPr>
          <w:rFonts w:cs="Arial"/>
          <w:noProof/>
          <w:szCs w:val="24"/>
        </w:rPr>
        <w:t>.</w:t>
      </w:r>
      <w:r w:rsidRPr="00917880">
        <w:rPr>
          <w:rFonts w:cs="Arial"/>
          <w:noProof/>
          <w:szCs w:val="24"/>
        </w:rPr>
        <w:t xml:space="preserve"> (2006), Polymer Degradation during Processing. </w:t>
      </w:r>
      <w:r w:rsidRPr="00917880">
        <w:rPr>
          <w:rFonts w:cs="Arial"/>
          <w:i/>
          <w:iCs/>
          <w:noProof/>
          <w:szCs w:val="24"/>
        </w:rPr>
        <w:t>Comptes Rendus Chimie</w:t>
      </w:r>
      <w:r w:rsidRPr="00917880">
        <w:rPr>
          <w:rFonts w:cs="Arial"/>
          <w:noProof/>
          <w:szCs w:val="24"/>
        </w:rPr>
        <w:t>, 9(11–12): 1380–1395.</w:t>
      </w:r>
    </w:p>
    <w:p w14:paraId="018B74F0"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 xml:space="preserve">El’darov, E. G., Mamedov, F. V., Gol’dberg, V. M. and Zaikov, G. E. (1996), A Kinetic Model of Polymer Degradation during Extrusion. </w:t>
      </w:r>
      <w:r w:rsidRPr="00917880">
        <w:rPr>
          <w:rFonts w:cs="Arial"/>
          <w:i/>
          <w:iCs/>
          <w:noProof/>
          <w:szCs w:val="24"/>
        </w:rPr>
        <w:t>Polymer Degradation and Stability</w:t>
      </w:r>
      <w:r w:rsidRPr="00917880">
        <w:rPr>
          <w:rFonts w:cs="Arial"/>
          <w:noProof/>
          <w:szCs w:val="24"/>
        </w:rPr>
        <w:t>, 51(3): 271–279.</w:t>
      </w:r>
    </w:p>
    <w:p w14:paraId="5E11DA5A"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 xml:space="preserve">Negi, Sushant, Kumar Sharma, Rajesh and Dhiman, Suresh (2013), Basics, Applications and Future of Additive Manufacturing Technologies: A Review . </w:t>
      </w:r>
      <w:r w:rsidRPr="00917880">
        <w:rPr>
          <w:rFonts w:cs="Arial"/>
          <w:i/>
          <w:iCs/>
          <w:noProof/>
          <w:szCs w:val="24"/>
        </w:rPr>
        <w:t xml:space="preserve">Journal of Manufacturing Technology Research </w:t>
      </w:r>
      <w:r w:rsidRPr="00917880">
        <w:rPr>
          <w:rFonts w:cs="Arial"/>
          <w:noProof/>
          <w:szCs w:val="24"/>
        </w:rPr>
        <w:t>, 5(1): 75–96.</w:t>
      </w:r>
    </w:p>
    <w:p w14:paraId="6DF28D41"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Oliveira, M</w:t>
      </w:r>
      <w:r>
        <w:rPr>
          <w:rFonts w:cs="Arial"/>
          <w:noProof/>
          <w:szCs w:val="24"/>
        </w:rPr>
        <w:t>.</w:t>
      </w:r>
      <w:r w:rsidRPr="00917880">
        <w:rPr>
          <w:rFonts w:cs="Arial"/>
          <w:noProof/>
          <w:szCs w:val="24"/>
        </w:rPr>
        <w:t>, Santos, E</w:t>
      </w:r>
      <w:r>
        <w:rPr>
          <w:rFonts w:cs="Arial"/>
          <w:noProof/>
          <w:szCs w:val="24"/>
        </w:rPr>
        <w:t>.</w:t>
      </w:r>
      <w:r w:rsidRPr="00917880">
        <w:rPr>
          <w:rFonts w:cs="Arial"/>
          <w:noProof/>
          <w:szCs w:val="24"/>
        </w:rPr>
        <w:t>, Araújo, A</w:t>
      </w:r>
      <w:r>
        <w:rPr>
          <w:rFonts w:cs="Arial"/>
          <w:noProof/>
          <w:szCs w:val="24"/>
        </w:rPr>
        <w:t>.</w:t>
      </w:r>
      <w:r w:rsidRPr="00917880">
        <w:rPr>
          <w:rFonts w:cs="Arial"/>
          <w:noProof/>
          <w:szCs w:val="24"/>
        </w:rPr>
        <w:t>, Fechine, G</w:t>
      </w:r>
      <w:r>
        <w:rPr>
          <w:rFonts w:cs="Arial"/>
          <w:noProof/>
          <w:szCs w:val="24"/>
        </w:rPr>
        <w:t>.</w:t>
      </w:r>
      <w:r w:rsidRPr="00917880">
        <w:rPr>
          <w:rFonts w:cs="Arial"/>
          <w:noProof/>
          <w:szCs w:val="24"/>
        </w:rPr>
        <w:t xml:space="preserve"> J.M., Machado, A</w:t>
      </w:r>
      <w:r>
        <w:rPr>
          <w:rFonts w:cs="Arial"/>
          <w:noProof/>
          <w:szCs w:val="24"/>
        </w:rPr>
        <w:t xml:space="preserve">. </w:t>
      </w:r>
      <w:r w:rsidRPr="00917880">
        <w:rPr>
          <w:rFonts w:cs="Arial"/>
          <w:noProof/>
          <w:szCs w:val="24"/>
        </w:rPr>
        <w:t>V. and Botelho, G</w:t>
      </w:r>
      <w:r>
        <w:rPr>
          <w:rFonts w:cs="Arial"/>
          <w:noProof/>
          <w:szCs w:val="24"/>
        </w:rPr>
        <w:t>.</w:t>
      </w:r>
      <w:r w:rsidRPr="00917880">
        <w:rPr>
          <w:rFonts w:cs="Arial"/>
          <w:noProof/>
          <w:szCs w:val="24"/>
        </w:rPr>
        <w:t xml:space="preserve"> (2016), The Role of Shear and Stabilizer on PLA Degradation. </w:t>
      </w:r>
      <w:r w:rsidRPr="00917880">
        <w:rPr>
          <w:rFonts w:cs="Arial"/>
          <w:i/>
          <w:iCs/>
          <w:noProof/>
          <w:szCs w:val="24"/>
        </w:rPr>
        <w:t>Polymer Testing</w:t>
      </w:r>
      <w:r w:rsidRPr="00917880">
        <w:rPr>
          <w:rFonts w:cs="Arial"/>
          <w:noProof/>
          <w:szCs w:val="24"/>
        </w:rPr>
        <w:t>, 51: 109–116.</w:t>
      </w:r>
    </w:p>
    <w:p w14:paraId="0D21E4C3" w14:textId="77777777" w:rsidR="002B1D66" w:rsidRDefault="002B1D66" w:rsidP="002B1D66">
      <w:pPr>
        <w:widowControl w:val="0"/>
        <w:autoSpaceDE w:val="0"/>
        <w:autoSpaceDN w:val="0"/>
        <w:adjustRightInd w:val="0"/>
        <w:spacing w:line="240" w:lineRule="auto"/>
        <w:ind w:left="480" w:hanging="480"/>
        <w:rPr>
          <w:rFonts w:cs="Arial"/>
          <w:noProof/>
          <w:szCs w:val="24"/>
        </w:rPr>
      </w:pPr>
      <w:r w:rsidRPr="002B1D66">
        <w:rPr>
          <w:rFonts w:cs="Arial"/>
          <w:noProof/>
          <w:szCs w:val="24"/>
        </w:rPr>
        <w:t xml:space="preserve">Patti, Antonella and Acierno, Domenico (2019), The Puncture and Water Resistance of Polyurethane- Impregnated Fabrics after UV Weathering. </w:t>
      </w:r>
      <w:r w:rsidRPr="002B1D66">
        <w:rPr>
          <w:rFonts w:cs="Arial"/>
          <w:i/>
          <w:iCs/>
          <w:noProof/>
          <w:szCs w:val="24"/>
        </w:rPr>
        <w:t>Polymers</w:t>
      </w:r>
      <w:r w:rsidRPr="002B1D66">
        <w:rPr>
          <w:rFonts w:cs="Arial"/>
          <w:noProof/>
          <w:szCs w:val="24"/>
        </w:rPr>
        <w:t xml:space="preserve">, 12(1): 15. </w:t>
      </w:r>
    </w:p>
    <w:p w14:paraId="6851C0EA"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Patti, A</w:t>
      </w:r>
      <w:r>
        <w:rPr>
          <w:rFonts w:cs="Arial"/>
          <w:noProof/>
          <w:szCs w:val="24"/>
        </w:rPr>
        <w:t>.</w:t>
      </w:r>
      <w:r w:rsidRPr="00917880">
        <w:rPr>
          <w:rFonts w:cs="Arial"/>
          <w:noProof/>
          <w:szCs w:val="24"/>
        </w:rPr>
        <w:t>, Acierno, S</w:t>
      </w:r>
      <w:r>
        <w:rPr>
          <w:rFonts w:cs="Arial"/>
          <w:noProof/>
          <w:szCs w:val="24"/>
        </w:rPr>
        <w:t>.</w:t>
      </w:r>
      <w:r w:rsidRPr="00917880">
        <w:rPr>
          <w:rFonts w:cs="Arial"/>
          <w:noProof/>
          <w:szCs w:val="24"/>
        </w:rPr>
        <w:t>, Cicala, G</w:t>
      </w:r>
      <w:r>
        <w:rPr>
          <w:rFonts w:cs="Arial"/>
          <w:noProof/>
          <w:szCs w:val="24"/>
        </w:rPr>
        <w:t>.</w:t>
      </w:r>
      <w:r w:rsidRPr="00917880">
        <w:rPr>
          <w:rFonts w:cs="Arial"/>
          <w:noProof/>
          <w:szCs w:val="24"/>
        </w:rPr>
        <w:t xml:space="preserve"> and Acierno, D</w:t>
      </w:r>
      <w:r>
        <w:rPr>
          <w:rFonts w:cs="Arial"/>
          <w:noProof/>
          <w:szCs w:val="24"/>
        </w:rPr>
        <w:t>.</w:t>
      </w:r>
      <w:r w:rsidRPr="00917880">
        <w:rPr>
          <w:rFonts w:cs="Arial"/>
          <w:noProof/>
          <w:szCs w:val="24"/>
        </w:rPr>
        <w:t xml:space="preserve"> (2022</w:t>
      </w:r>
      <w:r>
        <w:rPr>
          <w:rFonts w:cs="Arial"/>
          <w:noProof/>
          <w:szCs w:val="24"/>
        </w:rPr>
        <w:t>a</w:t>
      </w:r>
      <w:r w:rsidRPr="00917880">
        <w:rPr>
          <w:rFonts w:cs="Arial"/>
          <w:noProof/>
          <w:szCs w:val="24"/>
        </w:rPr>
        <w:t xml:space="preserve">), Recycling Waste from Film Packaging to 3D Printing Applications: A Prospective Study to Identify the Processing Temperature. </w:t>
      </w:r>
      <w:r w:rsidRPr="00917880">
        <w:rPr>
          <w:rFonts w:cs="Arial"/>
          <w:i/>
          <w:iCs/>
          <w:noProof/>
          <w:szCs w:val="24"/>
        </w:rPr>
        <w:t>Chemical Engineering Transactions</w:t>
      </w:r>
      <w:r w:rsidRPr="00917880">
        <w:rPr>
          <w:rFonts w:cs="Arial"/>
          <w:noProof/>
          <w:szCs w:val="24"/>
        </w:rPr>
        <w:t>, 96: 55–60.</w:t>
      </w:r>
    </w:p>
    <w:p w14:paraId="2362B411"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Patti, A</w:t>
      </w:r>
      <w:r>
        <w:rPr>
          <w:rFonts w:cs="Arial"/>
          <w:noProof/>
          <w:szCs w:val="24"/>
        </w:rPr>
        <w:t>.</w:t>
      </w:r>
      <w:r w:rsidRPr="00917880">
        <w:rPr>
          <w:rFonts w:cs="Arial"/>
          <w:noProof/>
          <w:szCs w:val="24"/>
        </w:rPr>
        <w:t>, Acierno, S</w:t>
      </w:r>
      <w:r>
        <w:rPr>
          <w:rFonts w:cs="Arial"/>
          <w:noProof/>
          <w:szCs w:val="24"/>
        </w:rPr>
        <w:t>.</w:t>
      </w:r>
      <w:r w:rsidRPr="00917880">
        <w:rPr>
          <w:rFonts w:cs="Arial"/>
          <w:noProof/>
          <w:szCs w:val="24"/>
        </w:rPr>
        <w:t>, Cicala, G</w:t>
      </w:r>
      <w:r>
        <w:rPr>
          <w:rFonts w:cs="Arial"/>
          <w:noProof/>
          <w:szCs w:val="24"/>
        </w:rPr>
        <w:t>.</w:t>
      </w:r>
      <w:r w:rsidRPr="00917880">
        <w:rPr>
          <w:rFonts w:cs="Arial"/>
          <w:noProof/>
          <w:szCs w:val="24"/>
        </w:rPr>
        <w:t>, Tuccitto, N</w:t>
      </w:r>
      <w:r>
        <w:rPr>
          <w:rFonts w:cs="Arial"/>
          <w:noProof/>
          <w:szCs w:val="24"/>
        </w:rPr>
        <w:t>.</w:t>
      </w:r>
      <w:r w:rsidRPr="00917880">
        <w:rPr>
          <w:rFonts w:cs="Arial"/>
          <w:noProof/>
          <w:szCs w:val="24"/>
        </w:rPr>
        <w:t xml:space="preserve"> and Acierno, D</w:t>
      </w:r>
      <w:r>
        <w:rPr>
          <w:rFonts w:cs="Arial"/>
          <w:noProof/>
          <w:szCs w:val="24"/>
        </w:rPr>
        <w:t>.</w:t>
      </w:r>
      <w:r w:rsidRPr="00917880">
        <w:rPr>
          <w:rFonts w:cs="Arial"/>
          <w:noProof/>
          <w:szCs w:val="24"/>
        </w:rPr>
        <w:t xml:space="preserve"> (2022</w:t>
      </w:r>
      <w:r>
        <w:rPr>
          <w:rFonts w:cs="Arial"/>
          <w:noProof/>
          <w:szCs w:val="24"/>
        </w:rPr>
        <w:t>b</w:t>
      </w:r>
      <w:r w:rsidRPr="00917880">
        <w:rPr>
          <w:rFonts w:cs="Arial"/>
          <w:noProof/>
          <w:szCs w:val="24"/>
        </w:rPr>
        <w:t xml:space="preserve">), Refining the 3D Printer Set-up to Reduce the Environmental Impact of the Fused Deposition Modelling (Fdm) Technology. </w:t>
      </w:r>
      <w:r w:rsidRPr="00917880">
        <w:rPr>
          <w:rFonts w:cs="Arial"/>
          <w:i/>
          <w:iCs/>
          <w:noProof/>
          <w:szCs w:val="24"/>
        </w:rPr>
        <w:t>Chemical Engineering Transactions</w:t>
      </w:r>
      <w:r w:rsidRPr="00917880">
        <w:rPr>
          <w:rFonts w:cs="Arial"/>
          <w:noProof/>
          <w:szCs w:val="24"/>
        </w:rPr>
        <w:t>, 91: 415–420.</w:t>
      </w:r>
    </w:p>
    <w:p w14:paraId="1CA2A899"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Patti, A</w:t>
      </w:r>
      <w:r>
        <w:rPr>
          <w:rFonts w:cs="Arial"/>
          <w:noProof/>
          <w:szCs w:val="24"/>
        </w:rPr>
        <w:t>.</w:t>
      </w:r>
      <w:r w:rsidRPr="00917880">
        <w:rPr>
          <w:rFonts w:cs="Arial"/>
          <w:noProof/>
          <w:szCs w:val="24"/>
        </w:rPr>
        <w:t>, Cicala, G</w:t>
      </w:r>
      <w:r>
        <w:rPr>
          <w:rFonts w:cs="Arial"/>
          <w:noProof/>
          <w:szCs w:val="24"/>
        </w:rPr>
        <w:t xml:space="preserve">. </w:t>
      </w:r>
      <w:r w:rsidRPr="00917880">
        <w:rPr>
          <w:rFonts w:cs="Arial"/>
          <w:noProof/>
          <w:szCs w:val="24"/>
        </w:rPr>
        <w:t>and Acierno, S</w:t>
      </w:r>
      <w:r>
        <w:rPr>
          <w:rFonts w:cs="Arial"/>
          <w:noProof/>
          <w:szCs w:val="24"/>
        </w:rPr>
        <w:t>.</w:t>
      </w:r>
      <w:r w:rsidRPr="00917880">
        <w:rPr>
          <w:rFonts w:cs="Arial"/>
          <w:noProof/>
          <w:szCs w:val="24"/>
        </w:rPr>
        <w:t xml:space="preserve"> (2021), Rotational Rheology of Wood Flour Composites Based on Recycled Polyethylene. </w:t>
      </w:r>
      <w:r w:rsidRPr="00917880">
        <w:rPr>
          <w:rFonts w:cs="Arial"/>
          <w:i/>
          <w:iCs/>
          <w:noProof/>
          <w:szCs w:val="24"/>
        </w:rPr>
        <w:t>Polymers</w:t>
      </w:r>
      <w:r w:rsidRPr="00917880">
        <w:rPr>
          <w:rFonts w:cs="Arial"/>
          <w:noProof/>
          <w:szCs w:val="24"/>
        </w:rPr>
        <w:t>, 13(14): 2226.</w:t>
      </w:r>
    </w:p>
    <w:p w14:paraId="272AC6CE"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Pop, M</w:t>
      </w:r>
      <w:r>
        <w:rPr>
          <w:rFonts w:cs="Arial"/>
          <w:noProof/>
          <w:szCs w:val="24"/>
        </w:rPr>
        <w:t>.</w:t>
      </w:r>
      <w:r w:rsidRPr="00917880">
        <w:rPr>
          <w:rFonts w:cs="Arial"/>
          <w:noProof/>
          <w:szCs w:val="24"/>
        </w:rPr>
        <w:t xml:space="preserve"> A</w:t>
      </w:r>
      <w:r>
        <w:rPr>
          <w:rFonts w:cs="Arial"/>
          <w:noProof/>
          <w:szCs w:val="24"/>
        </w:rPr>
        <w:t>.</w:t>
      </w:r>
      <w:r w:rsidRPr="00917880">
        <w:rPr>
          <w:rFonts w:cs="Arial"/>
          <w:noProof/>
          <w:szCs w:val="24"/>
        </w:rPr>
        <w:t>, Croitoru, C</w:t>
      </w:r>
      <w:r>
        <w:rPr>
          <w:rFonts w:cs="Arial"/>
          <w:noProof/>
          <w:szCs w:val="24"/>
        </w:rPr>
        <w:t>.</w:t>
      </w:r>
      <w:r w:rsidRPr="00917880">
        <w:rPr>
          <w:rFonts w:cs="Arial"/>
          <w:noProof/>
          <w:szCs w:val="24"/>
        </w:rPr>
        <w:t>, Bedő, T</w:t>
      </w:r>
      <w:r>
        <w:rPr>
          <w:rFonts w:cs="Arial"/>
          <w:noProof/>
          <w:szCs w:val="24"/>
        </w:rPr>
        <w:t>.</w:t>
      </w:r>
      <w:r w:rsidRPr="00917880">
        <w:rPr>
          <w:rFonts w:cs="Arial"/>
          <w:noProof/>
          <w:szCs w:val="24"/>
        </w:rPr>
        <w:t>, Geaman, V</w:t>
      </w:r>
      <w:r>
        <w:rPr>
          <w:rFonts w:cs="Arial"/>
          <w:noProof/>
          <w:szCs w:val="24"/>
        </w:rPr>
        <w:t>.</w:t>
      </w:r>
      <w:r w:rsidRPr="00917880">
        <w:rPr>
          <w:rFonts w:cs="Arial"/>
          <w:noProof/>
          <w:szCs w:val="24"/>
        </w:rPr>
        <w:t>, Radomir, I</w:t>
      </w:r>
      <w:r>
        <w:rPr>
          <w:rFonts w:cs="Arial"/>
          <w:noProof/>
          <w:szCs w:val="24"/>
        </w:rPr>
        <w:t>.</w:t>
      </w:r>
      <w:r w:rsidRPr="00917880">
        <w:rPr>
          <w:rFonts w:cs="Arial"/>
          <w:noProof/>
          <w:szCs w:val="24"/>
        </w:rPr>
        <w:t>, Coșnița, M</w:t>
      </w:r>
      <w:r>
        <w:rPr>
          <w:rFonts w:cs="Arial"/>
          <w:noProof/>
          <w:szCs w:val="24"/>
        </w:rPr>
        <w:t>.</w:t>
      </w:r>
      <w:r w:rsidRPr="00917880">
        <w:rPr>
          <w:rFonts w:cs="Arial"/>
          <w:noProof/>
          <w:szCs w:val="24"/>
        </w:rPr>
        <w:t>, Zaharia, S</w:t>
      </w:r>
      <w:r>
        <w:rPr>
          <w:rFonts w:cs="Arial"/>
          <w:noProof/>
          <w:szCs w:val="24"/>
        </w:rPr>
        <w:t>.</w:t>
      </w:r>
      <w:r w:rsidRPr="00917880">
        <w:rPr>
          <w:rFonts w:cs="Arial"/>
          <w:noProof/>
          <w:szCs w:val="24"/>
        </w:rPr>
        <w:t xml:space="preserve"> M</w:t>
      </w:r>
      <w:r>
        <w:rPr>
          <w:rFonts w:cs="Arial"/>
          <w:noProof/>
          <w:szCs w:val="24"/>
        </w:rPr>
        <w:t>.</w:t>
      </w:r>
      <w:r w:rsidRPr="00917880">
        <w:rPr>
          <w:rFonts w:cs="Arial"/>
          <w:noProof/>
          <w:szCs w:val="24"/>
        </w:rPr>
        <w:t>, Chicoș, L</w:t>
      </w:r>
      <w:r>
        <w:rPr>
          <w:rFonts w:cs="Arial"/>
          <w:noProof/>
          <w:szCs w:val="24"/>
        </w:rPr>
        <w:t>.</w:t>
      </w:r>
      <w:r w:rsidRPr="00917880">
        <w:rPr>
          <w:rFonts w:cs="Arial"/>
          <w:noProof/>
          <w:szCs w:val="24"/>
        </w:rPr>
        <w:t xml:space="preserve"> A</w:t>
      </w:r>
      <w:r>
        <w:rPr>
          <w:rFonts w:cs="Arial"/>
          <w:noProof/>
          <w:szCs w:val="24"/>
        </w:rPr>
        <w:t>.</w:t>
      </w:r>
      <w:r w:rsidRPr="00917880">
        <w:rPr>
          <w:rFonts w:cs="Arial"/>
          <w:noProof/>
          <w:szCs w:val="24"/>
        </w:rPr>
        <w:t xml:space="preserve"> and Miloșan, I</w:t>
      </w:r>
      <w:r>
        <w:rPr>
          <w:rFonts w:cs="Arial"/>
          <w:noProof/>
          <w:szCs w:val="24"/>
        </w:rPr>
        <w:t>.</w:t>
      </w:r>
      <w:r w:rsidRPr="00917880">
        <w:rPr>
          <w:rFonts w:cs="Arial"/>
          <w:noProof/>
          <w:szCs w:val="24"/>
        </w:rPr>
        <w:t xml:space="preserve"> (2019), Structural Changes during 3D Printing of Bioderived and Synthetic Thermoplastic Materials. </w:t>
      </w:r>
      <w:r w:rsidRPr="00917880">
        <w:rPr>
          <w:rFonts w:cs="Arial"/>
          <w:i/>
          <w:iCs/>
          <w:noProof/>
          <w:szCs w:val="24"/>
        </w:rPr>
        <w:t>Journal of Applied Polymer Science</w:t>
      </w:r>
      <w:r w:rsidRPr="00917880">
        <w:rPr>
          <w:rFonts w:cs="Arial"/>
          <w:noProof/>
          <w:szCs w:val="24"/>
        </w:rPr>
        <w:t>, 136(17): 47382.</w:t>
      </w:r>
    </w:p>
    <w:p w14:paraId="2F19A2C8"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 xml:space="preserve">Sathies, T., Senthil, P. and Anoop, M. S. (2020), A Review on Advancements in Applications of Fused Deposition Modelling Process. </w:t>
      </w:r>
      <w:r w:rsidRPr="00917880">
        <w:rPr>
          <w:rFonts w:cs="Arial"/>
          <w:i/>
          <w:iCs/>
          <w:noProof/>
          <w:szCs w:val="24"/>
        </w:rPr>
        <w:t>Rapid Prototyping Journal</w:t>
      </w:r>
      <w:r w:rsidRPr="00917880">
        <w:rPr>
          <w:rFonts w:cs="Arial"/>
          <w:noProof/>
          <w:szCs w:val="24"/>
        </w:rPr>
        <w:t>, 26(4): 669–687.</w:t>
      </w:r>
    </w:p>
    <w:p w14:paraId="05869340"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 xml:space="preserve">Speranza, V., De Meo, A. and Pantani, R. (2014), Thermal and Hydrolytic Degradation Kinetics of PLA in the Molten State. </w:t>
      </w:r>
      <w:r w:rsidRPr="00917880">
        <w:rPr>
          <w:rFonts w:cs="Arial"/>
          <w:i/>
          <w:iCs/>
          <w:noProof/>
          <w:szCs w:val="24"/>
        </w:rPr>
        <w:t>Polymer Degradation and Stability</w:t>
      </w:r>
      <w:r w:rsidRPr="00917880">
        <w:rPr>
          <w:rFonts w:cs="Arial"/>
          <w:noProof/>
          <w:szCs w:val="24"/>
        </w:rPr>
        <w:t>, 100(1): 37–41.</w:t>
      </w:r>
    </w:p>
    <w:p w14:paraId="16CBA165" w14:textId="77777777" w:rsidR="002B1D66" w:rsidRPr="00917880" w:rsidRDefault="002B1D66" w:rsidP="002B1D66">
      <w:pPr>
        <w:widowControl w:val="0"/>
        <w:autoSpaceDE w:val="0"/>
        <w:autoSpaceDN w:val="0"/>
        <w:adjustRightInd w:val="0"/>
        <w:spacing w:line="240" w:lineRule="auto"/>
        <w:ind w:left="480" w:hanging="480"/>
        <w:rPr>
          <w:rFonts w:cs="Arial"/>
          <w:noProof/>
          <w:szCs w:val="24"/>
        </w:rPr>
      </w:pPr>
      <w:r w:rsidRPr="00917880">
        <w:rPr>
          <w:rFonts w:cs="Arial"/>
          <w:noProof/>
          <w:szCs w:val="24"/>
        </w:rPr>
        <w:t>Sztorch, B</w:t>
      </w:r>
      <w:r>
        <w:rPr>
          <w:rFonts w:cs="Arial"/>
          <w:noProof/>
          <w:szCs w:val="24"/>
        </w:rPr>
        <w:t>.</w:t>
      </w:r>
      <w:r w:rsidRPr="00917880">
        <w:rPr>
          <w:rFonts w:cs="Arial"/>
          <w:noProof/>
          <w:szCs w:val="24"/>
        </w:rPr>
        <w:t xml:space="preserve">, </w:t>
      </w:r>
      <w:r w:rsidRPr="009B529C">
        <w:rPr>
          <w:rFonts w:cs="Arial"/>
          <w:noProof/>
          <w:szCs w:val="24"/>
        </w:rPr>
        <w:t>Brząkalski</w:t>
      </w:r>
      <w:r>
        <w:rPr>
          <w:rFonts w:cs="Arial"/>
          <w:noProof/>
          <w:szCs w:val="24"/>
        </w:rPr>
        <w:t xml:space="preserve"> D.</w:t>
      </w:r>
      <w:r w:rsidRPr="00917880">
        <w:rPr>
          <w:rFonts w:cs="Arial"/>
          <w:noProof/>
          <w:szCs w:val="24"/>
        </w:rPr>
        <w:t>,</w:t>
      </w:r>
      <w:r>
        <w:rPr>
          <w:rFonts w:cs="Arial"/>
          <w:noProof/>
          <w:szCs w:val="24"/>
        </w:rPr>
        <w:t xml:space="preserve"> </w:t>
      </w:r>
      <w:r w:rsidRPr="00917880">
        <w:rPr>
          <w:rFonts w:cs="Arial"/>
          <w:noProof/>
          <w:szCs w:val="24"/>
        </w:rPr>
        <w:t>Pakuła, D</w:t>
      </w:r>
      <w:r>
        <w:rPr>
          <w:rFonts w:cs="Arial"/>
          <w:noProof/>
          <w:szCs w:val="24"/>
        </w:rPr>
        <w:t>.</w:t>
      </w:r>
      <w:r w:rsidRPr="00917880">
        <w:rPr>
          <w:rFonts w:cs="Arial"/>
          <w:noProof/>
          <w:szCs w:val="24"/>
        </w:rPr>
        <w:t>, Frydrych, M</w:t>
      </w:r>
      <w:r>
        <w:rPr>
          <w:rFonts w:cs="Arial"/>
          <w:noProof/>
          <w:szCs w:val="24"/>
        </w:rPr>
        <w:t>.</w:t>
      </w:r>
      <w:r w:rsidRPr="00917880">
        <w:rPr>
          <w:rFonts w:cs="Arial"/>
          <w:noProof/>
          <w:szCs w:val="24"/>
        </w:rPr>
        <w:t>, Špitalský, Z</w:t>
      </w:r>
      <w:r>
        <w:rPr>
          <w:rFonts w:cs="Arial"/>
          <w:noProof/>
          <w:szCs w:val="24"/>
        </w:rPr>
        <w:t>.</w:t>
      </w:r>
      <w:r w:rsidRPr="00917880">
        <w:rPr>
          <w:rFonts w:cs="Arial"/>
          <w:noProof/>
          <w:szCs w:val="24"/>
        </w:rPr>
        <w:t xml:space="preserve"> and Przekop, R</w:t>
      </w:r>
      <w:r>
        <w:rPr>
          <w:rFonts w:cs="Arial"/>
          <w:noProof/>
          <w:szCs w:val="24"/>
        </w:rPr>
        <w:t>.</w:t>
      </w:r>
      <w:r w:rsidRPr="00917880">
        <w:rPr>
          <w:rFonts w:cs="Arial"/>
          <w:noProof/>
          <w:szCs w:val="24"/>
        </w:rPr>
        <w:t xml:space="preserve">E (2022), Natural and Synthetic Polymer Fillers for Applications in 3D Printing—FDM Technology Area. </w:t>
      </w:r>
      <w:r w:rsidRPr="00917880">
        <w:rPr>
          <w:rFonts w:cs="Arial"/>
          <w:i/>
          <w:iCs/>
          <w:noProof/>
          <w:szCs w:val="24"/>
        </w:rPr>
        <w:t>Solids</w:t>
      </w:r>
      <w:r w:rsidRPr="00917880">
        <w:rPr>
          <w:rFonts w:cs="Arial"/>
          <w:noProof/>
          <w:szCs w:val="24"/>
        </w:rPr>
        <w:t xml:space="preserve">, 3(3): 508–548. </w:t>
      </w:r>
    </w:p>
    <w:p w14:paraId="1CFB5A70" w14:textId="77777777" w:rsidR="002B1D66" w:rsidRPr="00917880" w:rsidRDefault="002B1D66" w:rsidP="002B1D66">
      <w:pPr>
        <w:widowControl w:val="0"/>
        <w:autoSpaceDE w:val="0"/>
        <w:autoSpaceDN w:val="0"/>
        <w:adjustRightInd w:val="0"/>
        <w:spacing w:line="240" w:lineRule="auto"/>
        <w:ind w:left="480" w:hanging="480"/>
        <w:rPr>
          <w:rFonts w:cs="Arial"/>
          <w:noProof/>
        </w:rPr>
      </w:pPr>
      <w:r w:rsidRPr="00917880">
        <w:rPr>
          <w:rFonts w:cs="Arial"/>
          <w:noProof/>
          <w:szCs w:val="24"/>
        </w:rPr>
        <w:t>Vohlidal, J</w:t>
      </w:r>
      <w:r>
        <w:rPr>
          <w:rFonts w:cs="Arial"/>
          <w:noProof/>
          <w:szCs w:val="24"/>
        </w:rPr>
        <w:t>.</w:t>
      </w:r>
      <w:r w:rsidRPr="00917880">
        <w:rPr>
          <w:rFonts w:cs="Arial"/>
          <w:noProof/>
          <w:szCs w:val="24"/>
        </w:rPr>
        <w:t xml:space="preserve"> (2021), Polymer Degradation: A Short Review. </w:t>
      </w:r>
      <w:r w:rsidRPr="00917880">
        <w:rPr>
          <w:rFonts w:cs="Arial"/>
          <w:i/>
          <w:iCs/>
          <w:noProof/>
          <w:szCs w:val="24"/>
        </w:rPr>
        <w:t>Chemistry Teacher International</w:t>
      </w:r>
      <w:r w:rsidRPr="00917880">
        <w:rPr>
          <w:rFonts w:cs="Arial"/>
          <w:noProof/>
          <w:szCs w:val="24"/>
        </w:rPr>
        <w:t xml:space="preserve">, 3(2): 213–220. </w:t>
      </w:r>
    </w:p>
    <w:p w14:paraId="1197334A" w14:textId="71C93DBF" w:rsidR="001E4D4B" w:rsidRPr="002B1D66" w:rsidRDefault="002B1D66" w:rsidP="002B1D66">
      <w:pPr>
        <w:widowControl w:val="0"/>
        <w:autoSpaceDE w:val="0"/>
        <w:autoSpaceDN w:val="0"/>
        <w:adjustRightInd w:val="0"/>
        <w:spacing w:line="240" w:lineRule="auto"/>
        <w:ind w:left="480" w:hanging="480"/>
        <w:rPr>
          <w:rFonts w:cs="Arial"/>
          <w:noProof/>
          <w:szCs w:val="24"/>
        </w:rPr>
      </w:pPr>
      <w:r>
        <w:fldChar w:fldCharType="end"/>
      </w:r>
      <w:r w:rsidR="001E4D4B">
        <w:fldChar w:fldCharType="begin" w:fldLock="1"/>
      </w:r>
      <w:r w:rsidR="001E4D4B">
        <w:instrText xml:space="preserve">ADDIN Mendeley Bibliography CSL_BIBLIOGRAPHY </w:instrText>
      </w:r>
      <w:r w:rsidR="00000000">
        <w:fldChar w:fldCharType="separate"/>
      </w:r>
      <w:r w:rsidR="001E4D4B">
        <w:fldChar w:fldCharType="end"/>
      </w:r>
      <w:bookmarkEnd w:id="0"/>
    </w:p>
    <w:sectPr w:rsidR="001E4D4B" w:rsidRPr="002B1D6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2304" w14:textId="77777777" w:rsidR="00853682" w:rsidRDefault="00853682" w:rsidP="004F5E36">
      <w:r>
        <w:separator/>
      </w:r>
    </w:p>
  </w:endnote>
  <w:endnote w:type="continuationSeparator" w:id="0">
    <w:p w14:paraId="67703902" w14:textId="77777777" w:rsidR="00853682" w:rsidRDefault="0085368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07385" w14:textId="77777777" w:rsidR="00853682" w:rsidRDefault="00853682" w:rsidP="004F5E36">
      <w:r>
        <w:separator/>
      </w:r>
    </w:p>
  </w:footnote>
  <w:footnote w:type="continuationSeparator" w:id="0">
    <w:p w14:paraId="0A2CF2F8" w14:textId="77777777" w:rsidR="00853682" w:rsidRDefault="0085368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27052818">
    <w:abstractNumId w:val="10"/>
  </w:num>
  <w:num w:numId="2" w16cid:durableId="1247350682">
    <w:abstractNumId w:val="8"/>
  </w:num>
  <w:num w:numId="3" w16cid:durableId="825322362">
    <w:abstractNumId w:val="3"/>
  </w:num>
  <w:num w:numId="4" w16cid:durableId="491869032">
    <w:abstractNumId w:val="2"/>
  </w:num>
  <w:num w:numId="5" w16cid:durableId="1885407771">
    <w:abstractNumId w:val="1"/>
  </w:num>
  <w:num w:numId="6" w16cid:durableId="547029814">
    <w:abstractNumId w:val="0"/>
  </w:num>
  <w:num w:numId="7" w16cid:durableId="586615043">
    <w:abstractNumId w:val="9"/>
  </w:num>
  <w:num w:numId="8" w16cid:durableId="1664166018">
    <w:abstractNumId w:val="7"/>
  </w:num>
  <w:num w:numId="9" w16cid:durableId="701436375">
    <w:abstractNumId w:val="6"/>
  </w:num>
  <w:num w:numId="10" w16cid:durableId="1256478751">
    <w:abstractNumId w:val="5"/>
  </w:num>
  <w:num w:numId="11" w16cid:durableId="1582178645">
    <w:abstractNumId w:val="4"/>
  </w:num>
  <w:num w:numId="12" w16cid:durableId="1598250895">
    <w:abstractNumId w:val="17"/>
  </w:num>
  <w:num w:numId="13" w16cid:durableId="1589970045">
    <w:abstractNumId w:val="12"/>
  </w:num>
  <w:num w:numId="14" w16cid:durableId="1441752992">
    <w:abstractNumId w:val="18"/>
  </w:num>
  <w:num w:numId="15" w16cid:durableId="1128745379">
    <w:abstractNumId w:val="20"/>
  </w:num>
  <w:num w:numId="16" w16cid:durableId="913392283">
    <w:abstractNumId w:val="19"/>
  </w:num>
  <w:num w:numId="17" w16cid:durableId="1602952898">
    <w:abstractNumId w:val="11"/>
  </w:num>
  <w:num w:numId="18" w16cid:durableId="1139037383">
    <w:abstractNumId w:val="12"/>
    <w:lvlOverride w:ilvl="0">
      <w:startOverride w:val="1"/>
    </w:lvlOverride>
  </w:num>
  <w:num w:numId="19" w16cid:durableId="2140568182">
    <w:abstractNumId w:val="16"/>
  </w:num>
  <w:num w:numId="20" w16cid:durableId="2020769018">
    <w:abstractNumId w:val="15"/>
  </w:num>
  <w:num w:numId="21" w16cid:durableId="1225292650">
    <w:abstractNumId w:val="14"/>
  </w:num>
  <w:num w:numId="22" w16cid:durableId="1299843000">
    <w:abstractNumId w:val="13"/>
  </w:num>
  <w:num w:numId="23" w16cid:durableId="20596135">
    <w:abstractNumId w:val="10"/>
    <w:lvlOverride w:ilvl="0">
      <w:startOverride w:val="1"/>
    </w:lvlOverride>
    <w:lvlOverride w:ilvl="1">
      <w:startOverride w:val="2"/>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253E"/>
    <w:rsid w:val="0003148D"/>
    <w:rsid w:val="00031EEC"/>
    <w:rsid w:val="0003427E"/>
    <w:rsid w:val="00051566"/>
    <w:rsid w:val="000562A9"/>
    <w:rsid w:val="00060D8F"/>
    <w:rsid w:val="00062A9A"/>
    <w:rsid w:val="00065058"/>
    <w:rsid w:val="00086C39"/>
    <w:rsid w:val="00097EED"/>
    <w:rsid w:val="000A03B2"/>
    <w:rsid w:val="000B2ED8"/>
    <w:rsid w:val="000B7653"/>
    <w:rsid w:val="000C6282"/>
    <w:rsid w:val="000D0268"/>
    <w:rsid w:val="000D20E4"/>
    <w:rsid w:val="000D34BE"/>
    <w:rsid w:val="000D6BDF"/>
    <w:rsid w:val="000E102F"/>
    <w:rsid w:val="000E36F1"/>
    <w:rsid w:val="000E3A73"/>
    <w:rsid w:val="000E414A"/>
    <w:rsid w:val="000E4FD3"/>
    <w:rsid w:val="000F093C"/>
    <w:rsid w:val="000F787B"/>
    <w:rsid w:val="0012091F"/>
    <w:rsid w:val="00123410"/>
    <w:rsid w:val="00126BC2"/>
    <w:rsid w:val="001308B6"/>
    <w:rsid w:val="0013121F"/>
    <w:rsid w:val="00131FE6"/>
    <w:rsid w:val="0013263F"/>
    <w:rsid w:val="001331DF"/>
    <w:rsid w:val="00134DE4"/>
    <w:rsid w:val="0014034D"/>
    <w:rsid w:val="00143176"/>
    <w:rsid w:val="00144D16"/>
    <w:rsid w:val="00150E59"/>
    <w:rsid w:val="00152DE3"/>
    <w:rsid w:val="001547FE"/>
    <w:rsid w:val="00161F40"/>
    <w:rsid w:val="00164CF9"/>
    <w:rsid w:val="001667A6"/>
    <w:rsid w:val="00184AD6"/>
    <w:rsid w:val="00193B4E"/>
    <w:rsid w:val="00194D9F"/>
    <w:rsid w:val="001A4AF7"/>
    <w:rsid w:val="001B0349"/>
    <w:rsid w:val="001B1E93"/>
    <w:rsid w:val="001B2778"/>
    <w:rsid w:val="001B65C1"/>
    <w:rsid w:val="001C684B"/>
    <w:rsid w:val="001D0CFB"/>
    <w:rsid w:val="001D21AF"/>
    <w:rsid w:val="001D53FC"/>
    <w:rsid w:val="001E3A95"/>
    <w:rsid w:val="001E4D4B"/>
    <w:rsid w:val="001F42A5"/>
    <w:rsid w:val="001F506D"/>
    <w:rsid w:val="001F7B9D"/>
    <w:rsid w:val="002012F4"/>
    <w:rsid w:val="00201C93"/>
    <w:rsid w:val="002224B4"/>
    <w:rsid w:val="00224E56"/>
    <w:rsid w:val="00225FD7"/>
    <w:rsid w:val="002347B7"/>
    <w:rsid w:val="0023682C"/>
    <w:rsid w:val="00237763"/>
    <w:rsid w:val="002447EF"/>
    <w:rsid w:val="002457B8"/>
    <w:rsid w:val="00247449"/>
    <w:rsid w:val="00251550"/>
    <w:rsid w:val="00251D39"/>
    <w:rsid w:val="00263B05"/>
    <w:rsid w:val="0027221A"/>
    <w:rsid w:val="00275B61"/>
    <w:rsid w:val="00280FAF"/>
    <w:rsid w:val="00282656"/>
    <w:rsid w:val="00293001"/>
    <w:rsid w:val="00296B83"/>
    <w:rsid w:val="002B1D66"/>
    <w:rsid w:val="002B201D"/>
    <w:rsid w:val="002B4015"/>
    <w:rsid w:val="002B78CE"/>
    <w:rsid w:val="002C2FB6"/>
    <w:rsid w:val="002C43E6"/>
    <w:rsid w:val="002D57F3"/>
    <w:rsid w:val="002E5FA7"/>
    <w:rsid w:val="002F3309"/>
    <w:rsid w:val="003008CE"/>
    <w:rsid w:val="003009B7"/>
    <w:rsid w:val="00300E56"/>
    <w:rsid w:val="0030152C"/>
    <w:rsid w:val="00302993"/>
    <w:rsid w:val="0030469C"/>
    <w:rsid w:val="00321CA6"/>
    <w:rsid w:val="00323763"/>
    <w:rsid w:val="00323C5F"/>
    <w:rsid w:val="00326B7F"/>
    <w:rsid w:val="0033472C"/>
    <w:rsid w:val="00334C09"/>
    <w:rsid w:val="003476C3"/>
    <w:rsid w:val="003723D4"/>
    <w:rsid w:val="00381905"/>
    <w:rsid w:val="00384CC8"/>
    <w:rsid w:val="003871FD"/>
    <w:rsid w:val="003A1E30"/>
    <w:rsid w:val="003A2829"/>
    <w:rsid w:val="003A7D1C"/>
    <w:rsid w:val="003B304B"/>
    <w:rsid w:val="003B3146"/>
    <w:rsid w:val="003C3C4F"/>
    <w:rsid w:val="003C4F25"/>
    <w:rsid w:val="003F015E"/>
    <w:rsid w:val="00400414"/>
    <w:rsid w:val="0041446B"/>
    <w:rsid w:val="00440487"/>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26E0"/>
    <w:rsid w:val="004F5E36"/>
    <w:rsid w:val="00507A4E"/>
    <w:rsid w:val="00507B47"/>
    <w:rsid w:val="00507BEF"/>
    <w:rsid w:val="00507CC9"/>
    <w:rsid w:val="005119A5"/>
    <w:rsid w:val="005206AE"/>
    <w:rsid w:val="005278B7"/>
    <w:rsid w:val="00532016"/>
    <w:rsid w:val="005346C8"/>
    <w:rsid w:val="0053799F"/>
    <w:rsid w:val="00543E7D"/>
    <w:rsid w:val="00547A68"/>
    <w:rsid w:val="005531C9"/>
    <w:rsid w:val="005657E2"/>
    <w:rsid w:val="00570C43"/>
    <w:rsid w:val="005A6396"/>
    <w:rsid w:val="005B2110"/>
    <w:rsid w:val="005B61E6"/>
    <w:rsid w:val="005C77E1"/>
    <w:rsid w:val="005D51B0"/>
    <w:rsid w:val="005D61E9"/>
    <w:rsid w:val="005D668A"/>
    <w:rsid w:val="005D6A2F"/>
    <w:rsid w:val="005E1A82"/>
    <w:rsid w:val="005E794C"/>
    <w:rsid w:val="005F0A28"/>
    <w:rsid w:val="005F0E5E"/>
    <w:rsid w:val="00600535"/>
    <w:rsid w:val="00604720"/>
    <w:rsid w:val="00610CD6"/>
    <w:rsid w:val="00620DEE"/>
    <w:rsid w:val="00621F92"/>
    <w:rsid w:val="0062280A"/>
    <w:rsid w:val="00623CDC"/>
    <w:rsid w:val="00625639"/>
    <w:rsid w:val="00631B33"/>
    <w:rsid w:val="006350AC"/>
    <w:rsid w:val="0064184D"/>
    <w:rsid w:val="006422CC"/>
    <w:rsid w:val="00660E3E"/>
    <w:rsid w:val="006613D5"/>
    <w:rsid w:val="00662E74"/>
    <w:rsid w:val="00680C23"/>
    <w:rsid w:val="00693766"/>
    <w:rsid w:val="006A3281"/>
    <w:rsid w:val="006B4888"/>
    <w:rsid w:val="006C2E45"/>
    <w:rsid w:val="006C359C"/>
    <w:rsid w:val="006C4DF6"/>
    <w:rsid w:val="006C5579"/>
    <w:rsid w:val="006D6E8B"/>
    <w:rsid w:val="006E1524"/>
    <w:rsid w:val="006E2C67"/>
    <w:rsid w:val="006E737D"/>
    <w:rsid w:val="00704197"/>
    <w:rsid w:val="00704FB2"/>
    <w:rsid w:val="0071327D"/>
    <w:rsid w:val="00713973"/>
    <w:rsid w:val="00720A24"/>
    <w:rsid w:val="00732386"/>
    <w:rsid w:val="0073514D"/>
    <w:rsid w:val="007447F3"/>
    <w:rsid w:val="00754286"/>
    <w:rsid w:val="0075499F"/>
    <w:rsid w:val="0076582D"/>
    <w:rsid w:val="007661C8"/>
    <w:rsid w:val="0077098D"/>
    <w:rsid w:val="00781C30"/>
    <w:rsid w:val="007931FA"/>
    <w:rsid w:val="00793659"/>
    <w:rsid w:val="007A0D61"/>
    <w:rsid w:val="007A4861"/>
    <w:rsid w:val="007A7BBA"/>
    <w:rsid w:val="007B0C50"/>
    <w:rsid w:val="007B48F9"/>
    <w:rsid w:val="007B6D7A"/>
    <w:rsid w:val="007C1A43"/>
    <w:rsid w:val="007D0951"/>
    <w:rsid w:val="0080013E"/>
    <w:rsid w:val="00813288"/>
    <w:rsid w:val="008168FC"/>
    <w:rsid w:val="00821BC2"/>
    <w:rsid w:val="00824083"/>
    <w:rsid w:val="00830996"/>
    <w:rsid w:val="008345F1"/>
    <w:rsid w:val="00851E5A"/>
    <w:rsid w:val="00853682"/>
    <w:rsid w:val="00861BD4"/>
    <w:rsid w:val="00865B07"/>
    <w:rsid w:val="008667EA"/>
    <w:rsid w:val="0087637F"/>
    <w:rsid w:val="00891B9A"/>
    <w:rsid w:val="00892AD5"/>
    <w:rsid w:val="008A1512"/>
    <w:rsid w:val="008C7ECA"/>
    <w:rsid w:val="008D32B9"/>
    <w:rsid w:val="008D433B"/>
    <w:rsid w:val="008D4A16"/>
    <w:rsid w:val="008E2639"/>
    <w:rsid w:val="008E566E"/>
    <w:rsid w:val="0090161A"/>
    <w:rsid w:val="00901EB6"/>
    <w:rsid w:val="00904C62"/>
    <w:rsid w:val="00917880"/>
    <w:rsid w:val="00922BA8"/>
    <w:rsid w:val="00924DAC"/>
    <w:rsid w:val="00927058"/>
    <w:rsid w:val="00930CF2"/>
    <w:rsid w:val="00942750"/>
    <w:rsid w:val="009441F1"/>
    <w:rsid w:val="009450CE"/>
    <w:rsid w:val="009459BB"/>
    <w:rsid w:val="00947179"/>
    <w:rsid w:val="00950D4D"/>
    <w:rsid w:val="0095164B"/>
    <w:rsid w:val="009531CD"/>
    <w:rsid w:val="00954090"/>
    <w:rsid w:val="009573E7"/>
    <w:rsid w:val="009638B2"/>
    <w:rsid w:val="00963E05"/>
    <w:rsid w:val="00964A45"/>
    <w:rsid w:val="00965C74"/>
    <w:rsid w:val="00967843"/>
    <w:rsid w:val="00967D54"/>
    <w:rsid w:val="00971028"/>
    <w:rsid w:val="00993B84"/>
    <w:rsid w:val="00996483"/>
    <w:rsid w:val="00996F5A"/>
    <w:rsid w:val="009A5CF2"/>
    <w:rsid w:val="009B01F1"/>
    <w:rsid w:val="009B041A"/>
    <w:rsid w:val="009B529C"/>
    <w:rsid w:val="009C26ED"/>
    <w:rsid w:val="009C37C3"/>
    <w:rsid w:val="009C5FB9"/>
    <w:rsid w:val="009C7C86"/>
    <w:rsid w:val="009D2FF7"/>
    <w:rsid w:val="009E7884"/>
    <w:rsid w:val="009E788A"/>
    <w:rsid w:val="009F0E08"/>
    <w:rsid w:val="009F1339"/>
    <w:rsid w:val="00A00441"/>
    <w:rsid w:val="00A011BF"/>
    <w:rsid w:val="00A1324D"/>
    <w:rsid w:val="00A14F6B"/>
    <w:rsid w:val="00A1763D"/>
    <w:rsid w:val="00A17CEC"/>
    <w:rsid w:val="00A2120D"/>
    <w:rsid w:val="00A22C5A"/>
    <w:rsid w:val="00A24106"/>
    <w:rsid w:val="00A27EF0"/>
    <w:rsid w:val="00A30338"/>
    <w:rsid w:val="00A34CAE"/>
    <w:rsid w:val="00A42361"/>
    <w:rsid w:val="00A50B20"/>
    <w:rsid w:val="00A51390"/>
    <w:rsid w:val="00A56FC8"/>
    <w:rsid w:val="00A60D13"/>
    <w:rsid w:val="00A71F0C"/>
    <w:rsid w:val="00A7223D"/>
    <w:rsid w:val="00A72745"/>
    <w:rsid w:val="00A76EFC"/>
    <w:rsid w:val="00A83226"/>
    <w:rsid w:val="00A87D50"/>
    <w:rsid w:val="00A87E78"/>
    <w:rsid w:val="00A91010"/>
    <w:rsid w:val="00A950E4"/>
    <w:rsid w:val="00A97F29"/>
    <w:rsid w:val="00AA702E"/>
    <w:rsid w:val="00AA7D26"/>
    <w:rsid w:val="00AB0964"/>
    <w:rsid w:val="00AB5011"/>
    <w:rsid w:val="00AB56B5"/>
    <w:rsid w:val="00AC4995"/>
    <w:rsid w:val="00AC5202"/>
    <w:rsid w:val="00AC7368"/>
    <w:rsid w:val="00AD16B9"/>
    <w:rsid w:val="00AE1048"/>
    <w:rsid w:val="00AE377D"/>
    <w:rsid w:val="00AF0EBA"/>
    <w:rsid w:val="00AF72CD"/>
    <w:rsid w:val="00B02508"/>
    <w:rsid w:val="00B02C8A"/>
    <w:rsid w:val="00B17FBD"/>
    <w:rsid w:val="00B315A6"/>
    <w:rsid w:val="00B3174B"/>
    <w:rsid w:val="00B31813"/>
    <w:rsid w:val="00B33365"/>
    <w:rsid w:val="00B57B36"/>
    <w:rsid w:val="00B57E6F"/>
    <w:rsid w:val="00B728D1"/>
    <w:rsid w:val="00B8686D"/>
    <w:rsid w:val="00B93F69"/>
    <w:rsid w:val="00BA156A"/>
    <w:rsid w:val="00BB1DDC"/>
    <w:rsid w:val="00BC30C9"/>
    <w:rsid w:val="00BD077D"/>
    <w:rsid w:val="00BE3E58"/>
    <w:rsid w:val="00BE43AC"/>
    <w:rsid w:val="00BF4008"/>
    <w:rsid w:val="00C01616"/>
    <w:rsid w:val="00C0162B"/>
    <w:rsid w:val="00C068ED"/>
    <w:rsid w:val="00C13C7C"/>
    <w:rsid w:val="00C16519"/>
    <w:rsid w:val="00C17A71"/>
    <w:rsid w:val="00C22E0C"/>
    <w:rsid w:val="00C345B1"/>
    <w:rsid w:val="00C40142"/>
    <w:rsid w:val="00C42B73"/>
    <w:rsid w:val="00C46906"/>
    <w:rsid w:val="00C52C3C"/>
    <w:rsid w:val="00C57182"/>
    <w:rsid w:val="00C57863"/>
    <w:rsid w:val="00C62225"/>
    <w:rsid w:val="00C640AF"/>
    <w:rsid w:val="00C655FD"/>
    <w:rsid w:val="00C66684"/>
    <w:rsid w:val="00C75407"/>
    <w:rsid w:val="00C870A8"/>
    <w:rsid w:val="00C931B4"/>
    <w:rsid w:val="00C94434"/>
    <w:rsid w:val="00C9638D"/>
    <w:rsid w:val="00CA0D75"/>
    <w:rsid w:val="00CA1C95"/>
    <w:rsid w:val="00CA5A9C"/>
    <w:rsid w:val="00CC4C20"/>
    <w:rsid w:val="00CC652E"/>
    <w:rsid w:val="00CD138C"/>
    <w:rsid w:val="00CD3517"/>
    <w:rsid w:val="00CD5FE2"/>
    <w:rsid w:val="00CE269E"/>
    <w:rsid w:val="00CE7C68"/>
    <w:rsid w:val="00D02B4C"/>
    <w:rsid w:val="00D040C4"/>
    <w:rsid w:val="00D12372"/>
    <w:rsid w:val="00D20AD1"/>
    <w:rsid w:val="00D46B7E"/>
    <w:rsid w:val="00D570EC"/>
    <w:rsid w:val="00D57C84"/>
    <w:rsid w:val="00D6057D"/>
    <w:rsid w:val="00D71640"/>
    <w:rsid w:val="00D836C5"/>
    <w:rsid w:val="00D84576"/>
    <w:rsid w:val="00DA1399"/>
    <w:rsid w:val="00DA24C6"/>
    <w:rsid w:val="00DA27A7"/>
    <w:rsid w:val="00DA4D7B"/>
    <w:rsid w:val="00DA79FE"/>
    <w:rsid w:val="00DC730E"/>
    <w:rsid w:val="00DD271C"/>
    <w:rsid w:val="00DD66FE"/>
    <w:rsid w:val="00DE264A"/>
    <w:rsid w:val="00DF5072"/>
    <w:rsid w:val="00E02D18"/>
    <w:rsid w:val="00E041E7"/>
    <w:rsid w:val="00E23CA1"/>
    <w:rsid w:val="00E409A8"/>
    <w:rsid w:val="00E40A5E"/>
    <w:rsid w:val="00E50C12"/>
    <w:rsid w:val="00E6491D"/>
    <w:rsid w:val="00E65B91"/>
    <w:rsid w:val="00E7209D"/>
    <w:rsid w:val="00E72EAD"/>
    <w:rsid w:val="00E77223"/>
    <w:rsid w:val="00E8528B"/>
    <w:rsid w:val="00E85B94"/>
    <w:rsid w:val="00E90586"/>
    <w:rsid w:val="00E978D0"/>
    <w:rsid w:val="00EA4613"/>
    <w:rsid w:val="00EA7F91"/>
    <w:rsid w:val="00EB1523"/>
    <w:rsid w:val="00EC0E49"/>
    <w:rsid w:val="00EC101F"/>
    <w:rsid w:val="00EC1D9F"/>
    <w:rsid w:val="00EC5EC4"/>
    <w:rsid w:val="00ED1712"/>
    <w:rsid w:val="00ED4D8A"/>
    <w:rsid w:val="00ED732D"/>
    <w:rsid w:val="00EE0131"/>
    <w:rsid w:val="00EE17B0"/>
    <w:rsid w:val="00EF06D9"/>
    <w:rsid w:val="00F1148C"/>
    <w:rsid w:val="00F22A9B"/>
    <w:rsid w:val="00F3049E"/>
    <w:rsid w:val="00F30C64"/>
    <w:rsid w:val="00F32BA2"/>
    <w:rsid w:val="00F32CDB"/>
    <w:rsid w:val="00F347DC"/>
    <w:rsid w:val="00F47F8A"/>
    <w:rsid w:val="00F565FE"/>
    <w:rsid w:val="00F63A70"/>
    <w:rsid w:val="00F63D8C"/>
    <w:rsid w:val="00F67013"/>
    <w:rsid w:val="00F71BD7"/>
    <w:rsid w:val="00F7534E"/>
    <w:rsid w:val="00F85EEA"/>
    <w:rsid w:val="00F93EDF"/>
    <w:rsid w:val="00FA0A2C"/>
    <w:rsid w:val="00FA1802"/>
    <w:rsid w:val="00FA21D0"/>
    <w:rsid w:val="00FA5F5F"/>
    <w:rsid w:val="00FB4732"/>
    <w:rsid w:val="00FB730C"/>
    <w:rsid w:val="00FB7564"/>
    <w:rsid w:val="00FC2695"/>
    <w:rsid w:val="00FC3E03"/>
    <w:rsid w:val="00FC3FC1"/>
    <w:rsid w:val="00FE5295"/>
    <w:rsid w:val="00FF75D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E1524"/>
    <w:pPr>
      <w:keepNext/>
      <w:suppressAutoHyphens/>
      <w:spacing w:before="120" w:after="12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E1524"/>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2012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325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091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8770</Words>
  <Characters>49993</Characters>
  <Application>Microsoft Office Word</Application>
  <DocSecurity>0</DocSecurity>
  <Lines>416</Lines>
  <Paragraphs>117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pattiantonella3@gmail.com</cp:lastModifiedBy>
  <cp:revision>93</cp:revision>
  <cp:lastPrinted>2015-05-12T18:31:00Z</cp:lastPrinted>
  <dcterms:created xsi:type="dcterms:W3CDTF">2023-01-20T14:03:00Z</dcterms:created>
  <dcterms:modified xsi:type="dcterms:W3CDTF">2023-04-07T10:22:00Z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47031b67-cc3c-37d9-929f-b9dfdaf3cd68</vt:lpwstr>
  </property>
  <property fmtid="{D5CDD505-2E9C-101B-9397-08002B2CF9AE}" pid="6" name="Mendeley Citation Style_1">
    <vt:lpwstr>http://www.zotero.org/styles/harvard-the-university-of-sheffield-school-of-east-asian-studies</vt:lpwstr>
  </property>
  <property fmtid="{D5CDD505-2E9C-101B-9397-08002B2CF9AE}" pid="7" name="Mendeley Recent Style Id 0_1">
    <vt:lpwstr>http://www.zotero.org/styles/chemie-ingenieur-technik</vt:lpwstr>
  </property>
  <property fmtid="{D5CDD505-2E9C-101B-9397-08002B2CF9AE}" pid="8" name="Mendeley Recent Style Name 0_1">
    <vt:lpwstr>Chemie Ingenieur Technik</vt:lpwstr>
  </property>
  <property fmtid="{D5CDD505-2E9C-101B-9397-08002B2CF9AE}" pid="9" name="Mendeley Recent Style Id 1_1">
    <vt:lpwstr>http://www.zotero.org/styles/chicago-fullnote-bibliography</vt:lpwstr>
  </property>
  <property fmtid="{D5CDD505-2E9C-101B-9397-08002B2CF9AE}" pid="10" name="Mendeley Recent Style Name 1_1">
    <vt:lpwstr>Chicago Manual of Style 17th edition (full note)</vt:lpwstr>
  </property>
  <property fmtid="{D5CDD505-2E9C-101B-9397-08002B2CF9AE}" pid="11" name="Mendeley Recent Style Id 2_1">
    <vt:lpwstr>http://www.zotero.org/styles/chicago-note-bibliography</vt:lpwstr>
  </property>
  <property fmtid="{D5CDD505-2E9C-101B-9397-08002B2CF9AE}" pid="12" name="Mendeley Recent Style Name 2_1">
    <vt:lpwstr>Chicago Manual of Style 17th edition (note)</vt:lpwstr>
  </property>
  <property fmtid="{D5CDD505-2E9C-101B-9397-08002B2CF9AE}" pid="13" name="Mendeley Recent Style Id 3_1">
    <vt:lpwstr>http://www.zotero.org/styles/harvard-european-archaeology</vt:lpwstr>
  </property>
  <property fmtid="{D5CDD505-2E9C-101B-9397-08002B2CF9AE}" pid="14" name="Mendeley Recent Style Name 3_1">
    <vt:lpwstr>European Archaeology - Harvard</vt:lpwstr>
  </property>
  <property fmtid="{D5CDD505-2E9C-101B-9397-08002B2CF9AE}" pid="15" name="Mendeley Recent Style Id 4_1">
    <vt:lpwstr>http://csl.mendeley.com/styles/587489681/flavour-and-fragrance-journal</vt:lpwstr>
  </property>
  <property fmtid="{D5CDD505-2E9C-101B-9397-08002B2CF9AE}" pid="16" name="Mendeley Recent Style Name 4_1">
    <vt:lpwstr>Flavour and Fragrance Journal - Antonella Patti</vt:lpwstr>
  </property>
  <property fmtid="{D5CDD505-2E9C-101B-9397-08002B2CF9AE}" pid="17" name="Mendeley Recent Style Id 5_1">
    <vt:lpwstr>http://www.zotero.org/styles/polymer</vt:lpwstr>
  </property>
  <property fmtid="{D5CDD505-2E9C-101B-9397-08002B2CF9AE}" pid="18" name="Mendeley Recent Style Name 5_1">
    <vt:lpwstr>Polymer</vt:lpwstr>
  </property>
  <property fmtid="{D5CDD505-2E9C-101B-9397-08002B2CF9AE}" pid="19" name="Mendeley Recent Style Id 6_1">
    <vt:lpwstr>http://www.zotero.org/styles/polymers</vt:lpwstr>
  </property>
  <property fmtid="{D5CDD505-2E9C-101B-9397-08002B2CF9AE}" pid="20" name="Mendeley Recent Style Name 6_1">
    <vt:lpwstr>Polymers</vt:lpwstr>
  </property>
  <property fmtid="{D5CDD505-2E9C-101B-9397-08002B2CF9AE}" pid="21" name="Mendeley Recent Style Id 7_1">
    <vt:lpwstr>http://www.zotero.org/styles/springer-basic-brackets-no-et-al</vt:lpwstr>
  </property>
  <property fmtid="{D5CDD505-2E9C-101B-9397-08002B2CF9AE}" pid="22" name="Mendeley Recent Style Name 7_1">
    <vt:lpwstr>Springer - Basic (numeric, brackets, no "et al.")</vt:lpwstr>
  </property>
  <property fmtid="{D5CDD505-2E9C-101B-9397-08002B2CF9AE}" pid="23" name="Mendeley Recent Style Id 8_1">
    <vt:lpwstr>http://www.zotero.org/styles/harvard-the-university-of-sheffield-school-of-east-asian-studies</vt:lpwstr>
  </property>
  <property fmtid="{D5CDD505-2E9C-101B-9397-08002B2CF9AE}" pid="24" name="Mendeley Recent Style Name 8_1">
    <vt:lpwstr>The University of Sheffield - School of East Asian Studies - Harvard</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