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67B0F561" w:rsidR="000A03B2" w:rsidRPr="00B57B36" w:rsidRDefault="00B030B9" w:rsidP="00DE264A">
            <w:pPr>
              <w:tabs>
                <w:tab w:val="left" w:pos="-108"/>
              </w:tabs>
              <w:ind w:left="-108"/>
              <w:jc w:val="left"/>
              <w:rPr>
                <w:rFonts w:cs="Arial"/>
                <w:b/>
                <w:bCs/>
                <w:i/>
                <w:iCs/>
                <w:color w:val="000066"/>
                <w:sz w:val="12"/>
                <w:szCs w:val="12"/>
                <w:lang w:eastAsia="it-IT"/>
              </w:rPr>
            </w:pPr>
            <w:r>
              <w:rPr>
                <w:rFonts w:ascii="AdvP6960" w:hAnsi="AdvP6960" w:cs="AdvP6960"/>
                <w:color w:val="241F20"/>
                <w:szCs w:val="18"/>
                <w:lang w:eastAsia="it-IT"/>
              </w:rPr>
              <w:t>S</w:t>
            </w:r>
            <w:r w:rsidR="000A03B2"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000A03B2" w:rsidRPr="00B57B36">
              <w:rPr>
                <w:rFonts w:ascii="AdvP6960" w:hAnsi="AdvP6960" w:cs="AdvP6960"/>
                <w:color w:val="241F20"/>
                <w:szCs w:val="18"/>
                <w:lang w:eastAsia="it-IT"/>
              </w:rPr>
              <w:t xml:space="preserve"> </w:t>
            </w:r>
            <w:r w:rsidR="000A03B2" w:rsidRPr="00B57B36">
              <w:rPr>
                <w:rFonts w:cs="Arial"/>
                <w:b/>
                <w:bCs/>
                <w:i/>
                <w:iCs/>
                <w:color w:val="000066"/>
                <w:sz w:val="24"/>
                <w:szCs w:val="24"/>
                <w:lang w:eastAsia="it-IT"/>
              </w:rPr>
              <w:t>CHEMICAL ENGINEERING</w:t>
            </w:r>
            <w:r w:rsidR="000A03B2" w:rsidRPr="00B57B36">
              <w:rPr>
                <w:rFonts w:cs="Arial"/>
                <w:b/>
                <w:bCs/>
                <w:i/>
                <w:iCs/>
                <w:color w:val="0033FF"/>
                <w:sz w:val="24"/>
                <w:szCs w:val="24"/>
                <w:lang w:eastAsia="it-IT"/>
              </w:rPr>
              <w:t xml:space="preserve"> </w:t>
            </w:r>
            <w:r w:rsidR="000A03B2" w:rsidRPr="00B57B36">
              <w:rPr>
                <w:rFonts w:cs="Arial"/>
                <w:b/>
                <w:bCs/>
                <w:i/>
                <w:iCs/>
                <w:color w:val="666666"/>
                <w:sz w:val="24"/>
                <w:szCs w:val="24"/>
                <w:lang w:eastAsia="it-IT"/>
              </w:rPr>
              <w:t>TRANSACTIONS</w:t>
            </w:r>
            <w:r w:rsidR="000A03B2" w:rsidRPr="00B57B36">
              <w:rPr>
                <w:color w:val="333333"/>
                <w:sz w:val="24"/>
                <w:szCs w:val="24"/>
                <w:lang w:eastAsia="it-IT"/>
              </w:rPr>
              <w:t xml:space="preserve"> </w:t>
            </w:r>
            <w:r w:rsidR="000A03B2"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72C518CF"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w:t>
            </w:r>
            <w:r w:rsidRPr="00F93EDF">
              <w:rPr>
                <w:rFonts w:ascii="Tahoma" w:hAnsi="Tahoma" w:cs="Tahoma"/>
                <w:color w:val="000000"/>
                <w:sz w:val="14"/>
                <w:szCs w:val="14"/>
                <w:shd w:val="clear" w:color="auto" w:fill="FFFFFF"/>
              </w:rPr>
              <w:t xml:space="preserve"> </w:t>
            </w:r>
            <w:r w:rsidRPr="00293D18">
              <w:rPr>
                <w:rFonts w:ascii="Tahoma" w:hAnsi="Tahoma" w:cs="Tahoma"/>
                <w:sz w:val="14"/>
                <w:szCs w:val="14"/>
              </w:rPr>
              <w:t>Sauro Pierucci</w:t>
            </w:r>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16B5B31F" w:rsidR="00E978D0" w:rsidRPr="00106355" w:rsidRDefault="00106355" w:rsidP="001F6BB6">
      <w:pPr>
        <w:pStyle w:val="CETTitle"/>
        <w:rPr>
          <w:lang w:val="en-US"/>
        </w:rPr>
      </w:pPr>
      <w:bookmarkStart w:id="0" w:name="_Hlk114169711"/>
      <w:bookmarkEnd w:id="0"/>
      <w:r w:rsidRPr="00106355">
        <w:rPr>
          <w:rFonts w:ascii="Verdana" w:eastAsiaTheme="minorHAnsi" w:hAnsi="Verdana" w:cs="Verdana"/>
          <w:b/>
          <w:bCs/>
          <w:sz w:val="30"/>
          <w:szCs w:val="30"/>
          <w:lang w:val="en-US"/>
        </w:rPr>
        <w:t xml:space="preserve"> </w:t>
      </w:r>
      <w:r w:rsidR="00B24E04">
        <w:rPr>
          <w:lang w:val="en-US"/>
        </w:rPr>
        <w:t>N</w:t>
      </w:r>
      <w:r w:rsidR="00B24E04" w:rsidRPr="00106355">
        <w:rPr>
          <w:lang w:val="en-US"/>
        </w:rPr>
        <w:t xml:space="preserve">anostructured </w:t>
      </w:r>
      <w:r w:rsidRPr="00106355">
        <w:rPr>
          <w:lang w:val="en-US"/>
        </w:rPr>
        <w:t>Ni</w:t>
      </w:r>
      <w:r w:rsidR="0053299B">
        <w:rPr>
          <w:lang w:val="en-US"/>
        </w:rPr>
        <w:t>-Fe-P</w:t>
      </w:r>
      <w:r w:rsidRPr="00106355">
        <w:rPr>
          <w:lang w:val="en-US"/>
        </w:rPr>
        <w:t xml:space="preserve"> </w:t>
      </w:r>
      <w:r w:rsidR="008B00B9">
        <w:rPr>
          <w:lang w:val="en-US"/>
        </w:rPr>
        <w:t>A</w:t>
      </w:r>
      <w:r w:rsidRPr="00106355">
        <w:rPr>
          <w:lang w:val="en-US"/>
        </w:rPr>
        <w:t xml:space="preserve">lloy for </w:t>
      </w:r>
      <w:r w:rsidR="008B00B9">
        <w:rPr>
          <w:lang w:val="en-US"/>
        </w:rPr>
        <w:t>A</w:t>
      </w:r>
      <w:r w:rsidRPr="00106355">
        <w:rPr>
          <w:lang w:val="en-US"/>
        </w:rPr>
        <w:t xml:space="preserve">lkaline </w:t>
      </w:r>
      <w:r w:rsidR="008B00B9">
        <w:rPr>
          <w:lang w:val="en-US"/>
        </w:rPr>
        <w:t>E</w:t>
      </w:r>
      <w:r w:rsidRPr="00106355">
        <w:rPr>
          <w:lang w:val="en-US"/>
        </w:rPr>
        <w:t>lectrolyzer</w:t>
      </w:r>
    </w:p>
    <w:p w14:paraId="0488FED2" w14:textId="1BC0D9BF" w:rsidR="00B57E6F" w:rsidRPr="00106355" w:rsidRDefault="00106355" w:rsidP="00B57E6F">
      <w:pPr>
        <w:pStyle w:val="CETAuthors"/>
        <w:rPr>
          <w:lang w:val="it-IT"/>
        </w:rPr>
      </w:pPr>
      <w:r w:rsidRPr="00106355">
        <w:rPr>
          <w:lang w:val="it-IT"/>
        </w:rPr>
        <w:t>Sonia Carbone</w:t>
      </w:r>
      <w:r w:rsidR="00B57E6F" w:rsidRPr="00106355">
        <w:rPr>
          <w:vertAlign w:val="superscript"/>
          <w:lang w:val="it-IT"/>
        </w:rPr>
        <w:t>a</w:t>
      </w:r>
      <w:r>
        <w:rPr>
          <w:vertAlign w:val="superscript"/>
          <w:lang w:val="it-IT"/>
        </w:rPr>
        <w:t>,*</w:t>
      </w:r>
      <w:r w:rsidR="00B57E6F" w:rsidRPr="00106355">
        <w:rPr>
          <w:lang w:val="it-IT"/>
        </w:rPr>
        <w:t xml:space="preserve">, </w:t>
      </w:r>
      <w:r w:rsidRPr="00106355">
        <w:rPr>
          <w:lang w:val="it-IT"/>
        </w:rPr>
        <w:t>Alessandro G. M. Caruso</w:t>
      </w:r>
      <w:r w:rsidRPr="00106355">
        <w:rPr>
          <w:vertAlign w:val="superscript"/>
          <w:lang w:val="it-IT"/>
        </w:rPr>
        <w:t>a</w:t>
      </w:r>
      <w:r w:rsidRPr="00106355">
        <w:rPr>
          <w:lang w:val="it-IT"/>
        </w:rPr>
        <w:t>,</w:t>
      </w:r>
      <w:r>
        <w:rPr>
          <w:lang w:val="it-IT"/>
        </w:rPr>
        <w:t xml:space="preserve"> Bernardo Patella</w:t>
      </w:r>
      <w:r w:rsidRPr="00106355">
        <w:rPr>
          <w:vertAlign w:val="superscript"/>
          <w:lang w:val="it-IT"/>
        </w:rPr>
        <w:t>a</w:t>
      </w:r>
      <w:r>
        <w:rPr>
          <w:lang w:val="it-IT"/>
        </w:rPr>
        <w:t>, Rosario Miceli</w:t>
      </w:r>
      <w:r w:rsidRPr="00106355">
        <w:rPr>
          <w:vertAlign w:val="superscript"/>
          <w:lang w:val="it-IT"/>
        </w:rPr>
        <w:t>a</w:t>
      </w:r>
      <w:r>
        <w:rPr>
          <w:lang w:val="it-IT"/>
        </w:rPr>
        <w:t>, Filippo Pellitteri</w:t>
      </w:r>
      <w:r w:rsidRPr="00106355">
        <w:rPr>
          <w:vertAlign w:val="superscript"/>
          <w:lang w:val="it-IT"/>
        </w:rPr>
        <w:t>a</w:t>
      </w:r>
      <w:r>
        <w:rPr>
          <w:lang w:val="it-IT"/>
        </w:rPr>
        <w:t xml:space="preserve">, </w:t>
      </w:r>
      <w:r w:rsidR="00A54F81">
        <w:rPr>
          <w:lang w:val="it-IT"/>
        </w:rPr>
        <w:t>Massimo Caruso</w:t>
      </w:r>
      <w:r w:rsidR="00A54F81" w:rsidRPr="00106355">
        <w:rPr>
          <w:vertAlign w:val="superscript"/>
          <w:lang w:val="it-IT"/>
        </w:rPr>
        <w:t>a</w:t>
      </w:r>
      <w:r w:rsidR="00A54F81">
        <w:rPr>
          <w:lang w:val="it-IT"/>
        </w:rPr>
        <w:t xml:space="preserve">, </w:t>
      </w:r>
      <w:r>
        <w:rPr>
          <w:lang w:val="it-IT"/>
        </w:rPr>
        <w:t>Philippe Mandin</w:t>
      </w:r>
      <w:r>
        <w:rPr>
          <w:vertAlign w:val="superscript"/>
          <w:lang w:val="it-IT"/>
        </w:rPr>
        <w:t>b</w:t>
      </w:r>
      <w:r>
        <w:rPr>
          <w:lang w:val="it-IT"/>
        </w:rPr>
        <w:t>, Giuseppe Aiello</w:t>
      </w:r>
      <w:r w:rsidRPr="00106355">
        <w:rPr>
          <w:vertAlign w:val="superscript"/>
          <w:lang w:val="it-IT"/>
        </w:rPr>
        <w:t>a</w:t>
      </w:r>
      <w:r>
        <w:rPr>
          <w:lang w:val="it-IT"/>
        </w:rPr>
        <w:t>, Rosalinda Inguanta</w:t>
      </w:r>
      <w:r w:rsidRPr="00106355">
        <w:rPr>
          <w:vertAlign w:val="superscript"/>
          <w:lang w:val="it-IT"/>
        </w:rPr>
        <w:t>a</w:t>
      </w:r>
      <w:r>
        <w:rPr>
          <w:lang w:val="it-IT"/>
        </w:rPr>
        <w:t>.</w:t>
      </w:r>
    </w:p>
    <w:p w14:paraId="6B2D21B3" w14:textId="468D38AD" w:rsidR="00B57E6F" w:rsidRPr="00FF679A" w:rsidRDefault="00B57E6F" w:rsidP="00B57E6F">
      <w:pPr>
        <w:pStyle w:val="CETAddress"/>
        <w:rPr>
          <w:lang w:val="it-IT"/>
        </w:rPr>
      </w:pPr>
      <w:r w:rsidRPr="00FF679A">
        <w:rPr>
          <w:vertAlign w:val="superscript"/>
          <w:lang w:val="it-IT"/>
        </w:rPr>
        <w:t>a</w:t>
      </w:r>
      <w:r w:rsidR="00106355" w:rsidRPr="00FF679A">
        <w:rPr>
          <w:lang w:val="it-IT"/>
        </w:rPr>
        <w:t>Department of Engineering, Università degli Studi di Palermo</w:t>
      </w:r>
      <w:r w:rsidRPr="00FF679A">
        <w:rPr>
          <w:lang w:val="it-IT"/>
        </w:rPr>
        <w:t xml:space="preserve"> </w:t>
      </w:r>
    </w:p>
    <w:p w14:paraId="3D72B0B0" w14:textId="734A2C46" w:rsidR="00B57E6F" w:rsidRPr="00FF679A" w:rsidRDefault="00B57E6F" w:rsidP="00B57E6F">
      <w:pPr>
        <w:pStyle w:val="CETAddress"/>
        <w:rPr>
          <w:lang w:val="it-IT"/>
        </w:rPr>
      </w:pPr>
      <w:r w:rsidRPr="00FF679A">
        <w:rPr>
          <w:vertAlign w:val="superscript"/>
          <w:lang w:val="it-IT"/>
        </w:rPr>
        <w:t>b</w:t>
      </w:r>
      <w:r w:rsidR="00106355" w:rsidRPr="00FF679A">
        <w:rPr>
          <w:rFonts w:ascii="Verdana" w:hAnsi="Verdana" w:cs="Verdana"/>
          <w:i/>
          <w:iCs/>
          <w:szCs w:val="18"/>
          <w:lang w:val="it-IT"/>
        </w:rPr>
        <w:t xml:space="preserve"> </w:t>
      </w:r>
      <w:r w:rsidR="00ED7DFE" w:rsidRPr="00FF679A">
        <w:rPr>
          <w:lang w:val="it-IT"/>
        </w:rPr>
        <w:t>IRDL UMR CNRS 6027, Université de Bretagne Sud, 56100 Lorient, France</w:t>
      </w:r>
    </w:p>
    <w:p w14:paraId="73F1267A" w14:textId="0182E170" w:rsidR="00B57E6F" w:rsidRPr="00965189" w:rsidRDefault="00106355" w:rsidP="001F4E57">
      <w:pPr>
        <w:pStyle w:val="CETBodytextItalic"/>
        <w:rPr>
          <w:i w:val="0"/>
          <w:iCs/>
          <w:color w:val="000000" w:themeColor="text1"/>
          <w:lang w:val="it-IT"/>
        </w:rPr>
      </w:pPr>
      <w:r w:rsidRPr="00965189">
        <w:rPr>
          <w:lang w:val="it-IT"/>
        </w:rPr>
        <w:t>*</w:t>
      </w:r>
      <w:r w:rsidR="00B57E6F" w:rsidRPr="00965189">
        <w:rPr>
          <w:color w:val="000000" w:themeColor="text1"/>
          <w:lang w:val="it-IT"/>
        </w:rPr>
        <w:t xml:space="preserve"> </w:t>
      </w:r>
      <w:hyperlink r:id="rId10" w:history="1">
        <w:r w:rsidR="009E6053" w:rsidRPr="00965189">
          <w:rPr>
            <w:rStyle w:val="Collegamentoipertestuale"/>
            <w:i w:val="0"/>
            <w:iCs/>
            <w:color w:val="000000" w:themeColor="text1"/>
            <w:u w:val="none"/>
            <w:lang w:val="it-IT"/>
          </w:rPr>
          <w:t>sonia.carbone@unipa.it</w:t>
        </w:r>
      </w:hyperlink>
    </w:p>
    <w:p w14:paraId="79BB46A8" w14:textId="77777777" w:rsidR="00DF375B" w:rsidRPr="00965189" w:rsidRDefault="00DF375B" w:rsidP="00DF375B">
      <w:pPr>
        <w:pStyle w:val="CETBodytext"/>
        <w:rPr>
          <w:lang w:val="it-IT"/>
        </w:rPr>
      </w:pPr>
    </w:p>
    <w:p w14:paraId="247805E8" w14:textId="706694C2" w:rsidR="00DF375B" w:rsidRPr="00DF375B" w:rsidRDefault="00DF375B" w:rsidP="00DF375B">
      <w:pPr>
        <w:pStyle w:val="CETBodytext"/>
      </w:pPr>
      <w:r w:rsidRPr="00806D21">
        <w:t>In recent years, the interest towards green hydrogen has drastically increased due to the global decarbonization process. Electrochemical water splitting is considered an attractive solution to convert and store the surplus</w:t>
      </w:r>
      <w:r w:rsidR="00B030B9">
        <w:t xml:space="preserve"> energy from</w:t>
      </w:r>
      <w:r w:rsidR="00DA4BA9">
        <w:t xml:space="preserve"> </w:t>
      </w:r>
      <w:r w:rsidRPr="00806D21">
        <w:t xml:space="preserve">renewable energy sources. However, hydrogen production by water electrolysis is not economically sustainable. </w:t>
      </w:r>
      <w:r w:rsidR="00493C25">
        <w:t>To</w:t>
      </w:r>
      <w:r w:rsidRPr="00806D21">
        <w:t xml:space="preserve"> reduce the cost of </w:t>
      </w:r>
      <w:r w:rsidR="004615A5" w:rsidRPr="00806D21">
        <w:t xml:space="preserve">produced </w:t>
      </w:r>
      <w:r w:rsidRPr="00806D21">
        <w:t xml:space="preserve">hydrogen, it is necessary to switch from noble-metal catalyst (Pt, Pd…) to cheap alternatives with a lower per unit energy cost but at the same time </w:t>
      </w:r>
      <w:r w:rsidR="004615A5">
        <w:t>able to</w:t>
      </w:r>
      <w:r w:rsidRPr="00806D21">
        <w:t xml:space="preserve"> guarantee a high electrocatalytic activity </w:t>
      </w:r>
      <w:r w:rsidR="00B030B9">
        <w:t xml:space="preserve">for </w:t>
      </w:r>
      <w:r w:rsidRPr="00806D21">
        <w:t xml:space="preserve">both oxygen </w:t>
      </w:r>
      <w:r w:rsidR="004615A5">
        <w:t>and</w:t>
      </w:r>
      <w:r w:rsidRPr="00806D21">
        <w:t xml:space="preserve"> hydrogen </w:t>
      </w:r>
      <w:r w:rsidR="004615A5">
        <w:t xml:space="preserve">evolution </w:t>
      </w:r>
      <w:r w:rsidRPr="00806D21">
        <w:t>reaction</w:t>
      </w:r>
      <w:r w:rsidR="004615A5">
        <w:t>s</w:t>
      </w:r>
      <w:r w:rsidRPr="00806D21">
        <w:t xml:space="preserve">. Among transition metals, nickel was selected as </w:t>
      </w:r>
      <w:r w:rsidR="00FF679A">
        <w:t>active</w:t>
      </w:r>
      <w:r w:rsidRPr="00806D21">
        <w:t xml:space="preserve"> material for its low cost and high chemical stability in alkaline medi</w:t>
      </w:r>
      <w:r>
        <w:t>a.</w:t>
      </w:r>
      <w:r w:rsidRPr="00806D21">
        <w:t xml:space="preserve"> Currently, the most investigated transition metal catalyst includes</w:t>
      </w:r>
      <w:r w:rsidR="00B030B9">
        <w:t xml:space="preserve"> alloy of nickel with</w:t>
      </w:r>
      <w:r w:rsidRPr="00806D21">
        <w:t xml:space="preserve"> sulfide, phosphide, and nitride.</w:t>
      </w:r>
      <w:r>
        <w:t xml:space="preserve"> </w:t>
      </w:r>
      <w:r w:rsidRPr="00806D21">
        <w:t>In this work, a ternary alloy of Nickel-Iron-Phosphorus with nanowires morphology was investigated</w:t>
      </w:r>
      <w:r w:rsidR="003805A1">
        <w:t xml:space="preserve"> and compared to the binary alloy of Nickel-Iron.</w:t>
      </w:r>
      <w:r w:rsidR="000B5A1A">
        <w:t xml:space="preserve"> </w:t>
      </w:r>
      <w:r w:rsidRPr="00806D21">
        <w:t>Ni-Fe-</w:t>
      </w:r>
      <w:r>
        <w:t>P NWs</w:t>
      </w:r>
      <w:r w:rsidRPr="00806D21">
        <w:t xml:space="preserve"> electrodes were obtained by potential-controlled pulse electrochemical deposition</w:t>
      </w:r>
      <w:r w:rsidR="00FF679A">
        <w:t xml:space="preserve"> using polycarbonate</w:t>
      </w:r>
      <w:r w:rsidR="00B030B9">
        <w:t xml:space="preserve"> membrane as</w:t>
      </w:r>
      <w:r w:rsidR="00FF679A">
        <w:t xml:space="preserve"> template</w:t>
      </w:r>
      <w:r w:rsidRPr="00806D21">
        <w:t>. Electrodes morphology and structure were studied by scanning electrode microscopy (SEM)</w:t>
      </w:r>
      <w:r>
        <w:t>, e</w:t>
      </w:r>
      <w:r w:rsidRPr="00806D21">
        <w:t xml:space="preserve">nergy diffraction spectroscopy (EDS) </w:t>
      </w:r>
      <w:r>
        <w:t xml:space="preserve">and </w:t>
      </w:r>
      <w:r w:rsidRPr="00DF375B">
        <w:rPr>
          <w:lang w:val="en-GB"/>
        </w:rPr>
        <w:t>X-ray diffraction (XRD)</w:t>
      </w:r>
      <w:r>
        <w:t xml:space="preserve">. </w:t>
      </w:r>
      <w:r w:rsidRPr="00806D21">
        <w:t>Electrodes were tested both as cathodes a</w:t>
      </w:r>
      <w:r>
        <w:t>s</w:t>
      </w:r>
      <w:r w:rsidRPr="00806D21">
        <w:t xml:space="preserve"> anodes by</w:t>
      </w:r>
      <w:r>
        <w:t xml:space="preserve"> Qu</w:t>
      </w:r>
      <w:r w:rsidR="004615A5">
        <w:t>as</w:t>
      </w:r>
      <w:r w:rsidR="00FF679A">
        <w:t>i</w:t>
      </w:r>
      <w:r>
        <w:t xml:space="preserve"> </w:t>
      </w:r>
      <w:r w:rsidR="00FF679A">
        <w:t xml:space="preserve">Steady </w:t>
      </w:r>
      <w:r>
        <w:t>State Polarization (QSSP) and Galvanostatic Test</w:t>
      </w:r>
      <w:r w:rsidRPr="00806D21">
        <w:t xml:space="preserve">. All the tests were performed in 30% w/w KOH aqueous solution at room temperature. Preliminary results showed better performance of the ternary alloy </w:t>
      </w:r>
      <w:r w:rsidR="00B030B9">
        <w:t>compared to the</w:t>
      </w:r>
      <w:r w:rsidR="00B030B9" w:rsidRPr="00806D21">
        <w:t xml:space="preserve"> </w:t>
      </w:r>
      <w:r w:rsidRPr="00806D21">
        <w:t>binary</w:t>
      </w:r>
      <w:r w:rsidR="00B030B9">
        <w:t xml:space="preserve"> one</w:t>
      </w:r>
      <w:r w:rsidRPr="00806D21">
        <w:t>.</w:t>
      </w:r>
      <w:r w:rsidRPr="0086540A">
        <w:rPr>
          <w:noProof/>
        </w:rPr>
        <w:t xml:space="preserve"> </w:t>
      </w:r>
    </w:p>
    <w:p w14:paraId="2F2AA7C6" w14:textId="7458D616" w:rsidR="00493C25" w:rsidRPr="00493C25" w:rsidRDefault="00600535" w:rsidP="00493C25">
      <w:pPr>
        <w:pStyle w:val="CETHeading1"/>
        <w:rPr>
          <w:lang w:val="en-GB"/>
        </w:rPr>
      </w:pPr>
      <w:r w:rsidRPr="00B57B36">
        <w:rPr>
          <w:lang w:val="en-GB"/>
        </w:rPr>
        <w:t>Introduction</w:t>
      </w:r>
    </w:p>
    <w:p w14:paraId="0D08B4C5" w14:textId="037C116E" w:rsidR="00302DE9" w:rsidRPr="00044311" w:rsidRDefault="00E717B8" w:rsidP="00302DE9">
      <w:pPr>
        <w:pStyle w:val="CETBodytext"/>
        <w:rPr>
          <w:lang w:val="en-GB"/>
        </w:rPr>
      </w:pPr>
      <w:r w:rsidRPr="00E717B8">
        <w:t>Due to the global energy crisis and environmental pollution, more and more researchers are trying to develop clean energy systems with zero greenhouse gas emissions. With this in mind, hydrogen is seen as a key energy carrier that can replace fossil fuels</w:t>
      </w:r>
      <w:r w:rsidR="00B030B9">
        <w:t>,</w:t>
      </w:r>
      <w:r w:rsidRPr="00E717B8">
        <w:t xml:space="preserve"> such as oil and coal</w:t>
      </w:r>
      <w:r w:rsidR="00FF7551">
        <w:t xml:space="preserve"> </w:t>
      </w:r>
      <w:r w:rsidR="00FF7551">
        <w:fldChar w:fldCharType="begin"/>
      </w:r>
      <w:r w:rsidR="00FF7551">
        <w:instrText xml:space="preserve"> ADDIN ZOTERO_ITEM CSL_CITATION {"citationID":"DaeC9QY7","properties":{"formattedCitation":"(Tian et al., 2019)","plainCitation":"(Tian et al., 2019)","noteIndex":0},"citationItems":[{"id":410,"uris":["http://zotero.org/users/local/CLlS0C19/items/H7FF3BA9"],"itemData":{"id":410,"type":"article-journal","container-title":"Journal of the Taiwan Institute of Chemical Engineers","DOI":"10.1016/j.jtice.2019.01.023","ISSN":"18761070","journalAbbreviation":"Journal of the Taiwan Institute of Chemical Engineers","language":"en","page":"200-206","source":"DOI.org (Crossref)","title":"Ultrathin wrinkled NiFeP nanosheets enable efficient oxygen evolution electrocatalysis","volume":"97","author":[{"family":"Tian","given":"Lin"},{"family":"Wo","given":"Hengxuan"},{"family":"Wang","given":"Kun"},{"family":"Wang","given":"Xiang"},{"family":"Zhuang","given":"Wenchang"},{"family":"Li","given":"Tongxiang"},{"family":"Du","given":"Xihua"}],"issued":{"date-parts":[["2019",4]]}}}],"schema":"https://github.com/citation-style-language/schema/raw/master/csl-citation.json"} </w:instrText>
      </w:r>
      <w:r w:rsidR="00FF7551">
        <w:fldChar w:fldCharType="separate"/>
      </w:r>
      <w:r w:rsidR="00FF7551" w:rsidRPr="00FF7551">
        <w:rPr>
          <w:rFonts w:cs="Arial"/>
        </w:rPr>
        <w:t>(Tian et al., 2019)</w:t>
      </w:r>
      <w:r w:rsidR="00FF7551">
        <w:fldChar w:fldCharType="end"/>
      </w:r>
      <w:r w:rsidR="00FF7551">
        <w:t>.</w:t>
      </w:r>
      <w:r w:rsidR="005E311E">
        <w:t xml:space="preserve"> </w:t>
      </w:r>
      <w:r w:rsidRPr="00E717B8">
        <w:rPr>
          <w:lang w:val="en-GB"/>
        </w:rPr>
        <w:t xml:space="preserve">There are many methods by which hydrogen can be produced, which can be classified according to the process used (gasification, </w:t>
      </w:r>
      <w:r w:rsidR="00044311" w:rsidRPr="00E717B8">
        <w:rPr>
          <w:lang w:val="en-GB"/>
        </w:rPr>
        <w:t>pyrolysis,</w:t>
      </w:r>
      <w:r w:rsidRPr="00E717B8">
        <w:rPr>
          <w:lang w:val="en-GB"/>
        </w:rPr>
        <w:t xml:space="preserve"> and electrolysis, etc.) and the energy source used (coal, nuclear electricity, renewable electricity, etc.). </w:t>
      </w:r>
      <w:r w:rsidR="00044311">
        <w:rPr>
          <w:lang w:val="en-GB"/>
        </w:rPr>
        <w:t>Nowadays</w:t>
      </w:r>
      <w:r w:rsidRPr="00E717B8">
        <w:rPr>
          <w:lang w:val="en-GB"/>
        </w:rPr>
        <w:t>, almost all hydrogen is produced from fossil sources</w:t>
      </w:r>
      <w:r>
        <w:rPr>
          <w:lang w:val="en-GB"/>
        </w:rPr>
        <w:t xml:space="preserve"> </w:t>
      </w:r>
      <w:r w:rsidR="005E311E">
        <w:fldChar w:fldCharType="begin"/>
      </w:r>
      <w:r w:rsidR="005E311E">
        <w:instrText xml:space="preserve"> ADDIN ZOTERO_ITEM CSL_CITATION {"citationID":"0bUAlJ8j","properties":{"formattedCitation":"(Lee et al., 2022)","plainCitation":"(Lee et al., 2022)","noteIndex":0},"citationItems":[{"id":422,"uris":["http://zotero.org/users/local/CLlS0C19/items/CVBLYIZX"],"itemData":{"id":422,"type":"article-journal","container-title":"Fuel","DOI":"10.1016/j.fuel.2021.122048","ISSN":"00162361","journalAbbreviation":"Fuel","language":"en","page":"122048","source":"DOI.org (Crossref)","title":"Mini review on H2 production from electrochemical water splitting according to special nanostructured morphology of electrocatalysts","volume":"308","author":[{"family":"Lee","given":"Jung Eun"},{"family":"Jeon","given":"Ki-Joon"},{"family":"Show","given":"Pau Loke"},{"family":"Lee","given":"Im Hack"},{"family":"Jung","given":"Sang-Chul"},{"family":"Choi","given":"Yong Jun"},{"family":"Rhee","given":"Gwang Hoon"},{"family":"Lin","given":"Kun-Yi Andrew"},{"family":"Park","given":"Young-Kwon"}],"issued":{"date-parts":[["2022",1]]}}}],"schema":"https://github.com/citation-style-language/schema/raw/master/csl-citation.json"} </w:instrText>
      </w:r>
      <w:r w:rsidR="005E311E">
        <w:fldChar w:fldCharType="separate"/>
      </w:r>
      <w:r w:rsidR="005E311E" w:rsidRPr="005E311E">
        <w:rPr>
          <w:rFonts w:cs="Arial"/>
        </w:rPr>
        <w:t>(Lee et al., 2022)</w:t>
      </w:r>
      <w:r w:rsidR="005E311E">
        <w:fldChar w:fldCharType="end"/>
      </w:r>
      <w:r w:rsidR="005E311E">
        <w:t>. E</w:t>
      </w:r>
      <w:r w:rsidR="0093797B">
        <w:t xml:space="preserve">lectrolysis of water represents a clean way to generate hydrogen and oxygen, </w:t>
      </w:r>
      <w:r w:rsidR="0093797B" w:rsidRPr="0093797B">
        <w:t>especially if the electricity comes from the surplus of</w:t>
      </w:r>
      <w:r w:rsidR="00B030B9">
        <w:t xml:space="preserve"> energy from</w:t>
      </w:r>
      <w:r w:rsidR="0093797B" w:rsidRPr="0093797B">
        <w:t xml:space="preserve"> renewable sources</w:t>
      </w:r>
      <w:r w:rsidR="0093797B">
        <w:t xml:space="preserve">  </w:t>
      </w:r>
      <w:r w:rsidR="00D3115D">
        <w:fldChar w:fldCharType="begin"/>
      </w:r>
      <w:r w:rsidR="00D3115D">
        <w:instrText xml:space="preserve"> ADDIN ZOTERO_ITEM CSL_CITATION {"citationID":"6nNrgaG3","properties":{"formattedCitation":"(Kuang et al., 2019)","plainCitation":"(Kuang et al., 2019)","noteIndex":0},"citationItems":[{"id":115,"uris":["http://zotero.org/users/local/CLlS0C19/items/5GPSRG65"],"itemData":{"id":115,"type":"article-journal","abstract":"Significance\n            Electrolysis of water to generate hydrogen fuel could be vital to the future renewable energy landscape. Electrodes that can sustain seawater splitting without chloride corrosion could address the issue of freshwater scarcity on Earth. Herein, a hierarchical anode consisting of a nickel–iron hydroxide electrocatalyst layer uniformly coated on a sulfide layer formed on Ni substrate was developed, affording superior catalytic activity and corrosion resistance in seawater electrolysis. In situ-generated polyanion-rich passivating layers formed in the anode are responsible for chloride repelling and high corrosion resistance, leading to new directions for designing and fabricating highly sustained seawater-splitting electrodes and providing an opportunity to use the vast seawater on Earth as an energy carrier.\n          , \n            \n              Electrolysis of water to generate hydrogen fuel is an attractive renewable energy storage technology. However, grid-scale freshwater electrolysis would put a heavy strain on vital water resources. Developing cheap electrocatalysts and electrodes that can sustain seawater splitting without chloride corrosion could address the water scarcity issue. Here we present a multilayer anode consisting of a nickel–iron hydroxide (NiFe) electrocatalyst layer uniformly coated on a nickel sulfide (NiSx) layer formed on porous Ni foam (NiFe/NiSx-Ni), affording superior catalytic activity and corrosion resistance in solar-driven alkaline seawater electrolysis operating at industrially required current densities (0.4 to 1 A/cm\n              2\n              ) over 1,000 h. A continuous, highly oxygen evolution reaction-active NiFe electrocatalyst layer drawing anodic currents toward water oxidation and an in situ-generated polyatomic sulfate and carbonate-rich passivating layers formed in the anode are responsible for chloride repelling and superior corrosion resistance of the salty-water-splitting anode.","container-title":"Proceedings of the National Academy of Sciences","DOI":"10.1073/pnas.1900556116","ISSN":"0027-8424, 1091-6490","issue":"14","journalAbbreviation":"Proc. Natl. Acad. Sci. U.S.A.","language":"en","note":"number: 14","page":"6624-6629","source":"DOI.org (Crossref)","title":"Solar-driven, highly sustained splitting of seawater into hydrogen and oxygen fuels","volume":"116","author":[{"family":"Kuang","given":"Yun"},{"family":"Kenney","given":"Michael J."},{"family":"Meng","given":"Yongtao"},{"family":"Hung","given":"Wei-Hsuan"},{"family":"Liu","given":"Yijin"},{"family":"Huang","given":"Jianan Erick"},{"family":"Prasanna","given":"Rohit"},{"family":"Li","given":"Pengsong"},{"family":"Li","given":"Yaping"},{"family":"Wang","given":"Lei"},{"family":"Lin","given":"Meng-Chang"},{"family":"McGehee","given":"Michael D."},{"family":"Sun","given":"Xiaoming"},{"family":"Dai","given":"Hongjie"}],"issued":{"date-parts":[["2019",4,2]]}}}],"schema":"https://github.com/citation-style-language/schema/raw/master/csl-citation.json"} </w:instrText>
      </w:r>
      <w:r w:rsidR="00D3115D">
        <w:fldChar w:fldCharType="separate"/>
      </w:r>
      <w:r w:rsidR="00D3115D" w:rsidRPr="00D3115D">
        <w:rPr>
          <w:rFonts w:cs="Arial"/>
        </w:rPr>
        <w:t>(Kuang et al., 2019)</w:t>
      </w:r>
      <w:r w:rsidR="00D3115D">
        <w:fldChar w:fldCharType="end"/>
      </w:r>
      <w:r w:rsidR="00D3115D">
        <w:t>.</w:t>
      </w:r>
      <w:r w:rsidR="005E311E">
        <w:t xml:space="preserve"> </w:t>
      </w:r>
      <w:r w:rsidR="00F35935">
        <w:t xml:space="preserve"> </w:t>
      </w:r>
      <w:r w:rsidRPr="00E717B8">
        <w:t xml:space="preserve">At the basis of the electrolysis process of water are two half-reactions: </w:t>
      </w:r>
      <w:r w:rsidR="00B030B9">
        <w:t>first</w:t>
      </w:r>
      <w:r w:rsidRPr="00E717B8">
        <w:t xml:space="preserve">, the water reduction reaction (hydrogen evolution reaction, HER) which takes place at the cathode, and on the other hand, the water oxidation reaction (oxygen evolution reaction, OER) which takes place at the anode. Theoretically, these reactions take place by applying a potential of 1.23 V, which is equivalent to an energy demand of </w:t>
      </w:r>
      <w:r w:rsidRPr="00E717B8">
        <w:rPr>
          <w:lang w:val="it-IT"/>
        </w:rPr>
        <w:t>Δ</w:t>
      </w:r>
      <w:r w:rsidRPr="00E717B8">
        <w:t>G = 237.1 kJ mol</w:t>
      </w:r>
      <w:r w:rsidRPr="00044311">
        <w:rPr>
          <w:vertAlign w:val="superscript"/>
        </w:rPr>
        <w:t>-1</w:t>
      </w:r>
      <w:r w:rsidRPr="00E717B8">
        <w:t xml:space="preserve">. However, the amount of energy required is higher due to </w:t>
      </w:r>
      <w:r w:rsidR="00B030B9">
        <w:t xml:space="preserve">different losses, such as </w:t>
      </w:r>
      <w:r w:rsidRPr="00E717B8">
        <w:t>activation, ohmic and mass transport losses. The hurdle to be overcome is the realization of highly efficient but inexpensive electrode materials as an alternative to traditional noble metal-based materials such as Pt, Pd for HER, and IrO</w:t>
      </w:r>
      <w:r w:rsidRPr="00044311">
        <w:rPr>
          <w:vertAlign w:val="subscript"/>
        </w:rPr>
        <w:t>2</w:t>
      </w:r>
      <w:r w:rsidRPr="00E717B8">
        <w:t xml:space="preserve"> and RuO</w:t>
      </w:r>
      <w:r w:rsidRPr="00044311">
        <w:rPr>
          <w:vertAlign w:val="subscript"/>
        </w:rPr>
        <w:t>2</w:t>
      </w:r>
      <w:r w:rsidRPr="00E717B8">
        <w:t xml:space="preserve"> for OER</w:t>
      </w:r>
      <w:r>
        <w:t xml:space="preserve"> </w:t>
      </w:r>
      <w:r w:rsidR="00D3115D">
        <w:rPr>
          <w:lang w:val="en-GB"/>
        </w:rPr>
        <w:fldChar w:fldCharType="begin"/>
      </w:r>
      <w:r w:rsidR="00D3115D">
        <w:rPr>
          <w:lang w:val="en-GB"/>
        </w:rPr>
        <w:instrText xml:space="preserve"> ADDIN ZOTERO_ITEM CSL_CITATION {"citationID":"ctKK8xd8","properties":{"formattedCitation":"(Guo et al., 2019)","plainCitation":"(Guo et al., 2019)","noteIndex":0},"citationItems":[{"id":413,"uris":["http://zotero.org/users/local/CLlS0C19/items/7UDNDJN9"],"itemData":{"id":413,"type":"article-journal","container-title":"Advanced Materials","DOI":"10.1002/adma.201807134","ISSN":"0935-9648, 1521-4095","issue":"17","journalAbbreviation":"Adv. Mater.","language":"en","page":"1807134","source":"DOI.org (Crossref)","title":"Nanoarchitectonics for Transition</w:instrText>
      </w:r>
      <w:r w:rsidR="00D3115D">
        <w:rPr>
          <w:rFonts w:ascii="Cambria Math" w:hAnsi="Cambria Math" w:cs="Cambria Math"/>
          <w:lang w:val="en-GB"/>
        </w:rPr>
        <w:instrText>‐</w:instrText>
      </w:r>
      <w:r w:rsidR="00D3115D">
        <w:rPr>
          <w:lang w:val="en-GB"/>
        </w:rPr>
        <w:instrText>Metal</w:instrText>
      </w:r>
      <w:r w:rsidR="00D3115D">
        <w:rPr>
          <w:rFonts w:ascii="Cambria Math" w:hAnsi="Cambria Math" w:cs="Cambria Math"/>
          <w:lang w:val="en-GB"/>
        </w:rPr>
        <w:instrText>‐</w:instrText>
      </w:r>
      <w:r w:rsidR="00D3115D">
        <w:rPr>
          <w:lang w:val="en-GB"/>
        </w:rPr>
        <w:instrText>Sulfide</w:instrText>
      </w:r>
      <w:r w:rsidR="00D3115D">
        <w:rPr>
          <w:rFonts w:ascii="Cambria Math" w:hAnsi="Cambria Math" w:cs="Cambria Math"/>
          <w:lang w:val="en-GB"/>
        </w:rPr>
        <w:instrText>‐</w:instrText>
      </w:r>
      <w:r w:rsidR="00D3115D">
        <w:rPr>
          <w:lang w:val="en-GB"/>
        </w:rPr>
        <w:instrText xml:space="preserve">Based Electrocatalysts for Water Splitting","volume":"31","author":[{"family":"Guo","given":"Yanna"},{"family":"Park","given":"Teahoon"},{"family":"Yi","given":"Jin Woo"},{"family":"Henzie","given":"Joel"},{"family":"Kim","given":"Jeonghun"},{"family":"Wang","given":"Zhongli"},{"family":"Jiang","given":"Bo"},{"family":"Bando","given":"Yoshio"},{"family":"Sugahara","given":"Yoshiyuki"},{"family":"Tang","given":"Jing"},{"family":"Yamauchi","given":"Yusuke"}],"issued":{"date-parts":[["2019",4]]}}}],"schema":"https://github.com/citation-style-language/schema/raw/master/csl-citation.json"} </w:instrText>
      </w:r>
      <w:r w:rsidR="00D3115D">
        <w:rPr>
          <w:lang w:val="en-GB"/>
        </w:rPr>
        <w:fldChar w:fldCharType="separate"/>
      </w:r>
      <w:r w:rsidR="00D3115D" w:rsidRPr="00D3115D">
        <w:rPr>
          <w:rFonts w:cs="Arial"/>
        </w:rPr>
        <w:t>(Guo et al., 2019)</w:t>
      </w:r>
      <w:r w:rsidR="00D3115D">
        <w:rPr>
          <w:lang w:val="en-GB"/>
        </w:rPr>
        <w:fldChar w:fldCharType="end"/>
      </w:r>
      <w:r w:rsidR="00D3115D" w:rsidRPr="00D3115D">
        <w:rPr>
          <w:lang w:val="en-GB"/>
        </w:rPr>
        <w:t>.</w:t>
      </w:r>
      <w:r w:rsidR="00E33135">
        <w:rPr>
          <w:lang w:val="en-GB"/>
        </w:rPr>
        <w:t xml:space="preserve"> </w:t>
      </w:r>
      <w:r w:rsidRPr="00E717B8">
        <w:t xml:space="preserve">However, so far, most of the electrocatalysts developed do not </w:t>
      </w:r>
      <w:r w:rsidR="00B030B9">
        <w:t>met</w:t>
      </w:r>
      <w:r w:rsidR="00B030B9" w:rsidRPr="00E717B8">
        <w:t xml:space="preserve"> </w:t>
      </w:r>
      <w:r w:rsidRPr="00E717B8">
        <w:t xml:space="preserve">good catalytic activity and stability in alkaline environments. For this reason, it is essential to develop electrodes </w:t>
      </w:r>
      <w:r w:rsidR="00B030B9">
        <w:t>able</w:t>
      </w:r>
      <w:r w:rsidR="00B030B9" w:rsidRPr="00E717B8">
        <w:t xml:space="preserve"> </w:t>
      </w:r>
      <w:r w:rsidRPr="00E717B8">
        <w:t>of comprehensively catalyzing water splitting with high efficiencies and low costs</w:t>
      </w:r>
      <w:r w:rsidR="00044311">
        <w:t xml:space="preserve"> </w:t>
      </w:r>
      <w:r w:rsidR="00E33135">
        <w:fldChar w:fldCharType="begin"/>
      </w:r>
      <w:r w:rsidR="00E33135">
        <w:instrText xml:space="preserve"> ADDIN ZOTERO_ITEM CSL_CITATION {"citationID":"FsgHVSDn","properties":{"formattedCitation":"(Li et al., 2019)","plainCitation":"(Li et al., 2019)","noteIndex":0},"citationItems":[{"id":431,"uris":["http://zotero.org/users/local/CLlS0C19/items/HX3MUWNM"],"itemData":{"id":431,"type":"article-journal","container-title":"Electrochimica Acta","DOI":"10.1016/j.electacta.2019.07.022","ISSN":"00134686","journalAbbreviation":"Electrochimica Acta","language":"en","page":"561-568","source":"DOI.org (Crossref)","title":"Self-supported ternary (NixFey)2P nanoplates arrays as an efficient bifunctional electrocatalyst for overall water splitting","volume":"319","author":[{"family":"Li","given":"Shuaishuai"},{"family":"Wang","given":"Xing"},{"family":"Li","given":"Min"},{"family":"Liu","given":"Jian"},{"family":"Li","given":"Chaorong"},{"family":"Wu","given":"Huaping"},{"family":"Guo","given":"Daoyou"},{"family":"Ye","given":"Fangmin"},{"family":"Wang","given":"Shunli"},{"family":"Cheng","given":"Lin"},{"family":"Liu","given":"Aiping"}],"issued":{"date-parts":[["2019",10]]}}}],"schema":"https://github.com/citation-style-language/schema/raw/master/csl-citation.json"} </w:instrText>
      </w:r>
      <w:r w:rsidR="00E33135">
        <w:fldChar w:fldCharType="separate"/>
      </w:r>
      <w:r w:rsidR="00E33135" w:rsidRPr="00E33135">
        <w:rPr>
          <w:rFonts w:cs="Arial"/>
        </w:rPr>
        <w:t>(Li et al., 2019)</w:t>
      </w:r>
      <w:r w:rsidR="00E33135">
        <w:fldChar w:fldCharType="end"/>
      </w:r>
      <w:r w:rsidR="00E33135" w:rsidRPr="00E33135">
        <w:t>.</w:t>
      </w:r>
      <w:r w:rsidR="00D3115D" w:rsidRPr="00D3115D">
        <w:rPr>
          <w:lang w:val="en-GB"/>
        </w:rPr>
        <w:t xml:space="preserve"> The most promising materials are those </w:t>
      </w:r>
      <w:r w:rsidR="003D0B6C">
        <w:rPr>
          <w:lang w:val="en-GB"/>
        </w:rPr>
        <w:t>of</w:t>
      </w:r>
      <w:r w:rsidR="00D3115D" w:rsidRPr="00D3115D">
        <w:rPr>
          <w:lang w:val="en-GB"/>
        </w:rPr>
        <w:t xml:space="preserve"> the iron group. </w:t>
      </w:r>
      <w:r w:rsidR="00C74973" w:rsidRPr="00D3115D">
        <w:rPr>
          <w:lang w:val="en-GB"/>
        </w:rPr>
        <w:t>Nickel</w:t>
      </w:r>
      <w:r w:rsidR="00D3115D" w:rsidRPr="00D3115D">
        <w:rPr>
          <w:lang w:val="en-GB"/>
        </w:rPr>
        <w:t xml:space="preserve"> and its alloys are considered the best due to their stability in an alkaline environment, high electrocatalytic activity and low cost</w:t>
      </w:r>
      <w:r w:rsidR="00C74973">
        <w:rPr>
          <w:lang w:val="en-GB"/>
        </w:rPr>
        <w:t xml:space="preserve"> </w:t>
      </w:r>
      <w:r w:rsidR="00C74973">
        <w:rPr>
          <w:lang w:val="en-GB"/>
        </w:rPr>
        <w:fldChar w:fldCharType="begin"/>
      </w:r>
      <w:r w:rsidR="00C74973">
        <w:rPr>
          <w:lang w:val="en-GB"/>
        </w:rPr>
        <w:instrText xml:space="preserve"> ADDIN ZOTERO_ITEM CSL_CITATION {"citationID":"LwWydTZh","properties":{"formattedCitation":"(Ganci et al., 2021)","plainCitation":"(Ganci et al., 2021)","noteIndex":0},"citationItems":[{"id":102,"uris":["http://zotero.org/users/local/CLlS0C19/items/ZZXGU4XU"],"itemData":{"id":102,"type":"article-journal","abstract":"The fabrication and characterization of nickel-alloy electrodes for alkaline electrolysers is reported. Three different alloys (NieCo, NieZn and NieW) at different composition were studied in order to determine the optimum condition. Nanostructured electrodes were obtained by template electrodeposition into a nanoporous membrane, starting from aqueous solution containing the two elements of the alloy at different concentrations. Composition of alloys can be tuned by electrolyte composition and also depends on the difference of the redox potential of elements and on the presence of complexing agents in deposition bath. Electrochemical and electrocatalytic tests, aimed at establishing the best alloy composition, were carried out for hydrogen evolution reaction. Then, test conducted at a constant current density in potassium hydroxide (30% w/w) aqueous solution were also performed. For all investigated alloys, very encouraging results were obtained and in particular NieCo alloys richer in Co showed the best performance.","container-title":"International Journal of Hydrogen Energy","DOI":"10.1016/j.ijhydene.2020.11.208","ISSN":"03603199","issue":"72","journalAbbreviation":"International Journal of Hydrogen Energy","language":"en","note":"number: 72","page":"35777-35789","source":"DOI.org (Crossref)","title":"Ni alloy nanowires as high efficiency electrode materials for alkaline electrolysers","volume":"46","author":[{"family":"Ganci","given":"Fabrizio"},{"family":"Patella","given":"Bernardo"},{"family":"Cannata","given":"Emanuele"},{"family":"Cusumano","given":"Valentino"},{"family":"Aiello","given":"Giuseppe"},{"family":"Sunseri","given":"Carmelo"},{"family":"Mandin","given":"Philippe"},{"family":"Inguanta","given":"Rosalinda"}],"issued":{"date-parts":[["2021",10]]}}}],"schema":"https://github.com/citation-style-language/schema/raw/master/csl-citation.json"} </w:instrText>
      </w:r>
      <w:r w:rsidR="00C74973">
        <w:rPr>
          <w:lang w:val="en-GB"/>
        </w:rPr>
        <w:fldChar w:fldCharType="separate"/>
      </w:r>
      <w:r w:rsidR="00C74973" w:rsidRPr="00C74973">
        <w:rPr>
          <w:rFonts w:cs="Arial"/>
        </w:rPr>
        <w:t>(Ganci et al., 2021)</w:t>
      </w:r>
      <w:r w:rsidR="00C74973">
        <w:rPr>
          <w:lang w:val="en-GB"/>
        </w:rPr>
        <w:fldChar w:fldCharType="end"/>
      </w:r>
      <w:r w:rsidR="00D3115D">
        <w:rPr>
          <w:lang w:val="en-GB"/>
        </w:rPr>
        <w:t xml:space="preserve">. </w:t>
      </w:r>
      <w:r w:rsidRPr="00E717B8">
        <w:rPr>
          <w:lang w:val="en-GB"/>
        </w:rPr>
        <w:t>Transition metal electrodes (Ni, Co and Fe ) are considered excellent candidates due to their high catalytic activity</w:t>
      </w:r>
      <w:r w:rsidR="00385D53">
        <w:rPr>
          <w:lang w:val="en-GB"/>
        </w:rPr>
        <w:t xml:space="preserve"> </w:t>
      </w:r>
      <w:r w:rsidR="00385D53">
        <w:rPr>
          <w:lang w:val="en-GB"/>
        </w:rPr>
        <w:fldChar w:fldCharType="begin"/>
      </w:r>
      <w:r w:rsidR="00385D53">
        <w:rPr>
          <w:lang w:val="en-GB"/>
        </w:rPr>
        <w:instrText xml:space="preserve"> ADDIN ZOTERO_ITEM CSL_CITATION {"citationID":"qOLWKOoN","properties":{"formattedCitation":"(Dionigi et al., 2016)","plainCitation":"(Dionigi et al., 2016)","noteIndex":0},"citationItems":[{"id":110,"uris":["http://zotero.org/users/local/CLlS0C19/items/CAQD7RTT"],"itemData":{"id":110,"type":"article-journal","container-title":"ChemSusChem","DOI":"10.1002/cssc.201501581","ISSN":"18645631","issue":"9","journalAbbreviation":"ChemSusChem","language":"en","note":"number: 9","page":"962-972","source":"DOI.org (Crossref)","title":"Design Criteria, Operating Conditions, and Nickel-Iron Hydroxide Catalyst Materials for Selective Seawater Electrolysis","volume":"9","author":[{"family":"Dionigi","given":"Fabio"},{"family":"Reier","given":"Tobias"},{"family":"Pawolek","given":"Zarina"},{"family":"Gliech","given":"Manuel"},{"family":"Strasser","given":"Peter"}],"issued":{"date-parts":[["2016",5,10]]}}}],"schema":"https://github.com/citation-style-language/schema/raw/master/csl-citation.json"} </w:instrText>
      </w:r>
      <w:r w:rsidR="00385D53">
        <w:rPr>
          <w:lang w:val="en-GB"/>
        </w:rPr>
        <w:fldChar w:fldCharType="separate"/>
      </w:r>
      <w:r w:rsidR="00385D53" w:rsidRPr="00385D53">
        <w:rPr>
          <w:rFonts w:cs="Arial"/>
        </w:rPr>
        <w:t xml:space="preserve">(Dionigi </w:t>
      </w:r>
      <w:r w:rsidR="00385D53" w:rsidRPr="00385D53">
        <w:rPr>
          <w:rFonts w:cs="Arial"/>
        </w:rPr>
        <w:lastRenderedPageBreak/>
        <w:t>et al., 2016)</w:t>
      </w:r>
      <w:r w:rsidR="00385D53">
        <w:rPr>
          <w:lang w:val="en-GB"/>
        </w:rPr>
        <w:fldChar w:fldCharType="end"/>
      </w:r>
      <w:r w:rsidR="00C74973">
        <w:rPr>
          <w:lang w:val="en-GB"/>
        </w:rPr>
        <w:t xml:space="preserve">. </w:t>
      </w:r>
      <w:r w:rsidRPr="00E717B8">
        <w:t xml:space="preserve">The binary alloy of Nickel-iron has been extensively </w:t>
      </w:r>
      <w:r w:rsidR="00B030B9">
        <w:t>studied</w:t>
      </w:r>
      <w:r w:rsidR="00B030B9" w:rsidRPr="00E717B8">
        <w:t xml:space="preserve"> </w:t>
      </w:r>
      <w:r w:rsidRPr="00E717B8">
        <w:t xml:space="preserve">and is currently considered one of the best options for alkaline electrolysers due its low price, </w:t>
      </w:r>
      <w:r w:rsidR="009E7AED" w:rsidRPr="00E717B8">
        <w:t>favorable</w:t>
      </w:r>
      <w:r w:rsidRPr="00E717B8">
        <w:t xml:space="preserve"> electrocatalytic activity and abundance. In addition, Transition metal phosphides (TMPs) have attracted attention due to their catalytic action for HER and OER in alkaline electrolytes. TMPs have distinct charge structures: positive charges in metal and negative charges in phosphorus. The negatively charged P acts as a proton acceptor and weakens the metal (positively charged, hydride acceptor as M−H) bond strength to avoid the kinetically sluggish desorption of hydrogen</w:t>
      </w:r>
      <w:r>
        <w:t xml:space="preserve"> </w:t>
      </w:r>
      <w:r w:rsidRPr="00E717B8">
        <w:t xml:space="preserve"> </w:t>
      </w:r>
      <w:r w:rsidR="00385D53">
        <w:rPr>
          <w:lang w:val="en-GB"/>
        </w:rPr>
        <w:fldChar w:fldCharType="begin"/>
      </w:r>
      <w:r w:rsidR="009E7AED">
        <w:rPr>
          <w:lang w:val="en-GB"/>
        </w:rPr>
        <w:instrText xml:space="preserve"> ADDIN ZOTERO_ITEM CSL_CITATION {"citationID":"NiAEEOpS","properties":{"formattedCitation":"(Kwong et al., 2017; Zhao et al., 2022)","plainCitation":"(Kwong et al., 2017; Zhao et al., 2022)","noteIndex":0},"citationItems":[{"id":430,"uris":["http://zotero.org/users/local/CLlS0C19/items/L78JN4FZ"],"itemData":{"id":430,"type":"article-journal","container-title":"The Journal of Physical Chemistry C","DOI":"10.1021/acs.jpcc.6b09050","ISSN":"1932-7447, 1932-7455","issue":"1","journalAbbreviation":"J. Phys. Chem. C","language":"en","page":"284-292","source":"DOI.org (Crossref)","title":"Scalable Two-Step Synthesis of Nickel–Iron Phosphide Electrodes for Stable and Efficient Electrocatalytic Hydrogen Evolution","volume":"121","author":[{"family":"Kwong","given":"Wai Ling"},{"family":"Lee","given":"Cheng Choo"},{"family":"Messinger","given":"Johannes"}],"issued":{"date-parts":[["2017",1,12]]}}},{"id":416,"uris":["http://zotero.org/users/local/CLlS0C19/items/6VGZJ6TH"],"itemData":{"id":416,"type":"article-journal","abstract":"The structural reconstruction dynamics and the real HER/OER active species of cobalt phosphides/chalcogenides were revealed through\n              operando\n              XAS/Raman spectroscopy.\n            \n          , \n            \n              The rational design of efficient electrocatalysts for industrial water splitting is essential to generate sustainable hydrogen fuel. However, a comprehensive understanding of the complex catalytic mechanisms under harsh reaction conditions remains a major challenge. We apply a self-templated strategy to introduce hierarchically nanostructured “all-surface” Fe-doped cobalt phosphide nanoboxes (Co@CoFe–P NBs) as alternative electrocatalysts for industrial-scale applications.\n              Operando\n              Raman spectroscopy and X-ray absorption spectroscopy (XAS) experiments were carried out to track the dynamics of their structural reconstruction and the real catalytically active intermediates during water splitting. Our\n              operando\n              analyses reveal that partial Fe substitution in cobalt phosphides promotes a structural reconstruction into P–Co–O–Fe–P configurations with low-valence metal centers (M\n              0\n              /M\n              +\n              ) during the hydrogen evolution reaction (HER). Results from density functional theory (DFT) demonstrate that these\n              in situ\n              reconstructed configurations significantly enhance the HER performance by lowering the energy barrier for water dissociation and by facilitating the adsorption/desorption of HER intermediates (H*). The competitive activity in the oxygen evolution reaction (OER) arises from the transformation of the reconstructed P–Co–O–Fe–P configurations into oxygen-bridged, high-valence Co\n              IV\n              –O–Fe\n              IV\n              moieties as true active intermediates. In sharp contrast, the formation of such Co\n              III/IV\n              –O–Fe\n              III/IV\n              moieties in Co–FeOOH is hindered under the same conditions, which outlines the key advantages of phosphide-based electrocatalysts.\n              Ex situ\n              studies of the as-synthesized reference cobalt sulfides (Co–S), Fe doped cobalt selenides (Co@CoFe–Se), and Fe doped cobalt tellurides (Co@CoFe–Te) further corroborate the observed structural transformations. These insights are vital to systematically exploit the intrinsic catalytic mechanisms of non-oxide, low-cost, and robust overall water splitting electrocatalysts for future energy conversion and storage.","container-title":"Energy &amp; Environmental Science","DOI":"10.1039/D1EE02249K","ISSN":"1754-5692, 1754-5706","issue":"2","journalAbbreviation":"Energy Environ. Sci.","language":"en","page":"727-739","source":"DOI.org (Crossref)","title":"Dynamics and control of active sites in hierarchically nanostructured cobalt phosphide/chalcogenide-based electrocatalysts for water splitting","volume":"15","author":[{"family":"Zhao","given":"Yonggui"},{"family":"Dongfang","given":"Nanchen"},{"family":"Triana","given":"Carlos A."},{"family":"Huang","given":"Chong"},{"family":"Erni","given":"Rolf"},{"family":"Wan","given":"Wenchao"},{"family":"Li","given":"Jingguo"},{"family":"Stoian","given":"Dragos"},{"family":"Pan","given":"Long"},{"family":"Zhang","given":"Ping"},{"family":"Lan","given":"Jinggang"},{"family":"Iannuzzi","given":"Marcella"},{"family":"Patzke","given":"Greta R."}],"issued":{"date-parts":[["2022"]]}}}],"schema":"https://github.com/citation-style-language/schema/raw/master/csl-citation.json"} </w:instrText>
      </w:r>
      <w:r w:rsidR="00385D53">
        <w:rPr>
          <w:lang w:val="en-GB"/>
        </w:rPr>
        <w:fldChar w:fldCharType="separate"/>
      </w:r>
      <w:r w:rsidR="009E7AED" w:rsidRPr="009E7AED">
        <w:rPr>
          <w:rFonts w:cs="Arial"/>
        </w:rPr>
        <w:t>(Kwong et al., 2017; Zhao et al., 2022)</w:t>
      </w:r>
      <w:r w:rsidR="00385D53">
        <w:rPr>
          <w:lang w:val="en-GB"/>
        </w:rPr>
        <w:fldChar w:fldCharType="end"/>
      </w:r>
      <w:r w:rsidR="009E7AED">
        <w:rPr>
          <w:lang w:val="en-GB"/>
        </w:rPr>
        <w:t xml:space="preserve">. </w:t>
      </w:r>
      <w:r w:rsidR="009E7AED" w:rsidRPr="009E7AED">
        <w:rPr>
          <w:lang w:val="en-GB"/>
        </w:rPr>
        <w:t>Most electrodes containing phosphorus are made through a doping process.</w:t>
      </w:r>
      <w:r w:rsidR="009E7AED">
        <w:rPr>
          <w:lang w:val="en-GB"/>
        </w:rPr>
        <w:t xml:space="preserve"> </w:t>
      </w:r>
      <w:r w:rsidR="009E7AED" w:rsidRPr="009E7AED">
        <w:t>For example</w:t>
      </w:r>
      <w:r w:rsidR="009E7AED">
        <w:t xml:space="preserve">, </w:t>
      </w:r>
      <w:r w:rsidR="009E7AED" w:rsidRPr="006A7651">
        <w:t xml:space="preserve">Ledendecker et al. </w:t>
      </w:r>
      <w:r w:rsidR="009E7AED" w:rsidRPr="009E7AED">
        <w:t>made Ni</w:t>
      </w:r>
      <w:r w:rsidR="009E7AED" w:rsidRPr="009E7AED">
        <w:rPr>
          <w:vertAlign w:val="subscript"/>
        </w:rPr>
        <w:t>5</w:t>
      </w:r>
      <w:r w:rsidR="009E7AED" w:rsidRPr="009E7AED">
        <w:t>P</w:t>
      </w:r>
      <w:r w:rsidR="009E7AED" w:rsidRPr="009E7AED">
        <w:rPr>
          <w:vertAlign w:val="subscript"/>
        </w:rPr>
        <w:t>4</w:t>
      </w:r>
      <w:r w:rsidR="009E7AED" w:rsidRPr="009E7AED">
        <w:t xml:space="preserve"> films by doping of nickel foil with red phosphorous for 1 h at 550 °C </w:t>
      </w:r>
      <w:r w:rsidR="00B030B9">
        <w:t xml:space="preserve">using </w:t>
      </w:r>
      <w:r w:rsidR="009E7AED" w:rsidRPr="009E7AED">
        <w:t>an inert atmosphere</w:t>
      </w:r>
      <w:r w:rsidR="009E7AED">
        <w:t xml:space="preserve"> </w:t>
      </w:r>
      <w:r w:rsidR="009E7AED">
        <w:fldChar w:fldCharType="begin"/>
      </w:r>
      <w:r w:rsidR="009E7AED">
        <w:instrText xml:space="preserve"> ADDIN ZOTERO_ITEM CSL_CITATION {"citationID":"9EeBwVkl","properties":{"formattedCitation":"(Ledendecker et al., 2015)","plainCitation":"(Ledendecker et al., 2015)","noteIndex":0},"citationItems":[{"id":435,"uris":["http://zotero.org/users/local/CLlS0C19/items/66Z676PX"],"itemData":{"id":435,"type":"article-journal","container-title":"Angewandte Chemie International Edition","DOI":"10.1002/anie.201502438","ISSN":"14337851","issue":"42","journalAbbreviation":"Angew. Chem. Int. Ed.","language":"en","page":"12361-12365","source":"DOI.org (Crossref)","title":"The Synthesis of Nanostructured Ni &lt;sub&gt;5&lt;/sub&gt; P &lt;sub&gt;4&lt;/sub&gt; Films and their Use as a Non-Noble Bifunctional Electrocatalyst for Full Water Splitting","volume":"54","author":[{"family":"Ledendecker","given":"Marc"},{"family":"Krick Calderón","given":"Sandra"},{"family":"Papp","given":"Christian"},{"family":"Steinrück","given":"Hans-Peter"},{"family":"Antonietti","given":"Markus"},{"family":"Shalom","given":"Menny"}],"issued":{"date-parts":[["2015",10,12]]}}}],"schema":"https://github.com/citation-style-language/schema/raw/master/csl-citation.json"} </w:instrText>
      </w:r>
      <w:r w:rsidR="009E7AED">
        <w:fldChar w:fldCharType="separate"/>
      </w:r>
      <w:r w:rsidR="009E7AED" w:rsidRPr="00971D80">
        <w:rPr>
          <w:rFonts w:cs="Arial"/>
        </w:rPr>
        <w:t>(Ledendecker et al., 2015)</w:t>
      </w:r>
      <w:r w:rsidR="009E7AED">
        <w:fldChar w:fldCharType="end"/>
      </w:r>
      <w:r w:rsidR="009E7AED" w:rsidRPr="009E7AED">
        <w:t xml:space="preserve">. </w:t>
      </w:r>
      <w:r w:rsidR="009E7AED" w:rsidRPr="009E7AED">
        <w:rPr>
          <w:lang w:val="en-GB"/>
        </w:rPr>
        <w:t xml:space="preserve">Compared to binary alloys, </w:t>
      </w:r>
      <w:r w:rsidR="00B030B9">
        <w:rPr>
          <w:lang w:val="en-GB"/>
        </w:rPr>
        <w:t>the use of</w:t>
      </w:r>
      <w:r w:rsidR="00B030B9" w:rsidRPr="009E7AED">
        <w:rPr>
          <w:lang w:val="en-GB"/>
        </w:rPr>
        <w:t xml:space="preserve"> </w:t>
      </w:r>
      <w:r w:rsidR="009E7AED" w:rsidRPr="009E7AED">
        <w:rPr>
          <w:lang w:val="en-GB"/>
        </w:rPr>
        <w:t xml:space="preserve">a ternary is an excellent strategy to increase electrode performance by combining the properties of several metals. However, the role of ternary components in the electrolysis process is still </w:t>
      </w:r>
      <w:r w:rsidR="00B030B9">
        <w:rPr>
          <w:lang w:val="en-GB"/>
        </w:rPr>
        <w:t>unclear</w:t>
      </w:r>
      <w:r w:rsidR="00B030B9" w:rsidRPr="009E7AED">
        <w:rPr>
          <w:lang w:val="en-GB"/>
        </w:rPr>
        <w:t xml:space="preserve"> </w:t>
      </w:r>
      <w:r w:rsidR="009E7AED" w:rsidRPr="009E7AED">
        <w:t xml:space="preserve">and the improvement of bifunctional catalytic performance is still urgent </w:t>
      </w:r>
      <w:r w:rsidR="009E7AED">
        <w:fldChar w:fldCharType="begin"/>
      </w:r>
      <w:r w:rsidR="009E7AED">
        <w:instrText xml:space="preserve"> ADDIN ZOTERO_ITEM CSL_CITATION {"citationID":"dgmXXJQq","properties":{"formattedCitation":"(Xuan et al., 2017)","plainCitation":"(Xuan et al., 2017)","noteIndex":0},"citationItems":[{"id":433,"uris":["http://zotero.org/users/local/CLlS0C19/items/385LRISR"],"itemData":{"id":433,"type":"article-journal","container-title":"ACS Applied Materials &amp; Interfaces","DOI":"10.1021/acsami.7b08560","ISSN":"1944-8244, 1944-8252","issue":"31","journalAbbreviation":"ACS Appl. Mater. Interfaces","language":"en","page":"26134-26142","source":"DOI.org (Crossref)","title":"Porous Structured Ni–Fe–P Nanocubes Derived from a Prussian Blue Analogue as an Electrocatalyst for Efficient Overall Water Splitting","volume":"9","author":[{"family":"Xuan","given":"Cuijuan"},{"family":"Wang","given":"Jie"},{"family":"Xia","given":"Weiwei"},{"family":"Peng","given":"Zongkai"},{"family":"Wu","given":"Zexing"},{"family":"Lei","given":"Wen"},{"family":"Xia","given":"Kedong"},{"family":"Xin","given":"Huolin L."},{"family":"Wang","given":"Deli"}],"issued":{"date-parts":[["2017",8,9]]}}}],"schema":"https://github.com/citation-style-language/schema/raw/master/csl-citation.json"} </w:instrText>
      </w:r>
      <w:r w:rsidR="009E7AED">
        <w:fldChar w:fldCharType="separate"/>
      </w:r>
      <w:r w:rsidR="009E7AED" w:rsidRPr="006A7651">
        <w:rPr>
          <w:rFonts w:cs="Arial"/>
        </w:rPr>
        <w:t>(Xuan et al., 2017)</w:t>
      </w:r>
      <w:r w:rsidR="009E7AED">
        <w:fldChar w:fldCharType="end"/>
      </w:r>
      <w:r w:rsidR="009E7AED">
        <w:t>.</w:t>
      </w:r>
      <w:r w:rsidR="00044311">
        <w:rPr>
          <w:lang w:val="en-GB"/>
        </w:rPr>
        <w:t xml:space="preserve"> </w:t>
      </w:r>
      <w:r w:rsidR="005869B6" w:rsidRPr="005869B6">
        <w:rPr>
          <w:lang w:val="en-GB"/>
        </w:rPr>
        <w:t xml:space="preserve">In addition to the material used, the performance of a catalyst can be affected by </w:t>
      </w:r>
      <w:r w:rsidR="00B030B9">
        <w:rPr>
          <w:lang w:val="en-GB"/>
        </w:rPr>
        <w:t>the</w:t>
      </w:r>
      <w:r w:rsidR="00DA4BA9">
        <w:rPr>
          <w:lang w:val="en-GB"/>
        </w:rPr>
        <w:t xml:space="preserve"> </w:t>
      </w:r>
      <w:r w:rsidR="005869B6" w:rsidRPr="005869B6">
        <w:rPr>
          <w:lang w:val="en-GB"/>
        </w:rPr>
        <w:t xml:space="preserve">size, </w:t>
      </w:r>
      <w:r w:rsidR="00EA0F69" w:rsidRPr="005869B6">
        <w:rPr>
          <w:lang w:val="en-GB"/>
        </w:rPr>
        <w:t>structure,</w:t>
      </w:r>
      <w:r w:rsidR="005869B6" w:rsidRPr="005869B6">
        <w:rPr>
          <w:lang w:val="en-GB"/>
        </w:rPr>
        <w:t xml:space="preserve"> and morphology</w:t>
      </w:r>
      <w:r w:rsidR="00B030B9">
        <w:rPr>
          <w:lang w:val="en-GB"/>
        </w:rPr>
        <w:t xml:space="preserve"> of the working electrode</w:t>
      </w:r>
      <w:r w:rsidR="005869B6" w:rsidRPr="005869B6">
        <w:rPr>
          <w:lang w:val="en-GB"/>
        </w:rPr>
        <w:t>. In particular, by focusing on structure, electrodes with high surface areas and thus a significant number of catalytic active sites</w:t>
      </w:r>
      <w:r w:rsidR="00B030B9">
        <w:rPr>
          <w:lang w:val="en-GB"/>
        </w:rPr>
        <w:t xml:space="preserve"> can be used to increase electrode features</w:t>
      </w:r>
      <w:r w:rsidR="005869B6">
        <w:rPr>
          <w:lang w:val="en-GB"/>
        </w:rPr>
        <w:t xml:space="preserve"> </w:t>
      </w:r>
      <w:r w:rsidR="00385D53">
        <w:rPr>
          <w:lang w:val="en-GB"/>
        </w:rPr>
        <w:fldChar w:fldCharType="begin"/>
      </w:r>
      <w:r w:rsidR="00385D53">
        <w:rPr>
          <w:lang w:val="en-GB"/>
        </w:rPr>
        <w:instrText xml:space="preserve"> ADDIN ZOTERO_ITEM CSL_CITATION {"citationID":"uRrU4Qgh","properties":{"formattedCitation":"(Wang et al., 2022)","plainCitation":"(Wang et al., 2022)","noteIndex":0},"citationItems":[{"id":418,"uris":["http://zotero.org/users/local/CLlS0C19/items/SGLI3YHY"],"itemData":{"id":418,"type":"article-journal","abstract":"High-efficiency, good electrical conductivity and excellent performance electrocatalysts are attracting growing attention in the field of overall water splitting. In order to achieve the desirable qualities, rational construction of the structure and chemical composition of electrocatalysts is of fundamental importance. Herein, petal-like structure Ni0.33Co0.67P shells grown on conductive silver nanowires (Ag NWs) cores as bifunctional electrocatalysts for overall water splitting were synthesized through a facile hydrothermal method and phosphorization. The resultant three-dimensional core-shell petal-like structure Ag NWs@Ni0.33Co0.67P possesses excellent catalytic activities in alkaline conditions with the overpotential of 259 mV for the oxygen evolution reaction (OER), 121 mV for the hydrogen evolution reaction (HER) and a full cell voltage of 1.64 V to reach the current density of 10 mA cm−2. Highly conductive Ag NWs as cores and high surface area petal-like Ni0.33Co0.67P as shells can endow outstanding catalytic performance for the bifunctional electrocatalyst. Thus, the synthetic strategy of the three-dimensional core-shell structure Ag NWs@Ni0.33Co0.67P considerably advances the practice of Ag NWs toward electrocatalysts.","container-title":"Nanomaterials","DOI":"10.3390/nano12071205","ISSN":"2079-4991","issue":"7","journalAbbreviation":"Nanomaterials","language":"en","page":"1205","source":"DOI.org (Crossref)","title":"Construction of Petal-Like Ag NWs@NiCoP with Three-Dimensional Core-Shell Structure for Overall Water Splitting","volume":"12","author":[{"family":"Wang","given":"Fan"},{"family":"Tian","given":"Rui"},{"family":"Guo","given":"Xingzhong"},{"family":"Hou","given":"Yang"},{"family":"Zou","given":"Chang"},{"family":"Yang","given":"Hui"}],"issued":{"date-parts":[["2022",4,4]]}}}],"schema":"https://github.com/citation-style-language/schema/raw/master/csl-citation.json"} </w:instrText>
      </w:r>
      <w:r w:rsidR="00385D53">
        <w:rPr>
          <w:lang w:val="en-GB"/>
        </w:rPr>
        <w:fldChar w:fldCharType="separate"/>
      </w:r>
      <w:r w:rsidR="00385D53" w:rsidRPr="00385D53">
        <w:rPr>
          <w:rFonts w:cs="Arial"/>
        </w:rPr>
        <w:t>(Wang et al., 2022)</w:t>
      </w:r>
      <w:r w:rsidR="00385D53">
        <w:rPr>
          <w:lang w:val="en-GB"/>
        </w:rPr>
        <w:fldChar w:fldCharType="end"/>
      </w:r>
      <w:r w:rsidR="00385D53">
        <w:rPr>
          <w:lang w:val="en-GB"/>
        </w:rPr>
        <w:t xml:space="preserve">. </w:t>
      </w:r>
      <w:r w:rsidR="00EA0F69" w:rsidRPr="00EA0F69">
        <w:t xml:space="preserve">The construction of nanostructured </w:t>
      </w:r>
      <w:r w:rsidR="00B030B9">
        <w:t>materials</w:t>
      </w:r>
      <w:r w:rsidR="00B030B9" w:rsidRPr="00EA0F69">
        <w:t xml:space="preserve"> </w:t>
      </w:r>
      <w:r w:rsidR="00EA0F69" w:rsidRPr="00EA0F69">
        <w:t xml:space="preserve">such as nanorods, nanowires, nanosheets, and so on, </w:t>
      </w:r>
      <w:r w:rsidR="00B030B9">
        <w:t>leads</w:t>
      </w:r>
      <w:r w:rsidR="00B030B9" w:rsidRPr="00EA0F69">
        <w:t xml:space="preserve"> </w:t>
      </w:r>
      <w:r w:rsidR="00B030B9">
        <w:t xml:space="preserve">to </w:t>
      </w:r>
      <w:r w:rsidR="00EA0F69" w:rsidRPr="00EA0F69">
        <w:t>high electrochemical active surface, which increases catalytic activity.</w:t>
      </w:r>
      <w:r w:rsidR="00EA0F69">
        <w:t xml:space="preserve"> Particularly, </w:t>
      </w:r>
      <w:r w:rsidR="00EA0F69" w:rsidRPr="009048AF">
        <w:rPr>
          <w:lang w:val="en-GB"/>
        </w:rPr>
        <w:t>well-ordered nanowires or nanorod</w:t>
      </w:r>
      <w:r w:rsidR="00B030B9">
        <w:rPr>
          <w:lang w:val="en-GB"/>
        </w:rPr>
        <w:t>s</w:t>
      </w:r>
      <w:r w:rsidR="00EA0F69" w:rsidRPr="009048AF">
        <w:rPr>
          <w:lang w:val="en-GB"/>
        </w:rPr>
        <w:t xml:space="preserve"> arrays</w:t>
      </w:r>
      <w:r w:rsidR="00EA0F69">
        <w:rPr>
          <w:lang w:val="en-GB"/>
        </w:rPr>
        <w:t xml:space="preserve"> are perfect </w:t>
      </w:r>
      <w:r w:rsidR="00682C6D">
        <w:rPr>
          <w:lang w:val="en-GB"/>
        </w:rPr>
        <w:t xml:space="preserve">candidates </w:t>
      </w:r>
      <w:r w:rsidR="00EA0F69">
        <w:rPr>
          <w:lang w:val="en-GB"/>
        </w:rPr>
        <w:t xml:space="preserve">for HER and OER </w:t>
      </w:r>
      <w:r w:rsidR="00EA0F69">
        <w:t xml:space="preserve">because they can </w:t>
      </w:r>
      <w:r w:rsidR="009048AF" w:rsidRPr="009048AF">
        <w:rPr>
          <w:lang w:val="en-GB"/>
        </w:rPr>
        <w:t xml:space="preserve">reduce the ionic diffusion path, facilitate ionic motion </w:t>
      </w:r>
      <w:r w:rsidR="00493C25" w:rsidRPr="00493C25">
        <w:t>facilitating the rising of gas bubble</w:t>
      </w:r>
      <w:r w:rsidR="00493C25">
        <w:t xml:space="preserve">s </w:t>
      </w:r>
      <w:r w:rsidR="009048AF">
        <w:rPr>
          <w:lang w:val="en-GB"/>
        </w:rPr>
        <w:fldChar w:fldCharType="begin"/>
      </w:r>
      <w:r w:rsidR="009048AF">
        <w:rPr>
          <w:lang w:val="en-GB"/>
        </w:rPr>
        <w:instrText xml:space="preserve"> ADDIN ZOTERO_ITEM CSL_CITATION {"citationID":"mn94xDZ7","properties":{"formattedCitation":"(Yan et al., 2015)","plainCitation":"(Yan et al., 2015)","noteIndex":0},"citationItems":[{"id":423,"uris":["http://zotero.org/users/local/CLlS0C19/items/MTQD6QF4"],"itemData":{"id":423,"type":"article-journal","container-title":"Advanced Science","DOI":"10.1002/advs.201500120","ISSN":"21983844","issue":"8","journalAbbreviation":"Adv. Sci.","language":"en","page":"1500120","source":"DOI.org (Crossref)","title":"Construction of Efficient 3D Gas Evolution Electrocatalyst for Hydrogen Evolution: Porous FeP Nanowire Arrays on Graphene Sheets","title-short":"Construction of Efficient 3D Gas Evolution Electrocatalyst for Hydrogen Evolution","volume":"2","author":[{"family":"Yan","given":"Ya"},{"family":"Thia","given":"Larissa"},{"family":"Xia","given":"Bao Yu"},{"family":"Ge","given":"Xiaoming"},{"family":"Liu","given":"Zhaolin"},{"family":"Fisher","given":"Adrian"},{"family":"Wang","given":"Xin"}],"issued":{"date-parts":[["2015",8]]}}}],"schema":"https://github.com/citation-style-language/schema/raw/master/csl-citation.json"} </w:instrText>
      </w:r>
      <w:r w:rsidR="009048AF">
        <w:rPr>
          <w:lang w:val="en-GB"/>
        </w:rPr>
        <w:fldChar w:fldCharType="separate"/>
      </w:r>
      <w:r w:rsidR="009048AF" w:rsidRPr="009048AF">
        <w:rPr>
          <w:rFonts w:cs="Arial"/>
        </w:rPr>
        <w:t>(Yan et al., 2015)</w:t>
      </w:r>
      <w:r w:rsidR="009048AF">
        <w:rPr>
          <w:lang w:val="en-GB"/>
        </w:rPr>
        <w:fldChar w:fldCharType="end"/>
      </w:r>
      <w:r w:rsidR="009048AF" w:rsidRPr="009048AF">
        <w:rPr>
          <w:lang w:val="en-GB"/>
        </w:rPr>
        <w:t>.</w:t>
      </w:r>
      <w:r w:rsidR="00F94232">
        <w:rPr>
          <w:lang w:val="en-GB"/>
        </w:rPr>
        <w:t xml:space="preserve"> </w:t>
      </w:r>
      <w:r w:rsidR="00971D80" w:rsidRPr="006A7651">
        <w:t>Accordingly,</w:t>
      </w:r>
      <w:r w:rsidR="00971D80">
        <w:rPr>
          <w:lang w:val="en-GB"/>
        </w:rPr>
        <w:t xml:space="preserve"> in this work, a ternary alloy of nickel-iron-phosphorous nanowires electrode was fabricated </w:t>
      </w:r>
      <w:r w:rsidR="00044311">
        <w:rPr>
          <w:lang w:val="en-GB"/>
        </w:rPr>
        <w:t xml:space="preserve">by electrodeposition </w:t>
      </w:r>
      <w:r w:rsidR="00971D80">
        <w:rPr>
          <w:lang w:val="en-GB"/>
        </w:rPr>
        <w:t xml:space="preserve">and its performance was compared with the binary nickel-iron alloy obtained in an our previous work </w:t>
      </w:r>
      <w:r w:rsidR="00971D80">
        <w:rPr>
          <w:lang w:val="en-GB"/>
        </w:rPr>
        <w:fldChar w:fldCharType="begin"/>
      </w:r>
      <w:r w:rsidR="00971D80">
        <w:rPr>
          <w:lang w:val="en-GB"/>
        </w:rPr>
        <w:instrText xml:space="preserve"> ADDIN ZOTERO_ITEM CSL_CITATION {"citationID":"1eEAgZlI","properties":{"formattedCitation":"(Buccheri et al., 2021)","plainCitation":"(Buccheri et al., 2021)","noteIndex":0},"citationItems":[{"id":92,"uris":["http://zotero.org/users/local/CLlS0C19/items/FBSDA3DP"],"itemData":{"id":92,"type":"article-journal","container-title":"Electrochimica Acta","DOI":"10.1016/j.electacta.2021.138588","ISSN":"00134686","journalAbbreviation":"Electrochimica Acta","language":"en","page":"138588","source":"DOI.org (Crossref)","title":"Ni-Fe alloy nanostructured electrodes for water splitting in alkaline electrolyser","volume":"388","author":[{"family":"Buccheri","given":"Biagio"},{"family":"Ganci","given":"Fabrizio"},{"family":"Patella","given":"Bernardo"},{"family":"Aiello","given":"Giuseppe"},{"family":"Mandin","given":"Philippe"},{"family":"Inguanta","given":"Rosalinda"}],"issued":{"date-parts":[["2021",8]]}}}],"schema":"https://github.com/citation-style-language/schema/raw/master/csl-citation.json"} </w:instrText>
      </w:r>
      <w:r w:rsidR="00971D80">
        <w:rPr>
          <w:lang w:val="en-GB"/>
        </w:rPr>
        <w:fldChar w:fldCharType="separate"/>
      </w:r>
      <w:r w:rsidR="00971D80" w:rsidRPr="00971D80">
        <w:rPr>
          <w:rFonts w:cs="Arial"/>
        </w:rPr>
        <w:t>(Buccheri et al., 2021)</w:t>
      </w:r>
      <w:r w:rsidR="00971D80">
        <w:rPr>
          <w:lang w:val="en-GB"/>
        </w:rPr>
        <w:fldChar w:fldCharType="end"/>
      </w:r>
      <w:r w:rsidR="00971D80">
        <w:rPr>
          <w:lang w:val="en-GB"/>
        </w:rPr>
        <w:t xml:space="preserve">. These electrodes were obtained by </w:t>
      </w:r>
      <w:r w:rsidR="002E0EFB">
        <w:rPr>
          <w:lang w:val="en-GB"/>
        </w:rPr>
        <w:t>template electrosynthesis</w:t>
      </w:r>
      <w:r w:rsidR="00DA4BA9">
        <w:rPr>
          <w:lang w:val="en-GB"/>
        </w:rPr>
        <w:t xml:space="preserve"> </w:t>
      </w:r>
      <w:r w:rsidR="00682C6D">
        <w:rPr>
          <w:lang w:val="en-GB"/>
        </w:rPr>
        <w:t xml:space="preserve">a </w:t>
      </w:r>
      <w:r w:rsidR="00493C25">
        <w:rPr>
          <w:lang w:val="en-GB"/>
        </w:rPr>
        <w:t>simple and cheap method</w:t>
      </w:r>
      <w:r w:rsidR="00971D80">
        <w:rPr>
          <w:lang w:val="en-GB"/>
        </w:rPr>
        <w:t>.</w:t>
      </w:r>
      <w:r w:rsidR="00720043">
        <w:rPr>
          <w:lang w:val="en-GB"/>
        </w:rPr>
        <w:t xml:space="preserve"> C</w:t>
      </w:r>
      <w:r w:rsidR="00720043" w:rsidRPr="00720043">
        <w:rPr>
          <w:lang w:val="en-GB"/>
        </w:rPr>
        <w:t xml:space="preserve">ompared to traditional methods </w:t>
      </w:r>
      <w:r w:rsidR="00BE07EB" w:rsidRPr="00BE07EB">
        <w:rPr>
          <w:lang w:val="en-GB"/>
        </w:rPr>
        <w:t>mentioned earlier</w:t>
      </w:r>
      <w:r w:rsidR="00DA4BA9">
        <w:rPr>
          <w:lang w:val="en-GB"/>
        </w:rPr>
        <w:t xml:space="preserve"> </w:t>
      </w:r>
      <w:r w:rsidR="00682C6D">
        <w:rPr>
          <w:lang w:val="en-GB"/>
        </w:rPr>
        <w:t>to</w:t>
      </w:r>
      <w:r w:rsidR="00682C6D" w:rsidRPr="00720043">
        <w:rPr>
          <w:lang w:val="en-GB"/>
        </w:rPr>
        <w:t xml:space="preserve"> </w:t>
      </w:r>
      <w:r w:rsidR="00720043" w:rsidRPr="00720043">
        <w:rPr>
          <w:lang w:val="en-GB"/>
        </w:rPr>
        <w:t>obtain phosphorus-doped electrodes, which require very long times and very high temperatures</w:t>
      </w:r>
      <w:r w:rsidR="00720043">
        <w:rPr>
          <w:lang w:val="en-GB"/>
        </w:rPr>
        <w:t xml:space="preserve">, </w:t>
      </w:r>
      <w:r w:rsidR="00F35935" w:rsidRPr="009314A7">
        <w:t>electrodeposition can reduce</w:t>
      </w:r>
      <w:r w:rsidR="00F35935">
        <w:t xml:space="preserve"> </w:t>
      </w:r>
      <w:r w:rsidR="00F35935" w:rsidRPr="009314A7">
        <w:t>energy consumption</w:t>
      </w:r>
      <w:r w:rsidR="002E0EFB">
        <w:t xml:space="preserve"> and</w:t>
      </w:r>
      <w:r w:rsidR="00F35935" w:rsidRPr="009314A7">
        <w:t xml:space="preserve"> expand the scope of application</w:t>
      </w:r>
      <w:r w:rsidR="00720043">
        <w:t>.</w:t>
      </w:r>
      <w:r w:rsidR="00F35935" w:rsidRPr="000A571D">
        <w:t xml:space="preserve"> </w:t>
      </w:r>
    </w:p>
    <w:p w14:paraId="68D26B83" w14:textId="2A0523D5" w:rsidR="00600535" w:rsidRDefault="00F94232" w:rsidP="00070923">
      <w:pPr>
        <w:pStyle w:val="CETHeading1"/>
        <w:rPr>
          <w:lang w:val="en-GB"/>
        </w:rPr>
      </w:pPr>
      <w:r w:rsidRPr="00070923">
        <w:rPr>
          <w:lang w:val="en-GB"/>
        </w:rPr>
        <w:t>Experimental</w:t>
      </w:r>
    </w:p>
    <w:p w14:paraId="6F99AC37" w14:textId="75E675FB" w:rsidR="001F6BB6" w:rsidRDefault="007F62F8" w:rsidP="001F6BB6">
      <w:pPr>
        <w:pStyle w:val="CETheadingx"/>
      </w:pPr>
      <w:r>
        <w:t xml:space="preserve">Electrode Fabrication </w:t>
      </w:r>
    </w:p>
    <w:p w14:paraId="1A37F9D1" w14:textId="30324FD1" w:rsidR="007113D4" w:rsidRPr="001A3AC6" w:rsidRDefault="00F94232" w:rsidP="00F419F1">
      <w:pPr>
        <w:pStyle w:val="CETBodytext"/>
        <w:rPr>
          <w:lang w:val="en-GB"/>
        </w:rPr>
      </w:pPr>
      <w:r>
        <w:rPr>
          <w:lang w:val="en-GB"/>
        </w:rPr>
        <w:t>Nickel-Iron and Nickel-Iron-</w:t>
      </w:r>
      <w:r w:rsidRPr="00806D21">
        <w:t>Phosphorus</w:t>
      </w:r>
      <w:r>
        <w:t xml:space="preserve"> nanostructured </w:t>
      </w:r>
      <w:r w:rsidRPr="00F94232">
        <w:rPr>
          <w:lang w:val="en-GB"/>
        </w:rPr>
        <w:t xml:space="preserve">electrodes were </w:t>
      </w:r>
      <w:r>
        <w:rPr>
          <w:lang w:val="en-GB"/>
        </w:rPr>
        <w:t xml:space="preserve">fabricated </w:t>
      </w:r>
      <w:r w:rsidRPr="00F94232">
        <w:rPr>
          <w:lang w:val="en-GB"/>
        </w:rPr>
        <w:t>through template electrosynthesis, using a polycarbonate membrane as a template.</w:t>
      </w:r>
      <w:r w:rsidR="0045173F">
        <w:rPr>
          <w:lang w:val="en-GB"/>
        </w:rPr>
        <w:t xml:space="preserve"> </w:t>
      </w:r>
      <w:r w:rsidR="00BE07EB">
        <w:rPr>
          <w:lang w:val="en-GB"/>
        </w:rPr>
        <w:t>T</w:t>
      </w:r>
      <w:r w:rsidR="00BE07EB" w:rsidRPr="00BE07EB">
        <w:rPr>
          <w:lang w:val="en-GB"/>
        </w:rPr>
        <w:t xml:space="preserve">he entire manufacturing process takes place at ambient temperature and </w:t>
      </w:r>
      <w:r w:rsidR="00682C6D">
        <w:rPr>
          <w:lang w:val="en-GB"/>
        </w:rPr>
        <w:t xml:space="preserve">atmospheric </w:t>
      </w:r>
      <w:r w:rsidR="00BE07EB" w:rsidRPr="00BE07EB">
        <w:rPr>
          <w:lang w:val="en-GB"/>
        </w:rPr>
        <w:t>pressure</w:t>
      </w:r>
      <w:r w:rsidR="00BE07EB">
        <w:rPr>
          <w:lang w:val="en-GB"/>
        </w:rPr>
        <w:t xml:space="preserve">. </w:t>
      </w:r>
      <w:r w:rsidR="00344C41">
        <w:rPr>
          <w:lang w:val="en-GB"/>
        </w:rPr>
        <w:t>T</w:t>
      </w:r>
      <w:r w:rsidR="00344C41" w:rsidRPr="00344C41">
        <w:rPr>
          <w:lang w:val="en-GB"/>
        </w:rPr>
        <w:t>his method consists of four essentially equal steps for the manufacture of the two electrodes</w:t>
      </w:r>
      <w:r w:rsidR="00344C41">
        <w:rPr>
          <w:lang w:val="en-GB"/>
        </w:rPr>
        <w:t xml:space="preserve">. At the beginning, </w:t>
      </w:r>
      <w:r w:rsidR="00344C41" w:rsidRPr="00070923">
        <w:rPr>
          <w:lang w:val="en-GB"/>
        </w:rPr>
        <w:t xml:space="preserve">the membrane was made conductive through a sputtering process. </w:t>
      </w:r>
      <w:r w:rsidR="00344C41">
        <w:rPr>
          <w:lang w:val="en-GB"/>
        </w:rPr>
        <w:t>A</w:t>
      </w:r>
      <w:r w:rsidR="00344C41" w:rsidRPr="00070923">
        <w:rPr>
          <w:lang w:val="en-GB"/>
        </w:rPr>
        <w:t xml:space="preserve"> thin film of gold was deposited </w:t>
      </w:r>
      <w:r w:rsidR="00344C41" w:rsidRPr="00F94232">
        <w:rPr>
          <w:lang w:val="en-GB"/>
        </w:rPr>
        <w:t xml:space="preserve">on one side of the template. </w:t>
      </w:r>
      <w:r w:rsidR="00344C41" w:rsidRPr="00070923">
        <w:rPr>
          <w:lang w:val="en-GB"/>
        </w:rPr>
        <w:t xml:space="preserve">The </w:t>
      </w:r>
      <w:r w:rsidR="002E0EFB">
        <w:rPr>
          <w:lang w:val="en-GB"/>
        </w:rPr>
        <w:t>sputter</w:t>
      </w:r>
      <w:r w:rsidR="00344C41" w:rsidRPr="00070923">
        <w:rPr>
          <w:lang w:val="en-GB"/>
        </w:rPr>
        <w:t xml:space="preserve"> is </w:t>
      </w:r>
      <w:r w:rsidR="00682C6D">
        <w:rPr>
          <w:lang w:val="en-GB"/>
        </w:rPr>
        <w:t>a</w:t>
      </w:r>
      <w:r w:rsidR="00682C6D" w:rsidRPr="00070923">
        <w:rPr>
          <w:lang w:val="en-GB"/>
        </w:rPr>
        <w:t xml:space="preserve"> </w:t>
      </w:r>
      <w:r w:rsidR="00344C41" w:rsidRPr="00070923">
        <w:rPr>
          <w:lang w:val="en-GB"/>
        </w:rPr>
        <w:t>Scancoat Six Sputter Coater from Edwards Ltd.  Deposition takes place by applying a continuous current of 30 mA for 3 minutes</w:t>
      </w:r>
      <w:r w:rsidR="00344C41">
        <w:rPr>
          <w:lang w:val="en-GB"/>
        </w:rPr>
        <w:t xml:space="preserve">. </w:t>
      </w:r>
      <w:r w:rsidR="00344C41" w:rsidRPr="00F94232">
        <w:rPr>
          <w:lang w:val="en-GB"/>
        </w:rPr>
        <w:t xml:space="preserve">Subsequently, on the gold side, Nickel was electrodeposited using a Watt’s bath (300 g/L Nickel sulphate hexahydrate, 45 g/L nickel chloride, 45 g/L boric acid), by potentiostatic electrodeposition at -1.5 V vs. Saturated Calomel Electrode (SCE) for 1.5 h. </w:t>
      </w:r>
      <w:r w:rsidR="00344C41">
        <w:rPr>
          <w:lang w:val="en-GB"/>
        </w:rPr>
        <w:t>T</w:t>
      </w:r>
      <w:r w:rsidR="00344C41" w:rsidRPr="00344C41">
        <w:rPr>
          <w:lang w:val="en-GB"/>
        </w:rPr>
        <w:t xml:space="preserve">he </w:t>
      </w:r>
      <w:r w:rsidR="002E0EFB">
        <w:rPr>
          <w:lang w:val="en-GB"/>
        </w:rPr>
        <w:t>Nickel-Iron and Nickel-Iron-</w:t>
      </w:r>
      <w:r w:rsidR="002E0EFB" w:rsidRPr="00806D21">
        <w:t>Phosphorus</w:t>
      </w:r>
      <w:r w:rsidR="00344C41" w:rsidRPr="00344C41">
        <w:rPr>
          <w:lang w:val="en-GB"/>
        </w:rPr>
        <w:t xml:space="preserve"> </w:t>
      </w:r>
      <w:r w:rsidR="000845FD">
        <w:rPr>
          <w:lang w:val="en-GB"/>
        </w:rPr>
        <w:t>NW</w:t>
      </w:r>
      <w:r w:rsidR="000845FD" w:rsidRPr="00344C41">
        <w:rPr>
          <w:lang w:val="en-GB"/>
        </w:rPr>
        <w:t xml:space="preserve">s </w:t>
      </w:r>
      <w:r w:rsidR="00344C41" w:rsidRPr="00344C41">
        <w:rPr>
          <w:lang w:val="en-GB"/>
        </w:rPr>
        <w:t xml:space="preserve">manufacturing </w:t>
      </w:r>
      <w:r w:rsidR="00493C25" w:rsidRPr="00344C41">
        <w:rPr>
          <w:lang w:val="en-GB"/>
        </w:rPr>
        <w:t>processes</w:t>
      </w:r>
      <w:r w:rsidR="00344C41" w:rsidRPr="00344C41">
        <w:rPr>
          <w:lang w:val="en-GB"/>
        </w:rPr>
        <w:t xml:space="preserve"> differ</w:t>
      </w:r>
      <w:r w:rsidR="000845FD">
        <w:rPr>
          <w:lang w:val="en-GB"/>
        </w:rPr>
        <w:t>s</w:t>
      </w:r>
      <w:r w:rsidR="00344C41" w:rsidRPr="00344C41">
        <w:rPr>
          <w:lang w:val="en-GB"/>
        </w:rPr>
        <w:t xml:space="preserve"> in the deposition in terms of solution composition and operating parameters</w:t>
      </w:r>
      <w:r w:rsidR="00344C41">
        <w:rPr>
          <w:lang w:val="en-GB"/>
        </w:rPr>
        <w:t xml:space="preserve">. </w:t>
      </w:r>
      <w:r w:rsidR="00344C41" w:rsidRPr="00F94232">
        <w:rPr>
          <w:lang w:val="en-GB"/>
        </w:rPr>
        <w:t xml:space="preserve">For the </w:t>
      </w:r>
      <w:r w:rsidR="00344C41">
        <w:rPr>
          <w:lang w:val="en-GB"/>
        </w:rPr>
        <w:t xml:space="preserve">Ni-Fe </w:t>
      </w:r>
      <w:r w:rsidR="00344C41" w:rsidRPr="00F94232">
        <w:rPr>
          <w:lang w:val="en-GB"/>
        </w:rPr>
        <w:t>deposition</w:t>
      </w:r>
      <w:r w:rsidR="00344C41">
        <w:rPr>
          <w:lang w:val="en-GB"/>
        </w:rPr>
        <w:t>, a</w:t>
      </w:r>
      <w:r w:rsidR="00344C41" w:rsidRPr="00F94232">
        <w:rPr>
          <w:lang w:val="en-GB"/>
        </w:rPr>
        <w:t xml:space="preserve"> Watt’s bath with 0.44 M FeSO</w:t>
      </w:r>
      <w:r w:rsidR="00344C41" w:rsidRPr="00070923">
        <w:rPr>
          <w:vertAlign w:val="subscript"/>
          <w:lang w:val="en-GB"/>
        </w:rPr>
        <w:t>4</w:t>
      </w:r>
      <w:r w:rsidR="00344C41" w:rsidRPr="00F94232">
        <w:rPr>
          <w:lang w:val="en-GB"/>
        </w:rPr>
        <w:t>∙7H</w:t>
      </w:r>
      <w:r w:rsidR="00344C41" w:rsidRPr="00070923">
        <w:rPr>
          <w:vertAlign w:val="subscript"/>
          <w:lang w:val="en-GB"/>
        </w:rPr>
        <w:t>2</w:t>
      </w:r>
      <w:r w:rsidR="00344C41" w:rsidRPr="00F94232">
        <w:rPr>
          <w:lang w:val="en-GB"/>
        </w:rPr>
        <w:t>O was used. This bath (containing about 67% of Ni and 33% of Fe) was selected because led to the deposition of NiFe alloy nanowires with the best performance</w:t>
      </w:r>
      <w:r w:rsidR="001A3AC6">
        <w:rPr>
          <w:lang w:val="en-GB"/>
        </w:rPr>
        <w:t xml:space="preserve"> </w:t>
      </w:r>
      <w:r w:rsidR="001A3AC6">
        <w:rPr>
          <w:lang w:val="en-GB"/>
        </w:rPr>
        <w:fldChar w:fldCharType="begin"/>
      </w:r>
      <w:r w:rsidR="001A3AC6">
        <w:rPr>
          <w:lang w:val="en-GB"/>
        </w:rPr>
        <w:instrText xml:space="preserve"> ADDIN ZOTERO_ITEM CSL_CITATION {"citationID":"mrxjq4qA","properties":{"formattedCitation":"(Buccheri et al., 2021)","plainCitation":"(Buccheri et al., 2021)","noteIndex":0},"citationItems":[{"id":92,"uris":["http://zotero.org/users/local/CLlS0C19/items/FBSDA3DP"],"itemData":{"id":92,"type":"article-journal","container-title":"Electrochimica Acta","DOI":"10.1016/j.electacta.2021.138588","ISSN":"00134686","journalAbbreviation":"Electrochimica Acta","language":"en","page":"138588","source":"DOI.org (Crossref)","title":"Ni-Fe alloy nanostructured electrodes for water splitting in alkaline electrolyser","volume":"388","author":[{"family":"Buccheri","given":"Biagio"},{"family":"Ganci","given":"Fabrizio"},{"family":"Patella","given":"Bernardo"},{"family":"Aiello","given":"Giuseppe"},{"family":"Mandin","given":"Philippe"},{"family":"Inguanta","given":"Rosalinda"}],"issued":{"date-parts":[["2021",8]]}}}],"schema":"https://github.com/citation-style-language/schema/raw/master/csl-citation.json"} </w:instrText>
      </w:r>
      <w:r w:rsidR="001A3AC6">
        <w:rPr>
          <w:lang w:val="en-GB"/>
        </w:rPr>
        <w:fldChar w:fldCharType="separate"/>
      </w:r>
      <w:r w:rsidR="001A3AC6" w:rsidRPr="001A3AC6">
        <w:rPr>
          <w:rFonts w:cs="Arial"/>
        </w:rPr>
        <w:t>(Buccheri et al., 2021)</w:t>
      </w:r>
      <w:r w:rsidR="001A3AC6">
        <w:rPr>
          <w:lang w:val="en-GB"/>
        </w:rPr>
        <w:fldChar w:fldCharType="end"/>
      </w:r>
      <w:r w:rsidR="001A3AC6">
        <w:rPr>
          <w:lang w:val="en-GB"/>
        </w:rPr>
        <w:t xml:space="preserve"> </w:t>
      </w:r>
      <w:r w:rsidR="00344C41" w:rsidRPr="00F94232">
        <w:rPr>
          <w:lang w:val="en-GB"/>
        </w:rPr>
        <w:t xml:space="preserve"> with a Fe content </w:t>
      </w:r>
      <w:r w:rsidR="00682C6D">
        <w:rPr>
          <w:lang w:val="en-GB"/>
        </w:rPr>
        <w:t xml:space="preserve">of nanowires </w:t>
      </w:r>
      <w:r w:rsidR="00344C41" w:rsidRPr="00F94232">
        <w:rPr>
          <w:lang w:val="en-GB"/>
        </w:rPr>
        <w:t>of about 7</w:t>
      </w:r>
      <w:r w:rsidR="00BE07EB">
        <w:rPr>
          <w:lang w:val="en-GB"/>
        </w:rPr>
        <w:t>9</w:t>
      </w:r>
      <w:r w:rsidR="00344C41" w:rsidRPr="00F94232">
        <w:rPr>
          <w:lang w:val="en-GB"/>
        </w:rPr>
        <w:t>%. Nanowires were obtained by pulse electrodeposition switching the potential between -1.35 (for 6 s) and -0.65 (for 4 s) V vs. SCE for 100 cycles</w:t>
      </w:r>
      <w:r w:rsidR="00344C41">
        <w:rPr>
          <w:lang w:val="en-GB"/>
        </w:rPr>
        <w:t>.</w:t>
      </w:r>
      <w:r w:rsidR="00344C41" w:rsidRPr="00344C41">
        <w:rPr>
          <w:lang w:val="en-GB"/>
        </w:rPr>
        <w:t xml:space="preserve"> </w:t>
      </w:r>
      <w:r w:rsidR="00493C25">
        <w:rPr>
          <w:lang w:val="en-GB"/>
        </w:rPr>
        <w:t>To</w:t>
      </w:r>
      <w:r w:rsidR="00344C41" w:rsidRPr="00070923">
        <w:rPr>
          <w:lang w:val="en-GB"/>
        </w:rPr>
        <w:t xml:space="preserve"> obtain better-performing electrodes, the possibility of adding a source of phosphorus to the </w:t>
      </w:r>
      <w:r w:rsidR="00344C41">
        <w:rPr>
          <w:lang w:val="en-GB"/>
        </w:rPr>
        <w:t>NW</w:t>
      </w:r>
      <w:r w:rsidR="00344C41" w:rsidRPr="00070923">
        <w:rPr>
          <w:lang w:val="en-GB"/>
        </w:rPr>
        <w:t>s deposition bath was evaluated</w:t>
      </w:r>
      <w:r w:rsidR="00344C41">
        <w:rPr>
          <w:lang w:val="en-GB"/>
        </w:rPr>
        <w:t xml:space="preserve">. </w:t>
      </w:r>
      <w:r w:rsidR="00B4596A">
        <w:rPr>
          <w:lang w:val="en-GB"/>
        </w:rPr>
        <w:t xml:space="preserve">                </w:t>
      </w:r>
      <w:r w:rsidR="00344C41">
        <w:rPr>
          <w:lang w:val="en-GB"/>
        </w:rPr>
        <w:t xml:space="preserve">Ni-Fe-P NWs </w:t>
      </w:r>
      <w:r w:rsidR="00344C41" w:rsidRPr="007F62F8">
        <w:rPr>
          <w:lang w:val="en-GB"/>
        </w:rPr>
        <w:t>were manufactured by adding 20</w:t>
      </w:r>
      <w:r w:rsidR="00344C41">
        <w:rPr>
          <w:lang w:val="en-GB"/>
        </w:rPr>
        <w:t xml:space="preserve"> g/L </w:t>
      </w:r>
      <w:r w:rsidR="00344C41" w:rsidRPr="007F62F8">
        <w:rPr>
          <w:lang w:val="en-GB"/>
        </w:rPr>
        <w:t>of sodium hypophosphite monohydrate to the previous solution</w:t>
      </w:r>
      <w:r w:rsidR="003C58EB">
        <w:rPr>
          <w:lang w:val="en-GB"/>
        </w:rPr>
        <w:t xml:space="preserve"> (Watt’s bath with FeSO</w:t>
      </w:r>
      <w:r w:rsidR="003C58EB" w:rsidRPr="001C2FDE">
        <w:rPr>
          <w:vertAlign w:val="subscript"/>
          <w:lang w:val="en-GB"/>
        </w:rPr>
        <w:t>4</w:t>
      </w:r>
      <w:r w:rsidR="003C58EB">
        <w:rPr>
          <w:lang w:val="en-GB"/>
        </w:rPr>
        <w:t>)</w:t>
      </w:r>
      <w:r w:rsidR="00344C41">
        <w:rPr>
          <w:lang w:val="en-GB"/>
        </w:rPr>
        <w:t xml:space="preserve">. Starting from </w:t>
      </w:r>
      <w:r w:rsidR="00344C41" w:rsidRPr="007F62F8">
        <w:rPr>
          <w:lang w:val="en-GB"/>
        </w:rPr>
        <w:t>the data in the literature, optimum values were sought for the deposition</w:t>
      </w:r>
      <w:r w:rsidR="00344C41">
        <w:rPr>
          <w:lang w:val="en-GB"/>
        </w:rPr>
        <w:t>. T</w:t>
      </w:r>
      <w:r w:rsidR="00344C41" w:rsidRPr="007F62F8">
        <w:rPr>
          <w:lang w:val="en-GB"/>
        </w:rPr>
        <w:t xml:space="preserve">he deposition technique is </w:t>
      </w:r>
      <w:r w:rsidR="00682C6D">
        <w:rPr>
          <w:lang w:val="en-GB"/>
        </w:rPr>
        <w:t>again a</w:t>
      </w:r>
      <w:r w:rsidR="00682C6D" w:rsidRPr="007F62F8">
        <w:rPr>
          <w:lang w:val="en-GB"/>
        </w:rPr>
        <w:t xml:space="preserve"> </w:t>
      </w:r>
      <w:r w:rsidR="00344C41" w:rsidRPr="007F62F8">
        <w:rPr>
          <w:lang w:val="en-GB"/>
        </w:rPr>
        <w:t>pulsed square wave deposition</w:t>
      </w:r>
      <w:r w:rsidR="00344C41">
        <w:rPr>
          <w:lang w:val="en-GB"/>
        </w:rPr>
        <w:t xml:space="preserve"> where the potential switches from -</w:t>
      </w:r>
      <w:r w:rsidR="006B4F5C">
        <w:rPr>
          <w:lang w:val="en-GB"/>
        </w:rPr>
        <w:t>1.2</w:t>
      </w:r>
      <w:r w:rsidR="00BE07EB">
        <w:rPr>
          <w:lang w:val="en-GB"/>
        </w:rPr>
        <w:t xml:space="preserve"> (for 6 s) </w:t>
      </w:r>
      <w:r w:rsidR="00344C41">
        <w:rPr>
          <w:lang w:val="en-GB"/>
        </w:rPr>
        <w:t>to -</w:t>
      </w:r>
      <w:r w:rsidR="006B4F5C">
        <w:rPr>
          <w:lang w:val="en-GB"/>
        </w:rPr>
        <w:t>0.75</w:t>
      </w:r>
      <w:r w:rsidR="00344C41">
        <w:rPr>
          <w:lang w:val="en-GB"/>
        </w:rPr>
        <w:t xml:space="preserve"> V </w:t>
      </w:r>
      <w:r w:rsidR="00BE07EB">
        <w:rPr>
          <w:lang w:val="en-GB"/>
        </w:rPr>
        <w:t xml:space="preserve">(for 4 s) </w:t>
      </w:r>
      <w:r w:rsidR="00344C41">
        <w:rPr>
          <w:lang w:val="en-GB"/>
        </w:rPr>
        <w:t>vs. SCE for 70 cycles</w:t>
      </w:r>
      <w:r w:rsidR="00BE07EB">
        <w:rPr>
          <w:lang w:val="en-GB"/>
        </w:rPr>
        <w:t>,</w:t>
      </w:r>
      <w:r w:rsidR="00BE07EB" w:rsidRPr="00BE07EB">
        <w:t xml:space="preserve"> </w:t>
      </w:r>
      <w:r w:rsidR="00BE07EB" w:rsidRPr="00BE07EB">
        <w:rPr>
          <w:lang w:val="en-GB"/>
        </w:rPr>
        <w:t>for a total duration of approximately 20 minutes</w:t>
      </w:r>
      <w:r w:rsidR="00344C41">
        <w:rPr>
          <w:lang w:val="en-GB"/>
        </w:rPr>
        <w:t xml:space="preserve">. </w:t>
      </w:r>
      <w:r w:rsidRPr="00F94232">
        <w:rPr>
          <w:lang w:val="en-GB"/>
        </w:rPr>
        <w:t>This deposition technique allows to control the composition and the morphology of the nanostructures</w:t>
      </w:r>
      <w:r w:rsidR="00070923">
        <w:rPr>
          <w:lang w:val="en-GB"/>
        </w:rPr>
        <w:t>.</w:t>
      </w:r>
      <w:r w:rsidRPr="00F94232">
        <w:rPr>
          <w:lang w:val="en-GB"/>
        </w:rPr>
        <w:t xml:space="preserve"> </w:t>
      </w:r>
      <w:r w:rsidR="007113D4" w:rsidRPr="00F22E64">
        <w:t>The desirable strategy of electrodeposition</w:t>
      </w:r>
      <w:r w:rsidR="007113D4">
        <w:t xml:space="preserve"> </w:t>
      </w:r>
      <w:r w:rsidR="007113D4" w:rsidRPr="00F22E64">
        <w:t>has also been adopted in the synthetic of phosphide</w:t>
      </w:r>
      <w:r w:rsidR="007113D4">
        <w:t xml:space="preserve"> </w:t>
      </w:r>
      <w:r w:rsidR="007113D4" w:rsidRPr="00F22E64">
        <w:t>catalysts and submitted satisfactory answers in terms of HER and</w:t>
      </w:r>
      <w:r w:rsidR="007113D4">
        <w:t xml:space="preserve"> </w:t>
      </w:r>
      <w:r w:rsidR="007113D4" w:rsidRPr="00F22E64">
        <w:t>OER performance. The deposition process of metal phosphide with</w:t>
      </w:r>
      <w:r w:rsidR="007113D4">
        <w:t xml:space="preserve"> </w:t>
      </w:r>
      <w:r w:rsidR="007113D4" w:rsidRPr="00F22E64">
        <w:t>sodium hypophosphite as phosphorus source</w:t>
      </w:r>
      <w:r w:rsidR="001F4E57">
        <w:t xml:space="preserve"> </w:t>
      </w:r>
      <w:r w:rsidR="001F4E57">
        <w:fldChar w:fldCharType="begin"/>
      </w:r>
      <w:r w:rsidR="001F4E57">
        <w:instrText xml:space="preserve"> ADDIN ZOTERO_ITEM CSL_CITATION {"citationID":"0fQtypGa","properties":{"formattedCitation":"(Li et al., 2021)","plainCitation":"(Li et al., 2021)","noteIndex":0},"citationItems":[{"id":436,"uris":["http://zotero.org/users/local/CLlS0C19/items/E2A5SIG3"],"itemData":{"id":436,"type":"article-journal","container-title":"Journal of Energy Chemistry","DOI":"10.1016/j.jechem.2020.08.040","ISSN":"20954956","journalAbbreviation":"Journal of Energy Chemistry","language":"en","page":"547-566","source":"DOI.org (Crossref)","title":"Electrodeposition: Synthesis of advanced transition metal-based catalyst for hydrogen production via electrolysis of water","title-short":"Electrodeposition","volume":"57","author":[{"family":"Li","given":"Ruopeng"},{"family":"Li","given":"Yun"},{"family":"Yang","given":"Peixia"},{"family":"Wang","given":"Dan"},{"family":"Xu","given":"Hao"},{"family":"Wang","given":"Bo"},{"family":"Meng","given":"Fan"},{"family":"Zhang","given":"Jinqiu"},{"family":"An","given":"Maozhong"}],"issued":{"date-parts":[["2021",6]]}}}],"schema":"https://github.com/citation-style-language/schema/raw/master/csl-citation.json"} </w:instrText>
      </w:r>
      <w:r w:rsidR="001F4E57">
        <w:fldChar w:fldCharType="separate"/>
      </w:r>
      <w:r w:rsidR="001F4E57" w:rsidRPr="001F4E57">
        <w:rPr>
          <w:rFonts w:cs="Arial"/>
        </w:rPr>
        <w:t>(Li et al., 2021)</w:t>
      </w:r>
      <w:r w:rsidR="001F4E57">
        <w:fldChar w:fldCharType="end"/>
      </w:r>
      <w:r w:rsidR="007113D4" w:rsidRPr="00F22E64">
        <w:t xml:space="preserve"> is shown in</w:t>
      </w:r>
      <w:r w:rsidR="007113D4">
        <w:t xml:space="preserve"> the following </w:t>
      </w:r>
      <w:r w:rsidR="00682C6D">
        <w:t>reactions</w:t>
      </w:r>
      <w:r w:rsidR="007113D4">
        <w:t xml:space="preserve">: </w:t>
      </w:r>
    </w:p>
    <w:p w14:paraId="3B973F1C" w14:textId="19DD817F" w:rsidR="00926E73" w:rsidRPr="00B4596A" w:rsidRDefault="00926E73" w:rsidP="00926E73">
      <w:pPr>
        <w:pStyle w:val="CETEquation"/>
        <w:rPr>
          <w:lang w:val="en-US"/>
        </w:rPr>
      </w:pPr>
      <w:r w:rsidRPr="00B4596A">
        <w:rPr>
          <w:lang w:val="en-US"/>
        </w:rPr>
        <w:t>H</w:t>
      </w:r>
      <w:r w:rsidRPr="00B4596A">
        <w:rPr>
          <w:sz w:val="16"/>
          <w:szCs w:val="18"/>
          <w:vertAlign w:val="subscript"/>
          <w:lang w:val="en-US"/>
        </w:rPr>
        <w:t>2</w:t>
      </w:r>
      <w:r w:rsidRPr="00B4596A">
        <w:rPr>
          <w:lang w:val="en-US"/>
        </w:rPr>
        <w:t>PO</w:t>
      </w:r>
      <w:r w:rsidRPr="00B4596A">
        <w:rPr>
          <w:sz w:val="16"/>
          <w:szCs w:val="18"/>
          <w:vertAlign w:val="subscript"/>
          <w:lang w:val="en-US"/>
        </w:rPr>
        <w:t>2</w:t>
      </w:r>
      <w:r w:rsidR="00B4596A" w:rsidRPr="00B4596A">
        <w:rPr>
          <w:sz w:val="16"/>
          <w:szCs w:val="18"/>
          <w:vertAlign w:val="superscript"/>
          <w:lang w:val="en-US"/>
        </w:rPr>
        <w:t xml:space="preserve"> </w:t>
      </w:r>
      <w:r w:rsidRPr="00B4596A">
        <w:rPr>
          <w:sz w:val="20"/>
          <w:szCs w:val="22"/>
          <w:vertAlign w:val="superscript"/>
          <w:lang w:val="en-US"/>
        </w:rPr>
        <w:t>-</w:t>
      </w:r>
      <w:r w:rsidRPr="00B4596A">
        <w:rPr>
          <w:lang w:val="en-US"/>
        </w:rPr>
        <w:t xml:space="preserve"> + 2H</w:t>
      </w:r>
      <w:r w:rsidRPr="00B4596A">
        <w:rPr>
          <w:vertAlign w:val="superscript"/>
          <w:lang w:val="en-US"/>
        </w:rPr>
        <w:t>+</w:t>
      </w:r>
      <w:r w:rsidRPr="00B4596A">
        <w:rPr>
          <w:lang w:val="en-US"/>
        </w:rPr>
        <w:t xml:space="preserve"> + e</w:t>
      </w:r>
      <w:r w:rsidRPr="00B4596A">
        <w:rPr>
          <w:vertAlign w:val="superscript"/>
          <w:lang w:val="en-US"/>
        </w:rPr>
        <w:t>-</w:t>
      </w:r>
      <w:r w:rsidRPr="00B4596A">
        <w:rPr>
          <w:lang w:val="en-US"/>
        </w:rPr>
        <w:t xml:space="preserve"> </w:t>
      </w:r>
      <w:r w:rsidRPr="00926E73">
        <w:sym w:font="Wingdings" w:char="F0E0"/>
      </w:r>
      <w:r w:rsidRPr="00B4596A">
        <w:rPr>
          <w:lang w:val="en-US"/>
        </w:rPr>
        <w:t xml:space="preserve"> P + 2H</w:t>
      </w:r>
      <w:r w:rsidRPr="00B4596A">
        <w:rPr>
          <w:sz w:val="16"/>
          <w:szCs w:val="18"/>
          <w:vertAlign w:val="subscript"/>
          <w:lang w:val="en-US"/>
        </w:rPr>
        <w:t>2</w:t>
      </w:r>
      <w:r w:rsidRPr="00B4596A">
        <w:rPr>
          <w:lang w:val="en-US"/>
        </w:rPr>
        <w:t>O                                                                                                              (</w:t>
      </w:r>
      <w:r w:rsidR="007D053C" w:rsidRPr="00B4596A">
        <w:rPr>
          <w:lang w:val="en-US"/>
        </w:rPr>
        <w:t>1</w:t>
      </w:r>
      <w:r w:rsidRPr="00B4596A">
        <w:rPr>
          <w:lang w:val="en-US"/>
        </w:rPr>
        <w:t>)</w:t>
      </w:r>
    </w:p>
    <w:p w14:paraId="6A7C463A" w14:textId="3B358DD3" w:rsidR="00926E73" w:rsidRPr="00B4596A" w:rsidRDefault="00926E73" w:rsidP="003C58EB">
      <w:pPr>
        <w:pStyle w:val="CETEquation"/>
        <w:rPr>
          <w:lang w:val="en-US"/>
        </w:rPr>
      </w:pPr>
      <w:r w:rsidRPr="00B4596A">
        <w:rPr>
          <w:lang w:val="en-US"/>
        </w:rPr>
        <w:t>M</w:t>
      </w:r>
      <w:r w:rsidRPr="00B4596A">
        <w:rPr>
          <w:vertAlign w:val="superscript"/>
          <w:lang w:val="en-US"/>
        </w:rPr>
        <w:t>z+</w:t>
      </w:r>
      <w:r w:rsidRPr="00B4596A">
        <w:rPr>
          <w:lang w:val="en-US"/>
        </w:rPr>
        <w:t xml:space="preserve"> </w:t>
      </w:r>
      <w:r w:rsidR="007D053C" w:rsidRPr="00B4596A">
        <w:rPr>
          <w:lang w:val="en-US"/>
        </w:rPr>
        <w:t xml:space="preserve">+ </w:t>
      </w:r>
      <w:r w:rsidRPr="00B4596A">
        <w:rPr>
          <w:lang w:val="en-US"/>
        </w:rPr>
        <w:t>P + ze</w:t>
      </w:r>
      <w:r w:rsidRPr="00B4596A">
        <w:rPr>
          <w:vertAlign w:val="superscript"/>
          <w:lang w:val="en-US"/>
        </w:rPr>
        <w:t>-</w:t>
      </w:r>
      <w:r w:rsidRPr="00B4596A">
        <w:rPr>
          <w:lang w:val="en-US"/>
        </w:rPr>
        <w:t xml:space="preserve"> </w:t>
      </w:r>
      <w:r w:rsidRPr="00926E73">
        <w:sym w:font="Wingdings" w:char="F0E0"/>
      </w:r>
      <w:r w:rsidRPr="00B4596A">
        <w:rPr>
          <w:lang w:val="en-US"/>
        </w:rPr>
        <w:t xml:space="preserve"> MP                                                                                                                               </w:t>
      </w:r>
      <w:r w:rsidR="00C10AB5" w:rsidRPr="00B4596A">
        <w:rPr>
          <w:lang w:val="en-US"/>
        </w:rPr>
        <w:t xml:space="preserve"> </w:t>
      </w:r>
      <w:r w:rsidRPr="00B4596A">
        <w:rPr>
          <w:lang w:val="en-US"/>
        </w:rPr>
        <w:t>(</w:t>
      </w:r>
      <w:r w:rsidR="007D053C" w:rsidRPr="00B4596A">
        <w:rPr>
          <w:lang w:val="en-US"/>
        </w:rPr>
        <w:t>2</w:t>
      </w:r>
      <w:r w:rsidRPr="00B4596A">
        <w:rPr>
          <w:lang w:val="en-US"/>
        </w:rPr>
        <w:t>)</w:t>
      </w:r>
    </w:p>
    <w:p w14:paraId="2F205451" w14:textId="3BB481EB" w:rsidR="006B4F5C" w:rsidRDefault="00F94232" w:rsidP="006B4F5C">
      <w:pPr>
        <w:pStyle w:val="CETBodytext"/>
        <w:rPr>
          <w:lang w:val="en-GB"/>
        </w:rPr>
      </w:pPr>
      <w:r w:rsidRPr="00F94232">
        <w:rPr>
          <w:lang w:val="en-GB"/>
        </w:rPr>
        <w:t xml:space="preserve">The electrodeposition was carried out in a standard three electrodes cell at room temperature. A Pt mesh was used as a counter electrode and a </w:t>
      </w:r>
      <w:r w:rsidR="00682C6D">
        <w:rPr>
          <w:lang w:val="en-GB"/>
        </w:rPr>
        <w:t xml:space="preserve">saturated </w:t>
      </w:r>
      <w:r w:rsidRPr="00F94232">
        <w:rPr>
          <w:lang w:val="en-GB"/>
        </w:rPr>
        <w:t xml:space="preserve">SCE as a reference. After electrodeposition, the samples were etched in </w:t>
      </w:r>
      <w:r w:rsidRPr="001F4E57">
        <w:rPr>
          <w:lang w:val="en-GB"/>
        </w:rPr>
        <w:t>pure CHCl</w:t>
      </w:r>
      <w:r w:rsidRPr="001F4E57">
        <w:rPr>
          <w:vertAlign w:val="subscript"/>
          <w:lang w:val="en-GB"/>
        </w:rPr>
        <w:t>3</w:t>
      </w:r>
      <w:r w:rsidRPr="001F4E57">
        <w:rPr>
          <w:lang w:val="en-GB"/>
        </w:rPr>
        <w:t xml:space="preserve"> to remove the polycarbonate template</w:t>
      </w:r>
      <w:r w:rsidR="00344C41" w:rsidRPr="001F4E57">
        <w:rPr>
          <w:rFonts w:ascii="Times New Roman" w:eastAsiaTheme="minorHAnsi" w:hAnsi="Times New Roman"/>
          <w:sz w:val="24"/>
          <w:szCs w:val="24"/>
        </w:rPr>
        <w:t xml:space="preserve"> </w:t>
      </w:r>
      <w:r w:rsidR="00344C41" w:rsidRPr="001F4E57">
        <w:rPr>
          <w:lang w:val="en-GB"/>
        </w:rPr>
        <w:t>in four consecutive baths of five minutes each</w:t>
      </w:r>
      <w:r w:rsidR="00070923" w:rsidRPr="001F4E57">
        <w:rPr>
          <w:lang w:val="en-GB"/>
        </w:rPr>
        <w:t xml:space="preserve">. </w:t>
      </w:r>
      <w:r w:rsidR="007D379E" w:rsidRPr="001F4E57">
        <w:rPr>
          <w:lang w:val="en-GB"/>
        </w:rPr>
        <w:t xml:space="preserve">A multichannel Cell Test System (Solartron, Mod. 1470 E) was used to fabricate electrodes and the data were </w:t>
      </w:r>
      <w:r w:rsidR="007D379E" w:rsidRPr="001F4E57">
        <w:rPr>
          <w:lang w:val="en-GB"/>
        </w:rPr>
        <w:lastRenderedPageBreak/>
        <w:t>recorded by MultiStat Software</w:t>
      </w:r>
      <w:r w:rsidR="00F419F1" w:rsidRPr="001F4E57">
        <w:rPr>
          <w:lang w:val="en-GB"/>
        </w:rPr>
        <w:t>.</w:t>
      </w:r>
      <w:r w:rsidR="00344C41" w:rsidRPr="001F4E57">
        <w:rPr>
          <w:lang w:val="en-GB"/>
        </w:rPr>
        <w:t xml:space="preserve"> All the chemicals were dissolved in ultrapure water (Type 1, with resistivity greater than 18 </w:t>
      </w:r>
      <w:r w:rsidR="007113D4" w:rsidRPr="001F4E57">
        <w:rPr>
          <w:lang w:val="en-GB"/>
        </w:rPr>
        <w:t>M</w:t>
      </w:r>
      <w:r w:rsidR="007113D4" w:rsidRPr="001F4E57">
        <w:rPr>
          <w:rFonts w:cs="Arial"/>
          <w:lang w:val="en-GB"/>
        </w:rPr>
        <w:t>Ω</w:t>
      </w:r>
      <w:r w:rsidR="007113D4" w:rsidRPr="001F4E57">
        <w:rPr>
          <w:lang w:val="en-GB"/>
        </w:rPr>
        <w:t>*cm).</w:t>
      </w:r>
      <w:r w:rsidR="006B4F5C" w:rsidRPr="006B4F5C">
        <w:rPr>
          <w:lang w:val="en-GB"/>
        </w:rPr>
        <w:t xml:space="preserve"> </w:t>
      </w:r>
      <w:r w:rsidR="006B4F5C" w:rsidRPr="001F4E57">
        <w:rPr>
          <w:lang w:val="en-GB"/>
        </w:rPr>
        <w:t>The obtained NWs electrodes were characterized by scanning electron microscopy (SEM) using a FEG-ESEM microscope (QUANTA 200 by FEI), and energy dispersive spectroscopy (EDS) to evaluate the morphology and the composition of the nanowires. In addition, nanowires electrodes were characterized by X-ray diffraction (XRD) using a RIGAKU X-ray diffractometer (D-MAX 25600 HK) in the 2θ range from</w:t>
      </w:r>
      <w:r w:rsidR="006B4F5C">
        <w:rPr>
          <w:lang w:val="en-GB"/>
        </w:rPr>
        <w:t xml:space="preserve"> 20</w:t>
      </w:r>
      <w:r w:rsidR="006B4F5C" w:rsidRPr="001F4E57">
        <w:rPr>
          <w:lang w:val="en-GB"/>
        </w:rPr>
        <w:t>° to 1</w:t>
      </w:r>
      <w:r w:rsidR="006B4F5C">
        <w:rPr>
          <w:lang w:val="en-GB"/>
        </w:rPr>
        <w:t>0</w:t>
      </w:r>
      <w:r w:rsidR="006B4F5C" w:rsidRPr="001F4E57">
        <w:rPr>
          <w:lang w:val="en-GB"/>
        </w:rPr>
        <w:t>0°.</w:t>
      </w:r>
    </w:p>
    <w:p w14:paraId="1E1E0EC9" w14:textId="77777777" w:rsidR="00070923" w:rsidRDefault="00070923" w:rsidP="00F94232">
      <w:pPr>
        <w:pStyle w:val="CETBodytext"/>
        <w:rPr>
          <w:lang w:val="en-GB"/>
        </w:rPr>
      </w:pPr>
    </w:p>
    <w:p w14:paraId="176F7228" w14:textId="636BCE63" w:rsidR="00972612" w:rsidRPr="00972612" w:rsidRDefault="007D379E" w:rsidP="00972612">
      <w:pPr>
        <w:pStyle w:val="CETheadingx"/>
      </w:pPr>
      <w:r>
        <w:t>Electrochemical Characterizations</w:t>
      </w:r>
    </w:p>
    <w:p w14:paraId="345B3F0C" w14:textId="1FD41010" w:rsidR="00302DE9" w:rsidRPr="00BE07EB" w:rsidRDefault="003C58EB" w:rsidP="00BE07EB">
      <w:pPr>
        <w:pStyle w:val="CETBodytext"/>
      </w:pPr>
      <w:r>
        <w:t xml:space="preserve">Ni-Fe and Ni-Fe-P NWs electrodes were tested both as anodes as cathodes to study their performances as bifunctional catalysts in alkaline electrolysers. </w:t>
      </w:r>
      <w:r w:rsidR="00F94232" w:rsidRPr="00BE07EB">
        <w:rPr>
          <w:lang w:val="en-GB"/>
        </w:rPr>
        <w:t xml:space="preserve">Electrochemical </w:t>
      </w:r>
      <w:r w:rsidR="007D379E" w:rsidRPr="00BE07EB">
        <w:rPr>
          <w:lang w:val="en-GB"/>
        </w:rPr>
        <w:t>tests</w:t>
      </w:r>
      <w:r w:rsidR="00F94232" w:rsidRPr="00BE07EB">
        <w:rPr>
          <w:lang w:val="en-GB"/>
        </w:rPr>
        <w:t xml:space="preserve"> were carried out in a 30% w/w KOH aqueous solution</w:t>
      </w:r>
      <w:r w:rsidR="001F4E57" w:rsidRPr="00BE07EB">
        <w:rPr>
          <w:lang w:val="en-GB"/>
        </w:rPr>
        <w:t xml:space="preserve">. </w:t>
      </w:r>
      <w:r w:rsidR="00302DE9" w:rsidRPr="00302DE9">
        <w:t>The electrochemical measurements were performed in a</w:t>
      </w:r>
      <w:r w:rsidR="00302DE9">
        <w:t xml:space="preserve"> </w:t>
      </w:r>
      <w:r w:rsidR="00302DE9" w:rsidRPr="00302DE9">
        <w:t>standard three-electrode system</w:t>
      </w:r>
      <w:r w:rsidR="00302DE9">
        <w:t xml:space="preserve">: NWs </w:t>
      </w:r>
      <w:r w:rsidR="0033660A" w:rsidRPr="00BE07EB">
        <w:rPr>
          <w:lang w:val="en-GB"/>
        </w:rPr>
        <w:t>electrode is the working electrode (A ≈ 0.6 cm</w:t>
      </w:r>
      <w:r w:rsidR="0033660A" w:rsidRPr="00BE07EB">
        <w:rPr>
          <w:vertAlign w:val="superscript"/>
          <w:lang w:val="en-GB"/>
        </w:rPr>
        <w:t>2</w:t>
      </w:r>
      <w:r w:rsidR="0033660A" w:rsidRPr="00BE07EB">
        <w:rPr>
          <w:lang w:val="en-GB"/>
        </w:rPr>
        <w:t>), a</w:t>
      </w:r>
      <w:r w:rsidR="00F94232" w:rsidRPr="00BE07EB">
        <w:rPr>
          <w:lang w:val="en-GB"/>
        </w:rPr>
        <w:t xml:space="preserve"> Ni s</w:t>
      </w:r>
      <w:r w:rsidR="0033660A" w:rsidRPr="00BE07EB">
        <w:rPr>
          <w:lang w:val="en-GB"/>
        </w:rPr>
        <w:t>trip</w:t>
      </w:r>
      <w:r w:rsidR="00F94232" w:rsidRPr="00BE07EB">
        <w:rPr>
          <w:lang w:val="en-GB"/>
        </w:rPr>
        <w:t xml:space="preserve"> was used as counter-electrode and Hg/Hg</w:t>
      </w:r>
      <w:r w:rsidR="0033660A" w:rsidRPr="00BE07EB">
        <w:rPr>
          <w:lang w:val="en-GB"/>
        </w:rPr>
        <w:t>O</w:t>
      </w:r>
      <w:r w:rsidR="00F94232" w:rsidRPr="00BE07EB">
        <w:rPr>
          <w:lang w:val="en-GB"/>
        </w:rPr>
        <w:t xml:space="preserve"> 0.1 M NaOH as reference. In the following, all the potentials will be referred to the value of the Reversible Hydrogen electrode (RHE) at pH 14. All the tests were performed at room temperature and without stirring. </w:t>
      </w:r>
      <w:r w:rsidR="00302DE9" w:rsidRPr="00BE07EB">
        <w:rPr>
          <w:lang w:val="en-GB"/>
        </w:rPr>
        <w:t>Quasi Steady State Polarization (QSSP) is a potentiodynamic electrochemical characterization performed in a potential range of 0.7 V around the thermodynamic potential of HER and OER, which corresponds to 0 and 1.23 V vs. RHE, at a scan rate of 0.1667 mV s</w:t>
      </w:r>
      <w:r w:rsidR="00302DE9" w:rsidRPr="00BE07EB">
        <w:rPr>
          <w:vertAlign w:val="superscript"/>
          <w:lang w:val="en-GB"/>
        </w:rPr>
        <w:t>–1</w:t>
      </w:r>
      <w:r w:rsidR="00302DE9" w:rsidRPr="00BE07EB">
        <w:rPr>
          <w:lang w:val="en-GB"/>
        </w:rPr>
        <w:t>. To get insight into the catalytic reaction, Tafel plots were utilized to evaluate the catalytic kinetics for both reactions. Tafel plots were obtained from the QSSP curves based on the Tafel equation ƞ=a + blogj where j is the current density and b is the Tafel slope. To evaluate the mid-term behaviour of the electrodes, the stability test was performed at a current density of -50 mA cm</w:t>
      </w:r>
      <w:r w:rsidR="00302DE9" w:rsidRPr="00BE07EB">
        <w:rPr>
          <w:vertAlign w:val="superscript"/>
          <w:lang w:val="en-GB"/>
        </w:rPr>
        <w:t xml:space="preserve">-2 </w:t>
      </w:r>
      <w:r w:rsidR="00302DE9" w:rsidRPr="00BE07EB">
        <w:rPr>
          <w:lang w:val="en-GB"/>
        </w:rPr>
        <w:t>for HER and 50 mA cm</w:t>
      </w:r>
      <w:r w:rsidR="00302DE9" w:rsidRPr="00BE07EB">
        <w:rPr>
          <w:vertAlign w:val="superscript"/>
          <w:lang w:val="en-GB"/>
        </w:rPr>
        <w:t xml:space="preserve">-2 </w:t>
      </w:r>
      <w:r w:rsidR="00302DE9" w:rsidRPr="00BE07EB">
        <w:rPr>
          <w:lang w:val="en-GB"/>
        </w:rPr>
        <w:t>for OER, for</w:t>
      </w:r>
      <w:r w:rsidR="00580A4C">
        <w:rPr>
          <w:lang w:val="en-GB"/>
        </w:rPr>
        <w:t xml:space="preserve"> 3</w:t>
      </w:r>
      <w:r w:rsidR="00302DE9" w:rsidRPr="00BE07EB">
        <w:rPr>
          <w:lang w:val="en-GB"/>
        </w:rPr>
        <w:t xml:space="preserve"> hours. Each point in the graphs is the </w:t>
      </w:r>
      <w:r w:rsidR="00682C6D">
        <w:rPr>
          <w:lang w:val="en-GB"/>
        </w:rPr>
        <w:t xml:space="preserve">mean </w:t>
      </w:r>
      <w:r w:rsidR="00302DE9" w:rsidRPr="00BE07EB">
        <w:rPr>
          <w:lang w:val="en-GB"/>
        </w:rPr>
        <w:t xml:space="preserve">value of the potential over 1800 s. </w:t>
      </w:r>
    </w:p>
    <w:p w14:paraId="36FD8E56" w14:textId="0F3F6039" w:rsidR="00F40BA0" w:rsidRPr="00A00AF1" w:rsidRDefault="00F94232" w:rsidP="0033660A">
      <w:pPr>
        <w:pStyle w:val="CETBodytext"/>
      </w:pPr>
      <w:bookmarkStart w:id="1" w:name="_Hlk126599430"/>
      <w:r w:rsidRPr="00F94232">
        <w:rPr>
          <w:lang w:val="en-GB"/>
        </w:rPr>
        <w:t>A multichannel Cell Test System was used to perform the electrochemical characterization and the data were recorded by MultiStat Software</w:t>
      </w:r>
      <w:bookmarkEnd w:id="1"/>
      <w:r w:rsidRPr="00F94232">
        <w:rPr>
          <w:lang w:val="en-GB"/>
        </w:rPr>
        <w:t>. Each experiment was repeated at last three times.</w:t>
      </w:r>
      <w:r w:rsidR="0033660A" w:rsidRPr="0033660A">
        <w:rPr>
          <w:rFonts w:ascii="Times New Roman" w:eastAsiaTheme="minorHAnsi" w:hAnsi="Times New Roman"/>
          <w:sz w:val="24"/>
          <w:szCs w:val="24"/>
        </w:rPr>
        <w:t xml:space="preserve"> </w:t>
      </w:r>
    </w:p>
    <w:p w14:paraId="7424BC6E" w14:textId="4C95ED3E" w:rsidR="00972612" w:rsidRPr="00972612" w:rsidRDefault="000B5A1A" w:rsidP="00972612">
      <w:pPr>
        <w:pStyle w:val="CETHeading1"/>
      </w:pPr>
      <w:r>
        <w:t xml:space="preserve">Results </w:t>
      </w:r>
      <w:r w:rsidR="00F419F1">
        <w:t>and discussions</w:t>
      </w:r>
    </w:p>
    <w:p w14:paraId="038E70B3" w14:textId="15D57AE5" w:rsidR="00636A4D" w:rsidRDefault="001A501F" w:rsidP="001A501F">
      <w:pPr>
        <w:pStyle w:val="CETBodytext"/>
        <w:rPr>
          <w:lang w:val="en-GB"/>
        </w:rPr>
      </w:pPr>
      <w:r w:rsidRPr="001A501F">
        <w:t xml:space="preserve">To </w:t>
      </w:r>
      <w:r>
        <w:t>observe</w:t>
      </w:r>
      <w:r w:rsidRPr="001A501F">
        <w:t xml:space="preserve"> the structure morphology of </w:t>
      </w:r>
      <w:r>
        <w:t xml:space="preserve">two </w:t>
      </w:r>
      <w:r w:rsidRPr="001A501F">
        <w:t>different electrodes,</w:t>
      </w:r>
      <w:r>
        <w:t xml:space="preserve"> </w:t>
      </w:r>
      <w:r w:rsidRPr="001A501F">
        <w:t>SE</w:t>
      </w:r>
      <w:r>
        <w:t>M</w:t>
      </w:r>
      <w:r w:rsidRPr="001A501F">
        <w:t xml:space="preserve"> has been employed</w:t>
      </w:r>
      <w:r>
        <w:t>. Figure</w:t>
      </w:r>
      <w:r w:rsidR="006D6D14">
        <w:t>s</w:t>
      </w:r>
      <w:r>
        <w:t xml:space="preserve"> 1</w:t>
      </w:r>
      <w:r w:rsidR="006D6D14">
        <w:t xml:space="preserve">a and </w:t>
      </w:r>
      <w:r>
        <w:t xml:space="preserve"> </w:t>
      </w:r>
      <w:r w:rsidR="006D6D14">
        <w:t xml:space="preserve">1b </w:t>
      </w:r>
      <w:r>
        <w:t xml:space="preserve">showed the SEM images, </w:t>
      </w:r>
      <w:r w:rsidR="00302DE9" w:rsidRPr="00302DE9">
        <w:rPr>
          <w:lang w:val="en-GB"/>
        </w:rPr>
        <w:t>at increasing magnifications</w:t>
      </w:r>
      <w:r>
        <w:rPr>
          <w:lang w:val="en-GB"/>
        </w:rPr>
        <w:t>, of NiFe NWs and NiFeP NWs</w:t>
      </w:r>
      <w:r w:rsidR="006D6D14">
        <w:rPr>
          <w:lang w:val="en-GB"/>
        </w:rPr>
        <w:t>, respectively.</w:t>
      </w:r>
      <w:r>
        <w:rPr>
          <w:lang w:val="en-GB"/>
        </w:rPr>
        <w:t xml:space="preserve"> </w:t>
      </w:r>
      <w:r w:rsidR="00302DE9" w:rsidRPr="00302DE9">
        <w:rPr>
          <w:lang w:val="en-GB"/>
        </w:rPr>
        <w:t xml:space="preserve">As one might expect, due to the shape of the nanopores in the membrane, </w:t>
      </w:r>
      <w:r>
        <w:rPr>
          <w:lang w:val="en-GB"/>
        </w:rPr>
        <w:t>both electrodes</w:t>
      </w:r>
      <w:r w:rsidR="00302DE9" w:rsidRPr="00302DE9">
        <w:rPr>
          <w:lang w:val="en-GB"/>
        </w:rPr>
        <w:t xml:space="preserve"> </w:t>
      </w:r>
      <w:r w:rsidR="000E2DFA">
        <w:rPr>
          <w:lang w:val="en-GB"/>
        </w:rPr>
        <w:t>consist of nanowires with</w:t>
      </w:r>
      <w:r w:rsidR="00302DE9" w:rsidRPr="00302DE9">
        <w:rPr>
          <w:lang w:val="en-GB"/>
        </w:rPr>
        <w:t xml:space="preserve"> a cylindrical structure, a smooth and regular surface and are evenly distributed over the entire surface of the nickel collector</w:t>
      </w:r>
      <w:r>
        <w:rPr>
          <w:lang w:val="en-GB"/>
        </w:rPr>
        <w:t>.</w:t>
      </w:r>
      <w:r w:rsidR="009B3EAD">
        <w:rPr>
          <w:lang w:val="en-GB"/>
        </w:rPr>
        <w:t xml:space="preserve"> </w:t>
      </w:r>
      <w:r w:rsidR="00636A4D">
        <w:rPr>
          <w:lang w:val="en-GB"/>
        </w:rPr>
        <w:t xml:space="preserve">To </w:t>
      </w:r>
      <w:r w:rsidR="00C10AB5">
        <w:rPr>
          <w:lang w:val="en-GB"/>
        </w:rPr>
        <w:t xml:space="preserve">detect the </w:t>
      </w:r>
      <w:r w:rsidR="006F72AC" w:rsidRPr="00C10AB5">
        <w:rPr>
          <w:lang w:val="en-GB"/>
        </w:rPr>
        <w:t>atomic percentage of each element</w:t>
      </w:r>
      <w:r w:rsidR="00C10AB5">
        <w:rPr>
          <w:lang w:val="en-GB"/>
        </w:rPr>
        <w:t xml:space="preserve">, EDS analysis were carried out. To </w:t>
      </w:r>
      <w:r w:rsidR="00636A4D" w:rsidRPr="001A501F">
        <w:rPr>
          <w:lang w:val="en-GB"/>
        </w:rPr>
        <w:t xml:space="preserve">obtain the EDS spectrum measurement with a more exact estimate of the composition, the NWs were ripped from the nickel collector. The figure </w:t>
      </w:r>
      <w:r w:rsidR="00636A4D">
        <w:rPr>
          <w:lang w:val="en-GB"/>
        </w:rPr>
        <w:t>2a</w:t>
      </w:r>
      <w:r w:rsidR="00636A4D" w:rsidRPr="001A501F">
        <w:rPr>
          <w:lang w:val="en-GB"/>
        </w:rPr>
        <w:t>, shows the EDS spectrum of the</w:t>
      </w:r>
      <w:r w:rsidR="00AC075C">
        <w:rPr>
          <w:lang w:val="en-GB"/>
        </w:rPr>
        <w:t xml:space="preserve"> as obtained ripped NWs</w:t>
      </w:r>
      <w:r w:rsidR="00636A4D">
        <w:rPr>
          <w:lang w:val="en-GB"/>
        </w:rPr>
        <w:t xml:space="preserve">. As we can see, </w:t>
      </w:r>
      <w:r w:rsidR="00636A4D" w:rsidRPr="00B07086">
        <w:rPr>
          <w:lang w:val="en-GB"/>
        </w:rPr>
        <w:t>the presence of phosphorus has been confirmed</w:t>
      </w:r>
      <w:r w:rsidR="00636A4D">
        <w:rPr>
          <w:lang w:val="en-GB"/>
        </w:rPr>
        <w:t>. B</w:t>
      </w:r>
      <w:r w:rsidR="00636A4D" w:rsidRPr="00B07086">
        <w:rPr>
          <w:lang w:val="en-GB"/>
        </w:rPr>
        <w:t>oth types of alloy</w:t>
      </w:r>
      <w:r w:rsidR="00636A4D">
        <w:rPr>
          <w:lang w:val="en-GB"/>
        </w:rPr>
        <w:t>s</w:t>
      </w:r>
      <w:r w:rsidR="00636A4D" w:rsidRPr="00B07086">
        <w:rPr>
          <w:lang w:val="en-GB"/>
        </w:rPr>
        <w:t xml:space="preserve"> were obtained from a solution richer in nickel than in iron. </w:t>
      </w:r>
      <w:r w:rsidR="00636A4D">
        <w:rPr>
          <w:lang w:val="en-GB"/>
        </w:rPr>
        <w:t>H</w:t>
      </w:r>
      <w:r w:rsidR="00636A4D" w:rsidRPr="00B07086">
        <w:rPr>
          <w:lang w:val="en-GB"/>
        </w:rPr>
        <w:t>owever, in agreement with the data in the literature</w:t>
      </w:r>
      <w:r w:rsidR="00636A4D">
        <w:rPr>
          <w:lang w:val="en-GB"/>
        </w:rPr>
        <w:t xml:space="preserve"> </w:t>
      </w:r>
      <w:r w:rsidR="00636A4D">
        <w:rPr>
          <w:lang w:val="en-GB"/>
        </w:rPr>
        <w:fldChar w:fldCharType="begin"/>
      </w:r>
      <w:r w:rsidR="00636A4D">
        <w:rPr>
          <w:lang w:val="en-GB"/>
        </w:rPr>
        <w:instrText xml:space="preserve"> ADDIN ZOTERO_ITEM CSL_CITATION {"citationID":"7q3KPEha","properties":{"formattedCitation":"(Matlosz, 1993; Yin and Lin, 1996)","plainCitation":"(Matlosz, 1993; Yin and Lin, 1996)","noteIndex":0},"citationItems":[{"id":349,"uris":["http://zotero.org/users/local/CLlS0C19/items/PEM6Y5NI"],"itemData":{"id":349,"type":"article-journal","container-title":"Journal of The Electrochemical Society","DOI":"10.1149/1.2220807","ISSN":"0013-4651, 1945-7111","issue":"8","journalAbbreviation":"J. Electrochem. Soc.","page":"2272-2279","source":"DOI.org (Crossref)","title":"Competitive Adsorption Effects in the Electrodeposition of Iron</w:instrText>
      </w:r>
      <w:r w:rsidR="00636A4D">
        <w:rPr>
          <w:rFonts w:ascii="Cambria Math" w:hAnsi="Cambria Math" w:cs="Cambria Math"/>
          <w:lang w:val="en-GB"/>
        </w:rPr>
        <w:instrText>‐</w:instrText>
      </w:r>
      <w:r w:rsidR="00636A4D">
        <w:rPr>
          <w:lang w:val="en-GB"/>
        </w:rPr>
        <w:instrText xml:space="preserve">Nickel Alloys","volume":"140","author":[{"family":"Matlosz","given":"Michael"}],"issued":{"date-parts":[["1993",8,1]]}}},{"id":352,"uris":["http://zotero.org/users/local/CLlS0C19/items/XQQF32QF"],"itemData":{"id":352,"type":"article-journal","container-title":"Surface and Coatings Technology","DOI":"10.1016/0257-8972(94)02410-3","ISSN":"02578972","issue":"1-3","journalAbbreviation":"Surface and Coatings Technology","language":"en","page":"205-210","source":"DOI.org (Crossref)","title":"Effects of boric acid on the electrodeposition of iron, nickel and iron-nickel","volume":"78","author":[{"family":"Yin","given":"K.-M."},{"family":"Lin","given":"B.-T."}],"issued":{"date-parts":[["1996",1]]}}}],"schema":"https://github.com/citation-style-language/schema/raw/master/csl-citation.json"} </w:instrText>
      </w:r>
      <w:r w:rsidR="00636A4D">
        <w:rPr>
          <w:lang w:val="en-GB"/>
        </w:rPr>
        <w:fldChar w:fldCharType="separate"/>
      </w:r>
      <w:r w:rsidR="00636A4D" w:rsidRPr="006E6B75">
        <w:rPr>
          <w:rFonts w:cs="Arial"/>
        </w:rPr>
        <w:t>(Matlosz, 1993; Yin and Lin, 1996)</w:t>
      </w:r>
      <w:r w:rsidR="00636A4D">
        <w:rPr>
          <w:lang w:val="en-GB"/>
        </w:rPr>
        <w:fldChar w:fldCharType="end"/>
      </w:r>
      <w:r w:rsidR="00636A4D" w:rsidRPr="00B07086">
        <w:rPr>
          <w:lang w:val="en-GB"/>
        </w:rPr>
        <w:t>,</w:t>
      </w:r>
      <w:r w:rsidR="00636A4D">
        <w:rPr>
          <w:lang w:val="en-GB"/>
        </w:rPr>
        <w:t xml:space="preserve"> </w:t>
      </w:r>
      <w:r w:rsidR="00636A4D" w:rsidRPr="00B07086">
        <w:rPr>
          <w:lang w:val="en-GB"/>
        </w:rPr>
        <w:t>the NWs appear richer in iron, confirming the anomalous deposition of iron.</w:t>
      </w:r>
      <w:r w:rsidR="00636A4D">
        <w:rPr>
          <w:lang w:val="en-GB"/>
        </w:rPr>
        <w:t xml:space="preserve"> For NiFe alloy, NWs consisting of about 79% Fe and 21%</w:t>
      </w:r>
      <w:r w:rsidR="006F72AC">
        <w:rPr>
          <w:lang w:val="en-GB"/>
        </w:rPr>
        <w:t xml:space="preserve"> </w:t>
      </w:r>
      <w:r w:rsidR="00636A4D">
        <w:rPr>
          <w:lang w:val="en-GB"/>
        </w:rPr>
        <w:t>Ni. Instead, for NiFeP alloy, the NWs composition is: 70.57% Fe, 25.60% Ni and 3.83% P.</w:t>
      </w:r>
    </w:p>
    <w:p w14:paraId="7E755262" w14:textId="2EBB356C" w:rsidR="00972612" w:rsidRDefault="00972612" w:rsidP="001A501F">
      <w:pPr>
        <w:pStyle w:val="CETBodytext"/>
      </w:pPr>
    </w:p>
    <w:p w14:paraId="5EFD382A" w14:textId="77777777" w:rsidR="003805A1" w:rsidRPr="001A501F" w:rsidRDefault="003805A1" w:rsidP="001A501F">
      <w:pPr>
        <w:pStyle w:val="CETBodytext"/>
      </w:pPr>
    </w:p>
    <w:p w14:paraId="7E0D5711" w14:textId="0E200733" w:rsidR="00F40BA0" w:rsidRDefault="00F11850" w:rsidP="001A501F">
      <w:pPr>
        <w:pStyle w:val="CETBodytext"/>
        <w:jc w:val="left"/>
        <w:rPr>
          <w:lang w:val="en-GB"/>
        </w:rPr>
      </w:pPr>
      <w:r>
        <w:rPr>
          <w:noProof/>
          <w:lang w:val="en-GB"/>
        </w:rPr>
        <w:drawing>
          <wp:inline distT="0" distB="0" distL="0" distR="0" wp14:anchorId="6012CDEC" wp14:editId="7DC0F67B">
            <wp:extent cx="2599113" cy="2175164"/>
            <wp:effectExtent l="0" t="0" r="0" b="0"/>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11"/>
                    <a:stretch>
                      <a:fillRect/>
                    </a:stretch>
                  </pic:blipFill>
                  <pic:spPr>
                    <a:xfrm>
                      <a:off x="0" y="0"/>
                      <a:ext cx="2599113" cy="2175164"/>
                    </a:xfrm>
                    <a:prstGeom prst="rect">
                      <a:avLst/>
                    </a:prstGeom>
                  </pic:spPr>
                </pic:pic>
              </a:graphicData>
            </a:graphic>
          </wp:inline>
        </w:drawing>
      </w:r>
      <w:r>
        <w:rPr>
          <w:noProof/>
          <w:lang w:val="en-GB"/>
        </w:rPr>
        <w:drawing>
          <wp:inline distT="0" distB="0" distL="0" distR="0" wp14:anchorId="481FA94C" wp14:editId="3CF13F8E">
            <wp:extent cx="2615738" cy="2175164"/>
            <wp:effectExtent l="0" t="0" r="0" b="0"/>
            <wp:docPr id="4" name="Immagine 4" descr="Immagine che contiene testo, alb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albero&#10;&#10;Descrizione generata automaticamente"/>
                    <pic:cNvPicPr/>
                  </pic:nvPicPr>
                  <pic:blipFill>
                    <a:blip r:embed="rId12"/>
                    <a:stretch>
                      <a:fillRect/>
                    </a:stretch>
                  </pic:blipFill>
                  <pic:spPr>
                    <a:xfrm>
                      <a:off x="0" y="0"/>
                      <a:ext cx="2615738" cy="2175164"/>
                    </a:xfrm>
                    <a:prstGeom prst="rect">
                      <a:avLst/>
                    </a:prstGeom>
                  </pic:spPr>
                </pic:pic>
              </a:graphicData>
            </a:graphic>
          </wp:inline>
        </w:drawing>
      </w:r>
    </w:p>
    <w:p w14:paraId="0F42E0E3" w14:textId="31C9A3F1" w:rsidR="00EB5867" w:rsidRPr="00F52297" w:rsidRDefault="001A501F" w:rsidP="001A501F">
      <w:pPr>
        <w:pStyle w:val="CETCaption"/>
        <w:jc w:val="left"/>
      </w:pPr>
      <w:r>
        <w:t xml:space="preserve">Figure 1: SEM images of (a) NiFe NWs and (b) NiFeP NWs </w:t>
      </w:r>
    </w:p>
    <w:p w14:paraId="6788E6C4" w14:textId="24A17A69" w:rsidR="001F29DF" w:rsidRDefault="00636A4D" w:rsidP="001F29DF">
      <w:pPr>
        <w:pStyle w:val="CETBodytext"/>
        <w:rPr>
          <w:lang w:val="en-GB"/>
        </w:rPr>
      </w:pPr>
      <w:r>
        <w:rPr>
          <w:lang w:val="en-GB"/>
        </w:rPr>
        <w:lastRenderedPageBreak/>
        <w:t>N</w:t>
      </w:r>
      <w:r w:rsidR="008D3926" w:rsidRPr="008D3926">
        <w:rPr>
          <w:lang w:val="en-GB"/>
        </w:rPr>
        <w:t xml:space="preserve">anostructured electrodes were </w:t>
      </w:r>
      <w:r>
        <w:rPr>
          <w:lang w:val="en-GB"/>
        </w:rPr>
        <w:t xml:space="preserve">also </w:t>
      </w:r>
      <w:r w:rsidR="008D3926" w:rsidRPr="008D3926">
        <w:rPr>
          <w:lang w:val="en-GB"/>
        </w:rPr>
        <w:t xml:space="preserve">characterized by XRD, Figure </w:t>
      </w:r>
      <w:r w:rsidR="008D3926">
        <w:rPr>
          <w:lang w:val="en-GB"/>
        </w:rPr>
        <w:t>2b</w:t>
      </w:r>
      <w:r w:rsidR="008D3926" w:rsidRPr="008D3926">
        <w:rPr>
          <w:lang w:val="en-GB"/>
        </w:rPr>
        <w:t>. In the as prepared electrode</w:t>
      </w:r>
      <w:r w:rsidR="001F29DF">
        <w:rPr>
          <w:lang w:val="en-GB"/>
        </w:rPr>
        <w:t>s</w:t>
      </w:r>
      <w:r w:rsidR="008D3926" w:rsidRPr="008D3926">
        <w:rPr>
          <w:lang w:val="en-GB"/>
        </w:rPr>
        <w:t>, the peaks at about 43.23°, 50.38°, 74.18° and 90.16° can be indexed to (111), (200), (220) and (420) planes of the fcc Fe-Ni Alloy (card no. 47-105)</w:t>
      </w:r>
      <w:r w:rsidR="008D3926">
        <w:rPr>
          <w:lang w:val="en-GB"/>
        </w:rPr>
        <w:t xml:space="preserve"> </w:t>
      </w:r>
      <w:r w:rsidR="008D3926">
        <w:rPr>
          <w:lang w:val="en-GB"/>
        </w:rPr>
        <w:fldChar w:fldCharType="begin"/>
      </w:r>
      <w:r w:rsidR="008B00B9">
        <w:rPr>
          <w:lang w:val="en-GB"/>
        </w:rPr>
        <w:instrText xml:space="preserve"> ADDIN ZOTERO_ITEM CSL_CITATION {"citationID":"gBRQCDuv","properties":{"formattedCitation":"(Dragos et al., 2016)","plainCitation":"(Dragos et al., 2016)","noteIndex":0},"citationItems":[{"id":"PbjBMOJM/w21NlWeu","uris":["http://zotero.org/users/6854657/items/X7ZK9QSD"],"itemData":{"id":"4qY5Uaxl/mbqXgdh3","type":"article-journal","container-title":"Journal of The Electrochemical Society","DOI":"10.1149/2.0771603jes","ISSN":"0013-4651, 1945-7111","issue":"3","journalAbbreviation":"J. Electrochem. Soc.","language":"en","page":"D83-D94","source":"DOI.org (Crossref)","title":"Anomalous Codeposition of &lt;i&gt;fcc&lt;/i&gt; NiFe Nanowires with 5–55% Fe and Their Morphology, Crystal Structure and Magnetic Properties","volume":"163","author":[{"family":"Dragos","given":"Oana"},{"family":"Chiriac","given":"Horia"},{"family":"Lupu","given":"Nicoleta"},{"family":"Grigoras","given":"Marian"},{"family":"Tabakovic","given":"Ibro"}],"issued":{"date-parts":[["2016"]]}}}],"schema":"https://github.com/citation-style-language/schema/raw/master/csl-citation.json"} </w:instrText>
      </w:r>
      <w:r w:rsidR="008D3926">
        <w:rPr>
          <w:lang w:val="en-GB"/>
        </w:rPr>
        <w:fldChar w:fldCharType="separate"/>
      </w:r>
      <w:r w:rsidR="008D3926" w:rsidRPr="008D3926">
        <w:rPr>
          <w:rFonts w:cs="Arial"/>
        </w:rPr>
        <w:t>(Dragos et al., 2016)</w:t>
      </w:r>
      <w:r w:rsidR="008D3926">
        <w:rPr>
          <w:lang w:val="en-GB"/>
        </w:rPr>
        <w:fldChar w:fldCharType="end"/>
      </w:r>
      <w:r w:rsidR="008D3926" w:rsidRPr="008D3926">
        <w:rPr>
          <w:lang w:val="en-GB"/>
        </w:rPr>
        <w:fldChar w:fldCharType="begin"/>
      </w:r>
      <w:r w:rsidR="008B00B9">
        <w:rPr>
          <w:lang w:val="en-GB"/>
        </w:rPr>
        <w:instrText xml:space="preserve"> ADDIN ZOTERO_ITEM CSL_CITATION {"citationID":"1lWvHf8G","properties":{"formattedCitation":"[88\\uc0\\u8211{}90]","plainCitation":"[88–90]","dontUpdate":true,"noteIndex":0},"citationItems":[{"id":"PbjBMOJM/w21NlWeu","uris":["http://zotero.org/users/6854657/items/X7ZK9QSD"],"itemData":{"id":2262,"type":"article-journal","container-title":"Journal of The Electrochemical Society","DOI":"10.1149/2.0771603jes","ISSN":"0013-4651, 1945-7111","issue":"3","journalAbbreviation":"J. Electrochem. Soc.","language":"en","page":"D83-D94","source":"DOI.org (Crossref)","title":"Anomalous Codeposition of &lt;i&gt;fcc&lt;/i&gt; NiFe Nanowires with 5–55% Fe and Their Morphology, Crystal Structure and Magnetic Properties","volume":"163","author":[{"family":"Dragos","given":"Oana"},{"family":"Chiriac","given":"Horia"},{"family":"Lupu","given":"Nicoleta"},{"family":"Grigoras","given":"Marian"},{"family":"Tabakovic","given":"Ibro"}],"issued":{"date-parts":[["2016"]]}}},{"id":"PbjBMOJM/hlW6xDzy","uris":["http://zotero.org/users/6854657/items/AA4M8P2B"],"itemData":{"id":2268,"type":"article-journal","container-title":"Scientific Reports","DOI":"10.1038/srep37701","ISSN":"2045-2322","issue":"1","journalAbbreviation":"Sci Rep","language":"en","page":"37701","source":"DOI.org (Crossref)","title":"Dependence of phase configurations, microstructures and magnetic properties of iron-nickel (Fe-Ni) alloy nanoribbons on deoxidization temperature in hydrogen","volume":"6","author":[{"family":"Jing","given":"Panpan"},{"family":"Liu","given":"Mengting"},{"family":"Pu","given":"Yongping"},{"family":"Cui","given":"Yongfei"},{"family":"Wang","given":"Zhuo"},{"family":"Wang","given":"Jianbo"},{"family":"Liu","given":"Qingfang"}],"issued":{"date-parts":[["2016",12]]}}},{"id":"PbjBMOJM/qgJg071J","uris":["http://zotero.org/users/6854657/items/AYW28WDG"],"itemData":{"id":2269,"type":"article-journal","container-title":"Journal of Materials Science","DOI":"10.1007/s10853-019-03964-0","ISSN":"0022-2461, 1573-4803","issue":"23","journalAbbreviation":"J Mater Sci","language":"en","page":"14515-14523","source":"DOI.org (Crossref)","title":"Partially reduced Ni2+, Fe3+-layered double hydroxide for ethanol electrocatalysis","volume":"54","author":[{"family":"Gao","given":"Yibo"},{"family":"Zhao","given":"Zhenzhen"},{"family":"Jia","given":"Huimin"},{"family":"Yang","given":"Xiaotong"},{"family":"Lei","given":"Xiaodong"},{"family":"Kong","given":"Xianggui"},{"family":"Zhang","given":"Fazhi"}],"issued":{"date-parts":[["2019",12]]}}}],"schema":"https://github.com/citation-style-language/schema/raw/master/csl-citation.json"} </w:instrText>
      </w:r>
      <w:r w:rsidR="008D3926" w:rsidRPr="008D3926">
        <w:rPr>
          <w:lang w:val="en-GB"/>
        </w:rPr>
        <w:fldChar w:fldCharType="end"/>
      </w:r>
      <w:r w:rsidR="008D3926" w:rsidRPr="008D3926">
        <w:rPr>
          <w:lang w:val="en-GB"/>
        </w:rPr>
        <w:t>. In addition, Ni peaks were also observed at 44.53°, 51,86°</w:t>
      </w:r>
      <w:r w:rsidR="008B2996" w:rsidRPr="008D3926">
        <w:rPr>
          <w:lang w:val="en-GB"/>
        </w:rPr>
        <w:t>(card no. 04-850).</w:t>
      </w:r>
      <w:r w:rsidR="001F29DF">
        <w:rPr>
          <w:lang w:val="en-GB"/>
        </w:rPr>
        <w:t xml:space="preserve"> </w:t>
      </w:r>
      <w:r w:rsidR="008B2996" w:rsidRPr="008B2996">
        <w:rPr>
          <w:lang w:val="en-GB"/>
        </w:rPr>
        <w:t xml:space="preserve">From preliminary studies, the two analyses differ in some peaks, </w:t>
      </w:r>
      <w:r w:rsidR="008B2996">
        <w:rPr>
          <w:lang w:val="en-GB"/>
        </w:rPr>
        <w:t xml:space="preserve">76.20°, 83.01° and 93.02° </w:t>
      </w:r>
      <w:r w:rsidR="008B2996" w:rsidRPr="008B2996">
        <w:rPr>
          <w:lang w:val="en-GB"/>
        </w:rPr>
        <w:t>which can be attributed to the presence of phosphorus</w:t>
      </w:r>
      <w:r w:rsidR="008B2996">
        <w:rPr>
          <w:lang w:val="en-GB"/>
        </w:rPr>
        <w:t xml:space="preserve">. </w:t>
      </w:r>
      <w:r w:rsidR="008B2996" w:rsidRPr="008B2996">
        <w:rPr>
          <w:lang w:val="en-GB"/>
        </w:rPr>
        <w:t xml:space="preserve"> </w:t>
      </w:r>
    </w:p>
    <w:p w14:paraId="1C92D19A" w14:textId="477FC97A" w:rsidR="000F28EF" w:rsidRDefault="000F28EF" w:rsidP="0033660A">
      <w:pPr>
        <w:pStyle w:val="CETBodytext"/>
        <w:rPr>
          <w:lang w:val="en-GB"/>
        </w:rPr>
      </w:pPr>
    </w:p>
    <w:p w14:paraId="0C612092" w14:textId="052B2CF3" w:rsidR="000F28EF" w:rsidRDefault="000F28EF" w:rsidP="0033660A">
      <w:pPr>
        <w:pStyle w:val="CETBodytext"/>
        <w:rPr>
          <w:lang w:val="en-GB"/>
        </w:rPr>
      </w:pPr>
    </w:p>
    <w:p w14:paraId="64682AAF" w14:textId="26C4E053" w:rsidR="000F28EF" w:rsidRDefault="00FD65AE" w:rsidP="001A501F">
      <w:pPr>
        <w:pStyle w:val="CETBodytext"/>
        <w:jc w:val="left"/>
        <w:rPr>
          <w:lang w:val="en-GB"/>
        </w:rPr>
      </w:pPr>
      <w:r>
        <w:rPr>
          <w:noProof/>
          <w:lang w:val="en-GB"/>
        </w:rPr>
        <w:drawing>
          <wp:inline distT="0" distB="0" distL="0" distR="0" wp14:anchorId="69DE94B6" wp14:editId="1AFBEBAD">
            <wp:extent cx="2520000" cy="2160000"/>
            <wp:effectExtent l="0" t="0" r="0" b="0"/>
            <wp:docPr id="11" name="Immagin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3"/>
                    <a:stretch>
                      <a:fillRect/>
                    </a:stretch>
                  </pic:blipFill>
                  <pic:spPr>
                    <a:xfrm>
                      <a:off x="0" y="0"/>
                      <a:ext cx="2520000" cy="2160000"/>
                    </a:xfrm>
                    <a:prstGeom prst="rect">
                      <a:avLst/>
                    </a:prstGeom>
                  </pic:spPr>
                </pic:pic>
              </a:graphicData>
            </a:graphic>
          </wp:inline>
        </w:drawing>
      </w:r>
      <w:r>
        <w:rPr>
          <w:noProof/>
          <w:lang w:val="en-GB"/>
        </w:rPr>
        <w:drawing>
          <wp:inline distT="0" distB="0" distL="0" distR="0" wp14:anchorId="585F6D64" wp14:editId="7DB5FD96">
            <wp:extent cx="2520000" cy="2160000"/>
            <wp:effectExtent l="0" t="0" r="0" b="0"/>
            <wp:docPr id="8" name="Immagin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14"/>
                    <a:stretch>
                      <a:fillRect/>
                    </a:stretch>
                  </pic:blipFill>
                  <pic:spPr>
                    <a:xfrm>
                      <a:off x="0" y="0"/>
                      <a:ext cx="2520000" cy="2160000"/>
                    </a:xfrm>
                    <a:prstGeom prst="rect">
                      <a:avLst/>
                    </a:prstGeom>
                  </pic:spPr>
                </pic:pic>
              </a:graphicData>
            </a:graphic>
          </wp:inline>
        </w:drawing>
      </w:r>
    </w:p>
    <w:p w14:paraId="7068A582" w14:textId="79A25C04" w:rsidR="003805A1" w:rsidRDefault="001A501F" w:rsidP="001D1027">
      <w:pPr>
        <w:pStyle w:val="CETCaption"/>
      </w:pPr>
      <w:r>
        <w:t xml:space="preserve">Figure 2: (a) </w:t>
      </w:r>
      <w:r w:rsidRPr="00860B1A">
        <w:t>EDS of NWs electrode</w:t>
      </w:r>
      <w:r>
        <w:t>s; (b) XRD Pattern of NWs electrodes</w:t>
      </w:r>
    </w:p>
    <w:p w14:paraId="6C00E8E7" w14:textId="29310A75" w:rsidR="002A0AA6" w:rsidRPr="003A4D35" w:rsidRDefault="00636A4D" w:rsidP="00636A4D">
      <w:pPr>
        <w:pStyle w:val="CETBodytext"/>
        <w:rPr>
          <w:lang w:val="en-GB"/>
        </w:rPr>
      </w:pPr>
      <w:r w:rsidRPr="00913637">
        <w:t>Figures 3a and 3b s</w:t>
      </w:r>
      <w:r w:rsidRPr="00913637">
        <w:rPr>
          <w:rStyle w:val="CETBodytextCarattere"/>
        </w:rPr>
        <w:t>h</w:t>
      </w:r>
      <w:r w:rsidRPr="00913637">
        <w:t xml:space="preserve">owed the linear range of QSSP curves fitted by Tafel’s equation, for HER and OER, respectively. Tafel parameters are listed in Table 1. The good results obtained with the binary were exceeded with the ternary alloy. </w:t>
      </w:r>
      <w:r w:rsidRPr="003904C0">
        <w:t>In</w:t>
      </w:r>
      <w:r>
        <w:t xml:space="preserve"> </w:t>
      </w:r>
      <w:r w:rsidRPr="003904C0">
        <w:t xml:space="preserve">this paper, the Tafel slope values </w:t>
      </w:r>
      <w:r>
        <w:t xml:space="preserve">of </w:t>
      </w:r>
      <w:r w:rsidRPr="003904C0">
        <w:t>NiFeP alloy are much lower than</w:t>
      </w:r>
      <w:r>
        <w:t xml:space="preserve"> NiFe</w:t>
      </w:r>
      <w:r w:rsidRPr="003904C0">
        <w:t xml:space="preserve"> alloy values</w:t>
      </w:r>
      <w:r>
        <w:t xml:space="preserve">, </w:t>
      </w:r>
      <w:r w:rsidRPr="003904C0">
        <w:t xml:space="preserve">implying a faster HER </w:t>
      </w:r>
      <w:r>
        <w:t xml:space="preserve">and OER </w:t>
      </w:r>
      <w:r w:rsidRPr="003904C0">
        <w:t>kinetics of NiFeP alloy</w:t>
      </w:r>
      <w:r>
        <w:t>.</w:t>
      </w:r>
      <w:r w:rsidR="00512983">
        <w:t xml:space="preserve"> These results are similar</w:t>
      </w:r>
      <w:r w:rsidR="007E4144">
        <w:t xml:space="preserve"> or better compared to others alloy containing</w:t>
      </w:r>
      <w:r w:rsidR="007E4144" w:rsidRPr="007E4144">
        <w:rPr>
          <w:lang w:val="en-GB"/>
        </w:rPr>
        <w:t xml:space="preserve"> </w:t>
      </w:r>
      <w:r w:rsidR="007E4144" w:rsidRPr="00B07086">
        <w:rPr>
          <w:lang w:val="en-GB"/>
        </w:rPr>
        <w:t>phosphorus</w:t>
      </w:r>
      <w:r w:rsidR="007E4144">
        <w:rPr>
          <w:lang w:val="en-GB"/>
        </w:rPr>
        <w:t xml:space="preserve"> </w:t>
      </w:r>
      <w:r w:rsidR="007E4144">
        <w:rPr>
          <w:lang w:val="en-GB"/>
        </w:rPr>
        <w:fldChar w:fldCharType="begin"/>
      </w:r>
      <w:r w:rsidR="007E4144">
        <w:rPr>
          <w:lang w:val="en-GB"/>
        </w:rPr>
        <w:instrText xml:space="preserve"> ADDIN ZOTERO_ITEM CSL_CITATION {"citationID":"pvxEITWD","properties":{"formattedCitation":"(Battiato et al., 2022; Li et al., 2019)","plainCitation":"(Battiato et al., 2022; Li et al., 2019)","noteIndex":0},"citationItems":[{"id":443,"uris":["http://zotero.org/users/local/CLlS0C19/items/64VA2B7F"],"itemData":{"id":443,"type":"article-journal","container-title":"Catalysis Today","DOI":"10.1016/j.cattod.2022.10.011","ISSN":"09205861","journalAbbreviation":"Catalysis Today","language":"en","page":"S0920586122003856","source":"DOI.org (Crossref)","title":"×Optimized electroless deposition of NiCoP electrocalysts for enhanced water splitting","author":[{"family":"Battiato","given":"Sergio"},{"family":"Bruno","given":"Luca"},{"family":"Pellegrino","given":"Anna Lucia"},{"family":"Terrasi","given":"Antonio"},{"family":"Mirabella","given":"Salvo"}],"issued":{"date-parts":[["2022",10]]}}},{"id":431,"uris":["http://zotero.org/users/local/CLlS0C19/items/HX3MUWNM"],"itemData":{"id":431,"type":"article-journal","container-title":"Electrochimica Acta","DOI":"10.1016/j.electacta.2019.07.022","ISSN":"00134686","journalAbbreviation":"Electrochimica Acta","language":"en","page":"561-568","source":"DOI.org (Crossref)","title":"Self-supported ternary (NixFey)2P nanoplates arrays as an efficient bifunctional electrocatalyst for overall water splitting","volume":"319","author":[{"family":"Li","given":"Shuaishuai"},{"family":"Wang","given":"Xing"},{"family":"Li","given":"Min"},{"family":"Liu","given":"Jian"},{"family":"Li","given":"Chaorong"},{"family":"Wu","given":"Huaping"},{"family":"Guo","given":"Daoyou"},{"family":"Ye","given":"Fangmin"},{"family":"Wang","given":"Shunli"},{"family":"Cheng","given":"Lin"},{"family":"Liu","given":"Aiping"}],"issued":{"date-parts":[["2019",10]]}}}],"schema":"https://github.com/citation-style-language/schema/raw/master/csl-citation.json"} </w:instrText>
      </w:r>
      <w:r w:rsidR="007E4144">
        <w:rPr>
          <w:lang w:val="en-GB"/>
        </w:rPr>
        <w:fldChar w:fldCharType="separate"/>
      </w:r>
      <w:r w:rsidR="007E4144" w:rsidRPr="007E4144">
        <w:rPr>
          <w:rFonts w:cs="Arial"/>
        </w:rPr>
        <w:t>(Battiato et al., 2022; Li et al., 2019)</w:t>
      </w:r>
      <w:r w:rsidR="007E4144">
        <w:rPr>
          <w:lang w:val="en-GB"/>
        </w:rPr>
        <w:fldChar w:fldCharType="end"/>
      </w:r>
      <w:r w:rsidR="007E4144">
        <w:rPr>
          <w:lang w:val="en-GB"/>
        </w:rPr>
        <w:t>.</w:t>
      </w:r>
      <w:r w:rsidR="002A0AA6">
        <w:rPr>
          <w:lang w:val="en-GB"/>
        </w:rPr>
        <w:t xml:space="preserve"> </w:t>
      </w:r>
      <w:r w:rsidR="002A0AA6" w:rsidRPr="002A0AA6">
        <w:rPr>
          <w:lang w:val="en-GB"/>
        </w:rPr>
        <w:t xml:space="preserve">Tafel slope values can be used to understand which </w:t>
      </w:r>
      <w:r w:rsidR="002A0AA6">
        <w:rPr>
          <w:lang w:val="en-GB"/>
        </w:rPr>
        <w:t>step</w:t>
      </w:r>
      <w:r w:rsidR="002A0AA6" w:rsidRPr="002A0AA6">
        <w:rPr>
          <w:lang w:val="en-GB"/>
        </w:rPr>
        <w:t xml:space="preserve"> is kinetically decisive</w:t>
      </w:r>
      <w:r w:rsidR="002A0AA6">
        <w:rPr>
          <w:lang w:val="en-GB"/>
        </w:rPr>
        <w:t>. For OER, the Tafel slope of the ternary alloy close to 45 mV dec</w:t>
      </w:r>
      <w:r w:rsidR="002A0AA6" w:rsidRPr="002A0AA6">
        <w:rPr>
          <w:vertAlign w:val="superscript"/>
          <w:lang w:val="en-GB"/>
        </w:rPr>
        <w:t>-1</w:t>
      </w:r>
      <w:r w:rsidR="002A0AA6">
        <w:rPr>
          <w:vertAlign w:val="superscript"/>
          <w:lang w:val="en-GB"/>
        </w:rPr>
        <w:t xml:space="preserve"> </w:t>
      </w:r>
      <w:r w:rsidR="002A0AA6">
        <w:rPr>
          <w:lang w:val="en-GB"/>
        </w:rPr>
        <w:t xml:space="preserve">indicates that the rate </w:t>
      </w:r>
      <w:r w:rsidR="009B3EAD">
        <w:rPr>
          <w:lang w:val="en-GB"/>
        </w:rPr>
        <w:t>determining</w:t>
      </w:r>
      <w:r w:rsidR="002A0AA6">
        <w:rPr>
          <w:lang w:val="en-GB"/>
        </w:rPr>
        <w:t xml:space="preserve"> step is linked to the reaction:</w:t>
      </w:r>
      <w:r w:rsidR="003A4D35">
        <w:rPr>
          <w:lang w:val="en-GB"/>
        </w:rPr>
        <w:t xml:space="preserve"> </w:t>
      </w:r>
      <w:r w:rsidR="002A0AA6" w:rsidRPr="003A4D35">
        <w:t>MO</w:t>
      </w:r>
      <w:r w:rsidR="002A0AA6" w:rsidRPr="003A4D35">
        <w:rPr>
          <w:vertAlign w:val="superscript"/>
        </w:rPr>
        <w:t>-</w:t>
      </w:r>
      <w:r w:rsidR="003A4D35" w:rsidRPr="003A4D35">
        <w:rPr>
          <w:vertAlign w:val="superscript"/>
        </w:rPr>
        <w:t xml:space="preserve">  </w:t>
      </w:r>
      <w:r w:rsidR="002A0AA6" w:rsidRPr="003A4D35">
        <w:t>=</w:t>
      </w:r>
      <w:r w:rsidR="003A4D35" w:rsidRPr="003A4D35">
        <w:t xml:space="preserve"> </w:t>
      </w:r>
      <w:r w:rsidR="002A0AA6" w:rsidRPr="003A4D35">
        <w:t>MO</w:t>
      </w:r>
      <w:r w:rsidR="003A4D35" w:rsidRPr="003A4D35">
        <w:t xml:space="preserve"> </w:t>
      </w:r>
      <w:r w:rsidR="002A0AA6" w:rsidRPr="003A4D35">
        <w:t>+</w:t>
      </w:r>
      <w:r w:rsidR="003A4D35" w:rsidRPr="003A4D35">
        <w:t xml:space="preserve"> </w:t>
      </w:r>
      <w:r w:rsidR="002A0AA6" w:rsidRPr="003A4D35">
        <w:t>e</w:t>
      </w:r>
      <w:r w:rsidR="002A0AA6" w:rsidRPr="003A4D35">
        <w:rPr>
          <w:vertAlign w:val="superscript"/>
        </w:rPr>
        <w:t>-</w:t>
      </w:r>
      <w:r w:rsidR="003A4D35" w:rsidRPr="003A4D35">
        <w:rPr>
          <w:vertAlign w:val="superscript"/>
        </w:rPr>
        <w:t xml:space="preserve"> </w:t>
      </w:r>
      <w:r w:rsidR="003A4D35">
        <w:rPr>
          <w:vertAlign w:val="superscript"/>
        </w:rPr>
        <w:fldChar w:fldCharType="begin"/>
      </w:r>
      <w:r w:rsidR="003A4D35" w:rsidRPr="003A4D35">
        <w:rPr>
          <w:vertAlign w:val="superscript"/>
        </w:rPr>
        <w:instrText xml:space="preserve"> ADDIN ZOTERO_ITEM CSL_CITATION {"citationID":"3rVsGAeb","properties":{"formattedCitation":"(Li et al., 2018)","plainCitation":"(Li et al., 2018)","noteIndex":0},"citationItems":[{"id":444,"uris":["http://zotero.org/users/local/CLlS0C19/items/A94PNWUZ"],"itemData":{"id":444,"type":"article-journal","abstract":"New insights into efficient oxygen evolution were obtained by developing robust evaluation protocols and understanding interfacial behaviors.\n          , \n            \n              The growing development of oxygen-evolution-reaction (OER) catalysts has increased the demand for robust evaluation protocols to identify promising candidates. In this work, we successfully establish an effective experimental protocol to quantify the intrinsic performance of OER catalysts in a standard thin-film rotating-(ring)-disk-electrode system. Furthermore, a new insight into the electric double layer (EDL) microstructure is gained to illustrate all experimental observations in alkaline media. The results indicate that IrO\n              2\n              has 2.6-times higher activity than NiCo\n              2\n              O\n              4\n              , due to the improved reaction kinetics, charge transfer and O\n              2\n              -transport occurring in the EDL. However, after 10 000 cycles of cyclic voltammetry (C</w:instrText>
      </w:r>
      <w:r w:rsidR="003A4D35" w:rsidRPr="003A4D35">
        <w:rPr>
          <w:vertAlign w:val="superscript"/>
          <w:lang w:val="it-IT"/>
        </w:rPr>
        <w:instrText>V), NiCo\n              2\n              O\n              4\n              shows much higher stability due to continuous EDL structural modifications. In particular, it is revealed that the EDL charging process, accom</w:instrText>
      </w:r>
      <w:r w:rsidR="003A4D35" w:rsidRPr="003A4D35">
        <w:rPr>
          <w:vertAlign w:val="superscript"/>
        </w:rPr>
        <w:instrText xml:space="preserve">panied by the electrocatalytic OER, has a strong effect on catalyst–electrolyte interfacial behaviors, which, in turn, determine the accuracy of electrochemical measurement results. It is further found that the electrochemical surface area (ECSA) obtained from traditional CV measured capacitance cannot accurately reflect the actual reaction sites of various catalysts during the OER. This discrepancy exists mainly because of the EDL capacitance, which is referred to as the inner capacitance caused by less accessible active sites. Alternatively, a novel method based on\n              in situ\n              electrochemical impedance spectroscopy has demonstrated improved accuracy in obtaining potential-dependent ECSAs, comparable to\n              ex situ\n              Brunauer–Emmett–Teller surface area measurements.","container-title":"Sustainable Energy &amp; Fuels","DOI":"10.1039/C7SE00337D","ISSN":"2398-4902","issue":"1","journalAbbreviation":"Sustainable Energy Fuels","language":"en","page":"237-251","source":"DOI.org (Crossref)","title":"New insights into evaluating catalyst activity and stability for oxygen evolution reactions in alkaline media","volume":"2","author":[{"family":"Li","given":"Guangfu"},{"family":"Anderson","given":"Lawrence"},{"family":"Chen","given":"Yanan"},{"family":"Pan","given":"Mu"},{"family":"Abel Chuang","given":"Po-Ya"}],"issued":{"date-parts":[["2018"]]}}}],"schema":"https://github.com/citation-style-language/schema/raw/master/csl-citation.json"} </w:instrText>
      </w:r>
      <w:r w:rsidR="003A4D35">
        <w:rPr>
          <w:vertAlign w:val="superscript"/>
        </w:rPr>
        <w:fldChar w:fldCharType="separate"/>
      </w:r>
      <w:r w:rsidR="003A4D35" w:rsidRPr="003A4D35">
        <w:rPr>
          <w:rFonts w:cs="Arial"/>
        </w:rPr>
        <w:t>(Li et al., 2018)</w:t>
      </w:r>
      <w:r w:rsidR="003A4D35">
        <w:rPr>
          <w:vertAlign w:val="superscript"/>
        </w:rPr>
        <w:fldChar w:fldCharType="end"/>
      </w:r>
      <w:r w:rsidR="00431951">
        <w:t>. Instead, t</w:t>
      </w:r>
      <w:r w:rsidR="00431951" w:rsidRPr="00431951">
        <w:rPr>
          <w:lang w:val="en-GB"/>
        </w:rPr>
        <w:t xml:space="preserve">he slope value for HER </w:t>
      </w:r>
      <w:r w:rsidR="00431951">
        <w:rPr>
          <w:lang w:val="en-GB"/>
        </w:rPr>
        <w:t>is</w:t>
      </w:r>
      <w:r w:rsidR="00431951" w:rsidRPr="00431951">
        <w:rPr>
          <w:lang w:val="en-GB"/>
        </w:rPr>
        <w:t xml:space="preserve"> in the range of 38-116 mV</w:t>
      </w:r>
      <w:r w:rsidR="00431951">
        <w:rPr>
          <w:lang w:val="en-GB"/>
        </w:rPr>
        <w:t xml:space="preserve"> </w:t>
      </w:r>
      <w:r w:rsidR="00431951" w:rsidRPr="00431951">
        <w:rPr>
          <w:lang w:val="en-GB"/>
        </w:rPr>
        <w:t>dec</w:t>
      </w:r>
      <w:r w:rsidR="00431951" w:rsidRPr="00431951">
        <w:rPr>
          <w:vertAlign w:val="superscript"/>
          <w:lang w:val="en-GB"/>
        </w:rPr>
        <w:t>-1</w:t>
      </w:r>
      <w:r w:rsidR="00431951">
        <w:rPr>
          <w:lang w:val="en-GB"/>
        </w:rPr>
        <w:t xml:space="preserve"> </w:t>
      </w:r>
      <w:r w:rsidR="00431951" w:rsidRPr="00431951">
        <w:rPr>
          <w:lang w:val="en-GB"/>
        </w:rPr>
        <w:t>indicating that the </w:t>
      </w:r>
      <w:hyperlink r:id="rId15" w:tooltip="Learn more about rate determining step from ScienceDirect's AI-generated Topic Pages" w:history="1">
        <w:r w:rsidR="00431951" w:rsidRPr="00431951">
          <w:rPr>
            <w:rStyle w:val="Collegamentoipertestuale"/>
            <w:color w:val="000000" w:themeColor="text1"/>
            <w:u w:val="none"/>
            <w:lang w:val="en-GB"/>
          </w:rPr>
          <w:t>rate determining step</w:t>
        </w:r>
      </w:hyperlink>
      <w:r w:rsidR="00431951" w:rsidRPr="00431951">
        <w:rPr>
          <w:lang w:val="en-GB"/>
        </w:rPr>
        <w:t xml:space="preserve"> of the HER mechanism electrode includes Volmer-Heyrovsky and that the Volmer </w:t>
      </w:r>
      <w:r w:rsidR="00431951">
        <w:rPr>
          <w:lang w:val="en-GB"/>
        </w:rPr>
        <w:t>stage</w:t>
      </w:r>
      <w:r w:rsidR="00431951" w:rsidRPr="00431951">
        <w:rPr>
          <w:lang w:val="en-GB"/>
        </w:rPr>
        <w:t xml:space="preserve"> is rate determining step</w:t>
      </w:r>
      <w:r w:rsidR="00431951">
        <w:rPr>
          <w:lang w:val="en-GB"/>
        </w:rPr>
        <w:t xml:space="preserve"> </w:t>
      </w:r>
      <w:r w:rsidR="00431951">
        <w:rPr>
          <w:lang w:val="en-GB"/>
        </w:rPr>
        <w:fldChar w:fldCharType="begin"/>
      </w:r>
      <w:r w:rsidR="00431951">
        <w:rPr>
          <w:lang w:val="en-GB"/>
        </w:rPr>
        <w:instrText xml:space="preserve"> ADDIN ZOTERO_ITEM CSL_CITATION {"citationID":"mCQIWG6L","properties":{"formattedCitation":"(Barati Darband et al., 2020)","plainCitation":"(Barati Darband et al., 2020)","noteIndex":0},"citationItems":[{"id":399,"uris":["http://zotero.org/users/local/CLlS0C19/items/C29WTB5B"],"itemData":{"id":399,"type":"article-journal","abstract":"Development and fabrication of electrodes with favorable electrocatalytic activity, low-cost, and excellent electrocatalytic durability are one of the most important issues in the hydrogen production area using the electrochemical water splitting process. We use the pulse electrodeposition method as a versatile and cost-eﬀective approach to synthesize three-dimensional Ni−Fe−P electrocatalysts on nickel nanostructures under various applied frequencies and duration times, in which nanostructures exhibit excellent intrinsic electrocatalytic activity. Beneﬁting from the threedimensional structure, as well as the simultaneous presence of the three elements nickel, iron, and phosphorus, the electrode fabricated at the optimal conditions has indicated outstanding electrocatalytic activity with a η10 of 66 and 198 mV for hydrogen evolution reaction (HER) and oxygen evolution reaction (OER), respectively, in a 1.0 M KOH solution. Also, the water electrolysis cell constructed with this electrode and tested as a bifunctional electrode exhibited 1.508 V for 10 mA cm−2 in overall water splitting. In addition, the lowest amount of potential change in 100 mA cm−2 was observed for HER and OER, indicating excellent electrocatalytic stability. This study proposes a binder-free and economical technique for the synthesis of three-dimensional electrocatalysts.","container-title":"ACS Applied Materials &amp; Interfaces","DOI":"10.1021/acsami.0c13648","ISSN":"1944-8244, 1944-8252","issue":"48","journalAbbreviation":"ACS Appl. Mater. Interfaces","language":"en","page":"53719-53730","source":"DOI.org (Crossref)","title":"Pulse Electrodeposition of a Superhydrophilic and Binder-Free Ni–Fe–P Nanostructure as Highly Active and Durable Electrocatalyst for Both Hydrogen and Oxygen Evolution Reactions","volume":"12","author":[{"family":"Barati Darband","given":"Ghasem"},{"family":"Aliofkhazraei","given":"Mahmood"},{"family":"Hyun","given":"Suyeon"},{"family":"Shanmugam","given":"Sangaraju"}],"issued":{"date-parts":[["2020",12,2]]}}}],"schema":"https://github.com/citation-style-language/schema/raw/master/csl-citation.json"} </w:instrText>
      </w:r>
      <w:r w:rsidR="00431951">
        <w:rPr>
          <w:lang w:val="en-GB"/>
        </w:rPr>
        <w:fldChar w:fldCharType="separate"/>
      </w:r>
      <w:r w:rsidR="00431951" w:rsidRPr="00431951">
        <w:rPr>
          <w:rFonts w:cs="Arial"/>
        </w:rPr>
        <w:t>(Barati Darband et al., 2020)</w:t>
      </w:r>
      <w:r w:rsidR="00431951">
        <w:rPr>
          <w:lang w:val="en-GB"/>
        </w:rPr>
        <w:fldChar w:fldCharType="end"/>
      </w:r>
      <w:r w:rsidR="00431951">
        <w:rPr>
          <w:lang w:val="en-GB"/>
        </w:rPr>
        <w:t xml:space="preserve">. </w:t>
      </w:r>
    </w:p>
    <w:p w14:paraId="3BB4F92B" w14:textId="0E230862" w:rsidR="000F28EF" w:rsidRDefault="000F28EF" w:rsidP="00913637">
      <w:pPr>
        <w:pStyle w:val="CETBodytext"/>
      </w:pPr>
    </w:p>
    <w:p w14:paraId="71053FC3" w14:textId="77777777" w:rsidR="007D053C" w:rsidRPr="00913637" w:rsidRDefault="007D053C" w:rsidP="00913637">
      <w:pPr>
        <w:pStyle w:val="CETBodytext"/>
      </w:pPr>
    </w:p>
    <w:p w14:paraId="1207025A" w14:textId="77777777" w:rsidR="000F28EF" w:rsidRDefault="000F28EF" w:rsidP="0033660A">
      <w:pPr>
        <w:pStyle w:val="CETBodytext"/>
        <w:rPr>
          <w:lang w:val="en-GB"/>
        </w:rPr>
      </w:pPr>
    </w:p>
    <w:p w14:paraId="0DAE83D9" w14:textId="33608B7C" w:rsidR="00D026F3" w:rsidRPr="003805A1" w:rsidRDefault="00FD65AE" w:rsidP="003805A1">
      <w:pPr>
        <w:pStyle w:val="CETBodytext"/>
        <w:jc w:val="left"/>
        <w:rPr>
          <w:lang w:val="en-GB"/>
        </w:rPr>
      </w:pPr>
      <w:r>
        <w:rPr>
          <w:noProof/>
          <w:lang w:val="en-GB"/>
        </w:rPr>
        <w:drawing>
          <wp:inline distT="0" distB="0" distL="0" distR="0" wp14:anchorId="07E52BC0" wp14:editId="7DCC2483">
            <wp:extent cx="2520000" cy="2160000"/>
            <wp:effectExtent l="0" t="0" r="0" b="0"/>
            <wp:docPr id="15" name="Immagin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magine 15"/>
                    <pic:cNvPicPr/>
                  </pic:nvPicPr>
                  <pic:blipFill>
                    <a:blip r:embed="rId16"/>
                    <a:stretch>
                      <a:fillRect/>
                    </a:stretch>
                  </pic:blipFill>
                  <pic:spPr>
                    <a:xfrm>
                      <a:off x="0" y="0"/>
                      <a:ext cx="2520000" cy="2160000"/>
                    </a:xfrm>
                    <a:prstGeom prst="rect">
                      <a:avLst/>
                    </a:prstGeom>
                  </pic:spPr>
                </pic:pic>
              </a:graphicData>
            </a:graphic>
          </wp:inline>
        </w:drawing>
      </w:r>
      <w:r>
        <w:rPr>
          <w:noProof/>
          <w:lang w:val="en-GB"/>
        </w:rPr>
        <w:drawing>
          <wp:inline distT="0" distB="0" distL="0" distR="0" wp14:anchorId="36C10E96" wp14:editId="22E133BA">
            <wp:extent cx="2520000" cy="2160000"/>
            <wp:effectExtent l="0" t="0" r="0" b="0"/>
            <wp:docPr id="12" name="Immagin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17"/>
                    <a:stretch>
                      <a:fillRect/>
                    </a:stretch>
                  </pic:blipFill>
                  <pic:spPr>
                    <a:xfrm>
                      <a:off x="0" y="0"/>
                      <a:ext cx="2520000" cy="2160000"/>
                    </a:xfrm>
                    <a:prstGeom prst="rect">
                      <a:avLst/>
                    </a:prstGeom>
                  </pic:spPr>
                </pic:pic>
              </a:graphicData>
            </a:graphic>
          </wp:inline>
        </w:drawing>
      </w:r>
    </w:p>
    <w:p w14:paraId="1D3FC74C" w14:textId="10ADCC00" w:rsidR="00235C63" w:rsidRPr="000C06BC" w:rsidRDefault="00D026F3" w:rsidP="00972612">
      <w:pPr>
        <w:pStyle w:val="CETCaption"/>
        <w:rPr>
          <w:lang w:val="en-US"/>
        </w:rPr>
      </w:pPr>
      <w:r w:rsidRPr="009B1617">
        <w:rPr>
          <w:lang w:val="en-US"/>
        </w:rPr>
        <w:t>Fig</w:t>
      </w:r>
      <w:r>
        <w:rPr>
          <w:lang w:val="en-US"/>
        </w:rPr>
        <w:t>ure</w:t>
      </w:r>
      <w:r w:rsidR="002B3500">
        <w:rPr>
          <w:lang w:val="en-US"/>
        </w:rPr>
        <w:t xml:space="preserve"> </w:t>
      </w:r>
      <w:r w:rsidR="008C0E75">
        <w:rPr>
          <w:lang w:val="en-US"/>
        </w:rPr>
        <w:t>3</w:t>
      </w:r>
      <w:r>
        <w:rPr>
          <w:lang w:val="en-US"/>
        </w:rPr>
        <w:t>:</w:t>
      </w:r>
      <w:r w:rsidR="008C0E75">
        <w:rPr>
          <w:lang w:val="en-US"/>
        </w:rPr>
        <w:t xml:space="preserve"> </w:t>
      </w:r>
      <w:r w:rsidRPr="009B1617">
        <w:rPr>
          <w:lang w:val="en-US"/>
        </w:rPr>
        <w:t xml:space="preserve">Linearity range of QSSP curves </w:t>
      </w:r>
      <w:r>
        <w:rPr>
          <w:lang w:val="en-US"/>
        </w:rPr>
        <w:t xml:space="preserve">for (a) HER and (b) OER </w:t>
      </w:r>
    </w:p>
    <w:p w14:paraId="5A1A6E93" w14:textId="77777777" w:rsidR="008F514E" w:rsidRDefault="008F514E" w:rsidP="0033660A">
      <w:pPr>
        <w:pStyle w:val="CETBodytext"/>
        <w:rPr>
          <w:lang w:val="en-GB"/>
        </w:rPr>
      </w:pPr>
    </w:p>
    <w:p w14:paraId="63AF6EFF" w14:textId="77777777" w:rsidR="00431951" w:rsidRPr="00B57B36" w:rsidRDefault="00431951" w:rsidP="00431951">
      <w:pPr>
        <w:pStyle w:val="CETTabletitle"/>
      </w:pPr>
      <w:r w:rsidRPr="00B57B36">
        <w:lastRenderedPageBreak/>
        <w:t xml:space="preserve">Table 1: </w:t>
      </w:r>
      <w:r w:rsidRPr="00017ED0">
        <w:rPr>
          <w:szCs w:val="24"/>
          <w:lang w:val="en-US"/>
        </w:rPr>
        <w:t xml:space="preserve">Fitted Tafel’s parameters for both reactions and both </w:t>
      </w:r>
      <w:r>
        <w:rPr>
          <w:szCs w:val="24"/>
          <w:lang w:val="en-US"/>
        </w:rPr>
        <w:t>electrodes.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709"/>
        <w:gridCol w:w="709"/>
        <w:gridCol w:w="709"/>
        <w:gridCol w:w="567"/>
        <w:gridCol w:w="567"/>
        <w:gridCol w:w="567"/>
      </w:tblGrid>
      <w:tr w:rsidR="00431951" w:rsidRPr="00B57B36" w14:paraId="26C8B870" w14:textId="77777777" w:rsidTr="00F83CEF">
        <w:tc>
          <w:tcPr>
            <w:tcW w:w="1134" w:type="dxa"/>
            <w:tcBorders>
              <w:top w:val="single" w:sz="12" w:space="0" w:color="008000"/>
              <w:bottom w:val="single" w:sz="6" w:space="0" w:color="008000"/>
            </w:tcBorders>
            <w:shd w:val="clear" w:color="auto" w:fill="FFFFFF"/>
          </w:tcPr>
          <w:p w14:paraId="5C42275E" w14:textId="77777777" w:rsidR="00431951" w:rsidRPr="00B57B36" w:rsidRDefault="00431951" w:rsidP="00F83CEF">
            <w:pPr>
              <w:pStyle w:val="CETBodytext"/>
              <w:rPr>
                <w:lang w:val="en-GB"/>
              </w:rPr>
            </w:pPr>
            <w:r>
              <w:rPr>
                <w:lang w:val="en-GB"/>
              </w:rPr>
              <w:t>Electrode</w:t>
            </w:r>
            <w:r w:rsidRPr="00B57B36">
              <w:rPr>
                <w:lang w:val="en-GB"/>
              </w:rPr>
              <w:t xml:space="preserve"> </w:t>
            </w:r>
          </w:p>
        </w:tc>
        <w:tc>
          <w:tcPr>
            <w:tcW w:w="709" w:type="dxa"/>
            <w:tcBorders>
              <w:top w:val="single" w:sz="12" w:space="0" w:color="008000"/>
              <w:bottom w:val="single" w:sz="6" w:space="0" w:color="008000"/>
            </w:tcBorders>
            <w:shd w:val="clear" w:color="auto" w:fill="FFFFFF"/>
          </w:tcPr>
          <w:p w14:paraId="70ED2F37" w14:textId="77777777" w:rsidR="00431951" w:rsidRPr="00B57B36" w:rsidRDefault="00431951" w:rsidP="00F83CEF">
            <w:pPr>
              <w:pStyle w:val="CETBodytext"/>
              <w:rPr>
                <w:lang w:val="en-GB"/>
              </w:rPr>
            </w:pPr>
            <w:r w:rsidRPr="00B57B36">
              <w:rPr>
                <w:lang w:val="en-GB"/>
              </w:rPr>
              <w:t>H</w:t>
            </w:r>
            <w:r>
              <w:rPr>
                <w:lang w:val="en-GB"/>
              </w:rPr>
              <w:t>ER</w:t>
            </w:r>
          </w:p>
        </w:tc>
        <w:tc>
          <w:tcPr>
            <w:tcW w:w="709" w:type="dxa"/>
            <w:tcBorders>
              <w:top w:val="single" w:sz="12" w:space="0" w:color="008000"/>
              <w:bottom w:val="single" w:sz="6" w:space="0" w:color="008000"/>
            </w:tcBorders>
            <w:shd w:val="clear" w:color="auto" w:fill="FFFFFF"/>
          </w:tcPr>
          <w:p w14:paraId="56394AAA" w14:textId="77777777" w:rsidR="00431951" w:rsidRPr="00B57B36" w:rsidRDefault="00431951" w:rsidP="00F83CEF">
            <w:pPr>
              <w:pStyle w:val="CETBodytext"/>
              <w:rPr>
                <w:lang w:val="en-GB"/>
              </w:rPr>
            </w:pPr>
          </w:p>
        </w:tc>
        <w:tc>
          <w:tcPr>
            <w:tcW w:w="709" w:type="dxa"/>
            <w:tcBorders>
              <w:top w:val="single" w:sz="12" w:space="0" w:color="008000"/>
              <w:bottom w:val="single" w:sz="6" w:space="0" w:color="008000"/>
            </w:tcBorders>
            <w:shd w:val="clear" w:color="auto" w:fill="FFFFFF"/>
          </w:tcPr>
          <w:p w14:paraId="6EF234FF" w14:textId="77777777" w:rsidR="00431951" w:rsidRPr="00B57B36" w:rsidRDefault="00431951" w:rsidP="00F83CEF">
            <w:pPr>
              <w:pStyle w:val="CETBodytext"/>
              <w:ind w:right="-1"/>
              <w:rPr>
                <w:rFonts w:cs="Arial"/>
                <w:szCs w:val="18"/>
                <w:lang w:val="en-GB"/>
              </w:rPr>
            </w:pPr>
          </w:p>
        </w:tc>
        <w:tc>
          <w:tcPr>
            <w:tcW w:w="567" w:type="dxa"/>
            <w:tcBorders>
              <w:top w:val="single" w:sz="12" w:space="0" w:color="008000"/>
              <w:bottom w:val="single" w:sz="6" w:space="0" w:color="008000"/>
            </w:tcBorders>
            <w:shd w:val="clear" w:color="auto" w:fill="FFFFFF"/>
          </w:tcPr>
          <w:p w14:paraId="5CE80149" w14:textId="77777777" w:rsidR="00431951" w:rsidRPr="00B57B36" w:rsidRDefault="00431951" w:rsidP="00F83CEF">
            <w:pPr>
              <w:pStyle w:val="CETBodytext"/>
              <w:ind w:right="-1"/>
              <w:rPr>
                <w:rFonts w:cs="Arial"/>
                <w:szCs w:val="18"/>
                <w:lang w:val="en-GB"/>
              </w:rPr>
            </w:pPr>
            <w:r>
              <w:rPr>
                <w:rFonts w:cs="Arial"/>
                <w:szCs w:val="18"/>
                <w:lang w:val="en-GB"/>
              </w:rPr>
              <w:t>OER</w:t>
            </w:r>
          </w:p>
        </w:tc>
        <w:tc>
          <w:tcPr>
            <w:tcW w:w="567" w:type="dxa"/>
            <w:tcBorders>
              <w:top w:val="single" w:sz="12" w:space="0" w:color="008000"/>
              <w:bottom w:val="single" w:sz="6" w:space="0" w:color="008000"/>
            </w:tcBorders>
            <w:shd w:val="clear" w:color="auto" w:fill="FFFFFF"/>
          </w:tcPr>
          <w:p w14:paraId="4B864807" w14:textId="77777777" w:rsidR="00431951" w:rsidRPr="00B57B36" w:rsidRDefault="00431951" w:rsidP="00F83CEF">
            <w:pPr>
              <w:pStyle w:val="CETBodytext"/>
              <w:ind w:right="-1"/>
              <w:rPr>
                <w:rFonts w:cs="Arial"/>
                <w:szCs w:val="18"/>
                <w:lang w:val="en-GB"/>
              </w:rPr>
            </w:pPr>
          </w:p>
        </w:tc>
        <w:tc>
          <w:tcPr>
            <w:tcW w:w="567" w:type="dxa"/>
            <w:tcBorders>
              <w:top w:val="single" w:sz="12" w:space="0" w:color="008000"/>
              <w:bottom w:val="single" w:sz="6" w:space="0" w:color="008000"/>
            </w:tcBorders>
            <w:shd w:val="clear" w:color="auto" w:fill="FFFFFF"/>
          </w:tcPr>
          <w:p w14:paraId="79860DB4" w14:textId="77777777" w:rsidR="00431951" w:rsidRPr="00B57B36" w:rsidRDefault="00431951" w:rsidP="00F83CEF">
            <w:pPr>
              <w:pStyle w:val="CETBodytext"/>
              <w:ind w:right="-1"/>
              <w:rPr>
                <w:rFonts w:cs="Arial"/>
                <w:szCs w:val="18"/>
                <w:lang w:val="en-GB"/>
              </w:rPr>
            </w:pPr>
          </w:p>
        </w:tc>
      </w:tr>
      <w:tr w:rsidR="00431951" w:rsidRPr="00B57B36" w14:paraId="4D6F7110" w14:textId="77777777" w:rsidTr="00F83CEF">
        <w:tc>
          <w:tcPr>
            <w:tcW w:w="1134" w:type="dxa"/>
            <w:shd w:val="clear" w:color="auto" w:fill="FFFFFF"/>
          </w:tcPr>
          <w:p w14:paraId="7D5878E0" w14:textId="77777777" w:rsidR="00431951" w:rsidRPr="00B57B36" w:rsidRDefault="00431951" w:rsidP="00F83CEF">
            <w:pPr>
              <w:pStyle w:val="CETBodytext"/>
              <w:rPr>
                <w:lang w:val="en-GB"/>
              </w:rPr>
            </w:pPr>
          </w:p>
        </w:tc>
        <w:tc>
          <w:tcPr>
            <w:tcW w:w="709" w:type="dxa"/>
            <w:shd w:val="clear" w:color="auto" w:fill="FFFFFF"/>
          </w:tcPr>
          <w:p w14:paraId="4622218F" w14:textId="77777777" w:rsidR="00431951" w:rsidRPr="00B57B36" w:rsidRDefault="00431951" w:rsidP="00F83CEF">
            <w:pPr>
              <w:pStyle w:val="CETBodytext"/>
              <w:rPr>
                <w:lang w:val="en-GB"/>
              </w:rPr>
            </w:pPr>
            <w:r>
              <w:rPr>
                <w:lang w:val="en-GB"/>
              </w:rPr>
              <w:t>a</w:t>
            </w:r>
          </w:p>
        </w:tc>
        <w:tc>
          <w:tcPr>
            <w:tcW w:w="709" w:type="dxa"/>
            <w:shd w:val="clear" w:color="auto" w:fill="FFFFFF"/>
          </w:tcPr>
          <w:p w14:paraId="266E5247" w14:textId="77777777" w:rsidR="00431951" w:rsidRPr="00B57B36" w:rsidRDefault="00431951" w:rsidP="00F83CEF">
            <w:pPr>
              <w:pStyle w:val="CETBodytext"/>
              <w:rPr>
                <w:lang w:val="en-GB"/>
              </w:rPr>
            </w:pPr>
            <w:r>
              <w:rPr>
                <w:lang w:val="en-GB"/>
              </w:rPr>
              <w:t>b</w:t>
            </w:r>
          </w:p>
        </w:tc>
        <w:tc>
          <w:tcPr>
            <w:tcW w:w="709" w:type="dxa"/>
            <w:shd w:val="clear" w:color="auto" w:fill="FFFFFF"/>
          </w:tcPr>
          <w:p w14:paraId="715733C6" w14:textId="77777777" w:rsidR="00431951" w:rsidRPr="00612FA1" w:rsidRDefault="00431951" w:rsidP="00F83CEF">
            <w:pPr>
              <w:pStyle w:val="CETBodytext"/>
              <w:ind w:right="-1"/>
              <w:rPr>
                <w:rFonts w:cs="Arial"/>
                <w:szCs w:val="18"/>
                <w:lang w:val="en-GB"/>
              </w:rPr>
            </w:pPr>
            <w:r>
              <w:rPr>
                <w:rFonts w:cs="Arial"/>
                <w:szCs w:val="18"/>
                <w:lang w:val="en-GB"/>
              </w:rPr>
              <w:t>R</w:t>
            </w:r>
            <w:r w:rsidRPr="00D026F3">
              <w:rPr>
                <w:rFonts w:cs="Arial"/>
                <w:szCs w:val="18"/>
                <w:vertAlign w:val="superscript"/>
                <w:lang w:val="en-GB"/>
              </w:rPr>
              <w:t>2</w:t>
            </w:r>
            <w:r>
              <w:rPr>
                <w:rFonts w:cs="Arial"/>
                <w:szCs w:val="18"/>
                <w:lang w:val="en-GB"/>
              </w:rPr>
              <w:t>(%)</w:t>
            </w:r>
          </w:p>
        </w:tc>
        <w:tc>
          <w:tcPr>
            <w:tcW w:w="567" w:type="dxa"/>
            <w:shd w:val="clear" w:color="auto" w:fill="FFFFFF"/>
          </w:tcPr>
          <w:p w14:paraId="396A25CC" w14:textId="77777777" w:rsidR="00431951" w:rsidRPr="00B57B36" w:rsidRDefault="00431951" w:rsidP="00F83CEF">
            <w:pPr>
              <w:pStyle w:val="CETBodytext"/>
              <w:ind w:right="-1"/>
              <w:rPr>
                <w:rFonts w:cs="Arial"/>
                <w:szCs w:val="18"/>
                <w:lang w:val="en-GB"/>
              </w:rPr>
            </w:pPr>
            <w:r>
              <w:rPr>
                <w:lang w:val="en-GB"/>
              </w:rPr>
              <w:t>a</w:t>
            </w:r>
          </w:p>
        </w:tc>
        <w:tc>
          <w:tcPr>
            <w:tcW w:w="567" w:type="dxa"/>
            <w:shd w:val="clear" w:color="auto" w:fill="FFFFFF"/>
          </w:tcPr>
          <w:p w14:paraId="3838C81E" w14:textId="77777777" w:rsidR="00431951" w:rsidRPr="00B57B36" w:rsidRDefault="00431951" w:rsidP="00F83CEF">
            <w:pPr>
              <w:pStyle w:val="CETBodytext"/>
              <w:ind w:right="-1"/>
              <w:rPr>
                <w:rFonts w:cs="Arial"/>
                <w:szCs w:val="18"/>
                <w:lang w:val="en-GB"/>
              </w:rPr>
            </w:pPr>
            <w:r>
              <w:rPr>
                <w:lang w:val="en-GB"/>
              </w:rPr>
              <w:t>b</w:t>
            </w:r>
          </w:p>
        </w:tc>
        <w:tc>
          <w:tcPr>
            <w:tcW w:w="567" w:type="dxa"/>
            <w:shd w:val="clear" w:color="auto" w:fill="FFFFFF"/>
          </w:tcPr>
          <w:p w14:paraId="75620BE6" w14:textId="77777777" w:rsidR="00431951" w:rsidRPr="00612FA1" w:rsidRDefault="00431951" w:rsidP="00F83CEF">
            <w:pPr>
              <w:pStyle w:val="CETBodytext"/>
              <w:ind w:right="-1"/>
              <w:rPr>
                <w:rFonts w:cs="Arial"/>
                <w:szCs w:val="18"/>
                <w:lang w:val="en-GB"/>
              </w:rPr>
            </w:pPr>
            <w:r>
              <w:rPr>
                <w:rFonts w:cs="Arial"/>
                <w:szCs w:val="18"/>
                <w:lang w:val="en-GB"/>
              </w:rPr>
              <w:t>R</w:t>
            </w:r>
            <w:r w:rsidRPr="00D026F3">
              <w:rPr>
                <w:rFonts w:cs="Arial"/>
                <w:szCs w:val="18"/>
                <w:vertAlign w:val="superscript"/>
                <w:lang w:val="en-GB"/>
              </w:rPr>
              <w:t>2</w:t>
            </w:r>
            <w:r>
              <w:rPr>
                <w:rFonts w:cs="Arial"/>
                <w:szCs w:val="18"/>
                <w:lang w:val="en-GB"/>
              </w:rPr>
              <w:t>(%)</w:t>
            </w:r>
          </w:p>
        </w:tc>
      </w:tr>
      <w:tr w:rsidR="00431951" w:rsidRPr="00B57B36" w14:paraId="044B5877" w14:textId="77777777" w:rsidTr="00F83CEF">
        <w:tc>
          <w:tcPr>
            <w:tcW w:w="1134" w:type="dxa"/>
            <w:shd w:val="clear" w:color="auto" w:fill="FFFFFF"/>
          </w:tcPr>
          <w:p w14:paraId="47514C0D" w14:textId="77777777" w:rsidR="00431951" w:rsidRPr="00B57B36" w:rsidRDefault="00431951" w:rsidP="00F83CEF">
            <w:pPr>
              <w:pStyle w:val="CETBodytext"/>
              <w:ind w:right="-1"/>
              <w:rPr>
                <w:rFonts w:cs="Arial"/>
                <w:szCs w:val="18"/>
                <w:lang w:val="en-GB"/>
              </w:rPr>
            </w:pPr>
            <w:r>
              <w:rPr>
                <w:lang w:val="en-GB"/>
              </w:rPr>
              <w:t>NiFe NWs</w:t>
            </w:r>
          </w:p>
        </w:tc>
        <w:tc>
          <w:tcPr>
            <w:tcW w:w="709" w:type="dxa"/>
            <w:shd w:val="clear" w:color="auto" w:fill="FFFFFF"/>
          </w:tcPr>
          <w:p w14:paraId="14DF7561" w14:textId="77777777" w:rsidR="00431951" w:rsidRPr="00B57B36" w:rsidRDefault="00431951" w:rsidP="00F83CEF">
            <w:pPr>
              <w:pStyle w:val="CETBodytext"/>
              <w:ind w:right="-1"/>
              <w:rPr>
                <w:rFonts w:cs="Arial"/>
                <w:szCs w:val="18"/>
                <w:lang w:val="en-GB"/>
              </w:rPr>
            </w:pPr>
            <w:r>
              <w:rPr>
                <w:rFonts w:cs="Arial"/>
                <w:szCs w:val="18"/>
                <w:lang w:val="en-GB"/>
              </w:rPr>
              <w:t>-0.471</w:t>
            </w:r>
          </w:p>
        </w:tc>
        <w:tc>
          <w:tcPr>
            <w:tcW w:w="709" w:type="dxa"/>
            <w:shd w:val="clear" w:color="auto" w:fill="FFFFFF"/>
          </w:tcPr>
          <w:p w14:paraId="5BA6B7DE" w14:textId="77777777" w:rsidR="00431951" w:rsidRPr="00B57B36" w:rsidRDefault="00431951" w:rsidP="00F83CEF">
            <w:pPr>
              <w:pStyle w:val="CETBodytext"/>
              <w:ind w:right="-1"/>
              <w:rPr>
                <w:rFonts w:cs="Arial"/>
                <w:szCs w:val="18"/>
                <w:lang w:val="en-GB"/>
              </w:rPr>
            </w:pPr>
            <w:r>
              <w:rPr>
                <w:rFonts w:cs="Arial"/>
                <w:szCs w:val="18"/>
                <w:lang w:val="en-GB"/>
              </w:rPr>
              <w:t>-0.116</w:t>
            </w:r>
          </w:p>
        </w:tc>
        <w:tc>
          <w:tcPr>
            <w:tcW w:w="709" w:type="dxa"/>
            <w:shd w:val="clear" w:color="auto" w:fill="FFFFFF"/>
          </w:tcPr>
          <w:p w14:paraId="25E8B13E" w14:textId="77777777" w:rsidR="00431951" w:rsidRPr="00B57B36" w:rsidRDefault="00431951" w:rsidP="00F83CEF">
            <w:pPr>
              <w:pStyle w:val="CETBodytext"/>
              <w:ind w:right="-1"/>
              <w:rPr>
                <w:rFonts w:cs="Arial"/>
                <w:szCs w:val="18"/>
                <w:lang w:val="en-GB"/>
              </w:rPr>
            </w:pPr>
            <w:r>
              <w:rPr>
                <w:rFonts w:cs="Arial"/>
                <w:szCs w:val="18"/>
                <w:lang w:val="en-GB"/>
              </w:rPr>
              <w:t>99.57</w:t>
            </w:r>
          </w:p>
        </w:tc>
        <w:tc>
          <w:tcPr>
            <w:tcW w:w="567" w:type="dxa"/>
            <w:shd w:val="clear" w:color="auto" w:fill="FFFFFF"/>
          </w:tcPr>
          <w:p w14:paraId="6AE45915" w14:textId="77777777" w:rsidR="00431951" w:rsidRPr="00B57B36" w:rsidRDefault="00431951" w:rsidP="00F83CEF">
            <w:pPr>
              <w:pStyle w:val="CETBodytext"/>
              <w:ind w:right="-1"/>
              <w:rPr>
                <w:rFonts w:cs="Arial"/>
                <w:szCs w:val="18"/>
                <w:lang w:val="en-GB"/>
              </w:rPr>
            </w:pPr>
            <w:r>
              <w:rPr>
                <w:rFonts w:cs="Arial"/>
                <w:szCs w:val="18"/>
                <w:lang w:val="en-GB"/>
              </w:rPr>
              <w:t>1.612</w:t>
            </w:r>
          </w:p>
        </w:tc>
        <w:tc>
          <w:tcPr>
            <w:tcW w:w="567" w:type="dxa"/>
            <w:shd w:val="clear" w:color="auto" w:fill="FFFFFF"/>
          </w:tcPr>
          <w:p w14:paraId="553A785C" w14:textId="77777777" w:rsidR="00431951" w:rsidRPr="00B57B36" w:rsidRDefault="00431951" w:rsidP="00F83CEF">
            <w:pPr>
              <w:pStyle w:val="CETBodytext"/>
              <w:ind w:right="-1"/>
              <w:rPr>
                <w:rFonts w:cs="Arial"/>
                <w:szCs w:val="18"/>
                <w:lang w:val="en-GB"/>
              </w:rPr>
            </w:pPr>
            <w:r>
              <w:rPr>
                <w:rFonts w:cs="Arial"/>
                <w:szCs w:val="18"/>
                <w:lang w:val="en-GB"/>
              </w:rPr>
              <w:t>0.045</w:t>
            </w:r>
          </w:p>
        </w:tc>
        <w:tc>
          <w:tcPr>
            <w:tcW w:w="567" w:type="dxa"/>
            <w:shd w:val="clear" w:color="auto" w:fill="FFFFFF"/>
          </w:tcPr>
          <w:p w14:paraId="3F283378" w14:textId="77777777" w:rsidR="00431951" w:rsidRPr="00B57B36" w:rsidRDefault="00431951" w:rsidP="00F83CEF">
            <w:pPr>
              <w:pStyle w:val="CETBodytext"/>
              <w:ind w:right="-1"/>
              <w:rPr>
                <w:rFonts w:cs="Arial"/>
                <w:szCs w:val="18"/>
                <w:lang w:val="en-GB"/>
              </w:rPr>
            </w:pPr>
            <w:r>
              <w:rPr>
                <w:rFonts w:cs="Arial"/>
                <w:szCs w:val="18"/>
                <w:lang w:val="en-GB"/>
              </w:rPr>
              <w:t>99.46</w:t>
            </w:r>
          </w:p>
        </w:tc>
      </w:tr>
      <w:tr w:rsidR="00431951" w:rsidRPr="00B57B36" w14:paraId="27DE4439" w14:textId="77777777" w:rsidTr="00F83CEF">
        <w:tc>
          <w:tcPr>
            <w:tcW w:w="1134" w:type="dxa"/>
            <w:shd w:val="clear" w:color="auto" w:fill="FFFFFF"/>
          </w:tcPr>
          <w:p w14:paraId="598D86D9" w14:textId="77777777" w:rsidR="00431951" w:rsidRPr="00B57B36" w:rsidRDefault="00431951" w:rsidP="00F83CEF">
            <w:pPr>
              <w:pStyle w:val="CETBodytext"/>
              <w:ind w:right="-1"/>
              <w:rPr>
                <w:rFonts w:cs="Arial"/>
                <w:szCs w:val="18"/>
                <w:lang w:val="en-GB"/>
              </w:rPr>
            </w:pPr>
            <w:r>
              <w:rPr>
                <w:rFonts w:cs="Arial"/>
                <w:szCs w:val="18"/>
                <w:lang w:val="en-GB"/>
              </w:rPr>
              <w:t>NiFeP NWs</w:t>
            </w:r>
          </w:p>
        </w:tc>
        <w:tc>
          <w:tcPr>
            <w:tcW w:w="709" w:type="dxa"/>
            <w:shd w:val="clear" w:color="auto" w:fill="FFFFFF"/>
          </w:tcPr>
          <w:p w14:paraId="257B26D3" w14:textId="77777777" w:rsidR="00431951" w:rsidRPr="00B57B36" w:rsidRDefault="00431951" w:rsidP="00F83CEF">
            <w:pPr>
              <w:pStyle w:val="CETBodytext"/>
              <w:ind w:right="-1"/>
              <w:rPr>
                <w:rFonts w:cs="Arial"/>
                <w:szCs w:val="18"/>
                <w:lang w:val="en-GB"/>
              </w:rPr>
            </w:pPr>
            <w:r>
              <w:rPr>
                <w:rFonts w:cs="Arial"/>
                <w:szCs w:val="18"/>
                <w:lang w:val="en-GB"/>
              </w:rPr>
              <w:t>-0.372</w:t>
            </w:r>
          </w:p>
        </w:tc>
        <w:tc>
          <w:tcPr>
            <w:tcW w:w="709" w:type="dxa"/>
            <w:shd w:val="clear" w:color="auto" w:fill="FFFFFF"/>
          </w:tcPr>
          <w:p w14:paraId="008D2707" w14:textId="77777777" w:rsidR="00431951" w:rsidRPr="00B57B36" w:rsidRDefault="00431951" w:rsidP="00F83CEF">
            <w:pPr>
              <w:pStyle w:val="CETBodytext"/>
              <w:ind w:right="-1"/>
              <w:rPr>
                <w:rFonts w:cs="Arial"/>
                <w:szCs w:val="18"/>
                <w:lang w:val="en-GB"/>
              </w:rPr>
            </w:pPr>
            <w:r>
              <w:rPr>
                <w:rFonts w:cs="Arial"/>
                <w:szCs w:val="18"/>
                <w:lang w:val="en-GB"/>
              </w:rPr>
              <w:t>-0.101</w:t>
            </w:r>
          </w:p>
        </w:tc>
        <w:tc>
          <w:tcPr>
            <w:tcW w:w="709" w:type="dxa"/>
            <w:shd w:val="clear" w:color="auto" w:fill="FFFFFF"/>
          </w:tcPr>
          <w:p w14:paraId="421ED7C3" w14:textId="77777777" w:rsidR="00431951" w:rsidRPr="00B57B36" w:rsidRDefault="00431951" w:rsidP="00F83CEF">
            <w:pPr>
              <w:pStyle w:val="CETBodytext"/>
              <w:ind w:right="-1"/>
              <w:rPr>
                <w:rFonts w:cs="Arial"/>
                <w:szCs w:val="18"/>
                <w:lang w:val="en-GB"/>
              </w:rPr>
            </w:pPr>
            <w:r>
              <w:rPr>
                <w:rFonts w:cs="Arial"/>
                <w:szCs w:val="18"/>
                <w:lang w:val="en-GB"/>
              </w:rPr>
              <w:t>99.28</w:t>
            </w:r>
          </w:p>
        </w:tc>
        <w:tc>
          <w:tcPr>
            <w:tcW w:w="567" w:type="dxa"/>
            <w:shd w:val="clear" w:color="auto" w:fill="FFFFFF"/>
          </w:tcPr>
          <w:p w14:paraId="344831BA" w14:textId="77777777" w:rsidR="00431951" w:rsidRPr="00B57B36" w:rsidRDefault="00431951" w:rsidP="00F83CEF">
            <w:pPr>
              <w:pStyle w:val="CETBodytext"/>
              <w:ind w:right="-1"/>
              <w:rPr>
                <w:rFonts w:cs="Arial"/>
                <w:szCs w:val="18"/>
                <w:lang w:val="en-GB"/>
              </w:rPr>
            </w:pPr>
            <w:r>
              <w:rPr>
                <w:rFonts w:cs="Arial"/>
                <w:szCs w:val="18"/>
                <w:lang w:val="en-GB"/>
              </w:rPr>
              <w:t>1.581</w:t>
            </w:r>
          </w:p>
        </w:tc>
        <w:tc>
          <w:tcPr>
            <w:tcW w:w="567" w:type="dxa"/>
            <w:shd w:val="clear" w:color="auto" w:fill="FFFFFF"/>
          </w:tcPr>
          <w:p w14:paraId="50A8825D" w14:textId="77777777" w:rsidR="00431951" w:rsidRPr="00B57B36" w:rsidRDefault="00431951" w:rsidP="00F83CEF">
            <w:pPr>
              <w:pStyle w:val="CETBodytext"/>
              <w:ind w:right="-1"/>
              <w:rPr>
                <w:rFonts w:cs="Arial"/>
                <w:szCs w:val="18"/>
                <w:lang w:val="en-GB"/>
              </w:rPr>
            </w:pPr>
            <w:r>
              <w:rPr>
                <w:rFonts w:cs="Arial"/>
                <w:szCs w:val="18"/>
                <w:lang w:val="en-GB"/>
              </w:rPr>
              <w:t>0.039</w:t>
            </w:r>
          </w:p>
        </w:tc>
        <w:tc>
          <w:tcPr>
            <w:tcW w:w="567" w:type="dxa"/>
            <w:shd w:val="clear" w:color="auto" w:fill="FFFFFF"/>
          </w:tcPr>
          <w:p w14:paraId="6B9E02CC" w14:textId="77777777" w:rsidR="00431951" w:rsidRPr="00B57B36" w:rsidRDefault="00431951" w:rsidP="00F83CEF">
            <w:pPr>
              <w:pStyle w:val="CETBodytext"/>
              <w:ind w:right="-1"/>
              <w:rPr>
                <w:rFonts w:cs="Arial"/>
                <w:szCs w:val="18"/>
                <w:lang w:val="en-GB"/>
              </w:rPr>
            </w:pPr>
            <w:r>
              <w:rPr>
                <w:rFonts w:cs="Arial"/>
                <w:szCs w:val="18"/>
                <w:lang w:val="en-GB"/>
              </w:rPr>
              <w:t>99.77</w:t>
            </w:r>
          </w:p>
        </w:tc>
      </w:tr>
    </w:tbl>
    <w:p w14:paraId="14EBF8C8" w14:textId="4C577D01" w:rsidR="00431951" w:rsidRDefault="00431951" w:rsidP="00431951">
      <w:pPr>
        <w:pStyle w:val="CETBodytext"/>
        <w:rPr>
          <w:lang w:val="en-GB"/>
        </w:rPr>
      </w:pPr>
    </w:p>
    <w:p w14:paraId="53637E08" w14:textId="77777777" w:rsidR="00CF713D" w:rsidRDefault="00CF713D" w:rsidP="00431951">
      <w:pPr>
        <w:pStyle w:val="CETBodytext"/>
        <w:rPr>
          <w:lang w:val="en-GB"/>
        </w:rPr>
      </w:pPr>
    </w:p>
    <w:p w14:paraId="24D1AE7C" w14:textId="2901ADE5" w:rsidR="009B3EAD" w:rsidRPr="003904C0" w:rsidRDefault="009B3EAD" w:rsidP="009B3EAD">
      <w:pPr>
        <w:pStyle w:val="CETBodytext"/>
      </w:pPr>
      <w:r w:rsidRPr="003904C0">
        <w:rPr>
          <w:lang w:val="en-GB"/>
        </w:rPr>
        <w:t>Moreover, the stability of electrocatalyst is an</w:t>
      </w:r>
      <w:r>
        <w:rPr>
          <w:lang w:val="en-GB"/>
        </w:rPr>
        <w:t xml:space="preserve"> </w:t>
      </w:r>
      <w:r w:rsidRPr="003904C0">
        <w:rPr>
          <w:lang w:val="en-GB"/>
        </w:rPr>
        <w:t xml:space="preserve">important index that represents the ability to </w:t>
      </w:r>
      <w:r w:rsidR="00682C6D" w:rsidRPr="003904C0">
        <w:rPr>
          <w:lang w:val="en-GB"/>
        </w:rPr>
        <w:t>cataly</w:t>
      </w:r>
      <w:r w:rsidR="00682C6D">
        <w:rPr>
          <w:lang w:val="en-GB"/>
        </w:rPr>
        <w:t>se</w:t>
      </w:r>
      <w:r w:rsidR="00682C6D" w:rsidRPr="003904C0">
        <w:rPr>
          <w:lang w:val="en-GB"/>
        </w:rPr>
        <w:t xml:space="preserve"> </w:t>
      </w:r>
      <w:r w:rsidRPr="003904C0">
        <w:rPr>
          <w:lang w:val="en-GB"/>
        </w:rPr>
        <w:t>water</w:t>
      </w:r>
      <w:r>
        <w:rPr>
          <w:lang w:val="en-GB"/>
        </w:rPr>
        <w:t xml:space="preserve"> </w:t>
      </w:r>
      <w:r w:rsidRPr="003904C0">
        <w:rPr>
          <w:lang w:val="en-GB"/>
        </w:rPr>
        <w:t>splitting for a long time</w:t>
      </w:r>
      <w:r>
        <w:rPr>
          <w:lang w:val="en-GB"/>
        </w:rPr>
        <w:t xml:space="preserve">. In the figures 4a and 4b, </w:t>
      </w:r>
      <w:r w:rsidR="00682C6D">
        <w:rPr>
          <w:lang w:val="en-GB"/>
        </w:rPr>
        <w:t xml:space="preserve">stability </w:t>
      </w:r>
      <w:r>
        <w:rPr>
          <w:lang w:val="en-GB"/>
        </w:rPr>
        <w:t xml:space="preserve">test results </w:t>
      </w:r>
      <w:r w:rsidR="00682C6D">
        <w:rPr>
          <w:lang w:val="en-GB"/>
        </w:rPr>
        <w:t>are shown</w:t>
      </w:r>
      <w:r>
        <w:rPr>
          <w:lang w:val="en-GB"/>
        </w:rPr>
        <w:t>.</w:t>
      </w:r>
    </w:p>
    <w:p w14:paraId="5BE95FC7" w14:textId="36D196F4" w:rsidR="00972612" w:rsidRPr="00972612" w:rsidRDefault="00913637" w:rsidP="00972612">
      <w:r>
        <w:t>B</w:t>
      </w:r>
      <w:r w:rsidRPr="00BD1252">
        <w:t xml:space="preserve">oth electrodes showed very good stability. </w:t>
      </w:r>
      <w:r w:rsidR="00D60FAA">
        <w:t>T</w:t>
      </w:r>
      <w:r w:rsidRPr="00BD1252">
        <w:t>he potential values remained almost constant between the start and end of the test</w:t>
      </w:r>
      <w:r>
        <w:t>.</w:t>
      </w:r>
      <w:r w:rsidRPr="00BD1252">
        <w:t xml:space="preserve"> </w:t>
      </w:r>
      <w:r w:rsidR="00D60FAA">
        <w:t>T</w:t>
      </w:r>
      <w:r w:rsidR="00D60FAA" w:rsidRPr="00D60FAA">
        <w:t>hroughout the test, the ternary alloy potential is lower than the binary one</w:t>
      </w:r>
      <w:r w:rsidR="00D60FAA">
        <w:t xml:space="preserve">. </w:t>
      </w:r>
      <w:r w:rsidR="00BD1252" w:rsidRPr="00BD1252">
        <w:t>By switching from binary to ternary alloy, an energy gain of 100 mV was obtained</w:t>
      </w:r>
      <w:r w:rsidR="00BD1252">
        <w:t xml:space="preserve"> for HER and 40 mV for OER.</w:t>
      </w:r>
      <w:r w:rsidR="003904C0">
        <w:t xml:space="preserve"> </w:t>
      </w:r>
      <w:r w:rsidR="00D60FAA">
        <w:t>T</w:t>
      </w:r>
      <w:r w:rsidR="003904C0" w:rsidRPr="003904C0">
        <w:t>hese results confirm those obtained through the QSSPs</w:t>
      </w:r>
      <w:r w:rsidR="003904C0">
        <w:t>.</w:t>
      </w:r>
      <w:r w:rsidR="002F0539">
        <w:t xml:space="preserve"> The presence </w:t>
      </w:r>
      <w:r w:rsidR="000E6E6B" w:rsidRPr="000E6E6B">
        <w:t>of phosphorus</w:t>
      </w:r>
      <w:r w:rsidR="000E6E6B">
        <w:t xml:space="preserve"> </w:t>
      </w:r>
      <w:r w:rsidR="000E6E6B" w:rsidRPr="002F0539">
        <w:t>improves the kinetics of both reactions in an alkaline environmen</w:t>
      </w:r>
      <w:r w:rsidR="000E6E6B">
        <w:t>t.</w:t>
      </w:r>
      <w:r w:rsidR="00972612">
        <w:t xml:space="preserve"> Within the literature,</w:t>
      </w:r>
      <w:r w:rsidR="000E6E6B">
        <w:t xml:space="preserve"> </w:t>
      </w:r>
      <w:r w:rsidR="00972612">
        <w:t>i</w:t>
      </w:r>
      <w:r w:rsidR="00972612" w:rsidRPr="00972612">
        <w:t>n a catalyst consisting of two or more metals, a synergistic effect is created between the constituents such that the properties and thus, the intrinsic catalytic activity of each element are enhanced</w:t>
      </w:r>
      <w:r w:rsidR="00972612">
        <w:t xml:space="preserve"> </w:t>
      </w:r>
      <w:r w:rsidR="00972612">
        <w:fldChar w:fldCharType="begin"/>
      </w:r>
      <w:r w:rsidR="00972612">
        <w:instrText xml:space="preserve"> ADDIN ZOTERO_ITEM CSL_CITATION {"citationID":"s1Oi5bUK","properties":{"formattedCitation":"(Wu, 2022)","plainCitation":"(Wu, 2022)","noteIndex":0},"citationItems":[{"id":293,"uris":["http://zotero.org/users/local/CLlS0C19/items/SGYNH2EK"],"itemData":{"id":293,"type":"article-journal","abstract":"The development of energy materials possessing large number of active sites and exhibiting increased catalytic performance is an important strategy in (electro)catalysis. In this study, Ni2P/NiFeP owning rich interfaces was fabricated within the Ni(OH)2 nanosheet arrays to form hetero-structured Ni2P/NiFeP cat­ alysts via the Kirkendall effect. The as-prepared catalysts exhibited only 250 mV overpotential towards the oxygen evolution reaction (OER) at + 50 mA cm−2 in alkaline electrolytes, and delivered a current density of + 10 mA cm−2 at 1.57 V in a complete and fully functional water electrolyser using the Ni2P/NiFeP and Ni2P/ Ni2P catalysts on the anode and cathode side, respectively. The evolution and reconstruction of the interface in Ni2P/NiFeP during the electrochemical stability test experiments was also studied. It was found that reducing the interface resulted in a decrease in electrocatalytic performance and a transition in crystal structure to amorphous state was observed. The method developed in this investigation has been found to be useful for developing catalysts of rich interfaces, in turns paving the way for integrating novel highly active and stable electrocatalysts in electrochemical water splitting technologies.","container-title":"Journal of Alloys and Compounds","language":"en","page":"10","source":"Zotero","title":"Ni2P nanoparticles-inserted NiFeP nanosheets with rich interfaces as efficient catalysts for the oxygen evolution reaction","author":[{"family":"Wu","given":"Yutai"}],"issued":{"date-parts":[["2022"]]}}}],"schema":"https://github.com/citation-style-language/schema/raw/master/csl-citation.json"} </w:instrText>
      </w:r>
      <w:r w:rsidR="00972612">
        <w:fldChar w:fldCharType="separate"/>
      </w:r>
      <w:r w:rsidR="00972612" w:rsidRPr="00972612">
        <w:rPr>
          <w:rFonts w:cs="Arial"/>
        </w:rPr>
        <w:t>(Wu, 2022)</w:t>
      </w:r>
      <w:r w:rsidR="00972612">
        <w:fldChar w:fldCharType="end"/>
      </w:r>
      <w:r w:rsidR="00972612" w:rsidRPr="00972612">
        <w:t>.</w:t>
      </w:r>
    </w:p>
    <w:p w14:paraId="349016A1" w14:textId="2AE6DD9D" w:rsidR="000F28EF" w:rsidRDefault="000F28EF" w:rsidP="0033660A">
      <w:pPr>
        <w:pStyle w:val="CETBodytext"/>
        <w:rPr>
          <w:lang w:val="en-GB"/>
        </w:rPr>
      </w:pPr>
    </w:p>
    <w:p w14:paraId="22CF80C8" w14:textId="77777777" w:rsidR="000F28EF" w:rsidRDefault="000F28EF" w:rsidP="00F419F1">
      <w:pPr>
        <w:pStyle w:val="CETBodytext"/>
        <w:rPr>
          <w:lang w:val="en-GB"/>
        </w:rPr>
      </w:pPr>
    </w:p>
    <w:p w14:paraId="59841EA3" w14:textId="3CA4046F" w:rsidR="00860B1A" w:rsidRDefault="00FD65AE" w:rsidP="00D60FAA">
      <w:pPr>
        <w:pStyle w:val="CETBodytext"/>
        <w:jc w:val="left"/>
        <w:rPr>
          <w:lang w:val="en-GB"/>
        </w:rPr>
      </w:pPr>
      <w:r>
        <w:rPr>
          <w:noProof/>
          <w:lang w:val="en-GB"/>
        </w:rPr>
        <w:drawing>
          <wp:inline distT="0" distB="0" distL="0" distR="0" wp14:anchorId="7B4AF45B" wp14:editId="56C05191">
            <wp:extent cx="2520000" cy="2160000"/>
            <wp:effectExtent l="0" t="0" r="0" b="0"/>
            <wp:docPr id="18" name="Immagin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magine 18"/>
                    <pic:cNvPicPr/>
                  </pic:nvPicPr>
                  <pic:blipFill>
                    <a:blip r:embed="rId18"/>
                    <a:stretch>
                      <a:fillRect/>
                    </a:stretch>
                  </pic:blipFill>
                  <pic:spPr>
                    <a:xfrm>
                      <a:off x="0" y="0"/>
                      <a:ext cx="2520000" cy="2160000"/>
                    </a:xfrm>
                    <a:prstGeom prst="rect">
                      <a:avLst/>
                    </a:prstGeom>
                  </pic:spPr>
                </pic:pic>
              </a:graphicData>
            </a:graphic>
          </wp:inline>
        </w:drawing>
      </w:r>
      <w:r>
        <w:rPr>
          <w:noProof/>
          <w:lang w:val="en-GB"/>
        </w:rPr>
        <w:drawing>
          <wp:inline distT="0" distB="0" distL="0" distR="0" wp14:anchorId="34FF5D5E" wp14:editId="69DF41FE">
            <wp:extent cx="2520000" cy="2160000"/>
            <wp:effectExtent l="0" t="0" r="0" b="0"/>
            <wp:docPr id="17" name="Immagin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19"/>
                    <a:stretch>
                      <a:fillRect/>
                    </a:stretch>
                  </pic:blipFill>
                  <pic:spPr>
                    <a:xfrm>
                      <a:off x="0" y="0"/>
                      <a:ext cx="2520000" cy="2160000"/>
                    </a:xfrm>
                    <a:prstGeom prst="rect">
                      <a:avLst/>
                    </a:prstGeom>
                  </pic:spPr>
                </pic:pic>
              </a:graphicData>
            </a:graphic>
          </wp:inline>
        </w:drawing>
      </w:r>
    </w:p>
    <w:p w14:paraId="62E37D60" w14:textId="22E3C53E" w:rsidR="00972612" w:rsidRDefault="000F28EF" w:rsidP="00A3276E">
      <w:pPr>
        <w:pStyle w:val="CETCaption"/>
        <w:rPr>
          <w:vertAlign w:val="superscript"/>
        </w:rPr>
      </w:pPr>
      <w:r w:rsidRPr="00F12EF6">
        <w:t>Figure</w:t>
      </w:r>
      <w:r w:rsidR="00A00AF1">
        <w:t xml:space="preserve"> 4</w:t>
      </w:r>
      <w:r>
        <w:t xml:space="preserve">: </w:t>
      </w:r>
      <w:r w:rsidRPr="00F12EF6">
        <w:t xml:space="preserve">Mid-term stability test for </w:t>
      </w:r>
      <w:r w:rsidR="009432C2">
        <w:t>3</w:t>
      </w:r>
      <w:r w:rsidRPr="00F12EF6">
        <w:t xml:space="preserve"> hours for (a) HER at -50 mA cm</w:t>
      </w:r>
      <w:r w:rsidRPr="00F12EF6">
        <w:rPr>
          <w:vertAlign w:val="superscript"/>
        </w:rPr>
        <w:t>-2</w:t>
      </w:r>
      <w:r w:rsidRPr="00F12EF6">
        <w:t xml:space="preserve"> and b) OER at 50 mA cm</w:t>
      </w:r>
      <w:r w:rsidRPr="00F12EF6">
        <w:rPr>
          <w:vertAlign w:val="superscript"/>
        </w:rPr>
        <w:t>-2</w:t>
      </w:r>
    </w:p>
    <w:p w14:paraId="17129213" w14:textId="77777777" w:rsidR="009B3EAD" w:rsidRDefault="009B3EAD" w:rsidP="00A3276E">
      <w:pPr>
        <w:pStyle w:val="CETCaption"/>
      </w:pPr>
    </w:p>
    <w:p w14:paraId="3447DAD5" w14:textId="2C1570F6" w:rsidR="00BD1252" w:rsidRDefault="00BD1252" w:rsidP="00BD1252">
      <w:pPr>
        <w:pStyle w:val="CETHeading1"/>
      </w:pPr>
      <w:r>
        <w:t>Conclusions</w:t>
      </w:r>
    </w:p>
    <w:p w14:paraId="4D9B4A95" w14:textId="77777777" w:rsidR="00972612" w:rsidRPr="00972612" w:rsidRDefault="00972612" w:rsidP="00972612">
      <w:pPr>
        <w:pStyle w:val="CETBodytext"/>
      </w:pPr>
    </w:p>
    <w:p w14:paraId="2B6290C2" w14:textId="499AA277" w:rsidR="00972612" w:rsidRPr="00CF713D" w:rsidRDefault="00BD1252" w:rsidP="00972612">
      <w:pPr>
        <w:pStyle w:val="CETBodytext"/>
      </w:pPr>
      <w:r w:rsidRPr="00BD1252">
        <w:t xml:space="preserve">NiFeP NWs </w:t>
      </w:r>
      <w:r w:rsidR="000C06BC" w:rsidRPr="000C06BC">
        <w:t>have been successfully manufactured</w:t>
      </w:r>
      <w:r w:rsidR="000C06BC">
        <w:t xml:space="preserve"> </w:t>
      </w:r>
      <w:r w:rsidRPr="00BD1252">
        <w:t>in order to improve the already known performance of NiFe</w:t>
      </w:r>
      <w:r w:rsidR="00A3276E">
        <w:t xml:space="preserve"> NWs</w:t>
      </w:r>
      <w:r>
        <w:t xml:space="preserve">. </w:t>
      </w:r>
      <w:r w:rsidR="000C06BC">
        <w:t>T</w:t>
      </w:r>
      <w:r w:rsidR="000C06BC" w:rsidRPr="000C06BC">
        <w:t>he deposition method used is simple and inexpensive</w:t>
      </w:r>
      <w:r w:rsidR="000C06BC">
        <w:t xml:space="preserve">. </w:t>
      </w:r>
      <w:r w:rsidR="00A3276E">
        <w:t>SEM</w:t>
      </w:r>
      <w:r w:rsidR="00A3276E" w:rsidRPr="00A3276E">
        <w:t xml:space="preserve"> images showed nanostructured morphology.</w:t>
      </w:r>
      <w:r w:rsidR="00A3276E">
        <w:t xml:space="preserve"> T</w:t>
      </w:r>
      <w:r w:rsidR="00A3276E" w:rsidRPr="00A3276E">
        <w:t xml:space="preserve">he presence of the 3 elements was confirmed by </w:t>
      </w:r>
      <w:r w:rsidR="009B3EAD" w:rsidRPr="00A3276E">
        <w:t>EDS</w:t>
      </w:r>
      <w:r w:rsidR="00A3276E" w:rsidRPr="00A3276E">
        <w:t xml:space="preserve"> and </w:t>
      </w:r>
      <w:r w:rsidR="00636A4D">
        <w:t>XRD</w:t>
      </w:r>
      <w:r w:rsidR="00A3276E" w:rsidRPr="00A3276E">
        <w:t xml:space="preserve"> analysis</w:t>
      </w:r>
      <w:r w:rsidR="00A3276E">
        <w:t xml:space="preserve">. </w:t>
      </w:r>
      <w:r w:rsidR="00A3276E" w:rsidRPr="00A3276E">
        <w:t>After assessing morphology and composition, the electrodes were tested both as anodes and as cathodes in a 30% by weight aqueous KOH solution</w:t>
      </w:r>
      <w:r w:rsidR="00A3276E">
        <w:t xml:space="preserve">. </w:t>
      </w:r>
      <w:r w:rsidR="00A3276E" w:rsidRPr="00A3276E">
        <w:t>Preliminary results have shown a significant increase in performance using the ternary alloy</w:t>
      </w:r>
      <w:r w:rsidR="00A3276E">
        <w:t xml:space="preserve">. </w:t>
      </w:r>
      <w:r w:rsidR="00CF713D">
        <w:t xml:space="preserve">Therefore, </w:t>
      </w:r>
      <w:r w:rsidR="00CF713D" w:rsidRPr="00CF713D">
        <w:t>it can be considered</w:t>
      </w:r>
      <w:r w:rsidR="00CF713D">
        <w:t xml:space="preserve"> </w:t>
      </w:r>
      <w:r w:rsidR="00CF713D" w:rsidRPr="00CF713D">
        <w:t xml:space="preserve">an excellent </w:t>
      </w:r>
      <w:r w:rsidR="00CF713D">
        <w:t>bi-</w:t>
      </w:r>
      <w:r w:rsidR="00CF713D" w:rsidRPr="00CF713D">
        <w:t xml:space="preserve">catalyst for water splitting reactions in an alkaline </w:t>
      </w:r>
      <w:r w:rsidR="00CF713D">
        <w:t xml:space="preserve">media. </w:t>
      </w:r>
      <w:r w:rsidR="00A3276E" w:rsidRPr="00A3276E">
        <w:rPr>
          <w:lang w:val="en-GB"/>
        </w:rPr>
        <w:t>Further work is in progress aimed to fabricate and test</w:t>
      </w:r>
      <w:r w:rsidR="00A3276E">
        <w:rPr>
          <w:lang w:val="en-GB"/>
        </w:rPr>
        <w:t xml:space="preserve"> electrodes </w:t>
      </w:r>
      <w:r w:rsidR="00A3276E" w:rsidRPr="00A3276E">
        <w:rPr>
          <w:lang w:val="en-GB"/>
        </w:rPr>
        <w:t>with different phosphorus content</w:t>
      </w:r>
      <w:r w:rsidR="00A3276E">
        <w:rPr>
          <w:lang w:val="en-GB"/>
        </w:rPr>
        <w:t xml:space="preserve"> </w:t>
      </w:r>
      <w:r w:rsidR="001D1027" w:rsidRPr="001D1027">
        <w:rPr>
          <w:lang w:val="en-GB"/>
        </w:rPr>
        <w:t>to assess the effect of composition on electrochemical and electrocatalytic performance</w:t>
      </w:r>
      <w:r w:rsidR="001D1027">
        <w:rPr>
          <w:lang w:val="en-GB"/>
        </w:rPr>
        <w:t>.</w:t>
      </w:r>
    </w:p>
    <w:p w14:paraId="3FCFA133" w14:textId="7F582828" w:rsidR="0091537C" w:rsidRPr="006E26A9" w:rsidRDefault="0091537C" w:rsidP="0091537C">
      <w:pPr>
        <w:pStyle w:val="CETAcknowledgementstitle"/>
      </w:pPr>
      <w:r>
        <w:t>Acknowledgments</w:t>
      </w:r>
    </w:p>
    <w:p w14:paraId="0D784C09" w14:textId="2B061E70" w:rsidR="002B3500" w:rsidRPr="008F514E" w:rsidRDefault="002D7D51" w:rsidP="008F514E">
      <w:pPr>
        <w:pStyle w:val="CETBodytext"/>
      </w:pPr>
      <w:r>
        <w:t>This research was funded by MUR, CNMS Centro Nazionale per la Mobilità sostenibile grant number CN00000023</w:t>
      </w:r>
    </w:p>
    <w:p w14:paraId="7696AE64" w14:textId="31EB4ACF" w:rsidR="001D1027" w:rsidRPr="009479A3" w:rsidRDefault="001D1027" w:rsidP="001D1027">
      <w:pPr>
        <w:pStyle w:val="CETReference"/>
        <w:rPr>
          <w:lang w:val="en-US"/>
        </w:rPr>
      </w:pPr>
      <w:r w:rsidRPr="009479A3">
        <w:rPr>
          <w:lang w:val="en-US"/>
        </w:rPr>
        <w:t>References</w:t>
      </w:r>
    </w:p>
    <w:p w14:paraId="2C3E5351" w14:textId="4DE7312A" w:rsidR="008B00B9" w:rsidRPr="008B00B9" w:rsidRDefault="008B00B9" w:rsidP="008B00B9">
      <w:pPr>
        <w:pStyle w:val="Bibliografia"/>
        <w:rPr>
          <w:rFonts w:cs="Arial"/>
          <w:lang w:val="it-IT"/>
        </w:rPr>
      </w:pPr>
      <w:r>
        <w:fldChar w:fldCharType="begin"/>
      </w:r>
      <w:r w:rsidRPr="008B00B9">
        <w:rPr>
          <w:lang w:val="it-IT"/>
        </w:rPr>
        <w:instrText xml:space="preserve"> ADDIN ZOTERO_BIBL {"uncited":[],"omitted":[],"custom":[]} CSL_BIBLIOGRAPHY </w:instrText>
      </w:r>
      <w:r>
        <w:fldChar w:fldCharType="separate"/>
      </w:r>
      <w:r w:rsidRPr="008B00B9">
        <w:rPr>
          <w:rFonts w:cs="Arial"/>
          <w:lang w:val="it-IT"/>
        </w:rPr>
        <w:t xml:space="preserve">Barati Darband, G., Aliofkhazraei, M., Hyun, S., Shanmugam, S., 2020. </w:t>
      </w:r>
      <w:r w:rsidRPr="008B00B9">
        <w:rPr>
          <w:rFonts w:cs="Arial"/>
        </w:rPr>
        <w:t xml:space="preserve">Pulse Electrodeposition of a Superhydrophilic and Binder-Free Ni–Fe–P Nanostructure as Highly Active and Durable </w:t>
      </w:r>
      <w:r w:rsidRPr="008B00B9">
        <w:rPr>
          <w:rFonts w:cs="Arial"/>
        </w:rPr>
        <w:lastRenderedPageBreak/>
        <w:t xml:space="preserve">Electrocatalyst for Both Hydrogen and Oxygen Evolution Reactions. </w:t>
      </w:r>
      <w:r w:rsidRPr="008B00B9">
        <w:rPr>
          <w:rFonts w:cs="Arial"/>
          <w:lang w:val="it-IT"/>
        </w:rPr>
        <w:t>ACS Appl. Mater. Interfaces 12, 53719–53730.</w:t>
      </w:r>
    </w:p>
    <w:p w14:paraId="6E0F2610" w14:textId="2CC242F4" w:rsidR="008B00B9" w:rsidRPr="00B4596A" w:rsidRDefault="008B00B9" w:rsidP="008B00B9">
      <w:pPr>
        <w:pStyle w:val="Bibliografia"/>
        <w:rPr>
          <w:rFonts w:cs="Arial"/>
          <w:lang w:val="it-IT"/>
        </w:rPr>
      </w:pPr>
      <w:r w:rsidRPr="008B00B9">
        <w:rPr>
          <w:rFonts w:cs="Arial"/>
          <w:lang w:val="it-IT"/>
        </w:rPr>
        <w:t xml:space="preserve">Battiato, S., Bruno, L., Pellegrino, A.L., Terrasi, A., Mirabella, S., 2022. </w:t>
      </w:r>
      <w:r w:rsidRPr="008B00B9">
        <w:rPr>
          <w:rFonts w:cs="Arial"/>
        </w:rPr>
        <w:t xml:space="preserve">×Optimized electroless deposition of NiCoP electrocalysts for enhanced water splitting. </w:t>
      </w:r>
      <w:r w:rsidRPr="00B4596A">
        <w:rPr>
          <w:rFonts w:cs="Arial"/>
          <w:lang w:val="it-IT"/>
        </w:rPr>
        <w:t xml:space="preserve">Catalysis Today S0920586122003856. </w:t>
      </w:r>
    </w:p>
    <w:p w14:paraId="56341345" w14:textId="338F4E27" w:rsidR="008B00B9" w:rsidRPr="008B00B9" w:rsidRDefault="008B00B9" w:rsidP="008B00B9">
      <w:pPr>
        <w:pStyle w:val="Bibliografia"/>
        <w:rPr>
          <w:rFonts w:cs="Arial"/>
        </w:rPr>
      </w:pPr>
      <w:r w:rsidRPr="008B00B9">
        <w:rPr>
          <w:rFonts w:cs="Arial"/>
          <w:lang w:val="it-IT"/>
        </w:rPr>
        <w:t xml:space="preserve">Buccheri, B., Ganci, F., Patella, B., Aiello, G., Mandin, P., Inguanta, R., 2021. </w:t>
      </w:r>
      <w:r w:rsidRPr="008B00B9">
        <w:rPr>
          <w:rFonts w:cs="Arial"/>
        </w:rPr>
        <w:t xml:space="preserve">Ni-Fe alloy nanostructured electrodes for water splitting in alkaline electrolyser. Electrochimica Acta 388, 138588. </w:t>
      </w:r>
    </w:p>
    <w:p w14:paraId="26D427CB" w14:textId="1BB5FAE6" w:rsidR="008B00B9" w:rsidRPr="008B00B9" w:rsidRDefault="008B00B9" w:rsidP="008B00B9">
      <w:pPr>
        <w:pStyle w:val="Bibliografia"/>
        <w:rPr>
          <w:rFonts w:cs="Arial"/>
        </w:rPr>
      </w:pPr>
      <w:r w:rsidRPr="008B00B9">
        <w:rPr>
          <w:rFonts w:cs="Arial"/>
        </w:rPr>
        <w:t xml:space="preserve">Dionigi, F., Reier, T., Pawolek, Z., Gliech, M., Strasser, P., 2016. Design Criteria, Operating Conditions, and Nickel-Iron Hydroxide Catalyst Materials for Selective Seawater Electrolysis. ChemSusChem 9, 962–972. </w:t>
      </w:r>
    </w:p>
    <w:p w14:paraId="34075589" w14:textId="2F66FD08" w:rsidR="008B00B9" w:rsidRPr="008B00B9" w:rsidRDefault="008B00B9" w:rsidP="008B00B9">
      <w:pPr>
        <w:pStyle w:val="Bibliografia"/>
        <w:rPr>
          <w:rFonts w:cs="Arial"/>
          <w:lang w:val="it-IT"/>
        </w:rPr>
      </w:pPr>
      <w:r w:rsidRPr="008B00B9">
        <w:rPr>
          <w:rFonts w:cs="Arial"/>
        </w:rPr>
        <w:t xml:space="preserve">Dragos, O., Chiriac, H., Lupu, N., Grigoras, M., Tabakovic, I., 2016. Anomalous Codeposition of </w:t>
      </w:r>
      <w:r w:rsidRPr="008B00B9">
        <w:rPr>
          <w:rFonts w:cs="Arial"/>
          <w:i/>
          <w:iCs/>
        </w:rPr>
        <w:t>fcc</w:t>
      </w:r>
      <w:r w:rsidRPr="008B00B9">
        <w:rPr>
          <w:rFonts w:cs="Arial"/>
        </w:rPr>
        <w:t xml:space="preserve"> NiFe Nanowires with 5–55% Fe and Their Morphology, Crystal Structure and Magnetic Properties. </w:t>
      </w:r>
      <w:r w:rsidRPr="008B00B9">
        <w:rPr>
          <w:rFonts w:cs="Arial"/>
          <w:lang w:val="it-IT"/>
        </w:rPr>
        <w:t xml:space="preserve">J. Electrochem. Soc. 163, D83–D94. </w:t>
      </w:r>
    </w:p>
    <w:p w14:paraId="18694ADA" w14:textId="1D05ED95" w:rsidR="008B00B9" w:rsidRPr="008B00B9" w:rsidRDefault="008B00B9" w:rsidP="008B00B9">
      <w:pPr>
        <w:pStyle w:val="Bibliografia"/>
        <w:rPr>
          <w:rFonts w:cs="Arial"/>
        </w:rPr>
      </w:pPr>
      <w:r w:rsidRPr="008B00B9">
        <w:rPr>
          <w:rFonts w:cs="Arial"/>
          <w:lang w:val="it-IT"/>
        </w:rPr>
        <w:t xml:space="preserve">Ganci, F., Patella, B., Cannata, E., Cusumano, V., Aiello, G., Sunseri, C., Mandin, P., Inguanta, R., 2021. </w:t>
      </w:r>
      <w:r w:rsidRPr="008B00B9">
        <w:rPr>
          <w:rFonts w:cs="Arial"/>
        </w:rPr>
        <w:t xml:space="preserve">Ni alloy nanowires as high efficiency electrode materials for alkaline electrolysers. International Journal of Hydrogen Energy 46, 35777–35789. </w:t>
      </w:r>
    </w:p>
    <w:p w14:paraId="1A695E1F" w14:textId="07782029" w:rsidR="008B00B9" w:rsidRPr="008B00B9" w:rsidRDefault="008B00B9" w:rsidP="008B00B9">
      <w:pPr>
        <w:pStyle w:val="Bibliografia"/>
        <w:rPr>
          <w:rFonts w:cs="Arial"/>
        </w:rPr>
      </w:pPr>
      <w:r w:rsidRPr="008B00B9">
        <w:rPr>
          <w:rFonts w:cs="Arial"/>
        </w:rPr>
        <w:t xml:space="preserve">Gao, Y., Zhao, Z., Jia, H., Yang, X., Lei, X., Kong, X., Zhang, F., 2019. Partially reduced Ni2+, Fe3+-layered double hydroxide for ethanol electrocatalysis. J Mater Sci 54, 14515–14523. </w:t>
      </w:r>
    </w:p>
    <w:p w14:paraId="574C8554" w14:textId="26766CC2" w:rsidR="008B00B9" w:rsidRPr="008B00B9" w:rsidRDefault="008B00B9" w:rsidP="008B00B9">
      <w:pPr>
        <w:pStyle w:val="Bibliografia"/>
        <w:rPr>
          <w:rFonts w:cs="Arial"/>
        </w:rPr>
      </w:pPr>
      <w:r w:rsidRPr="008B00B9">
        <w:rPr>
          <w:rFonts w:cs="Arial"/>
        </w:rPr>
        <w:t>Guo, Y., Park, T., Yi, J.W., Henzie, J., Kim, J., Wang, Z., Jiang, B., Bando, Y., Sugahara, Y., Tang, J., Yamauchi, Y., 2019. Nanoarchitectonics for Transition‐Metal‐Sulfide‐Based Electrocatalysts for Water Splitting. Adv. Mater. 31, 1807134.</w:t>
      </w:r>
    </w:p>
    <w:p w14:paraId="2DA3DEF4" w14:textId="28371A3B" w:rsidR="008B00B9" w:rsidRPr="008B00B9" w:rsidRDefault="008B00B9" w:rsidP="008B00B9">
      <w:pPr>
        <w:pStyle w:val="Bibliografia"/>
        <w:rPr>
          <w:rFonts w:cs="Arial"/>
        </w:rPr>
      </w:pPr>
      <w:r w:rsidRPr="008B00B9">
        <w:rPr>
          <w:rFonts w:cs="Arial"/>
        </w:rPr>
        <w:t xml:space="preserve">Jing, P., Liu, M., Pu, Y., Cui, Y., Wang, Z., Wang, J., Liu, Q., 2016. Dependence of phase configurations, microstructures and magnetic properties of iron-nickel (Fe-Ni) alloy nanoribbons on deoxidization temperature in hydrogen. Sci Rep 6, 37701. </w:t>
      </w:r>
    </w:p>
    <w:p w14:paraId="02ACFEA7" w14:textId="64F61569" w:rsidR="008B00B9" w:rsidRPr="008B00B9" w:rsidRDefault="008B00B9" w:rsidP="008B00B9">
      <w:pPr>
        <w:pStyle w:val="Bibliografia"/>
        <w:rPr>
          <w:rFonts w:cs="Arial"/>
        </w:rPr>
      </w:pPr>
      <w:r w:rsidRPr="008B00B9">
        <w:rPr>
          <w:rFonts w:cs="Arial"/>
        </w:rPr>
        <w:t xml:space="preserve">Kuang, Y., Kenney, M.J., Meng, Y., Hung, W.-H., Liu, Y., Huang, J.E., Prasanna, R., Li, P., Li, Y., Wang, L., Lin, M.-C., McGehee, M.D., Sun, X., Dai, H., 2019. Solar-driven, highly sustained splitting of seawater into hydrogen and oxygen fuels. Proc. Natl. Acad. Sci. U.S.A. 116, 6624–6629. </w:t>
      </w:r>
    </w:p>
    <w:p w14:paraId="41B1EF23" w14:textId="4FA03E07" w:rsidR="008B00B9" w:rsidRPr="008B00B9" w:rsidRDefault="008B00B9" w:rsidP="008B00B9">
      <w:pPr>
        <w:pStyle w:val="Bibliografia"/>
        <w:rPr>
          <w:rFonts w:cs="Arial"/>
        </w:rPr>
      </w:pPr>
      <w:r w:rsidRPr="008B00B9">
        <w:rPr>
          <w:rFonts w:cs="Arial"/>
        </w:rPr>
        <w:t xml:space="preserve">Kwong, W.L., Lee, C.C., Messinger, J., 2017. Scalable Two-Step Synthesis of Nickel–Iron Phosphide Electrodes for Stable and Efficient Electrocatalytic Hydrogen Evolution. J. Phys. Chem. C 121, 284–292. </w:t>
      </w:r>
    </w:p>
    <w:p w14:paraId="622FDA79" w14:textId="51786710" w:rsidR="008B00B9" w:rsidRPr="008B00B9" w:rsidRDefault="008B00B9" w:rsidP="008B00B9">
      <w:pPr>
        <w:pStyle w:val="Bibliografia"/>
        <w:rPr>
          <w:rFonts w:cs="Arial"/>
        </w:rPr>
      </w:pPr>
      <w:r w:rsidRPr="008B00B9">
        <w:rPr>
          <w:rFonts w:cs="Arial"/>
        </w:rPr>
        <w:t xml:space="preserve">Ledendecker, M., Krick Calderón, S., Papp, C., Steinrück, H.-P., Antonietti, M., Shalom, M., 2015. The Synthesis of Nanostructured Ni </w:t>
      </w:r>
      <w:r w:rsidRPr="008B00B9">
        <w:rPr>
          <w:rFonts w:cs="Arial"/>
          <w:vertAlign w:val="subscript"/>
        </w:rPr>
        <w:t>5</w:t>
      </w:r>
      <w:r w:rsidRPr="008B00B9">
        <w:rPr>
          <w:rFonts w:cs="Arial"/>
        </w:rPr>
        <w:t xml:space="preserve"> P </w:t>
      </w:r>
      <w:r w:rsidRPr="008B00B9">
        <w:rPr>
          <w:rFonts w:cs="Arial"/>
          <w:vertAlign w:val="subscript"/>
        </w:rPr>
        <w:t>4</w:t>
      </w:r>
      <w:r w:rsidRPr="008B00B9">
        <w:rPr>
          <w:rFonts w:cs="Arial"/>
        </w:rPr>
        <w:t xml:space="preserve"> Films and their Use as a Non-Noble Bifunctional Electrocatalyst for Full Water Splitting. Angew. Chem. Int. Ed. 54, 12361–12365.</w:t>
      </w:r>
    </w:p>
    <w:p w14:paraId="60DD2CBF" w14:textId="1316A675" w:rsidR="008B00B9" w:rsidRPr="008B00B9" w:rsidRDefault="008B00B9" w:rsidP="008B00B9">
      <w:pPr>
        <w:pStyle w:val="Bibliografia"/>
        <w:rPr>
          <w:rFonts w:cs="Arial"/>
        </w:rPr>
      </w:pPr>
      <w:r w:rsidRPr="008B00B9">
        <w:rPr>
          <w:rFonts w:cs="Arial"/>
        </w:rPr>
        <w:t xml:space="preserve">Lee, J.E., Jeon, K.-J., Show, P.L., Lee, I.H., Jung, S.-C., Choi, Y.J., Rhee, G.H., Lin, K.-Y.A., Park, Y.-K., 2022. Mini review on H2 production from electrochemical water splitting according to special nanostructured morphology of electrocatalysts. Fuel 308, 122048. </w:t>
      </w:r>
    </w:p>
    <w:p w14:paraId="200A7E98" w14:textId="66FCA194" w:rsidR="008B00B9" w:rsidRPr="008B00B9" w:rsidRDefault="008B00B9" w:rsidP="008B00B9">
      <w:pPr>
        <w:pStyle w:val="Bibliografia"/>
        <w:rPr>
          <w:rFonts w:cs="Arial"/>
        </w:rPr>
      </w:pPr>
      <w:r w:rsidRPr="008B00B9">
        <w:rPr>
          <w:rFonts w:cs="Arial"/>
        </w:rPr>
        <w:t xml:space="preserve">Li, G., Anderson, L., Chen, Y., Pan, M., Abel Chuang, P.-Y., 2018. New insights into evaluating catalyst activity and stability for oxygen evolution reactions in alkaline media. Sustainable Energy Fuels 2, 237–251. </w:t>
      </w:r>
    </w:p>
    <w:p w14:paraId="4DA75393" w14:textId="77777777" w:rsidR="008B00B9" w:rsidRPr="008B00B9" w:rsidRDefault="008B00B9" w:rsidP="008B00B9">
      <w:pPr>
        <w:pStyle w:val="Bibliografia"/>
        <w:rPr>
          <w:rFonts w:cs="Arial"/>
        </w:rPr>
      </w:pPr>
      <w:r w:rsidRPr="008B00B9">
        <w:rPr>
          <w:rFonts w:cs="Arial"/>
        </w:rPr>
        <w:t>Li, R., Li, Y., Yang, P., Wang, D., Xu, H., Wang, B., Meng, F., Zhang, J., An, M., 2021. Electrodeposition: Synthesis of advanced transition metal-based catalyst for hydrogen production via electrolysis of water. Journal of Energy Chemistry 57, 547–566. https://doi.org/10.1016/j.jechem.2020.08.040</w:t>
      </w:r>
    </w:p>
    <w:p w14:paraId="273E1DBF" w14:textId="2DE47D82" w:rsidR="008B00B9" w:rsidRPr="008B00B9" w:rsidRDefault="008B00B9" w:rsidP="008B00B9">
      <w:pPr>
        <w:pStyle w:val="Bibliografia"/>
        <w:rPr>
          <w:rFonts w:cs="Arial"/>
        </w:rPr>
      </w:pPr>
      <w:r w:rsidRPr="008B00B9">
        <w:rPr>
          <w:rFonts w:cs="Arial"/>
        </w:rPr>
        <w:t>Li, S., Wang, X., Li, M., Liu, J., Li, C., Wu, H., Guo, D., Ye, F., Wang, S., Cheng, L., Liu, A., 2019. Self-supported ternary (NixFey)2P nanoplates arrays as an efficient bifunctional electrocatalyst for overall water splitting. Electrochimica Acta 319, 561–568.</w:t>
      </w:r>
    </w:p>
    <w:p w14:paraId="1507FF15" w14:textId="31AFB560" w:rsidR="008B00B9" w:rsidRPr="008B00B9" w:rsidRDefault="008B00B9" w:rsidP="008B00B9">
      <w:pPr>
        <w:pStyle w:val="Bibliografia"/>
        <w:rPr>
          <w:rFonts w:cs="Arial"/>
        </w:rPr>
      </w:pPr>
      <w:r w:rsidRPr="008B00B9">
        <w:rPr>
          <w:rFonts w:cs="Arial"/>
        </w:rPr>
        <w:t xml:space="preserve">Matlosz, M., 1993. Competitive Adsorption Effects in the Electrodeposition of Iron‐Nickel Alloys. J. Electrochem. Soc. 140, 2272–2279. </w:t>
      </w:r>
    </w:p>
    <w:p w14:paraId="6ED1822C" w14:textId="3CCDF2DA" w:rsidR="008B00B9" w:rsidRPr="008B00B9" w:rsidRDefault="008B00B9" w:rsidP="008B00B9">
      <w:pPr>
        <w:pStyle w:val="Bibliografia"/>
        <w:rPr>
          <w:rFonts w:cs="Arial"/>
        </w:rPr>
      </w:pPr>
      <w:r w:rsidRPr="008B00B9">
        <w:rPr>
          <w:rFonts w:cs="Arial"/>
        </w:rPr>
        <w:t>Tian, L., Wo, H., Wang, K., Wang, X., Zhuang, W., Li, T., Du, X., 2019. Ultrathin wrinkled NiFeP nanosheets enable efficient oxygen evolution electrocatalysis. Journal of the Taiwan Institute of Chemical Engineers 97, 200–206.</w:t>
      </w:r>
    </w:p>
    <w:p w14:paraId="767BBF01" w14:textId="43EA59E8" w:rsidR="008B00B9" w:rsidRPr="008B00B9" w:rsidRDefault="008B00B9" w:rsidP="008B00B9">
      <w:pPr>
        <w:pStyle w:val="Bibliografia"/>
        <w:rPr>
          <w:rFonts w:cs="Arial"/>
        </w:rPr>
      </w:pPr>
      <w:r w:rsidRPr="008B00B9">
        <w:rPr>
          <w:rFonts w:cs="Arial"/>
        </w:rPr>
        <w:t xml:space="preserve">Wang, F., Tian, R., Guo, X., Hou, Y., Zou, C., Yang, H., 2022. Construction of Petal-Like Ag NWs@NiCoP with Three-Dimensional Core-Shell Structure for Overall Water Splitting. Nanomaterials 12, 1205. </w:t>
      </w:r>
    </w:p>
    <w:p w14:paraId="045B6E4C" w14:textId="77777777" w:rsidR="008B00B9" w:rsidRPr="008B00B9" w:rsidRDefault="008B00B9" w:rsidP="008B00B9">
      <w:pPr>
        <w:pStyle w:val="Bibliografia"/>
        <w:rPr>
          <w:rFonts w:cs="Arial"/>
        </w:rPr>
      </w:pPr>
      <w:r w:rsidRPr="008B00B9">
        <w:rPr>
          <w:rFonts w:cs="Arial"/>
        </w:rPr>
        <w:t>Wu, Y., 2022. Ni2P nanoparticles-inserted NiFeP nanosheets with rich interfaces as efficient catalysts for the oxygen evolution reaction. Journal of Alloys and Compounds 10.</w:t>
      </w:r>
    </w:p>
    <w:p w14:paraId="42A3007F" w14:textId="55D855FD" w:rsidR="008B00B9" w:rsidRPr="008B00B9" w:rsidRDefault="008B00B9" w:rsidP="008B00B9">
      <w:pPr>
        <w:pStyle w:val="Bibliografia"/>
        <w:rPr>
          <w:rFonts w:cs="Arial"/>
        </w:rPr>
      </w:pPr>
      <w:r w:rsidRPr="008B00B9">
        <w:rPr>
          <w:rFonts w:cs="Arial"/>
        </w:rPr>
        <w:t>Xuan, C., Wang, J., Xia, W., Peng, Z., Wu, Z., Lei, W., Xia, K., Xin, H.L., Wang, D., 2017. Porous Structured Ni–Fe–P Nanocubes Derived from a Prussian Blue Analogue as an Electrocatalyst for Efficient Overall Water Splitting. ACS Appl. Mater. Interfaces 9, 26134–26142.</w:t>
      </w:r>
    </w:p>
    <w:p w14:paraId="0256EC65" w14:textId="1EDB1599" w:rsidR="008B00B9" w:rsidRPr="008B00B9" w:rsidRDefault="008B00B9" w:rsidP="008B00B9">
      <w:pPr>
        <w:pStyle w:val="Bibliografia"/>
        <w:rPr>
          <w:rFonts w:cs="Arial"/>
        </w:rPr>
      </w:pPr>
      <w:r w:rsidRPr="008B00B9">
        <w:rPr>
          <w:rFonts w:cs="Arial"/>
        </w:rPr>
        <w:t>Yan, Y., Thia, L., Xia, B.Y., Ge, X., Liu, Z., Fisher, A., Wang, X., 2015. Construction of Efficient 3D Gas Evolution Electrocatalyst for Hydrogen Evolution: Porous FeP Nanowire Arrays on Graphene Sheets. Adv. Sci. 2, 1500120.</w:t>
      </w:r>
    </w:p>
    <w:p w14:paraId="5BB79384" w14:textId="4805BAC6" w:rsidR="008B00B9" w:rsidRPr="008B00B9" w:rsidRDefault="008B00B9" w:rsidP="008B00B9">
      <w:pPr>
        <w:pStyle w:val="Bibliografia"/>
        <w:rPr>
          <w:rFonts w:cs="Arial"/>
        </w:rPr>
      </w:pPr>
      <w:r w:rsidRPr="008B00B9">
        <w:rPr>
          <w:rFonts w:cs="Arial"/>
        </w:rPr>
        <w:t>Yin, K.-M., Lin, B.-T., 1996. Effects of boric acid on the electrodeposition of iron, nickel and iron-nickel. Surface and Coatings Technology 78, 205–210.</w:t>
      </w:r>
    </w:p>
    <w:p w14:paraId="2CA30AF8" w14:textId="1087E26A" w:rsidR="008B00B9" w:rsidRPr="008B00B9" w:rsidRDefault="008B00B9" w:rsidP="008B00B9">
      <w:pPr>
        <w:pStyle w:val="Bibliografia"/>
        <w:rPr>
          <w:rFonts w:cs="Arial"/>
        </w:rPr>
      </w:pPr>
      <w:r w:rsidRPr="008B00B9">
        <w:rPr>
          <w:rFonts w:cs="Arial"/>
        </w:rPr>
        <w:t xml:space="preserve">Zhao, Y., Dongfang, N., Triana, C.A., Huang, C., Erni, R., Wan, W., Li, J., Stoian, D., Pan, L., Zhang, P., Lan, J., Iannuzzi, M., Patzke, G.R., 2022. Dynamics and control of active sites in hierarchically nanostructured cobalt phosphide/chalcogenide-based electrocatalysts for water splitting. Energy Environ. Sci. 15, 727–739. </w:t>
      </w:r>
    </w:p>
    <w:p w14:paraId="2C088806" w14:textId="75A211E0" w:rsidR="00F419F1" w:rsidRDefault="008B00B9" w:rsidP="00D60FAA">
      <w:pPr>
        <w:pStyle w:val="CETReferencetext"/>
        <w:ind w:left="0" w:firstLine="0"/>
      </w:pPr>
      <w:r>
        <w:fldChar w:fldCharType="end"/>
      </w:r>
    </w:p>
    <w:sectPr w:rsidR="00F419F1"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3C6BA" w14:textId="77777777" w:rsidR="00170945" w:rsidRDefault="00170945" w:rsidP="004F5E36">
      <w:r>
        <w:separator/>
      </w:r>
    </w:p>
  </w:endnote>
  <w:endnote w:type="continuationSeparator" w:id="0">
    <w:p w14:paraId="7D737E30" w14:textId="77777777" w:rsidR="00170945" w:rsidRDefault="0017094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083D8" w14:textId="77777777" w:rsidR="00170945" w:rsidRDefault="00170945" w:rsidP="004F5E36">
      <w:r>
        <w:separator/>
      </w:r>
    </w:p>
  </w:footnote>
  <w:footnote w:type="continuationSeparator" w:id="0">
    <w:p w14:paraId="5ADF4426" w14:textId="77777777" w:rsidR="00170945" w:rsidRDefault="00170945"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36996618">
    <w:abstractNumId w:val="10"/>
  </w:num>
  <w:num w:numId="2" w16cid:durableId="666859488">
    <w:abstractNumId w:val="8"/>
  </w:num>
  <w:num w:numId="3" w16cid:durableId="809054555">
    <w:abstractNumId w:val="3"/>
  </w:num>
  <w:num w:numId="4" w16cid:durableId="591544753">
    <w:abstractNumId w:val="2"/>
  </w:num>
  <w:num w:numId="5" w16cid:durableId="1480726351">
    <w:abstractNumId w:val="1"/>
  </w:num>
  <w:num w:numId="6" w16cid:durableId="1147284544">
    <w:abstractNumId w:val="0"/>
  </w:num>
  <w:num w:numId="7" w16cid:durableId="1445078802">
    <w:abstractNumId w:val="9"/>
  </w:num>
  <w:num w:numId="8" w16cid:durableId="252209471">
    <w:abstractNumId w:val="7"/>
  </w:num>
  <w:num w:numId="9" w16cid:durableId="423304791">
    <w:abstractNumId w:val="6"/>
  </w:num>
  <w:num w:numId="10" w16cid:durableId="1055279568">
    <w:abstractNumId w:val="5"/>
  </w:num>
  <w:num w:numId="11" w16cid:durableId="1395085084">
    <w:abstractNumId w:val="4"/>
  </w:num>
  <w:num w:numId="12" w16cid:durableId="2073310580">
    <w:abstractNumId w:val="17"/>
  </w:num>
  <w:num w:numId="13" w16cid:durableId="1924341724">
    <w:abstractNumId w:val="12"/>
  </w:num>
  <w:num w:numId="14" w16cid:durableId="484933364">
    <w:abstractNumId w:val="18"/>
  </w:num>
  <w:num w:numId="15" w16cid:durableId="341594947">
    <w:abstractNumId w:val="20"/>
  </w:num>
  <w:num w:numId="16" w16cid:durableId="783307058">
    <w:abstractNumId w:val="19"/>
  </w:num>
  <w:num w:numId="17" w16cid:durableId="1206022269">
    <w:abstractNumId w:val="11"/>
  </w:num>
  <w:num w:numId="18" w16cid:durableId="516502640">
    <w:abstractNumId w:val="12"/>
    <w:lvlOverride w:ilvl="0">
      <w:startOverride w:val="1"/>
    </w:lvlOverride>
  </w:num>
  <w:num w:numId="19" w16cid:durableId="976565975">
    <w:abstractNumId w:val="16"/>
  </w:num>
  <w:num w:numId="20" w16cid:durableId="146359222">
    <w:abstractNumId w:val="15"/>
  </w:num>
  <w:num w:numId="21" w16cid:durableId="1395277885">
    <w:abstractNumId w:val="14"/>
  </w:num>
  <w:num w:numId="22" w16cid:durableId="39324101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2B7"/>
    <w:rsid w:val="00000AB9"/>
    <w:rsid w:val="000027C0"/>
    <w:rsid w:val="000052FB"/>
    <w:rsid w:val="000117CB"/>
    <w:rsid w:val="000233ED"/>
    <w:rsid w:val="00026EEE"/>
    <w:rsid w:val="0003148D"/>
    <w:rsid w:val="00031952"/>
    <w:rsid w:val="00031EEC"/>
    <w:rsid w:val="00033F67"/>
    <w:rsid w:val="00044311"/>
    <w:rsid w:val="00051566"/>
    <w:rsid w:val="000562A9"/>
    <w:rsid w:val="00062A9A"/>
    <w:rsid w:val="00065058"/>
    <w:rsid w:val="00070923"/>
    <w:rsid w:val="000845FD"/>
    <w:rsid w:val="00086C39"/>
    <w:rsid w:val="00095001"/>
    <w:rsid w:val="000A03B2"/>
    <w:rsid w:val="000A34DA"/>
    <w:rsid w:val="000A571D"/>
    <w:rsid w:val="000B53DE"/>
    <w:rsid w:val="000B5A1A"/>
    <w:rsid w:val="000C06BC"/>
    <w:rsid w:val="000C28E8"/>
    <w:rsid w:val="000D0268"/>
    <w:rsid w:val="000D34BE"/>
    <w:rsid w:val="000E102F"/>
    <w:rsid w:val="000E2DFA"/>
    <w:rsid w:val="000E36F1"/>
    <w:rsid w:val="000E3A73"/>
    <w:rsid w:val="000E414A"/>
    <w:rsid w:val="000E6E6B"/>
    <w:rsid w:val="000F093C"/>
    <w:rsid w:val="000F28EF"/>
    <w:rsid w:val="000F3886"/>
    <w:rsid w:val="000F787B"/>
    <w:rsid w:val="00106355"/>
    <w:rsid w:val="001207DF"/>
    <w:rsid w:val="0012091F"/>
    <w:rsid w:val="00126BC2"/>
    <w:rsid w:val="001308B6"/>
    <w:rsid w:val="0013121F"/>
    <w:rsid w:val="00131FE6"/>
    <w:rsid w:val="0013263F"/>
    <w:rsid w:val="001331DF"/>
    <w:rsid w:val="00134DE4"/>
    <w:rsid w:val="0014034D"/>
    <w:rsid w:val="0014330C"/>
    <w:rsid w:val="00144D16"/>
    <w:rsid w:val="00145D3E"/>
    <w:rsid w:val="00150E59"/>
    <w:rsid w:val="00152DE3"/>
    <w:rsid w:val="00164CF9"/>
    <w:rsid w:val="001667A6"/>
    <w:rsid w:val="00170945"/>
    <w:rsid w:val="001763E0"/>
    <w:rsid w:val="00184AD6"/>
    <w:rsid w:val="001A0DE2"/>
    <w:rsid w:val="001A3AC6"/>
    <w:rsid w:val="001A4AF7"/>
    <w:rsid w:val="001A501F"/>
    <w:rsid w:val="001B0349"/>
    <w:rsid w:val="001B1E93"/>
    <w:rsid w:val="001B65C1"/>
    <w:rsid w:val="001C2FDE"/>
    <w:rsid w:val="001C684B"/>
    <w:rsid w:val="001D0CFB"/>
    <w:rsid w:val="001D1027"/>
    <w:rsid w:val="001D21AF"/>
    <w:rsid w:val="001D53FC"/>
    <w:rsid w:val="001F2629"/>
    <w:rsid w:val="001F29DF"/>
    <w:rsid w:val="001F4090"/>
    <w:rsid w:val="001F42A5"/>
    <w:rsid w:val="001F4E57"/>
    <w:rsid w:val="001F6BB6"/>
    <w:rsid w:val="001F7B9D"/>
    <w:rsid w:val="00201C93"/>
    <w:rsid w:val="002224B4"/>
    <w:rsid w:val="00235C63"/>
    <w:rsid w:val="002447EF"/>
    <w:rsid w:val="00251550"/>
    <w:rsid w:val="00263B05"/>
    <w:rsid w:val="0026470C"/>
    <w:rsid w:val="0027221A"/>
    <w:rsid w:val="00275B61"/>
    <w:rsid w:val="00280FAF"/>
    <w:rsid w:val="00282656"/>
    <w:rsid w:val="00296B83"/>
    <w:rsid w:val="002A0AA6"/>
    <w:rsid w:val="002A5633"/>
    <w:rsid w:val="002B3500"/>
    <w:rsid w:val="002B4015"/>
    <w:rsid w:val="002B78CE"/>
    <w:rsid w:val="002C2FB6"/>
    <w:rsid w:val="002D7D51"/>
    <w:rsid w:val="002E0EFB"/>
    <w:rsid w:val="002E5FA7"/>
    <w:rsid w:val="002F0539"/>
    <w:rsid w:val="002F3309"/>
    <w:rsid w:val="003008CE"/>
    <w:rsid w:val="003009B7"/>
    <w:rsid w:val="00300E56"/>
    <w:rsid w:val="0030152C"/>
    <w:rsid w:val="00302DE9"/>
    <w:rsid w:val="0030469C"/>
    <w:rsid w:val="00307707"/>
    <w:rsid w:val="003111DA"/>
    <w:rsid w:val="00321CA6"/>
    <w:rsid w:val="00323763"/>
    <w:rsid w:val="00323C5F"/>
    <w:rsid w:val="00334C09"/>
    <w:rsid w:val="0033660A"/>
    <w:rsid w:val="00344C41"/>
    <w:rsid w:val="003723D4"/>
    <w:rsid w:val="003805A1"/>
    <w:rsid w:val="00381905"/>
    <w:rsid w:val="00384CC8"/>
    <w:rsid w:val="00385D53"/>
    <w:rsid w:val="003871FD"/>
    <w:rsid w:val="003904C0"/>
    <w:rsid w:val="003A1E30"/>
    <w:rsid w:val="003A2829"/>
    <w:rsid w:val="003A4D35"/>
    <w:rsid w:val="003A7D1C"/>
    <w:rsid w:val="003B304B"/>
    <w:rsid w:val="003B3146"/>
    <w:rsid w:val="003C58EB"/>
    <w:rsid w:val="003D0B6C"/>
    <w:rsid w:val="003E1D51"/>
    <w:rsid w:val="003F015E"/>
    <w:rsid w:val="00400414"/>
    <w:rsid w:val="0041446B"/>
    <w:rsid w:val="00431951"/>
    <w:rsid w:val="0044071E"/>
    <w:rsid w:val="0044329C"/>
    <w:rsid w:val="0045000F"/>
    <w:rsid w:val="0045173F"/>
    <w:rsid w:val="00453E24"/>
    <w:rsid w:val="00457456"/>
    <w:rsid w:val="004577FE"/>
    <w:rsid w:val="00457B9C"/>
    <w:rsid w:val="004615A5"/>
    <w:rsid w:val="0046164A"/>
    <w:rsid w:val="004628D2"/>
    <w:rsid w:val="00462DCD"/>
    <w:rsid w:val="004648AD"/>
    <w:rsid w:val="004703A9"/>
    <w:rsid w:val="004760DE"/>
    <w:rsid w:val="004763D7"/>
    <w:rsid w:val="00493C25"/>
    <w:rsid w:val="004A004E"/>
    <w:rsid w:val="004A24CF"/>
    <w:rsid w:val="004C3D1D"/>
    <w:rsid w:val="004C3D84"/>
    <w:rsid w:val="004C7913"/>
    <w:rsid w:val="004E4DD6"/>
    <w:rsid w:val="004F5E36"/>
    <w:rsid w:val="00505E86"/>
    <w:rsid w:val="00507B47"/>
    <w:rsid w:val="00507BEF"/>
    <w:rsid w:val="00507CC9"/>
    <w:rsid w:val="005119A5"/>
    <w:rsid w:val="00511DCC"/>
    <w:rsid w:val="00512983"/>
    <w:rsid w:val="005278B7"/>
    <w:rsid w:val="00532016"/>
    <w:rsid w:val="0053299B"/>
    <w:rsid w:val="005346C8"/>
    <w:rsid w:val="00543E7D"/>
    <w:rsid w:val="00547A68"/>
    <w:rsid w:val="005531C9"/>
    <w:rsid w:val="00570C43"/>
    <w:rsid w:val="00580A4C"/>
    <w:rsid w:val="00582E8D"/>
    <w:rsid w:val="005869B6"/>
    <w:rsid w:val="005A079A"/>
    <w:rsid w:val="005B2110"/>
    <w:rsid w:val="005B5DC6"/>
    <w:rsid w:val="005B61E6"/>
    <w:rsid w:val="005C77E1"/>
    <w:rsid w:val="005D668A"/>
    <w:rsid w:val="005D6A2F"/>
    <w:rsid w:val="005E1A82"/>
    <w:rsid w:val="005E311E"/>
    <w:rsid w:val="005E794C"/>
    <w:rsid w:val="005F0A28"/>
    <w:rsid w:val="005F0E5E"/>
    <w:rsid w:val="00600535"/>
    <w:rsid w:val="0060684A"/>
    <w:rsid w:val="00610CD6"/>
    <w:rsid w:val="00612FA1"/>
    <w:rsid w:val="00620DEE"/>
    <w:rsid w:val="00621F92"/>
    <w:rsid w:val="0062280A"/>
    <w:rsid w:val="00625639"/>
    <w:rsid w:val="00626941"/>
    <w:rsid w:val="00631B33"/>
    <w:rsid w:val="00636A4D"/>
    <w:rsid w:val="0064184D"/>
    <w:rsid w:val="006422CC"/>
    <w:rsid w:val="00651A87"/>
    <w:rsid w:val="00660E3E"/>
    <w:rsid w:val="006629EA"/>
    <w:rsid w:val="00662E74"/>
    <w:rsid w:val="00680C23"/>
    <w:rsid w:val="00682C6D"/>
    <w:rsid w:val="006921CC"/>
    <w:rsid w:val="00693766"/>
    <w:rsid w:val="00697706"/>
    <w:rsid w:val="006A3281"/>
    <w:rsid w:val="006A7651"/>
    <w:rsid w:val="006B4888"/>
    <w:rsid w:val="006B4F5C"/>
    <w:rsid w:val="006C2E45"/>
    <w:rsid w:val="006C359C"/>
    <w:rsid w:val="006C5579"/>
    <w:rsid w:val="006D42D6"/>
    <w:rsid w:val="006D6D14"/>
    <w:rsid w:val="006D6E8B"/>
    <w:rsid w:val="006E6B75"/>
    <w:rsid w:val="006E737D"/>
    <w:rsid w:val="006F1B21"/>
    <w:rsid w:val="006F72AC"/>
    <w:rsid w:val="00700AD8"/>
    <w:rsid w:val="007113D4"/>
    <w:rsid w:val="00713973"/>
    <w:rsid w:val="00720043"/>
    <w:rsid w:val="00720A24"/>
    <w:rsid w:val="00732386"/>
    <w:rsid w:val="0073514D"/>
    <w:rsid w:val="007447F3"/>
    <w:rsid w:val="0075499F"/>
    <w:rsid w:val="007661C8"/>
    <w:rsid w:val="0077098D"/>
    <w:rsid w:val="007910A4"/>
    <w:rsid w:val="007931FA"/>
    <w:rsid w:val="007A3A07"/>
    <w:rsid w:val="007A4861"/>
    <w:rsid w:val="007A7BBA"/>
    <w:rsid w:val="007B0C50"/>
    <w:rsid w:val="007B48F9"/>
    <w:rsid w:val="007C1A43"/>
    <w:rsid w:val="007D053C"/>
    <w:rsid w:val="007D0951"/>
    <w:rsid w:val="007D379E"/>
    <w:rsid w:val="007D3C83"/>
    <w:rsid w:val="007E4144"/>
    <w:rsid w:val="007E7408"/>
    <w:rsid w:val="007F4238"/>
    <w:rsid w:val="007F62F8"/>
    <w:rsid w:val="0080013E"/>
    <w:rsid w:val="00813288"/>
    <w:rsid w:val="008168FC"/>
    <w:rsid w:val="00823B5B"/>
    <w:rsid w:val="00830996"/>
    <w:rsid w:val="008345F1"/>
    <w:rsid w:val="00860B1A"/>
    <w:rsid w:val="00865B07"/>
    <w:rsid w:val="00865EA3"/>
    <w:rsid w:val="008667EA"/>
    <w:rsid w:val="0087637F"/>
    <w:rsid w:val="00886EC1"/>
    <w:rsid w:val="00892AD5"/>
    <w:rsid w:val="008A1512"/>
    <w:rsid w:val="008A1893"/>
    <w:rsid w:val="008B00B9"/>
    <w:rsid w:val="008B2996"/>
    <w:rsid w:val="008B57A1"/>
    <w:rsid w:val="008C0E75"/>
    <w:rsid w:val="008C5775"/>
    <w:rsid w:val="008D32B9"/>
    <w:rsid w:val="008D3926"/>
    <w:rsid w:val="008D433B"/>
    <w:rsid w:val="008D4A16"/>
    <w:rsid w:val="008D6A91"/>
    <w:rsid w:val="008E566E"/>
    <w:rsid w:val="008F514E"/>
    <w:rsid w:val="0090161A"/>
    <w:rsid w:val="00901DF1"/>
    <w:rsid w:val="00901EB6"/>
    <w:rsid w:val="009048AF"/>
    <w:rsid w:val="00904C62"/>
    <w:rsid w:val="00913637"/>
    <w:rsid w:val="0091537C"/>
    <w:rsid w:val="00922BA8"/>
    <w:rsid w:val="00924DAC"/>
    <w:rsid w:val="00926E73"/>
    <w:rsid w:val="00927058"/>
    <w:rsid w:val="009314A7"/>
    <w:rsid w:val="0093797B"/>
    <w:rsid w:val="00942750"/>
    <w:rsid w:val="009432C2"/>
    <w:rsid w:val="009450CE"/>
    <w:rsid w:val="009459BB"/>
    <w:rsid w:val="00947179"/>
    <w:rsid w:val="009479A3"/>
    <w:rsid w:val="0095164B"/>
    <w:rsid w:val="0095283D"/>
    <w:rsid w:val="00954090"/>
    <w:rsid w:val="009573E7"/>
    <w:rsid w:val="00963E05"/>
    <w:rsid w:val="00964A45"/>
    <w:rsid w:val="00965189"/>
    <w:rsid w:val="00965FFC"/>
    <w:rsid w:val="00967843"/>
    <w:rsid w:val="00967D54"/>
    <w:rsid w:val="00971028"/>
    <w:rsid w:val="00971D80"/>
    <w:rsid w:val="00972612"/>
    <w:rsid w:val="00982976"/>
    <w:rsid w:val="00992FF6"/>
    <w:rsid w:val="00993B84"/>
    <w:rsid w:val="00996483"/>
    <w:rsid w:val="00996F5A"/>
    <w:rsid w:val="009B041A"/>
    <w:rsid w:val="009B3EAD"/>
    <w:rsid w:val="009C08F0"/>
    <w:rsid w:val="009C37C3"/>
    <w:rsid w:val="009C7C86"/>
    <w:rsid w:val="009D2FF7"/>
    <w:rsid w:val="009E6053"/>
    <w:rsid w:val="009E7884"/>
    <w:rsid w:val="009E788A"/>
    <w:rsid w:val="009E7AED"/>
    <w:rsid w:val="009F0E08"/>
    <w:rsid w:val="009F1339"/>
    <w:rsid w:val="00A00AF1"/>
    <w:rsid w:val="00A00B72"/>
    <w:rsid w:val="00A1763D"/>
    <w:rsid w:val="00A17CEC"/>
    <w:rsid w:val="00A27EF0"/>
    <w:rsid w:val="00A3276E"/>
    <w:rsid w:val="00A42361"/>
    <w:rsid w:val="00A44BAE"/>
    <w:rsid w:val="00A50B20"/>
    <w:rsid w:val="00A51390"/>
    <w:rsid w:val="00A54F81"/>
    <w:rsid w:val="00A57F34"/>
    <w:rsid w:val="00A60D13"/>
    <w:rsid w:val="00A7223D"/>
    <w:rsid w:val="00A72745"/>
    <w:rsid w:val="00A76EFC"/>
    <w:rsid w:val="00A87D50"/>
    <w:rsid w:val="00A91010"/>
    <w:rsid w:val="00A97F29"/>
    <w:rsid w:val="00AA702E"/>
    <w:rsid w:val="00AA7D26"/>
    <w:rsid w:val="00AB0964"/>
    <w:rsid w:val="00AB5011"/>
    <w:rsid w:val="00AC075C"/>
    <w:rsid w:val="00AC60C9"/>
    <w:rsid w:val="00AC7210"/>
    <w:rsid w:val="00AC7368"/>
    <w:rsid w:val="00AD16B9"/>
    <w:rsid w:val="00AE377D"/>
    <w:rsid w:val="00AF0EBA"/>
    <w:rsid w:val="00AF670C"/>
    <w:rsid w:val="00B02C8A"/>
    <w:rsid w:val="00B030B9"/>
    <w:rsid w:val="00B07086"/>
    <w:rsid w:val="00B17FBD"/>
    <w:rsid w:val="00B24E04"/>
    <w:rsid w:val="00B315A6"/>
    <w:rsid w:val="00B31813"/>
    <w:rsid w:val="00B33365"/>
    <w:rsid w:val="00B4596A"/>
    <w:rsid w:val="00B45B8B"/>
    <w:rsid w:val="00B57B36"/>
    <w:rsid w:val="00B57E6F"/>
    <w:rsid w:val="00B67D9C"/>
    <w:rsid w:val="00B8686D"/>
    <w:rsid w:val="00B93F69"/>
    <w:rsid w:val="00BA750F"/>
    <w:rsid w:val="00BB1BCB"/>
    <w:rsid w:val="00BB1DDC"/>
    <w:rsid w:val="00BB552C"/>
    <w:rsid w:val="00BC30C9"/>
    <w:rsid w:val="00BD077D"/>
    <w:rsid w:val="00BD1252"/>
    <w:rsid w:val="00BE07EB"/>
    <w:rsid w:val="00BE3E58"/>
    <w:rsid w:val="00C01616"/>
    <w:rsid w:val="00C0162B"/>
    <w:rsid w:val="00C068ED"/>
    <w:rsid w:val="00C10AB5"/>
    <w:rsid w:val="00C146ED"/>
    <w:rsid w:val="00C22E0C"/>
    <w:rsid w:val="00C27BB4"/>
    <w:rsid w:val="00C345B1"/>
    <w:rsid w:val="00C40142"/>
    <w:rsid w:val="00C41FFF"/>
    <w:rsid w:val="00C42B73"/>
    <w:rsid w:val="00C52C3C"/>
    <w:rsid w:val="00C57182"/>
    <w:rsid w:val="00C57863"/>
    <w:rsid w:val="00C640AF"/>
    <w:rsid w:val="00C655FD"/>
    <w:rsid w:val="00C74973"/>
    <w:rsid w:val="00C75407"/>
    <w:rsid w:val="00C870A8"/>
    <w:rsid w:val="00C94434"/>
    <w:rsid w:val="00CA059F"/>
    <w:rsid w:val="00CA0D75"/>
    <w:rsid w:val="00CA1C95"/>
    <w:rsid w:val="00CA5A9C"/>
    <w:rsid w:val="00CC4C20"/>
    <w:rsid w:val="00CD3517"/>
    <w:rsid w:val="00CD5FE2"/>
    <w:rsid w:val="00CE7C68"/>
    <w:rsid w:val="00CF713D"/>
    <w:rsid w:val="00D026F3"/>
    <w:rsid w:val="00D02B4C"/>
    <w:rsid w:val="00D040C4"/>
    <w:rsid w:val="00D20AD1"/>
    <w:rsid w:val="00D3115D"/>
    <w:rsid w:val="00D46B7E"/>
    <w:rsid w:val="00D57C84"/>
    <w:rsid w:val="00D6057D"/>
    <w:rsid w:val="00D60FAA"/>
    <w:rsid w:val="00D71640"/>
    <w:rsid w:val="00D836C5"/>
    <w:rsid w:val="00D84576"/>
    <w:rsid w:val="00DA1399"/>
    <w:rsid w:val="00DA24C6"/>
    <w:rsid w:val="00DA4BA9"/>
    <w:rsid w:val="00DA4D7B"/>
    <w:rsid w:val="00DC25CA"/>
    <w:rsid w:val="00DD271C"/>
    <w:rsid w:val="00DD4950"/>
    <w:rsid w:val="00DE264A"/>
    <w:rsid w:val="00DE3CB6"/>
    <w:rsid w:val="00DE42A9"/>
    <w:rsid w:val="00DF375B"/>
    <w:rsid w:val="00DF5072"/>
    <w:rsid w:val="00E02D18"/>
    <w:rsid w:val="00E041E7"/>
    <w:rsid w:val="00E222D1"/>
    <w:rsid w:val="00E23CA1"/>
    <w:rsid w:val="00E33135"/>
    <w:rsid w:val="00E409A8"/>
    <w:rsid w:val="00E449E8"/>
    <w:rsid w:val="00E50C12"/>
    <w:rsid w:val="00E65B91"/>
    <w:rsid w:val="00E717B8"/>
    <w:rsid w:val="00E7209D"/>
    <w:rsid w:val="00E72EAD"/>
    <w:rsid w:val="00E77223"/>
    <w:rsid w:val="00E83B78"/>
    <w:rsid w:val="00E8528B"/>
    <w:rsid w:val="00E85B94"/>
    <w:rsid w:val="00E978D0"/>
    <w:rsid w:val="00EA0F69"/>
    <w:rsid w:val="00EA2C39"/>
    <w:rsid w:val="00EA2DE4"/>
    <w:rsid w:val="00EA4613"/>
    <w:rsid w:val="00EA7F91"/>
    <w:rsid w:val="00EB1523"/>
    <w:rsid w:val="00EB5867"/>
    <w:rsid w:val="00EC0E49"/>
    <w:rsid w:val="00EC101F"/>
    <w:rsid w:val="00EC1D9F"/>
    <w:rsid w:val="00ED7DFE"/>
    <w:rsid w:val="00EE0131"/>
    <w:rsid w:val="00EE17B0"/>
    <w:rsid w:val="00EF06D9"/>
    <w:rsid w:val="00F010B2"/>
    <w:rsid w:val="00F11850"/>
    <w:rsid w:val="00F12EF6"/>
    <w:rsid w:val="00F14433"/>
    <w:rsid w:val="00F207F5"/>
    <w:rsid w:val="00F22E64"/>
    <w:rsid w:val="00F23D2B"/>
    <w:rsid w:val="00F3049E"/>
    <w:rsid w:val="00F30C64"/>
    <w:rsid w:val="00F32BA2"/>
    <w:rsid w:val="00F32CDB"/>
    <w:rsid w:val="00F35935"/>
    <w:rsid w:val="00F40BA0"/>
    <w:rsid w:val="00F419F1"/>
    <w:rsid w:val="00F52297"/>
    <w:rsid w:val="00F565FE"/>
    <w:rsid w:val="00F63A70"/>
    <w:rsid w:val="00F63D8C"/>
    <w:rsid w:val="00F7534E"/>
    <w:rsid w:val="00F82373"/>
    <w:rsid w:val="00F93EDF"/>
    <w:rsid w:val="00F94232"/>
    <w:rsid w:val="00FA1802"/>
    <w:rsid w:val="00FA21D0"/>
    <w:rsid w:val="00FA5F5F"/>
    <w:rsid w:val="00FB730C"/>
    <w:rsid w:val="00FC2695"/>
    <w:rsid w:val="00FC3E03"/>
    <w:rsid w:val="00FC3FC1"/>
    <w:rsid w:val="00FC560F"/>
    <w:rsid w:val="00FC67ED"/>
    <w:rsid w:val="00FD1762"/>
    <w:rsid w:val="00FD65AE"/>
    <w:rsid w:val="00FD7441"/>
    <w:rsid w:val="00FF3D29"/>
    <w:rsid w:val="00FF679A"/>
    <w:rsid w:val="00FF755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5:docId w15:val="{1E63F9D0-ADE2-4120-B7AC-96F4FCCDE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Menzionenonrisolta">
    <w:name w:val="Unresolved Mention"/>
    <w:basedOn w:val="Carpredefinitoparagrafo"/>
    <w:uiPriority w:val="99"/>
    <w:semiHidden/>
    <w:unhideWhenUsed/>
    <w:rsid w:val="00DF375B"/>
    <w:rPr>
      <w:color w:val="605E5C"/>
      <w:shd w:val="clear" w:color="auto" w:fill="E1DFDD"/>
    </w:rPr>
  </w:style>
  <w:style w:type="paragraph" w:styleId="Revisione">
    <w:name w:val="Revision"/>
    <w:hidden/>
    <w:uiPriority w:val="99"/>
    <w:semiHidden/>
    <w:rsid w:val="00B030B9"/>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www.sciencedirect.com/topics/chemistry/rate-determining-step" TargetMode="External"/><Relationship Id="rId10" Type="http://schemas.openxmlformats.org/officeDocument/2006/relationships/hyperlink" Target="mailto:sonia.carbone@unipa.it" TargetMode="Externa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AAF7A-37E7-F940-8C0D-29D08F146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6</Pages>
  <Words>9339</Words>
  <Characters>53234</Characters>
  <Application>Microsoft Office Word</Application>
  <DocSecurity>0</DocSecurity>
  <Lines>443</Lines>
  <Paragraphs>124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62449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SONIA CARBONE</cp:lastModifiedBy>
  <cp:revision>6</cp:revision>
  <cp:lastPrinted>2015-05-12T18:31:00Z</cp:lastPrinted>
  <dcterms:created xsi:type="dcterms:W3CDTF">2023-03-27T15:41:00Z</dcterms:created>
  <dcterms:modified xsi:type="dcterms:W3CDTF">2023-03-31T12:50:00Z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id="PbjBMOJM"/&gt;&lt;style id="http://www.zotero.org/styles/chemical-engineering-science-x" hasBibliography="1" bibliographyStyleHasBeenSet="1"/&gt;&lt;prefs&gt;&lt;pref name="fieldType" value="Field"/&gt;&lt;pref name="st</vt:lpwstr>
  </property>
  <property fmtid="{D5CDD505-2E9C-101B-9397-08002B2CF9AE}" pid="3" name="ZOTERO_PREF_2">
    <vt:lpwstr>oreReferences" value="true"/&gt;&lt;/prefs&gt;&lt;/data&gt;</vt:lpwstr>
  </property>
</Properties>
</file>