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72C518CF"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w:t>
            </w:r>
            <w:r w:rsidRPr="00F93EDF">
              <w:rPr>
                <w:rFonts w:ascii="Tahoma" w:hAnsi="Tahoma" w:cs="Tahoma"/>
                <w:color w:val="000000"/>
                <w:sz w:val="14"/>
                <w:szCs w:val="14"/>
                <w:shd w:val="clear" w:color="auto" w:fill="FFFFFF"/>
              </w:rPr>
              <w:t xml:space="preserve"> </w:t>
            </w:r>
            <w:proofErr w:type="spellStart"/>
            <w:r w:rsidRPr="00293D18">
              <w:rPr>
                <w:rFonts w:ascii="Tahoma" w:hAnsi="Tahoma" w:cs="Tahoma"/>
                <w:sz w:val="14"/>
                <w:szCs w:val="14"/>
              </w:rPr>
              <w:t>Sauro</w:t>
            </w:r>
            <w:proofErr w:type="spellEnd"/>
            <w:r w:rsidRPr="00293D18">
              <w:rPr>
                <w:rFonts w:ascii="Tahoma" w:hAnsi="Tahoma" w:cs="Tahoma"/>
                <w:sz w:val="14"/>
                <w:szCs w:val="14"/>
              </w:rPr>
              <w:t xml:space="preserve"> </w:t>
            </w:r>
            <w:proofErr w:type="spellStart"/>
            <w:r w:rsidRPr="00293D18">
              <w:rPr>
                <w:rFonts w:ascii="Tahoma" w:hAnsi="Tahoma" w:cs="Tahoma"/>
                <w:sz w:val="14"/>
                <w:szCs w:val="14"/>
              </w:rPr>
              <w:t>Pierucci</w:t>
            </w:r>
            <w:proofErr w:type="spellEnd"/>
          </w:p>
          <w:p w14:paraId="1B0F1814" w14:textId="650290B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28E8E711" w:rsidR="00E978D0" w:rsidRPr="00B57B36" w:rsidRDefault="00214BEA" w:rsidP="00E978D0">
      <w:pPr>
        <w:pStyle w:val="CETTitle"/>
      </w:pPr>
      <w:r>
        <w:t xml:space="preserve">High- Performance </w:t>
      </w:r>
      <w:proofErr w:type="gramStart"/>
      <w:r w:rsidR="00674DF7">
        <w:t>And</w:t>
      </w:r>
      <w:proofErr w:type="gramEnd"/>
      <w:r w:rsidR="00674DF7">
        <w:t xml:space="preserve"> Sustainable Expanded Plastics By Graded Foaming Technologies</w:t>
      </w:r>
    </w:p>
    <w:p w14:paraId="0488FED2" w14:textId="7A347FBA" w:rsidR="00B57E6F" w:rsidRPr="000F0BC3" w:rsidRDefault="006E5F42" w:rsidP="00B57E6F">
      <w:pPr>
        <w:pStyle w:val="CETAuthors"/>
        <w:rPr>
          <w:lang w:val="it-IT"/>
        </w:rPr>
      </w:pPr>
      <w:r w:rsidRPr="000F0BC3">
        <w:rPr>
          <w:lang w:val="it-IT"/>
        </w:rPr>
        <w:t>Fabrizio Errichiello</w:t>
      </w:r>
      <w:r w:rsidR="000F0BC3" w:rsidRPr="000F0BC3">
        <w:rPr>
          <w:vertAlign w:val="superscript"/>
          <w:lang w:val="it-IT"/>
        </w:rPr>
        <w:t>a</w:t>
      </w:r>
      <w:r w:rsidR="00B57E6F" w:rsidRPr="000F0BC3">
        <w:rPr>
          <w:vertAlign w:val="superscript"/>
          <w:lang w:val="it-IT"/>
        </w:rPr>
        <w:t>,</w:t>
      </w:r>
      <w:r w:rsidR="00B57E6F" w:rsidRPr="000F0BC3">
        <w:rPr>
          <w:lang w:val="it-IT"/>
        </w:rPr>
        <w:t xml:space="preserve">*, </w:t>
      </w:r>
      <w:r w:rsidR="000F0BC3" w:rsidRPr="000F0BC3">
        <w:rPr>
          <w:lang w:val="it-IT"/>
        </w:rPr>
        <w:t>Ernesto Di M</w:t>
      </w:r>
      <w:r w:rsidR="000F0BC3">
        <w:rPr>
          <w:lang w:val="it-IT"/>
        </w:rPr>
        <w:t>aio</w:t>
      </w:r>
      <w:r w:rsidR="003B1251" w:rsidRPr="000F0BC3">
        <w:rPr>
          <w:vertAlign w:val="superscript"/>
          <w:lang w:val="it-IT"/>
        </w:rPr>
        <w:t>b</w:t>
      </w:r>
      <w:r w:rsidR="003B1251" w:rsidRPr="000F0BC3">
        <w:rPr>
          <w:lang w:val="it-IT"/>
        </w:rPr>
        <w:t>,</w:t>
      </w:r>
      <w:r w:rsidR="003B1251">
        <w:rPr>
          <w:lang w:val="it-IT"/>
        </w:rPr>
        <w:t xml:space="preserve"> </w:t>
      </w:r>
      <w:r w:rsidR="00152868">
        <w:rPr>
          <w:lang w:val="it-IT"/>
        </w:rPr>
        <w:t>Luigi Nicolais</w:t>
      </w:r>
      <w:r w:rsidR="00152868" w:rsidRPr="000F0BC3">
        <w:rPr>
          <w:vertAlign w:val="superscript"/>
          <w:lang w:val="it-IT"/>
        </w:rPr>
        <w:t>a</w:t>
      </w:r>
    </w:p>
    <w:p w14:paraId="6B2D21B3" w14:textId="078EEE62" w:rsidR="00B57E6F" w:rsidRPr="00B5324D" w:rsidRDefault="00B57E6F" w:rsidP="00B57E6F">
      <w:pPr>
        <w:pStyle w:val="CETAddress"/>
        <w:rPr>
          <w:lang w:val="it-IT"/>
        </w:rPr>
      </w:pPr>
      <w:r w:rsidRPr="00B5324D">
        <w:rPr>
          <w:vertAlign w:val="superscript"/>
          <w:lang w:val="it-IT"/>
        </w:rPr>
        <w:t>a</w:t>
      </w:r>
      <w:r w:rsidR="00B5324D" w:rsidRPr="00B5324D">
        <w:rPr>
          <w:lang w:val="it-IT"/>
        </w:rPr>
        <w:t>Materias S.r.l., Corso Nicolangelo Protopisani, 50, I-80146, Naples, NA, Italy</w:t>
      </w:r>
    </w:p>
    <w:p w14:paraId="3D72B0B0" w14:textId="610C1778" w:rsidR="00B57E6F" w:rsidRPr="00F66022" w:rsidRDefault="00B57E6F" w:rsidP="00B57E6F">
      <w:pPr>
        <w:pStyle w:val="CETAddress"/>
        <w:rPr>
          <w:lang w:val="it-IT"/>
        </w:rPr>
      </w:pPr>
      <w:r w:rsidRPr="00F66022">
        <w:rPr>
          <w:vertAlign w:val="superscript"/>
          <w:lang w:val="it-IT"/>
        </w:rPr>
        <w:t>b</w:t>
      </w:r>
      <w:r w:rsidR="00F66022" w:rsidRPr="00F66022">
        <w:rPr>
          <w:lang w:val="it-IT"/>
        </w:rPr>
        <w:t xml:space="preserve"> foamlab, DICMAPI, University of Naples Federico II, P.le Tecchio 80, I-80125, Naples, NA, Italy</w:t>
      </w:r>
      <w:r w:rsidRPr="00F66022">
        <w:rPr>
          <w:lang w:val="it-IT"/>
        </w:rPr>
        <w:t xml:space="preserve">] </w:t>
      </w:r>
    </w:p>
    <w:p w14:paraId="73F1267A" w14:textId="01AF646B" w:rsidR="00B57E6F" w:rsidRPr="00A67E2F" w:rsidRDefault="00B57E6F" w:rsidP="00B57E6F">
      <w:pPr>
        <w:pStyle w:val="CETemail"/>
      </w:pPr>
      <w:r w:rsidRPr="00CB5538">
        <w:rPr>
          <w:lang w:val="it-IT"/>
        </w:rPr>
        <w:t xml:space="preserve"> </w:t>
      </w:r>
      <w:r w:rsidR="00123ED8" w:rsidRPr="00A67E2F">
        <w:t>fabrizio.errichiello</w:t>
      </w:r>
      <w:r w:rsidRPr="00A67E2F">
        <w:t>@</w:t>
      </w:r>
      <w:r w:rsidR="002179A1" w:rsidRPr="00A67E2F">
        <w:t>materias</w:t>
      </w:r>
      <w:r w:rsidRPr="00A67E2F">
        <w:t>.</w:t>
      </w:r>
      <w:r w:rsidR="002179A1" w:rsidRPr="00A67E2F">
        <w:t>it</w:t>
      </w:r>
    </w:p>
    <w:p w14:paraId="04B319EE" w14:textId="1C95F10B" w:rsidR="00600535" w:rsidRPr="00B57B36" w:rsidRDefault="00845BBA" w:rsidP="00600535">
      <w:pPr>
        <w:pStyle w:val="CETBodytext"/>
        <w:rPr>
          <w:lang w:val="en-GB"/>
        </w:rPr>
      </w:pPr>
      <w:bookmarkStart w:id="0" w:name="_Hlk495475023"/>
      <w:r w:rsidRPr="000F3EF1">
        <w:rPr>
          <w:lang w:val="en-GB"/>
        </w:rPr>
        <w:t xml:space="preserve">Designing the foam structures in terms of density and morphology gives the chance to tune their mechanical and functional properties to the specific application. Nowadays this design has been levelled up by the introduction of graded foams, characterized by spatially non-uniform densities and/or morphologies. Graded foams have shown superior with respect to their uniform counterpart in numerous examples. When using sintered beads foams, macroscopic pure compression may induce local bending on the single bead, which can be exploited to induce stiffening. We herein prove this idea on both polystyrene and thermoplastic polyurethane beads, sintered in a cylindrical </w:t>
      </w:r>
      <w:proofErr w:type="spellStart"/>
      <w:r w:rsidRPr="000F3EF1">
        <w:rPr>
          <w:lang w:val="en-GB"/>
        </w:rPr>
        <w:t>mold</w:t>
      </w:r>
      <w:proofErr w:type="spellEnd"/>
      <w:r w:rsidRPr="000F3EF1">
        <w:rPr>
          <w:lang w:val="en-GB"/>
        </w:rPr>
        <w:t xml:space="preserve"> for compressive tests. We compared foams made by sintering beads with uniform as well as graded morphologies, evidencing, on foams with </w:t>
      </w:r>
      <w:r>
        <w:rPr>
          <w:lang w:val="en-GB"/>
        </w:rPr>
        <w:t xml:space="preserve">the </w:t>
      </w:r>
      <w:r w:rsidRPr="000F3EF1">
        <w:rPr>
          <w:lang w:val="en-GB"/>
        </w:rPr>
        <w:t xml:space="preserve">same average density, a </w:t>
      </w:r>
      <w:r>
        <w:rPr>
          <w:lang w:val="en-GB"/>
        </w:rPr>
        <w:t>1</w:t>
      </w:r>
      <w:r w:rsidRPr="000F3EF1">
        <w:rPr>
          <w:lang w:val="en-GB"/>
        </w:rPr>
        <w:t>0% ca. increase of the Young's modulus when the beads are characterized by a denser outer layer.</w:t>
      </w:r>
    </w:p>
    <w:bookmarkEnd w:id="0"/>
    <w:p w14:paraId="476B2F2E" w14:textId="77777777" w:rsidR="00600535" w:rsidRPr="00B57B36" w:rsidRDefault="00600535" w:rsidP="00600535">
      <w:pPr>
        <w:pStyle w:val="CETHeading1"/>
        <w:rPr>
          <w:lang w:val="en-GB"/>
        </w:rPr>
      </w:pPr>
      <w:r w:rsidRPr="00B57B36">
        <w:rPr>
          <w:lang w:val="en-GB"/>
        </w:rPr>
        <w:t>Introduction</w:t>
      </w:r>
    </w:p>
    <w:p w14:paraId="6EF75B4D" w14:textId="0B212A48" w:rsidR="0001198B" w:rsidRDefault="00BE477B" w:rsidP="0001198B">
      <w:pPr>
        <w:spacing w:after="240"/>
      </w:pPr>
      <w:r>
        <w:fldChar w:fldCharType="begin" w:fldLock="1"/>
      </w:r>
      <w:r w:rsidR="009A068A">
        <w:instrText>ADDIN CSL_CITATION {"citationItems":[{"id":"ITEM-1","itemData":{"DOI":"10.19080/CTFTTE.2018.03.5","abstract":"The hygienic and comfort properties of fabrics for clothing are basically determined by their electrifiability and ability to absorb moisture, i.e. the hygroscopicity and capillarity, which are quantitative characteristics of the hydrophilicity of materials. Unfortunately, the most common synthetic fibre, Polyester exhibits high electrifiability and low hydrophilicity, which makes it unsuitable for fabrication of fabrics with properties close to cellulosic fibre and significantly restricts the area of their application. However, now a days, it is more preferable in the active sportswear due to its excellent physical properties like abrasion resistance, strength etc.","author":[{"dropping-particle":"","family":"Basuk","given":"Mayur","non-dropping-particle":"","parse-names":false,"suffix":""},{"dropping-particle":"","family":"Bait","given":"Smita","non-dropping-particle":"","parse-names":false,"suffix":""},{"dropping-particle":"","family":"Maiti","given":"Saptarshi","non-dropping-particle":"","parse-names":false,"suffix":""},{"dropping-particle":"V","family":"Adivarekar","given":"R","non-dropping-particle":"","parse-names":false,"suffix":""}],"container-title":"Current Trends in Fashion Technology \\&amp; Textile Engineering","id":"ITEM-1","issue":"5","issued":{"date-parts":[["2018"]]},"page":"105-112","title":"Management Properties and Drying Behavior of Polyester and Blend Fabrics for Sportswear Application","type":"article-journal","volume":"3"},"uris":["http://www.mendeley.com/documents/?uuid=ecd7552c-5fc2-43b1-afc2-09608b70851f"]},{"id":"ITEM-2","itemData":{"DOI":"10.1007/978-3-030-50801-2_7","ISBN":"978-3-030-50801-2","abstract":"This chapter highlights the present and projected impact of additive manufacturing technologies on the sports ecosystem. Beiderbeck, Krüger, and Minshall first describe the process- and product-related advantages that derive from additive manufacturing in general. Then, they introduce an additive manufacturing sports application matrix, which serves as a grid to structure current use cases along their benefits for the sports industry. Next, they illustrate how the interplay between additive manufacturing and technological advancement in other fields like artificial intelligence, sensor technology, and robotics can create new products and business models. The chapter concludes with a discussion about future opportunities and challenges around additive manufacturing and innovation in sports.","author":[{"dropping-particle":"","family":"Beiderbeck","given":"Daniel","non-dropping-particle":"","parse-names":false,"suffix":""},{"dropping-particle":"","family":"Krüger","given":"Harry","non-dropping-particle":"","parse-names":false,"suffix":""},{"dropping-particle":"","family":"Minshall","given":"Tim","non-dropping-particle":"","parse-names":false,"suffix":""}],"container-title":"21st Century Sports: How Technologies Will Change Sports in the Digital Age","editor":[{"dropping-particle":"","family":"Schmidt","given":"Sascha L","non-dropping-particle":"","parse-names":false,"suffix":""}],"id":"ITEM-2","issued":{"date-parts":[["2020"]]},"page":"111-132","publisher":"Springer International Publishing","publisher-place":"Cham","title":"The Future of Additive Manufacturing in Sports","type":"chapter"},"uris":["http://www.mendeley.com/documents/?uuid=696e6d41-bc3a-444f-a96d-75b9c28549de"]},{"id":"ITEM-3","itemData":{"DOI":"10.1201/b19359","ISBN":"9781482220513","abstract":"Materials and Technology for Sportswear and Performance Apparel takes a close look at the design and development of functional apparel designed for high-performance sportswear. Implementing materials, performance, technology, and design and marketing, the book examines this rapidly emerging textile market and outlines future directions and growing trends. The book begins by explaining how a comfort-driven focus has led the industry to embrace knitted fabric as a popular choice of constructional material. Using examples of leading brands, it outlines the basic terminology, structural details, and essential properties appropriate for performance apparel, especially for sportswear. This book describes the differences between woven and knitted structures, provides an understanding of fabric behavior and the characteristics of a functional garment, and outlines the importance of garment fit and consumer perception of garment comfort in its design and development. The authors present key research outcomes on the design and development of functional apparel designed for high-performance sportswear that explore smart materials, impact-resistant fabrics and pressure sensing. They consider the use of 3-D body scanning and its influence on pattern engineering for apparel product development; highlight the widely used fiber types for sportswear and the importance of fiber blends and their performance, and discuss the relevance of fabric structure and its interaction with the human body. The book also presents research on moisture management and temperature regulation and analyzes the performance and development of smart sportswear intended for monitoring health and performance for a range of end uses. A definitive guide detailing the future of functional clothing and sportswear, this book: Describes how to design and develop functional clothing for sportswear Reflects current research outcomes and industry requirements Clarifies with visual illustration, practical examples, and case studies an understanding of techniques and concepts Explores specifics of garment design such as fit, shape, function, fashion and design Focuses on a commitment to designing ethical and sustainable products.","author":[{"dropping-particle":"","family":"Hayes","given":"Steve George","non-dropping-particle":"","parse-names":false,"suffix":""},{"dropping-particle":"","family":"Venkatraman","given":"Praburaj","non-dropping-particle":"","parse-names":false,"suffix":""}],"container-title":"Materials and Technology for Sportswear and Performance Apparel","id":"ITEM-3","issued":{"date-parts":[["2015"]]},"number-of-pages":"1-342","title":"Materials and Technology for Sportswear and Performance Apparel","type":"book"},"uris":["http://www.mendeley.com/documents/?uuid=7602034e-eca9-49f3-a17c-03970ced58a9"]},{"id":"ITEM-4","itemData":{"DOI":"10.1016/B978-0-08-102582-6.00004-6","ISBN":"9780081025826","abstract":"E-textiles that integrate multifunctional materials into clothing hold great potential for the wearable electronics market. One of the ultimate objectives of wearable electronics is their integration with textiles and clothes so that device functions can be conducted along with the textile advantages such as comfort, breathability, soft fabrics, and high sustainability. Various components of electronic devices like textile circuits, light-emitting diodes, and a variety of sensors for pressure, temperature, and vital signs have been used in smart clothing. There are also some prototypes of flexible, textile-based, energy-storage devices such as batteries, supercapacitors, and direct-power generations that sustain these devices, which are integrated into clothing. These wearable technologies have potential applications in sportswear and could change athletes’ experience during sports considerably just like smartphones, tablets, and other gadgets have in the recent past.","author":[{"dropping-particle":"","family":"Memarian","given":"Farnaz","non-dropping-particle":"","parse-names":false,"suffix":""},{"dropping-particle":"","family":"Rahmani","given":"Shahrzad","non-dropping-particle":"","parse-names":false,"suffix":""},{"dropping-particle":"","family":"Yousefzadeh","given":"Maryam","non-dropping-particle":"","parse-names":false,"suffix":""},{"dropping-particle":"","family":"Latifi","given":"Masoud","non-dropping-particle":"","parse-names":false,"suffix":""}],"container-title":"Materials in Sports Equipment","id":"ITEM-4","issued":{"date-parts":[["2019"]]},"number-of-pages":"123-160","publisher":"Elsevier Ltd","title":"Wearable technologies in sportswear","type":"book"},"uris":["http://www.mendeley.com/documents/?uuid=3ed37a1d-130c-49d5-8119-baa25bef61ee"]}],"mendeley":{"formattedCitation":"(Basuk et al., 2018; Beiderbeck et al., 2020; Hayes and Venkatraman, 2015; Memarian et al., 2019)","plainTextFormattedCitation":"(Basuk et al., 2018; Beiderbeck et al., 2020; Hayes and Venkatraman, 2015; Memarian et al., 2019)","previouslyFormattedCitation":"(Basuk et al., 2018; Beiderbeck et al., 2020; Hayes and Venkatraman, 2015; Memarian et al., 2019)"},"properties":{"noteIndex":0},"schema":"https://github.com/citation-style-language/schema/raw/master/csl-citation.json"}</w:instrText>
      </w:r>
      <w:r>
        <w:fldChar w:fldCharType="separate"/>
      </w:r>
      <w:r w:rsidR="00C86276" w:rsidRPr="00C86276">
        <w:rPr>
          <w:noProof/>
        </w:rPr>
        <w:t>(Basuk et al., 2018; Beiderbeck et al., 2020; Hayes and Venkatraman, 2015; Memarian et al., 2019)</w:t>
      </w:r>
      <w:r>
        <w:fldChar w:fldCharType="end"/>
      </w:r>
      <w:r w:rsidR="00853AD0" w:rsidRPr="00853AD0">
        <w:t>Technology plays a significant role in modern sporting events, and athletes' performance is increasingly reliant on the equipment, apparel, and gadgets they use during practice and competition. The sportswear industry is a rapidly expanding sector that caters to both professional and amateur athletes</w:t>
      </w:r>
      <w:r w:rsidR="00E610F1">
        <w:t xml:space="preserve"> and</w:t>
      </w:r>
      <w:r w:rsidR="00853AD0" w:rsidRPr="00853AD0">
        <w:t xml:space="preserve"> broader consumer segments interested in leisure and fashion. </w:t>
      </w:r>
      <w:r w:rsidR="009E2587">
        <w:fldChar w:fldCharType="begin" w:fldLock="1"/>
      </w:r>
      <w:r w:rsidR="00C86276">
        <w:instrText>ADDIN CSL_CITATION {"citationItems":[{"id":"ITEM-1","itemData":{"DOI":"10.1080/17569370.2016.1221931","author":[{"dropping-particle":"","family":"Bruun","given":"Mette Bielefeldt","non-dropping-particle":"","parse-names":false,"suffix":""},{"dropping-particle":"","family":"Langkjær","given":"Michael A","non-dropping-particle":"","parse-names":false,"suffix":""}],"container-title":"Fashion Practice","id":"ITEM-1","issue":"2","issued":{"date-parts":[["2016"]]},"page":"181-188","publisher":"Routledge","title":"Sportswear: Between Fashion, Innovation and Sustainability","type":"article-journal","volume":"8"},"uris":["http://www.mendeley.com/documents/?uuid=8f1d9f1b-18b9-4506-8da6-290f541a6dbc"]}],"mendeley":{"formattedCitation":"(Bruun and Langkjær, 2016)","plainTextFormattedCitation":"(Bruun and Langkjær, 2016)","previouslyFormattedCitation":"(Bruun and Langkjær, 2016)"},"properties":{"noteIndex":0},"schema":"https://github.com/citation-style-language/schema/raw/master/csl-citation.json"}</w:instrText>
      </w:r>
      <w:r w:rsidR="009E2587">
        <w:fldChar w:fldCharType="separate"/>
      </w:r>
      <w:r w:rsidR="00B2572A" w:rsidRPr="00B2572A">
        <w:rPr>
          <w:noProof/>
        </w:rPr>
        <w:t>(Bruun and Langkjær, 2016)</w:t>
      </w:r>
      <w:r w:rsidR="009E2587">
        <w:fldChar w:fldCharType="end"/>
      </w:r>
      <w:r w:rsidR="00853AD0" w:rsidRPr="00853AD0">
        <w:t xml:space="preserve">. Sportswear is designed to provide utility, comfort, and safety, specifically tailored to meet the athletes' performance requirements. In competitive sports, the functionality of athletic clothing can often be the difference between winning and losing. However, sportswear has expanded to include leisure wear and footwear, as well as clothing and footwear worn by spectators at athletic events, leading to a convergence in the market between performance, utility, and fashion. This convergence presents new opportunities and challenges for market players. To remain competitive, every firm in the sportswear industry invests significant time and resources into their research and development departments to enhance their products' performance. Furthermore, as consumer </w:t>
      </w:r>
      <w:proofErr w:type="spellStart"/>
      <w:r w:rsidR="00853AD0" w:rsidRPr="00853AD0">
        <w:t>behavior</w:t>
      </w:r>
      <w:proofErr w:type="spellEnd"/>
      <w:r w:rsidR="00853AD0" w:rsidRPr="00853AD0">
        <w:t xml:space="preserve"> becomes more sustainable, businesses are intensifying their efforts to become more socially and ecologically responsible. An increasing number of companies recognize the need to fundamentally transform how they create value, especially in the textile and footwear sectors. Sustainability initiatives include using recycled resources, adopting circular business models, and introducing flexible product lines with fewer fashion cycles </w:t>
      </w:r>
      <w:r w:rsidR="00E610F1">
        <w:fldChar w:fldCharType="begin" w:fldLock="1"/>
      </w:r>
      <w:r w:rsidR="009A068A">
        <w:instrText>ADDIN CSL_CITATION {"citationItems":[{"id":"ITEM-1","itemData":{"DOI":"10.3390/su12072788","ISSN":"20711050","abstract":"The steady increase of sustainable consumer behavior leads companies to strengthen their efforts to become socially and ecologically more sustainable. Particularly in the clothing and footwear industry, more and more companies are aware of their need to fundamentally adapt the way they create value. Sustainability offerings are developed, e.g., usage of upcycled materials (e.g., ocean plastic), circular business models (e.g., decomposition of returned products into components for new ones), as well as adapted product ranges (e.g., smaller or with fewer fashion cycles). However, it is frequently unclear in advance, which offerings will increase (or decrease) satisfaction and, consequently, drive (or not drive) sustainable consumption. The application of a segmented Kano perspective in an apparel and sportswear context that helps to answer these questions is presented: 17 potential offerings were assessed by a sample of 490 consumers. Our analysis demonstrates the usefulness of this methodology and that returning used products (to recycle them), discounts for buying sustainable products, sustainability level indicators, and biobased materials are highly attractive. However, the responsiveness varies across the derived consumer segments, from being decisive or attractive to indifferent or reverse. As assumed, gender and attitude towards sustainability are good predictors for segment membership.","author":[{"dropping-particle":"","family":"Baier","given":"Daniel","non-dropping-particle":"","parse-names":false,"suffix":""},{"dropping-particle":"","family":"Rausch","given":"Theresa Maria","non-dropping-particle":"","parse-names":false,"suffix":""},{"dropping-particle":"","family":"Wagner","given":"Timm F.","non-dropping-particle":"","parse-names":false,"suffix":""}],"container-title":"Sustainability (Switzerland)","id":"ITEM-1","issue":"7","issued":{"date-parts":[["2020"]]},"page":"1-21","title":"The drivers of sustainable apparel and sportswear consumption: A segmented kano perspective","type":"article-journal","volume":"12"},"uris":["http://www.mendeley.com/documents/?uuid=6e8e6446-3a9d-4532-a6c0-2353f521b7b2"]}],"mendeley":{"formattedCitation":"(Baier et al., 2020)","plainTextFormattedCitation":"(Baier et al., 2020)","previouslyFormattedCitation":"(Baier et al., 2020)"},"properties":{"noteIndex":0},"schema":"https://github.com/citation-style-language/schema/raw/master/csl-citation.json"}</w:instrText>
      </w:r>
      <w:r w:rsidR="00E610F1">
        <w:fldChar w:fldCharType="separate"/>
      </w:r>
      <w:r w:rsidR="00C86276" w:rsidRPr="00C86276">
        <w:rPr>
          <w:noProof/>
        </w:rPr>
        <w:t>(Baier et al., 2020)</w:t>
      </w:r>
      <w:r w:rsidR="00E610F1">
        <w:fldChar w:fldCharType="end"/>
      </w:r>
      <w:r w:rsidR="00853AD0" w:rsidRPr="00853AD0">
        <w:t xml:space="preserve">. The creation of low-impact textiles, the incorporation of wearable electronics for metrics recording and active adaptation, the use of cutting-edge technology, and the creation of novel materials are some of the latest technological advancements addressing the </w:t>
      </w:r>
      <w:proofErr w:type="gramStart"/>
      <w:r w:rsidR="00853AD0" w:rsidRPr="00853AD0">
        <w:t>aforementioned problems</w:t>
      </w:r>
      <w:proofErr w:type="gramEnd"/>
      <w:r w:rsidR="00853AD0" w:rsidRPr="00853AD0">
        <w:t>. (</w:t>
      </w:r>
      <w:proofErr w:type="spellStart"/>
      <w:r w:rsidR="00853AD0" w:rsidRPr="00853AD0">
        <w:t>Basuk</w:t>
      </w:r>
      <w:proofErr w:type="spellEnd"/>
      <w:r w:rsidR="00853AD0" w:rsidRPr="00853AD0">
        <w:t xml:space="preserve"> et al., 2018; </w:t>
      </w:r>
      <w:proofErr w:type="spellStart"/>
      <w:r w:rsidR="00853AD0" w:rsidRPr="00853AD0">
        <w:t>Beiderbeck</w:t>
      </w:r>
      <w:proofErr w:type="spellEnd"/>
      <w:r w:rsidR="00853AD0" w:rsidRPr="00853AD0">
        <w:t xml:space="preserve"> et al., 2020; Hayes and Venkatraman, 2015; </w:t>
      </w:r>
      <w:proofErr w:type="spellStart"/>
      <w:r w:rsidR="00853AD0" w:rsidRPr="00853AD0">
        <w:t>Memarian</w:t>
      </w:r>
      <w:proofErr w:type="spellEnd"/>
      <w:r w:rsidR="00853AD0" w:rsidRPr="00853AD0">
        <w:t xml:space="preserve"> et al., 2019). The sports footwear industry holds a significant portion of the market and is particularly susceptible to game-changing innovations. Footwear components include the shoe top, insole, midsole, and outsole, with the upper being exposed to mud and moisture on the sides and top of the foot. Choosing the appropriate material is crucial for comfort, protection, and maintaining material properties in harsh conditions. The ideal top material should be breathable, washable, sturdy, and </w:t>
      </w:r>
      <w:proofErr w:type="spellStart"/>
      <w:r w:rsidR="00853AD0" w:rsidRPr="00853AD0">
        <w:t>cozy</w:t>
      </w:r>
      <w:proofErr w:type="spellEnd"/>
      <w:r w:rsidR="00853AD0" w:rsidRPr="00853AD0">
        <w:t xml:space="preserve">, with nylon being the </w:t>
      </w:r>
      <w:proofErr w:type="gramStart"/>
      <w:r w:rsidR="00853AD0" w:rsidRPr="00853AD0">
        <w:t>most commonly used</w:t>
      </w:r>
      <w:proofErr w:type="gramEnd"/>
      <w:r w:rsidR="00853AD0" w:rsidRPr="00853AD0">
        <w:t xml:space="preserve"> material for athletic footwear. The midsole, situated between the outsole and the upper, is considered the most critical part of the shoe, offering stability, cushioning, and shock absorption. Foam, particularly ethylene-vinyl acetate (EVA), is often utilized for midsoles, while polyurethane is </w:t>
      </w:r>
      <w:r w:rsidR="00853AD0" w:rsidRPr="00853AD0">
        <w:lastRenderedPageBreak/>
        <w:t xml:space="preserve">preferred for sports footwear as it is stiffer and more durable than EVA. A trade-off exists between stability and cushioning as the midsole's strength increases. Therefore, a balance must be struck depending on the wearer's profile, which can be achieved through a combination of materials with varying densities. The outsole, which </w:t>
      </w:r>
      <w:proofErr w:type="gramStart"/>
      <w:r w:rsidR="00853AD0" w:rsidRPr="00853AD0">
        <w:t>comes into contact with</w:t>
      </w:r>
      <w:proofErr w:type="gramEnd"/>
      <w:r w:rsidR="00853AD0" w:rsidRPr="00853AD0">
        <w:t xml:space="preserve"> the ground, is responsible for providing traction, shock absorption, and flexibility, and is typically made of various rubber types. The selection of rubber for footwear considers various factors such as softness, weight, durability, and traction, with different rubbers being used for different parts of the shoe based on the athlete's requirements</w:t>
      </w:r>
      <w:r w:rsidR="006E6FB1">
        <w:t xml:space="preserve"> </w:t>
      </w:r>
      <w:r w:rsidR="006E6FB1">
        <w:fldChar w:fldCharType="begin" w:fldLock="1"/>
      </w:r>
      <w:r w:rsidR="00C86276">
        <w:instrText>ADDIN CSL_CITATION {"citationItems":[{"id":"ITEM-1","itemData":{"DOI":"10.1007/978-3-030-10433-7_41","ISBN":"978-3-030-10433-7","abstract":"Sports footwear has evolved significantly in the past decades. Footwear innovations provided more comfort and performance improvement both for the professional and amateur athlete. With new technologies being developed every year, it is challenging for the general physician to keep updated with the literature. However, as the knowledge regarding sports footwear evolves, athletes become more demanding, aiming for optimal performance. Therefore, it is essential that the sports physician be capable of prescribing the most appropriate sports footwear according to the athlete's specific needs and expectations.","author":[{"dropping-particle":"","family":"Prado","given":"Marcelo Pires","non-dropping-particle":"","parse-names":false,"suffix":""},{"dropping-particle":"","family":"Saito","given":"Guilherme Honda","non-dropping-particle":"","parse-names":false,"suffix":""}],"container-title":"The Sports Medicine Physician","editor":[{"dropping-particle":"","family":"Rocha Piedade","given":"Sérgio","non-dropping-particle":"","parse-names":false,"suffix":""},{"dropping-particle":"","family":"Imhoff","given":"Andreas B","non-dropping-particle":"","parse-names":false,"suffix":""},{"dropping-particle":"","family":"Clatworthy","given":"Mark","non-dropping-particle":"","parse-names":false,"suffix":""},{"dropping-particle":"","family":"Cohen","given":"Moises","non-dropping-particle":"","parse-names":false,"suffix":""},{"dropping-particle":"","family":"Espregueira-Mendes","given":"João","non-dropping-particle":"","parse-names":false,"suffix":""}],"id":"ITEM-1","issued":{"date-parts":[["2019"]]},"page":"571-578","publisher":"Springer International Publishing","publisher-place":"Cham","title":"Sports Footwear: Problems and Advances","type":"chapter"},"uris":["http://www.mendeley.com/documents/?uuid=3d18cf76-b614-4994-bc46-291ce2277e13"]}],"mendeley":{"formattedCitation":"(Prado and Saito, 2019)","plainTextFormattedCitation":"(Prado and Saito, 2019)","previouslyFormattedCitation":"(Prado and Saito, 2019)"},"properties":{"noteIndex":0},"schema":"https://github.com/citation-style-language/schema/raw/master/csl-citation.json"}</w:instrText>
      </w:r>
      <w:r w:rsidR="006E6FB1">
        <w:fldChar w:fldCharType="separate"/>
      </w:r>
      <w:r w:rsidR="00B2572A" w:rsidRPr="00B2572A">
        <w:rPr>
          <w:noProof/>
        </w:rPr>
        <w:t>(Prado and Saito, 2019)</w:t>
      </w:r>
      <w:r w:rsidR="006E6FB1">
        <w:fldChar w:fldCharType="end"/>
      </w:r>
      <w:r w:rsidR="00853AD0" w:rsidRPr="00853AD0">
        <w:t xml:space="preserve">. In the production of midsoles, compression </w:t>
      </w:r>
      <w:proofErr w:type="spellStart"/>
      <w:r w:rsidR="00853AD0" w:rsidRPr="00853AD0">
        <w:t>molding</w:t>
      </w:r>
      <w:proofErr w:type="spellEnd"/>
      <w:r w:rsidR="00853AD0" w:rsidRPr="00853AD0">
        <w:t xml:space="preserve"> and injection </w:t>
      </w:r>
      <w:proofErr w:type="spellStart"/>
      <w:r w:rsidR="00853AD0" w:rsidRPr="00853AD0">
        <w:t>molding</w:t>
      </w:r>
      <w:proofErr w:type="spellEnd"/>
      <w:r w:rsidR="00853AD0" w:rsidRPr="00853AD0">
        <w:t xml:space="preserve"> are commonly used, while 3D printing is a newer additive manufacturing method. In the production of midsoles, compression </w:t>
      </w:r>
      <w:proofErr w:type="spellStart"/>
      <w:r w:rsidR="00853AD0" w:rsidRPr="00853AD0">
        <w:t>molding</w:t>
      </w:r>
      <w:proofErr w:type="spellEnd"/>
      <w:r w:rsidR="00853AD0" w:rsidRPr="00853AD0">
        <w:t xml:space="preserve"> and injection </w:t>
      </w:r>
      <w:proofErr w:type="spellStart"/>
      <w:r w:rsidR="00853AD0" w:rsidRPr="00853AD0">
        <w:t>molding</w:t>
      </w:r>
      <w:proofErr w:type="spellEnd"/>
      <w:r w:rsidR="00853AD0" w:rsidRPr="00853AD0">
        <w:t xml:space="preserve"> are commonly used, while 3D printing is a newer additive manufacturing method</w:t>
      </w:r>
      <w:r w:rsidR="00532BC1">
        <w:t xml:space="preserve"> </w:t>
      </w:r>
      <w:r w:rsidR="00532BC1">
        <w:fldChar w:fldCharType="begin" w:fldLock="1"/>
      </w:r>
      <w:r w:rsidR="00532BC1">
        <w:instrText>ADDIN CSL_CITATION {"citationItems":[{"id":"ITEM-1","itemData":{"DOI":"https://doi.org/10.1016/B978-0-12-821606-4.00019-3","ISBN":"978-0-12-821606-4","abstract":"Footwear design, manufacturing, and production is entering a new phase of revolution with shorter design and manufacturing cycles. Although consumers expect shorter lead time, they are also becoming more and more demanding in terms of style, comfort, and fit. Consumers are very aware of 3D technologies and hence they expect the use of 3D technologies. Therefore, companies are starting to adopt 3D technologies in the design and development of footwear throughout the product life cycle. Nowadays, capturing the 3D shape is cheap and easy, and any products can be converted into 3D using low-cost and widely available 3D scanners. The scanned data, if required, can be modified using 3D design software. 3D design software is popular because of their ease of design, design modification, visualization, and rendering. Furthermore, footwear design developed based on 3D shoe last, enables changes of the 3D shoe last to automatically update the 3D upper design, outsole, and insole design. Functional properties of footwear such as thermal comfort, moisture management, and fit are also being considered during the design phase. In addition to footwear functional properties, creative design based on 3D enables quick design modification and visualization. The final design can then be manufactured using traditional manufacturing techniques or using a 3D printing technique. Currently, 3D printing is still evolving, and it is not the main footwear manufacturing method. 3D printing technologies have huge potential, hence more development in this area will make traditional manufacturing probably less important and, in some cases, obsolete.","author":[{"dropping-particle":"","family":"Luximon","given":"Ameersing","non-dropping-particle":"","parse-names":false,"suffix":""},{"dropping-particle":"","family":"Luximon","given":"Yan","non-dropping-particle":"","parse-names":false,"suffix":""}],"collection-title":"The Textile Institute Book Series","container-title":"Handbook of Footwear Design and Manufacture (Second Edition)","edition":"Second Edi","editor":[{"dropping-particle":"","family":"Luximon","given":"A","non-dropping-particle":"","parse-names":false,"suffix":""}],"id":"ITEM-1","issued":{"date-parts":[["2021"]]},"page":"477-503","publisher":"Woodhead Publishing","title":"Chapter 19 - New technologies—3D scanning, 3D design, and 3D printing","type":"chapter"},"uris":["http://www.mendeley.com/documents/?uuid=0ddb4ee1-6a83-4346-a0a8-1b8e63004109"]}],"mendeley":{"formattedCitation":"(Luximon and Luximon, 2021)","plainTextFormattedCitation":"(Luximon and Luximon, 2021)"},"properties":{"noteIndex":0},"schema":"https://github.com/citation-style-language/schema/raw/master/csl-citation.json"}</w:instrText>
      </w:r>
      <w:r w:rsidR="00532BC1">
        <w:fldChar w:fldCharType="separate"/>
      </w:r>
      <w:r w:rsidR="00532BC1" w:rsidRPr="00532BC1">
        <w:rPr>
          <w:noProof/>
        </w:rPr>
        <w:t>(Luximon and Luximon, 2021)</w:t>
      </w:r>
      <w:r w:rsidR="00532BC1">
        <w:fldChar w:fldCharType="end"/>
      </w:r>
      <w:r w:rsidR="00853AD0" w:rsidRPr="00853AD0">
        <w:t>. Polyurethane (PU) foams are less prone to compression than Ethylene-vinyl acetate (EVA) foams, but EVA foams are lighter. Gas, gel, and water can be added to enhance the cushioning properties of foams. The non-linear viscoelastic properties of midsole materials are critical for shock absorption and the ability to recover to their original shape. Heat accumulation during use can lead to the loss of the midsole's cushioning capacity</w:t>
      </w:r>
      <w:r w:rsidR="009B3D8D">
        <w:t xml:space="preserve"> </w:t>
      </w:r>
      <w:r w:rsidR="009B3D8D">
        <w:fldChar w:fldCharType="begin" w:fldLock="1"/>
      </w:r>
      <w:r w:rsidR="009B3D8D">
        <w:instrText>ADDIN CSL_CITATION {"citationItems":[{"id":"ITEM-1","itemData":{"DOI":"https://doi.org/10.1016/S1440-2440(00)80035-3","ISSN":"1440-2440","abstract":"The purpose of this paper is to assist the practitioner in understanding the various advantages and disadvantages associated with the use of athletic footwear. In addition, the various components of a typical athletic shoe are described, including the upper, the midsole/outsole, the last, as well as the lasting process. Since the various models of athletic shoes that are available to the consumer can change in a very rapid and unpredictable manner, it is extremely difficult for the clinician to maintain a database of current shoe models and features. This paper stresses the importance of the clinician providing the athlete a list of footwear features and components based on their particular foot classification or problem, rather than attempting to recommend a specific model of athletic shoe. A detailed explanation of these features is provided to assist the practitioner in helping the athlete select the most appropriate shoe.","author":[{"dropping-particle":"","family":"McPoil","given":"Thomas G","non-dropping-particle":"","parse-names":false,"suffix":""}],"container-title":"Journal of Science and Medicine in Sport","id":"ITEM-1","issue":"3","issued":{"date-parts":[["2000"]]},"page":"260-267","title":"Athletic footwear: Design, performance and selection issues","type":"article-journal","volume":"3"},"uris":["http://www.mendeley.com/documents/?uuid=ad79ba38-2667-4268-a85a-54aa0fb4f141"]}],"mendeley":{"formattedCitation":"(McPoil, 2000)","plainTextFormattedCitation":"(McPoil, 2000)","previouslyFormattedCitation":"(McPoil, 2000)"},"properties":{"noteIndex":0},"schema":"https://github.com/citation-style-language/schema/raw/master/csl-citation.json"}</w:instrText>
      </w:r>
      <w:r w:rsidR="009B3D8D">
        <w:fldChar w:fldCharType="separate"/>
      </w:r>
      <w:r w:rsidR="009B3D8D" w:rsidRPr="009B3D8D">
        <w:rPr>
          <w:noProof/>
        </w:rPr>
        <w:t>(McPoil, 2000)</w:t>
      </w:r>
      <w:r w:rsidR="009B3D8D">
        <w:fldChar w:fldCharType="end"/>
      </w:r>
      <w:r w:rsidR="00853AD0" w:rsidRPr="00853AD0">
        <w:t>. Therefore, the suitability of foamed and non-foamed materials for use in the sports footwear industry is evaluated based on their mechanical response to compression</w:t>
      </w:r>
      <w:r w:rsidR="009B3D8D">
        <w:t xml:space="preserve"> </w:t>
      </w:r>
      <w:r w:rsidR="009B3D8D">
        <w:fldChar w:fldCharType="begin" w:fldLock="1"/>
      </w:r>
      <w:r w:rsidR="009A068A">
        <w:instrText>ADDIN CSL_CITATION {"citationItems":[{"id":"ITEM-1","itemData":{"DOI":"10.3109/03093648209167741","ISSN":"17461553","PMID":"7079112","abstract":"Thirty-one materials have been tested in compression in order to generate the stress (force per unit of cross-sectional area) versus strain (deformation) behaviour, for the purpose of assessing the suitability of various foamed plastics and rubbers as shoe insole materials. It was found that the materials could be classified into three distinct categories (very stiff, moderately deformable and very deformable) according to the shape of the characteristic stress versus strain curve. The moderately deformable group has been selected as the most promising for clinical application. © 1982, SAGE Publications. All rights reserved.","author":[{"dropping-particle":"","family":"Campbell","given":"G.","non-dropping-particle":"","parse-names":false,"suffix":""},{"dropping-particle":"","family":"Newell","given":"E.","non-dropping-particle":"","parse-names":false,"suffix":""},{"dropping-particle":"","family":"Mclure","given":"M.","non-dropping-particle":"","parse-names":false,"suffix":""}],"container-title":"Prosthetics and Orthotics International","id":"ITEM-1","issue":"1","issued":{"date-parts":[["1982"]]},"page":"48-52","title":"Compression testing of foamed plastics and rubbers for use as orthotic shoe insoles","type":"article-journal","volume":"6"},"uris":["http://www.mendeley.com/documents/?uuid=62c4339e-d8a9-4f4e-be0e-90532ccd7157"]}],"mendeley":{"formattedCitation":"(Campbell et al., 1982)","plainTextFormattedCitation":"(Campbell et al., 1982)","previouslyFormattedCitation":"(Campbell et al., 1982)"},"properties":{"noteIndex":0},"schema":"https://github.com/citation-style-language/schema/raw/master/csl-citation.json"}</w:instrText>
      </w:r>
      <w:r w:rsidR="009B3D8D">
        <w:fldChar w:fldCharType="separate"/>
      </w:r>
      <w:r w:rsidR="00C86276" w:rsidRPr="00C86276">
        <w:rPr>
          <w:noProof/>
        </w:rPr>
        <w:t>(Campbell et al., 1982)</w:t>
      </w:r>
      <w:r w:rsidR="009B3D8D">
        <w:fldChar w:fldCharType="end"/>
      </w:r>
      <w:r w:rsidR="00853AD0" w:rsidRPr="00853AD0">
        <w:t>. Up until recently, creating novel resins and/or combining various materials into layered structures or as inserts within foamed structures was the only way to create high-performing plastic materials for midsoles. Since the materials cannot be separated and collected when the product is disposed away, these methods are often not sustainable. Recent advancements in graded foaming technology</w:t>
      </w:r>
      <w:r w:rsidR="009B3D8D">
        <w:t xml:space="preserve"> </w:t>
      </w:r>
      <w:r w:rsidR="009B3D8D">
        <w:fldChar w:fldCharType="begin" w:fldLock="1"/>
      </w:r>
      <w:r w:rsidR="009A068A">
        <w:instrText>ADDIN CSL_CITATION {"citationItems":[{"id":"ITEM-1","itemData":{"DOI":"10.1016/j.cej.2019.01.077","ISSN":"13858947","abstract":"Layered and graded foams have proven superior to their uniform counterparts in terms of structural, and functional properties. This is also suggested by nature, abundant with porous material structures whose attributes are far beyond any artificial foam. To date, advanced foamed structures are generated via advanced though complex/time consuming technologies. Here we explore the possibility to generate layered and graded polymeric foams by using the simple gas foaming technology, with the sole introduction of time-varying boundary conditions of the gas sorption stage. We show that, by ingeniously designing the sorption step, it is possible to achieve non-trivial gas concentration profiles and, correspondingly, at pressure release, foams with density and/or morphology profiles. As a model system, we foamed polystyrene and polycaprolactone with CO2 and N2, and achieved three- as well as five-layered foams, gradually or sharply graded, yet in a single foaming step (pressure release) executed after different sorption protocols.","author":[{"dropping-particle":"","family":"Trofa","given":"Marco","non-dropping-particle":"","parse-names":false,"suffix":""},{"dropping-particle":"","family":"Maio","given":"Ernesto","non-dropping-particle":"Di","parse-names":false,"suffix":""},{"dropping-particle":"","family":"Maffettone","given":"Pier Luca","non-dropping-particle":"","parse-names":false,"suffix":""}],"container-title":"Chemical Engineering Journal","id":"ITEM-1","issue":"October 2018","issued":{"date-parts":[["2019"]]},"page":"812-817","title":"Multi-graded foams upon time-dependent exposition to blowing agent","type":"article-journal","volume":"362"},"uris":["http://www.mendeley.com/documents/?uuid=fb152884-fa10-4ade-9a78-65024d4703f6"]}],"mendeley":{"formattedCitation":"(Trofa et al., 2019)","plainTextFormattedCitation":"(Trofa et al., 2019)","previouslyFormattedCitation":"(Trofa et al., 2019)"},"properties":{"noteIndex":0},"schema":"https://github.com/citation-style-language/schema/raw/master/csl-citation.json"}</w:instrText>
      </w:r>
      <w:r w:rsidR="009B3D8D">
        <w:fldChar w:fldCharType="separate"/>
      </w:r>
      <w:r w:rsidR="00C86276" w:rsidRPr="00C86276">
        <w:rPr>
          <w:noProof/>
        </w:rPr>
        <w:t>(Trofa et al., 2019)</w:t>
      </w:r>
      <w:r w:rsidR="009B3D8D">
        <w:fldChar w:fldCharType="end"/>
      </w:r>
      <w:r w:rsidR="00853AD0" w:rsidRPr="00853AD0">
        <w:t xml:space="preserve"> have shown that a single, totally recyclable material may perform better than both uniform and layered alternatives by carefully planning the morphology of the expanded plastic</w:t>
      </w:r>
      <w:r w:rsidR="009B3D8D">
        <w:t xml:space="preserve"> </w:t>
      </w:r>
      <w:r w:rsidR="009B3D8D">
        <w:fldChar w:fldCharType="begin" w:fldLock="1"/>
      </w:r>
      <w:r w:rsidR="009A068A">
        <w:instrText>ADDIN CSL_CITATION {"citationItems":[{"id":"ITEM-1","itemData":{"DOI":"10.1002/app.52052","ISSN":"10974628","abstract":"Designing the foam structures in terms of density and morphology gives the chance to tune their mechanical and functional properties to the specific application. Nowadays, this design has been leveled up by the introduction of graded foams which are characterized by spatially nonuniform densities and/or morphologies. Graded foams have proved superior compared to uniform one in numerous examples and loading conditions but in pure compressive loading, where properties such as the Young's modulus of graded foams are always inferior to uniform ones. When using sintered beads foams, macroscopic pure compression may induce local bending on the single bead, which can be exploited to induce stiffening. This thesis was investigated on both polystyrene and thermoplastic polyurethane samples made by foamed beads sintered in a cylindrical mold. The response to compressive tests of graded foams made by sintering beads having nonuniform cells structures was compared to the uniform counterparts. The results evidenced that, at same average density, foams had up to a 30% ca. of increase of the Young's modulus when the beads are characterized by a denser outer layer.","author":[{"dropping-particle":"","family":"Errichiello","given":"Fabrizio","non-dropping-particle":"","parse-names":false,"suffix":""},{"dropping-particle":"","family":"Cammarano","given":"Aniello","non-dropping-particle":"","parse-names":false,"suffix":""},{"dropping-particle":"","family":"Maio","given":"Ernesto","non-dropping-particle":"Di","parse-names":false,"suffix":""},{"dropping-particle":"","family":"Nicolais","given":"Luigi","non-dropping-particle":"","parse-names":false,"suffix":""}],"container-title":"Journal of Applied Polymer Science","id":"ITEM-1","issue":"18","issued":{"date-parts":[["2022"]]},"page":"1-9","title":"Sintering graded foamed beads: Compressive properties","type":"article-journal","volume":"139"},"uris":["http://www.mendeley.com/documents/?uuid=14902af9-55fe-4ec7-84ef-17d2881b1b9b"]}],"mendeley":{"formattedCitation":"(Errichiello et al., 2022)","plainTextFormattedCitation":"(Errichiello et al., 2022)","previouslyFormattedCitation":"(Errichiello et al., 2022)"},"properties":{"noteIndex":0},"schema":"https://github.com/citation-style-language/schema/raw/master/csl-citation.json"}</w:instrText>
      </w:r>
      <w:r w:rsidR="009B3D8D">
        <w:fldChar w:fldCharType="separate"/>
      </w:r>
      <w:r w:rsidR="00B2572A" w:rsidRPr="00C86276">
        <w:rPr>
          <w:noProof/>
        </w:rPr>
        <w:t>(Errichiello et al., 2022)</w:t>
      </w:r>
      <w:r w:rsidR="009B3D8D">
        <w:fldChar w:fldCharType="end"/>
      </w:r>
      <w:r w:rsidR="00853AD0" w:rsidRPr="00853AD0">
        <w:t xml:space="preserve">. This study investigates the mechanical </w:t>
      </w:r>
      <w:proofErr w:type="spellStart"/>
      <w:r w:rsidR="00853AD0" w:rsidRPr="00853AD0">
        <w:t>behavior</w:t>
      </w:r>
      <w:proofErr w:type="spellEnd"/>
      <w:r w:rsidR="00853AD0" w:rsidRPr="00853AD0">
        <w:t xml:space="preserve"> of sintered graded expanding beads for midsole production in sportswear, which are completely recyclable. The graded foaming technique allows to locally design the foam morphology in terms of density and porosity distribution. Therefore, for each experiment, the desired blowing agent concentration profile was first designed via software and then obtained by controlling the process parameters. Some preliminary tests were carried out to attest the optimal foaming conditions when a uniform blowing agent concentration is achieved during the sorption phase. This approach also allows to correlate the foam structure to the specific set of process conditions thus building a library of morphologies that can be selected to design the graded structure. In Figure 1, an example of the correlation between blowing agent concentration and foam morphology is represented, some examples of a portion of foamed samples are illustrated in the inserts (SEM images).</w:t>
      </w:r>
    </w:p>
    <w:p w14:paraId="3CE13CFC" w14:textId="77777777" w:rsidR="008631AC" w:rsidRDefault="008631AC" w:rsidP="008238A1">
      <w:pPr>
        <w:keepNext/>
        <w:spacing w:after="240"/>
        <w:jc w:val="center"/>
      </w:pPr>
      <w:r w:rsidRPr="00D859B1">
        <w:rPr>
          <w:noProof/>
        </w:rPr>
        <w:drawing>
          <wp:inline distT="0" distB="0" distL="0" distR="0" wp14:anchorId="69C616D8" wp14:editId="3C3F2E4A">
            <wp:extent cx="2683248" cy="3276600"/>
            <wp:effectExtent l="0" t="0" r="3175" b="0"/>
            <wp:docPr id="633093803" name="Immagine 633093803" descr="Immagine che contiene oggetto da esterni&#10;&#10;Descrizione generata automaticamente">
              <a:extLst xmlns:a="http://schemas.openxmlformats.org/drawingml/2006/main">
                <a:ext uri="{FF2B5EF4-FFF2-40B4-BE49-F238E27FC236}">
                  <a16:creationId xmlns:a16="http://schemas.microsoft.com/office/drawing/2014/main" id="{CED18142-F5C7-B64F-890F-E4CF9AA1BC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magine 70" descr="Immagine che contiene oggetto da esterni&#10;&#10;Descrizione generata automaticamente">
                      <a:extLst>
                        <a:ext uri="{FF2B5EF4-FFF2-40B4-BE49-F238E27FC236}">
                          <a16:creationId xmlns:a16="http://schemas.microsoft.com/office/drawing/2014/main" id="{CED18142-F5C7-B64F-890F-E4CF9AA1BC96}"/>
                        </a:ext>
                      </a:extLst>
                    </pic:cNvPr>
                    <pic:cNvPicPr>
                      <a:picLocks noChangeAspect="1"/>
                    </pic:cNvPicPr>
                  </pic:nvPicPr>
                  <pic:blipFill>
                    <a:blip r:embed="rId10"/>
                    <a:stretch>
                      <a:fillRect/>
                    </a:stretch>
                  </pic:blipFill>
                  <pic:spPr>
                    <a:xfrm>
                      <a:off x="0" y="0"/>
                      <a:ext cx="2711597" cy="3311218"/>
                    </a:xfrm>
                    <a:prstGeom prst="rect">
                      <a:avLst/>
                    </a:prstGeom>
                  </pic:spPr>
                </pic:pic>
              </a:graphicData>
            </a:graphic>
          </wp:inline>
        </w:drawing>
      </w:r>
    </w:p>
    <w:p w14:paraId="5D399E28" w14:textId="6C5AE882" w:rsidR="0043189E" w:rsidRPr="008238A1" w:rsidRDefault="008631AC" w:rsidP="008238A1">
      <w:pPr>
        <w:pStyle w:val="Didascalia"/>
        <w:rPr>
          <w:b w:val="0"/>
          <w:bCs w:val="0"/>
          <w:i/>
          <w:color w:val="auto"/>
          <w:szCs w:val="20"/>
        </w:rPr>
      </w:pPr>
      <w:r w:rsidRPr="00002D90">
        <w:rPr>
          <w:rStyle w:val="CETCaptionCarattere"/>
          <w:b w:val="0"/>
          <w:bCs w:val="0"/>
          <w:color w:val="auto"/>
        </w:rPr>
        <w:t xml:space="preserve">Figure </w:t>
      </w:r>
      <w:r w:rsidRPr="00002D90">
        <w:rPr>
          <w:rStyle w:val="CETCaptionCarattere"/>
          <w:b w:val="0"/>
          <w:bCs w:val="0"/>
          <w:color w:val="auto"/>
        </w:rPr>
        <w:fldChar w:fldCharType="begin"/>
      </w:r>
      <w:r w:rsidRPr="00002D90">
        <w:rPr>
          <w:rStyle w:val="CETCaptionCarattere"/>
          <w:b w:val="0"/>
          <w:bCs w:val="0"/>
          <w:color w:val="auto"/>
        </w:rPr>
        <w:instrText xml:space="preserve"> SEQ Figure \* ARABIC </w:instrText>
      </w:r>
      <w:r w:rsidRPr="00002D90">
        <w:rPr>
          <w:rStyle w:val="CETCaptionCarattere"/>
          <w:b w:val="0"/>
          <w:bCs w:val="0"/>
          <w:color w:val="auto"/>
        </w:rPr>
        <w:fldChar w:fldCharType="separate"/>
      </w:r>
      <w:r w:rsidR="00C50F3A">
        <w:rPr>
          <w:rStyle w:val="CETCaptionCarattere"/>
          <w:b w:val="0"/>
          <w:bCs w:val="0"/>
          <w:noProof/>
          <w:color w:val="auto"/>
        </w:rPr>
        <w:t>1</w:t>
      </w:r>
      <w:r w:rsidRPr="00002D90">
        <w:rPr>
          <w:rStyle w:val="CETCaptionCarattere"/>
          <w:b w:val="0"/>
          <w:bCs w:val="0"/>
          <w:color w:val="auto"/>
        </w:rPr>
        <w:fldChar w:fldCharType="end"/>
      </w:r>
      <w:r w:rsidRPr="00002D90">
        <w:rPr>
          <w:rStyle w:val="CETCaptionCarattere"/>
          <w:b w:val="0"/>
          <w:bCs w:val="0"/>
          <w:color w:val="auto"/>
        </w:rPr>
        <w:t>.</w:t>
      </w:r>
      <w:r w:rsidR="003976E1" w:rsidRPr="00002D90">
        <w:rPr>
          <w:rStyle w:val="CETCaptionCarattere"/>
          <w:b w:val="0"/>
          <w:bCs w:val="0"/>
          <w:color w:val="auto"/>
        </w:rPr>
        <w:t xml:space="preserve"> </w:t>
      </w:r>
      <w:r w:rsidR="003976E1" w:rsidRPr="00002D90">
        <w:rPr>
          <w:rStyle w:val="CETCaptionCarattere"/>
          <w:b w:val="0"/>
          <w:bCs w:val="0"/>
          <w:color w:val="auto"/>
        </w:rPr>
        <w:t xml:space="preserve">Correlation between blowing agent concentration and foam morphology. SEM images of low density (bottom left) and high density (bottom right) foamed </w:t>
      </w:r>
      <w:proofErr w:type="gramStart"/>
      <w:r w:rsidR="003976E1" w:rsidRPr="00002D90">
        <w:rPr>
          <w:rStyle w:val="CETCaptionCarattere"/>
          <w:b w:val="0"/>
          <w:bCs w:val="0"/>
          <w:color w:val="auto"/>
        </w:rPr>
        <w:t>samples</w:t>
      </w:r>
      <w:proofErr w:type="gramEnd"/>
    </w:p>
    <w:p w14:paraId="5E9B2981" w14:textId="626AFA63" w:rsidR="0043189E" w:rsidRPr="0043189E" w:rsidRDefault="0043189E" w:rsidP="0043189E">
      <w:r>
        <w:lastRenderedPageBreak/>
        <w:t>The blowing agent concentration (C) changes along the radius of the sample, high concentrations correspond to low density and fine morphology foamed structure while, low concentrations correspond to denser and poorly expanded material.</w:t>
      </w:r>
    </w:p>
    <w:p w14:paraId="43EBEBD8" w14:textId="0AA77AB0" w:rsidR="00E806EA" w:rsidRPr="00B57B36" w:rsidRDefault="00E806EA" w:rsidP="00E806EA">
      <w:pPr>
        <w:pStyle w:val="CETHeading1"/>
        <w:rPr>
          <w:lang w:val="en-GB"/>
        </w:rPr>
      </w:pPr>
      <w:r>
        <w:rPr>
          <w:lang w:val="en-GB"/>
        </w:rPr>
        <w:t>Materials</w:t>
      </w:r>
      <w:r w:rsidR="00D46D3D">
        <w:rPr>
          <w:lang w:val="en-GB"/>
        </w:rPr>
        <w:t xml:space="preserve"> and Methods</w:t>
      </w:r>
    </w:p>
    <w:p w14:paraId="1B0EB337" w14:textId="1EE89089" w:rsidR="00B561E0" w:rsidRDefault="00B561E0" w:rsidP="006D7B26">
      <w:pPr>
        <w:tabs>
          <w:tab w:val="left" w:pos="-1710"/>
        </w:tabs>
      </w:pPr>
      <w:r>
        <w:t xml:space="preserve">The experimental work was carried out using commercial grade VESTAMID® E40-S3 </w:t>
      </w:r>
      <w:r w:rsidRPr="00C27F25">
        <w:t>poly</w:t>
      </w:r>
      <w:r>
        <w:t xml:space="preserve">ether block ammine manufactured by Evonik, as the expandable resin. </w:t>
      </w:r>
      <w:r w:rsidRPr="00C27F25">
        <w:t>Th</w:t>
      </w:r>
      <w:r>
        <w:t>e selected</w:t>
      </w:r>
      <w:r w:rsidRPr="00C27F25">
        <w:t xml:space="preserve"> polymer is</w:t>
      </w:r>
      <w:r w:rsidRPr="00311387">
        <w:t xml:space="preserve"> a heat-, UV &amp; light stabilized, polyether block </w:t>
      </w:r>
      <w:proofErr w:type="spellStart"/>
      <w:r w:rsidRPr="00311387">
        <w:t>copolyamide</w:t>
      </w:r>
      <w:proofErr w:type="spellEnd"/>
      <w:r w:rsidRPr="00311387">
        <w:t xml:space="preserve"> (PEBA) elastomer. It contains plasticizer and segments of PA 12 and softening segments. This volatile or migrating plasticizer-free grade possesses good impact strength at low temperatures. It exhibits resistance to </w:t>
      </w:r>
      <w:r>
        <w:t>chemicals</w:t>
      </w:r>
      <w:r w:rsidRPr="00311387">
        <w:t xml:space="preserve">, heat (thermal stability), UV/light/weathering. It is processed by injection </w:t>
      </w:r>
      <w:proofErr w:type="spellStart"/>
      <w:r w:rsidRPr="00311387">
        <w:t>molding</w:t>
      </w:r>
      <w:proofErr w:type="spellEnd"/>
      <w:r w:rsidRPr="00311387">
        <w:t xml:space="preserve"> and profile extrusion. It is </w:t>
      </w:r>
      <w:r>
        <w:t xml:space="preserve">commonly </w:t>
      </w:r>
      <w:r w:rsidRPr="00311387">
        <w:t xml:space="preserve">used for </w:t>
      </w:r>
      <w:proofErr w:type="spellStart"/>
      <w:r w:rsidRPr="00311387">
        <w:t>molding</w:t>
      </w:r>
      <w:proofErr w:type="spellEnd"/>
      <w:r w:rsidRPr="00311387">
        <w:t xml:space="preserve"> sport shoe soles.</w:t>
      </w:r>
      <w:r>
        <w:t xml:space="preserve"> </w:t>
      </w:r>
      <w:r w:rsidRPr="00C27F25">
        <w:t>The density of the solid is 1.</w:t>
      </w:r>
      <w:r>
        <w:t>01</w:t>
      </w:r>
      <w:r w:rsidRPr="00C27F25">
        <w:t xml:space="preserve"> </w:t>
      </w:r>
      <m:oMath>
        <m:r>
          <w:rPr>
            <w:rFonts w:ascii="Cambria Math" w:hAnsi="Cambria Math"/>
          </w:rPr>
          <m:t>g/</m:t>
        </m:r>
        <m:sSup>
          <m:sSupPr>
            <m:ctrlPr>
              <w:rPr>
                <w:rFonts w:ascii="Cambria Math" w:hAnsi="Cambria Math"/>
                <w:i/>
              </w:rPr>
            </m:ctrlPr>
          </m:sSupPr>
          <m:e>
            <m:r>
              <w:rPr>
                <w:rFonts w:ascii="Cambria Math" w:hAnsi="Cambria Math"/>
              </w:rPr>
              <m:t>cm</m:t>
            </m:r>
          </m:e>
          <m:sup>
            <m:r>
              <w:rPr>
                <w:rFonts w:ascii="Cambria Math" w:hAnsi="Cambria Math"/>
              </w:rPr>
              <m:t>3</m:t>
            </m:r>
          </m:sup>
        </m:sSup>
      </m:oMath>
      <w:r>
        <w:t xml:space="preserve">, the melting temperature equals to 150 °C. </w:t>
      </w:r>
      <w:r w:rsidRPr="00C27F25">
        <w:t xml:space="preserve">The viscosity at </w:t>
      </w:r>
      <w:r>
        <w:t>1</w:t>
      </w:r>
      <w:r w:rsidRPr="00C27F25">
        <w:t xml:space="preserve">70 °C is </w:t>
      </w:r>
      <w:r>
        <w:t>9</w:t>
      </w:r>
      <w:r w:rsidRPr="00C27F25">
        <w:t>00</w:t>
      </w:r>
      <m:oMath>
        <m:r>
          <w:rPr>
            <w:rFonts w:ascii="Cambria Math" w:hAnsi="Cambria Math"/>
          </w:rPr>
          <m:t xml:space="preserve"> Pa∙s</m:t>
        </m:r>
      </m:oMath>
      <w:r>
        <w:t xml:space="preserve"> ca., whereas, at </w:t>
      </w:r>
      <w:r w:rsidRPr="00C27F25">
        <w:t>1</w:t>
      </w:r>
      <w:r>
        <w:t>9</w:t>
      </w:r>
      <w:r w:rsidRPr="00C27F25">
        <w:t>0 °C</w:t>
      </w:r>
      <w:r>
        <w:t xml:space="preserve"> is 8</w:t>
      </w:r>
      <w:r w:rsidRPr="00C27F25">
        <w:t>00</w:t>
      </w:r>
      <m:oMath>
        <m:r>
          <w:rPr>
            <w:rFonts w:ascii="Cambria Math" w:hAnsi="Cambria Math"/>
          </w:rPr>
          <m:t xml:space="preserve"> Pa∙s</m:t>
        </m:r>
      </m:oMath>
      <w:r>
        <w:t xml:space="preserve"> </w:t>
      </w:r>
      <w:proofErr w:type="gramStart"/>
      <w:r>
        <w:t>ca..</w:t>
      </w:r>
      <w:proofErr w:type="gramEnd"/>
      <w:r>
        <w:t xml:space="preserve"> The tensile modulus (ISO 527-1/-2) equals to 85 MPa. Carbon dioxide (purity grade 4.5N), nitrogen, helium, provided by Sol Spa, and mixtures of them were used as blowing agents in the gas foaming experiments. The gas foaming experiments were performed using an experimental apparatus consisting of a pressure vessel equipped with sensors and actuated valves, as described elsewhere </w:t>
      </w:r>
      <w:r>
        <w:fldChar w:fldCharType="begin" w:fldLock="1"/>
      </w:r>
      <w:r w:rsidR="009A068A">
        <w:instrText>ADDIN CSL_CITATION {"citationItems":[{"id":"ITEM-1","itemData":{"DOI":"10.1177/0021955X07079147","ISSN":"0021955X","abstract":"The foaming behavior of poly(ε-caprolactone) (PCL) with nitrogen as the foaming agent has been investigated. By using a uniquely designed and instrumented batch foaming apparatus it is possible to study the correlation between the foam structure (i.e., foam density and mean cell diameter) and the main processing variables (i.e., foaming temperature, foaming agent concentration, and pressure drop rate). A narrow experimental range has been used to describe the complex dependencies by a simple model. In particular, linear algebraic functions have been used to describe the effect of the processing variables on both the foam density and the mean cell diameter. With the aim to better depict these relationships, 3D graphs are also reported. This visualization/ parametrization allows the rapid selection of the proper process parameters to obtain PCL foams with the desired density and morphology. © SAGE Publications 2008.","author":[{"dropping-particle":"","family":"Marrazzo","given":"Carlo","non-dropping-particle":"","parse-names":false,"suffix":""},{"dropping-particle":"","family":"Maio","given":"Ernesto","non-dropping-particle":"Di","parse-names":false,"suffix":""},{"dropping-particle":"","family":"Iannace","given":"Salvatore","non-dropping-particle":"","parse-names":false,"suffix":""},{"dropping-particle":"","family":"Nicolais","given":"Luigi","non-dropping-particle":"","parse-names":false,"suffix":""}],"container-title":"Journal of Cellular Plastics","id":"ITEM-1","issue":"1","issued":{"date-parts":[["2008"]]},"page":"37-52","title":"Process-structure relationships in PCL foaming","type":"article-journal","volume":"44"},"uris":["http://www.mendeley.com/documents/?uuid=41cd053f-bc8b-47d9-9200-10813127f04b"]}],"mendeley":{"formattedCitation":"(Marrazzo et al., 2008)","plainTextFormattedCitation":"(Marrazzo et al., 2008)","previouslyFormattedCitation":"(Marrazzo et al., 2008)"},"properties":{"noteIndex":0},"schema":"https://github.com/citation-style-language/schema/raw/master/csl-citation.json"}</w:instrText>
      </w:r>
      <w:r>
        <w:fldChar w:fldCharType="separate"/>
      </w:r>
      <w:r w:rsidR="00B2572A" w:rsidRPr="00C86276">
        <w:rPr>
          <w:noProof/>
        </w:rPr>
        <w:t>(Marrazzo et al., 2008)</w:t>
      </w:r>
      <w:r>
        <w:fldChar w:fldCharType="end"/>
      </w:r>
      <w:r>
        <w:t>. T</w:t>
      </w:r>
      <w:r w:rsidRPr="00BE1131">
        <w:t xml:space="preserve">wo Teledyne ISCO volumetric </w:t>
      </w:r>
      <w:r>
        <w:t>pumps</w:t>
      </w:r>
      <w:r w:rsidRPr="00BE1131">
        <w:t xml:space="preserve"> (model 500D, Lincoln NE, USA) were utilized to control the pressure history of the BAs during</w:t>
      </w:r>
      <w:r>
        <w:t xml:space="preserve"> the</w:t>
      </w:r>
      <w:r w:rsidRPr="00BE1131">
        <w:t xml:space="preserve"> sorption</w:t>
      </w:r>
      <w:r>
        <w:t xml:space="preserve"> step. The foaming experiments were designed and carried out by following a procedure similar to the one documented by Errichiello et al. </w:t>
      </w:r>
      <w:r>
        <w:fldChar w:fldCharType="begin" w:fldLock="1"/>
      </w:r>
      <w:r w:rsidR="009A068A">
        <w:instrText>ADDIN CSL_CITATION {"citationItems":[{"id":"ITEM-1","itemData":{"DOI":"10.1002/app.52052","ISSN":"10974628","abstract":"Designing the foam structures in terms of density and morphology gives the chance to tune their mechanical and functional properties to the specific application. Nowadays, this design has been leveled up by the introduction of graded foams which are characterized by spatially nonuniform densities and/or morphologies. Graded foams have proved superior compared to uniform one in numerous examples and loading conditions but in pure compressive loading, where properties such as the Young's modulus of graded foams are always inferior to uniform ones. When using sintered beads foams, macroscopic pure compression may induce local bending on the single bead, which can be exploited to induce stiffening. This thesis was investigated on both polystyrene and thermoplastic polyurethane samples made by foamed beads sintered in a cylindrical mold. The response to compressive tests of graded foams made by sintering beads having nonuniform cells structures was compared to the uniform counterparts. The results evidenced that, at same average density, foams had up to a 30% ca. of increase of the Young's modulus when the beads are characterized by a denser outer layer.","author":[{"dropping-particle":"","family":"Errichiello","given":"Fabrizio","non-dropping-particle":"","parse-names":false,"suffix":""},{"dropping-particle":"","family":"Cammarano","given":"Aniello","non-dropping-particle":"","parse-names":false,"suffix":""},{"dropping-particle":"","family":"Maio","given":"Ernesto","non-dropping-particle":"Di","parse-names":false,"suffix":""},{"dropping-particle":"","family":"Nicolais","given":"Luigi","non-dropping-particle":"","parse-names":false,"suffix":""}],"container-title":"Journal of Applied Polymer Science","id":"ITEM-1","issue":"18","issued":{"date-parts":[["2022"]]},"page":"1-9","title":"Sintering graded foamed beads: Compressive properties","type":"article-journal","volume":"139"},"uris":["http://www.mendeley.com/documents/?uuid=14902af9-55fe-4ec7-84ef-17d2881b1b9b"]}],"mendeley":{"formattedCitation":"(Errichiello et al., 2022)","plainTextFormattedCitation":"(Errichiello et al., 2022)","previouslyFormattedCitation":"(Errichiello et al., 2022)"},"properties":{"noteIndex":0},"schema":"https://github.com/citation-style-language/schema/raw/master/csl-citation.json"}</w:instrText>
      </w:r>
      <w:r>
        <w:fldChar w:fldCharType="separate"/>
      </w:r>
      <w:r w:rsidR="00B2572A" w:rsidRPr="00C86276">
        <w:rPr>
          <w:noProof/>
        </w:rPr>
        <w:t>(Errichiello et al., 2022)</w:t>
      </w:r>
      <w:r>
        <w:fldChar w:fldCharType="end"/>
      </w:r>
      <w:r>
        <w:t xml:space="preserve">. Specifically, a fixed amount of PEBA granules was placed in cylindrical </w:t>
      </w:r>
      <w:proofErr w:type="spellStart"/>
      <w:r>
        <w:t>molds</w:t>
      </w:r>
      <w:proofErr w:type="spellEnd"/>
      <w:r>
        <w:t xml:space="preserve"> whose diameter and height are respectively 24 and 9 mm. Some experiments were performed by using a shoe midsole-shaped </w:t>
      </w:r>
      <w:proofErr w:type="spellStart"/>
      <w:r>
        <w:t>mold</w:t>
      </w:r>
      <w:proofErr w:type="spellEnd"/>
      <w:r>
        <w:t xml:space="preserve"> (9 mm height) to prove that the method is also suitable to produce complex samples having shapes close to the final application. In Figure 2 are reported some pictures of the cylindrical </w:t>
      </w:r>
      <w:proofErr w:type="spellStart"/>
      <w:r>
        <w:t>molds</w:t>
      </w:r>
      <w:proofErr w:type="spellEnd"/>
      <w:r>
        <w:t xml:space="preserve"> (top), the midsole </w:t>
      </w:r>
      <w:proofErr w:type="spellStart"/>
      <w:r>
        <w:t>mold</w:t>
      </w:r>
      <w:proofErr w:type="spellEnd"/>
      <w:r>
        <w:t xml:space="preserve"> (bottom) and samples obtained thereof.</w:t>
      </w:r>
      <w:r w:rsidR="006D7B26">
        <w:t xml:space="preserve"> </w:t>
      </w:r>
      <w:r>
        <w:t xml:space="preserve">The sintered graded foamed samples (25 mm diameter, 9 mm thickness) were characterized by density measurements, morphology analysis through scanning electron microscopy (SEM) and mechanical testing. The density was measured according to ASTM D7710, using an analytical balance (Mettler Toledo, Columbus, OH). The cellular structure of the foams was investigated by using a scanning electron microscope (Hitachi TM 3000 SEM). </w:t>
      </w:r>
      <w:r w:rsidRPr="004B48EB">
        <w:t>The METRAVIB DMA +1000 (ACOEM) with cylindrical plate arrangement was used for the uniaxial compression testing</w:t>
      </w:r>
      <w:r w:rsidRPr="008F31AB">
        <w:t xml:space="preserve"> </w:t>
      </w:r>
      <w:r w:rsidRPr="003C05B8">
        <w:t>(ASTM D1621)</w:t>
      </w:r>
      <w:r w:rsidRPr="004B48EB">
        <w:t>. Each sample was compressed up to 50% displacement at a rate of 0.3 mm/min. The Young's Modulus</w:t>
      </w:r>
      <w:r>
        <w:t xml:space="preserve"> and the stress at 10% of deformation were</w:t>
      </w:r>
      <w:r w:rsidRPr="004B48EB">
        <w:t xml:space="preserve"> chosen as the benchmark parameter.</w:t>
      </w:r>
    </w:p>
    <w:p w14:paraId="2E8E2DB1" w14:textId="1F7BAFED" w:rsidR="00420D4B" w:rsidRDefault="00420D4B" w:rsidP="00600535">
      <w:pPr>
        <w:pStyle w:val="CETBodytext"/>
        <w:rPr>
          <w:lang w:val="en-GB"/>
        </w:rPr>
      </w:pPr>
    </w:p>
    <w:p w14:paraId="786318C2" w14:textId="77777777" w:rsidR="00713E0E" w:rsidRDefault="006A7E32" w:rsidP="008238A1">
      <w:pPr>
        <w:pStyle w:val="CETBodytext"/>
        <w:keepNext/>
        <w:jc w:val="center"/>
      </w:pPr>
      <w:r w:rsidRPr="006A7E32">
        <w:rPr>
          <w:noProof/>
          <w:lang w:val="en-GB"/>
        </w:rPr>
        <w:drawing>
          <wp:inline distT="0" distB="0" distL="0" distR="0" wp14:anchorId="42D435EB" wp14:editId="6225507C">
            <wp:extent cx="2914141" cy="1749704"/>
            <wp:effectExtent l="0" t="0" r="635" b="3175"/>
            <wp:docPr id="3" name="Immagine 4" descr="Immagine che contiene diverso&#10;&#10;Descrizione generata automaticamente">
              <a:extLst xmlns:a="http://schemas.openxmlformats.org/drawingml/2006/main">
                <a:ext uri="{FF2B5EF4-FFF2-40B4-BE49-F238E27FC236}">
                  <a16:creationId xmlns:a16="http://schemas.microsoft.com/office/drawing/2014/main" id="{136A3EDB-EC4D-0E7E-99C8-4A631DF501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4" descr="Immagine che contiene diverso&#10;&#10;Descrizione generata automaticamente">
                      <a:extLst>
                        <a:ext uri="{FF2B5EF4-FFF2-40B4-BE49-F238E27FC236}">
                          <a16:creationId xmlns:a16="http://schemas.microsoft.com/office/drawing/2014/main" id="{136A3EDB-EC4D-0E7E-99C8-4A631DF501C5}"/>
                        </a:ext>
                      </a:extLst>
                    </pic:cNvPr>
                    <pic:cNvPicPr>
                      <a:picLocks noChangeAspect="1"/>
                    </pic:cNvPicPr>
                  </pic:nvPicPr>
                  <pic:blipFill>
                    <a:blip r:embed="rId11"/>
                    <a:stretch>
                      <a:fillRect/>
                    </a:stretch>
                  </pic:blipFill>
                  <pic:spPr>
                    <a:xfrm>
                      <a:off x="0" y="0"/>
                      <a:ext cx="2914141" cy="1749704"/>
                    </a:xfrm>
                    <a:prstGeom prst="rect">
                      <a:avLst/>
                    </a:prstGeom>
                  </pic:spPr>
                </pic:pic>
              </a:graphicData>
            </a:graphic>
          </wp:inline>
        </w:drawing>
      </w:r>
    </w:p>
    <w:p w14:paraId="6718DBA8" w14:textId="36DDB0CA" w:rsidR="00420D4B" w:rsidRPr="00713E0E" w:rsidRDefault="00713E0E" w:rsidP="00713E0E">
      <w:pPr>
        <w:pStyle w:val="Didascalia"/>
        <w:rPr>
          <w:rStyle w:val="CETCaptionCarattere"/>
          <w:b w:val="0"/>
          <w:bCs w:val="0"/>
          <w:color w:val="auto"/>
        </w:rPr>
      </w:pPr>
      <w:r w:rsidRPr="00713E0E">
        <w:rPr>
          <w:rStyle w:val="CETCaptionCarattere"/>
          <w:b w:val="0"/>
          <w:bCs w:val="0"/>
          <w:color w:val="auto"/>
        </w:rPr>
        <w:t xml:space="preserve">Figure </w:t>
      </w:r>
      <w:r w:rsidRPr="00713E0E">
        <w:rPr>
          <w:rStyle w:val="CETCaptionCarattere"/>
          <w:b w:val="0"/>
          <w:bCs w:val="0"/>
          <w:color w:val="auto"/>
        </w:rPr>
        <w:fldChar w:fldCharType="begin"/>
      </w:r>
      <w:r w:rsidRPr="00713E0E">
        <w:rPr>
          <w:rStyle w:val="CETCaptionCarattere"/>
          <w:b w:val="0"/>
          <w:bCs w:val="0"/>
          <w:color w:val="auto"/>
        </w:rPr>
        <w:instrText xml:space="preserve"> SEQ Figure \* ARABIC </w:instrText>
      </w:r>
      <w:r w:rsidRPr="00713E0E">
        <w:rPr>
          <w:rStyle w:val="CETCaptionCarattere"/>
          <w:b w:val="0"/>
          <w:bCs w:val="0"/>
          <w:color w:val="auto"/>
        </w:rPr>
        <w:fldChar w:fldCharType="separate"/>
      </w:r>
      <w:r w:rsidR="00C50F3A">
        <w:rPr>
          <w:rStyle w:val="CETCaptionCarattere"/>
          <w:b w:val="0"/>
          <w:bCs w:val="0"/>
          <w:noProof/>
          <w:color w:val="auto"/>
        </w:rPr>
        <w:t>2</w:t>
      </w:r>
      <w:r w:rsidRPr="00713E0E">
        <w:rPr>
          <w:rStyle w:val="CETCaptionCarattere"/>
          <w:b w:val="0"/>
          <w:bCs w:val="0"/>
          <w:color w:val="auto"/>
        </w:rPr>
        <w:fldChar w:fldCharType="end"/>
      </w:r>
      <w:r w:rsidRPr="00713E0E">
        <w:rPr>
          <w:rStyle w:val="CETCaptionCarattere"/>
          <w:b w:val="0"/>
          <w:bCs w:val="0"/>
          <w:color w:val="auto"/>
        </w:rPr>
        <w:t xml:space="preserve">. </w:t>
      </w:r>
      <w:proofErr w:type="spellStart"/>
      <w:r w:rsidRPr="00713E0E">
        <w:rPr>
          <w:rStyle w:val="CETCaptionCarattere"/>
          <w:b w:val="0"/>
          <w:bCs w:val="0"/>
          <w:color w:val="auto"/>
        </w:rPr>
        <w:t>Molds</w:t>
      </w:r>
      <w:proofErr w:type="spellEnd"/>
      <w:r w:rsidRPr="00713E0E">
        <w:rPr>
          <w:rStyle w:val="CETCaptionCarattere"/>
          <w:b w:val="0"/>
          <w:bCs w:val="0"/>
          <w:color w:val="auto"/>
        </w:rPr>
        <w:t xml:space="preserve"> used for the graded foaming experiments (cylindrical, top; shoe midsole bottom) and samples obtained thereof.</w:t>
      </w:r>
    </w:p>
    <w:p w14:paraId="15CDD680" w14:textId="77777777" w:rsidR="00713E0E" w:rsidRDefault="00713E0E" w:rsidP="00BA3A6B">
      <w:pPr>
        <w:pStyle w:val="CETBodytext"/>
        <w:rPr>
          <w:lang w:val="en-GB"/>
        </w:rPr>
      </w:pPr>
    </w:p>
    <w:p w14:paraId="140D1B6A" w14:textId="1E4A6100" w:rsidR="00BA3A6B" w:rsidRDefault="004D69EC" w:rsidP="004D69EC">
      <w:pPr>
        <w:pStyle w:val="CETHeading1"/>
      </w:pPr>
      <w:r>
        <w:t>Discussion</w:t>
      </w:r>
    </w:p>
    <w:p w14:paraId="4BD2D013" w14:textId="77777777" w:rsidR="00E139B7" w:rsidRDefault="00E139B7" w:rsidP="00E139B7">
      <w:pPr>
        <w:pStyle w:val="Paragrafoelenco"/>
        <w:ind w:left="0"/>
      </w:pPr>
      <w:r>
        <w:t xml:space="preserve">The aim of the gas foaming experiments in this study was to produce sintered foamed samples, made of graded expanded beads, having better mechanical properties than their uniform counterparts at the same average density. The density and morphology distribution in the radial direction was designed </w:t>
      </w:r>
      <w:proofErr w:type="gramStart"/>
      <w:r>
        <w:t>in order to</w:t>
      </w:r>
      <w:proofErr w:type="gramEnd"/>
      <w:r>
        <w:t xml:space="preserve"> achieve two main objectives. In a first instance, the expanded beads have been designed to possess a low-density inner core and a rigid high-density external layer; secondly, an additional external layer having a slightly higher density than the core was provided. This layering was </w:t>
      </w:r>
      <w:r w:rsidRPr="00DE4AD1">
        <w:t xml:space="preserve">designed in such a way as </w:t>
      </w:r>
      <w:r>
        <w:t>to dispose of the stiffer material in the external layers of the beads. When compressing beads within sintered parts, each bead faces bending forces generated by the random beads’ disposition and contact points. I</w:t>
      </w:r>
      <w:r w:rsidRPr="00A42CC9">
        <w:t>t is common knowledge that</w:t>
      </w:r>
      <w:r>
        <w:t xml:space="preserve"> to provide bending resistance, </w:t>
      </w:r>
      <w:r w:rsidRPr="000569C0">
        <w:t xml:space="preserve">the rigid part </w:t>
      </w:r>
      <w:proofErr w:type="gramStart"/>
      <w:r>
        <w:t>has to</w:t>
      </w:r>
      <w:proofErr w:type="gramEnd"/>
      <w:r>
        <w:t xml:space="preserve"> be placed </w:t>
      </w:r>
      <w:r w:rsidRPr="000569C0">
        <w:t>away from the neutral axis</w:t>
      </w:r>
      <w:r>
        <w:t xml:space="preserve"> that is, in this case, located at the </w:t>
      </w:r>
      <w:proofErr w:type="spellStart"/>
      <w:r>
        <w:t>center</w:t>
      </w:r>
      <w:proofErr w:type="spellEnd"/>
      <w:r>
        <w:t xml:space="preserve"> </w:t>
      </w:r>
      <w:r>
        <w:lastRenderedPageBreak/>
        <w:t>of the bead’s core. Additionally, the layer that is in direct contact with the adjacent beads was designed to improve the intra-bead welding after foaming. In Figure 3 is represented a scheme of such stratification, the morphology is intended to change gradually from layer to layer in a continuous way and exploiting a single material. In this study, different process conditions were applied to produce several combinations of layers thickness (d</w:t>
      </w:r>
      <w:r w:rsidRPr="00E139B7">
        <w:rPr>
          <w:sz w:val="14"/>
          <w:szCs w:val="14"/>
        </w:rPr>
        <w:t>i</w:t>
      </w:r>
      <w:r>
        <w:t>), density and morphology. The beads sintering occurred concurrently with the gas foaming process.</w:t>
      </w:r>
    </w:p>
    <w:p w14:paraId="71854C54" w14:textId="77777777" w:rsidR="00E139B7" w:rsidRPr="00F10FE9" w:rsidRDefault="00E139B7" w:rsidP="00E139B7">
      <w:pPr>
        <w:pStyle w:val="Paragrafoelenco"/>
        <w:ind w:left="0"/>
      </w:pPr>
      <w:r>
        <w:t>The process parameters were, namely, the melting temperature, the foaming temperature, the blowing agent selection, the blowing agent concentration profile achieved during sorption and the blowing agent release rate.</w:t>
      </w:r>
    </w:p>
    <w:p w14:paraId="7ECB5D7B" w14:textId="0212BE64" w:rsidR="000D64E6" w:rsidRDefault="00527089" w:rsidP="008238A1">
      <w:pPr>
        <w:pStyle w:val="CETBodytext"/>
        <w:jc w:val="center"/>
        <w:rPr>
          <w:lang w:val="en-GB"/>
        </w:rPr>
      </w:pPr>
      <w:r w:rsidRPr="0016640A">
        <w:rPr>
          <w:noProof/>
        </w:rPr>
        <w:drawing>
          <wp:inline distT="0" distB="0" distL="0" distR="0" wp14:anchorId="241EB0B6" wp14:editId="486DFA4E">
            <wp:extent cx="2980690" cy="1741805"/>
            <wp:effectExtent l="0" t="0" r="9525" b="0"/>
            <wp:docPr id="4" name="Immagine 2">
              <a:extLst xmlns:a="http://schemas.openxmlformats.org/drawingml/2006/main">
                <a:ext uri="{FF2B5EF4-FFF2-40B4-BE49-F238E27FC236}">
                  <a16:creationId xmlns:a16="http://schemas.microsoft.com/office/drawing/2014/main" id="{F5B94956-BDE5-F07C-BC34-90B2928BA4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a16="http://schemas.microsoft.com/office/drawing/2014/main" id="{F5B94956-BDE5-F07C-BC34-90B2928BA482}"/>
                        </a:ext>
                      </a:extLst>
                    </pic:cNvPr>
                    <pic:cNvPicPr>
                      <a:picLocks noChangeAspect="1"/>
                    </pic:cNvPicPr>
                  </pic:nvPicPr>
                  <pic:blipFill>
                    <a:blip r:embed="rId12"/>
                    <a:stretch>
                      <a:fillRect/>
                    </a:stretch>
                  </pic:blipFill>
                  <pic:spPr>
                    <a:xfrm>
                      <a:off x="0" y="0"/>
                      <a:ext cx="2980690" cy="1741805"/>
                    </a:xfrm>
                    <a:prstGeom prst="rect">
                      <a:avLst/>
                    </a:prstGeom>
                  </pic:spPr>
                </pic:pic>
              </a:graphicData>
            </a:graphic>
          </wp:inline>
        </w:drawing>
      </w:r>
    </w:p>
    <w:p w14:paraId="3579433F" w14:textId="7042F91B" w:rsidR="000D64E6" w:rsidRDefault="00560379" w:rsidP="00600535">
      <w:pPr>
        <w:pStyle w:val="CETBodytext"/>
        <w:rPr>
          <w:rStyle w:val="CETCaptionCarattere"/>
        </w:rPr>
      </w:pPr>
      <w:r w:rsidRPr="00560379">
        <w:rPr>
          <w:rStyle w:val="CETCaptionCarattere"/>
        </w:rPr>
        <w:t>Figure 3. Schematic representation of sintered beads (left) and bead layering (right).</w:t>
      </w:r>
    </w:p>
    <w:p w14:paraId="545B67D6" w14:textId="51AB4D4A" w:rsidR="00560379" w:rsidRDefault="00560379" w:rsidP="00600535">
      <w:pPr>
        <w:pStyle w:val="CETBodytext"/>
        <w:rPr>
          <w:rStyle w:val="CETCaptionCarattere"/>
        </w:rPr>
      </w:pPr>
    </w:p>
    <w:p w14:paraId="28056342" w14:textId="18331FF9" w:rsidR="00DD37C8" w:rsidRDefault="001326BA" w:rsidP="001326BA">
      <w:pPr>
        <w:tabs>
          <w:tab w:val="left" w:pos="-1710"/>
        </w:tabs>
        <w:spacing w:before="240" w:after="240"/>
      </w:pPr>
      <w:r w:rsidRPr="00E2425E">
        <w:t xml:space="preserve">Steam-chest </w:t>
      </w:r>
      <w:proofErr w:type="spellStart"/>
      <w:r w:rsidRPr="00E2425E">
        <w:t>molding</w:t>
      </w:r>
      <w:proofErr w:type="spellEnd"/>
      <w:r w:rsidRPr="00E2425E">
        <w:t xml:space="preserve"> is a popular manufacturing process used to create lightweight and durable parts </w:t>
      </w:r>
      <w:r w:rsidRPr="00E2425E">
        <w:fldChar w:fldCharType="begin" w:fldLock="1"/>
      </w:r>
      <w:r w:rsidR="009A068A">
        <w:instrText>ADDIN CSL_CITATION {"citationItems":[{"id":"ITEM-1","itemData":{"DOI":"10.1016/j.polymer.2014.10.078","ISSN":"00323861","abstract":"Polymer bead foaming technology has expanded the market for plastic foams by broadening their applications because of the breakthrough in the production of low-density foamed components with complex geometrical structure. This review presents the recent advances in the processing, sintering behaviour and properties of bead foam products, which possess unique advantages such as excellent impact resistance, energy absorption, insulation, heat resistance, and flotation. The key features such as the mechanical properties of the commercially available bead foams, namely expanded polystyrene (EPS) and expanded polypropylene (EPP), are presented. Furthermore, recent developments of new types of bead foams based on biopolymer such as expanded polylactide acid (EPLA) and engineering thermoplastics such as expanded thermoplastic polyurethane (ETPU) and expanded poly(butylene terephthalate) (EPBT) are discussed.","author":[{"dropping-particle":"","family":"Raps","given":"Daniel","non-dropping-particle":"","parse-names":false,"suffix":""},{"dropping-particle":"","family":"Hossieny","given":"Nemat","non-dropping-particle":"","parse-names":false,"suffix":""},{"dropping-particle":"","family":"Park","given":"Chul B.","non-dropping-particle":"","parse-names":false,"suffix":""},{"dropping-particle":"","family":"Altstädt","given":"Volker","non-dropping-particle":"","parse-names":false,"suffix":""}],"container-title":"Polymer","id":"ITEM-1","issued":{"date-parts":[["2015"]]},"page":"5-19","title":"Past and present developments in polymer bead foams and bead foaming technology","type":"article-journal","volume":"56"},"uris":["http://www.mendeley.com/documents/?uuid=f6ff6533-9839-433f-a00e-ba722f5edc78"]}],"mendeley":{"formattedCitation":"(Raps et al., 2015)","plainTextFormattedCitation":"(Raps et al., 2015)","previouslyFormattedCitation":"(Raps et al., 2015)"},"properties":{"noteIndex":0},"schema":"https://github.com/citation-style-language/schema/raw/master/csl-citation.json"}</w:instrText>
      </w:r>
      <w:r w:rsidRPr="00E2425E">
        <w:fldChar w:fldCharType="separate"/>
      </w:r>
      <w:r w:rsidR="00B2572A" w:rsidRPr="00C86276">
        <w:rPr>
          <w:noProof/>
        </w:rPr>
        <w:t>(Raps et al., 2015)</w:t>
      </w:r>
      <w:r w:rsidRPr="00E2425E">
        <w:fldChar w:fldCharType="end"/>
      </w:r>
      <w:r w:rsidRPr="00E2425E">
        <w:t xml:space="preserve">. The strength and durability of steam-chest </w:t>
      </w:r>
      <w:proofErr w:type="spellStart"/>
      <w:r w:rsidRPr="00E2425E">
        <w:t>molded</w:t>
      </w:r>
      <w:proofErr w:type="spellEnd"/>
      <w:r w:rsidRPr="00E2425E">
        <w:t xml:space="preserve"> parts are influenced by two key factors: </w:t>
      </w:r>
      <w:proofErr w:type="spellStart"/>
      <w:r w:rsidRPr="00E2425E">
        <w:t>intrabead</w:t>
      </w:r>
      <w:proofErr w:type="spellEnd"/>
      <w:r w:rsidRPr="00E2425E">
        <w:t xml:space="preserve"> bonding and </w:t>
      </w:r>
      <w:proofErr w:type="spellStart"/>
      <w:r w:rsidRPr="00E2425E">
        <w:t>intrabead</w:t>
      </w:r>
      <w:proofErr w:type="spellEnd"/>
      <w:r w:rsidRPr="00E2425E">
        <w:t xml:space="preserve"> voids. </w:t>
      </w:r>
      <w:proofErr w:type="spellStart"/>
      <w:r w:rsidRPr="00E2425E">
        <w:t>Intrabead</w:t>
      </w:r>
      <w:proofErr w:type="spellEnd"/>
      <w:r w:rsidRPr="00E2425E">
        <w:t xml:space="preserve"> bonding refers to the strength of the bonds between individual beads within the </w:t>
      </w:r>
      <w:proofErr w:type="spellStart"/>
      <w:r w:rsidRPr="00E2425E">
        <w:t>molded</w:t>
      </w:r>
      <w:proofErr w:type="spellEnd"/>
      <w:r w:rsidRPr="00E2425E">
        <w:t xml:space="preserve"> part. Strong </w:t>
      </w:r>
      <w:proofErr w:type="spellStart"/>
      <w:r w:rsidRPr="00E2425E">
        <w:t>intrabead</w:t>
      </w:r>
      <w:proofErr w:type="spellEnd"/>
      <w:r w:rsidRPr="00E2425E">
        <w:t xml:space="preserve"> bonding leads to a more cohesive structure and improved load-bearing capacity, making the part more durable and reliable. On the other hand, </w:t>
      </w:r>
      <w:proofErr w:type="spellStart"/>
      <w:r w:rsidRPr="00E2425E">
        <w:t>intrabead</w:t>
      </w:r>
      <w:proofErr w:type="spellEnd"/>
      <w:r w:rsidRPr="00E2425E">
        <w:t xml:space="preserve"> voids refer to the empty spaces or pockets that can form within the </w:t>
      </w:r>
      <w:proofErr w:type="spellStart"/>
      <w:r w:rsidRPr="00E2425E">
        <w:t>molded</w:t>
      </w:r>
      <w:proofErr w:type="spellEnd"/>
      <w:r w:rsidRPr="00E2425E">
        <w:t xml:space="preserve"> part during the steam-chest </w:t>
      </w:r>
      <w:proofErr w:type="spellStart"/>
      <w:r w:rsidRPr="00E2425E">
        <w:t>molding</w:t>
      </w:r>
      <w:proofErr w:type="spellEnd"/>
      <w:r w:rsidRPr="00E2425E">
        <w:t xml:space="preserve"> process. These voids can weaken the part, making it more prone to failure under stress. Therefore, achieving optimal </w:t>
      </w:r>
      <w:proofErr w:type="spellStart"/>
      <w:r w:rsidRPr="00E2425E">
        <w:t>intrabead</w:t>
      </w:r>
      <w:proofErr w:type="spellEnd"/>
      <w:r w:rsidRPr="00E2425E">
        <w:t xml:space="preserve"> bonding and minimizing </w:t>
      </w:r>
      <w:proofErr w:type="spellStart"/>
      <w:r w:rsidRPr="00E2425E">
        <w:t>intrabead</w:t>
      </w:r>
      <w:proofErr w:type="spellEnd"/>
      <w:r w:rsidRPr="00E2425E">
        <w:t xml:space="preserve"> voids are both crucial for producing high-quality steam-chest </w:t>
      </w:r>
      <w:proofErr w:type="spellStart"/>
      <w:r w:rsidRPr="00E2425E">
        <w:t>molded</w:t>
      </w:r>
      <w:proofErr w:type="spellEnd"/>
      <w:r w:rsidRPr="00E2425E">
        <w:t xml:space="preserve"> parts that meet the required strength and durability standards</w:t>
      </w:r>
      <w:r w:rsidR="00D852D2">
        <w:t xml:space="preserve"> </w:t>
      </w:r>
      <w:r w:rsidR="00917928">
        <w:t xml:space="preserve"> </w:t>
      </w:r>
      <w:r w:rsidRPr="00E2425E">
        <w:fldChar w:fldCharType="begin" w:fldLock="1"/>
      </w:r>
      <w:r w:rsidR="009A068A">
        <w:instrText>ADDIN CSL_CITATION {"citationItems":[{"id":"ITEM-1","itemData":{"DOI":"10.1016/j.ces.2017.09.011","ISSN":"00092509","abstract":"The steam-chest molding process can be used to prepare molded bead foams, including expandable polystyrene (EPS), expanded polyethylene (EPE), expanded polypropylene (EPP), and expanded polylactide (EPLA) with complex three-dimensional shapes. A new thermoplastic elastomer bead foam, which is described as expanded thermoplastic polyurethane (ETPU), now exists. Notably, it has an excellent soft touch quality and is ductile. It has also generated widespread interest in both the academic and industrial communities. In this study, three types of ETPU foams with various sample sizes were steam-chest molded. We concentrated on the preparation of the molded ETPU (METPU), which was followed by a mechanical test. Our morphological observations showed that the ETPU bead foams’ interfaces had effectively bonded. A high tensile strength of 1.80 MPa and an elongation at break of 360.1% were reached in the METPU sample with a density of 0.35 g/cm3. A 200-fold cyclic compression measurement verified that the compressed METPU sample could recover more than 95% both in stress and modulus, after 6 days of relaxation. This suggested the presence of excellent interbead bonding in the ETPU bead foams. Based on the differential scanning calorimetry (DSC) results, we proposed that a formation mechanism for interbead bonding during the ETPU steam-molding process existed.","author":[{"dropping-particle":"","family":"Ge","given":"Chengbiao","non-dropping-particle":"","parse-names":false,"suffix":""},{"dropping-particle":"","family":"Ren","given":"Qian","non-dropping-particle":"","parse-names":false,"suffix":""},{"dropping-particle":"","family":"Wang","given":"Shiping","non-dropping-particle":"","parse-names":false,"suffix":""},{"dropping-particle":"","family":"Zheng","given":"Wenge","non-dropping-particle":"","parse-names":false,"suffix":""},{"dropping-particle":"","family":"Zhai","given":"Wentao","non-dropping-particle":"","parse-names":false,"suffix":""},{"dropping-particle":"","family":"Park","given":"Chul B.","non-dropping-particle":"","parse-names":false,"suffix":""}],"container-title":"Chemical Engineering Science","id":"ITEM-1","issued":{"date-parts":[["2017"]]},"page":"337-346","publisher":"Elsevier Ltd","title":"Steam-chest molding of expanded thermoplastic polyurethane bead foams and their mechanical properties","type":"article-journal","volume":"174"},"uris":["http://www.mendeley.com/documents/?uuid=3a6b79e9-f824-49a8-b248-a86f43f7249b"]}],"mendeley":{"formattedCitation":"(Ge et al., 2017)","plainTextFormattedCitation":"(Ge et al., 2017)","previouslyFormattedCitation":"(Ge et al., 2017)"},"properties":{"noteIndex":0},"schema":"https://github.com/citation-style-language/schema/raw/master/csl-citation.json"}</w:instrText>
      </w:r>
      <w:r w:rsidRPr="00E2425E">
        <w:fldChar w:fldCharType="separate"/>
      </w:r>
      <w:r w:rsidR="00B2572A" w:rsidRPr="00C86276">
        <w:rPr>
          <w:noProof/>
        </w:rPr>
        <w:t>(Ge et al., 2017)</w:t>
      </w:r>
      <w:r w:rsidRPr="00E2425E">
        <w:fldChar w:fldCharType="end"/>
      </w:r>
      <w:r w:rsidRPr="00E2425E">
        <w:t xml:space="preserve">. </w:t>
      </w:r>
    </w:p>
    <w:p w14:paraId="5DD94BA1" w14:textId="5C5E0D52" w:rsidR="00907AAA" w:rsidRPr="00B57B36" w:rsidRDefault="00D262F1" w:rsidP="00907AAA">
      <w:pPr>
        <w:pStyle w:val="CETHeading1"/>
        <w:rPr>
          <w:lang w:val="en-GB"/>
        </w:rPr>
      </w:pPr>
      <w:r>
        <w:rPr>
          <w:lang w:val="en-GB"/>
        </w:rPr>
        <w:t>Results</w:t>
      </w:r>
    </w:p>
    <w:p w14:paraId="24AF0B96" w14:textId="77777777" w:rsidR="00641C2C" w:rsidRDefault="00641C2C" w:rsidP="00641C2C">
      <w:pPr>
        <w:pStyle w:val="Paragrafoelenco"/>
        <w:tabs>
          <w:tab w:val="left" w:pos="-1710"/>
        </w:tabs>
        <w:spacing w:before="240" w:after="240"/>
        <w:ind w:left="0"/>
      </w:pPr>
      <w:r w:rsidRPr="00E2425E">
        <w:t xml:space="preserve">In this work parts made of thermoplastic elastomeric foamed beads were obtained by autoclave foaming in a single step process. The </w:t>
      </w:r>
      <w:proofErr w:type="spellStart"/>
      <w:r w:rsidRPr="00E2425E">
        <w:t>intrabead</w:t>
      </w:r>
      <w:proofErr w:type="spellEnd"/>
      <w:r w:rsidRPr="00E2425E">
        <w:t xml:space="preserve"> bonding was enhanced by designing the morphology of the expanded beads aiming to favour the polymer chains interdiffusion at beads interfaces. The mechanical response to compression loads of sintered graded foamed beads was compared to sintered uniform foamed beads.</w:t>
      </w:r>
      <w:r>
        <w:t xml:space="preserve"> Different graded structures were obtained by designing different concentration profiles and, hence, by varying the foaming process conditions. The average density of the foamed samples is 200 </w:t>
      </w:r>
      <m:oMath>
        <m:r>
          <w:rPr>
            <w:rFonts w:ascii="Cambria Math" w:hAnsi="Cambria Math"/>
          </w:rPr>
          <m:t>kg/</m:t>
        </m:r>
        <m:sSup>
          <m:sSupPr>
            <m:ctrlPr>
              <w:rPr>
                <w:rFonts w:ascii="Cambria Math" w:hAnsi="Cambria Math"/>
                <w:i/>
              </w:rPr>
            </m:ctrlPr>
          </m:sSupPr>
          <m:e>
            <m:r>
              <w:rPr>
                <w:rFonts w:ascii="Cambria Math" w:hAnsi="Cambria Math"/>
              </w:rPr>
              <m:t>m</m:t>
            </m:r>
          </m:e>
          <m:sup>
            <m:r>
              <w:rPr>
                <w:rFonts w:ascii="Cambria Math" w:hAnsi="Cambria Math"/>
              </w:rPr>
              <m:t>3</m:t>
            </m:r>
          </m:sup>
        </m:sSup>
      </m:oMath>
      <w:r>
        <w:t xml:space="preserve">. In Figure 4, we reported the SEM image of a uniform foamed bead, while in Figures 5 and 6 we reported the SEM image of two examples of graded foamed beads (later labelled as Uniform, </w:t>
      </w:r>
      <w:proofErr w:type="gramStart"/>
      <w:r>
        <w:t>Graded</w:t>
      </w:r>
      <w:proofErr w:type="gramEnd"/>
      <w:r>
        <w:t xml:space="preserve"> 1 and Graded 2). </w:t>
      </w:r>
    </w:p>
    <w:p w14:paraId="5516CDEB" w14:textId="221E2319" w:rsidR="001F560F" w:rsidRDefault="001F560F" w:rsidP="001F560F">
      <w:pPr>
        <w:keepNext/>
        <w:tabs>
          <w:tab w:val="left" w:pos="-1710"/>
        </w:tabs>
        <w:jc w:val="center"/>
      </w:pPr>
      <w:r>
        <w:rPr>
          <w:noProof/>
        </w:rPr>
        <w:drawing>
          <wp:inline distT="0" distB="0" distL="0" distR="0" wp14:anchorId="04214C3E" wp14:editId="47F2225C">
            <wp:extent cx="1872000" cy="1526230"/>
            <wp:effectExtent l="0" t="0" r="0" b="0"/>
            <wp:docPr id="10" name="Immagine 10" descr="Immagine che contiene oggetto da esterni, fav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oggetto da esterni, favo&#10;&#10;Descrizione generata automaticamente"/>
                    <pic:cNvPicPr>
                      <a:picLocks noChangeAspect="1" noChangeArrowheads="1"/>
                    </pic:cNvPicPr>
                  </pic:nvPicPr>
                  <pic:blipFill rotWithShape="1">
                    <a:blip r:embed="rId13">
                      <a:extLst>
                        <a:ext uri="{28A0092B-C50C-407E-A947-70E740481C1C}">
                          <a14:useLocalDpi xmlns:a14="http://schemas.microsoft.com/office/drawing/2010/main" val="0"/>
                        </a:ext>
                      </a:extLst>
                    </a:blip>
                    <a:srcRect t="-210" b="-1265"/>
                    <a:stretch/>
                  </pic:blipFill>
                  <pic:spPr bwMode="auto">
                    <a:xfrm>
                      <a:off x="0" y="0"/>
                      <a:ext cx="1872000" cy="1526230"/>
                    </a:xfrm>
                    <a:prstGeom prst="rect">
                      <a:avLst/>
                    </a:prstGeom>
                    <a:noFill/>
                    <a:ln>
                      <a:noFill/>
                    </a:ln>
                    <a:extLst>
                      <a:ext uri="{53640926-AAD7-44D8-BBD7-CCE9431645EC}">
                        <a14:shadowObscured xmlns:a14="http://schemas.microsoft.com/office/drawing/2010/main"/>
                      </a:ext>
                    </a:extLst>
                  </pic:spPr>
                </pic:pic>
              </a:graphicData>
            </a:graphic>
          </wp:inline>
        </w:drawing>
      </w:r>
      <w:r w:rsidR="001A644D">
        <w:t xml:space="preserve"> </w:t>
      </w:r>
      <w:r w:rsidR="005E5842">
        <w:rPr>
          <w:noProof/>
        </w:rPr>
        <w:drawing>
          <wp:inline distT="0" distB="0" distL="0" distR="0" wp14:anchorId="6C1ED16C" wp14:editId="11769AE6">
            <wp:extent cx="1764000" cy="1516758"/>
            <wp:effectExtent l="0" t="0" r="8255" b="7620"/>
            <wp:docPr id="1" name="Immagine 1" descr="Immagine che contiene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interni&#10;&#10;Descrizione generata automaticamente"/>
                    <pic:cNvPicPr/>
                  </pic:nvPicPr>
                  <pic:blipFill>
                    <a:blip r:embed="rId14">
                      <a:extLst>
                        <a:ext uri="{28A0092B-C50C-407E-A947-70E740481C1C}">
                          <a14:useLocalDpi xmlns:a14="http://schemas.microsoft.com/office/drawing/2010/main" val="0"/>
                        </a:ext>
                      </a:extLst>
                    </a:blip>
                    <a:stretch>
                      <a:fillRect/>
                    </a:stretch>
                  </pic:blipFill>
                  <pic:spPr>
                    <a:xfrm>
                      <a:off x="0" y="0"/>
                      <a:ext cx="1764000" cy="1516758"/>
                    </a:xfrm>
                    <a:prstGeom prst="rect">
                      <a:avLst/>
                    </a:prstGeom>
                  </pic:spPr>
                </pic:pic>
              </a:graphicData>
            </a:graphic>
          </wp:inline>
        </w:drawing>
      </w:r>
      <w:r w:rsidR="001A644D">
        <w:t xml:space="preserve"> </w:t>
      </w:r>
      <w:r w:rsidR="005E5842" w:rsidRPr="008B0756">
        <w:rPr>
          <w:noProof/>
        </w:rPr>
        <w:drawing>
          <wp:inline distT="0" distB="0" distL="0" distR="0" wp14:anchorId="1634962F" wp14:editId="4BC7BE0C">
            <wp:extent cx="1764000" cy="1515229"/>
            <wp:effectExtent l="0" t="0" r="8255" b="8890"/>
            <wp:docPr id="2" name="Immagine 16" descr="Immagine che contiene natura&#10;&#10;Descrizione generata automaticamente">
              <a:extLst xmlns:a="http://schemas.openxmlformats.org/drawingml/2006/main">
                <a:ext uri="{FF2B5EF4-FFF2-40B4-BE49-F238E27FC236}">
                  <a16:creationId xmlns:a16="http://schemas.microsoft.com/office/drawing/2014/main" id="{C84264D2-3CE9-4809-B574-36C92F0B9D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6" descr="Immagine che contiene natura&#10;&#10;Descrizione generata automaticamente">
                      <a:extLst>
                        <a:ext uri="{FF2B5EF4-FFF2-40B4-BE49-F238E27FC236}">
                          <a16:creationId xmlns:a16="http://schemas.microsoft.com/office/drawing/2014/main" id="{C84264D2-3CE9-4809-B574-36C92F0B9DE7}"/>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4000" cy="1515229"/>
                    </a:xfrm>
                    <a:prstGeom prst="rect">
                      <a:avLst/>
                    </a:prstGeom>
                    <a:noFill/>
                  </pic:spPr>
                </pic:pic>
              </a:graphicData>
            </a:graphic>
          </wp:inline>
        </w:drawing>
      </w:r>
    </w:p>
    <w:p w14:paraId="66E68736" w14:textId="48FE6C52" w:rsidR="001F560F" w:rsidRPr="00D46D3D" w:rsidRDefault="001F560F" w:rsidP="00D46D3D">
      <w:pPr>
        <w:pStyle w:val="CETBodytext"/>
        <w:rPr>
          <w:rStyle w:val="CETCaptionCarattere"/>
        </w:rPr>
      </w:pPr>
      <w:r w:rsidRPr="00D46D3D">
        <w:rPr>
          <w:rStyle w:val="CETCaptionCarattere"/>
        </w:rPr>
        <w:t xml:space="preserve">Figure </w:t>
      </w:r>
      <w:r w:rsidR="003705A2">
        <w:rPr>
          <w:rStyle w:val="CETCaptionCarattere"/>
        </w:rPr>
        <w:t>4</w:t>
      </w:r>
      <w:r w:rsidRPr="00D46D3D">
        <w:rPr>
          <w:rStyle w:val="CETCaptionCarattere"/>
        </w:rPr>
        <w:t>. SEM image</w:t>
      </w:r>
      <w:r w:rsidR="00E12C12">
        <w:rPr>
          <w:rStyle w:val="CETCaptionCarattere"/>
        </w:rPr>
        <w:t>s</w:t>
      </w:r>
      <w:r w:rsidRPr="00D46D3D">
        <w:rPr>
          <w:rStyle w:val="CETCaptionCarattere"/>
        </w:rPr>
        <w:t xml:space="preserve"> of a </w:t>
      </w:r>
      <w:r w:rsidR="00376CAF">
        <w:rPr>
          <w:rStyle w:val="CETCaptionCarattere"/>
        </w:rPr>
        <w:t>U</w:t>
      </w:r>
      <w:r w:rsidRPr="00D46D3D">
        <w:rPr>
          <w:rStyle w:val="CETCaptionCarattere"/>
        </w:rPr>
        <w:t>niform foamed bead</w:t>
      </w:r>
      <w:r w:rsidR="00612920">
        <w:rPr>
          <w:rStyle w:val="CETCaptionCarattere"/>
        </w:rPr>
        <w:t xml:space="preserve"> (</w:t>
      </w:r>
      <w:r w:rsidR="003B469A">
        <w:rPr>
          <w:rStyle w:val="CETCaptionCarattere"/>
        </w:rPr>
        <w:t>a</w:t>
      </w:r>
      <w:r w:rsidR="00612920">
        <w:rPr>
          <w:rStyle w:val="CETCaptionCarattere"/>
        </w:rPr>
        <w:t xml:space="preserve">), </w:t>
      </w:r>
      <w:r w:rsidR="007C0D94" w:rsidRPr="00D46D3D">
        <w:rPr>
          <w:rStyle w:val="CETCaptionCarattere"/>
        </w:rPr>
        <w:t>Graded 1</w:t>
      </w:r>
      <w:r w:rsidR="007C0D94">
        <w:rPr>
          <w:rStyle w:val="CETCaptionCarattere"/>
        </w:rPr>
        <w:t xml:space="preserve"> </w:t>
      </w:r>
      <w:r w:rsidR="00612920" w:rsidRPr="00D46D3D">
        <w:rPr>
          <w:rStyle w:val="CETCaptionCarattere"/>
        </w:rPr>
        <w:t>foamed bead (</w:t>
      </w:r>
      <w:r w:rsidR="003B469A">
        <w:rPr>
          <w:rStyle w:val="CETCaptionCarattere"/>
        </w:rPr>
        <w:t>b</w:t>
      </w:r>
      <w:r w:rsidR="00612920" w:rsidRPr="00D46D3D">
        <w:rPr>
          <w:rStyle w:val="CETCaptionCarattere"/>
        </w:rPr>
        <w:t>)</w:t>
      </w:r>
      <w:r w:rsidR="007C0D94">
        <w:rPr>
          <w:rStyle w:val="CETCaptionCarattere"/>
        </w:rPr>
        <w:t xml:space="preserve">, </w:t>
      </w:r>
      <w:r w:rsidR="007C0D94" w:rsidRPr="00D46D3D">
        <w:rPr>
          <w:rStyle w:val="CETCaptionCarattere"/>
        </w:rPr>
        <w:t xml:space="preserve">Graded </w:t>
      </w:r>
      <w:r w:rsidR="00011EB3">
        <w:rPr>
          <w:rStyle w:val="CETCaptionCarattere"/>
        </w:rPr>
        <w:t>2</w:t>
      </w:r>
      <w:r w:rsidR="007C0D94">
        <w:rPr>
          <w:rStyle w:val="CETCaptionCarattere"/>
        </w:rPr>
        <w:t xml:space="preserve"> </w:t>
      </w:r>
      <w:r w:rsidR="007C0D94" w:rsidRPr="00D46D3D">
        <w:rPr>
          <w:rStyle w:val="CETCaptionCarattere"/>
        </w:rPr>
        <w:t>foamed bead (</w:t>
      </w:r>
      <w:r w:rsidR="003B469A">
        <w:rPr>
          <w:rStyle w:val="CETCaptionCarattere"/>
        </w:rPr>
        <w:t>c</w:t>
      </w:r>
      <w:r w:rsidR="007C0D94" w:rsidRPr="00D46D3D">
        <w:rPr>
          <w:rStyle w:val="CETCaptionCarattere"/>
        </w:rPr>
        <w:t>)</w:t>
      </w:r>
      <w:r w:rsidRPr="00D46D3D">
        <w:rPr>
          <w:rStyle w:val="CETCaptionCarattere"/>
        </w:rPr>
        <w:t>.</w:t>
      </w:r>
    </w:p>
    <w:p w14:paraId="34DE1077" w14:textId="77777777" w:rsidR="001F560F" w:rsidRDefault="001F560F" w:rsidP="001F560F">
      <w:pPr>
        <w:tabs>
          <w:tab w:val="left" w:pos="-1710"/>
        </w:tabs>
      </w:pPr>
    </w:p>
    <w:p w14:paraId="71E75878" w14:textId="691F87D6" w:rsidR="001F560F" w:rsidRDefault="001F560F" w:rsidP="001F560F">
      <w:pPr>
        <w:spacing w:after="240"/>
      </w:pPr>
      <w:r>
        <w:t xml:space="preserve">The graded bead reported in Figure </w:t>
      </w:r>
      <w:r w:rsidR="00C11A59">
        <w:t>4</w:t>
      </w:r>
      <w:r w:rsidR="00C41088">
        <w:t>b</w:t>
      </w:r>
      <w:r>
        <w:t>, compared to the uniform one in Figure 4</w:t>
      </w:r>
      <w:r w:rsidR="00C41088">
        <w:t>a</w:t>
      </w:r>
      <w:r>
        <w:t xml:space="preserve">, is characterized by a low-density core and a higher-dens external layer. The graded bead reported in Figure </w:t>
      </w:r>
      <w:r w:rsidR="00C11A59">
        <w:t>4</w:t>
      </w:r>
      <w:r w:rsidR="00C41088">
        <w:t>c</w:t>
      </w:r>
      <w:r>
        <w:t xml:space="preserve">, compared to the </w:t>
      </w:r>
      <w:r w:rsidR="00376CAF">
        <w:t>U</w:t>
      </w:r>
      <w:r>
        <w:t>niform one in Figure 4</w:t>
      </w:r>
      <w:r w:rsidR="00C41088">
        <w:t xml:space="preserve">a, </w:t>
      </w:r>
      <w:r>
        <w:t xml:space="preserve">is characterized by a high-density core and a low-density external layer. In </w:t>
      </w:r>
      <w:r w:rsidRPr="00CC4868">
        <w:t>Figure</w:t>
      </w:r>
      <w:r w:rsidR="00720EBE">
        <w:t xml:space="preserve"> 5a</w:t>
      </w:r>
      <w:r>
        <w:t xml:space="preserve">, </w:t>
      </w:r>
      <w:r w:rsidR="008C17E2">
        <w:t>it is</w:t>
      </w:r>
      <w:r>
        <w:t xml:space="preserve"> </w:t>
      </w:r>
      <w:r>
        <w:lastRenderedPageBreak/>
        <w:t xml:space="preserve">reported the SEM image of sintered foamed samples made of </w:t>
      </w:r>
      <w:r w:rsidR="00720EBE">
        <w:t>U</w:t>
      </w:r>
      <w:r>
        <w:t xml:space="preserve">niform beads, in Figures </w:t>
      </w:r>
      <w:r w:rsidR="009F6C06">
        <w:t>5</w:t>
      </w:r>
      <w:r w:rsidR="00720EBE">
        <w:t>b</w:t>
      </w:r>
      <w:r w:rsidR="009F6C06">
        <w:t xml:space="preserve"> </w:t>
      </w:r>
      <w:r>
        <w:t xml:space="preserve">and </w:t>
      </w:r>
      <w:r w:rsidR="00D34D90">
        <w:t>Figure 5</w:t>
      </w:r>
      <w:r w:rsidR="00720EBE">
        <w:t>c</w:t>
      </w:r>
      <w:r>
        <w:t xml:space="preserve"> the SEM image</w:t>
      </w:r>
      <w:r w:rsidR="00011EB3">
        <w:t>s</w:t>
      </w:r>
      <w:r>
        <w:t xml:space="preserve"> of sintered foamed samples made of graded beads</w:t>
      </w:r>
      <w:r w:rsidR="00011EB3">
        <w:t xml:space="preserve"> are reported</w:t>
      </w:r>
      <w:r>
        <w:t xml:space="preserve">. The intra-beads welding layer of the sample </w:t>
      </w:r>
      <w:r w:rsidRPr="00D34D90">
        <w:t>Graded 1,</w:t>
      </w:r>
      <w:r>
        <w:rPr>
          <w:i/>
          <w:iCs/>
        </w:rPr>
        <w:t xml:space="preserve"> </w:t>
      </w:r>
      <w:r w:rsidRPr="00FB7B55">
        <w:t>with respect to</w:t>
      </w:r>
      <w:r>
        <w:t xml:space="preserve"> the </w:t>
      </w:r>
      <w:r w:rsidRPr="003F74D9">
        <w:t>Uniform</w:t>
      </w:r>
      <w:r>
        <w:t xml:space="preserve"> sample,</w:t>
      </w:r>
      <w:r w:rsidRPr="00FB7B55">
        <w:t xml:space="preserve"> is</w:t>
      </w:r>
      <w:r>
        <w:t xml:space="preserve"> characterized by having a local density higher than the core. The intra-beads welding layer of the sample </w:t>
      </w:r>
      <w:r w:rsidRPr="003F74D9">
        <w:t>Graded 2,</w:t>
      </w:r>
      <w:r>
        <w:rPr>
          <w:i/>
          <w:iCs/>
        </w:rPr>
        <w:t xml:space="preserve"> </w:t>
      </w:r>
      <w:r w:rsidRPr="00FB7B55">
        <w:t>with respect to</w:t>
      </w:r>
      <w:r>
        <w:t xml:space="preserve"> the </w:t>
      </w:r>
      <w:r w:rsidRPr="003F74D9">
        <w:t>Uniform</w:t>
      </w:r>
      <w:r>
        <w:t xml:space="preserve"> sample,</w:t>
      </w:r>
      <w:r w:rsidRPr="00FB7B55">
        <w:t xml:space="preserve"> is</w:t>
      </w:r>
      <w:r>
        <w:t xml:space="preserve"> characterized by having a local density lower than the core. </w:t>
      </w:r>
    </w:p>
    <w:p w14:paraId="5339EE1A" w14:textId="3E642FD5" w:rsidR="001F560F" w:rsidRDefault="001F560F" w:rsidP="001F560F">
      <w:pPr>
        <w:keepNext/>
        <w:tabs>
          <w:tab w:val="right" w:pos="7776"/>
        </w:tabs>
        <w:ind w:right="14"/>
        <w:jc w:val="center"/>
      </w:pPr>
      <w:r w:rsidRPr="00022EB2">
        <w:rPr>
          <w:noProof/>
        </w:rPr>
        <w:drawing>
          <wp:inline distT="0" distB="0" distL="0" distR="0" wp14:anchorId="12AFE400" wp14:editId="486BEBAA">
            <wp:extent cx="1801307" cy="1548000"/>
            <wp:effectExtent l="0" t="0" r="8890" b="0"/>
            <wp:docPr id="15" name="Immagine 14" descr="Immagine che contiene favo, oggetto da esterni&#10;&#10;Descrizione generata automaticamente">
              <a:extLst xmlns:a="http://schemas.openxmlformats.org/drawingml/2006/main">
                <a:ext uri="{FF2B5EF4-FFF2-40B4-BE49-F238E27FC236}">
                  <a16:creationId xmlns:a16="http://schemas.microsoft.com/office/drawing/2014/main" id="{75DB2A4D-6397-4672-AC34-13EB241DB3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4" descr="Immagine che contiene favo, oggetto da esterni&#10;&#10;Descrizione generata automaticamente">
                      <a:extLst>
                        <a:ext uri="{FF2B5EF4-FFF2-40B4-BE49-F238E27FC236}">
                          <a16:creationId xmlns:a16="http://schemas.microsoft.com/office/drawing/2014/main" id="{75DB2A4D-6397-4672-AC34-13EB241DB347}"/>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1307" cy="1548000"/>
                    </a:xfrm>
                    <a:prstGeom prst="rect">
                      <a:avLst/>
                    </a:prstGeom>
                  </pic:spPr>
                </pic:pic>
              </a:graphicData>
            </a:graphic>
          </wp:inline>
        </w:drawing>
      </w:r>
      <w:r w:rsidR="001A644D">
        <w:t xml:space="preserve"> </w:t>
      </w:r>
      <w:r w:rsidR="001F1DDA" w:rsidRPr="00AD5DBD">
        <w:rPr>
          <w:noProof/>
        </w:rPr>
        <w:drawing>
          <wp:inline distT="0" distB="0" distL="0" distR="0" wp14:anchorId="62D2AB3D" wp14:editId="02A94FE7">
            <wp:extent cx="1806000" cy="1548000"/>
            <wp:effectExtent l="0" t="0" r="3810" b="0"/>
            <wp:docPr id="17" name="Immagine 28" descr="Immagine che contiene favo, oggetto da esterni, bianco, piastrellato&#10;&#10;Descrizione generata automaticamente">
              <a:extLst xmlns:a="http://schemas.openxmlformats.org/drawingml/2006/main">
                <a:ext uri="{FF2B5EF4-FFF2-40B4-BE49-F238E27FC236}">
                  <a16:creationId xmlns:a16="http://schemas.microsoft.com/office/drawing/2014/main" id="{76F8076E-6AD6-429B-A2AC-B88ADB2AAA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28" descr="Immagine che contiene favo, oggetto da esterni, bianco, piastrellato&#10;&#10;Descrizione generata automaticamente">
                      <a:extLst>
                        <a:ext uri="{FF2B5EF4-FFF2-40B4-BE49-F238E27FC236}">
                          <a16:creationId xmlns:a16="http://schemas.microsoft.com/office/drawing/2014/main" id="{76F8076E-6AD6-429B-A2AC-B88ADB2AAA33}"/>
                        </a:ext>
                      </a:extLst>
                    </pic:cNvPr>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806000" cy="1548000"/>
                    </a:xfrm>
                    <a:prstGeom prst="rect">
                      <a:avLst/>
                    </a:prstGeom>
                    <a:noFill/>
                  </pic:spPr>
                </pic:pic>
              </a:graphicData>
            </a:graphic>
          </wp:inline>
        </w:drawing>
      </w:r>
      <w:r w:rsidR="001A644D">
        <w:t xml:space="preserve"> </w:t>
      </w:r>
      <w:r w:rsidR="001F1DDA" w:rsidRPr="004507B7">
        <w:rPr>
          <w:noProof/>
        </w:rPr>
        <w:drawing>
          <wp:inline distT="0" distB="0" distL="0" distR="0" wp14:anchorId="26FED644" wp14:editId="12E3761C">
            <wp:extent cx="1802152" cy="1548000"/>
            <wp:effectExtent l="0" t="0" r="7620" b="0"/>
            <wp:docPr id="12" name="Immagine 17" descr="Immagine che contiene natura&#10;&#10;Descrizione generata automaticamente">
              <a:extLst xmlns:a="http://schemas.openxmlformats.org/drawingml/2006/main">
                <a:ext uri="{FF2B5EF4-FFF2-40B4-BE49-F238E27FC236}">
                  <a16:creationId xmlns:a16="http://schemas.microsoft.com/office/drawing/2014/main" id="{370FFFEE-8FD7-413D-AA2C-E13FB0D4C2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7" descr="Immagine che contiene natura&#10;&#10;Descrizione generata automaticamente">
                      <a:extLst>
                        <a:ext uri="{FF2B5EF4-FFF2-40B4-BE49-F238E27FC236}">
                          <a16:creationId xmlns:a16="http://schemas.microsoft.com/office/drawing/2014/main" id="{370FFFEE-8FD7-413D-AA2C-E13FB0D4C2B7}"/>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2152" cy="1548000"/>
                    </a:xfrm>
                    <a:prstGeom prst="rect">
                      <a:avLst/>
                    </a:prstGeom>
                    <a:noFill/>
                  </pic:spPr>
                </pic:pic>
              </a:graphicData>
            </a:graphic>
          </wp:inline>
        </w:drawing>
      </w:r>
    </w:p>
    <w:p w14:paraId="707034AF" w14:textId="3505C1B1" w:rsidR="001F560F" w:rsidRPr="00D46D3D" w:rsidRDefault="001F560F" w:rsidP="00D46D3D">
      <w:pPr>
        <w:pStyle w:val="CETBodytext"/>
        <w:rPr>
          <w:rStyle w:val="CETCaptionCarattere"/>
        </w:rPr>
      </w:pPr>
      <w:r w:rsidRPr="00D46D3D">
        <w:rPr>
          <w:rStyle w:val="CETCaptionCarattere"/>
        </w:rPr>
        <w:t xml:space="preserve">Figure </w:t>
      </w:r>
      <w:r w:rsidR="005A03CA">
        <w:rPr>
          <w:rStyle w:val="CETCaptionCarattere"/>
        </w:rPr>
        <w:t>5</w:t>
      </w:r>
      <w:r w:rsidRPr="00D46D3D">
        <w:rPr>
          <w:rStyle w:val="CETCaptionCarattere"/>
        </w:rPr>
        <w:t>. SEM image</w:t>
      </w:r>
      <w:r w:rsidR="005A03CA">
        <w:rPr>
          <w:rStyle w:val="CETCaptionCarattere"/>
        </w:rPr>
        <w:t>s</w:t>
      </w:r>
      <w:r w:rsidRPr="00D46D3D">
        <w:rPr>
          <w:rStyle w:val="CETCaptionCarattere"/>
        </w:rPr>
        <w:t xml:space="preserve"> of sintered foamed samples made of </w:t>
      </w:r>
      <w:r w:rsidR="005A03CA">
        <w:rPr>
          <w:rStyle w:val="CETCaptionCarattere"/>
        </w:rPr>
        <w:t>U</w:t>
      </w:r>
      <w:r w:rsidRPr="00D46D3D">
        <w:rPr>
          <w:rStyle w:val="CETCaptionCarattere"/>
        </w:rPr>
        <w:t>niform beads</w:t>
      </w:r>
      <w:r w:rsidR="005A03CA">
        <w:rPr>
          <w:rStyle w:val="CETCaptionCarattere"/>
        </w:rPr>
        <w:t xml:space="preserve"> (</w:t>
      </w:r>
      <w:r w:rsidR="00CB0322">
        <w:rPr>
          <w:rStyle w:val="CETCaptionCarattere"/>
        </w:rPr>
        <w:t>a</w:t>
      </w:r>
      <w:r w:rsidR="005A03CA">
        <w:rPr>
          <w:rStyle w:val="CETCaptionCarattere"/>
        </w:rPr>
        <w:t xml:space="preserve">), </w:t>
      </w:r>
      <w:r w:rsidR="005A03CA" w:rsidRPr="00D46D3D">
        <w:rPr>
          <w:rStyle w:val="CETCaptionCarattere"/>
        </w:rPr>
        <w:t>Graded 1</w:t>
      </w:r>
      <w:r w:rsidR="005A03CA">
        <w:rPr>
          <w:rStyle w:val="CETCaptionCarattere"/>
        </w:rPr>
        <w:t xml:space="preserve"> </w:t>
      </w:r>
      <w:r w:rsidR="005A03CA" w:rsidRPr="00D46D3D">
        <w:rPr>
          <w:rStyle w:val="CETCaptionCarattere"/>
        </w:rPr>
        <w:t>beads (</w:t>
      </w:r>
      <w:r w:rsidR="00CB0322">
        <w:rPr>
          <w:rStyle w:val="CETCaptionCarattere"/>
        </w:rPr>
        <w:t>b</w:t>
      </w:r>
      <w:proofErr w:type="gramStart"/>
      <w:r w:rsidR="005A03CA" w:rsidRPr="00D46D3D">
        <w:rPr>
          <w:rStyle w:val="CETCaptionCarattere"/>
        </w:rPr>
        <w:t>)</w:t>
      </w:r>
      <w:proofErr w:type="gramEnd"/>
      <w:r w:rsidR="00CC4868">
        <w:rPr>
          <w:rStyle w:val="CETCaptionCarattere"/>
        </w:rPr>
        <w:t xml:space="preserve"> and </w:t>
      </w:r>
      <w:r w:rsidR="00CC4868" w:rsidRPr="00D46D3D">
        <w:rPr>
          <w:rStyle w:val="CETCaptionCarattere"/>
        </w:rPr>
        <w:t xml:space="preserve">Graded </w:t>
      </w:r>
      <w:r w:rsidR="003A415D">
        <w:rPr>
          <w:rStyle w:val="CETCaptionCarattere"/>
        </w:rPr>
        <w:t>2</w:t>
      </w:r>
      <w:r w:rsidR="00CC4868">
        <w:rPr>
          <w:rStyle w:val="CETCaptionCarattere"/>
        </w:rPr>
        <w:t xml:space="preserve"> </w:t>
      </w:r>
      <w:r w:rsidR="00CC4868" w:rsidRPr="00D46D3D">
        <w:rPr>
          <w:rStyle w:val="CETCaptionCarattere"/>
        </w:rPr>
        <w:t>beads (</w:t>
      </w:r>
      <w:r w:rsidR="00CB0322">
        <w:rPr>
          <w:rStyle w:val="CETCaptionCarattere"/>
        </w:rPr>
        <w:t>c</w:t>
      </w:r>
      <w:r w:rsidR="00CC4868" w:rsidRPr="00D46D3D">
        <w:rPr>
          <w:rStyle w:val="CETCaptionCarattere"/>
        </w:rPr>
        <w:t>)</w:t>
      </w:r>
    </w:p>
    <w:p w14:paraId="31F6833C" w14:textId="77777777" w:rsidR="00CC4868" w:rsidRDefault="00CC4868" w:rsidP="001F560F">
      <w:pPr>
        <w:tabs>
          <w:tab w:val="right" w:pos="7776"/>
        </w:tabs>
        <w:spacing w:after="240"/>
        <w:ind w:right="14"/>
      </w:pPr>
    </w:p>
    <w:p w14:paraId="60636ED0" w14:textId="17FA844B" w:rsidR="001F560F" w:rsidRDefault="001F560F" w:rsidP="001F560F">
      <w:pPr>
        <w:tabs>
          <w:tab w:val="right" w:pos="7776"/>
        </w:tabs>
        <w:spacing w:after="240"/>
        <w:ind w:right="14"/>
      </w:pPr>
      <w:r>
        <w:t xml:space="preserve">In Figure </w:t>
      </w:r>
      <w:r w:rsidR="00B37B15">
        <w:t>6</w:t>
      </w:r>
      <w:r>
        <w:t xml:space="preserve"> the results of the </w:t>
      </w:r>
      <w:r w:rsidRPr="004B48EB">
        <w:t>uniaxial compression testing</w:t>
      </w:r>
      <w:r>
        <w:t xml:space="preserve"> are illustrated, the stress-strain curve</w:t>
      </w:r>
      <w:r w:rsidR="007266F1">
        <w:t>s</w:t>
      </w:r>
      <w:r>
        <w:t xml:space="preserve"> </w:t>
      </w:r>
      <w:r w:rsidR="007260AD">
        <w:t xml:space="preserve">are reported </w:t>
      </w:r>
      <w:r>
        <w:t xml:space="preserve">in the elastic region. In Table 1 </w:t>
      </w:r>
      <w:r w:rsidR="001D30CD">
        <w:t xml:space="preserve">are listed </w:t>
      </w:r>
      <w:r>
        <w:t xml:space="preserve">the values of the </w:t>
      </w:r>
      <w:r w:rsidRPr="004B48EB">
        <w:t>Young's Modulus</w:t>
      </w:r>
      <w:r>
        <w:t xml:space="preserve"> and the stress at 10% of deformation for both </w:t>
      </w:r>
      <w:r w:rsidR="00376CAF">
        <w:t>U</w:t>
      </w:r>
      <w:r>
        <w:t xml:space="preserve">niform and </w:t>
      </w:r>
      <w:r w:rsidR="00376CAF">
        <w:t>G</w:t>
      </w:r>
      <w:r>
        <w:t xml:space="preserve">raded samples. </w:t>
      </w:r>
    </w:p>
    <w:p w14:paraId="619F19BF" w14:textId="77777777" w:rsidR="001F560F" w:rsidRDefault="001F560F" w:rsidP="008238A1">
      <w:pPr>
        <w:keepNext/>
        <w:tabs>
          <w:tab w:val="right" w:pos="7776"/>
        </w:tabs>
        <w:ind w:right="14"/>
        <w:jc w:val="center"/>
      </w:pPr>
      <w:r>
        <w:rPr>
          <w:noProof/>
        </w:rPr>
        <w:drawing>
          <wp:inline distT="0" distB="0" distL="0" distR="0" wp14:anchorId="7D46E39F" wp14:editId="64F63760">
            <wp:extent cx="3278875" cy="1767840"/>
            <wp:effectExtent l="0" t="0" r="0" b="381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92447" cy="1775157"/>
                    </a:xfrm>
                    <a:prstGeom prst="rect">
                      <a:avLst/>
                    </a:prstGeom>
                    <a:noFill/>
                  </pic:spPr>
                </pic:pic>
              </a:graphicData>
            </a:graphic>
          </wp:inline>
        </w:drawing>
      </w:r>
    </w:p>
    <w:p w14:paraId="2FAB9BB7" w14:textId="69FEC149" w:rsidR="001F560F" w:rsidRDefault="001F560F" w:rsidP="00525C55">
      <w:pPr>
        <w:pStyle w:val="CETBodytext"/>
        <w:rPr>
          <w:rStyle w:val="CETCaptionCarattere"/>
        </w:rPr>
      </w:pPr>
      <w:r w:rsidRPr="00525C55">
        <w:rPr>
          <w:rStyle w:val="CETCaptionCarattere"/>
        </w:rPr>
        <w:t xml:space="preserve">Figure </w:t>
      </w:r>
      <w:r w:rsidR="00B37B15">
        <w:rPr>
          <w:rStyle w:val="CETCaptionCarattere"/>
        </w:rPr>
        <w:t>6</w:t>
      </w:r>
      <w:r w:rsidRPr="00525C55">
        <w:rPr>
          <w:rStyle w:val="CETCaptionCarattere"/>
        </w:rPr>
        <w:t>. Results of the uniaxial compression testing: Uniform sample (black line), Graded 1 sample (red line), Graded 2 sample (blue line).</w:t>
      </w:r>
    </w:p>
    <w:p w14:paraId="01A9D1FE" w14:textId="7B353DC4" w:rsidR="00525C55" w:rsidRPr="00B57B36" w:rsidRDefault="00525C55" w:rsidP="00525C55">
      <w:pPr>
        <w:pStyle w:val="CETTabletitle"/>
      </w:pPr>
      <w:r w:rsidRPr="00B57B36">
        <w:t xml:space="preserve">Table 1: </w:t>
      </w:r>
      <w:r w:rsidRPr="00525C55">
        <w:t>Young's Modulus and the stress at 10% of deformation</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234"/>
        <w:gridCol w:w="1202"/>
      </w:tblGrid>
      <w:tr w:rsidR="00272EEC" w:rsidRPr="00B57B36" w14:paraId="3710D5C0" w14:textId="77777777" w:rsidTr="0024019E">
        <w:tc>
          <w:tcPr>
            <w:tcW w:w="1134" w:type="dxa"/>
            <w:tcBorders>
              <w:top w:val="single" w:sz="12" w:space="0" w:color="008000"/>
              <w:bottom w:val="single" w:sz="6" w:space="0" w:color="008000"/>
            </w:tcBorders>
            <w:shd w:val="clear" w:color="auto" w:fill="FFFFFF"/>
          </w:tcPr>
          <w:p w14:paraId="6AE9B757" w14:textId="3618C7AC" w:rsidR="00272EEC" w:rsidRPr="00B57B36" w:rsidRDefault="00272EEC" w:rsidP="00272EEC">
            <w:pPr>
              <w:pStyle w:val="CETBodytext"/>
              <w:rPr>
                <w:lang w:val="en-GB"/>
              </w:rPr>
            </w:pPr>
            <w:r w:rsidRPr="007F1D2B">
              <w:t>Sample</w:t>
            </w:r>
          </w:p>
        </w:tc>
        <w:tc>
          <w:tcPr>
            <w:tcW w:w="1234" w:type="dxa"/>
            <w:tcBorders>
              <w:top w:val="single" w:sz="12" w:space="0" w:color="008000"/>
              <w:bottom w:val="single" w:sz="6" w:space="0" w:color="008000"/>
            </w:tcBorders>
            <w:shd w:val="clear" w:color="auto" w:fill="FFFFFF"/>
          </w:tcPr>
          <w:p w14:paraId="232B7C0B" w14:textId="505E7988" w:rsidR="00272EEC" w:rsidRPr="00B57B36" w:rsidRDefault="00272EEC" w:rsidP="00272EEC">
            <w:pPr>
              <w:pStyle w:val="CETBodytext"/>
              <w:rPr>
                <w:lang w:val="en-GB"/>
              </w:rPr>
            </w:pPr>
            <w:proofErr w:type="gramStart"/>
            <w:r w:rsidRPr="007F1D2B">
              <w:t>E</w:t>
            </w:r>
            <w:r w:rsidR="0067466F">
              <w:t>(</w:t>
            </w:r>
            <w:proofErr w:type="gramEnd"/>
            <w:r w:rsidRPr="007F1D2B">
              <w:t>10%</w:t>
            </w:r>
            <w:r w:rsidR="0067466F">
              <w:t>)</w:t>
            </w:r>
            <w:r w:rsidRPr="007F1D2B">
              <w:t xml:space="preserve">, </w:t>
            </w:r>
            <w:r w:rsidR="00CB2034">
              <w:t>[</w:t>
            </w:r>
            <w:r w:rsidRPr="007F1D2B">
              <w:t>MPa</w:t>
            </w:r>
            <w:r w:rsidR="00CB2034">
              <w:t>]</w:t>
            </w:r>
          </w:p>
        </w:tc>
        <w:tc>
          <w:tcPr>
            <w:tcW w:w="1202" w:type="dxa"/>
            <w:tcBorders>
              <w:top w:val="single" w:sz="12" w:space="0" w:color="008000"/>
              <w:bottom w:val="single" w:sz="6" w:space="0" w:color="008000"/>
            </w:tcBorders>
            <w:shd w:val="clear" w:color="auto" w:fill="FFFFFF"/>
          </w:tcPr>
          <w:p w14:paraId="5642858A" w14:textId="588B7CAF" w:rsidR="00272EEC" w:rsidRPr="00B57B36" w:rsidRDefault="00272EEC" w:rsidP="00272EEC">
            <w:pPr>
              <w:pStyle w:val="CETBodytext"/>
              <w:rPr>
                <w:lang w:val="en-GB"/>
              </w:rPr>
            </w:pPr>
            <w:proofErr w:type="gramStart"/>
            <w:r w:rsidRPr="007F1D2B">
              <w:t>σ</w:t>
            </w:r>
            <w:r w:rsidR="0067466F">
              <w:t>(</w:t>
            </w:r>
            <w:proofErr w:type="gramEnd"/>
            <w:r w:rsidRPr="007F1D2B">
              <w:t>10%</w:t>
            </w:r>
            <w:r w:rsidR="0024019E">
              <w:t>)</w:t>
            </w:r>
            <w:r w:rsidRPr="007F1D2B">
              <w:t>, [kPa]</w:t>
            </w:r>
          </w:p>
        </w:tc>
      </w:tr>
      <w:tr w:rsidR="00272EEC" w:rsidRPr="00B57B36" w14:paraId="1436943D" w14:textId="77777777" w:rsidTr="0024019E">
        <w:tc>
          <w:tcPr>
            <w:tcW w:w="1134" w:type="dxa"/>
            <w:shd w:val="clear" w:color="auto" w:fill="FFFFFF"/>
          </w:tcPr>
          <w:p w14:paraId="1BE4E76A" w14:textId="3532DC14" w:rsidR="00272EEC" w:rsidRPr="00B57B36" w:rsidRDefault="00272EEC" w:rsidP="00272EEC">
            <w:pPr>
              <w:pStyle w:val="CETBodytext"/>
              <w:rPr>
                <w:lang w:val="en-GB"/>
              </w:rPr>
            </w:pPr>
            <w:r w:rsidRPr="007F1D2B">
              <w:t>Uniform</w:t>
            </w:r>
          </w:p>
        </w:tc>
        <w:tc>
          <w:tcPr>
            <w:tcW w:w="1234" w:type="dxa"/>
            <w:shd w:val="clear" w:color="auto" w:fill="FFFFFF"/>
          </w:tcPr>
          <w:p w14:paraId="378E9DFB" w14:textId="7B31BA76" w:rsidR="00272EEC" w:rsidRPr="00B57B36" w:rsidRDefault="00272EEC" w:rsidP="00272EEC">
            <w:pPr>
              <w:pStyle w:val="CETBodytext"/>
              <w:rPr>
                <w:lang w:val="en-GB"/>
              </w:rPr>
            </w:pPr>
            <w:r w:rsidRPr="007F1D2B">
              <w:t>4.9</w:t>
            </w:r>
          </w:p>
        </w:tc>
        <w:tc>
          <w:tcPr>
            <w:tcW w:w="1202" w:type="dxa"/>
            <w:shd w:val="clear" w:color="auto" w:fill="FFFFFF"/>
          </w:tcPr>
          <w:p w14:paraId="754F832B" w14:textId="3DCB40D8" w:rsidR="00272EEC" w:rsidRPr="00B57B36" w:rsidRDefault="00272EEC" w:rsidP="00272EEC">
            <w:pPr>
              <w:pStyle w:val="CETBodytext"/>
              <w:rPr>
                <w:lang w:val="en-GB"/>
              </w:rPr>
            </w:pPr>
            <w:r w:rsidRPr="007F1D2B">
              <w:t>2.71</w:t>
            </w:r>
          </w:p>
        </w:tc>
      </w:tr>
      <w:tr w:rsidR="00272EEC" w:rsidRPr="00B57B36" w14:paraId="66C4F392" w14:textId="77777777" w:rsidTr="0024019E">
        <w:tc>
          <w:tcPr>
            <w:tcW w:w="1134" w:type="dxa"/>
            <w:shd w:val="clear" w:color="auto" w:fill="FFFFFF"/>
          </w:tcPr>
          <w:p w14:paraId="0CE19319" w14:textId="39838199" w:rsidR="00272EEC" w:rsidRPr="00B57B36" w:rsidRDefault="00272EEC" w:rsidP="00272EEC">
            <w:pPr>
              <w:pStyle w:val="CETBodytext"/>
              <w:ind w:right="-1"/>
              <w:rPr>
                <w:rFonts w:cs="Arial"/>
                <w:szCs w:val="18"/>
                <w:lang w:val="en-GB"/>
              </w:rPr>
            </w:pPr>
            <w:r w:rsidRPr="007F1D2B">
              <w:t>Graded 1</w:t>
            </w:r>
          </w:p>
        </w:tc>
        <w:tc>
          <w:tcPr>
            <w:tcW w:w="1234" w:type="dxa"/>
            <w:shd w:val="clear" w:color="auto" w:fill="FFFFFF"/>
          </w:tcPr>
          <w:p w14:paraId="44D4DCA1" w14:textId="050FB057" w:rsidR="00272EEC" w:rsidRPr="00B57B36" w:rsidRDefault="00272EEC" w:rsidP="00272EEC">
            <w:pPr>
              <w:pStyle w:val="CETBodytext"/>
              <w:ind w:right="-1"/>
              <w:rPr>
                <w:rFonts w:cs="Arial"/>
                <w:szCs w:val="18"/>
                <w:lang w:val="en-GB"/>
              </w:rPr>
            </w:pPr>
            <w:r w:rsidRPr="007F1D2B">
              <w:t>5.1</w:t>
            </w:r>
          </w:p>
        </w:tc>
        <w:tc>
          <w:tcPr>
            <w:tcW w:w="1202" w:type="dxa"/>
            <w:shd w:val="clear" w:color="auto" w:fill="FFFFFF"/>
          </w:tcPr>
          <w:p w14:paraId="3520EF52" w14:textId="45ECA058" w:rsidR="00272EEC" w:rsidRPr="00B57B36" w:rsidRDefault="00272EEC" w:rsidP="00272EEC">
            <w:pPr>
              <w:pStyle w:val="CETBodytext"/>
              <w:ind w:right="-1"/>
              <w:rPr>
                <w:rFonts w:cs="Arial"/>
                <w:szCs w:val="18"/>
                <w:lang w:val="en-GB"/>
              </w:rPr>
            </w:pPr>
            <w:r w:rsidRPr="007F1D2B">
              <w:t>2.99</w:t>
            </w:r>
          </w:p>
        </w:tc>
      </w:tr>
      <w:tr w:rsidR="00272EEC" w:rsidRPr="00B57B36" w14:paraId="05B13A1E" w14:textId="77777777" w:rsidTr="0024019E">
        <w:tc>
          <w:tcPr>
            <w:tcW w:w="1134" w:type="dxa"/>
            <w:shd w:val="clear" w:color="auto" w:fill="FFFFFF"/>
          </w:tcPr>
          <w:p w14:paraId="6D835503" w14:textId="036B1167" w:rsidR="00272EEC" w:rsidRPr="007F1D2B" w:rsidRDefault="00272EEC" w:rsidP="00272EEC">
            <w:pPr>
              <w:pStyle w:val="CETBodytext"/>
              <w:ind w:right="-1"/>
            </w:pPr>
            <w:r>
              <w:t xml:space="preserve">Graded 2 </w:t>
            </w:r>
          </w:p>
        </w:tc>
        <w:tc>
          <w:tcPr>
            <w:tcW w:w="1234" w:type="dxa"/>
            <w:shd w:val="clear" w:color="auto" w:fill="FFFFFF"/>
          </w:tcPr>
          <w:p w14:paraId="62614C20" w14:textId="3D8741CF" w:rsidR="00272EEC" w:rsidRPr="007F1D2B" w:rsidRDefault="00272EEC" w:rsidP="00272EEC">
            <w:pPr>
              <w:pStyle w:val="CETBodytext"/>
              <w:ind w:right="-1"/>
            </w:pPr>
            <w:r>
              <w:t>4.5</w:t>
            </w:r>
          </w:p>
        </w:tc>
        <w:tc>
          <w:tcPr>
            <w:tcW w:w="1202" w:type="dxa"/>
            <w:shd w:val="clear" w:color="auto" w:fill="FFFFFF"/>
          </w:tcPr>
          <w:p w14:paraId="49B2412A" w14:textId="08F46E2E" w:rsidR="00272EEC" w:rsidRPr="007F1D2B" w:rsidRDefault="00272EEC" w:rsidP="00272EEC">
            <w:pPr>
              <w:pStyle w:val="CETBodytext"/>
              <w:ind w:right="-1"/>
            </w:pPr>
            <w:r>
              <w:t>3.35</w:t>
            </w:r>
          </w:p>
        </w:tc>
      </w:tr>
    </w:tbl>
    <w:p w14:paraId="0358E3A1" w14:textId="77777777" w:rsidR="001F560F" w:rsidRPr="00272EEC" w:rsidRDefault="001F560F" w:rsidP="001F560F">
      <w:pPr>
        <w:tabs>
          <w:tab w:val="right" w:pos="7776"/>
        </w:tabs>
        <w:spacing w:before="240"/>
        <w:ind w:right="14"/>
      </w:pPr>
      <w:r w:rsidRPr="00272EEC">
        <w:t xml:space="preserve">The Graded 1 sample showed a 4% increase in elastic modulus and a 10% increase in stress value with respect to the Uniform sample. The Graded 2 sample showed an 8% decrease in elastic modulus and a 24% increase in stress value with respect to the Uniform sample. </w:t>
      </w:r>
    </w:p>
    <w:p w14:paraId="10D5E81D" w14:textId="3046BA79" w:rsidR="00225E39" w:rsidRPr="00B57B36" w:rsidRDefault="00225E39" w:rsidP="00225E39">
      <w:pPr>
        <w:pStyle w:val="CETHeading1"/>
        <w:rPr>
          <w:lang w:val="en-GB"/>
        </w:rPr>
      </w:pPr>
      <w:r>
        <w:rPr>
          <w:lang w:val="en-GB"/>
        </w:rPr>
        <w:t>Conclusion</w:t>
      </w:r>
    </w:p>
    <w:p w14:paraId="3FF2ED8C" w14:textId="77777777" w:rsidR="0051329C" w:rsidRPr="0051329C" w:rsidRDefault="0051329C" w:rsidP="0051329C">
      <w:pPr>
        <w:pStyle w:val="Paragrafoelenco"/>
        <w:tabs>
          <w:tab w:val="right" w:pos="7776"/>
        </w:tabs>
        <w:ind w:left="0" w:right="14"/>
        <w:rPr>
          <w:b/>
          <w:sz w:val="24"/>
          <w:szCs w:val="24"/>
        </w:rPr>
      </w:pPr>
      <w:r>
        <w:t xml:space="preserve">In this experimental study, we demonstrated that the graded foaming technique allows the production of sintered foamed samples having complex and advanced morphologies in a single material suitable for the sports footwear industry. Specifically, the method permits to design and control locally the density and porosity of the graded structures. Furthermore, by demonstrating the strict correlation between the layered foamed structure and the mechanical properties of the samples, we opened the opportunity to manufacture products having </w:t>
      </w:r>
      <w:proofErr w:type="spellStart"/>
      <w:r>
        <w:t>tunable</w:t>
      </w:r>
      <w:proofErr w:type="spellEnd"/>
      <w:r>
        <w:t xml:space="preserve"> properties.</w:t>
      </w:r>
    </w:p>
    <w:p w14:paraId="07A6D20F" w14:textId="0ECF229E" w:rsidR="00280FAF" w:rsidRPr="00280FAF" w:rsidRDefault="00280FAF" w:rsidP="00280FAF">
      <w:pPr>
        <w:pStyle w:val="CETHeadingxx"/>
        <w:rPr>
          <w:lang w:val="en-GB"/>
        </w:rPr>
        <w:sectPr w:rsidR="00280FAF" w:rsidRPr="00280FAF" w:rsidSect="007D0951">
          <w:type w:val="continuous"/>
          <w:pgSz w:w="11906" w:h="16838" w:code="9"/>
          <w:pgMar w:top="1701" w:right="1418" w:bottom="1701" w:left="1701" w:header="1701" w:footer="0" w:gutter="0"/>
          <w:cols w:space="708"/>
          <w:formProt w:val="0"/>
          <w:titlePg/>
          <w:docGrid w:linePitch="360"/>
        </w:sectPr>
      </w:pPr>
      <w:r>
        <w:lastRenderedPageBreak/>
        <w:t>Nomenclature</w:t>
      </w:r>
    </w:p>
    <w:p w14:paraId="0C1B41A1" w14:textId="070D009B" w:rsidR="00F66E99" w:rsidRPr="002C3430" w:rsidRDefault="00617722" w:rsidP="00280FAF">
      <w:pPr>
        <w:pStyle w:val="CETBodytext"/>
        <w:jc w:val="left"/>
        <w:rPr>
          <w:rFonts w:eastAsia="SimSun"/>
        </w:rPr>
      </w:pPr>
      <w:r w:rsidRPr="002C3430">
        <w:rPr>
          <w:rFonts w:eastAsia="SimSun"/>
        </w:rPr>
        <w:t>C</w:t>
      </w:r>
      <w:r w:rsidR="00280FAF" w:rsidRPr="002C3430">
        <w:rPr>
          <w:rFonts w:eastAsia="SimSun"/>
        </w:rPr>
        <w:t xml:space="preserve"> – </w:t>
      </w:r>
      <w:proofErr w:type="spellStart"/>
      <w:r w:rsidR="00B40D7A" w:rsidRPr="002C3430">
        <w:rPr>
          <w:rFonts w:eastAsia="SimSun"/>
        </w:rPr>
        <w:t>adimensional</w:t>
      </w:r>
      <w:proofErr w:type="spellEnd"/>
      <w:r w:rsidR="00B40D7A" w:rsidRPr="002C3430">
        <w:rPr>
          <w:rFonts w:eastAsia="SimSun"/>
        </w:rPr>
        <w:t xml:space="preserve"> blowing agent concentration</w:t>
      </w:r>
      <w:r w:rsidR="00280FAF" w:rsidRPr="002C3430">
        <w:rPr>
          <w:rFonts w:eastAsia="SimSun"/>
        </w:rPr>
        <w:t xml:space="preserve">, </w:t>
      </w:r>
      <w:r w:rsidR="00B40D7A" w:rsidRPr="002C3430">
        <w:rPr>
          <w:rFonts w:eastAsia="SimSun"/>
        </w:rPr>
        <w:t>-</w:t>
      </w:r>
    </w:p>
    <w:p w14:paraId="18DCE6AB" w14:textId="269B02DC" w:rsidR="00504A63" w:rsidRPr="002C3430" w:rsidRDefault="00504A63" w:rsidP="00280FAF">
      <w:pPr>
        <w:pStyle w:val="CETBodytext"/>
        <w:jc w:val="left"/>
        <w:rPr>
          <w:rFonts w:eastAsia="SimSun"/>
          <w:lang w:val="en-GB"/>
        </w:rPr>
      </w:pPr>
      <w:r w:rsidRPr="002C3430">
        <w:rPr>
          <w:rFonts w:eastAsia="SimSun"/>
          <w:lang w:val="en-GB"/>
        </w:rPr>
        <w:t>r – characteristic dimension of a single bead sample, mm</w:t>
      </w:r>
    </w:p>
    <w:p w14:paraId="57590CE2" w14:textId="46C367A8" w:rsidR="00280FAF" w:rsidRPr="002C3430" w:rsidRDefault="00504A63" w:rsidP="00280FAF">
      <w:pPr>
        <w:pStyle w:val="CETBodytext"/>
        <w:jc w:val="left"/>
        <w:rPr>
          <w:rFonts w:eastAsia="SimSun"/>
          <w:lang w:val="en-GB"/>
        </w:rPr>
      </w:pPr>
      <w:r w:rsidRPr="002C3430">
        <w:rPr>
          <w:rFonts w:eastAsia="SimSun"/>
          <w:lang w:val="en-GB"/>
        </w:rPr>
        <w:t>D</w:t>
      </w:r>
      <w:r w:rsidR="00280FAF" w:rsidRPr="002C3430">
        <w:rPr>
          <w:rFonts w:eastAsia="SimSun"/>
          <w:vertAlign w:val="subscript"/>
          <w:lang w:val="en-GB"/>
        </w:rPr>
        <w:t>i</w:t>
      </w:r>
      <w:r w:rsidR="00280FAF" w:rsidRPr="002C3430">
        <w:rPr>
          <w:rFonts w:eastAsia="SimSun"/>
          <w:lang w:val="en-GB"/>
        </w:rPr>
        <w:t xml:space="preserve"> – </w:t>
      </w:r>
      <w:r w:rsidR="00395886" w:rsidRPr="002C3430">
        <w:rPr>
          <w:rFonts w:eastAsia="SimSun"/>
          <w:lang w:val="en-GB"/>
        </w:rPr>
        <w:t xml:space="preserve">thickness of the </w:t>
      </w:r>
      <w:proofErr w:type="spellStart"/>
      <w:r w:rsidR="00395886" w:rsidRPr="002C3430">
        <w:rPr>
          <w:rFonts w:eastAsia="SimSun"/>
          <w:lang w:val="en-GB"/>
        </w:rPr>
        <w:t>i-th</w:t>
      </w:r>
      <w:proofErr w:type="spellEnd"/>
      <w:r w:rsidR="00395886" w:rsidRPr="002C3430">
        <w:rPr>
          <w:rFonts w:eastAsia="SimSun"/>
          <w:lang w:val="en-GB"/>
        </w:rPr>
        <w:t xml:space="preserve"> layer </w:t>
      </w:r>
      <w:r w:rsidR="00252A54" w:rsidRPr="002C3430">
        <w:rPr>
          <w:rFonts w:eastAsia="SimSun"/>
          <w:lang w:val="en-GB"/>
        </w:rPr>
        <w:t>within the bead sample</w:t>
      </w:r>
      <w:r w:rsidR="00280FAF" w:rsidRPr="002C3430">
        <w:rPr>
          <w:rFonts w:eastAsia="SimSun"/>
          <w:lang w:val="en-GB"/>
        </w:rPr>
        <w:t xml:space="preserve">, </w:t>
      </w:r>
      <w:r w:rsidR="00252A54" w:rsidRPr="002C3430">
        <w:rPr>
          <w:rFonts w:eastAsia="SimSun"/>
          <w:lang w:val="en-GB"/>
        </w:rPr>
        <w:t>m</w:t>
      </w:r>
      <w:r w:rsidR="00280FAF" w:rsidRPr="002C3430">
        <w:rPr>
          <w:rFonts w:eastAsia="SimSun"/>
          <w:lang w:val="en-GB"/>
        </w:rPr>
        <w:t>m</w:t>
      </w:r>
    </w:p>
    <w:p w14:paraId="4A54BA17" w14:textId="24EEA792" w:rsidR="0024019E" w:rsidRDefault="009A0B4A" w:rsidP="00280FAF">
      <w:pPr>
        <w:pStyle w:val="CETBodytext"/>
        <w:jc w:val="left"/>
        <w:rPr>
          <w:rFonts w:eastAsia="SimSun"/>
          <w:highlight w:val="yellow"/>
        </w:rPr>
      </w:pPr>
      <w:proofErr w:type="gramStart"/>
      <w:r w:rsidRPr="009A0B4A">
        <w:t>E(</w:t>
      </w:r>
      <w:proofErr w:type="gramEnd"/>
      <w:r w:rsidRPr="009A0B4A">
        <w:t>10%)</w:t>
      </w:r>
      <w:r w:rsidR="00CB2034">
        <w:t xml:space="preserve"> - </w:t>
      </w:r>
      <w:r w:rsidR="0024019E" w:rsidRPr="004B48EB">
        <w:t>Young's Modulus</w:t>
      </w:r>
      <w:r w:rsidR="0024019E">
        <w:t xml:space="preserve"> at 10% of deformation</w:t>
      </w:r>
      <w:r w:rsidRPr="009A0B4A">
        <w:t>, MPa</w:t>
      </w:r>
    </w:p>
    <w:p w14:paraId="75F5B5E6" w14:textId="3FB26FAE" w:rsidR="002A58E1" w:rsidRDefault="00CB2034" w:rsidP="002A58E1">
      <w:pPr>
        <w:pStyle w:val="CETBodytext"/>
        <w:jc w:val="left"/>
        <w:rPr>
          <w:rFonts w:eastAsia="SimSun"/>
          <w:highlight w:val="yellow"/>
        </w:rPr>
      </w:pPr>
      <w:proofErr w:type="gramStart"/>
      <w:r w:rsidRPr="009A0B4A">
        <w:t>σ(</w:t>
      </w:r>
      <w:proofErr w:type="gramEnd"/>
      <w:r w:rsidRPr="009A0B4A">
        <w:t>10%)</w:t>
      </w:r>
      <w:r>
        <w:t xml:space="preserve"> - </w:t>
      </w:r>
      <w:r w:rsidR="002A58E1">
        <w:t>stress at 10% of deformation</w:t>
      </w:r>
      <w:r w:rsidRPr="009A0B4A">
        <w:t>, kPa</w:t>
      </w:r>
    </w:p>
    <w:p w14:paraId="47FCCFC5" w14:textId="475E3113" w:rsidR="0050054B" w:rsidRDefault="0050054B" w:rsidP="00280FAF">
      <w:pPr>
        <w:pStyle w:val="CETBodytext"/>
        <w:jc w:val="left"/>
        <w:rPr>
          <w:rFonts w:eastAsia="SimSun"/>
          <w:highlight w:val="yellow"/>
        </w:rPr>
      </w:pPr>
    </w:p>
    <w:p w14:paraId="7FFE3DD2" w14:textId="77777777" w:rsidR="00E715AC" w:rsidRPr="001E74E3" w:rsidRDefault="00E715AC" w:rsidP="00280FAF">
      <w:pPr>
        <w:pStyle w:val="CETBodytext"/>
        <w:jc w:val="left"/>
        <w:rPr>
          <w:rFonts w:eastAsia="SimSun"/>
          <w:highlight w:val="yellow"/>
        </w:rPr>
      </w:pPr>
    </w:p>
    <w:p w14:paraId="38BFE636" w14:textId="55449442" w:rsidR="00280FAF" w:rsidRPr="00E377D0" w:rsidRDefault="00280FAF" w:rsidP="00280FAF">
      <w:pPr>
        <w:pStyle w:val="CETBodytext"/>
        <w:jc w:val="left"/>
        <w:rPr>
          <w:rFonts w:eastAsia="SimSun"/>
        </w:rPr>
        <w:sectPr w:rsidR="00280FAF" w:rsidRPr="00E377D0" w:rsidSect="00200ECB">
          <w:type w:val="continuous"/>
          <w:pgSz w:w="11906" w:h="16838" w:code="9"/>
          <w:pgMar w:top="1701" w:right="1418" w:bottom="1701" w:left="1701" w:header="1701" w:footer="0" w:gutter="0"/>
          <w:cols w:num="2" w:space="708"/>
          <w:formProt w:val="0"/>
          <w:titlePg/>
          <w:docGrid w:linePitch="360"/>
        </w:sectPr>
      </w:pPr>
    </w:p>
    <w:p w14:paraId="4F1327F8" w14:textId="37389C48" w:rsidR="00600535" w:rsidRDefault="00600535" w:rsidP="00600535">
      <w:pPr>
        <w:pStyle w:val="CETReference"/>
      </w:pPr>
      <w:r w:rsidRPr="00B57B36">
        <w:t>References</w:t>
      </w:r>
    </w:p>
    <w:p w14:paraId="0FF7F4D9" w14:textId="04BE1465" w:rsidR="00532BC1" w:rsidRPr="00532BC1" w:rsidRDefault="009A068A" w:rsidP="00532BC1">
      <w:pPr>
        <w:widowControl w:val="0"/>
        <w:autoSpaceDE w:val="0"/>
        <w:autoSpaceDN w:val="0"/>
        <w:adjustRightInd w:val="0"/>
        <w:spacing w:before="200" w:after="120" w:line="240" w:lineRule="auto"/>
        <w:ind w:left="480" w:hanging="480"/>
        <w:rPr>
          <w:rFonts w:cs="Arial"/>
          <w:noProof/>
          <w:szCs w:val="24"/>
        </w:rPr>
      </w:pPr>
      <w:r>
        <w:fldChar w:fldCharType="begin" w:fldLock="1"/>
      </w:r>
      <w:r>
        <w:instrText xml:space="preserve">ADDIN Mendeley Bibliography CSL_BIBLIOGRAPHY </w:instrText>
      </w:r>
      <w:r>
        <w:fldChar w:fldCharType="separate"/>
      </w:r>
      <w:r w:rsidR="00532BC1" w:rsidRPr="00532BC1">
        <w:rPr>
          <w:rFonts w:cs="Arial"/>
          <w:noProof/>
          <w:szCs w:val="24"/>
        </w:rPr>
        <w:t>Baier, D., Rausch, T.M., Wagner, T.F., 2020. The drivers of sustainable apparel and sportswear consumption: A segmented kano perspective. Sustain. 12, 1–21.</w:t>
      </w:r>
    </w:p>
    <w:p w14:paraId="3678F14A" w14:textId="77777777" w:rsidR="00532BC1" w:rsidRPr="00532BC1" w:rsidRDefault="00532BC1" w:rsidP="00532BC1">
      <w:pPr>
        <w:widowControl w:val="0"/>
        <w:autoSpaceDE w:val="0"/>
        <w:autoSpaceDN w:val="0"/>
        <w:adjustRightInd w:val="0"/>
        <w:spacing w:before="200" w:after="120" w:line="240" w:lineRule="auto"/>
        <w:ind w:left="480" w:hanging="480"/>
        <w:rPr>
          <w:rFonts w:cs="Arial"/>
          <w:noProof/>
          <w:szCs w:val="24"/>
        </w:rPr>
      </w:pPr>
      <w:r w:rsidRPr="00532BC1">
        <w:rPr>
          <w:rFonts w:cs="Arial"/>
          <w:noProof/>
          <w:szCs w:val="24"/>
        </w:rPr>
        <w:t>Basuk, M., Bait, S., Maiti, S., Adivarekar, R. V, 2018. Management Properties and Drying Behavior of Polyester and Blend Fabrics for Sportswear Application. Curr. Trends Fash. Technol. \&amp; Text. Eng. 3, 105–112.</w:t>
      </w:r>
    </w:p>
    <w:p w14:paraId="58CD7029" w14:textId="77777777" w:rsidR="00532BC1" w:rsidRPr="00532BC1" w:rsidRDefault="00532BC1" w:rsidP="00532BC1">
      <w:pPr>
        <w:widowControl w:val="0"/>
        <w:autoSpaceDE w:val="0"/>
        <w:autoSpaceDN w:val="0"/>
        <w:adjustRightInd w:val="0"/>
        <w:spacing w:before="200" w:after="120" w:line="240" w:lineRule="auto"/>
        <w:ind w:left="480" w:hanging="480"/>
        <w:rPr>
          <w:rFonts w:cs="Arial"/>
          <w:noProof/>
          <w:szCs w:val="24"/>
        </w:rPr>
      </w:pPr>
      <w:r w:rsidRPr="00532BC1">
        <w:rPr>
          <w:rFonts w:cs="Arial"/>
          <w:noProof/>
          <w:szCs w:val="24"/>
        </w:rPr>
        <w:t>Beiderbeck, D., Krüger, H., Minshall, T., 2020. The Future of Additive Manufacturing in Sports. In: Schmidt, S.L. (Ed.), 21st Century Sports: How Technologies Will Change Sports in the Digital Age. Springer International Publishing, Cham, pp. 111–132.</w:t>
      </w:r>
    </w:p>
    <w:p w14:paraId="5C54AB49" w14:textId="77777777" w:rsidR="00532BC1" w:rsidRPr="00532BC1" w:rsidRDefault="00532BC1" w:rsidP="00532BC1">
      <w:pPr>
        <w:widowControl w:val="0"/>
        <w:autoSpaceDE w:val="0"/>
        <w:autoSpaceDN w:val="0"/>
        <w:adjustRightInd w:val="0"/>
        <w:spacing w:before="200" w:after="120" w:line="240" w:lineRule="auto"/>
        <w:ind w:left="480" w:hanging="480"/>
        <w:rPr>
          <w:rFonts w:cs="Arial"/>
          <w:noProof/>
          <w:szCs w:val="24"/>
        </w:rPr>
      </w:pPr>
      <w:r w:rsidRPr="00532BC1">
        <w:rPr>
          <w:rFonts w:cs="Arial"/>
          <w:noProof/>
          <w:szCs w:val="24"/>
        </w:rPr>
        <w:t>Bruun, M.B., Langkjær, M.A., 2016. Sportswear: Between Fashion, Innovation and Sustainability. Fash. Pract. 8, 181–188.</w:t>
      </w:r>
    </w:p>
    <w:p w14:paraId="373BF9EB" w14:textId="77777777" w:rsidR="00532BC1" w:rsidRPr="00532BC1" w:rsidRDefault="00532BC1" w:rsidP="00532BC1">
      <w:pPr>
        <w:widowControl w:val="0"/>
        <w:autoSpaceDE w:val="0"/>
        <w:autoSpaceDN w:val="0"/>
        <w:adjustRightInd w:val="0"/>
        <w:spacing w:before="200" w:after="120" w:line="240" w:lineRule="auto"/>
        <w:ind w:left="480" w:hanging="480"/>
        <w:rPr>
          <w:rFonts w:cs="Arial"/>
          <w:noProof/>
          <w:szCs w:val="24"/>
        </w:rPr>
      </w:pPr>
      <w:r w:rsidRPr="00532BC1">
        <w:rPr>
          <w:rFonts w:cs="Arial"/>
          <w:noProof/>
          <w:szCs w:val="24"/>
        </w:rPr>
        <w:t>Campbell, G., Newell, E., Mclure, M., 1982. Compression testing of foamed plastics and rubbers for use as orthotic shoe insoles. Prosthet. Orthot. Int. 6, 48–52.</w:t>
      </w:r>
    </w:p>
    <w:p w14:paraId="12EF8384" w14:textId="77777777" w:rsidR="00532BC1" w:rsidRPr="00532BC1" w:rsidRDefault="00532BC1" w:rsidP="00532BC1">
      <w:pPr>
        <w:widowControl w:val="0"/>
        <w:autoSpaceDE w:val="0"/>
        <w:autoSpaceDN w:val="0"/>
        <w:adjustRightInd w:val="0"/>
        <w:spacing w:before="200" w:after="120" w:line="240" w:lineRule="auto"/>
        <w:ind w:left="480" w:hanging="480"/>
        <w:rPr>
          <w:rFonts w:cs="Arial"/>
          <w:noProof/>
          <w:szCs w:val="24"/>
        </w:rPr>
      </w:pPr>
      <w:r w:rsidRPr="00532BC1">
        <w:rPr>
          <w:rFonts w:cs="Arial"/>
          <w:noProof/>
          <w:szCs w:val="24"/>
        </w:rPr>
        <w:t>Errichiello, F., Cammarano, A., Di Maio, E., Nicolais, L., 2022. Sintering graded foamed beads: Compressive properties. J. Appl. Polym. Sci. 139, 1–9.</w:t>
      </w:r>
    </w:p>
    <w:p w14:paraId="09951BF3" w14:textId="77777777" w:rsidR="00532BC1" w:rsidRPr="00532BC1" w:rsidRDefault="00532BC1" w:rsidP="00532BC1">
      <w:pPr>
        <w:widowControl w:val="0"/>
        <w:autoSpaceDE w:val="0"/>
        <w:autoSpaceDN w:val="0"/>
        <w:adjustRightInd w:val="0"/>
        <w:spacing w:before="200" w:after="120" w:line="240" w:lineRule="auto"/>
        <w:ind w:left="480" w:hanging="480"/>
        <w:rPr>
          <w:rFonts w:cs="Arial"/>
          <w:noProof/>
          <w:szCs w:val="24"/>
        </w:rPr>
      </w:pPr>
      <w:r w:rsidRPr="00532BC1">
        <w:rPr>
          <w:rFonts w:cs="Arial"/>
          <w:noProof/>
          <w:szCs w:val="24"/>
        </w:rPr>
        <w:t>Ge, C., Ren, Q., Wang, S., Zheng, W., Zhai, W., Park, C.B., 2017. Steam-chest molding of expanded thermoplastic polyurethane bead foams and their mechanical properties. Chem. Eng. Sci. 174, 337–346.</w:t>
      </w:r>
    </w:p>
    <w:p w14:paraId="385DE736" w14:textId="77777777" w:rsidR="00532BC1" w:rsidRPr="00532BC1" w:rsidRDefault="00532BC1" w:rsidP="00532BC1">
      <w:pPr>
        <w:widowControl w:val="0"/>
        <w:autoSpaceDE w:val="0"/>
        <w:autoSpaceDN w:val="0"/>
        <w:adjustRightInd w:val="0"/>
        <w:spacing w:before="200" w:after="120" w:line="240" w:lineRule="auto"/>
        <w:ind w:left="480" w:hanging="480"/>
        <w:rPr>
          <w:rFonts w:cs="Arial"/>
          <w:noProof/>
          <w:szCs w:val="24"/>
        </w:rPr>
      </w:pPr>
      <w:r w:rsidRPr="00532BC1">
        <w:rPr>
          <w:rFonts w:cs="Arial"/>
          <w:noProof/>
          <w:szCs w:val="24"/>
        </w:rPr>
        <w:t>Hayes, S.G., Venkatraman, P., 2015. Materials and Technology for Sportswear and Performance Apparel, Materials and Technology for Sportswear and Performance Apparel.</w:t>
      </w:r>
    </w:p>
    <w:p w14:paraId="057BC35C" w14:textId="77777777" w:rsidR="00532BC1" w:rsidRPr="00532BC1" w:rsidRDefault="00532BC1" w:rsidP="00532BC1">
      <w:pPr>
        <w:widowControl w:val="0"/>
        <w:autoSpaceDE w:val="0"/>
        <w:autoSpaceDN w:val="0"/>
        <w:adjustRightInd w:val="0"/>
        <w:spacing w:before="200" w:after="120" w:line="240" w:lineRule="auto"/>
        <w:ind w:left="480" w:hanging="480"/>
        <w:rPr>
          <w:rFonts w:cs="Arial"/>
          <w:noProof/>
          <w:szCs w:val="24"/>
        </w:rPr>
      </w:pPr>
      <w:r w:rsidRPr="00532BC1">
        <w:rPr>
          <w:rFonts w:cs="Arial"/>
          <w:noProof/>
          <w:szCs w:val="24"/>
        </w:rPr>
        <w:t>Luximon, A., Luximon, Y., 2021. Chapter 19 - New technologies—3D scanning, 3D design, and 3D printing. In: Luximon, A (Ed.), Handbook of Footwear Design and Manufacture (Second Edition), The Textile Institute Book Series. Woodhead Publishing, pp. 477–503.</w:t>
      </w:r>
    </w:p>
    <w:p w14:paraId="7802517F" w14:textId="77777777" w:rsidR="00532BC1" w:rsidRPr="00532BC1" w:rsidRDefault="00532BC1" w:rsidP="00532BC1">
      <w:pPr>
        <w:widowControl w:val="0"/>
        <w:autoSpaceDE w:val="0"/>
        <w:autoSpaceDN w:val="0"/>
        <w:adjustRightInd w:val="0"/>
        <w:spacing w:before="200" w:after="120" w:line="240" w:lineRule="auto"/>
        <w:ind w:left="480" w:hanging="480"/>
        <w:rPr>
          <w:rFonts w:cs="Arial"/>
          <w:noProof/>
          <w:szCs w:val="24"/>
        </w:rPr>
      </w:pPr>
      <w:r w:rsidRPr="00532BC1">
        <w:rPr>
          <w:rFonts w:cs="Arial"/>
          <w:noProof/>
          <w:szCs w:val="24"/>
        </w:rPr>
        <w:t>Marrazzo, C., Di Maio, E., Iannace, S., Nicolais, L., 2008. Process-structure relationships in PCL foaming. J. Cell. Plast. 44, 37–52.</w:t>
      </w:r>
    </w:p>
    <w:p w14:paraId="0BFD745E" w14:textId="77777777" w:rsidR="00532BC1" w:rsidRPr="00532BC1" w:rsidRDefault="00532BC1" w:rsidP="00532BC1">
      <w:pPr>
        <w:widowControl w:val="0"/>
        <w:autoSpaceDE w:val="0"/>
        <w:autoSpaceDN w:val="0"/>
        <w:adjustRightInd w:val="0"/>
        <w:spacing w:before="200" w:after="120" w:line="240" w:lineRule="auto"/>
        <w:ind w:left="480" w:hanging="480"/>
        <w:rPr>
          <w:rFonts w:cs="Arial"/>
          <w:noProof/>
          <w:szCs w:val="24"/>
        </w:rPr>
      </w:pPr>
      <w:r w:rsidRPr="00532BC1">
        <w:rPr>
          <w:rFonts w:cs="Arial"/>
          <w:noProof/>
          <w:szCs w:val="24"/>
        </w:rPr>
        <w:t>McPoil, T.G., 2000. Athletic footwear: Design, performance and selection issues. J. Sci. Med. Sport 3, 260–267.</w:t>
      </w:r>
    </w:p>
    <w:p w14:paraId="1565FE1C" w14:textId="77777777" w:rsidR="00532BC1" w:rsidRPr="00532BC1" w:rsidRDefault="00532BC1" w:rsidP="00532BC1">
      <w:pPr>
        <w:widowControl w:val="0"/>
        <w:autoSpaceDE w:val="0"/>
        <w:autoSpaceDN w:val="0"/>
        <w:adjustRightInd w:val="0"/>
        <w:spacing w:before="200" w:after="120" w:line="240" w:lineRule="auto"/>
        <w:ind w:left="480" w:hanging="480"/>
        <w:rPr>
          <w:rFonts w:cs="Arial"/>
          <w:noProof/>
          <w:szCs w:val="24"/>
        </w:rPr>
      </w:pPr>
      <w:r w:rsidRPr="00532BC1">
        <w:rPr>
          <w:rFonts w:cs="Arial"/>
          <w:noProof/>
          <w:szCs w:val="24"/>
        </w:rPr>
        <w:t>Memarian, F., Rahmani, S., Yousefzadeh, M., Latifi, M., 2019. Wearable technologies in sportswear, Materials in Sports Equipment. Elsevier Ltd.</w:t>
      </w:r>
    </w:p>
    <w:p w14:paraId="04D24859" w14:textId="77777777" w:rsidR="00532BC1" w:rsidRPr="00532BC1" w:rsidRDefault="00532BC1" w:rsidP="00532BC1">
      <w:pPr>
        <w:widowControl w:val="0"/>
        <w:autoSpaceDE w:val="0"/>
        <w:autoSpaceDN w:val="0"/>
        <w:adjustRightInd w:val="0"/>
        <w:spacing w:before="200" w:after="120" w:line="240" w:lineRule="auto"/>
        <w:ind w:left="480" w:hanging="480"/>
        <w:rPr>
          <w:rFonts w:cs="Arial"/>
          <w:noProof/>
          <w:szCs w:val="24"/>
        </w:rPr>
      </w:pPr>
      <w:r w:rsidRPr="00532BC1">
        <w:rPr>
          <w:rFonts w:cs="Arial"/>
          <w:noProof/>
          <w:szCs w:val="24"/>
        </w:rPr>
        <w:t>Prado, M.P., Saito, G.H., 2019. Sports Footwear: Problems and Advances. In: Rocha Piedade, S., Imhoff, A.B., Clatworthy, M., Cohen, M., Espregueira-Mendes, J. (Eds.), The Sports Medicine Physician. Springer International Publishing, Cham, pp. 571–578.</w:t>
      </w:r>
    </w:p>
    <w:p w14:paraId="122E3F73" w14:textId="77777777" w:rsidR="00532BC1" w:rsidRPr="00532BC1" w:rsidRDefault="00532BC1" w:rsidP="00532BC1">
      <w:pPr>
        <w:widowControl w:val="0"/>
        <w:autoSpaceDE w:val="0"/>
        <w:autoSpaceDN w:val="0"/>
        <w:adjustRightInd w:val="0"/>
        <w:spacing w:before="200" w:after="120" w:line="240" w:lineRule="auto"/>
        <w:ind w:left="480" w:hanging="480"/>
        <w:rPr>
          <w:rFonts w:cs="Arial"/>
          <w:noProof/>
          <w:szCs w:val="24"/>
        </w:rPr>
      </w:pPr>
      <w:r w:rsidRPr="00532BC1">
        <w:rPr>
          <w:rFonts w:cs="Arial"/>
          <w:noProof/>
          <w:szCs w:val="24"/>
        </w:rPr>
        <w:t>Raps, D., Hossieny, N., Park, C.B., Altstädt, V., 2015. Past and present developments in polymer bead foams and bead foaming technology. Polymer (Guildf). 56, 5–19.</w:t>
      </w:r>
    </w:p>
    <w:p w14:paraId="1344CC56" w14:textId="77777777" w:rsidR="00532BC1" w:rsidRPr="00532BC1" w:rsidRDefault="00532BC1" w:rsidP="00532BC1">
      <w:pPr>
        <w:widowControl w:val="0"/>
        <w:autoSpaceDE w:val="0"/>
        <w:autoSpaceDN w:val="0"/>
        <w:adjustRightInd w:val="0"/>
        <w:spacing w:before="200" w:after="120" w:line="240" w:lineRule="auto"/>
        <w:ind w:left="480" w:hanging="480"/>
        <w:rPr>
          <w:rFonts w:cs="Arial"/>
          <w:noProof/>
        </w:rPr>
      </w:pPr>
      <w:r w:rsidRPr="00532BC1">
        <w:rPr>
          <w:rFonts w:cs="Arial"/>
          <w:noProof/>
          <w:szCs w:val="24"/>
        </w:rPr>
        <w:t>Trofa, M., Di Maio, E., Maffettone, P.L., 2019. Multi-graded foams upon time-dependent exposition to blowing agent. Chem. Eng. J. 362, 812–817.</w:t>
      </w:r>
    </w:p>
    <w:p w14:paraId="19C4FC68" w14:textId="0A6236D1" w:rsidR="004628D2" w:rsidRDefault="009A068A" w:rsidP="00A9385E">
      <w:pPr>
        <w:widowControl w:val="0"/>
        <w:autoSpaceDE w:val="0"/>
        <w:autoSpaceDN w:val="0"/>
        <w:adjustRightInd w:val="0"/>
        <w:spacing w:before="200" w:after="120" w:line="240" w:lineRule="auto"/>
      </w:pPr>
      <w:r>
        <w:fldChar w:fldCharType="end"/>
      </w:r>
    </w:p>
    <w:sectPr w:rsidR="004628D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17FB7" w14:textId="77777777" w:rsidR="00ED4F42" w:rsidRDefault="00ED4F42" w:rsidP="004F5E36">
      <w:r>
        <w:separator/>
      </w:r>
    </w:p>
  </w:endnote>
  <w:endnote w:type="continuationSeparator" w:id="0">
    <w:p w14:paraId="221F7549" w14:textId="77777777" w:rsidR="00ED4F42" w:rsidRDefault="00ED4F4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0CD92" w14:textId="77777777" w:rsidR="00ED4F42" w:rsidRDefault="00ED4F42" w:rsidP="004F5E36">
      <w:r>
        <w:separator/>
      </w:r>
    </w:p>
  </w:footnote>
  <w:footnote w:type="continuationSeparator" w:id="0">
    <w:p w14:paraId="057DAADA" w14:textId="77777777" w:rsidR="00ED4F42" w:rsidRDefault="00ED4F42"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830868901">
    <w:abstractNumId w:val="10"/>
  </w:num>
  <w:num w:numId="2" w16cid:durableId="24449345">
    <w:abstractNumId w:val="8"/>
  </w:num>
  <w:num w:numId="3" w16cid:durableId="1255096053">
    <w:abstractNumId w:val="3"/>
  </w:num>
  <w:num w:numId="4" w16cid:durableId="1767849204">
    <w:abstractNumId w:val="2"/>
  </w:num>
  <w:num w:numId="5" w16cid:durableId="1314876262">
    <w:abstractNumId w:val="1"/>
  </w:num>
  <w:num w:numId="6" w16cid:durableId="1707169811">
    <w:abstractNumId w:val="0"/>
  </w:num>
  <w:num w:numId="7" w16cid:durableId="524247460">
    <w:abstractNumId w:val="9"/>
  </w:num>
  <w:num w:numId="8" w16cid:durableId="492455766">
    <w:abstractNumId w:val="7"/>
  </w:num>
  <w:num w:numId="9" w16cid:durableId="2138595671">
    <w:abstractNumId w:val="6"/>
  </w:num>
  <w:num w:numId="10" w16cid:durableId="1989285026">
    <w:abstractNumId w:val="5"/>
  </w:num>
  <w:num w:numId="11" w16cid:durableId="2141343390">
    <w:abstractNumId w:val="4"/>
  </w:num>
  <w:num w:numId="12" w16cid:durableId="1953316125">
    <w:abstractNumId w:val="17"/>
  </w:num>
  <w:num w:numId="13" w16cid:durableId="820586563">
    <w:abstractNumId w:val="12"/>
  </w:num>
  <w:num w:numId="14" w16cid:durableId="2005820348">
    <w:abstractNumId w:val="18"/>
  </w:num>
  <w:num w:numId="15" w16cid:durableId="1757751870">
    <w:abstractNumId w:val="20"/>
  </w:num>
  <w:num w:numId="16" w16cid:durableId="1346207069">
    <w:abstractNumId w:val="19"/>
  </w:num>
  <w:num w:numId="17" w16cid:durableId="1521509514">
    <w:abstractNumId w:val="11"/>
  </w:num>
  <w:num w:numId="18" w16cid:durableId="261454010">
    <w:abstractNumId w:val="12"/>
    <w:lvlOverride w:ilvl="0">
      <w:startOverride w:val="1"/>
    </w:lvlOverride>
  </w:num>
  <w:num w:numId="19" w16cid:durableId="1527330669">
    <w:abstractNumId w:val="16"/>
  </w:num>
  <w:num w:numId="20" w16cid:durableId="1001930928">
    <w:abstractNumId w:val="15"/>
  </w:num>
  <w:num w:numId="21" w16cid:durableId="284432082">
    <w:abstractNumId w:val="14"/>
  </w:num>
  <w:num w:numId="22" w16cid:durableId="171796559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2D90"/>
    <w:rsid w:val="000052FB"/>
    <w:rsid w:val="000117CB"/>
    <w:rsid w:val="0001198B"/>
    <w:rsid w:val="00011EB3"/>
    <w:rsid w:val="00017C19"/>
    <w:rsid w:val="000231F9"/>
    <w:rsid w:val="0003148D"/>
    <w:rsid w:val="00031EEC"/>
    <w:rsid w:val="00051566"/>
    <w:rsid w:val="000562A9"/>
    <w:rsid w:val="00061031"/>
    <w:rsid w:val="00062A9A"/>
    <w:rsid w:val="00065058"/>
    <w:rsid w:val="00065560"/>
    <w:rsid w:val="00082F83"/>
    <w:rsid w:val="000846C2"/>
    <w:rsid w:val="00086C39"/>
    <w:rsid w:val="000A03B2"/>
    <w:rsid w:val="000D0268"/>
    <w:rsid w:val="000D13D5"/>
    <w:rsid w:val="000D34BE"/>
    <w:rsid w:val="000D64E6"/>
    <w:rsid w:val="000E102F"/>
    <w:rsid w:val="000E36F1"/>
    <w:rsid w:val="000E3A73"/>
    <w:rsid w:val="000E414A"/>
    <w:rsid w:val="000F093C"/>
    <w:rsid w:val="000F0BC3"/>
    <w:rsid w:val="000F787B"/>
    <w:rsid w:val="001129A4"/>
    <w:rsid w:val="0012091F"/>
    <w:rsid w:val="0012105A"/>
    <w:rsid w:val="00123ED8"/>
    <w:rsid w:val="00126BC2"/>
    <w:rsid w:val="001308B6"/>
    <w:rsid w:val="0013121F"/>
    <w:rsid w:val="00131568"/>
    <w:rsid w:val="00131FE6"/>
    <w:rsid w:val="0013263F"/>
    <w:rsid w:val="001326BA"/>
    <w:rsid w:val="001331DF"/>
    <w:rsid w:val="00134DE4"/>
    <w:rsid w:val="0014034D"/>
    <w:rsid w:val="00144D16"/>
    <w:rsid w:val="00150E59"/>
    <w:rsid w:val="00152868"/>
    <w:rsid w:val="00152DE3"/>
    <w:rsid w:val="00164CF9"/>
    <w:rsid w:val="001658BA"/>
    <w:rsid w:val="001667A6"/>
    <w:rsid w:val="00184AD6"/>
    <w:rsid w:val="00187586"/>
    <w:rsid w:val="001A3A90"/>
    <w:rsid w:val="001A4AF7"/>
    <w:rsid w:val="001A644D"/>
    <w:rsid w:val="001B0349"/>
    <w:rsid w:val="001B1E93"/>
    <w:rsid w:val="001B65C1"/>
    <w:rsid w:val="001C0543"/>
    <w:rsid w:val="001C51A3"/>
    <w:rsid w:val="001C684B"/>
    <w:rsid w:val="001D0CFB"/>
    <w:rsid w:val="001D21AF"/>
    <w:rsid w:val="001D30CD"/>
    <w:rsid w:val="001D53FC"/>
    <w:rsid w:val="001E74E3"/>
    <w:rsid w:val="001F1DDA"/>
    <w:rsid w:val="001F42A5"/>
    <w:rsid w:val="001F560F"/>
    <w:rsid w:val="001F7B9D"/>
    <w:rsid w:val="00201C93"/>
    <w:rsid w:val="00214BEA"/>
    <w:rsid w:val="002179A1"/>
    <w:rsid w:val="00217F4C"/>
    <w:rsid w:val="002224B4"/>
    <w:rsid w:val="00225E39"/>
    <w:rsid w:val="0024019E"/>
    <w:rsid w:val="002447EF"/>
    <w:rsid w:val="00251550"/>
    <w:rsid w:val="00252A54"/>
    <w:rsid w:val="00263B05"/>
    <w:rsid w:val="0027221A"/>
    <w:rsid w:val="00272EEC"/>
    <w:rsid w:val="00275B61"/>
    <w:rsid w:val="00280FAF"/>
    <w:rsid w:val="00282656"/>
    <w:rsid w:val="00296B83"/>
    <w:rsid w:val="002A5278"/>
    <w:rsid w:val="002A58E1"/>
    <w:rsid w:val="002A69E4"/>
    <w:rsid w:val="002B4015"/>
    <w:rsid w:val="002B78CE"/>
    <w:rsid w:val="002C2FB6"/>
    <w:rsid w:val="002C3430"/>
    <w:rsid w:val="002E5FA7"/>
    <w:rsid w:val="002F3309"/>
    <w:rsid w:val="003008CE"/>
    <w:rsid w:val="003009B7"/>
    <w:rsid w:val="00300E56"/>
    <w:rsid w:val="0030152C"/>
    <w:rsid w:val="0030469C"/>
    <w:rsid w:val="00321CA6"/>
    <w:rsid w:val="00323763"/>
    <w:rsid w:val="00323C5F"/>
    <w:rsid w:val="00334C09"/>
    <w:rsid w:val="00364966"/>
    <w:rsid w:val="00367A3D"/>
    <w:rsid w:val="003705A2"/>
    <w:rsid w:val="003723D4"/>
    <w:rsid w:val="00376CAF"/>
    <w:rsid w:val="00381905"/>
    <w:rsid w:val="00384CC8"/>
    <w:rsid w:val="003871FD"/>
    <w:rsid w:val="00392307"/>
    <w:rsid w:val="00395886"/>
    <w:rsid w:val="00395B37"/>
    <w:rsid w:val="003976E1"/>
    <w:rsid w:val="003A1E30"/>
    <w:rsid w:val="003A2206"/>
    <w:rsid w:val="003A2829"/>
    <w:rsid w:val="003A3665"/>
    <w:rsid w:val="003A415D"/>
    <w:rsid w:val="003A7D1C"/>
    <w:rsid w:val="003B0D4B"/>
    <w:rsid w:val="003B1251"/>
    <w:rsid w:val="003B304B"/>
    <w:rsid w:val="003B3146"/>
    <w:rsid w:val="003B469A"/>
    <w:rsid w:val="003F015E"/>
    <w:rsid w:val="003F74D9"/>
    <w:rsid w:val="00400414"/>
    <w:rsid w:val="00411CCF"/>
    <w:rsid w:val="0041446B"/>
    <w:rsid w:val="00420D4B"/>
    <w:rsid w:val="0043189E"/>
    <w:rsid w:val="0043541A"/>
    <w:rsid w:val="0044071E"/>
    <w:rsid w:val="0044329C"/>
    <w:rsid w:val="00453E24"/>
    <w:rsid w:val="00457456"/>
    <w:rsid w:val="004577FE"/>
    <w:rsid w:val="00457B9C"/>
    <w:rsid w:val="0046164A"/>
    <w:rsid w:val="004628D2"/>
    <w:rsid w:val="00462DCD"/>
    <w:rsid w:val="004648AD"/>
    <w:rsid w:val="004703A9"/>
    <w:rsid w:val="004760DE"/>
    <w:rsid w:val="004763D7"/>
    <w:rsid w:val="004A004E"/>
    <w:rsid w:val="004A24CF"/>
    <w:rsid w:val="004A25A5"/>
    <w:rsid w:val="004B48A5"/>
    <w:rsid w:val="004B57CC"/>
    <w:rsid w:val="004C3D1D"/>
    <w:rsid w:val="004C3D84"/>
    <w:rsid w:val="004C7913"/>
    <w:rsid w:val="004D69EC"/>
    <w:rsid w:val="004E4DD6"/>
    <w:rsid w:val="004F5E36"/>
    <w:rsid w:val="0050054B"/>
    <w:rsid w:val="00504A63"/>
    <w:rsid w:val="00507053"/>
    <w:rsid w:val="00507B47"/>
    <w:rsid w:val="00507BEF"/>
    <w:rsid w:val="00507CC9"/>
    <w:rsid w:val="005119A5"/>
    <w:rsid w:val="0051329C"/>
    <w:rsid w:val="005142A1"/>
    <w:rsid w:val="0051483C"/>
    <w:rsid w:val="00525C55"/>
    <w:rsid w:val="00527089"/>
    <w:rsid w:val="005278B7"/>
    <w:rsid w:val="00532016"/>
    <w:rsid w:val="00532BC1"/>
    <w:rsid w:val="005346C8"/>
    <w:rsid w:val="0054060D"/>
    <w:rsid w:val="00540BE6"/>
    <w:rsid w:val="005429D0"/>
    <w:rsid w:val="00543E7D"/>
    <w:rsid w:val="00547A68"/>
    <w:rsid w:val="005531C9"/>
    <w:rsid w:val="00560379"/>
    <w:rsid w:val="00570C43"/>
    <w:rsid w:val="00577248"/>
    <w:rsid w:val="005A03CA"/>
    <w:rsid w:val="005B2110"/>
    <w:rsid w:val="005B61E6"/>
    <w:rsid w:val="005C77E1"/>
    <w:rsid w:val="005D668A"/>
    <w:rsid w:val="005D6A2F"/>
    <w:rsid w:val="005E1A82"/>
    <w:rsid w:val="005E5842"/>
    <w:rsid w:val="005E794C"/>
    <w:rsid w:val="005F0A28"/>
    <w:rsid w:val="005F0E5E"/>
    <w:rsid w:val="00600535"/>
    <w:rsid w:val="00610CD6"/>
    <w:rsid w:val="00612920"/>
    <w:rsid w:val="00617722"/>
    <w:rsid w:val="00617B69"/>
    <w:rsid w:val="00620DEE"/>
    <w:rsid w:val="00621F92"/>
    <w:rsid w:val="0062280A"/>
    <w:rsid w:val="00625639"/>
    <w:rsid w:val="00625C2B"/>
    <w:rsid w:val="00631B33"/>
    <w:rsid w:val="0063440E"/>
    <w:rsid w:val="0064184D"/>
    <w:rsid w:val="00641C2C"/>
    <w:rsid w:val="006422CC"/>
    <w:rsid w:val="00642A4B"/>
    <w:rsid w:val="00653366"/>
    <w:rsid w:val="00660E3E"/>
    <w:rsid w:val="006611FA"/>
    <w:rsid w:val="006625EF"/>
    <w:rsid w:val="00662E74"/>
    <w:rsid w:val="0067466F"/>
    <w:rsid w:val="00674DF7"/>
    <w:rsid w:val="00680C23"/>
    <w:rsid w:val="00693766"/>
    <w:rsid w:val="00696EDD"/>
    <w:rsid w:val="006A3281"/>
    <w:rsid w:val="006A6603"/>
    <w:rsid w:val="006A7E32"/>
    <w:rsid w:val="006B4888"/>
    <w:rsid w:val="006C2E45"/>
    <w:rsid w:val="006C359C"/>
    <w:rsid w:val="006C5579"/>
    <w:rsid w:val="006D27FD"/>
    <w:rsid w:val="006D2AD6"/>
    <w:rsid w:val="006D6E8B"/>
    <w:rsid w:val="006D7B26"/>
    <w:rsid w:val="006E1868"/>
    <w:rsid w:val="006E1D7C"/>
    <w:rsid w:val="006E5566"/>
    <w:rsid w:val="006E5F42"/>
    <w:rsid w:val="006E6FB1"/>
    <w:rsid w:val="006E737D"/>
    <w:rsid w:val="006F2D25"/>
    <w:rsid w:val="00707ABB"/>
    <w:rsid w:val="00712889"/>
    <w:rsid w:val="00713973"/>
    <w:rsid w:val="00713E0E"/>
    <w:rsid w:val="00720A24"/>
    <w:rsid w:val="00720EBE"/>
    <w:rsid w:val="007260AD"/>
    <w:rsid w:val="007266F1"/>
    <w:rsid w:val="00732386"/>
    <w:rsid w:val="0073514D"/>
    <w:rsid w:val="007354F5"/>
    <w:rsid w:val="007447F3"/>
    <w:rsid w:val="00750EC7"/>
    <w:rsid w:val="0075499F"/>
    <w:rsid w:val="007661C8"/>
    <w:rsid w:val="007678D1"/>
    <w:rsid w:val="0077098D"/>
    <w:rsid w:val="007931FA"/>
    <w:rsid w:val="007A3F7B"/>
    <w:rsid w:val="007A4861"/>
    <w:rsid w:val="007A7BBA"/>
    <w:rsid w:val="007B0C50"/>
    <w:rsid w:val="007B48F9"/>
    <w:rsid w:val="007C0D94"/>
    <w:rsid w:val="007C1A43"/>
    <w:rsid w:val="007D0951"/>
    <w:rsid w:val="0080013E"/>
    <w:rsid w:val="00813288"/>
    <w:rsid w:val="008139B0"/>
    <w:rsid w:val="008168FC"/>
    <w:rsid w:val="008238A1"/>
    <w:rsid w:val="00830996"/>
    <w:rsid w:val="008345F1"/>
    <w:rsid w:val="00845BBA"/>
    <w:rsid w:val="00853AD0"/>
    <w:rsid w:val="008631AC"/>
    <w:rsid w:val="00865B07"/>
    <w:rsid w:val="008667EA"/>
    <w:rsid w:val="0087637F"/>
    <w:rsid w:val="0088128F"/>
    <w:rsid w:val="00887B47"/>
    <w:rsid w:val="00892AD5"/>
    <w:rsid w:val="008A1512"/>
    <w:rsid w:val="008C17E2"/>
    <w:rsid w:val="008D1085"/>
    <w:rsid w:val="008D32B9"/>
    <w:rsid w:val="008D433B"/>
    <w:rsid w:val="008D4A16"/>
    <w:rsid w:val="008E00F1"/>
    <w:rsid w:val="008E566E"/>
    <w:rsid w:val="0090161A"/>
    <w:rsid w:val="00901EB6"/>
    <w:rsid w:val="00904C62"/>
    <w:rsid w:val="00907AAA"/>
    <w:rsid w:val="00917928"/>
    <w:rsid w:val="00922BA8"/>
    <w:rsid w:val="00924DAC"/>
    <w:rsid w:val="00927058"/>
    <w:rsid w:val="009426B9"/>
    <w:rsid w:val="00942750"/>
    <w:rsid w:val="009450CE"/>
    <w:rsid w:val="009459BB"/>
    <w:rsid w:val="00947179"/>
    <w:rsid w:val="0094755F"/>
    <w:rsid w:val="0095038F"/>
    <w:rsid w:val="0095164B"/>
    <w:rsid w:val="00954090"/>
    <w:rsid w:val="009573E7"/>
    <w:rsid w:val="00963E05"/>
    <w:rsid w:val="00964A45"/>
    <w:rsid w:val="00967843"/>
    <w:rsid w:val="00967D54"/>
    <w:rsid w:val="00971028"/>
    <w:rsid w:val="00993B84"/>
    <w:rsid w:val="00996483"/>
    <w:rsid w:val="00996F5A"/>
    <w:rsid w:val="009A068A"/>
    <w:rsid w:val="009A0B4A"/>
    <w:rsid w:val="009B041A"/>
    <w:rsid w:val="009B3D8D"/>
    <w:rsid w:val="009B6BF2"/>
    <w:rsid w:val="009C37C3"/>
    <w:rsid w:val="009C7C86"/>
    <w:rsid w:val="009D2FF7"/>
    <w:rsid w:val="009E2587"/>
    <w:rsid w:val="009E287D"/>
    <w:rsid w:val="009E7884"/>
    <w:rsid w:val="009E788A"/>
    <w:rsid w:val="009F0E08"/>
    <w:rsid w:val="009F1339"/>
    <w:rsid w:val="009F6C06"/>
    <w:rsid w:val="00A0004B"/>
    <w:rsid w:val="00A06F31"/>
    <w:rsid w:val="00A11352"/>
    <w:rsid w:val="00A1763D"/>
    <w:rsid w:val="00A17CEC"/>
    <w:rsid w:val="00A20FC8"/>
    <w:rsid w:val="00A27EF0"/>
    <w:rsid w:val="00A42361"/>
    <w:rsid w:val="00A50B20"/>
    <w:rsid w:val="00A51390"/>
    <w:rsid w:val="00A60D13"/>
    <w:rsid w:val="00A67E2F"/>
    <w:rsid w:val="00A71406"/>
    <w:rsid w:val="00A7223D"/>
    <w:rsid w:val="00A72745"/>
    <w:rsid w:val="00A76EFC"/>
    <w:rsid w:val="00A77240"/>
    <w:rsid w:val="00A87D50"/>
    <w:rsid w:val="00A91010"/>
    <w:rsid w:val="00A9385E"/>
    <w:rsid w:val="00A97F29"/>
    <w:rsid w:val="00AA702E"/>
    <w:rsid w:val="00AA7D26"/>
    <w:rsid w:val="00AB0964"/>
    <w:rsid w:val="00AB5011"/>
    <w:rsid w:val="00AC7368"/>
    <w:rsid w:val="00AD16B9"/>
    <w:rsid w:val="00AE377D"/>
    <w:rsid w:val="00AE752A"/>
    <w:rsid w:val="00AF0EBA"/>
    <w:rsid w:val="00AF13FD"/>
    <w:rsid w:val="00B02C8A"/>
    <w:rsid w:val="00B17FBD"/>
    <w:rsid w:val="00B2572A"/>
    <w:rsid w:val="00B315A6"/>
    <w:rsid w:val="00B31813"/>
    <w:rsid w:val="00B33365"/>
    <w:rsid w:val="00B37B15"/>
    <w:rsid w:val="00B37B4E"/>
    <w:rsid w:val="00B40D7A"/>
    <w:rsid w:val="00B5324D"/>
    <w:rsid w:val="00B561E0"/>
    <w:rsid w:val="00B57B36"/>
    <w:rsid w:val="00B57E6F"/>
    <w:rsid w:val="00B66F51"/>
    <w:rsid w:val="00B71655"/>
    <w:rsid w:val="00B72BFB"/>
    <w:rsid w:val="00B85507"/>
    <w:rsid w:val="00B8686D"/>
    <w:rsid w:val="00B87735"/>
    <w:rsid w:val="00B93F69"/>
    <w:rsid w:val="00B95107"/>
    <w:rsid w:val="00BA3A6B"/>
    <w:rsid w:val="00BB1DDC"/>
    <w:rsid w:val="00BC30C9"/>
    <w:rsid w:val="00BC5799"/>
    <w:rsid w:val="00BC788A"/>
    <w:rsid w:val="00BD077D"/>
    <w:rsid w:val="00BE3E58"/>
    <w:rsid w:val="00BE477B"/>
    <w:rsid w:val="00C01616"/>
    <w:rsid w:val="00C0162B"/>
    <w:rsid w:val="00C068ED"/>
    <w:rsid w:val="00C11A59"/>
    <w:rsid w:val="00C22E0C"/>
    <w:rsid w:val="00C345B1"/>
    <w:rsid w:val="00C40142"/>
    <w:rsid w:val="00C41088"/>
    <w:rsid w:val="00C42B73"/>
    <w:rsid w:val="00C50F3A"/>
    <w:rsid w:val="00C52C3C"/>
    <w:rsid w:val="00C57182"/>
    <w:rsid w:val="00C57863"/>
    <w:rsid w:val="00C640AF"/>
    <w:rsid w:val="00C655FD"/>
    <w:rsid w:val="00C67AC1"/>
    <w:rsid w:val="00C70704"/>
    <w:rsid w:val="00C75407"/>
    <w:rsid w:val="00C86276"/>
    <w:rsid w:val="00C870A8"/>
    <w:rsid w:val="00C94434"/>
    <w:rsid w:val="00CA0D75"/>
    <w:rsid w:val="00CA1C95"/>
    <w:rsid w:val="00CA5A9C"/>
    <w:rsid w:val="00CB0322"/>
    <w:rsid w:val="00CB2034"/>
    <w:rsid w:val="00CB5538"/>
    <w:rsid w:val="00CC4868"/>
    <w:rsid w:val="00CC4C20"/>
    <w:rsid w:val="00CD3517"/>
    <w:rsid w:val="00CD5FE2"/>
    <w:rsid w:val="00CE7C68"/>
    <w:rsid w:val="00D02B4C"/>
    <w:rsid w:val="00D040C4"/>
    <w:rsid w:val="00D07CA7"/>
    <w:rsid w:val="00D20AD1"/>
    <w:rsid w:val="00D262F1"/>
    <w:rsid w:val="00D3060B"/>
    <w:rsid w:val="00D34D90"/>
    <w:rsid w:val="00D46B7E"/>
    <w:rsid w:val="00D46D3D"/>
    <w:rsid w:val="00D57C84"/>
    <w:rsid w:val="00D6057D"/>
    <w:rsid w:val="00D71640"/>
    <w:rsid w:val="00D836C5"/>
    <w:rsid w:val="00D84576"/>
    <w:rsid w:val="00D852D2"/>
    <w:rsid w:val="00D963E5"/>
    <w:rsid w:val="00DA1399"/>
    <w:rsid w:val="00DA24C6"/>
    <w:rsid w:val="00DA4D7B"/>
    <w:rsid w:val="00DA65C2"/>
    <w:rsid w:val="00DA697C"/>
    <w:rsid w:val="00DD271C"/>
    <w:rsid w:val="00DD37C8"/>
    <w:rsid w:val="00DE264A"/>
    <w:rsid w:val="00DE295B"/>
    <w:rsid w:val="00DF5072"/>
    <w:rsid w:val="00E02D18"/>
    <w:rsid w:val="00E041E7"/>
    <w:rsid w:val="00E12C12"/>
    <w:rsid w:val="00E139B7"/>
    <w:rsid w:val="00E23CA1"/>
    <w:rsid w:val="00E409A8"/>
    <w:rsid w:val="00E45F6C"/>
    <w:rsid w:val="00E50C12"/>
    <w:rsid w:val="00E5155F"/>
    <w:rsid w:val="00E601A2"/>
    <w:rsid w:val="00E610F1"/>
    <w:rsid w:val="00E61191"/>
    <w:rsid w:val="00E65B91"/>
    <w:rsid w:val="00E715AC"/>
    <w:rsid w:val="00E7209D"/>
    <w:rsid w:val="00E72EAD"/>
    <w:rsid w:val="00E77223"/>
    <w:rsid w:val="00E806EA"/>
    <w:rsid w:val="00E8528B"/>
    <w:rsid w:val="00E85B94"/>
    <w:rsid w:val="00E9105D"/>
    <w:rsid w:val="00E978D0"/>
    <w:rsid w:val="00EA4613"/>
    <w:rsid w:val="00EA7F91"/>
    <w:rsid w:val="00EB1523"/>
    <w:rsid w:val="00EC0E49"/>
    <w:rsid w:val="00EC101F"/>
    <w:rsid w:val="00EC1D9F"/>
    <w:rsid w:val="00ED2A57"/>
    <w:rsid w:val="00ED4F42"/>
    <w:rsid w:val="00EE0131"/>
    <w:rsid w:val="00EE17B0"/>
    <w:rsid w:val="00EE75EF"/>
    <w:rsid w:val="00EF06D9"/>
    <w:rsid w:val="00F06DFB"/>
    <w:rsid w:val="00F2717E"/>
    <w:rsid w:val="00F3049E"/>
    <w:rsid w:val="00F30C64"/>
    <w:rsid w:val="00F32BA2"/>
    <w:rsid w:val="00F32CDB"/>
    <w:rsid w:val="00F565FE"/>
    <w:rsid w:val="00F63A70"/>
    <w:rsid w:val="00F63D8C"/>
    <w:rsid w:val="00F66022"/>
    <w:rsid w:val="00F66E99"/>
    <w:rsid w:val="00F743A7"/>
    <w:rsid w:val="00F7534E"/>
    <w:rsid w:val="00F926CD"/>
    <w:rsid w:val="00F93EDF"/>
    <w:rsid w:val="00FA1802"/>
    <w:rsid w:val="00FA21D0"/>
    <w:rsid w:val="00FA5D41"/>
    <w:rsid w:val="00FA5F5F"/>
    <w:rsid w:val="00FB730C"/>
    <w:rsid w:val="00FC2695"/>
    <w:rsid w:val="00FC3E03"/>
    <w:rsid w:val="00FC3FC1"/>
    <w:rsid w:val="00FC79B1"/>
    <w:rsid w:val="00FF4762"/>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styleId="Rimandonotaapidipagina">
    <w:name w:val="footnote reference"/>
    <w:basedOn w:val="Carpredefinitoparagrafo"/>
    <w:uiPriority w:val="99"/>
    <w:semiHidden/>
    <w:unhideWhenUsed/>
    <w:rsid w:val="00887B4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324E126-DBE5-4C2C-9965-91A999EA8F7C}">
  <we:reference id="wa104382081" version="1.21.0.0" store="en-001" storeType="OMEX"/>
  <we:alternateReferences>
    <we:reference id="WA104382081" version="1.2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ADF8C-D810-4438-A9D5-60D829257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8272</Words>
  <Characters>47152</Characters>
  <Application>Microsoft Office Word</Application>
  <DocSecurity>0</DocSecurity>
  <Lines>392</Lines>
  <Paragraphs>110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55314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FABRIZIO ERRICHIELLO</cp:lastModifiedBy>
  <cp:revision>4</cp:revision>
  <cp:lastPrinted>2015-05-12T18:31:00Z</cp:lastPrinted>
  <dcterms:created xsi:type="dcterms:W3CDTF">2023-04-11T10:40:00Z</dcterms:created>
  <dcterms:modified xsi:type="dcterms:W3CDTF">2023-04-11T10:44:00Z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411dae05d8114770aa122b8fbd4017aaea6873e3205ebb7bcbc16d11d025c717</vt:lpwstr>
  </property>
  <property fmtid="{D5CDD505-2E9C-101B-9397-08002B2CF9AE}" pid="5" name="Mendeley Document_1">
    <vt:lpwstr>True</vt:lpwstr>
  </property>
  <property fmtid="{D5CDD505-2E9C-101B-9397-08002B2CF9AE}" pid="6" name="Mendeley Citation Style_1">
    <vt:lpwstr>http://www.zotero.org/styles/elsevier-harvard2</vt:lpwstr>
  </property>
  <property fmtid="{D5CDD505-2E9C-101B-9397-08002B2CF9AE}" pid="7" name="Mendeley Unique User Id_1">
    <vt:lpwstr>bb825d10-8066-3949-8103-ad4a6a7a8949</vt:lpwstr>
  </property>
  <property fmtid="{D5CDD505-2E9C-101B-9397-08002B2CF9AE}" pid="8" name="Mendeley Recent Style Id 0_1">
    <vt:lpwstr>http://www.zotero.org/styles/apa</vt:lpwstr>
  </property>
  <property fmtid="{D5CDD505-2E9C-101B-9397-08002B2CF9AE}" pid="9" name="Mendeley Recent Style Name 0_1">
    <vt:lpwstr>American Psychological Association 7th edition</vt:lpwstr>
  </property>
  <property fmtid="{D5CDD505-2E9C-101B-9397-08002B2CF9AE}" pid="10" name="Mendeley Recent Style Id 1_1">
    <vt:lpwstr>http://www.zotero.org/styles/american-sociological-association</vt:lpwstr>
  </property>
  <property fmtid="{D5CDD505-2E9C-101B-9397-08002B2CF9AE}" pid="11" name="Mendeley Recent Style Name 1_1">
    <vt:lpwstr>American Sociological Association 6th edition</vt:lpwstr>
  </property>
  <property fmtid="{D5CDD505-2E9C-101B-9397-08002B2CF9AE}" pid="12" name="Mendeley Recent Style Id 2_1">
    <vt:lpwstr>http://www.zotero.org/styles/chicago-author-date</vt:lpwstr>
  </property>
  <property fmtid="{D5CDD505-2E9C-101B-9397-08002B2CF9AE}" pid="13" name="Mendeley Recent Style Name 2_1">
    <vt:lpwstr>Chicago Manual of Style 17th edition (author-date)</vt:lpwstr>
  </property>
  <property fmtid="{D5CDD505-2E9C-101B-9397-08002B2CF9AE}" pid="14" name="Mendeley Recent Style Id 3_1">
    <vt:lpwstr>http://www.zotero.org/styles/harvard-cite-them-right</vt:lpwstr>
  </property>
  <property fmtid="{D5CDD505-2E9C-101B-9397-08002B2CF9AE}" pid="15" name="Mendeley Recent Style Name 3_1">
    <vt:lpwstr>Cite Them Right 10th edition - Harvard</vt:lpwstr>
  </property>
  <property fmtid="{D5CDD505-2E9C-101B-9397-08002B2CF9AE}" pid="16" name="Mendeley Recent Style Id 4_1">
    <vt:lpwstr>http://www.zotero.org/styles/elsevier-with-titles</vt:lpwstr>
  </property>
  <property fmtid="{D5CDD505-2E9C-101B-9397-08002B2CF9AE}" pid="17" name="Mendeley Recent Style Name 4_1">
    <vt:lpwstr>Elsevier (numeric, with titles)</vt:lpwstr>
  </property>
  <property fmtid="{D5CDD505-2E9C-101B-9397-08002B2CF9AE}" pid="18" name="Mendeley Recent Style Id 5_1">
    <vt:lpwstr>http://www.zotero.org/styles/elsevier-harvard2</vt:lpwstr>
  </property>
  <property fmtid="{D5CDD505-2E9C-101B-9397-08002B2CF9AE}" pid="19" name="Mendeley Recent Style Name 5_1">
    <vt:lpwstr>Elsevier - Harvard 2</vt:lpwstr>
  </property>
  <property fmtid="{D5CDD505-2E9C-101B-9397-08002B2CF9AE}" pid="20" name="Mendeley Recent Style Id 6_1">
    <vt:lpwstr>http://www.zotero.org/styles/harvard1</vt:lpwstr>
  </property>
  <property fmtid="{D5CDD505-2E9C-101B-9397-08002B2CF9AE}" pid="21" name="Mendeley Recent Style Name 6_1">
    <vt:lpwstr>Harvard reference format 1 (deprecated)</vt:lpwstr>
  </property>
  <property fmtid="{D5CDD505-2E9C-101B-9397-08002B2CF9AE}" pid="22" name="Mendeley Recent Style Id 7_1">
    <vt:lpwstr>http://www.zotero.org/styles/journal-of-animal-physiology-and-animal-nutrition</vt:lpwstr>
  </property>
  <property fmtid="{D5CDD505-2E9C-101B-9397-08002B2CF9AE}" pid="23" name="Mendeley Recent Style Name 7_1">
    <vt:lpwstr>Journal of Animal Physiology and Animal Nutrition</vt:lpwstr>
  </property>
  <property fmtid="{D5CDD505-2E9C-101B-9397-08002B2CF9AE}" pid="24" name="Mendeley Recent Style Id 8_1">
    <vt:lpwstr>http://www.zotero.org/styles/modern-humanities-research-association</vt:lpwstr>
  </property>
  <property fmtid="{D5CDD505-2E9C-101B-9397-08002B2CF9AE}" pid="25" name="Mendeley Recent Style Name 8_1">
    <vt:lpwstr>Modern Humanities Research Association 3rd edition (note with bibliography)</vt:lpwstr>
  </property>
  <property fmtid="{D5CDD505-2E9C-101B-9397-08002B2CF9AE}" pid="26" name="Mendeley Recent Style Id 9_1">
    <vt:lpwstr>http://www.zotero.org/styles/nature</vt:lpwstr>
  </property>
  <property fmtid="{D5CDD505-2E9C-101B-9397-08002B2CF9AE}" pid="27" name="Mendeley Recent Style Name 9_1">
    <vt:lpwstr>Nature</vt:lpwstr>
  </property>
  <property fmtid="{D5CDD505-2E9C-101B-9397-08002B2CF9AE}" pid="28" name="MSIP_Label_2ad0b24d-6422-44b0-b3de-abb3a9e8c81a_Enabled">
    <vt:lpwstr>true</vt:lpwstr>
  </property>
  <property fmtid="{D5CDD505-2E9C-101B-9397-08002B2CF9AE}" pid="29" name="MSIP_Label_2ad0b24d-6422-44b0-b3de-abb3a9e8c81a_SetDate">
    <vt:lpwstr>2023-04-11T10:07:54Z</vt:lpwstr>
  </property>
  <property fmtid="{D5CDD505-2E9C-101B-9397-08002B2CF9AE}" pid="30" name="MSIP_Label_2ad0b24d-6422-44b0-b3de-abb3a9e8c81a_Method">
    <vt:lpwstr>Standard</vt:lpwstr>
  </property>
  <property fmtid="{D5CDD505-2E9C-101B-9397-08002B2CF9AE}" pid="31" name="MSIP_Label_2ad0b24d-6422-44b0-b3de-abb3a9e8c81a_Name">
    <vt:lpwstr>defa4170-0d19-0005-0004-bc88714345d2</vt:lpwstr>
  </property>
  <property fmtid="{D5CDD505-2E9C-101B-9397-08002B2CF9AE}" pid="32" name="MSIP_Label_2ad0b24d-6422-44b0-b3de-abb3a9e8c81a_SiteId">
    <vt:lpwstr>2fcfe26a-bb62-46b0-b1e3-28f9da0c45fd</vt:lpwstr>
  </property>
  <property fmtid="{D5CDD505-2E9C-101B-9397-08002B2CF9AE}" pid="33" name="MSIP_Label_2ad0b24d-6422-44b0-b3de-abb3a9e8c81a_ActionId">
    <vt:lpwstr>ca504e67-25f8-4ab2-902c-1d59bf0e41e6</vt:lpwstr>
  </property>
  <property fmtid="{D5CDD505-2E9C-101B-9397-08002B2CF9AE}" pid="34" name="MSIP_Label_2ad0b24d-6422-44b0-b3de-abb3a9e8c81a_ContentBits">
    <vt:lpwstr>0</vt:lpwstr>
  </property>
</Properties>
</file>