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 xml:space="preserve">Sauro Pierucci, </w:t>
            </w:r>
            <w:r w:rsidRPr="00293D18">
              <w:rPr>
                <w:rFonts w:ascii="Tahoma" w:hAnsi="Tahoma" w:cs="Tahoma"/>
                <w:sz w:val="14"/>
                <w:szCs w:val="14"/>
                <w:shd w:val="clear" w:color="auto" w:fill="FFFFFF"/>
              </w:rPr>
              <w:t>Jiří Jaromír Klemeš</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02296B4F" w:rsidR="00E978D0" w:rsidRPr="00B57B36" w:rsidRDefault="002858FB" w:rsidP="00E978D0">
      <w:pPr>
        <w:pStyle w:val="CETTitle"/>
      </w:pPr>
      <w:r>
        <w:t xml:space="preserve">Model Predictive Control with safety constraint embedded in Hazard and Operability </w:t>
      </w:r>
      <w:r w:rsidR="00F41DF7">
        <w:t>S</w:t>
      </w:r>
      <w:r>
        <w:t>tudy</w:t>
      </w:r>
    </w:p>
    <w:p w14:paraId="0488FED2" w14:textId="7AFF61E6" w:rsidR="00B57E6F" w:rsidRPr="0010376A" w:rsidRDefault="002858FB" w:rsidP="00B57E6F">
      <w:pPr>
        <w:pStyle w:val="CETAuthors"/>
        <w:rPr>
          <w:lang w:val="pt-BR"/>
        </w:rPr>
      </w:pPr>
      <w:r w:rsidRPr="0010376A">
        <w:rPr>
          <w:lang w:val="pt-BR"/>
        </w:rPr>
        <w:t>Fernando H. Marques</w:t>
      </w:r>
      <w:r w:rsidR="00B57E6F" w:rsidRPr="0010376A">
        <w:rPr>
          <w:lang w:val="pt-BR"/>
        </w:rPr>
        <w:t xml:space="preserve">, </w:t>
      </w:r>
      <w:r w:rsidRPr="0010376A">
        <w:rPr>
          <w:lang w:val="pt-BR"/>
        </w:rPr>
        <w:t>Luz A. Alvarez</w:t>
      </w:r>
      <w:r w:rsidR="0010376A" w:rsidRPr="0010376A">
        <w:rPr>
          <w:lang w:val="pt-BR"/>
        </w:rPr>
        <w:t>*</w:t>
      </w:r>
    </w:p>
    <w:p w14:paraId="6B2D21B3" w14:textId="325B9EBB" w:rsidR="00B57E6F" w:rsidRPr="00B57B36" w:rsidRDefault="002858FB" w:rsidP="00B57E6F">
      <w:pPr>
        <w:pStyle w:val="CETAddress"/>
      </w:pPr>
      <w:r>
        <w:t>School of Chemical Engineer</w:t>
      </w:r>
      <w:r w:rsidR="000358F3">
        <w:t xml:space="preserve">ing, </w:t>
      </w:r>
      <w:r w:rsidR="000358F3" w:rsidRPr="000358F3">
        <w:t>University of Campinas, Av. Albert Einstein 500, 13083-852, Campinas-SP, Brazil</w:t>
      </w:r>
    </w:p>
    <w:p w14:paraId="73F1267A" w14:textId="75CFDCB0" w:rsidR="00B57E6F" w:rsidRPr="00B57B36" w:rsidRDefault="000358F3" w:rsidP="00B57E6F">
      <w:pPr>
        <w:pStyle w:val="CETemail"/>
      </w:pPr>
      <w:r w:rsidRPr="000358F3">
        <w:t>luzadri@unicamp.br</w:t>
      </w:r>
    </w:p>
    <w:p w14:paraId="025FB5C1" w14:textId="54794505" w:rsidR="0010376A" w:rsidRDefault="0010376A" w:rsidP="00600535">
      <w:pPr>
        <w:pStyle w:val="CETBodytext"/>
        <w:rPr>
          <w:lang w:val="en-GB"/>
        </w:rPr>
      </w:pPr>
      <w:r w:rsidRPr="0010376A">
        <w:rPr>
          <w:lang w:val="en-GB"/>
        </w:rPr>
        <w:t xml:space="preserve">Industrial accidents represent a critical issue in the chemical processes, which </w:t>
      </w:r>
      <w:r w:rsidR="0094435B">
        <w:rPr>
          <w:lang w:val="en-GB"/>
        </w:rPr>
        <w:t>keep</w:t>
      </w:r>
      <w:r w:rsidRPr="0010376A">
        <w:rPr>
          <w:lang w:val="en-GB"/>
        </w:rPr>
        <w:t xml:space="preserve"> happening although all efforts to avoid them. There are many tools and methodologies employed in the industry to improve the safety of a chemical system, but they might sti</w:t>
      </w:r>
      <w:r w:rsidR="0094435B">
        <w:rPr>
          <w:lang w:val="en-GB"/>
        </w:rPr>
        <w:t>ll fail</w:t>
      </w:r>
      <w:r w:rsidRPr="0010376A">
        <w:rPr>
          <w:lang w:val="en-GB"/>
        </w:rPr>
        <w:t xml:space="preserve"> because accidents do not have a single or linear cause. Recently a new approach to process safety, based on a control-inspired view has gained attention, such as embedding model predictive control (MPC) with safety constraint</w:t>
      </w:r>
      <w:r w:rsidR="0094435B">
        <w:rPr>
          <w:lang w:val="en-GB"/>
        </w:rPr>
        <w:t>s</w:t>
      </w:r>
      <w:r w:rsidRPr="0010376A">
        <w:rPr>
          <w:lang w:val="en-GB"/>
        </w:rPr>
        <w:t xml:space="preserve"> developed from qualitative safety principles, for instance, HAZOP (Hazard and Operability study). MPC is a control technique formulated as an optimization problem, and consequently, </w:t>
      </w:r>
      <w:r w:rsidRPr="00C331BB">
        <w:rPr>
          <w:lang w:val="en-GB"/>
        </w:rPr>
        <w:t xml:space="preserve">it </w:t>
      </w:r>
      <w:r w:rsidR="00986FD7" w:rsidRPr="00C331BB">
        <w:rPr>
          <w:lang w:val="en-GB"/>
        </w:rPr>
        <w:t>is possible</w:t>
      </w:r>
      <w:r w:rsidRPr="00C331BB">
        <w:rPr>
          <w:lang w:val="en-GB"/>
        </w:rPr>
        <w:t xml:space="preserve"> </w:t>
      </w:r>
      <w:r w:rsidR="00986FD7" w:rsidRPr="00C331BB">
        <w:rPr>
          <w:lang w:val="en-GB"/>
        </w:rPr>
        <w:t>to include</w:t>
      </w:r>
      <w:r w:rsidRPr="00C331BB">
        <w:rPr>
          <w:lang w:val="en-GB"/>
        </w:rPr>
        <w:t xml:space="preserve"> </w:t>
      </w:r>
      <w:r w:rsidRPr="0010376A">
        <w:rPr>
          <w:lang w:val="en-GB"/>
        </w:rPr>
        <w:t>mathematical constraints. In this context, this work proposes to investigate the use of a</w:t>
      </w:r>
      <w:r w:rsidR="00F41DF7">
        <w:rPr>
          <w:lang w:val="en-GB"/>
        </w:rPr>
        <w:t>n</w:t>
      </w:r>
      <w:r w:rsidRPr="0010376A">
        <w:rPr>
          <w:lang w:val="en-GB"/>
        </w:rPr>
        <w:t xml:space="preserve"> MPC with safety constraint</w:t>
      </w:r>
      <w:r w:rsidR="00F41DF7">
        <w:rPr>
          <w:lang w:val="en-GB"/>
        </w:rPr>
        <w:t>s</w:t>
      </w:r>
      <w:r w:rsidRPr="0010376A">
        <w:rPr>
          <w:lang w:val="en-GB"/>
        </w:rPr>
        <w:t xml:space="preserve"> for potential hazards, integrated with a dynamic simulation-based HAZOP methodology. We evaluated the effect of safety constraint</w:t>
      </w:r>
      <w:r w:rsidR="00F41DF7">
        <w:rPr>
          <w:lang w:val="en-GB"/>
        </w:rPr>
        <w:t>s</w:t>
      </w:r>
      <w:r w:rsidRPr="0010376A">
        <w:rPr>
          <w:lang w:val="en-GB"/>
        </w:rPr>
        <w:t xml:space="preserve"> as a recommendation to increase the safeguard of a styrene polymerization reactor, as a case study. To simulate potential hazards from a chemical process failure we used HAZOP deviations, and then evaluated the same disturbance to a</w:t>
      </w:r>
      <w:r w:rsidR="00F41DF7">
        <w:rPr>
          <w:lang w:val="en-GB"/>
        </w:rPr>
        <w:t>n</w:t>
      </w:r>
      <w:r w:rsidRPr="0010376A">
        <w:rPr>
          <w:lang w:val="en-GB"/>
        </w:rPr>
        <w:t xml:space="preserve"> MPC with a safety constraint, as a consequence of the HAZOP recommendation to avoid an accident. The simulation results present the effect of the safety constraint in the MPC as a recommendation to safeguard and the importance of the safety approach based on</w:t>
      </w:r>
      <w:r w:rsidR="00F41DF7">
        <w:rPr>
          <w:lang w:val="en-GB"/>
        </w:rPr>
        <w:t xml:space="preserve"> the</w:t>
      </w:r>
      <w:r w:rsidRPr="0010376A">
        <w:rPr>
          <w:lang w:val="en-GB"/>
        </w:rPr>
        <w:t xml:space="preserve"> control-inspired view, enhancing a safety system in a chemical process.</w:t>
      </w:r>
    </w:p>
    <w:p w14:paraId="476B2F2E" w14:textId="77777777" w:rsidR="00600535" w:rsidRPr="00B57B36" w:rsidRDefault="00600535" w:rsidP="00600535">
      <w:pPr>
        <w:pStyle w:val="CETHeading1"/>
        <w:rPr>
          <w:lang w:val="en-GB"/>
        </w:rPr>
      </w:pPr>
      <w:r w:rsidRPr="00B57B36">
        <w:rPr>
          <w:lang w:val="en-GB"/>
        </w:rPr>
        <w:t>Introduction</w:t>
      </w:r>
    </w:p>
    <w:p w14:paraId="43185AFF" w14:textId="2F61F78D" w:rsidR="00AC2399" w:rsidRDefault="0AD21700" w:rsidP="00600535">
      <w:pPr>
        <w:pStyle w:val="CETBodytext"/>
        <w:rPr>
          <w:lang w:val="en-GB"/>
        </w:rPr>
      </w:pPr>
      <w:r w:rsidRPr="3D09E91C">
        <w:rPr>
          <w:lang w:val="en-GB"/>
        </w:rPr>
        <w:t>Accidents occur due to a succession of neglected events, and o</w:t>
      </w:r>
      <w:r w:rsidR="4D8CACC2" w:rsidRPr="3D09E91C">
        <w:rPr>
          <w:lang w:val="en-GB"/>
        </w:rPr>
        <w:t xml:space="preserve">ne of the most difficult tasks of safety engineering in the industry is to </w:t>
      </w:r>
      <w:r w:rsidR="7C820D02" w:rsidRPr="3D09E91C">
        <w:rPr>
          <w:lang w:val="en-GB"/>
        </w:rPr>
        <w:t>detect</w:t>
      </w:r>
      <w:r w:rsidR="4D8CACC2" w:rsidRPr="3D09E91C">
        <w:rPr>
          <w:lang w:val="en-GB"/>
        </w:rPr>
        <w:t xml:space="preserve"> </w:t>
      </w:r>
      <w:r w:rsidR="5AB4F819" w:rsidRPr="3D09E91C">
        <w:rPr>
          <w:lang w:val="en-GB"/>
        </w:rPr>
        <w:t>hazardous</w:t>
      </w:r>
      <w:r w:rsidR="7C820D02" w:rsidRPr="3D09E91C">
        <w:rPr>
          <w:lang w:val="en-GB"/>
        </w:rPr>
        <w:t xml:space="preserve"> situations that could cause an accident</w:t>
      </w:r>
      <w:r w:rsidR="49C608A0" w:rsidRPr="3D09E91C">
        <w:rPr>
          <w:lang w:val="en-GB"/>
        </w:rPr>
        <w:t xml:space="preserve">. </w:t>
      </w:r>
      <w:r w:rsidR="70E4AA68" w:rsidRPr="3D09E91C">
        <w:rPr>
          <w:lang w:val="en-GB"/>
        </w:rPr>
        <w:t>There are many techniques for</w:t>
      </w:r>
      <w:r w:rsidR="71123188" w:rsidRPr="3D09E91C">
        <w:rPr>
          <w:lang w:val="en-GB"/>
        </w:rPr>
        <w:t xml:space="preserve"> hazard</w:t>
      </w:r>
      <w:r w:rsidR="70E4AA68" w:rsidRPr="3D09E91C">
        <w:rPr>
          <w:lang w:val="en-GB"/>
        </w:rPr>
        <w:t xml:space="preserve"> identification</w:t>
      </w:r>
      <w:r w:rsidR="71123188" w:rsidRPr="3D09E91C">
        <w:rPr>
          <w:lang w:val="en-GB"/>
        </w:rPr>
        <w:t xml:space="preserve"> in industrial processes, e.g., fault-trees, event-trees, and Hazard and </w:t>
      </w:r>
      <w:r w:rsidR="36DAD4DC" w:rsidRPr="3D09E91C">
        <w:rPr>
          <w:lang w:val="en-GB"/>
        </w:rPr>
        <w:t xml:space="preserve"> </w:t>
      </w:r>
      <w:r w:rsidR="71123188" w:rsidRPr="3D09E91C">
        <w:rPr>
          <w:lang w:val="en-GB"/>
        </w:rPr>
        <w:t>Operability study (HAZOP)</w:t>
      </w:r>
      <w:r w:rsidR="4FC8DCBE" w:rsidRPr="3D09E91C">
        <w:rPr>
          <w:lang w:val="en-GB"/>
        </w:rPr>
        <w:t>, the latter being the most widely used</w:t>
      </w:r>
      <w:r w:rsidR="07BF9C4F" w:rsidRPr="3D09E91C">
        <w:rPr>
          <w:lang w:val="en-GB"/>
        </w:rPr>
        <w:t xml:space="preserve"> </w:t>
      </w:r>
      <w:sdt>
        <w:sdtPr>
          <w:tag w:val="MENDELEY_CITATION_v3_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"/>
          <w:id w:val="1443215713"/>
        </w:sdtPr>
        <w:sdtEndPr/>
        <w:sdtContent>
          <w:r w:rsidR="3D09E91C" w:rsidRPr="3D09E91C">
            <w:rPr>
              <w:color w:val="000000" w:themeColor="text1"/>
              <w:lang w:val="en-GB"/>
            </w:rPr>
            <w:t>(Janošovský et al., 2016)</w:t>
          </w:r>
        </w:sdtContent>
      </w:sdt>
      <w:r w:rsidR="4FC8DCBE">
        <w:t xml:space="preserve">. </w:t>
      </w:r>
      <w:r w:rsidR="5AB4F819" w:rsidRPr="3D09E91C">
        <w:rPr>
          <w:lang w:val="en-GB"/>
        </w:rPr>
        <w:t xml:space="preserve">HAZOP is a </w:t>
      </w:r>
      <w:r w:rsidR="54616C0C" w:rsidRPr="3D09E91C">
        <w:rPr>
          <w:lang w:val="en-GB"/>
        </w:rPr>
        <w:t>qualitative method</w:t>
      </w:r>
      <w:r w:rsidR="5AB4F819" w:rsidRPr="3D09E91C">
        <w:rPr>
          <w:lang w:val="en-GB"/>
        </w:rPr>
        <w:t xml:space="preserve"> </w:t>
      </w:r>
      <w:r w:rsidR="20689CE2" w:rsidRPr="3D09E91C">
        <w:rPr>
          <w:lang w:val="en-GB"/>
        </w:rPr>
        <w:t xml:space="preserve">to investigate unsafe conditions during </w:t>
      </w:r>
      <w:r w:rsidR="1A1E8FAC" w:rsidRPr="3D09E91C">
        <w:rPr>
          <w:lang w:val="en-GB"/>
        </w:rPr>
        <w:t>the operability of a chemical plant</w:t>
      </w:r>
      <w:r w:rsidR="5B0FF4DB" w:rsidRPr="3D09E91C">
        <w:rPr>
          <w:lang w:val="en-GB"/>
        </w:rPr>
        <w:t>.</w:t>
      </w:r>
      <w:r w:rsidR="75CFE2AF" w:rsidRPr="3D09E91C">
        <w:rPr>
          <w:lang w:val="en-GB"/>
        </w:rPr>
        <w:t xml:space="preserve"> </w:t>
      </w:r>
      <w:r w:rsidR="0BD7EF86" w:rsidRPr="3D09E91C">
        <w:rPr>
          <w:lang w:val="en-GB"/>
        </w:rPr>
        <w:t>This approach is</w:t>
      </w:r>
      <w:r w:rsidR="485F49D5" w:rsidRPr="3D09E91C">
        <w:rPr>
          <w:lang w:val="en-GB"/>
        </w:rPr>
        <w:t xml:space="preserve"> conduct</w:t>
      </w:r>
      <w:r w:rsidR="0CF3992E" w:rsidRPr="3D09E91C">
        <w:rPr>
          <w:lang w:val="en-GB"/>
        </w:rPr>
        <w:t>ed</w:t>
      </w:r>
      <w:r w:rsidR="485F49D5" w:rsidRPr="3D09E91C">
        <w:rPr>
          <w:lang w:val="en-GB"/>
        </w:rPr>
        <w:t xml:space="preserve"> with a team of experts</w:t>
      </w:r>
      <w:r w:rsidR="152AC92C" w:rsidRPr="3D09E91C">
        <w:rPr>
          <w:lang w:val="en-GB"/>
        </w:rPr>
        <w:t xml:space="preserve"> that carry out </w:t>
      </w:r>
      <w:r w:rsidR="783396D2" w:rsidRPr="3D09E91C">
        <w:rPr>
          <w:lang w:val="en-GB"/>
        </w:rPr>
        <w:t xml:space="preserve">brainstorming sessions to </w:t>
      </w:r>
      <w:r w:rsidR="436885AE" w:rsidRPr="3D09E91C">
        <w:rPr>
          <w:lang w:val="en-GB"/>
        </w:rPr>
        <w:t xml:space="preserve">determine </w:t>
      </w:r>
      <w:r w:rsidR="70A758CA" w:rsidRPr="3D09E91C">
        <w:rPr>
          <w:lang w:val="en-GB"/>
        </w:rPr>
        <w:t xml:space="preserve">hazardous scenarios </w:t>
      </w:r>
      <w:r w:rsidR="5E32A43A" w:rsidRPr="3D09E91C">
        <w:rPr>
          <w:lang w:val="en-GB"/>
        </w:rPr>
        <w:t xml:space="preserve">and </w:t>
      </w:r>
      <w:r w:rsidR="42A541A1" w:rsidRPr="3D09E91C">
        <w:rPr>
          <w:lang w:val="en-GB"/>
        </w:rPr>
        <w:t>analyse them</w:t>
      </w:r>
      <w:r w:rsidR="016E5242" w:rsidRPr="3D09E91C">
        <w:rPr>
          <w:lang w:val="en-GB"/>
        </w:rPr>
        <w:t xml:space="preserve">. </w:t>
      </w:r>
      <w:r w:rsidR="5E32A43A" w:rsidRPr="3D09E91C">
        <w:rPr>
          <w:lang w:val="en-GB"/>
        </w:rPr>
        <w:t xml:space="preserve">The HAZOP group divides the Piping and Instrumentation Diagram (P&amp;ID) into </w:t>
      </w:r>
      <w:r w:rsidR="372EC225" w:rsidRPr="3D09E91C">
        <w:rPr>
          <w:lang w:val="en-GB"/>
        </w:rPr>
        <w:t xml:space="preserve">a </w:t>
      </w:r>
      <w:r w:rsidR="5E32A43A" w:rsidRPr="3D09E91C">
        <w:rPr>
          <w:lang w:val="en-GB"/>
        </w:rPr>
        <w:t>set of process nodes. After that, guide words (e.g. more, less, higher, lower, none) are used to establish</w:t>
      </w:r>
      <w:r w:rsidR="7CA14118" w:rsidRPr="3D09E91C">
        <w:rPr>
          <w:lang w:val="en-GB"/>
        </w:rPr>
        <w:t xml:space="preserve"> and examine</w:t>
      </w:r>
      <w:r w:rsidR="5E32A43A" w:rsidRPr="3D09E91C">
        <w:rPr>
          <w:lang w:val="en-GB"/>
        </w:rPr>
        <w:t xml:space="preserve"> deviations </w:t>
      </w:r>
      <w:r w:rsidR="42A541A1" w:rsidRPr="3D09E91C">
        <w:rPr>
          <w:lang w:val="en-GB"/>
        </w:rPr>
        <w:t xml:space="preserve">of parameters </w:t>
      </w:r>
      <w:r w:rsidR="7CA14118" w:rsidRPr="3D09E91C">
        <w:rPr>
          <w:lang w:val="en-GB"/>
        </w:rPr>
        <w:t>from</w:t>
      </w:r>
      <w:r w:rsidR="5E32A43A" w:rsidRPr="3D09E91C">
        <w:rPr>
          <w:lang w:val="en-GB"/>
        </w:rPr>
        <w:t xml:space="preserve"> the </w:t>
      </w:r>
      <w:r w:rsidR="62BC4A12" w:rsidRPr="3D09E91C">
        <w:rPr>
          <w:lang w:val="en-GB"/>
        </w:rPr>
        <w:t xml:space="preserve">process </w:t>
      </w:r>
      <w:r w:rsidR="5E32A43A" w:rsidRPr="3D09E91C">
        <w:rPr>
          <w:lang w:val="en-GB"/>
        </w:rPr>
        <w:t>operating</w:t>
      </w:r>
      <w:r w:rsidR="7CA14118" w:rsidRPr="3D09E91C">
        <w:rPr>
          <w:lang w:val="en-GB"/>
        </w:rPr>
        <w:t>, such as temperature, pressure, and flow rate</w:t>
      </w:r>
      <w:r w:rsidR="5E32A43A" w:rsidRPr="3D09E91C">
        <w:rPr>
          <w:lang w:val="en-GB"/>
        </w:rPr>
        <w:t>.</w:t>
      </w:r>
      <w:r w:rsidR="6C40B56B" w:rsidRPr="3D09E91C">
        <w:rPr>
          <w:lang w:val="en-GB"/>
        </w:rPr>
        <w:t xml:space="preserve"> </w:t>
      </w:r>
      <w:r w:rsidR="372EC225" w:rsidRPr="3D09E91C">
        <w:rPr>
          <w:lang w:val="en-GB"/>
        </w:rPr>
        <w:t>Then, d</w:t>
      </w:r>
      <w:r w:rsidR="7CA14118" w:rsidRPr="3D09E91C">
        <w:rPr>
          <w:lang w:val="en-GB"/>
        </w:rPr>
        <w:t xml:space="preserve">ocumentation </w:t>
      </w:r>
      <w:r w:rsidR="372EC225" w:rsidRPr="3D09E91C">
        <w:rPr>
          <w:lang w:val="en-GB"/>
        </w:rPr>
        <w:t>is</w:t>
      </w:r>
      <w:r w:rsidR="7CA14118" w:rsidRPr="3D09E91C">
        <w:rPr>
          <w:lang w:val="en-GB"/>
        </w:rPr>
        <w:t xml:space="preserve"> elaborated based on the possible causes and consequences of the </w:t>
      </w:r>
      <w:r w:rsidR="372EC225" w:rsidRPr="3D09E91C">
        <w:rPr>
          <w:lang w:val="en-GB"/>
        </w:rPr>
        <w:t xml:space="preserve">scenario </w:t>
      </w:r>
      <w:r w:rsidR="7CA14118" w:rsidRPr="3D09E91C">
        <w:rPr>
          <w:lang w:val="en-GB"/>
        </w:rPr>
        <w:t>deviation</w:t>
      </w:r>
      <w:r w:rsidR="42A541A1" w:rsidRPr="3D09E91C">
        <w:rPr>
          <w:lang w:val="en-GB"/>
        </w:rPr>
        <w:t>s</w:t>
      </w:r>
      <w:r w:rsidR="7CA14118" w:rsidRPr="3D09E91C">
        <w:rPr>
          <w:lang w:val="en-GB"/>
        </w:rPr>
        <w:t xml:space="preserve">; </w:t>
      </w:r>
      <w:r w:rsidR="372EC225" w:rsidRPr="3D09E91C">
        <w:rPr>
          <w:lang w:val="en-GB"/>
        </w:rPr>
        <w:t xml:space="preserve">and </w:t>
      </w:r>
      <w:r w:rsidR="7CA14118" w:rsidRPr="3D09E91C">
        <w:rPr>
          <w:lang w:val="en-GB"/>
        </w:rPr>
        <w:t>in case of unsafe conditions</w:t>
      </w:r>
      <w:r w:rsidR="372EC225" w:rsidRPr="3D09E91C">
        <w:rPr>
          <w:lang w:val="en-GB"/>
        </w:rPr>
        <w:t>, actions must be suggested to eliminate or reduce the risks</w:t>
      </w:r>
      <w:r w:rsidR="53A8F0DE" w:rsidRPr="3D09E91C">
        <w:rPr>
          <w:lang w:val="en-GB"/>
        </w:rPr>
        <w:t xml:space="preserve"> </w:t>
      </w:r>
      <w:sdt>
        <w:sdtPr>
          <w:tag w:val="MENDELEY_CITATION_v3_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"/>
          <w:id w:val="1885706279"/>
        </w:sdtPr>
        <w:sdtEndPr/>
        <w:sdtContent>
          <w:r w:rsidR="00E33224">
            <w:rPr>
              <w:lang w:val="en-GB"/>
            </w:rPr>
            <w:t>(Mushtaq and</w:t>
          </w:r>
          <w:r w:rsidR="53A8F0DE" w:rsidRPr="3D09E91C">
            <w:rPr>
              <w:lang w:val="en-GB"/>
            </w:rPr>
            <w:t xml:space="preserve"> Chung, 2000)</w:t>
          </w:r>
        </w:sdtContent>
      </w:sdt>
      <w:r w:rsidR="372EC225" w:rsidRPr="3D09E91C">
        <w:rPr>
          <w:lang w:val="en-GB"/>
        </w:rPr>
        <w:t xml:space="preserve">. </w:t>
      </w:r>
      <w:r w:rsidR="4FC8DCBE" w:rsidRPr="3D09E91C">
        <w:rPr>
          <w:lang w:val="en-GB"/>
        </w:rPr>
        <w:t xml:space="preserve">Although all efforts to </w:t>
      </w:r>
      <w:r w:rsidR="6EE9AE35" w:rsidRPr="3D09E91C">
        <w:rPr>
          <w:lang w:val="en-GB"/>
        </w:rPr>
        <w:t>reduce hazard</w:t>
      </w:r>
      <w:r w:rsidR="372EC225" w:rsidRPr="3D09E91C">
        <w:rPr>
          <w:lang w:val="en-GB"/>
        </w:rPr>
        <w:t xml:space="preserve">ous conditions, accidents still </w:t>
      </w:r>
      <w:r w:rsidR="6EE9AE35" w:rsidRPr="3D09E91C">
        <w:rPr>
          <w:lang w:val="en-GB"/>
        </w:rPr>
        <w:t xml:space="preserve">occurring because the main process engineering tools </w:t>
      </w:r>
      <w:r w:rsidR="42A541A1" w:rsidRPr="3D09E91C">
        <w:rPr>
          <w:lang w:val="en-GB"/>
        </w:rPr>
        <w:t>for</w:t>
      </w:r>
      <w:r w:rsidR="6EE9AE35" w:rsidRPr="3D09E91C">
        <w:rPr>
          <w:lang w:val="en-GB"/>
        </w:rPr>
        <w:t xml:space="preserve"> dealing with safety do not consider</w:t>
      </w:r>
      <w:r w:rsidR="365FDE73" w:rsidRPr="3D09E91C">
        <w:rPr>
          <w:lang w:val="en-GB"/>
        </w:rPr>
        <w:t xml:space="preserve"> a chain-of-events that lead up to the disasters</w:t>
      </w:r>
      <w:r w:rsidR="3F445E1D" w:rsidRPr="3D09E91C">
        <w:rPr>
          <w:lang w:val="en-GB"/>
        </w:rPr>
        <w:t xml:space="preserve"> </w:t>
      </w:r>
      <w:sdt>
        <w:sdtPr>
          <w:tag w:val="MENDELEY_CITATION_v3_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"/>
          <w:id w:val="598518487"/>
        </w:sdtPr>
        <w:sdtEndPr/>
        <w:sdtContent>
          <w:r w:rsidR="3F445E1D" w:rsidRPr="3D09E91C">
            <w:rPr>
              <w:lang w:val="en-GB"/>
            </w:rPr>
            <w:t xml:space="preserve">(Leveson </w:t>
          </w:r>
          <w:r w:rsidR="00E33224">
            <w:rPr>
              <w:lang w:val="en-GB"/>
            </w:rPr>
            <w:t>and</w:t>
          </w:r>
          <w:r w:rsidR="3F445E1D" w:rsidRPr="3D09E91C">
            <w:rPr>
              <w:lang w:val="en-GB"/>
            </w:rPr>
            <w:t xml:space="preserve"> Stephanopoulos, 2014)</w:t>
          </w:r>
        </w:sdtContent>
      </w:sdt>
      <w:r w:rsidR="365FDE73">
        <w:t>.</w:t>
      </w:r>
      <w:r w:rsidR="6EE9AE35" w:rsidRPr="3D09E91C">
        <w:rPr>
          <w:lang w:val="en-GB"/>
        </w:rPr>
        <w:t xml:space="preserve"> </w:t>
      </w:r>
      <w:r w:rsidR="62BC4A12" w:rsidRPr="3D09E91C">
        <w:rPr>
          <w:lang w:val="en-GB"/>
        </w:rPr>
        <w:t xml:space="preserve">For instance, conventional HAZOP excludes </w:t>
      </w:r>
      <w:r w:rsidR="6303045E" w:rsidRPr="3D09E91C">
        <w:rPr>
          <w:lang w:val="en-GB"/>
        </w:rPr>
        <w:t>some important features, such as the domino effect, multivariable interactions, amplitude, and duration of a failure</w:t>
      </w:r>
      <w:r w:rsidR="4A8C24DD" w:rsidRPr="3D09E91C">
        <w:rPr>
          <w:lang w:val="en-GB"/>
        </w:rPr>
        <w:t xml:space="preserve"> </w:t>
      </w:r>
      <w:sdt>
        <w:sdtPr>
          <w:tag w:val="MENDELEY_CITATION_v3_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"/>
          <w:id w:val="1934921030"/>
        </w:sdtPr>
        <w:sdtEndPr/>
        <w:sdtContent>
          <w:r w:rsidR="3D09E91C" w:rsidRPr="3D09E91C">
            <w:rPr>
              <w:color w:val="000000" w:themeColor="text1"/>
              <w:lang w:val="en-GB"/>
            </w:rPr>
            <w:t>(Mokhtarname et al., 2020)</w:t>
          </w:r>
        </w:sdtContent>
      </w:sdt>
      <w:r w:rsidR="6303045E">
        <w:t>.</w:t>
      </w:r>
      <w:r w:rsidR="6339E711" w:rsidRPr="3D09E91C">
        <w:rPr>
          <w:lang w:val="en-GB"/>
        </w:rPr>
        <w:t xml:space="preserve"> Simulation-based HAZOP tool</w:t>
      </w:r>
      <w:r w:rsidR="3627921C" w:rsidRPr="3D09E91C">
        <w:rPr>
          <w:lang w:val="en-GB"/>
        </w:rPr>
        <w:t xml:space="preserve"> </w:t>
      </w:r>
      <w:sdt>
        <w:sdtPr>
          <w:tag w:val="MENDELEY_CITATION_v3_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"/>
          <w:id w:val="3844058"/>
        </w:sdtPr>
        <w:sdtEndPr/>
        <w:sdtContent>
          <w:r w:rsidR="3D09E91C" w:rsidRPr="3D09E91C">
            <w:rPr>
              <w:color w:val="000000" w:themeColor="text1"/>
              <w:lang w:val="en-GB"/>
            </w:rPr>
            <w:t>(Raoni et al., 2018)</w:t>
          </w:r>
        </w:sdtContent>
      </w:sdt>
      <w:r w:rsidR="62207F3C">
        <w:t xml:space="preserve"> </w:t>
      </w:r>
      <w:r w:rsidR="6339E711" w:rsidRPr="3D09E91C">
        <w:rPr>
          <w:lang w:val="en-GB"/>
        </w:rPr>
        <w:t>may overcome some</w:t>
      </w:r>
      <w:r w:rsidR="62207F3C" w:rsidRPr="3D09E91C">
        <w:rPr>
          <w:lang w:val="en-GB"/>
        </w:rPr>
        <w:t xml:space="preserve"> weaknesses of traditional HAZOP</w:t>
      </w:r>
      <w:r w:rsidR="0AE819C6" w:rsidRPr="3D09E91C">
        <w:rPr>
          <w:lang w:val="en-GB"/>
        </w:rPr>
        <w:t>, but few works support dynamic simulations with a process control approach</w:t>
      </w:r>
      <w:r w:rsidR="157A04B5" w:rsidRPr="3D09E91C">
        <w:rPr>
          <w:lang w:val="en-GB"/>
        </w:rPr>
        <w:t xml:space="preserve"> </w:t>
      </w:r>
      <w:sdt>
        <w:sdtPr>
          <w:tag w:val="MENDELEY_CITATION_v3_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"/>
          <w:id w:val="2037571322"/>
        </w:sdtPr>
        <w:sdtEndPr/>
        <w:sdtContent>
          <w:r w:rsidR="3D09E91C" w:rsidRPr="3D09E91C">
            <w:rPr>
              <w:color w:val="000000" w:themeColor="text1"/>
              <w:lang w:val="en-GB"/>
            </w:rPr>
            <w:t>(Danko et al., 2019)</w:t>
          </w:r>
        </w:sdtContent>
      </w:sdt>
      <w:r w:rsidR="0AE819C6">
        <w:t xml:space="preserve">. </w:t>
      </w:r>
      <w:r w:rsidR="55A81721" w:rsidRPr="3D09E91C">
        <w:rPr>
          <w:lang w:val="en-GB"/>
        </w:rPr>
        <w:t>Leveson and Stephanopoulos (2014) presented a new perspective to process safety based on a control-inspired view, highlighting</w:t>
      </w:r>
      <w:r w:rsidR="7B1121F2" w:rsidRPr="3D09E91C">
        <w:rPr>
          <w:lang w:val="en-GB"/>
        </w:rPr>
        <w:t xml:space="preserve"> </w:t>
      </w:r>
      <w:r w:rsidR="728322B3" w:rsidRPr="3D09E91C">
        <w:rPr>
          <w:lang w:val="en-GB"/>
        </w:rPr>
        <w:t xml:space="preserve">process safety </w:t>
      </w:r>
      <w:r w:rsidR="1F0E27F9" w:rsidRPr="3D09E91C">
        <w:rPr>
          <w:lang w:val="en-GB"/>
        </w:rPr>
        <w:t>as</w:t>
      </w:r>
      <w:r w:rsidR="728322B3" w:rsidRPr="3D09E91C">
        <w:rPr>
          <w:lang w:val="en-GB"/>
        </w:rPr>
        <w:t xml:space="preserve"> constraints</w:t>
      </w:r>
      <w:r w:rsidR="7B1121F2" w:rsidRPr="3D09E91C">
        <w:rPr>
          <w:lang w:val="en-GB"/>
        </w:rPr>
        <w:t xml:space="preserve"> in the control system</w:t>
      </w:r>
      <w:r w:rsidR="728322B3" w:rsidRPr="3D09E91C">
        <w:rPr>
          <w:lang w:val="en-GB"/>
        </w:rPr>
        <w:t xml:space="preserve">, and failures </w:t>
      </w:r>
      <w:r w:rsidR="7B1121F2" w:rsidRPr="3D09E91C">
        <w:rPr>
          <w:lang w:val="en-GB"/>
        </w:rPr>
        <w:t>represent</w:t>
      </w:r>
      <w:r w:rsidR="728322B3" w:rsidRPr="3D09E91C">
        <w:rPr>
          <w:lang w:val="en-GB"/>
        </w:rPr>
        <w:t xml:space="preserve"> violation</w:t>
      </w:r>
      <w:r w:rsidR="7B1121F2" w:rsidRPr="3D09E91C">
        <w:rPr>
          <w:lang w:val="en-GB"/>
        </w:rPr>
        <w:t>s</w:t>
      </w:r>
      <w:r w:rsidR="728322B3" w:rsidRPr="3D09E91C">
        <w:rPr>
          <w:lang w:val="en-GB"/>
        </w:rPr>
        <w:t xml:space="preserve"> of the safety constraints.</w:t>
      </w:r>
      <w:r w:rsidR="7B1121F2" w:rsidRPr="3D09E91C">
        <w:rPr>
          <w:lang w:val="en-GB"/>
        </w:rPr>
        <w:t xml:space="preserve"> </w:t>
      </w:r>
      <w:r w:rsidR="3B1EE4BA" w:rsidRPr="3D09E91C">
        <w:rPr>
          <w:lang w:val="en-GB"/>
        </w:rPr>
        <w:t>Control-inspired view</w:t>
      </w:r>
      <w:r w:rsidR="7B1121F2" w:rsidRPr="3D09E91C">
        <w:rPr>
          <w:lang w:val="en-GB"/>
        </w:rPr>
        <w:t xml:space="preserve"> is capable to deal with </w:t>
      </w:r>
      <w:r w:rsidR="3B1EE4BA" w:rsidRPr="3D09E91C">
        <w:rPr>
          <w:lang w:val="en-GB"/>
        </w:rPr>
        <w:t xml:space="preserve">multivariable interactions and the dynamic effects of </w:t>
      </w:r>
      <w:r w:rsidR="3B1EE4BA" w:rsidRPr="3D09E91C">
        <w:rPr>
          <w:lang w:val="en-GB"/>
        </w:rPr>
        <w:lastRenderedPageBreak/>
        <w:t>process deviations. In this context, Model Predictive Control</w:t>
      </w:r>
      <w:r w:rsidR="214DA465" w:rsidRPr="3D09E91C">
        <w:rPr>
          <w:lang w:val="en-GB"/>
        </w:rPr>
        <w:t xml:space="preserve"> (MPC)</w:t>
      </w:r>
      <w:r w:rsidR="3B1EE4BA" w:rsidRPr="3D09E91C">
        <w:rPr>
          <w:lang w:val="en-GB"/>
        </w:rPr>
        <w:t xml:space="preserve"> is a suitable control class that allows </w:t>
      </w:r>
      <w:r w:rsidR="214DA465" w:rsidRPr="3D09E91C">
        <w:rPr>
          <w:lang w:val="en-GB"/>
        </w:rPr>
        <w:t>embedding</w:t>
      </w:r>
      <w:r w:rsidR="3B1EE4BA" w:rsidRPr="3D09E91C">
        <w:rPr>
          <w:lang w:val="en-GB"/>
        </w:rPr>
        <w:t xml:space="preserve"> mathematical constraints based on safety system</w:t>
      </w:r>
      <w:r w:rsidR="0246FADF" w:rsidRPr="3D09E91C">
        <w:rPr>
          <w:lang w:val="en-GB"/>
        </w:rPr>
        <w:t xml:space="preserve"> </w:t>
      </w:r>
      <w:sdt>
        <w:sdtPr>
          <w:tag w:val="MENDELEY_CITATION_v3_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"/>
          <w:id w:val="756498575"/>
        </w:sdtPr>
        <w:sdtEndPr/>
        <w:sdtContent>
          <w:r w:rsidR="3D09E91C" w:rsidRPr="3D09E91C">
            <w:rPr>
              <w:color w:val="000000" w:themeColor="text1"/>
              <w:lang w:val="en-GB"/>
            </w:rPr>
            <w:t>(Albalawi et al., 2017)</w:t>
          </w:r>
        </w:sdtContent>
      </w:sdt>
      <w:r w:rsidR="214DA465">
        <w:t xml:space="preserve">. </w:t>
      </w:r>
      <w:r w:rsidR="22B6C5AC" w:rsidRPr="3D09E91C">
        <w:rPr>
          <w:lang w:val="en-GB"/>
        </w:rPr>
        <w:t>Furthermore,</w:t>
      </w:r>
      <w:r w:rsidR="214DA465" w:rsidRPr="3D09E91C">
        <w:rPr>
          <w:lang w:val="en-GB"/>
        </w:rPr>
        <w:t xml:space="preserve"> Infinite Horizon Model Predictive Control (IHMPC) with zone control </w:t>
      </w:r>
      <w:r w:rsidR="34DF7A89" w:rsidRPr="3D09E91C">
        <w:rPr>
          <w:lang w:val="en-GB"/>
        </w:rPr>
        <w:t xml:space="preserve">is a favorable </w:t>
      </w:r>
      <w:r w:rsidR="399826F1" w:rsidRPr="3D09E91C">
        <w:rPr>
          <w:lang w:val="en-GB"/>
        </w:rPr>
        <w:t>control</w:t>
      </w:r>
      <w:r w:rsidR="22B6C5AC" w:rsidRPr="3D09E91C">
        <w:rPr>
          <w:lang w:val="en-GB"/>
        </w:rPr>
        <w:t xml:space="preserve"> structure </w:t>
      </w:r>
      <w:r w:rsidR="34DF7A89" w:rsidRPr="3D09E91C">
        <w:rPr>
          <w:lang w:val="en-GB"/>
        </w:rPr>
        <w:t xml:space="preserve">for safety, since </w:t>
      </w:r>
      <w:r w:rsidR="28B1B74B" w:rsidRPr="3D09E91C">
        <w:rPr>
          <w:lang w:val="en-GB"/>
        </w:rPr>
        <w:t>it</w:t>
      </w:r>
      <w:r w:rsidR="34DF7A89" w:rsidRPr="3D09E91C">
        <w:rPr>
          <w:lang w:val="en-GB"/>
        </w:rPr>
        <w:t xml:space="preserve"> has nom</w:t>
      </w:r>
      <w:r w:rsidR="28B1B74B" w:rsidRPr="3D09E91C">
        <w:rPr>
          <w:lang w:val="en-GB"/>
        </w:rPr>
        <w:t>inal stability and the zones could</w:t>
      </w:r>
      <w:r w:rsidR="34DF7A89" w:rsidRPr="3D09E91C">
        <w:rPr>
          <w:lang w:val="en-GB"/>
        </w:rPr>
        <w:t xml:space="preserve"> be </w:t>
      </w:r>
      <w:r w:rsidR="6DB5EE1D" w:rsidRPr="3D09E91C">
        <w:rPr>
          <w:lang w:val="en-GB"/>
        </w:rPr>
        <w:t>understood</w:t>
      </w:r>
      <w:r w:rsidR="34DF7A89" w:rsidRPr="3D09E91C">
        <w:rPr>
          <w:lang w:val="en-GB"/>
        </w:rPr>
        <w:t xml:space="preserve"> as an additional safety constraint </w:t>
      </w:r>
      <w:sdt>
        <w:sdtPr>
          <w:tag w:val="MENDELEY_CITATION_v3_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"/>
          <w:id w:val="1220494049"/>
        </w:sdtPr>
        <w:sdtEndPr/>
        <w:sdtContent>
          <w:r w:rsidR="00E33224">
            <w:rPr>
              <w:lang w:val="en-GB"/>
            </w:rPr>
            <w:t>(González and</w:t>
          </w:r>
          <w:r w:rsidR="04F27FC3" w:rsidRPr="3D09E91C">
            <w:rPr>
              <w:lang w:val="en-GB"/>
            </w:rPr>
            <w:t xml:space="preserve"> Odloak, 2009)</w:t>
          </w:r>
        </w:sdtContent>
      </w:sdt>
      <w:r w:rsidR="34DF7A89">
        <w:t xml:space="preserve">. </w:t>
      </w:r>
      <w:r w:rsidR="048756A8" w:rsidRPr="3D09E91C">
        <w:rPr>
          <w:lang w:val="en-GB"/>
        </w:rPr>
        <w:t xml:space="preserve">In this perspective, the aim of this work is </w:t>
      </w:r>
      <w:r w:rsidR="6DB5EE1D" w:rsidRPr="3D09E91C">
        <w:rPr>
          <w:lang w:val="en-GB"/>
        </w:rPr>
        <w:t>to propose and evaluate a dynamic simulation-based HAZOP integrated with MPC containing safety constraints. This approach may improve conventional methodologies.</w:t>
      </w:r>
      <w:r w:rsidR="32056170" w:rsidRPr="3D09E91C">
        <w:rPr>
          <w:lang w:val="en-GB"/>
        </w:rPr>
        <w:t xml:space="preserve"> Besides, it is possible to verify how safety constraint can improve the prevention </w:t>
      </w:r>
      <w:r w:rsidR="7C4712F7" w:rsidRPr="3D09E91C">
        <w:rPr>
          <w:lang w:val="en-GB"/>
        </w:rPr>
        <w:t>of</w:t>
      </w:r>
      <w:r w:rsidR="32056170" w:rsidRPr="3D09E91C">
        <w:rPr>
          <w:lang w:val="en-GB"/>
        </w:rPr>
        <w:t xml:space="preserve"> failure from deviation in the HAZOP, avoiding unsafe conditions. To illustrate this mechanism, a styrene polymerization reactor is used</w:t>
      </w:r>
      <w:r w:rsidR="30355048" w:rsidRPr="3D09E91C">
        <w:rPr>
          <w:lang w:val="en-GB"/>
        </w:rPr>
        <w:t>.</w:t>
      </w:r>
    </w:p>
    <w:p w14:paraId="4C9AC369" w14:textId="6FE93213" w:rsidR="00E711B2" w:rsidRDefault="00E711B2" w:rsidP="00E711B2">
      <w:pPr>
        <w:pStyle w:val="CETHeading1"/>
      </w:pPr>
      <w:r>
        <w:t>Methodology</w:t>
      </w:r>
    </w:p>
    <w:p w14:paraId="29951623" w14:textId="1D02C8BA" w:rsidR="00BB3A2A" w:rsidRDefault="00BB3A2A" w:rsidP="00BB3A2A">
      <w:pPr>
        <w:pStyle w:val="CETheadingx"/>
      </w:pPr>
      <w:r>
        <w:t>HAZOP strategy</w:t>
      </w:r>
    </w:p>
    <w:p w14:paraId="4A64F431" w14:textId="621DC165" w:rsidR="00BB3A2A" w:rsidRDefault="4CC6120C" w:rsidP="00BB3A2A">
      <w:pPr>
        <w:pStyle w:val="CETBodytext"/>
      </w:pPr>
      <w:r>
        <w:t>First, we simulated hazard situations using HAZOP deviations to evaluate the system dynamic behavior against the failures</w:t>
      </w:r>
      <w:r w:rsidR="1302F1F3">
        <w:t xml:space="preserve"> (</w:t>
      </w:r>
      <w:r w:rsidR="1302F1F3" w:rsidRPr="3D09E91C">
        <w:rPr>
          <w:lang w:val="en-GB"/>
        </w:rPr>
        <w:t>dynamic simulation-based HAZOP)</w:t>
      </w:r>
      <w:r>
        <w:t>.</w:t>
      </w:r>
      <w:r w:rsidR="5F55A218">
        <w:t xml:space="preserve"> The mathematical model for </w:t>
      </w:r>
      <w:r w:rsidR="5F55A218" w:rsidRPr="3D09E91C">
        <w:rPr>
          <w:lang w:val="en-GB"/>
        </w:rPr>
        <w:t>dynamic simulations consists of the mass and energy balances of the styrene reactor, according to</w:t>
      </w:r>
      <w:r w:rsidR="5BB6DF26" w:rsidRPr="3D09E91C">
        <w:rPr>
          <w:lang w:val="en-GB"/>
        </w:rPr>
        <w:t xml:space="preserve"> </w:t>
      </w:r>
      <w:sdt>
        <w:sdtPr>
          <w:tag w:val="MENDELEY_CITATION_v3_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"/>
          <w:id w:val="1448166920"/>
        </w:sdtPr>
        <w:sdtEndPr/>
        <w:sdtContent>
          <w:r w:rsidR="5BB6DF26" w:rsidRPr="3D09E91C">
            <w:rPr>
              <w:lang w:val="en-GB"/>
            </w:rPr>
            <w:t xml:space="preserve">Alvarez </w:t>
          </w:r>
          <w:r w:rsidR="00E33224">
            <w:rPr>
              <w:lang w:val="en-GB"/>
            </w:rPr>
            <w:t>and</w:t>
          </w:r>
          <w:r w:rsidR="5BB6DF26" w:rsidRPr="3D09E91C">
            <w:rPr>
              <w:lang w:val="en-GB"/>
            </w:rPr>
            <w:t xml:space="preserve"> Odloak </w:t>
          </w:r>
          <w:r w:rsidR="00E33224">
            <w:rPr>
              <w:lang w:val="en-GB"/>
            </w:rPr>
            <w:t>(</w:t>
          </w:r>
          <w:r w:rsidR="5BB6DF26" w:rsidRPr="3D09E91C">
            <w:rPr>
              <w:lang w:val="en-GB"/>
            </w:rPr>
            <w:t>2012)</w:t>
          </w:r>
        </w:sdtContent>
      </w:sdt>
      <w:r w:rsidR="5F55A218">
        <w:t>.</w:t>
      </w:r>
      <w:r>
        <w:t xml:space="preserve"> From that, the safety constraint was generated and embedded in the IHMPC, and the same scenarios were evaluated again in the presence of </w:t>
      </w:r>
      <w:r w:rsidR="38836A28">
        <w:t xml:space="preserve">the </w:t>
      </w:r>
      <w:r>
        <w:t>control</w:t>
      </w:r>
      <w:r w:rsidR="38836A28">
        <w:t>ler</w:t>
      </w:r>
      <w:r>
        <w:t xml:space="preserve"> with safety features</w:t>
      </w:r>
      <w:r w:rsidR="3E795146">
        <w:t>, as described in Figure 1</w:t>
      </w:r>
      <w:r>
        <w:t>. The MPC with safety constraint embedded in HAZOP was applied</w:t>
      </w:r>
      <w:r w:rsidR="3E795146">
        <w:t xml:space="preserve"> </w:t>
      </w:r>
      <w:r>
        <w:t xml:space="preserve">for a polymerization reactor, involving exothermic reactions, with complex kinetics and high viscosity. To exemplify the impact of the MPC with safety constraint as a recommendation to increase the safeguard of a styrene polymerization reactor, three </w:t>
      </w:r>
      <w:r w:rsidR="4116B165">
        <w:t>HAZOP</w:t>
      </w:r>
      <w:r>
        <w:t xml:space="preserve"> s</w:t>
      </w:r>
      <w:r w:rsidR="4116B165">
        <w:t>cenarios were investigated:</w:t>
      </w:r>
    </w:p>
    <w:p w14:paraId="1D4B8605" w14:textId="3E8A1E56" w:rsidR="004D185B" w:rsidRDefault="004D185B" w:rsidP="004D185B">
      <w:pPr>
        <w:pStyle w:val="CETBodytext"/>
        <w:numPr>
          <w:ilvl w:val="0"/>
          <w:numId w:val="23"/>
        </w:numPr>
      </w:pPr>
      <w:r>
        <w:rPr>
          <w:b/>
        </w:rPr>
        <w:t>Scenario 1:</w:t>
      </w:r>
      <w:r>
        <w:t xml:space="preserve"> Higher temperature of the reactor feed;</w:t>
      </w:r>
    </w:p>
    <w:p w14:paraId="53BA90F3" w14:textId="321139AF" w:rsidR="004D185B" w:rsidRDefault="004D185B" w:rsidP="004D185B">
      <w:pPr>
        <w:pStyle w:val="CETBodytext"/>
        <w:numPr>
          <w:ilvl w:val="0"/>
          <w:numId w:val="23"/>
        </w:numPr>
      </w:pPr>
      <w:r>
        <w:rPr>
          <w:b/>
        </w:rPr>
        <w:t>Scenario 2:</w:t>
      </w:r>
      <w:r>
        <w:t xml:space="preserve"> Higher concentration of initiator in the feed;</w:t>
      </w:r>
    </w:p>
    <w:p w14:paraId="59DEB049" w14:textId="735EAC25" w:rsidR="004D185B" w:rsidRDefault="004D185B" w:rsidP="004D185B">
      <w:pPr>
        <w:pStyle w:val="CETBodytext"/>
        <w:numPr>
          <w:ilvl w:val="0"/>
          <w:numId w:val="23"/>
        </w:numPr>
      </w:pPr>
      <w:r>
        <w:rPr>
          <w:b/>
        </w:rPr>
        <w:t>Scenario 3:</w:t>
      </w:r>
      <w:r>
        <w:t xml:space="preserve"> Higher </w:t>
      </w:r>
      <w:r w:rsidRPr="004D185B">
        <w:t>Inlet temperature of cooling jacket fluid</w:t>
      </w:r>
      <w:r>
        <w:t>.</w:t>
      </w:r>
    </w:p>
    <w:p w14:paraId="21F4C40E" w14:textId="66DB5F5C" w:rsidR="004915F9" w:rsidRDefault="007671C5" w:rsidP="00F1570E">
      <w:pPr>
        <w:pStyle w:val="CETBodytext"/>
      </w:pPr>
      <w:r w:rsidRPr="007671C5">
        <w:rPr>
          <w:noProof/>
        </w:rPr>
        <w:drawing>
          <wp:inline distT="0" distB="0" distL="0" distR="0" wp14:anchorId="4A9A0BD5" wp14:editId="2B9654C7">
            <wp:extent cx="3562502" cy="703373"/>
            <wp:effectExtent l="0" t="0" r="5080" b="1905"/>
            <wp:docPr id="4" name="Imagem 4" descr="C:\Users\Fernando\OneDrive - Universidade Estadual de Campinas\1 - Doutorado\ICHEAP_2023\fig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nando\OneDrive - Universidade Estadual de Campinas\1 - Doutorado\ICHEAP_2023\figure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502" cy="703373"/>
                    </a:xfrm>
                    <a:prstGeom prst="rect">
                      <a:avLst/>
                    </a:prstGeom>
                    <a:noFill/>
                    <a:ln>
                      <a:noFill/>
                    </a:ln>
                  </pic:spPr>
                </pic:pic>
              </a:graphicData>
            </a:graphic>
          </wp:inline>
        </w:drawing>
      </w:r>
    </w:p>
    <w:p w14:paraId="1634BAF8" w14:textId="1936189F" w:rsidR="004D185B" w:rsidRPr="00BB3A2A" w:rsidRDefault="007671C5" w:rsidP="00D90778">
      <w:pPr>
        <w:pStyle w:val="CETCaption"/>
      </w:pPr>
      <w:r w:rsidRPr="00BD077D">
        <w:rPr>
          <w:rStyle w:val="CETCaptionCarattere"/>
          <w:i/>
        </w:rPr>
        <w:t xml:space="preserve">Figure </w:t>
      </w:r>
      <w:r>
        <w:rPr>
          <w:rStyle w:val="CETCaptionCarattere"/>
          <w:i/>
        </w:rPr>
        <w:t>1</w:t>
      </w:r>
      <w:r w:rsidRPr="00BD077D">
        <w:rPr>
          <w:rStyle w:val="CETCaptionCarattere"/>
          <w:i/>
        </w:rPr>
        <w:t xml:space="preserve">: </w:t>
      </w:r>
      <w:r>
        <w:rPr>
          <w:rStyle w:val="CETCaptionCarattere"/>
          <w:i/>
        </w:rPr>
        <w:t xml:space="preserve">Flowsheet for </w:t>
      </w:r>
      <w:r w:rsidR="00D90778">
        <w:rPr>
          <w:rStyle w:val="CETCaptionCarattere"/>
          <w:i/>
        </w:rPr>
        <w:t>development of MPC with safety constraint embedded in HAZOP</w:t>
      </w:r>
    </w:p>
    <w:p w14:paraId="61A9B77A" w14:textId="6B170CDB" w:rsidR="00600535" w:rsidRDefault="00E711B2" w:rsidP="00FA5F5F">
      <w:pPr>
        <w:pStyle w:val="CETheadingx"/>
      </w:pPr>
      <w:r>
        <w:t>Process description</w:t>
      </w:r>
    </w:p>
    <w:p w14:paraId="179ADEA8" w14:textId="28AC935A" w:rsidR="002819A6" w:rsidRDefault="38617F4B" w:rsidP="00E711B2">
      <w:pPr>
        <w:pStyle w:val="CETBodytext"/>
      </w:pPr>
      <w:r>
        <w:t xml:space="preserve">Figure </w:t>
      </w:r>
      <w:r w:rsidR="2B1B6AA1">
        <w:t>2</w:t>
      </w:r>
      <w:r w:rsidR="0A14A586">
        <w:t>b</w:t>
      </w:r>
      <w:r>
        <w:t xml:space="preserve"> described </w:t>
      </w:r>
      <w:r w:rsidR="123285FD">
        <w:t xml:space="preserve">a simplified </w:t>
      </w:r>
      <w:r>
        <w:t>diagram for the styrene poly</w:t>
      </w:r>
      <w:r w:rsidR="38E8F90E">
        <w:t>merization reactor,</w:t>
      </w:r>
      <w:r w:rsidR="123285FD">
        <w:t xml:space="preserve"> a CSTR </w:t>
      </w:r>
      <w:r w:rsidR="52A78EF7">
        <w:t xml:space="preserve">of volume equal to 3000 L, </w:t>
      </w:r>
      <w:r w:rsidR="123285FD">
        <w:t>with</w:t>
      </w:r>
      <w:r w:rsidR="38E8F90E">
        <w:t xml:space="preserve"> a cooling jacket. There are three feed streams: pure styrene</w:t>
      </w:r>
      <w:r w:rsidR="37EA2E2D">
        <w:t xml:space="preserve"> (monomer)</w:t>
      </w:r>
      <w:r w:rsidR="38E8F90E">
        <w:t xml:space="preserve"> with a flow rate of 378 L</w:t>
      </w:r>
      <w:r w:rsidR="38E8F90E" w:rsidRPr="3D09E91C">
        <w:rPr>
          <w:rFonts w:cs="Arial"/>
        </w:rPr>
        <w:t>∙</w:t>
      </w:r>
      <w:r w:rsidR="38E8F90E">
        <w:t>h</w:t>
      </w:r>
      <w:r w:rsidR="38E8F90E" w:rsidRPr="3D09E91C">
        <w:rPr>
          <w:vertAlign w:val="superscript"/>
        </w:rPr>
        <w:t>-1</w:t>
      </w:r>
      <w:r w:rsidR="38E8F90E">
        <w:t>, and initial concentration of 8.6981 mol</w:t>
      </w:r>
      <w:r w:rsidR="38E8F90E" w:rsidRPr="3D09E91C">
        <w:rPr>
          <w:rFonts w:cs="Arial"/>
        </w:rPr>
        <w:t>∙L</w:t>
      </w:r>
      <w:r w:rsidR="38E8F90E" w:rsidRPr="3D09E91C">
        <w:rPr>
          <w:rFonts w:cs="Arial"/>
          <w:vertAlign w:val="superscript"/>
        </w:rPr>
        <w:t>-1</w:t>
      </w:r>
      <w:r w:rsidR="38E8F90E" w:rsidRPr="3D09E91C">
        <w:rPr>
          <w:rFonts w:cs="Arial"/>
        </w:rPr>
        <w:t>; initiator (2,2’-</w:t>
      </w:r>
      <w:r w:rsidR="38E8F90E">
        <w:t xml:space="preserve"> </w:t>
      </w:r>
      <w:r w:rsidR="38E8F90E" w:rsidRPr="3D09E91C">
        <w:rPr>
          <w:rFonts w:cs="Arial"/>
        </w:rPr>
        <w:t xml:space="preserve">azoisobutyronitrile, AIBN) in 108 </w:t>
      </w:r>
      <w:r w:rsidR="38E8F90E">
        <w:t>L</w:t>
      </w:r>
      <w:r w:rsidR="38E8F90E" w:rsidRPr="3D09E91C">
        <w:rPr>
          <w:rFonts w:cs="Arial"/>
        </w:rPr>
        <w:t>∙</w:t>
      </w:r>
      <w:r w:rsidR="38E8F90E">
        <w:t>h</w:t>
      </w:r>
      <w:r w:rsidR="38E8F90E" w:rsidRPr="3D09E91C">
        <w:rPr>
          <w:vertAlign w:val="superscript"/>
        </w:rPr>
        <w:t>-1</w:t>
      </w:r>
      <w:r w:rsidR="38E8F90E">
        <w:t>,</w:t>
      </w:r>
      <w:r w:rsidR="52A78EF7">
        <w:t xml:space="preserve"> and 0.589</w:t>
      </w:r>
      <w:r w:rsidR="38E8F90E">
        <w:t xml:space="preserve"> mol</w:t>
      </w:r>
      <w:r w:rsidR="38E8F90E" w:rsidRPr="3D09E91C">
        <w:rPr>
          <w:rFonts w:cs="Arial"/>
        </w:rPr>
        <w:t>∙L</w:t>
      </w:r>
      <w:r w:rsidR="38E8F90E" w:rsidRPr="3D09E91C">
        <w:rPr>
          <w:rFonts w:cs="Arial"/>
          <w:vertAlign w:val="superscript"/>
        </w:rPr>
        <w:t>-1</w:t>
      </w:r>
      <w:r w:rsidR="38E8F90E" w:rsidRPr="3D09E91C">
        <w:rPr>
          <w:rFonts w:cs="Arial"/>
        </w:rPr>
        <w:t xml:space="preserve">; and benzene as solvent, with </w:t>
      </w:r>
      <w:r w:rsidR="52A78EF7" w:rsidRPr="3D09E91C">
        <w:rPr>
          <w:rFonts w:cs="Arial"/>
        </w:rPr>
        <w:t xml:space="preserve">a flow rate of 459 </w:t>
      </w:r>
      <w:r w:rsidR="52A78EF7">
        <w:t>L</w:t>
      </w:r>
      <w:r w:rsidR="52A78EF7" w:rsidRPr="3D09E91C">
        <w:rPr>
          <w:rFonts w:cs="Arial"/>
        </w:rPr>
        <w:t>∙</w:t>
      </w:r>
      <w:r w:rsidR="52A78EF7">
        <w:t>h</w:t>
      </w:r>
      <w:r w:rsidR="52A78EF7" w:rsidRPr="3D09E91C">
        <w:rPr>
          <w:vertAlign w:val="superscript"/>
        </w:rPr>
        <w:t>-1</w:t>
      </w:r>
      <w:r w:rsidR="52A78EF7">
        <w:t xml:space="preserve">. </w:t>
      </w:r>
      <w:r w:rsidR="5238933C">
        <w:t xml:space="preserve">The </w:t>
      </w:r>
      <w:r w:rsidR="7C4712F7">
        <w:t>reactor feed temperature</w:t>
      </w:r>
      <w:r w:rsidR="52A78EF7">
        <w:t xml:space="preserve"> is 330</w:t>
      </w:r>
      <w:r w:rsidR="5238933C">
        <w:t xml:space="preserve"> K, while </w:t>
      </w:r>
      <w:r w:rsidR="37EA2E2D">
        <w:t xml:space="preserve">for cooling jacket, </w:t>
      </w:r>
      <w:r w:rsidR="5238933C">
        <w:t xml:space="preserve">the </w:t>
      </w:r>
      <w:r w:rsidR="37EA2E2D">
        <w:t xml:space="preserve">inlet </w:t>
      </w:r>
      <w:r w:rsidR="5238933C">
        <w:t>temperature is 295 K, and the flow rate is 471.6 L</w:t>
      </w:r>
      <w:r w:rsidR="5238933C" w:rsidRPr="3D09E91C">
        <w:rPr>
          <w:rFonts w:cs="Arial"/>
        </w:rPr>
        <w:t>∙</w:t>
      </w:r>
      <w:r w:rsidR="5238933C">
        <w:t>h</w:t>
      </w:r>
      <w:r w:rsidR="5238933C" w:rsidRPr="3D09E91C">
        <w:rPr>
          <w:vertAlign w:val="superscript"/>
        </w:rPr>
        <w:t>-1</w:t>
      </w:r>
      <w:r w:rsidR="5238933C">
        <w:t>.</w:t>
      </w:r>
      <w:r w:rsidR="37EA2E2D">
        <w:t xml:space="preserve"> The effluent from the reactor consists of a mixture of polystyrene with unreacted </w:t>
      </w:r>
      <w:r w:rsidR="3BC27E44">
        <w:t>monomer, initiator, and solvent. In this process, the product viscosity and reactor temperature must be regulated, for safety, quality, and economic requests.</w:t>
      </w:r>
      <w:sdt>
        <w:sdtPr>
          <w:tag w:val="MENDELEY_CITATION_v3_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"/>
          <w:id w:val="707376027"/>
        </w:sdtPr>
        <w:sdtEndPr/>
        <w:sdtContent>
          <w:r w:rsidR="00E33224" w:rsidRPr="00E33224">
            <w:t xml:space="preserve"> </w:t>
          </w:r>
          <w:r w:rsidR="58EE1FCA" w:rsidRPr="00E33224">
            <w:t xml:space="preserve">Alvarez </w:t>
          </w:r>
          <w:r w:rsidR="00E33224" w:rsidRPr="00E33224">
            <w:t>and</w:t>
          </w:r>
          <w:r w:rsidR="58EE1FCA" w:rsidRPr="00E33224">
            <w:t xml:space="preserve"> Odloak</w:t>
          </w:r>
          <w:r w:rsidR="00E33224" w:rsidRPr="00E33224">
            <w:t xml:space="preserve"> (</w:t>
          </w:r>
          <w:r w:rsidR="58EE1FCA" w:rsidRPr="00E33224">
            <w:t>2012)</w:t>
          </w:r>
        </w:sdtContent>
      </w:sdt>
      <w:r w:rsidR="58EE1FCA">
        <w:t xml:space="preserve"> </w:t>
      </w:r>
      <w:r w:rsidR="0E1213D9">
        <w:t>describe more details about the kinetic mechanism, process parameters, and mathematical model</w:t>
      </w:r>
      <w:r w:rsidR="3BC27E44">
        <w:t>.</w:t>
      </w:r>
    </w:p>
    <w:p w14:paraId="6B4C63E5" w14:textId="6EDFBF5D" w:rsidR="00600535" w:rsidRDefault="00603CA8" w:rsidP="00FA5F5F">
      <w:pPr>
        <w:pStyle w:val="CETheadingx"/>
      </w:pPr>
      <w:r>
        <w:t>Control structure</w:t>
      </w:r>
    </w:p>
    <w:p w14:paraId="34845DC4" w14:textId="0F9729AB" w:rsidR="00DE6EFB" w:rsidRDefault="00A65B08" w:rsidP="006768DE">
      <w:pPr>
        <w:pStyle w:val="CETBodytext"/>
      </w:pPr>
      <w:r>
        <w:t>The control structure consists of</w:t>
      </w:r>
      <w:r w:rsidR="00F6125B">
        <w:t xml:space="preserve"> the</w:t>
      </w:r>
      <w:r>
        <w:t xml:space="preserve"> real time optimization (the economic layer)</w:t>
      </w:r>
      <w:r w:rsidR="007B1DF8">
        <w:t>;</w:t>
      </w:r>
      <w:r>
        <w:t xml:space="preserve"> </w:t>
      </w:r>
      <w:r w:rsidR="00840868">
        <w:t>a Target Calculation</w:t>
      </w:r>
      <w:r w:rsidR="006768DE">
        <w:t xml:space="preserve"> (TC),</w:t>
      </w:r>
      <w:r w:rsidR="00840868">
        <w:t xml:space="preserve"> </w:t>
      </w:r>
      <w:r w:rsidR="003B2CF3">
        <w:t>which</w:t>
      </w:r>
      <w:r w:rsidR="00840868">
        <w:t xml:space="preserve"> </w:t>
      </w:r>
      <w:r w:rsidR="006768DE">
        <w:t xml:space="preserve">computes </w:t>
      </w:r>
      <w:r w:rsidR="007B1DF8">
        <w:t>feasible targets</w:t>
      </w:r>
      <w:r w:rsidR="006768DE">
        <w:t xml:space="preserve"> to the controller from the RTO outputs</w:t>
      </w:r>
      <w:r w:rsidR="003B2CF3">
        <w:t>;</w:t>
      </w:r>
      <w:r w:rsidR="006768DE">
        <w:t xml:space="preserve"> and the IHMPC</w:t>
      </w:r>
      <w:r w:rsidR="003B2CF3">
        <w:t>, which receives the feasible target from TC and estimates the control actions for the process</w:t>
      </w:r>
      <w:r w:rsidR="006768DE">
        <w:t>. The RTO layer is executed at a lower frequency (e.g., each one hour) than TC and IHMPC (that is executed with a time period of minutes).</w:t>
      </w:r>
      <w:r w:rsidR="00DC46B2">
        <w:t xml:space="preserve"> </w:t>
      </w:r>
      <w:r w:rsidR="00D05755">
        <w:t>The control system has two inputs (</w:t>
      </w:r>
      <m:oMath>
        <m:r>
          <w:rPr>
            <w:rFonts w:ascii="Cambria Math" w:hAnsi="Cambria Math"/>
          </w:rPr>
          <m:t>nu</m:t>
        </m:r>
      </m:oMath>
      <w:r w:rsidR="00D05755">
        <w:t xml:space="preserve"> = 2) and two outputs (</w:t>
      </w:r>
      <m:oMath>
        <m:r>
          <w:rPr>
            <w:rFonts w:ascii="Cambria Math" w:hAnsi="Cambria Math"/>
          </w:rPr>
          <m:t>ny</m:t>
        </m:r>
      </m:oMath>
      <w:r w:rsidR="00D05755">
        <w:t xml:space="preserve"> = 2), </w:t>
      </w:r>
      <w:r w:rsidR="003F2675">
        <w:t>the</w:t>
      </w:r>
      <w:r w:rsidR="00D05755">
        <w:t xml:space="preserve"> i</w:t>
      </w:r>
      <w:r w:rsidR="003F2675">
        <w:t>nputs</w:t>
      </w:r>
      <w:r w:rsidR="00CC4FAE">
        <w:t xml:space="preserve"> are</w:t>
      </w:r>
      <w:r w:rsidR="00D05755">
        <w:t xml:space="preserve"> </w:t>
      </w:r>
      <w:r w:rsidR="00CC4FAE">
        <w:t xml:space="preserve">the </w:t>
      </w:r>
      <w:r w:rsidR="00D05755">
        <w:t>initiator flow rate and jacket fluid flow rate</w:t>
      </w:r>
      <w:r w:rsidR="00CC4FAE">
        <w:t>, and</w:t>
      </w:r>
      <w:r w:rsidR="00D05755">
        <w:t xml:space="preserve"> the outputs </w:t>
      </w:r>
      <w:r w:rsidR="004C7EBF">
        <w:t>are</w:t>
      </w:r>
      <w:r w:rsidR="00D05755">
        <w:t xml:space="preserve"> the product viscosity and reactor temperature. </w:t>
      </w:r>
      <w:r w:rsidR="00DE6EFB">
        <w:t xml:space="preserve">Figure </w:t>
      </w:r>
      <w:r w:rsidR="00B94831">
        <w:t>2a</w:t>
      </w:r>
      <w:r w:rsidR="00DE6EFB">
        <w:t xml:space="preserve"> represents the control structure</w:t>
      </w:r>
      <w:r w:rsidR="00A6280C">
        <w:t>.</w:t>
      </w:r>
    </w:p>
    <w:p w14:paraId="35262F62" w14:textId="77777777" w:rsidR="00A6280C" w:rsidRDefault="00A6280C" w:rsidP="006768DE">
      <w:pPr>
        <w:pStyle w:val="CETBodytext"/>
      </w:pPr>
    </w:p>
    <w:p w14:paraId="26064A60" w14:textId="2AD426E2" w:rsidR="00A6280C" w:rsidRDefault="709FCE18" w:rsidP="006768DE">
      <w:pPr>
        <w:pStyle w:val="CETBodytext"/>
      </w:pPr>
      <w:r w:rsidRPr="002A19BB">
        <w:t xml:space="preserve">The RTO </w:t>
      </w:r>
      <w:r>
        <w:t>layer calculates the optimum outputs (</w:t>
      </w:r>
      <m:oMath>
        <m:sSub>
          <m:sSubPr>
            <m:ctrlPr>
              <w:rPr>
                <w:rFonts w:ascii="Cambria Math" w:hAnsi="Cambria Math"/>
                <w:i/>
              </w:rPr>
            </m:ctrlPr>
          </m:sSubPr>
          <m:e>
            <m:r>
              <w:rPr>
                <w:rFonts w:ascii="Cambria Math" w:hAnsi="Cambria Math"/>
              </w:rPr>
              <m:t>y</m:t>
            </m:r>
          </m:e>
          <m:sub>
            <m:r>
              <w:rPr>
                <w:rFonts w:ascii="Cambria Math" w:hAnsi="Cambria Math"/>
              </w:rPr>
              <m:t>RTO</m:t>
            </m:r>
          </m:sub>
        </m:sSub>
      </m:oMath>
      <w:r>
        <w:t>) and inputs (</w:t>
      </w:r>
      <m:oMath>
        <m:sSub>
          <m:sSubPr>
            <m:ctrlPr>
              <w:rPr>
                <w:rFonts w:ascii="Cambria Math" w:hAnsi="Cambria Math"/>
                <w:i/>
              </w:rPr>
            </m:ctrlPr>
          </m:sSubPr>
          <m:e>
            <m:r>
              <w:rPr>
                <w:rFonts w:ascii="Cambria Math" w:hAnsi="Cambria Math"/>
              </w:rPr>
              <m:t>u</m:t>
            </m:r>
          </m:e>
          <m:sub>
            <m:r>
              <w:rPr>
                <w:rFonts w:ascii="Cambria Math" w:hAnsi="Cambria Math"/>
              </w:rPr>
              <m:t>RTO</m:t>
            </m:r>
          </m:sub>
        </m:sSub>
      </m:oMath>
      <w:r>
        <w:t xml:space="preserve">) for the system, based on an economic goal (objective function), and the nonlinear steady-state mathematical model of the process (mass and energy balance) are constraints for the problem. Besides, in this layer, we inserted the safety constraint developed from the dynamic simulation data obtained in the HAZOP deviation scenarios. </w:t>
      </w:r>
      <m:oMath>
        <m:r>
          <w:rPr>
            <w:rFonts w:ascii="Cambria Math" w:hAnsi="Cambria Math"/>
          </w:rPr>
          <m:t>S(x)</m:t>
        </m:r>
      </m:oMath>
      <w:r>
        <w:t xml:space="preserve"> is a nonlinear function </w:t>
      </w:r>
      <w:r w:rsidRPr="00A25729">
        <w:t>established</w:t>
      </w:r>
      <w:r>
        <w:t xml:space="preserve"> from the process states and called safety index, the </w:t>
      </w:r>
      <m:oMath>
        <m:sSub>
          <m:sSubPr>
            <m:ctrlPr>
              <w:rPr>
                <w:rFonts w:ascii="Cambria Math" w:hAnsi="Cambria Math"/>
                <w:i/>
              </w:rPr>
            </m:ctrlPr>
          </m:sSubPr>
          <m:e>
            <m:r>
              <w:rPr>
                <w:rFonts w:ascii="Cambria Math" w:hAnsi="Cambria Math"/>
              </w:rPr>
              <m:t>S</m:t>
            </m:r>
          </m:e>
          <m:sub>
            <m:r>
              <w:rPr>
                <w:rFonts w:ascii="Cambria Math" w:hAnsi="Cambria Math"/>
              </w:rPr>
              <m:t>TH</m:t>
            </m:r>
          </m:sub>
        </m:sSub>
      </m:oMath>
      <w:r>
        <w:t xml:space="preserve"> is a threshold for </w:t>
      </w:r>
      <m:oMath>
        <m:r>
          <w:rPr>
            <w:rFonts w:ascii="Cambria Math" w:hAnsi="Cambria Math"/>
          </w:rPr>
          <m:t>S(x)</m:t>
        </m:r>
      </m:oMath>
      <w:r>
        <w:t xml:space="preserve"> </w:t>
      </w:r>
      <w:r>
        <w:rPr>
          <w:lang w:val="en-GB"/>
        </w:rPr>
        <w:t xml:space="preserve">. RTO is a nonlinear optimization </w:t>
      </w:r>
      <w:r>
        <w:rPr>
          <w:lang w:val="en-GB"/>
        </w:rPr>
        <w:lastRenderedPageBreak/>
        <w:t xml:space="preserve">problem, and it was solved using </w:t>
      </w:r>
      <w:r w:rsidRPr="3D09E91C">
        <w:rPr>
          <w:i/>
          <w:iCs/>
          <w:lang w:val="en-GB"/>
        </w:rPr>
        <w:t xml:space="preserve">fmincon </w:t>
      </w:r>
      <w:r>
        <w:rPr>
          <w:lang w:val="en-GB"/>
        </w:rPr>
        <w:t>from MATLAB.</w:t>
      </w:r>
      <w:r>
        <w:t xml:space="preserve"> </w:t>
      </w:r>
      <m:oMath>
        <m:sSub>
          <m:sSubPr>
            <m:ctrlPr>
              <w:rPr>
                <w:rFonts w:ascii="Cambria Math" w:hAnsi="Cambria Math"/>
                <w:i/>
                <w:lang w:val="en-GB"/>
              </w:rPr>
            </m:ctrlPr>
          </m:sSubPr>
          <m:e>
            <m:r>
              <w:rPr>
                <w:rFonts w:ascii="Cambria Math" w:hAnsi="Cambria Math"/>
              </w:rPr>
              <m:t>y</m:t>
            </m:r>
          </m:e>
          <m:sub>
            <m:r>
              <w:rPr>
                <w:rFonts w:ascii="Cambria Math" w:hAnsi="Cambria Math"/>
              </w:rPr>
              <m:t>RTO</m:t>
            </m:r>
          </m:sub>
        </m:sSub>
      </m:oMath>
      <w:r>
        <w:t xml:space="preserve"> and </w:t>
      </w:r>
      <m:oMath>
        <m:sSub>
          <m:sSubPr>
            <m:ctrlPr>
              <w:rPr>
                <w:rFonts w:ascii="Cambria Math" w:hAnsi="Cambria Math"/>
                <w:i/>
                <w:lang w:val="en-GB"/>
              </w:rPr>
            </m:ctrlPr>
          </m:sSubPr>
          <m:e>
            <m:r>
              <w:rPr>
                <w:rFonts w:ascii="Cambria Math" w:hAnsi="Cambria Math"/>
              </w:rPr>
              <m:t>u</m:t>
            </m:r>
          </m:e>
          <m:sub>
            <m:r>
              <w:rPr>
                <w:rFonts w:ascii="Cambria Math" w:hAnsi="Cambria Math"/>
              </w:rPr>
              <m:t>RTO</m:t>
            </m:r>
          </m:sub>
        </m:sSub>
      </m:oMath>
      <w:r>
        <w:rPr>
          <w:lang w:val="en-GB"/>
        </w:rPr>
        <w:t xml:space="preserve"> are estimated in the RTO layer and sent to TC, which computes new feasible inputs (</w:t>
      </w:r>
      <m:oMath>
        <m:sSub>
          <m:sSubPr>
            <m:ctrlPr>
              <w:rPr>
                <w:rFonts w:ascii="Cambria Math" w:hAnsi="Cambria Math"/>
                <w:i/>
              </w:rPr>
            </m:ctrlPr>
          </m:sSubPr>
          <m:e>
            <m:r>
              <w:rPr>
                <w:rFonts w:ascii="Cambria Math" w:hAnsi="Cambria Math"/>
              </w:rPr>
              <m:t>u</m:t>
            </m:r>
          </m:e>
          <m:sub>
            <m:r>
              <w:rPr>
                <w:rFonts w:ascii="Cambria Math" w:hAnsi="Cambria Math"/>
              </w:rPr>
              <m:t>des,k</m:t>
            </m:r>
          </m:sub>
        </m:sSub>
      </m:oMath>
      <w:r>
        <w:t>)</w:t>
      </w:r>
      <w:r>
        <w:rPr>
          <w:lang w:val="en-GB"/>
        </w:rPr>
        <w:t xml:space="preserve"> and outputs (</w:t>
      </w:r>
      <m:oMath>
        <m:sSub>
          <m:sSubPr>
            <m:ctrlPr>
              <w:rPr>
                <w:rFonts w:ascii="Cambria Math" w:hAnsi="Cambria Math"/>
                <w:i/>
              </w:rPr>
            </m:ctrlPr>
          </m:sSubPr>
          <m:e>
            <m:r>
              <w:rPr>
                <w:rFonts w:ascii="Cambria Math" w:hAnsi="Cambria Math"/>
              </w:rPr>
              <m:t>y</m:t>
            </m:r>
          </m:e>
          <m:sub>
            <m:r>
              <w:rPr>
                <w:rFonts w:ascii="Cambria Math" w:hAnsi="Cambria Math"/>
              </w:rPr>
              <m:t>des,k</m:t>
            </m:r>
          </m:sub>
        </m:sSub>
      </m:oMath>
      <w:r>
        <w:t xml:space="preserve">) for the IHMPC. TC </w:t>
      </w:r>
      <w:r>
        <w:rPr>
          <w:lang w:val="en-GB"/>
        </w:rPr>
        <w:t xml:space="preserve">problem is structured as an optimization problem, using quadratic programming (QP). </w:t>
      </w:r>
      <m:oMath>
        <m:sSub>
          <m:sSubPr>
            <m:ctrlPr>
              <w:rPr>
                <w:rFonts w:ascii="Cambria Math" w:hAnsi="Cambria Math"/>
                <w:i/>
              </w:rPr>
            </m:ctrlPr>
          </m:sSubPr>
          <m:e>
            <m:r>
              <w:rPr>
                <w:rFonts w:ascii="Cambria Math" w:hAnsi="Cambria Math"/>
              </w:rPr>
              <m:t>y</m:t>
            </m:r>
          </m:e>
          <m:sub>
            <m:r>
              <w:rPr>
                <w:rFonts w:ascii="Cambria Math" w:hAnsi="Cambria Math"/>
              </w:rPr>
              <m:t>des,k</m:t>
            </m:r>
          </m:sub>
        </m:sSub>
      </m:oMath>
      <w:r>
        <w:t xml:space="preserve"> and </w:t>
      </w:r>
      <m:oMath>
        <m:sSub>
          <m:sSubPr>
            <m:ctrlPr>
              <w:rPr>
                <w:rFonts w:ascii="Cambria Math" w:hAnsi="Cambria Math"/>
                <w:i/>
              </w:rPr>
            </m:ctrlPr>
          </m:sSubPr>
          <m:e>
            <m:r>
              <w:rPr>
                <w:rFonts w:ascii="Cambria Math" w:hAnsi="Cambria Math"/>
              </w:rPr>
              <m:t>u</m:t>
            </m:r>
          </m:e>
          <m:sub>
            <m:r>
              <w:rPr>
                <w:rFonts w:ascii="Cambria Math" w:hAnsi="Cambria Math"/>
              </w:rPr>
              <m:t>des,k</m:t>
            </m:r>
          </m:sub>
        </m:sSub>
      </m:oMath>
      <w:r>
        <w:t xml:space="preserve"> are sent to the IHMPC with zone, that computes the control actions (</w:t>
      </w:r>
      <m:oMath>
        <m:sSub>
          <m:sSubPr>
            <m:ctrlPr>
              <w:rPr>
                <w:rFonts w:ascii="Cambria Math" w:hAnsi="Cambria Math"/>
                <w:i/>
                <w:lang w:val="en-GB"/>
              </w:rPr>
            </m:ctrlPr>
          </m:sSubPr>
          <m:e>
            <m:r>
              <w:rPr>
                <w:rFonts w:ascii="Cambria Math" w:hAnsi="Cambria Math"/>
              </w:rPr>
              <m:t>u</m:t>
            </m:r>
          </m:e>
          <m:sub>
            <m:r>
              <w:rPr>
                <w:rFonts w:ascii="Cambria Math" w:hAnsi="Cambria Math"/>
              </w:rPr>
              <m:t>k</m:t>
            </m:r>
          </m:sub>
        </m:sSub>
      </m:oMath>
      <w:r>
        <w:rPr>
          <w:lang w:val="en-GB"/>
        </w:rPr>
        <w:t>)</w:t>
      </w:r>
      <w:r>
        <w:t xml:space="preserve"> for the polymerization reactor. The IHMPC presented in this work was proposed by</w:t>
      </w:r>
      <w:r w:rsidR="641C9D81">
        <w:t xml:space="preserve"> </w:t>
      </w:r>
      <w:r w:rsidRPr="00E33224">
        <w:t>González and Odloak (2009)</w:t>
      </w:r>
      <w:r>
        <w:t>. This controller class utilizes the linear model representation called OPOM (Output Prediction Oriented Model). In addition, for IHMPC with zone control, the references (</w:t>
      </w:r>
      <m:oMath>
        <m:sSub>
          <m:sSubPr>
            <m:ctrlPr>
              <w:rPr>
                <w:rFonts w:ascii="Cambria Math" w:hAnsi="Cambria Math"/>
                <w:i/>
              </w:rPr>
            </m:ctrlPr>
          </m:sSubPr>
          <m:e>
            <m:r>
              <w:rPr>
                <w:rFonts w:ascii="Cambria Math" w:hAnsi="Cambria Math"/>
              </w:rPr>
              <m:t>y</m:t>
            </m:r>
          </m:e>
          <m:sub>
            <m:r>
              <w:rPr>
                <w:rFonts w:ascii="Cambria Math" w:hAnsi="Cambria Math"/>
              </w:rPr>
              <m:t>sp,k</m:t>
            </m:r>
          </m:sub>
        </m:sSub>
      </m:oMath>
      <w:r>
        <w:t xml:space="preserve">) are decision variables because the zone represents bounds for the set point. In this context, the zones could represent an extra safety constraint. </w:t>
      </w:r>
      <w:r w:rsidRPr="00D77438">
        <w:t>Likewise, the manipulated variables receive the targets from the TC, as</w:t>
      </w:r>
      <w:r>
        <w:t xml:space="preserve"> a</w:t>
      </w:r>
      <w:r w:rsidRPr="00D77438">
        <w:t xml:space="preserve"> reference</w:t>
      </w:r>
      <w:r>
        <w:t xml:space="preserve">. The IHMPC with zone control contains slack variables to guarantee the objective function is bounded and the model feasibility. For this work, we adopt a prediction horizon, </w:t>
      </w:r>
      <m:oMath>
        <m:r>
          <w:rPr>
            <w:rFonts w:ascii="Cambria Math" w:hAnsi="Cambria Math"/>
          </w:rPr>
          <m:t>m</m:t>
        </m:r>
      </m:oMath>
      <w:r>
        <w:t xml:space="preserve"> = 3. More details on how to implement the control structure for the polymerization reactor are described in </w:t>
      </w:r>
      <w:r w:rsidRPr="004B34FB">
        <w:t>Alvarez</w:t>
      </w:r>
      <w:r>
        <w:t xml:space="preserve"> and </w:t>
      </w:r>
      <w:r w:rsidRPr="004B34FB">
        <w:t>Odloak</w:t>
      </w:r>
      <w:r>
        <w:t xml:space="preserve"> (2012). As the control structure is based on the OPOM model, it utilizes a linear model representation of the styrene reactor, obtained from the transfer functions according to Table 1.</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0"/>
        <w:gridCol w:w="4697"/>
      </w:tblGrid>
      <w:tr w:rsidR="00B94831" w14:paraId="72FED7E5" w14:textId="77777777" w:rsidTr="00B94831">
        <w:tc>
          <w:tcPr>
            <w:tcW w:w="4388" w:type="dxa"/>
            <w:vAlign w:val="center"/>
          </w:tcPr>
          <w:p w14:paraId="1BDF176A" w14:textId="1629C411" w:rsidR="00B94831" w:rsidRDefault="00B94831" w:rsidP="00B94831">
            <w:pPr>
              <w:pStyle w:val="CETBodytext"/>
              <w:jc w:val="center"/>
            </w:pPr>
            <w:r w:rsidRPr="00DE6EFB">
              <w:rPr>
                <w:noProof/>
              </w:rPr>
              <w:drawing>
                <wp:inline distT="0" distB="0" distL="0" distR="0" wp14:anchorId="5B5378D2" wp14:editId="72112CBA">
                  <wp:extent cx="2149434" cy="2274219"/>
                  <wp:effectExtent l="0" t="0" r="3810" b="0"/>
                  <wp:docPr id="7" name="Imagem 7" descr="C:\Users\Fernando\OneDrive - Universidade Estadual de Campinas\1 - Doutorado\ICHEAP_2023\figur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nando\OneDrive - Universidade Estadual de Campinas\1 - Doutorado\ICHEAP_2023\figure_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1322" cy="2276216"/>
                          </a:xfrm>
                          <a:prstGeom prst="rect">
                            <a:avLst/>
                          </a:prstGeom>
                          <a:noFill/>
                          <a:ln>
                            <a:noFill/>
                          </a:ln>
                        </pic:spPr>
                      </pic:pic>
                    </a:graphicData>
                  </a:graphic>
                </wp:inline>
              </w:drawing>
            </w:r>
          </w:p>
        </w:tc>
        <w:tc>
          <w:tcPr>
            <w:tcW w:w="4389" w:type="dxa"/>
            <w:vAlign w:val="center"/>
          </w:tcPr>
          <w:p w14:paraId="5891F8B3" w14:textId="697F1F00" w:rsidR="00B94831" w:rsidRDefault="00B94831" w:rsidP="00B94831">
            <w:pPr>
              <w:pStyle w:val="CETBodytext"/>
              <w:jc w:val="center"/>
            </w:pPr>
            <w:r w:rsidRPr="00A24053">
              <w:rPr>
                <w:noProof/>
              </w:rPr>
              <w:drawing>
                <wp:inline distT="0" distB="0" distL="0" distR="0" wp14:anchorId="4CD52FDF" wp14:editId="299A54EE">
                  <wp:extent cx="2845479" cy="1874520"/>
                  <wp:effectExtent l="0" t="0" r="0" b="0"/>
                  <wp:docPr id="3" name="Imagem 3" descr="C:\Users\Fernando\OneDrive - Universidade Estadual de Campinas\1 - Doutorado\ICHEAP_2023\fig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OneDrive - Universidade Estadual de Campinas\1 - Doutorado\ICHEAP_2023\figure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070" cy="1882815"/>
                          </a:xfrm>
                          <a:prstGeom prst="rect">
                            <a:avLst/>
                          </a:prstGeom>
                          <a:noFill/>
                          <a:ln>
                            <a:noFill/>
                          </a:ln>
                        </pic:spPr>
                      </pic:pic>
                    </a:graphicData>
                  </a:graphic>
                </wp:inline>
              </w:drawing>
            </w:r>
          </w:p>
        </w:tc>
      </w:tr>
      <w:tr w:rsidR="00B94831" w14:paraId="0FA61771" w14:textId="77777777" w:rsidTr="00B94831">
        <w:tc>
          <w:tcPr>
            <w:tcW w:w="4388" w:type="dxa"/>
            <w:vAlign w:val="center"/>
          </w:tcPr>
          <w:p w14:paraId="35AD6979" w14:textId="37AFE49F" w:rsidR="00B94831" w:rsidRDefault="00B94831" w:rsidP="00B94831">
            <w:pPr>
              <w:pStyle w:val="CETBodytext"/>
              <w:jc w:val="center"/>
            </w:pPr>
            <w:r w:rsidRPr="00B94831">
              <w:rPr>
                <w:b/>
              </w:rPr>
              <w:t>(a)</w:t>
            </w:r>
            <w:r>
              <w:t xml:space="preserve"> Control structure</w:t>
            </w:r>
          </w:p>
        </w:tc>
        <w:tc>
          <w:tcPr>
            <w:tcW w:w="4389" w:type="dxa"/>
            <w:vAlign w:val="center"/>
          </w:tcPr>
          <w:p w14:paraId="58B41568" w14:textId="507D3151" w:rsidR="00B94831" w:rsidRDefault="00B94831" w:rsidP="00B94831">
            <w:pPr>
              <w:pStyle w:val="CETBodytext"/>
              <w:jc w:val="center"/>
            </w:pPr>
            <w:r w:rsidRPr="00B94831">
              <w:rPr>
                <w:b/>
              </w:rPr>
              <w:t>(b)</w:t>
            </w:r>
            <w:r>
              <w:t xml:space="preserve"> Process system</w:t>
            </w:r>
          </w:p>
        </w:tc>
      </w:tr>
    </w:tbl>
    <w:p w14:paraId="364FF041" w14:textId="34A54776" w:rsidR="00DE6EFB" w:rsidRPr="00DE6EFB" w:rsidRDefault="00DE6EFB" w:rsidP="006768DE">
      <w:pPr>
        <w:pStyle w:val="CETBodytext"/>
        <w:rPr>
          <w:i/>
        </w:rPr>
      </w:pPr>
      <w:r w:rsidRPr="00DE6EFB">
        <w:rPr>
          <w:rStyle w:val="CETCaptionCarattere"/>
        </w:rPr>
        <w:t xml:space="preserve">Figure </w:t>
      </w:r>
      <w:r w:rsidR="00B94831">
        <w:rPr>
          <w:rStyle w:val="CETCaptionCarattere"/>
        </w:rPr>
        <w:t>2</w:t>
      </w:r>
      <w:r w:rsidRPr="00DE6EFB">
        <w:rPr>
          <w:rStyle w:val="CETCaptionCarattere"/>
        </w:rPr>
        <w:t xml:space="preserve">: </w:t>
      </w:r>
      <w:r w:rsidR="00B94831">
        <w:rPr>
          <w:rStyle w:val="CETCaptionCarattere"/>
        </w:rPr>
        <w:t xml:space="preserve">(a) </w:t>
      </w:r>
      <w:r>
        <w:rPr>
          <w:rStyle w:val="CETCaptionCarattere"/>
        </w:rPr>
        <w:t xml:space="preserve">Control structure with RTO, </w:t>
      </w:r>
      <w:r w:rsidR="003E7EE9">
        <w:rPr>
          <w:rStyle w:val="CETCaptionCarattere"/>
        </w:rPr>
        <w:t xml:space="preserve">safety constraint, </w:t>
      </w:r>
      <w:r>
        <w:rPr>
          <w:rStyle w:val="CETCaptionCarattere"/>
        </w:rPr>
        <w:t>TC and MPC</w:t>
      </w:r>
      <w:r w:rsidR="00B94831">
        <w:rPr>
          <w:rStyle w:val="CETCaptionCarattere"/>
        </w:rPr>
        <w:t>; (b) Process system:</w:t>
      </w:r>
      <w:r w:rsidR="00B94831" w:rsidRPr="00B94831">
        <w:t xml:space="preserve"> </w:t>
      </w:r>
      <w:r w:rsidR="00B94831">
        <w:rPr>
          <w:rStyle w:val="CETCaptionCarattere"/>
        </w:rPr>
        <w:t xml:space="preserve">Simplified </w:t>
      </w:r>
      <w:r w:rsidR="00B94831" w:rsidRPr="00BD077D">
        <w:t>process</w:t>
      </w:r>
      <w:r w:rsidR="00B94831">
        <w:t xml:space="preserve"> diagram of the styrene polymerization reactor</w:t>
      </w:r>
    </w:p>
    <w:p w14:paraId="504AEE26" w14:textId="3E1825CE" w:rsidR="00416C87" w:rsidRPr="00B57B36" w:rsidRDefault="00416C87" w:rsidP="00416C87">
      <w:pPr>
        <w:pStyle w:val="CETTabletitle"/>
      </w:pPr>
      <w:r w:rsidRPr="00B57B36">
        <w:t xml:space="preserve">Table 1: </w:t>
      </w:r>
      <w:r>
        <w:t>Transfer functions model of styrene reactor for IHMPC with zone control</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2835"/>
        <w:gridCol w:w="3158"/>
      </w:tblGrid>
      <w:tr w:rsidR="00BC7FCF" w:rsidRPr="00B57B36" w14:paraId="03F60CC8" w14:textId="77777777" w:rsidTr="00BC7FCF">
        <w:tc>
          <w:tcPr>
            <w:tcW w:w="1418" w:type="dxa"/>
            <w:tcBorders>
              <w:top w:val="single" w:sz="12" w:space="0" w:color="008000"/>
              <w:bottom w:val="single" w:sz="6" w:space="0" w:color="008000"/>
            </w:tcBorders>
            <w:shd w:val="clear" w:color="auto" w:fill="FFFFFF"/>
          </w:tcPr>
          <w:p w14:paraId="659EFC06" w14:textId="45B92A61" w:rsidR="00BC7FCF" w:rsidRPr="00B57B36" w:rsidRDefault="00BC7FCF" w:rsidP="00BC1529">
            <w:pPr>
              <w:pStyle w:val="CETBodytext"/>
              <w:rPr>
                <w:lang w:val="en-GB"/>
              </w:rPr>
            </w:pPr>
          </w:p>
        </w:tc>
        <w:tc>
          <w:tcPr>
            <w:tcW w:w="2835" w:type="dxa"/>
            <w:tcBorders>
              <w:top w:val="single" w:sz="12" w:space="0" w:color="008000"/>
              <w:bottom w:val="single" w:sz="6" w:space="0" w:color="008000"/>
            </w:tcBorders>
            <w:shd w:val="clear" w:color="auto" w:fill="FFFFFF"/>
          </w:tcPr>
          <w:p w14:paraId="1F375251" w14:textId="46D97C52" w:rsidR="00BC7FCF" w:rsidRPr="00B57B36" w:rsidRDefault="00E83AB9" w:rsidP="00BC7FCF">
            <w:pPr>
              <w:pStyle w:val="CETBodytext"/>
              <w:rPr>
                <w:lang w:val="en-GB"/>
              </w:rPr>
            </w:pPr>
            <m:oMathPara>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1</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i</m:t>
                        </m:r>
                      </m:sub>
                    </m:sSub>
                  </m:e>
                </m:d>
                <m:d>
                  <m:dPr>
                    <m:begChr m:val="["/>
                    <m:endChr m:val="]"/>
                    <m:ctrlPr>
                      <w:rPr>
                        <w:rFonts w:ascii="Cambria Math" w:hAnsi="Cambria Math"/>
                        <w:i/>
                        <w:lang w:val="en-GB"/>
                      </w:rPr>
                    </m:ctrlPr>
                  </m:dPr>
                  <m:e>
                    <m:r>
                      <w:rPr>
                        <w:rFonts w:ascii="Cambria Math" w:hAnsi="Cambria Math"/>
                        <w:lang w:val="en-GB"/>
                      </w:rPr>
                      <m:t>L</m:t>
                    </m:r>
                    <m:r>
                      <w:rPr>
                        <w:rFonts w:ascii="Cambria Math" w:hAnsi="Cambria Math"/>
                        <w:lang w:val="en-GB"/>
                      </w:rPr>
                      <m:t>/h</m:t>
                    </m:r>
                  </m:e>
                </m:d>
              </m:oMath>
            </m:oMathPara>
          </w:p>
        </w:tc>
        <w:tc>
          <w:tcPr>
            <w:tcW w:w="2495" w:type="dxa"/>
            <w:tcBorders>
              <w:top w:val="single" w:sz="12" w:space="0" w:color="008000"/>
              <w:bottom w:val="single" w:sz="6" w:space="0" w:color="008000"/>
            </w:tcBorders>
            <w:shd w:val="clear" w:color="auto" w:fill="FFFFFF"/>
          </w:tcPr>
          <w:p w14:paraId="285DA2A0" w14:textId="79DC99BD" w:rsidR="00BC7FCF" w:rsidRPr="00B57B36" w:rsidRDefault="00E83AB9" w:rsidP="00BC7FCF">
            <w:pPr>
              <w:pStyle w:val="CETBodytext"/>
              <w:rPr>
                <w:lang w:val="en-GB"/>
              </w:rPr>
            </w:pPr>
            <m:oMathPara>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2</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c</m:t>
                        </m:r>
                      </m:sub>
                    </m:sSub>
                  </m:e>
                </m:d>
                <m:d>
                  <m:dPr>
                    <m:begChr m:val="["/>
                    <m:endChr m:val="]"/>
                    <m:ctrlPr>
                      <w:rPr>
                        <w:rFonts w:ascii="Cambria Math" w:hAnsi="Cambria Math"/>
                        <w:i/>
                        <w:lang w:val="en-GB"/>
                      </w:rPr>
                    </m:ctrlPr>
                  </m:dPr>
                  <m:e>
                    <m:r>
                      <w:rPr>
                        <w:rFonts w:ascii="Cambria Math" w:hAnsi="Cambria Math"/>
                        <w:lang w:val="en-GB"/>
                      </w:rPr>
                      <m:t>L</m:t>
                    </m:r>
                    <m:r>
                      <w:rPr>
                        <w:rFonts w:ascii="Cambria Math" w:hAnsi="Cambria Math"/>
                        <w:lang w:val="en-GB"/>
                      </w:rPr>
                      <m:t>/h</m:t>
                    </m:r>
                  </m:e>
                </m:d>
              </m:oMath>
            </m:oMathPara>
          </w:p>
        </w:tc>
      </w:tr>
      <w:tr w:rsidR="00BC7FCF" w:rsidRPr="00B57B36" w14:paraId="3A4B6C67" w14:textId="77777777" w:rsidTr="00BC7FCF">
        <w:tc>
          <w:tcPr>
            <w:tcW w:w="1418" w:type="dxa"/>
            <w:shd w:val="clear" w:color="auto" w:fill="FFFFFF"/>
          </w:tcPr>
          <w:p w14:paraId="1154F5C7" w14:textId="7A091353" w:rsidR="00BC7FCF" w:rsidRPr="00BC7FCF" w:rsidRDefault="00E83AB9" w:rsidP="00BC7FCF">
            <w:pPr>
              <w:pStyle w:val="CETBodytext"/>
              <w:jc w:val="lef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1</m:t>
                    </m:r>
                  </m:sub>
                </m:sSub>
                <m:d>
                  <m:dPr>
                    <m:ctrlPr>
                      <w:rPr>
                        <w:rFonts w:ascii="Cambria Math" w:hAnsi="Cambria Math"/>
                        <w:i/>
                        <w:lang w:val="en-GB"/>
                      </w:rPr>
                    </m:ctrlPr>
                  </m:dPr>
                  <m:e>
                    <m:r>
                      <w:rPr>
                        <w:rFonts w:ascii="Cambria Math" w:hAnsi="Cambria Math"/>
                        <w:lang w:val="en-GB"/>
                      </w:rPr>
                      <m:t>η</m:t>
                    </m:r>
                  </m:e>
                </m:d>
                <m:d>
                  <m:dPr>
                    <m:begChr m:val="["/>
                    <m:endChr m:val="]"/>
                    <m:ctrlPr>
                      <w:rPr>
                        <w:rFonts w:ascii="Cambria Math" w:hAnsi="Cambria Math"/>
                        <w:i/>
                        <w:lang w:val="en-GB"/>
                      </w:rPr>
                    </m:ctrlPr>
                  </m:dPr>
                  <m:e>
                    <m:r>
                      <w:rPr>
                        <w:rFonts w:ascii="Cambria Math" w:hAnsi="Cambria Math"/>
                        <w:lang w:val="en-GB"/>
                      </w:rPr>
                      <m:t>L</m:t>
                    </m:r>
                    <m:r>
                      <w:rPr>
                        <w:rFonts w:ascii="Cambria Math" w:hAnsi="Cambria Math"/>
                        <w:lang w:val="en-GB"/>
                      </w:rPr>
                      <m:t>/</m:t>
                    </m:r>
                    <m:r>
                      <w:rPr>
                        <w:rFonts w:ascii="Cambria Math" w:hAnsi="Cambria Math"/>
                        <w:lang w:val="en-GB"/>
                      </w:rPr>
                      <m:t>g</m:t>
                    </m:r>
                  </m:e>
                </m:d>
              </m:oMath>
            </m:oMathPara>
          </w:p>
        </w:tc>
        <w:tc>
          <w:tcPr>
            <w:tcW w:w="2835" w:type="dxa"/>
            <w:shd w:val="clear" w:color="auto" w:fill="FFFFFF"/>
          </w:tcPr>
          <w:p w14:paraId="036591B6" w14:textId="69618145" w:rsidR="00BC7FCF" w:rsidRPr="00B57B36" w:rsidRDefault="00E83AB9" w:rsidP="00BC1529">
            <w:pPr>
              <w:pStyle w:val="CETBodytext"/>
              <w:rPr>
                <w:lang w:val="en-GB"/>
              </w:rPr>
            </w:pPr>
            <m:oMathPara>
              <m:oMath>
                <m:f>
                  <m:fPr>
                    <m:ctrlPr>
                      <w:rPr>
                        <w:rFonts w:ascii="Cambria Math" w:hAnsi="Cambria Math"/>
                        <w:i/>
                        <w:lang w:val="en-GB"/>
                      </w:rPr>
                    </m:ctrlPr>
                  </m:fPr>
                  <m:num>
                    <m:r>
                      <w:rPr>
                        <w:rFonts w:ascii="Cambria Math" w:hAnsi="Cambria Math"/>
                        <w:lang w:val="en-GB"/>
                      </w:rPr>
                      <m:t>-66.69</m:t>
                    </m:r>
                  </m:num>
                  <m:den>
                    <m:d>
                      <m:dPr>
                        <m:ctrlPr>
                          <w:rPr>
                            <w:rFonts w:ascii="Cambria Math" w:hAnsi="Cambria Math"/>
                            <w:i/>
                            <w:lang w:val="en-GB"/>
                          </w:rPr>
                        </m:ctrlPr>
                      </m:dPr>
                      <m:e>
                        <m:r>
                          <w:rPr>
                            <w:rFonts w:ascii="Cambria Math" w:hAnsi="Cambria Math"/>
                            <w:lang w:val="en-GB"/>
                          </w:rPr>
                          <m:t>1+5.3474</m:t>
                        </m:r>
                        <m:r>
                          <w:rPr>
                            <w:rFonts w:ascii="Cambria Math" w:hAnsi="Cambria Math"/>
                            <w:lang w:val="en-GB"/>
                          </w:rPr>
                          <m:t>s</m:t>
                        </m:r>
                      </m:e>
                    </m:d>
                    <m:d>
                      <m:dPr>
                        <m:ctrlPr>
                          <w:rPr>
                            <w:rFonts w:ascii="Cambria Math" w:hAnsi="Cambria Math"/>
                            <w:i/>
                            <w:lang w:val="en-GB"/>
                          </w:rPr>
                        </m:ctrlPr>
                      </m:dPr>
                      <m:e>
                        <m:r>
                          <w:rPr>
                            <w:rFonts w:ascii="Cambria Math" w:hAnsi="Cambria Math"/>
                            <w:lang w:val="en-GB"/>
                          </w:rPr>
                          <m:t>1+2.5274</m:t>
                        </m:r>
                        <m:r>
                          <w:rPr>
                            <w:rFonts w:ascii="Cambria Math" w:hAnsi="Cambria Math"/>
                            <w:lang w:val="en-GB"/>
                          </w:rPr>
                          <m:t>s</m:t>
                        </m:r>
                      </m:e>
                    </m:d>
                  </m:den>
                </m:f>
              </m:oMath>
            </m:oMathPara>
          </w:p>
        </w:tc>
        <w:tc>
          <w:tcPr>
            <w:tcW w:w="2495" w:type="dxa"/>
            <w:shd w:val="clear" w:color="auto" w:fill="FFFFFF"/>
          </w:tcPr>
          <w:p w14:paraId="6A93B25B" w14:textId="5452B0DD" w:rsidR="00BC7FCF" w:rsidRPr="00B57B36" w:rsidRDefault="00E83AB9" w:rsidP="00BC1529">
            <w:pPr>
              <w:pStyle w:val="CETBodytext"/>
              <w:rPr>
                <w:lang w:val="en-GB"/>
              </w:rPr>
            </w:pPr>
            <m:oMathPara>
              <m:oMath>
                <m:f>
                  <m:fPr>
                    <m:ctrlPr>
                      <w:rPr>
                        <w:rFonts w:ascii="Cambria Math" w:hAnsi="Cambria Math"/>
                        <w:i/>
                        <w:lang w:val="en-GB"/>
                      </w:rPr>
                    </m:ctrlPr>
                  </m:fPr>
                  <m:num>
                    <m:r>
                      <w:rPr>
                        <w:rFonts w:ascii="Cambria Math" w:hAnsi="Cambria Math"/>
                        <w:lang w:val="en-GB"/>
                      </w:rPr>
                      <m:t>5.9425</m:t>
                    </m:r>
                  </m:num>
                  <m:den>
                    <m:d>
                      <m:dPr>
                        <m:ctrlPr>
                          <w:rPr>
                            <w:rFonts w:ascii="Cambria Math" w:hAnsi="Cambria Math"/>
                            <w:i/>
                            <w:lang w:val="en-GB"/>
                          </w:rPr>
                        </m:ctrlPr>
                      </m:dPr>
                      <m:e>
                        <m:r>
                          <w:rPr>
                            <w:rFonts w:ascii="Cambria Math" w:hAnsi="Cambria Math"/>
                            <w:lang w:val="en-GB"/>
                          </w:rPr>
                          <m:t>1+7.6525</m:t>
                        </m:r>
                        <m:r>
                          <w:rPr>
                            <w:rFonts w:ascii="Cambria Math" w:hAnsi="Cambria Math"/>
                            <w:lang w:val="en-GB"/>
                          </w:rPr>
                          <m:t>s</m:t>
                        </m:r>
                      </m:e>
                    </m:d>
                    <m:d>
                      <m:dPr>
                        <m:ctrlPr>
                          <w:rPr>
                            <w:rFonts w:ascii="Cambria Math" w:hAnsi="Cambria Math"/>
                            <w:i/>
                            <w:lang w:val="en-GB"/>
                          </w:rPr>
                        </m:ctrlPr>
                      </m:dPr>
                      <m:e>
                        <m:r>
                          <w:rPr>
                            <w:rFonts w:ascii="Cambria Math" w:hAnsi="Cambria Math"/>
                            <w:lang w:val="en-GB"/>
                          </w:rPr>
                          <m:t>1+3.091</m:t>
                        </m:r>
                        <m:r>
                          <w:rPr>
                            <w:rFonts w:ascii="Cambria Math" w:hAnsi="Cambria Math"/>
                            <w:lang w:val="en-GB"/>
                          </w:rPr>
                          <m:t>s</m:t>
                        </m:r>
                      </m:e>
                    </m:d>
                    <m:d>
                      <m:dPr>
                        <m:ctrlPr>
                          <w:rPr>
                            <w:rFonts w:ascii="Cambria Math" w:hAnsi="Cambria Math"/>
                            <w:i/>
                            <w:lang w:val="en-GB"/>
                          </w:rPr>
                        </m:ctrlPr>
                      </m:dPr>
                      <m:e>
                        <m:r>
                          <w:rPr>
                            <w:rFonts w:ascii="Cambria Math" w:hAnsi="Cambria Math"/>
                            <w:lang w:val="en-GB"/>
                          </w:rPr>
                          <m:t>1+2.7063</m:t>
                        </m:r>
                        <m:r>
                          <w:rPr>
                            <w:rFonts w:ascii="Cambria Math" w:hAnsi="Cambria Math"/>
                            <w:lang w:val="en-GB"/>
                          </w:rPr>
                          <m:t>s</m:t>
                        </m:r>
                      </m:e>
                    </m:d>
                  </m:den>
                </m:f>
              </m:oMath>
            </m:oMathPara>
          </w:p>
        </w:tc>
      </w:tr>
      <w:tr w:rsidR="00BC7FCF" w:rsidRPr="00B57B36" w14:paraId="56C1A3BC" w14:textId="77777777" w:rsidTr="00BC7FCF">
        <w:tc>
          <w:tcPr>
            <w:tcW w:w="1418" w:type="dxa"/>
            <w:shd w:val="clear" w:color="auto" w:fill="FFFFFF"/>
          </w:tcPr>
          <w:p w14:paraId="7A8A8DB8" w14:textId="746F6BEF" w:rsidR="00BC7FCF" w:rsidRPr="00BC7FCF" w:rsidRDefault="00E83AB9" w:rsidP="00BC7FCF">
            <w:pPr>
              <w:pStyle w:val="CETBodytext"/>
              <w:ind w:right="-1"/>
              <w:jc w:val="left"/>
              <w:rPr>
                <w:rFonts w:cs="Arial"/>
                <w:szCs w:val="18"/>
                <w:lang w:val="en-GB"/>
              </w:rPr>
            </w:pPr>
            <m:oMathPara>
              <m:oMathParaPr>
                <m:jc m:val="left"/>
              </m:oMathParaP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2</m:t>
                    </m:r>
                  </m:sub>
                </m:sSub>
                <m:d>
                  <m:dPr>
                    <m:ctrlPr>
                      <w:rPr>
                        <w:rFonts w:ascii="Cambria Math" w:hAnsi="Cambria Math"/>
                        <w:i/>
                        <w:lang w:val="en-GB"/>
                      </w:rPr>
                    </m:ctrlPr>
                  </m:dPr>
                  <m:e>
                    <m:r>
                      <w:rPr>
                        <w:rFonts w:ascii="Cambria Math" w:hAnsi="Cambria Math"/>
                        <w:lang w:val="en-GB"/>
                      </w:rPr>
                      <m:t>T</m:t>
                    </m:r>
                  </m:e>
                </m:d>
                <m:d>
                  <m:dPr>
                    <m:begChr m:val="["/>
                    <m:endChr m:val="]"/>
                    <m:ctrlPr>
                      <w:rPr>
                        <w:rFonts w:ascii="Cambria Math" w:hAnsi="Cambria Math"/>
                        <w:i/>
                        <w:lang w:val="en-GB"/>
                      </w:rPr>
                    </m:ctrlPr>
                  </m:dPr>
                  <m:e>
                    <m:r>
                      <w:rPr>
                        <w:rFonts w:ascii="Cambria Math" w:hAnsi="Cambria Math"/>
                        <w:lang w:val="en-GB"/>
                      </w:rPr>
                      <m:t>K</m:t>
                    </m:r>
                  </m:e>
                </m:d>
              </m:oMath>
            </m:oMathPara>
          </w:p>
        </w:tc>
        <w:tc>
          <w:tcPr>
            <w:tcW w:w="2835" w:type="dxa"/>
            <w:shd w:val="clear" w:color="auto" w:fill="FFFFFF"/>
          </w:tcPr>
          <w:p w14:paraId="306BD809" w14:textId="7782F68C" w:rsidR="00BC7FCF" w:rsidRPr="00B57B36" w:rsidRDefault="00E83AB9" w:rsidP="00BC1529">
            <w:pPr>
              <w:pStyle w:val="CETBodytext"/>
              <w:ind w:right="-1"/>
              <w:rPr>
                <w:rFonts w:cs="Arial"/>
                <w:szCs w:val="18"/>
                <w:lang w:val="en-GB"/>
              </w:rPr>
            </w:pPr>
            <m:oMathPara>
              <m:oMath>
                <m:f>
                  <m:fPr>
                    <m:ctrlPr>
                      <w:rPr>
                        <w:rFonts w:ascii="Cambria Math" w:hAnsi="Cambria Math" w:cs="Arial"/>
                        <w:i/>
                        <w:szCs w:val="18"/>
                        <w:lang w:val="en-GB"/>
                      </w:rPr>
                    </m:ctrlPr>
                  </m:fPr>
                  <m:num>
                    <m:r>
                      <w:rPr>
                        <w:rFonts w:ascii="Cambria Math" w:hAnsi="Cambria Math" w:cs="Arial"/>
                        <w:szCs w:val="18"/>
                        <w:lang w:val="en-GB"/>
                      </w:rPr>
                      <m:t>144.7925</m:t>
                    </m:r>
                  </m:num>
                  <m:den>
                    <m:d>
                      <m:dPr>
                        <m:ctrlPr>
                          <w:rPr>
                            <w:rFonts w:ascii="Cambria Math" w:hAnsi="Cambria Math" w:cs="Arial"/>
                            <w:i/>
                            <w:szCs w:val="18"/>
                            <w:lang w:val="en-GB"/>
                          </w:rPr>
                        </m:ctrlPr>
                      </m:dPr>
                      <m:e>
                        <m:r>
                          <w:rPr>
                            <w:rFonts w:ascii="Cambria Math" w:hAnsi="Cambria Math" w:cs="Arial"/>
                            <w:szCs w:val="18"/>
                            <w:lang w:val="en-GB"/>
                          </w:rPr>
                          <m:t>1+6.7599</m:t>
                        </m:r>
                        <m:r>
                          <w:rPr>
                            <w:rFonts w:ascii="Cambria Math" w:hAnsi="Cambria Math" w:cs="Arial"/>
                            <w:szCs w:val="18"/>
                            <w:lang w:val="en-GB"/>
                          </w:rPr>
                          <m:t>s</m:t>
                        </m:r>
                      </m:e>
                    </m:d>
                    <m:d>
                      <m:dPr>
                        <m:ctrlPr>
                          <w:rPr>
                            <w:rFonts w:ascii="Cambria Math" w:hAnsi="Cambria Math" w:cs="Arial"/>
                            <w:i/>
                            <w:szCs w:val="18"/>
                            <w:lang w:val="en-GB"/>
                          </w:rPr>
                        </m:ctrlPr>
                      </m:dPr>
                      <m:e>
                        <m:r>
                          <w:rPr>
                            <w:rFonts w:ascii="Cambria Math" w:hAnsi="Cambria Math" w:cs="Arial"/>
                            <w:szCs w:val="18"/>
                            <w:lang w:val="en-GB"/>
                          </w:rPr>
                          <m:t>1+1.5797</m:t>
                        </m:r>
                        <m:r>
                          <w:rPr>
                            <w:rFonts w:ascii="Cambria Math" w:hAnsi="Cambria Math" w:cs="Arial"/>
                            <w:szCs w:val="18"/>
                            <w:lang w:val="en-GB"/>
                          </w:rPr>
                          <m:t>s</m:t>
                        </m:r>
                      </m:e>
                    </m:d>
                  </m:den>
                </m:f>
              </m:oMath>
            </m:oMathPara>
          </w:p>
        </w:tc>
        <w:tc>
          <w:tcPr>
            <w:tcW w:w="2495" w:type="dxa"/>
            <w:shd w:val="clear" w:color="auto" w:fill="FFFFFF"/>
          </w:tcPr>
          <w:p w14:paraId="344BA56A" w14:textId="4F394C0E" w:rsidR="00BC7FCF" w:rsidRPr="00B57B36" w:rsidRDefault="00E83AB9" w:rsidP="00BC1529">
            <w:pPr>
              <w:pStyle w:val="CETBodytext"/>
              <w:ind w:right="-1"/>
              <w:rPr>
                <w:rFonts w:cs="Arial"/>
                <w:szCs w:val="18"/>
                <w:lang w:val="en-GB"/>
              </w:rPr>
            </w:pPr>
            <m:oMathPara>
              <m:oMath>
                <m:f>
                  <m:fPr>
                    <m:ctrlPr>
                      <w:rPr>
                        <w:rFonts w:ascii="Cambria Math" w:hAnsi="Cambria Math" w:cs="Arial"/>
                        <w:i/>
                        <w:szCs w:val="18"/>
                        <w:lang w:val="en-GB"/>
                      </w:rPr>
                    </m:ctrlPr>
                  </m:fPr>
                  <m:num>
                    <m:r>
                      <w:rPr>
                        <w:rFonts w:ascii="Cambria Math" w:hAnsi="Cambria Math" w:cs="Arial"/>
                        <w:szCs w:val="18"/>
                        <w:lang w:val="en-GB"/>
                      </w:rPr>
                      <m:t>-47.5589</m:t>
                    </m:r>
                  </m:num>
                  <m:den>
                    <m:d>
                      <m:dPr>
                        <m:ctrlPr>
                          <w:rPr>
                            <w:rFonts w:ascii="Cambria Math" w:hAnsi="Cambria Math" w:cs="Arial"/>
                            <w:i/>
                            <w:szCs w:val="18"/>
                            <w:lang w:val="en-GB"/>
                          </w:rPr>
                        </m:ctrlPr>
                      </m:dPr>
                      <m:e>
                        <m:r>
                          <w:rPr>
                            <w:rFonts w:ascii="Cambria Math" w:hAnsi="Cambria Math" w:cs="Arial"/>
                            <w:szCs w:val="18"/>
                            <w:lang w:val="en-GB"/>
                          </w:rPr>
                          <m:t>1+7.6173</m:t>
                        </m:r>
                        <m:r>
                          <w:rPr>
                            <w:rFonts w:ascii="Cambria Math" w:hAnsi="Cambria Math" w:cs="Arial"/>
                            <w:szCs w:val="18"/>
                            <w:lang w:val="en-GB"/>
                          </w:rPr>
                          <m:t>s</m:t>
                        </m:r>
                      </m:e>
                    </m:d>
                    <m:d>
                      <m:dPr>
                        <m:ctrlPr>
                          <w:rPr>
                            <w:rFonts w:ascii="Cambria Math" w:hAnsi="Cambria Math" w:cs="Arial"/>
                            <w:i/>
                            <w:szCs w:val="18"/>
                            <w:lang w:val="en-GB"/>
                          </w:rPr>
                        </m:ctrlPr>
                      </m:dPr>
                      <m:e>
                        <m:r>
                          <w:rPr>
                            <w:rFonts w:ascii="Cambria Math" w:hAnsi="Cambria Math" w:cs="Arial"/>
                            <w:szCs w:val="18"/>
                            <w:lang w:val="en-GB"/>
                          </w:rPr>
                          <m:t>1+2.3968</m:t>
                        </m:r>
                        <m:r>
                          <w:rPr>
                            <w:rFonts w:ascii="Cambria Math" w:hAnsi="Cambria Math" w:cs="Arial"/>
                            <w:szCs w:val="18"/>
                            <w:lang w:val="en-GB"/>
                          </w:rPr>
                          <m:t>s</m:t>
                        </m:r>
                      </m:e>
                    </m:d>
                  </m:den>
                </m:f>
              </m:oMath>
            </m:oMathPara>
          </w:p>
        </w:tc>
      </w:tr>
    </w:tbl>
    <w:p w14:paraId="5741900F" w14:textId="397FA162" w:rsidR="00453E24" w:rsidRDefault="00DA703F" w:rsidP="00976B52">
      <w:pPr>
        <w:pStyle w:val="CETHeading1"/>
      </w:pPr>
      <w:r>
        <w:t>Results and Discussion</w:t>
      </w:r>
    </w:p>
    <w:p w14:paraId="09406386" w14:textId="734FBA19" w:rsidR="00453E24" w:rsidRDefault="00646E92" w:rsidP="00453E24">
      <w:pPr>
        <w:pStyle w:val="CETBodytext"/>
      </w:pPr>
      <w:r>
        <w:t>From conventional HAZOP, the consequences were obtained through dynamic simulations. Three deviations were analyzed; the inlet reactor temperature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t xml:space="preserve">) which </w:t>
      </w:r>
      <w:r w:rsidR="00653965">
        <w:t>is defined at</w:t>
      </w:r>
      <w:r w:rsidR="00983B3D">
        <w:t xml:space="preserve"> 330 K</w:t>
      </w:r>
      <w:r>
        <w:t xml:space="preserve">, such Figure 3a presented the effect of the deviation in </w:t>
      </w:r>
      <m:oMath>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 xml:space="preserve"> </m:t>
        </m:r>
      </m:oMath>
      <w:r w:rsidR="00D73C77">
        <w:t xml:space="preserve">causes in the reactor temperature, </w:t>
      </w:r>
      <w:r w:rsidR="00957639">
        <w:t xml:space="preserve">being </w:t>
      </w:r>
      <w:r w:rsidR="00D73C77">
        <w:t xml:space="preserve">the most critical </w:t>
      </w:r>
      <w:r w:rsidR="00957639">
        <w:t>variable</w:t>
      </w:r>
      <w:r w:rsidR="00D73C77">
        <w:t xml:space="preserve"> in the safety system for polymerization reactor. </w:t>
      </w:r>
      <w:r w:rsidR="00C80416">
        <w:t>Figures 3b and 3c show the effect of inlet initiator concentration, and the inlet cooling jacket fluid temperature</w:t>
      </w:r>
      <w:r w:rsidR="00957639">
        <w:t xml:space="preserve"> </w:t>
      </w:r>
      <w:r w:rsidR="00C80416">
        <w:t xml:space="preserve">deviation </w:t>
      </w:r>
      <w:r w:rsidR="006221B4">
        <w:t>caused</w:t>
      </w:r>
      <w:r w:rsidR="00C80416">
        <w:t xml:space="preserve"> in the reactor temperature, respectively.</w:t>
      </w:r>
      <w:r w:rsidR="00957639">
        <w:t xml:space="preserve"> The inlet initiator concentration</w:t>
      </w:r>
      <w:r w:rsidR="00983B3D">
        <w:t xml:space="preserve"> is defined as 0.589</w:t>
      </w:r>
      <w:r w:rsidR="00957639">
        <w:t xml:space="preserve"> mol</w:t>
      </w:r>
      <w:r w:rsidR="00957639">
        <w:rPr>
          <w:rFonts w:cs="Arial"/>
        </w:rPr>
        <w:t>∙</w:t>
      </w:r>
      <w:r w:rsidR="00957639">
        <w:t>L</w:t>
      </w:r>
      <w:r w:rsidR="00957639" w:rsidRPr="00957639">
        <w:rPr>
          <w:vertAlign w:val="superscript"/>
        </w:rPr>
        <w:t>-1</w:t>
      </w:r>
      <w:r w:rsidR="00957639">
        <w:t>, and the inlet cooling jacket fluid temperature is 295 K.</w:t>
      </w:r>
      <w:r w:rsidR="00FA2A0B">
        <w:t xml:space="preserve"> For the dynamic simulation, each deviation was</w:t>
      </w:r>
      <w:r w:rsidR="006221B4">
        <w:t xml:space="preserve"> analyzed in four different points as presented in Figure 3</w:t>
      </w:r>
      <w:r w:rsidR="003410F4">
        <w:t xml:space="preserve">, </w:t>
      </w:r>
      <w:r w:rsidR="003410F4" w:rsidRPr="003410F4">
        <w:t>with the purpose to understand the effect of these deviations in the states of the process</w:t>
      </w:r>
      <w:r w:rsidR="006221B4">
        <w:t>.</w:t>
      </w:r>
      <w:r w:rsidR="00FA2A0B">
        <w:t xml:space="preserve"> </w:t>
      </w:r>
      <w:r w:rsidR="00C40127">
        <w:t>In all deviations analyzed, the change can lead to increasing reactor temperature, which represents a risk for the process safety, since</w:t>
      </w:r>
      <w:r w:rsidR="008F3285">
        <w:t xml:space="preserve"> a temperature increase may convert the process </w:t>
      </w:r>
      <w:r w:rsidR="00653965">
        <w:t>to</w:t>
      </w:r>
      <w:r w:rsidR="008F3285">
        <w:t xml:space="preserve"> a thermal runaway. In this context, it is necessary to establish recommendation</w:t>
      </w:r>
      <w:r w:rsidR="003660C2">
        <w:t>s</w:t>
      </w:r>
      <w:r w:rsidR="008F3285">
        <w:t xml:space="preserve"> </w:t>
      </w:r>
      <w:r w:rsidR="003660C2">
        <w:t>to</w:t>
      </w:r>
      <w:r w:rsidR="008F3285">
        <w:t xml:space="preserve"> avoid </w:t>
      </w:r>
      <w:r w:rsidR="00CA75F7">
        <w:t>the consequences of these</w:t>
      </w:r>
      <w:r w:rsidR="008F3285">
        <w:t xml:space="preserve"> deviation</w:t>
      </w:r>
      <w:r w:rsidR="00CA75F7">
        <w:t>s</w:t>
      </w:r>
      <w:r w:rsidR="008F3285">
        <w:t xml:space="preserve"> in the process</w:t>
      </w:r>
      <w:r w:rsidR="003660C2">
        <w:t>. The recommendation</w:t>
      </w:r>
      <w:r w:rsidR="00CA75F7">
        <w:t>s</w:t>
      </w:r>
      <w:r w:rsidR="003660C2">
        <w:t xml:space="preserve"> defined in this work</w:t>
      </w:r>
      <w:r w:rsidR="00F6584C">
        <w:t xml:space="preserve"> are</w:t>
      </w:r>
      <w:r w:rsidR="003660C2">
        <w:t xml:space="preserve"> related to the development of the safety constraint.</w:t>
      </w:r>
      <w:r w:rsidR="00653965">
        <w:t xml:space="preserve"> </w:t>
      </w:r>
    </w:p>
    <w:p w14:paraId="6DBE55F3" w14:textId="2732CF36" w:rsidR="00653965" w:rsidRDefault="00653965" w:rsidP="00453E24">
      <w:pPr>
        <w:pStyle w:val="CETBodytext"/>
      </w:pPr>
      <w:r>
        <w:t>Table 2 presents the HAZO</w:t>
      </w:r>
      <w:r w:rsidR="00DF3C84">
        <w:t>P</w:t>
      </w:r>
      <w:r>
        <w:t xml:space="preserve"> developed based on the deviation</w:t>
      </w:r>
      <w:r w:rsidR="00CA75F7">
        <w:t>s</w:t>
      </w:r>
      <w:r>
        <w:t xml:space="preserve"> </w:t>
      </w:r>
      <w:r w:rsidR="00B2688E">
        <w:t>shown</w:t>
      </w:r>
      <w:r w:rsidR="00745266">
        <w:t xml:space="preserve"> in Figure 3</w:t>
      </w:r>
      <w:r w:rsidR="007B7F7B">
        <w:t xml:space="preserve">. </w:t>
      </w:r>
      <w:r w:rsidR="00FA2A0B">
        <w:t>This</w:t>
      </w:r>
      <w:r w:rsidR="007B7F7B">
        <w:t xml:space="preserve"> HAZOP study</w:t>
      </w:r>
      <w:r w:rsidR="00FA2A0B">
        <w:t xml:space="preserve"> did</w:t>
      </w:r>
      <w:r w:rsidR="007B7F7B">
        <w:t xml:space="preserve"> not consider the failure causes</w:t>
      </w:r>
      <w:r w:rsidR="00FA2A0B">
        <w:t>,</w:t>
      </w:r>
      <w:r w:rsidR="007B7F7B">
        <w:t xml:space="preserve"> since the objective is to develop a safety constraint based on the process state </w:t>
      </w:r>
      <w:r w:rsidR="007604A6">
        <w:t xml:space="preserve">as </w:t>
      </w:r>
      <w:r w:rsidR="00B2688E">
        <w:t xml:space="preserve">a </w:t>
      </w:r>
      <w:r w:rsidR="007604A6">
        <w:t>safeguard</w:t>
      </w:r>
      <w:r w:rsidR="007B7F7B">
        <w:t>.</w:t>
      </w:r>
      <w:r w:rsidR="00A8076C">
        <w:t xml:space="preserve"> Besides, there is one consequences and recommendations column considered for all deviations.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DC221F" w14:paraId="11FAD16E" w14:textId="77777777" w:rsidTr="000221AD">
        <w:tc>
          <w:tcPr>
            <w:tcW w:w="4393" w:type="dxa"/>
            <w:vAlign w:val="center"/>
          </w:tcPr>
          <w:p w14:paraId="66610263" w14:textId="0DA3FE96" w:rsidR="00DC221F" w:rsidRDefault="00DC221F" w:rsidP="00DC221F">
            <w:pPr>
              <w:pStyle w:val="CETBodytext"/>
              <w:jc w:val="center"/>
            </w:pPr>
            <w:r>
              <w:rPr>
                <w:noProof/>
              </w:rPr>
              <w:drawing>
                <wp:inline distT="0" distB="0" distL="0" distR="0" wp14:anchorId="3F914D69" wp14:editId="11CF49E0">
                  <wp:extent cx="2700000" cy="1772166"/>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772166"/>
                          </a:xfrm>
                          <a:prstGeom prst="rect">
                            <a:avLst/>
                          </a:prstGeom>
                          <a:noFill/>
                        </pic:spPr>
                      </pic:pic>
                    </a:graphicData>
                  </a:graphic>
                </wp:inline>
              </w:drawing>
            </w:r>
          </w:p>
        </w:tc>
        <w:tc>
          <w:tcPr>
            <w:tcW w:w="4394" w:type="dxa"/>
            <w:vAlign w:val="center"/>
          </w:tcPr>
          <w:p w14:paraId="32A57EB6" w14:textId="40008DD8" w:rsidR="00DC221F" w:rsidRDefault="004909B1" w:rsidP="00DC221F">
            <w:pPr>
              <w:pStyle w:val="CETBodytext"/>
              <w:jc w:val="center"/>
            </w:pPr>
            <w:r>
              <w:rPr>
                <w:noProof/>
              </w:rPr>
              <w:drawing>
                <wp:inline distT="0" distB="0" distL="0" distR="0" wp14:anchorId="6E9BF38C" wp14:editId="6E252296">
                  <wp:extent cx="2700000" cy="1773577"/>
                  <wp:effectExtent l="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773577"/>
                          </a:xfrm>
                          <a:prstGeom prst="rect">
                            <a:avLst/>
                          </a:prstGeom>
                          <a:noFill/>
                        </pic:spPr>
                      </pic:pic>
                    </a:graphicData>
                  </a:graphic>
                </wp:inline>
              </w:drawing>
            </w:r>
          </w:p>
        </w:tc>
      </w:tr>
      <w:tr w:rsidR="00DC221F" w14:paraId="30FC49D4" w14:textId="77777777" w:rsidTr="000221AD">
        <w:tc>
          <w:tcPr>
            <w:tcW w:w="4393" w:type="dxa"/>
            <w:vAlign w:val="center"/>
          </w:tcPr>
          <w:p w14:paraId="5E411D1C" w14:textId="65220374" w:rsidR="00DC221F" w:rsidRPr="00A5609B" w:rsidRDefault="004909B1" w:rsidP="00DC221F">
            <w:pPr>
              <w:pStyle w:val="CETBodytext"/>
              <w:jc w:val="center"/>
              <w:rPr>
                <w:b/>
              </w:rPr>
            </w:pPr>
            <w:r w:rsidRPr="00A5609B">
              <w:rPr>
                <w:b/>
              </w:rPr>
              <w:t>(a)</w:t>
            </w:r>
          </w:p>
        </w:tc>
        <w:tc>
          <w:tcPr>
            <w:tcW w:w="4394" w:type="dxa"/>
            <w:vAlign w:val="center"/>
          </w:tcPr>
          <w:p w14:paraId="0306A533" w14:textId="168C89D7" w:rsidR="00DC221F" w:rsidRPr="00A5609B" w:rsidRDefault="004909B1" w:rsidP="00DC221F">
            <w:pPr>
              <w:pStyle w:val="CETBodytext"/>
              <w:jc w:val="center"/>
              <w:rPr>
                <w:b/>
              </w:rPr>
            </w:pPr>
            <w:r w:rsidRPr="00A5609B">
              <w:rPr>
                <w:b/>
              </w:rPr>
              <w:t>(b)</w:t>
            </w:r>
          </w:p>
        </w:tc>
      </w:tr>
      <w:tr w:rsidR="00DC221F" w14:paraId="43B05B26" w14:textId="77777777" w:rsidTr="000221AD">
        <w:tc>
          <w:tcPr>
            <w:tcW w:w="8787" w:type="dxa"/>
            <w:gridSpan w:val="2"/>
            <w:vAlign w:val="center"/>
          </w:tcPr>
          <w:p w14:paraId="47953F76" w14:textId="2BAD2C9C" w:rsidR="00DC221F" w:rsidRDefault="004909B1" w:rsidP="00DC221F">
            <w:pPr>
              <w:pStyle w:val="CETBodytext"/>
              <w:jc w:val="center"/>
            </w:pPr>
            <w:r>
              <w:rPr>
                <w:noProof/>
              </w:rPr>
              <w:drawing>
                <wp:inline distT="0" distB="0" distL="0" distR="0" wp14:anchorId="380D185B" wp14:editId="6E70B27D">
                  <wp:extent cx="2700000" cy="1775617"/>
                  <wp:effectExtent l="0" t="0" r="571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00" cy="1775617"/>
                          </a:xfrm>
                          <a:prstGeom prst="rect">
                            <a:avLst/>
                          </a:prstGeom>
                          <a:noFill/>
                        </pic:spPr>
                      </pic:pic>
                    </a:graphicData>
                  </a:graphic>
                </wp:inline>
              </w:drawing>
            </w:r>
          </w:p>
        </w:tc>
      </w:tr>
      <w:tr w:rsidR="00DC221F" w14:paraId="66128152" w14:textId="77777777" w:rsidTr="000221AD">
        <w:tc>
          <w:tcPr>
            <w:tcW w:w="8787" w:type="dxa"/>
            <w:gridSpan w:val="2"/>
            <w:vAlign w:val="center"/>
          </w:tcPr>
          <w:p w14:paraId="6D1F5526" w14:textId="13F46033" w:rsidR="00DC221F" w:rsidRPr="00A5609B" w:rsidRDefault="004909B1" w:rsidP="00DC221F">
            <w:pPr>
              <w:pStyle w:val="CETBodytext"/>
              <w:jc w:val="center"/>
              <w:rPr>
                <w:b/>
              </w:rPr>
            </w:pPr>
            <w:r w:rsidRPr="00A5609B">
              <w:rPr>
                <w:b/>
              </w:rPr>
              <w:t>(c)</w:t>
            </w:r>
          </w:p>
        </w:tc>
      </w:tr>
    </w:tbl>
    <w:p w14:paraId="3E0D759C" w14:textId="60023E6F" w:rsidR="003B72C2" w:rsidRDefault="000221AD" w:rsidP="003B72C2">
      <w:pPr>
        <w:pStyle w:val="CETCaption"/>
        <w:rPr>
          <w:rStyle w:val="CETCaptionCarattere"/>
          <w:i/>
        </w:rPr>
      </w:pPr>
      <w:r w:rsidRPr="00BD077D">
        <w:rPr>
          <w:rStyle w:val="CETCaptionCarattere"/>
          <w:i/>
        </w:rPr>
        <w:t xml:space="preserve">Figure </w:t>
      </w:r>
      <w:r w:rsidR="003660C2">
        <w:rPr>
          <w:rStyle w:val="CETCaptionCarattere"/>
          <w:i/>
        </w:rPr>
        <w:t>3</w:t>
      </w:r>
      <w:r w:rsidRPr="00BD077D">
        <w:rPr>
          <w:rStyle w:val="CETCaptionCarattere"/>
          <w:i/>
        </w:rPr>
        <w:t xml:space="preserve">: </w:t>
      </w:r>
      <w:r w:rsidR="003B72C2">
        <w:rPr>
          <w:rStyle w:val="CETCaptionCarattere"/>
          <w:i/>
        </w:rPr>
        <w:t>Effect of the temperature for the HAZOP deviation in the styrene reactor: (a) inlet reactor temperature; (b) inlet initiator concentration; and (c) inlet cooling jacket fluid temperature; from dynamic simulation</w:t>
      </w:r>
      <w:r w:rsidR="008E52E1">
        <w:rPr>
          <w:rStyle w:val="CETCaptionCarattere"/>
          <w:i/>
        </w:rPr>
        <w:t xml:space="preserve"> at the steady-state</w:t>
      </w:r>
    </w:p>
    <w:p w14:paraId="07E340DC" w14:textId="4370161F" w:rsidR="00B94831" w:rsidRPr="00B57B36" w:rsidRDefault="00B94831" w:rsidP="003B72C2">
      <w:pPr>
        <w:pStyle w:val="CETCaption"/>
      </w:pPr>
      <w:r w:rsidRPr="00B57B36">
        <w:t xml:space="preserve">Table </w:t>
      </w:r>
      <w:r w:rsidR="00836DF2">
        <w:t>2</w:t>
      </w:r>
      <w:r w:rsidRPr="00B57B36">
        <w:t xml:space="preserve">: </w:t>
      </w:r>
      <w:r w:rsidR="00836DF2">
        <w:t>HAZOP study for polymerization reactor considering the safeguard as Recommendation for safety constraint (and without deviations causes)</w:t>
      </w:r>
    </w:p>
    <w:tbl>
      <w:tblPr>
        <w:tblW w:w="0" w:type="auto"/>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1418"/>
        <w:gridCol w:w="992"/>
        <w:gridCol w:w="2410"/>
        <w:gridCol w:w="3685"/>
      </w:tblGrid>
      <w:tr w:rsidR="001337AD" w:rsidRPr="00B57B36" w14:paraId="1A1EC37C" w14:textId="77777777" w:rsidTr="00634E46">
        <w:tc>
          <w:tcPr>
            <w:tcW w:w="1418" w:type="dxa"/>
            <w:tcBorders>
              <w:top w:val="single" w:sz="12" w:space="0" w:color="008000"/>
              <w:bottom w:val="single" w:sz="6" w:space="0" w:color="008000"/>
            </w:tcBorders>
            <w:shd w:val="clear" w:color="auto" w:fill="auto"/>
          </w:tcPr>
          <w:p w14:paraId="343BE721" w14:textId="77777777" w:rsidR="001337AD" w:rsidRPr="00B57B36" w:rsidRDefault="001337AD" w:rsidP="005F62A3">
            <w:pPr>
              <w:pStyle w:val="CETBodytext"/>
              <w:rPr>
                <w:lang w:val="en-GB"/>
              </w:rPr>
            </w:pPr>
            <w:r>
              <w:rPr>
                <w:lang w:val="en-GB"/>
              </w:rPr>
              <w:t>Parameter</w:t>
            </w:r>
            <w:r w:rsidRPr="00B57B36">
              <w:rPr>
                <w:lang w:val="en-GB"/>
              </w:rPr>
              <w:t xml:space="preserve"> </w:t>
            </w:r>
          </w:p>
        </w:tc>
        <w:tc>
          <w:tcPr>
            <w:tcW w:w="992" w:type="dxa"/>
            <w:tcBorders>
              <w:top w:val="single" w:sz="12" w:space="0" w:color="008000"/>
              <w:bottom w:val="single" w:sz="6" w:space="0" w:color="008000"/>
            </w:tcBorders>
            <w:shd w:val="clear" w:color="auto" w:fill="auto"/>
          </w:tcPr>
          <w:p w14:paraId="791EA118" w14:textId="77777777" w:rsidR="001337AD" w:rsidRPr="00B57B36" w:rsidRDefault="001337AD" w:rsidP="005F62A3">
            <w:pPr>
              <w:pStyle w:val="CETBodytext"/>
              <w:rPr>
                <w:lang w:val="en-GB"/>
              </w:rPr>
            </w:pPr>
            <w:r>
              <w:rPr>
                <w:lang w:val="en-GB"/>
              </w:rPr>
              <w:t>Guide word</w:t>
            </w:r>
          </w:p>
        </w:tc>
        <w:tc>
          <w:tcPr>
            <w:tcW w:w="2410" w:type="dxa"/>
            <w:tcBorders>
              <w:top w:val="single" w:sz="12" w:space="0" w:color="008000"/>
              <w:bottom w:val="single" w:sz="6" w:space="0" w:color="008000"/>
            </w:tcBorders>
            <w:shd w:val="clear" w:color="auto" w:fill="auto"/>
          </w:tcPr>
          <w:p w14:paraId="3C54A909" w14:textId="34AF27EC" w:rsidR="001337AD" w:rsidRPr="00B57B36" w:rsidRDefault="001337AD" w:rsidP="000458AA">
            <w:pPr>
              <w:pStyle w:val="CETBodytext"/>
              <w:ind w:right="-1"/>
              <w:rPr>
                <w:rFonts w:cs="Arial"/>
                <w:szCs w:val="18"/>
                <w:lang w:val="en-GB"/>
              </w:rPr>
            </w:pPr>
            <w:r>
              <w:rPr>
                <w:rFonts w:cs="Arial"/>
                <w:szCs w:val="18"/>
                <w:lang w:val="en-GB"/>
              </w:rPr>
              <w:t xml:space="preserve">Consequences </w:t>
            </w:r>
          </w:p>
        </w:tc>
        <w:tc>
          <w:tcPr>
            <w:tcW w:w="3685" w:type="dxa"/>
            <w:tcBorders>
              <w:top w:val="single" w:sz="12" w:space="0" w:color="008000"/>
              <w:bottom w:val="single" w:sz="6" w:space="0" w:color="008000"/>
            </w:tcBorders>
            <w:shd w:val="clear" w:color="auto" w:fill="auto"/>
          </w:tcPr>
          <w:p w14:paraId="73017628" w14:textId="77777777" w:rsidR="001337AD" w:rsidRDefault="001337AD" w:rsidP="005F62A3">
            <w:pPr>
              <w:pStyle w:val="CETBodytext"/>
              <w:ind w:right="-1"/>
              <w:rPr>
                <w:rFonts w:cs="Arial"/>
                <w:szCs w:val="18"/>
                <w:lang w:val="en-GB"/>
              </w:rPr>
            </w:pPr>
            <w:r>
              <w:rPr>
                <w:rFonts w:cs="Arial"/>
                <w:szCs w:val="18"/>
                <w:lang w:val="en-GB"/>
              </w:rPr>
              <w:t>Recommendation for safety constraint</w:t>
            </w:r>
          </w:p>
        </w:tc>
      </w:tr>
      <w:tr w:rsidR="00C2666E" w:rsidRPr="00B57B36" w14:paraId="23B55BDB" w14:textId="77777777" w:rsidTr="00634E46">
        <w:tc>
          <w:tcPr>
            <w:tcW w:w="1418" w:type="dxa"/>
            <w:shd w:val="clear" w:color="auto" w:fill="auto"/>
          </w:tcPr>
          <w:p w14:paraId="293E35B4" w14:textId="77777777" w:rsidR="00C2666E" w:rsidRPr="00B57B36" w:rsidRDefault="00C2666E" w:rsidP="005F62A3">
            <w:pPr>
              <w:pStyle w:val="CETBodytext"/>
              <w:jc w:val="left"/>
              <w:rPr>
                <w:lang w:val="en-GB"/>
              </w:rPr>
            </w:pPr>
            <w:r>
              <w:rPr>
                <w:lang w:val="en-GB"/>
              </w:rPr>
              <w:t>Inlet reactor temperature</w:t>
            </w:r>
          </w:p>
        </w:tc>
        <w:tc>
          <w:tcPr>
            <w:tcW w:w="992" w:type="dxa"/>
            <w:shd w:val="clear" w:color="auto" w:fill="auto"/>
          </w:tcPr>
          <w:p w14:paraId="529F0312" w14:textId="77777777" w:rsidR="00C2666E" w:rsidRPr="00B57B36" w:rsidRDefault="00C2666E" w:rsidP="005F62A3">
            <w:pPr>
              <w:pStyle w:val="CETBodytext"/>
              <w:rPr>
                <w:lang w:val="en-GB"/>
              </w:rPr>
            </w:pPr>
            <w:r>
              <w:rPr>
                <w:lang w:val="en-GB"/>
              </w:rPr>
              <w:t>Higher</w:t>
            </w:r>
          </w:p>
        </w:tc>
        <w:tc>
          <w:tcPr>
            <w:tcW w:w="2410" w:type="dxa"/>
            <w:vMerge w:val="restart"/>
            <w:shd w:val="clear" w:color="auto" w:fill="auto"/>
          </w:tcPr>
          <w:p w14:paraId="44ECD459" w14:textId="263F2F02" w:rsidR="00C2666E" w:rsidRPr="00B57B36" w:rsidRDefault="00C2666E" w:rsidP="00CA75F7">
            <w:pPr>
              <w:pStyle w:val="CETBodytext"/>
              <w:ind w:right="-1"/>
              <w:jc w:val="left"/>
              <w:rPr>
                <w:rFonts w:cs="Arial"/>
                <w:szCs w:val="18"/>
                <w:lang w:val="en-GB"/>
              </w:rPr>
            </w:pPr>
            <w:r>
              <w:rPr>
                <w:rFonts w:cs="Arial"/>
                <w:szCs w:val="18"/>
                <w:lang w:val="en-GB"/>
              </w:rPr>
              <w:t>In all deviations, the reactor temperature increases; the reaction rate increase</w:t>
            </w:r>
            <w:r w:rsidR="00B341DC">
              <w:rPr>
                <w:rFonts w:cs="Arial"/>
                <w:szCs w:val="18"/>
                <w:lang w:val="en-GB"/>
              </w:rPr>
              <w:t>s</w:t>
            </w:r>
            <w:r>
              <w:rPr>
                <w:rFonts w:cs="Arial"/>
                <w:szCs w:val="18"/>
                <w:lang w:val="en-GB"/>
              </w:rPr>
              <w:t>; cooling jack fluid temperature increases; and the polymer viscosity decreases. These could conduct the reactor to a thermal runaway.</w:t>
            </w:r>
            <w:r w:rsidR="00B341DC">
              <w:rPr>
                <w:rFonts w:cs="Arial"/>
                <w:szCs w:val="18"/>
                <w:lang w:val="en-GB"/>
              </w:rPr>
              <w:t xml:space="preserve"> Th</w:t>
            </w:r>
            <w:r w:rsidR="00634E46">
              <w:rPr>
                <w:rFonts w:cs="Arial"/>
                <w:szCs w:val="18"/>
                <w:lang w:val="en-GB"/>
              </w:rPr>
              <w:t>ese</w:t>
            </w:r>
            <w:r w:rsidR="00B341DC">
              <w:rPr>
                <w:rFonts w:cs="Arial"/>
                <w:szCs w:val="18"/>
                <w:lang w:val="en-GB"/>
              </w:rPr>
              <w:t xml:space="preserve"> consequences were obtained through </w:t>
            </w:r>
            <w:r w:rsidR="0049119A">
              <w:rPr>
                <w:rFonts w:cs="Arial"/>
                <w:szCs w:val="18"/>
                <w:lang w:val="en-GB"/>
              </w:rPr>
              <w:t xml:space="preserve">of the </w:t>
            </w:r>
            <w:r w:rsidR="00B341DC">
              <w:rPr>
                <w:rFonts w:cs="Arial"/>
                <w:szCs w:val="18"/>
                <w:lang w:val="en-GB"/>
              </w:rPr>
              <w:t>simulation</w:t>
            </w:r>
            <w:r w:rsidR="00634E46">
              <w:rPr>
                <w:rFonts w:cs="Arial"/>
                <w:szCs w:val="18"/>
                <w:lang w:val="en-GB"/>
              </w:rPr>
              <w:t>s</w:t>
            </w:r>
            <w:r w:rsidR="00C331BB">
              <w:rPr>
                <w:rFonts w:cs="Arial"/>
                <w:szCs w:val="18"/>
                <w:lang w:val="en-GB"/>
              </w:rPr>
              <w:t>.</w:t>
            </w:r>
          </w:p>
          <w:p w14:paraId="40B3453D" w14:textId="4C9B4661" w:rsidR="00C2666E" w:rsidRPr="00B57B36" w:rsidRDefault="00C2666E" w:rsidP="005F62A3">
            <w:pPr>
              <w:pStyle w:val="CETBodytext"/>
              <w:ind w:right="-1"/>
              <w:rPr>
                <w:rFonts w:cs="Arial"/>
                <w:szCs w:val="18"/>
                <w:lang w:val="en-GB"/>
              </w:rPr>
            </w:pPr>
          </w:p>
        </w:tc>
        <w:tc>
          <w:tcPr>
            <w:tcW w:w="3685" w:type="dxa"/>
            <w:vMerge w:val="restart"/>
            <w:shd w:val="clear" w:color="auto" w:fill="auto"/>
          </w:tcPr>
          <w:p w14:paraId="6AE30EA2" w14:textId="510A7B46" w:rsidR="00C2666E" w:rsidRPr="00B57B36" w:rsidRDefault="00CA75F7" w:rsidP="008D0F33">
            <w:pPr>
              <w:pStyle w:val="CETBodytext"/>
              <w:ind w:right="-1"/>
              <w:jc w:val="left"/>
              <w:rPr>
                <w:rFonts w:cs="Arial"/>
                <w:szCs w:val="18"/>
                <w:lang w:val="en-GB"/>
              </w:rPr>
            </w:pPr>
            <w:r>
              <w:rPr>
                <w:rFonts w:cs="Arial"/>
                <w:szCs w:val="18"/>
                <w:lang w:val="en-GB"/>
              </w:rPr>
              <w:t>Consider the reactor temperature impact in the</w:t>
            </w:r>
            <w:r w:rsidR="005B267E">
              <w:rPr>
                <w:rFonts w:cs="Arial"/>
                <w:szCs w:val="18"/>
                <w:lang w:val="en-GB"/>
              </w:rPr>
              <w:t xml:space="preserve"> </w:t>
            </w:r>
            <m:oMath>
              <m:r>
                <w:rPr>
                  <w:rFonts w:ascii="Cambria Math" w:hAnsi="Cambria Math"/>
                </w:rPr>
                <m:t>S(x)</m:t>
              </m:r>
            </m:oMath>
            <w:r>
              <w:rPr>
                <w:rFonts w:cs="Arial"/>
                <w:szCs w:val="18"/>
                <w:lang w:val="en-GB"/>
              </w:rPr>
              <w:t>, adding a higher weight to temperature deviations from the steady-state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T</m:t>
                  </m:r>
                </m:sub>
              </m:sSub>
            </m:oMath>
            <w:r>
              <w:rPr>
                <w:rFonts w:cs="Arial"/>
                <w:lang w:val="en-GB"/>
              </w:rPr>
              <w:t xml:space="preserve"> = 200). Consider </w:t>
            </w:r>
            <w:r w:rsidR="005B267E">
              <w:rPr>
                <w:rFonts w:cs="Arial"/>
                <w:lang w:val="en-GB"/>
              </w:rPr>
              <w:t xml:space="preserve">the impact of the </w:t>
            </w:r>
            <w:r w:rsidR="005B267E" w:rsidRPr="005B267E">
              <w:rPr>
                <w:rFonts w:cs="Arial"/>
                <w:lang w:val="en-GB"/>
              </w:rPr>
              <w:t>cooling jacket fluid</w:t>
            </w:r>
            <w:r w:rsidR="005B267E">
              <w:rPr>
                <w:rFonts w:cs="Arial"/>
                <w:lang w:val="en-GB"/>
              </w:rPr>
              <w:t xml:space="preserve"> t</w:t>
            </w:r>
            <w:r w:rsidR="005B267E" w:rsidRPr="005B267E">
              <w:rPr>
                <w:rFonts w:cs="Arial"/>
                <w:lang w:val="en-GB"/>
              </w:rPr>
              <w:t>emperature</w:t>
            </w:r>
            <w:r w:rsidR="005B267E">
              <w:rPr>
                <w:rFonts w:cs="Arial"/>
                <w:lang w:val="en-GB"/>
              </w:rPr>
              <w:t xml:space="preserve"> in the </w:t>
            </w:r>
            <m:oMath>
              <m:r>
                <w:rPr>
                  <w:rFonts w:ascii="Cambria Math" w:hAnsi="Cambria Math"/>
                </w:rPr>
                <m:t>S(x)</m:t>
              </m:r>
            </m:oMath>
            <w:r w:rsidR="005B267E">
              <w:rPr>
                <w:rFonts w:cs="Arial"/>
              </w:rPr>
              <w:t xml:space="preserve"> with</w:t>
            </w:r>
            <w:r w:rsidR="005B267E">
              <w:t xml:space="preserve"> </w:t>
            </w:r>
            <w:r w:rsidR="005B267E">
              <w:rPr>
                <w:rFonts w:cs="Arial"/>
                <w:lang w:val="en-GB"/>
              </w:rPr>
              <w:t xml:space="preserve">a weight of </w:t>
            </w:r>
            <m:oMath>
              <m:sSub>
                <m:sSubPr>
                  <m:ctrlPr>
                    <w:rPr>
                      <w:rFonts w:ascii="Cambria Math" w:hAnsi="Cambria Math"/>
                      <w:i/>
                      <w:lang w:val="en-GB"/>
                    </w:rPr>
                  </m:ctrlPr>
                </m:sSub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m:t>
                      </m:r>
                    </m:sub>
                  </m:sSub>
                </m:sub>
              </m:sSub>
            </m:oMath>
            <w:r w:rsidR="005B267E">
              <w:rPr>
                <w:rFonts w:cs="Arial"/>
                <w:lang w:val="en-GB"/>
              </w:rPr>
              <w:t xml:space="preserve">= 100. Consider the effect of the polymer viscosity deviation from the steady-state in the </w:t>
            </w:r>
            <m:oMath>
              <m:r>
                <w:rPr>
                  <w:rFonts w:ascii="Cambria Math" w:hAnsi="Cambria Math"/>
                </w:rPr>
                <m:t>S(x)</m:t>
              </m:r>
            </m:oMath>
            <w:r w:rsidR="005B267E">
              <w:rPr>
                <w:rFonts w:cs="Arial"/>
              </w:rPr>
              <w:t>, including a weight of</w:t>
            </w:r>
            <w:r w:rsidR="005B267E">
              <w:rPr>
                <w:rFonts w:cs="Arial"/>
                <w:lang w:val="en-GB"/>
              </w:rPr>
              <w:t xml:space="preserve">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η</m:t>
                  </m:r>
                </m:sub>
              </m:sSub>
            </m:oMath>
            <w:r w:rsidR="005B267E">
              <w:rPr>
                <w:rFonts w:cs="Arial"/>
                <w:lang w:val="en-GB"/>
              </w:rPr>
              <w:t xml:space="preserve"> = 25. </w:t>
            </w:r>
            <w:r w:rsidR="00836DF2">
              <w:rPr>
                <w:rFonts w:cs="Arial"/>
                <w:szCs w:val="18"/>
                <w:lang w:val="en-GB"/>
              </w:rPr>
              <w:t>The safety</w:t>
            </w:r>
            <w:r w:rsidR="00C2666E">
              <w:rPr>
                <w:rFonts w:cs="Arial"/>
                <w:szCs w:val="18"/>
                <w:lang w:val="en-GB"/>
              </w:rPr>
              <w:t xml:space="preserve"> </w:t>
            </w:r>
            <w:r w:rsidR="00C2666E">
              <w:t xml:space="preserve">threshold was defined </w:t>
            </w:r>
            <w:r w:rsidR="00771359">
              <w:t>as the value of</w:t>
            </w:r>
            <w:r w:rsidR="007E72C3">
              <w:t xml:space="preserve"> </w:t>
            </w:r>
            <m:oMath>
              <m:sSub>
                <m:sSubPr>
                  <m:ctrlPr>
                    <w:rPr>
                      <w:rFonts w:ascii="Cambria Math" w:hAnsi="Cambria Math"/>
                      <w:i/>
                    </w:rPr>
                  </m:ctrlPr>
                </m:sSubPr>
                <m:e>
                  <m:r>
                    <w:rPr>
                      <w:rFonts w:ascii="Cambria Math" w:hAnsi="Cambria Math"/>
                    </w:rPr>
                    <m:t>S</m:t>
                  </m:r>
                </m:e>
                <m:sub>
                  <m:r>
                    <w:rPr>
                      <w:rFonts w:ascii="Cambria Math" w:hAnsi="Cambria Math"/>
                    </w:rPr>
                    <m:t>TH</m:t>
                  </m:r>
                </m:sub>
              </m:sSub>
            </m:oMath>
            <w:r w:rsidR="007E72C3">
              <w:t>=</w:t>
            </w:r>
            <w:r w:rsidR="00771359">
              <w:t xml:space="preserve"> 320.</w:t>
            </w:r>
            <w:r w:rsidR="0015125D">
              <w:t>Th</w:t>
            </w:r>
            <w:r w:rsidR="008D0F33">
              <w:t>e</w:t>
            </w:r>
            <w:r w:rsidR="0015125D">
              <w:t>s</w:t>
            </w:r>
            <w:r w:rsidR="008D0F33">
              <w:t>e</w:t>
            </w:r>
            <w:r w:rsidR="0015125D">
              <w:t xml:space="preserve"> values were added empirically</w:t>
            </w:r>
            <w:r w:rsidR="00C331BB">
              <w:t>.</w:t>
            </w:r>
          </w:p>
        </w:tc>
      </w:tr>
      <w:tr w:rsidR="00C2666E" w:rsidRPr="00B57B36" w14:paraId="05D0B304" w14:textId="77777777" w:rsidTr="00634E46">
        <w:tc>
          <w:tcPr>
            <w:tcW w:w="1418" w:type="dxa"/>
            <w:shd w:val="clear" w:color="auto" w:fill="auto"/>
          </w:tcPr>
          <w:p w14:paraId="7F91B5E6" w14:textId="77777777" w:rsidR="00C2666E" w:rsidRDefault="00C2666E" w:rsidP="005F62A3">
            <w:pPr>
              <w:pStyle w:val="CETBodytext"/>
              <w:jc w:val="left"/>
              <w:rPr>
                <w:lang w:val="en-GB"/>
              </w:rPr>
            </w:pPr>
            <w:r>
              <w:rPr>
                <w:lang w:val="en-GB"/>
              </w:rPr>
              <w:t>Inlet initiator concentration</w:t>
            </w:r>
          </w:p>
        </w:tc>
        <w:tc>
          <w:tcPr>
            <w:tcW w:w="992" w:type="dxa"/>
            <w:shd w:val="clear" w:color="auto" w:fill="auto"/>
          </w:tcPr>
          <w:p w14:paraId="13FC347D" w14:textId="77777777" w:rsidR="00C2666E" w:rsidRPr="00B57B36" w:rsidRDefault="00C2666E" w:rsidP="005F62A3">
            <w:pPr>
              <w:pStyle w:val="CETBodytext"/>
              <w:rPr>
                <w:lang w:val="en-GB"/>
              </w:rPr>
            </w:pPr>
            <w:r>
              <w:rPr>
                <w:lang w:val="en-GB"/>
              </w:rPr>
              <w:t>Higher</w:t>
            </w:r>
          </w:p>
        </w:tc>
        <w:tc>
          <w:tcPr>
            <w:tcW w:w="2410" w:type="dxa"/>
            <w:vMerge/>
            <w:shd w:val="clear" w:color="auto" w:fill="auto"/>
          </w:tcPr>
          <w:p w14:paraId="51DA832B" w14:textId="685E679E" w:rsidR="00C2666E" w:rsidRPr="00B57B36" w:rsidRDefault="00C2666E" w:rsidP="005F62A3">
            <w:pPr>
              <w:pStyle w:val="CETBodytext"/>
              <w:ind w:right="-1"/>
              <w:rPr>
                <w:rFonts w:cs="Arial"/>
                <w:szCs w:val="18"/>
                <w:lang w:val="en-GB"/>
              </w:rPr>
            </w:pPr>
          </w:p>
        </w:tc>
        <w:tc>
          <w:tcPr>
            <w:tcW w:w="3685" w:type="dxa"/>
            <w:vMerge/>
            <w:shd w:val="clear" w:color="auto" w:fill="auto"/>
          </w:tcPr>
          <w:p w14:paraId="4B89F033" w14:textId="33FF61D9" w:rsidR="00C2666E" w:rsidRPr="00B57B36" w:rsidRDefault="00C2666E" w:rsidP="005F62A3">
            <w:pPr>
              <w:pStyle w:val="CETBodytext"/>
              <w:ind w:right="-1"/>
              <w:rPr>
                <w:rFonts w:cs="Arial"/>
                <w:szCs w:val="18"/>
                <w:lang w:val="en-GB"/>
              </w:rPr>
            </w:pPr>
          </w:p>
        </w:tc>
      </w:tr>
      <w:tr w:rsidR="00C2666E" w:rsidRPr="00B57B36" w14:paraId="4E50CE0D" w14:textId="77777777" w:rsidTr="00634E46">
        <w:tc>
          <w:tcPr>
            <w:tcW w:w="1418" w:type="dxa"/>
            <w:shd w:val="clear" w:color="auto" w:fill="auto"/>
          </w:tcPr>
          <w:p w14:paraId="327055CE" w14:textId="77777777" w:rsidR="00C2666E" w:rsidRPr="00B57B36" w:rsidRDefault="00C2666E" w:rsidP="005F62A3">
            <w:pPr>
              <w:pStyle w:val="CETBodytext"/>
              <w:ind w:right="-1"/>
              <w:jc w:val="left"/>
              <w:rPr>
                <w:rFonts w:cs="Arial"/>
                <w:szCs w:val="18"/>
                <w:lang w:val="en-GB"/>
              </w:rPr>
            </w:pPr>
            <w:r>
              <w:rPr>
                <w:rFonts w:cs="Arial"/>
                <w:szCs w:val="18"/>
                <w:lang w:val="en-GB"/>
              </w:rPr>
              <w:t>Inlet cooling jacket fluid temperature</w:t>
            </w:r>
          </w:p>
        </w:tc>
        <w:tc>
          <w:tcPr>
            <w:tcW w:w="992" w:type="dxa"/>
            <w:shd w:val="clear" w:color="auto" w:fill="auto"/>
          </w:tcPr>
          <w:p w14:paraId="1A987FE7" w14:textId="77777777" w:rsidR="00C2666E" w:rsidRPr="00B57B36" w:rsidRDefault="00C2666E" w:rsidP="005F62A3">
            <w:pPr>
              <w:pStyle w:val="CETBodytext"/>
              <w:ind w:right="-1"/>
              <w:rPr>
                <w:rFonts w:cs="Arial"/>
                <w:szCs w:val="18"/>
                <w:lang w:val="en-GB"/>
              </w:rPr>
            </w:pPr>
            <w:r>
              <w:rPr>
                <w:rFonts w:cs="Arial"/>
                <w:szCs w:val="18"/>
                <w:lang w:val="en-GB"/>
              </w:rPr>
              <w:t>Higher</w:t>
            </w:r>
          </w:p>
        </w:tc>
        <w:tc>
          <w:tcPr>
            <w:tcW w:w="2410" w:type="dxa"/>
            <w:vMerge/>
            <w:shd w:val="clear" w:color="auto" w:fill="auto"/>
          </w:tcPr>
          <w:p w14:paraId="3B8EA451" w14:textId="4DC57F30" w:rsidR="00C2666E" w:rsidRPr="00B57B36" w:rsidRDefault="00C2666E" w:rsidP="005F62A3">
            <w:pPr>
              <w:pStyle w:val="CETBodytext"/>
              <w:ind w:right="-1"/>
              <w:rPr>
                <w:rFonts w:cs="Arial"/>
                <w:szCs w:val="18"/>
                <w:lang w:val="en-GB"/>
              </w:rPr>
            </w:pPr>
          </w:p>
        </w:tc>
        <w:tc>
          <w:tcPr>
            <w:tcW w:w="3685" w:type="dxa"/>
            <w:vMerge/>
            <w:shd w:val="clear" w:color="auto" w:fill="auto"/>
          </w:tcPr>
          <w:p w14:paraId="10956503" w14:textId="5D74E2C1" w:rsidR="00C2666E" w:rsidRPr="00B57B36" w:rsidRDefault="00C2666E" w:rsidP="005F62A3">
            <w:pPr>
              <w:pStyle w:val="CETBodytext"/>
              <w:ind w:right="-1"/>
              <w:rPr>
                <w:rFonts w:cs="Arial"/>
                <w:szCs w:val="18"/>
                <w:lang w:val="en-GB"/>
              </w:rPr>
            </w:pPr>
          </w:p>
        </w:tc>
      </w:tr>
    </w:tbl>
    <w:p w14:paraId="6C05DC3B" w14:textId="77777777" w:rsidR="006365C3" w:rsidRDefault="006365C3" w:rsidP="00453E24">
      <w:pPr>
        <w:pStyle w:val="CETBodytext"/>
        <w:rPr>
          <w:lang w:val="en-GB"/>
        </w:rPr>
      </w:pPr>
    </w:p>
    <w:p w14:paraId="3FAEBFF4" w14:textId="348BB89E" w:rsidR="006A4780" w:rsidRDefault="006A4780" w:rsidP="006A4780">
      <w:pPr>
        <w:pStyle w:val="CETBodytext"/>
        <w:rPr>
          <w:lang w:val="en-GB"/>
        </w:rPr>
      </w:pPr>
      <w:r>
        <w:rPr>
          <w:lang w:val="en-GB"/>
        </w:rPr>
        <w:t xml:space="preserve">From the HAZOP study, the safety </w:t>
      </w:r>
      <w:r w:rsidR="0016240E">
        <w:rPr>
          <w:lang w:val="en-GB"/>
        </w:rPr>
        <w:t>constraint was developed, according to Eq(1), such the deviation from the steady-state is penalized with weight</w:t>
      </w:r>
      <w:r w:rsidR="008448AE">
        <w:rPr>
          <w:lang w:val="en-GB"/>
        </w:rPr>
        <w:t>s</w:t>
      </w:r>
      <w:r w:rsidR="0016240E">
        <w:rPr>
          <w:lang w:val="en-GB"/>
        </w:rPr>
        <w:t xml:space="preserve"> as described in the Recommendation in Table 1.</w:t>
      </w:r>
      <w:r w:rsidR="008448AE">
        <w:rPr>
          <w:lang w:val="en-GB"/>
        </w:rPr>
        <w:t xml:space="preserve"> Eq(1) is inserted the RTO layer.</w:t>
      </w:r>
      <w:r w:rsidR="00983B3D">
        <w:rPr>
          <w:lang w:val="en-GB"/>
        </w:rPr>
        <w:t xml:space="preserve"> For this work, the reactor temperature</w:t>
      </w:r>
      <w:r w:rsidR="003E1704">
        <w:rPr>
          <w:lang w:val="en-GB"/>
        </w:rPr>
        <w:t xml:space="preserve">, temperature of the </w:t>
      </w:r>
      <w:r w:rsidR="003E1704" w:rsidRPr="003E1704">
        <w:rPr>
          <w:lang w:val="en-GB"/>
        </w:rPr>
        <w:t>cooling jacket fluid</w:t>
      </w:r>
      <w:r w:rsidR="003E1704">
        <w:rPr>
          <w:lang w:val="en-GB"/>
        </w:rPr>
        <w:t xml:space="preserve">, and polymer viscosity </w:t>
      </w:r>
      <w:r w:rsidR="00983B3D">
        <w:rPr>
          <w:lang w:val="en-GB"/>
        </w:rPr>
        <w:t xml:space="preserve">at the steady-state </w:t>
      </w:r>
      <w:r w:rsidR="003E1704">
        <w:rPr>
          <w:lang w:val="en-GB"/>
        </w:rPr>
        <w:t>are defined as</w:t>
      </w:r>
      <w:r w:rsidR="00983B3D">
        <w:rPr>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ss</m:t>
            </m:r>
          </m:sub>
        </m:sSub>
      </m:oMath>
      <w:r w:rsidR="003E1704">
        <w:rPr>
          <w:lang w:val="en-GB"/>
        </w:rPr>
        <w:t xml:space="preserve"> = 323.5 K,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C,ss</m:t>
            </m:r>
          </m:sub>
        </m:sSub>
      </m:oMath>
      <w:r w:rsidR="003E1704">
        <w:rPr>
          <w:lang w:val="en-GB"/>
        </w:rPr>
        <w:t xml:space="preserve"> = 305.2 K, and </w:t>
      </w:r>
      <m:oMath>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ss</m:t>
            </m:r>
          </m:sub>
        </m:sSub>
      </m:oMath>
      <w:r w:rsidR="003E1704">
        <w:rPr>
          <w:lang w:val="en-GB"/>
        </w:rPr>
        <w:t>= 3.89, respectively.</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02"/>
      </w:tblGrid>
      <w:tr w:rsidR="000221AD" w14:paraId="55CE340D" w14:textId="77777777" w:rsidTr="000221AD">
        <w:tc>
          <w:tcPr>
            <w:tcW w:w="8075" w:type="dxa"/>
          </w:tcPr>
          <w:p w14:paraId="1CD89BBF" w14:textId="0576F6DC" w:rsidR="000221AD" w:rsidRPr="000221AD" w:rsidRDefault="000221AD" w:rsidP="000221AD">
            <w:pPr>
              <w:pStyle w:val="CETBodytext"/>
              <w:rPr>
                <w:lang w:val="en-GB"/>
              </w:rPr>
            </w:pPr>
            <m:oMathPara>
              <m:oMathParaPr>
                <m:jc m:val="left"/>
              </m:oMathParaPr>
              <m:oMath>
                <m:r>
                  <w:rPr>
                    <w:rFonts w:ascii="Cambria Math" w:hAnsi="Cambria Math"/>
                    <w:lang w:val="en-GB"/>
                  </w:rPr>
                  <m:t>S</m:t>
                </m:r>
                <m:d>
                  <m:dPr>
                    <m:ctrlPr>
                      <w:rPr>
                        <w:rFonts w:ascii="Cambria Math" w:hAnsi="Cambria Math"/>
                        <w:i/>
                        <w:lang w:val="en-GB"/>
                      </w:rPr>
                    </m:ctrlPr>
                  </m:dPr>
                  <m:e>
                    <m:r>
                      <w:rPr>
                        <w:rFonts w:ascii="Cambria Math" w:hAnsi="Cambria Math"/>
                        <w:lang w:val="en-GB"/>
                      </w:rPr>
                      <m:t>x</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T</m:t>
                    </m:r>
                  </m:sub>
                </m:sSub>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ss</m:t>
                                </m:r>
                              </m:sub>
                            </m:sSub>
                          </m:den>
                        </m:f>
                      </m:e>
                    </m:d>
                  </m:e>
                  <m:sup>
                    <m:r>
                      <w:rPr>
                        <w:rFonts w:ascii="Cambria Math" w:hAnsi="Cambria Math"/>
                        <w:lang w:val="en-GB"/>
                      </w:rPr>
                      <m:t>2</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m:t>
                        </m:r>
                      </m:sub>
                    </m:sSub>
                  </m:sub>
                </m:sSub>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m:t>
                                </m:r>
                              </m:sub>
                            </m:sSub>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C,ss</m:t>
                                </m:r>
                              </m:sub>
                            </m:sSub>
                          </m:den>
                        </m:f>
                      </m:e>
                    </m:d>
                  </m:e>
                  <m:sup>
                    <m:r>
                      <w:rPr>
                        <w:rFonts w:ascii="Cambria Math" w:hAnsi="Cambria Math"/>
                        <w:lang w:val="en-GB"/>
                      </w:rPr>
                      <m:t>2</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η</m:t>
                    </m:r>
                  </m:sub>
                </m:sSub>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η</m:t>
                            </m:r>
                          </m:num>
                          <m:den>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ss</m:t>
                                </m:r>
                              </m:sub>
                            </m:sSub>
                          </m:den>
                        </m:f>
                      </m:e>
                    </m:d>
                  </m:e>
                  <m:sup>
                    <m:r>
                      <w:rPr>
                        <w:rFonts w:ascii="Cambria Math" w:hAnsi="Cambria Math"/>
                        <w:lang w:val="en-GB"/>
                      </w:rPr>
                      <m:t>2</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TH</m:t>
                    </m:r>
                  </m:sub>
                </m:sSub>
              </m:oMath>
            </m:oMathPara>
          </w:p>
        </w:tc>
        <w:tc>
          <w:tcPr>
            <w:tcW w:w="702" w:type="dxa"/>
            <w:vAlign w:val="center"/>
          </w:tcPr>
          <w:p w14:paraId="3CDBC2D5" w14:textId="481C890E" w:rsidR="000221AD" w:rsidRDefault="000221AD" w:rsidP="000221AD">
            <w:pPr>
              <w:pStyle w:val="CETBodytext"/>
              <w:jc w:val="right"/>
              <w:rPr>
                <w:lang w:val="en-GB"/>
              </w:rPr>
            </w:pPr>
            <w:r>
              <w:rPr>
                <w:lang w:val="en-GB"/>
              </w:rPr>
              <w:t>(1)</w:t>
            </w:r>
          </w:p>
        </w:tc>
      </w:tr>
    </w:tbl>
    <w:p w14:paraId="3FCF137D" w14:textId="268FAF11" w:rsidR="000221AD" w:rsidRDefault="00A5609B" w:rsidP="00453E24">
      <w:pPr>
        <w:pStyle w:val="CETBodytext"/>
      </w:pPr>
      <w:r>
        <w:rPr>
          <w:lang w:val="en-GB"/>
        </w:rPr>
        <w:t>Considering the Eq(1) for the control structure, we analyzed the deviation effect utilizing the IHMPC with zone control and with safety constraint, as safeguard for HAZOP study.</w:t>
      </w:r>
      <w:r w:rsidR="00861A5F">
        <w:rPr>
          <w:lang w:val="en-GB"/>
        </w:rPr>
        <w:t xml:space="preserve"> For that, </w:t>
      </w:r>
      <w:r w:rsidR="00B90955">
        <w:rPr>
          <w:lang w:val="en-GB"/>
        </w:rPr>
        <w:t xml:space="preserve">we defined the following control </w:t>
      </w:r>
      <w:r w:rsidR="00B90955" w:rsidRPr="00B90955">
        <w:rPr>
          <w:lang w:val="en-GB"/>
        </w:rPr>
        <w:t>settings</w:t>
      </w:r>
      <w:r w:rsidR="00B90955">
        <w:rPr>
          <w:lang w:val="en-GB"/>
        </w:rPr>
        <w:t xml:space="preserve">: the </w:t>
      </w:r>
      <w:r w:rsidR="009967FE">
        <w:rPr>
          <w:lang w:val="en-GB"/>
        </w:rPr>
        <w:t>zone limits</w:t>
      </w:r>
      <w:r w:rsidR="00B90955">
        <w:rPr>
          <w:lang w:val="en-GB"/>
        </w:rPr>
        <w:t xml:space="preserve"> as </w:t>
      </w: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min</m:t>
            </m:r>
          </m:sub>
        </m:sSub>
        <m:r>
          <w:rPr>
            <w:rFonts w:ascii="Cambria Math" w:hAnsi="Cambria Math"/>
            <w:lang w:val="en-GB"/>
          </w:rPr>
          <m:t xml:space="preserve"> </m:t>
        </m:r>
      </m:oMath>
      <w:r w:rsidR="00B90955">
        <w:rPr>
          <w:lang w:val="en-GB"/>
        </w:rPr>
        <w:t xml:space="preserve">= [3.5; 323.5]; </w:t>
      </w: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max</m:t>
            </m:r>
          </m:sub>
        </m:sSub>
      </m:oMath>
      <w:r w:rsidR="00B90955">
        <w:rPr>
          <w:lang w:val="en-GB"/>
        </w:rPr>
        <w:t xml:space="preserve"> = [4.15; 326]; the input bounds as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min</m:t>
            </m:r>
          </m:sub>
        </m:sSub>
        <m:r>
          <w:rPr>
            <w:rFonts w:ascii="Cambria Math" w:hAnsi="Cambria Math"/>
            <w:lang w:val="en-GB"/>
          </w:rPr>
          <m:t xml:space="preserve"> </m:t>
        </m:r>
      </m:oMath>
      <w:r w:rsidR="00B90955">
        <w:rPr>
          <w:lang w:val="en-GB"/>
        </w:rPr>
        <w:t xml:space="preserve">= [0.015; 0.08];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max</m:t>
            </m:r>
          </m:sub>
        </m:sSub>
      </m:oMath>
      <w:r w:rsidR="00B90955">
        <w:rPr>
          <w:lang w:val="en-GB"/>
        </w:rPr>
        <w:t xml:space="preserve"> = [0.07; 0.25]; and </w:t>
      </w: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max</m:t>
            </m:r>
          </m:sub>
        </m:sSub>
      </m:oMath>
      <w:r w:rsidR="00B90955">
        <w:rPr>
          <w:lang w:val="en-GB"/>
        </w:rPr>
        <w:t xml:space="preserve"> = [0.1; 0.1]. The tuning parameters for the control structure are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y</m:t>
            </m:r>
          </m:sub>
        </m:sSub>
      </m:oMath>
      <w:r w:rsidR="00B90955">
        <w:rPr>
          <w:lang w:val="en-GB"/>
        </w:rPr>
        <w:t xml:space="preserve"> = [0 1];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u</m:t>
            </m:r>
          </m:sub>
        </m:sSub>
      </m:oMath>
      <w:r w:rsidR="00B90955">
        <w:rPr>
          <w:lang w:val="en-GB"/>
        </w:rPr>
        <w:t xml:space="preserve"> = [5 0];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ε</m:t>
            </m:r>
          </m:sub>
        </m:sSub>
      </m:oMath>
      <w:r w:rsidR="00B90955">
        <w:rPr>
          <w:lang w:val="en-GB"/>
        </w:rPr>
        <w:t xml:space="preserve"> = </w:t>
      </w:r>
      <w:r w:rsidR="00EC49AF">
        <w:rPr>
          <w:lang w:val="en-GB"/>
        </w:rPr>
        <w:t>1</w:t>
      </w:r>
      <w:r w:rsidR="00EC49AF">
        <w:rPr>
          <w:rFonts w:cs="Arial"/>
          <w:lang w:val="en-GB"/>
        </w:rPr>
        <w:t>∙10</w:t>
      </w:r>
      <w:r w:rsidR="00EC49AF" w:rsidRPr="00EC49AF">
        <w:rPr>
          <w:rFonts w:cs="Arial"/>
          <w:vertAlign w:val="superscript"/>
          <w:lang w:val="en-GB"/>
        </w:rPr>
        <w:t>5</w:t>
      </w:r>
      <w:r w:rsidR="00EC49AF">
        <w:rPr>
          <w:rFonts w:cs="Arial"/>
          <w:lang w:val="en-GB"/>
        </w:rPr>
        <w:t>∙</w:t>
      </w:r>
      <w:r w:rsidR="00B90955">
        <w:rPr>
          <w:lang w:val="en-GB"/>
        </w:rPr>
        <w:t>[</w:t>
      </w:r>
      <w:r w:rsidR="00EC49AF">
        <w:rPr>
          <w:lang w:val="en-GB"/>
        </w:rPr>
        <w:t>1</w:t>
      </w:r>
      <w:r w:rsidR="00B90955">
        <w:rPr>
          <w:lang w:val="en-GB"/>
        </w:rPr>
        <w:t xml:space="preserve"> 1]</w:t>
      </w:r>
      <w:r w:rsidR="00EC49AF">
        <w:rPr>
          <w:lang w:val="en-GB"/>
        </w:rPr>
        <w:t xml:space="preserve">; </w:t>
      </w:r>
      <m:oMath>
        <m:r>
          <w:rPr>
            <w:rFonts w:ascii="Cambria Math" w:hAnsi="Cambria Math"/>
            <w:lang w:val="en-GB"/>
          </w:rPr>
          <m:t>m</m:t>
        </m:r>
      </m:oMath>
      <w:r w:rsidR="00EC49AF">
        <w:rPr>
          <w:lang w:val="en-GB"/>
        </w:rPr>
        <w:t xml:space="preserve"> = 3; </w:t>
      </w: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y</m:t>
            </m:r>
          </m:sub>
        </m:sSub>
      </m:oMath>
      <w:r w:rsidR="00EC49AF">
        <w:rPr>
          <w:lang w:val="en-GB"/>
        </w:rPr>
        <w:t xml:space="preserve"> = [1 1]; </w:t>
      </w: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u</m:t>
            </m:r>
          </m:sub>
        </m:sSub>
      </m:oMath>
      <w:r w:rsidR="00EC49AF">
        <w:rPr>
          <w:lang w:val="en-GB"/>
        </w:rPr>
        <w:t xml:space="preserve"> = [200 0]; </w:t>
      </w:r>
      <m:oMath>
        <m:r>
          <w:rPr>
            <w:rFonts w:ascii="Cambria Math" w:hAnsi="Cambria Math"/>
            <w:lang w:val="en-GB"/>
          </w:rPr>
          <m:t>R</m:t>
        </m:r>
      </m:oMath>
      <w:r w:rsidR="00EC49AF">
        <w:rPr>
          <w:lang w:val="en-GB"/>
        </w:rPr>
        <w:t xml:space="preserve"> = [10 10]</w:t>
      </w:r>
      <w:r w:rsidR="00EC49AF" w:rsidRPr="00EC49AF">
        <w:rPr>
          <w:lang w:val="en-GB"/>
        </w:rPr>
        <w:t xml:space="preserve"> </w:t>
      </w:r>
      <w:r w:rsidR="00EC49AF">
        <w:rPr>
          <w:lang w:val="en-GB"/>
        </w:rPr>
        <w:t xml:space="preserve">;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y</m:t>
            </m:r>
          </m:sub>
        </m:sSub>
      </m:oMath>
      <w:r w:rsidR="00EC49AF">
        <w:rPr>
          <w:lang w:val="en-GB"/>
        </w:rPr>
        <w:t xml:space="preserve"> = 1</w:t>
      </w:r>
      <w:r w:rsidR="00EC49AF">
        <w:rPr>
          <w:rFonts w:cs="Arial"/>
          <w:lang w:val="en-GB"/>
        </w:rPr>
        <w:t>∙10</w:t>
      </w:r>
      <w:r w:rsidR="00EC49AF" w:rsidRPr="00EC49AF">
        <w:rPr>
          <w:rFonts w:cs="Arial"/>
          <w:vertAlign w:val="superscript"/>
          <w:lang w:val="en-GB"/>
        </w:rPr>
        <w:t>5</w:t>
      </w:r>
      <w:r w:rsidR="00EC49AF">
        <w:rPr>
          <w:rFonts w:cs="Arial"/>
          <w:lang w:val="en-GB"/>
        </w:rPr>
        <w:t>∙</w:t>
      </w:r>
      <w:r w:rsidR="00EC49AF">
        <w:rPr>
          <w:lang w:val="en-GB"/>
        </w:rPr>
        <w:t xml:space="preserve">[1 1]. The </w:t>
      </w:r>
      <w:r w:rsidR="00593E39">
        <w:rPr>
          <w:lang w:val="en-GB"/>
        </w:rPr>
        <w:t xml:space="preserve">initial condition is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0</m:t>
            </m:r>
          </m:sub>
        </m:sSub>
        <m:r>
          <w:rPr>
            <w:rFonts w:ascii="Cambria Math" w:hAnsi="Cambria Math"/>
            <w:lang w:val="en-GB"/>
          </w:rPr>
          <m:t xml:space="preserve"> </m:t>
        </m:r>
      </m:oMath>
      <w:r w:rsidR="00593E39">
        <w:rPr>
          <w:lang w:val="en-GB"/>
        </w:rPr>
        <w:t xml:space="preserve">= [0.03; 0.131]; </w:t>
      </w: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0</m:t>
            </m:r>
          </m:sub>
        </m:sSub>
        <m:r>
          <w:rPr>
            <w:rFonts w:ascii="Cambria Math" w:hAnsi="Cambria Math"/>
            <w:lang w:val="en-GB"/>
          </w:rPr>
          <m:t xml:space="preserve"> </m:t>
        </m:r>
      </m:oMath>
      <w:r w:rsidR="00593E39">
        <w:rPr>
          <w:lang w:val="en-GB"/>
        </w:rPr>
        <w:t>= [3.9; 323.5]</w:t>
      </w:r>
      <w:r w:rsidR="00DC62DE">
        <w:rPr>
          <w:lang w:val="en-GB"/>
        </w:rPr>
        <w:t>. Alvarez and Odloak (2012) describe more information and</w:t>
      </w:r>
      <w:r w:rsidR="009C39A6">
        <w:rPr>
          <w:lang w:val="en-GB"/>
        </w:rPr>
        <w:t xml:space="preserve"> the</w:t>
      </w:r>
      <w:r w:rsidR="00DC62DE">
        <w:rPr>
          <w:lang w:val="en-GB"/>
        </w:rPr>
        <w:t xml:space="preserve"> </w:t>
      </w:r>
      <w:r w:rsidR="009C39A6">
        <w:rPr>
          <w:lang w:val="en-GB"/>
        </w:rPr>
        <w:t xml:space="preserve">data of </w:t>
      </w:r>
      <w:r w:rsidR="00DC62DE">
        <w:rPr>
          <w:lang w:val="en-GB"/>
        </w:rPr>
        <w:t>RTO</w:t>
      </w:r>
      <w:r w:rsidR="00593E39">
        <w:t>.</w:t>
      </w:r>
    </w:p>
    <w:p w14:paraId="6603C4BE" w14:textId="73C69D6D" w:rsidR="00957639" w:rsidRDefault="00615173" w:rsidP="00453E24">
      <w:pPr>
        <w:pStyle w:val="CETBodytext"/>
      </w:pPr>
      <w:r>
        <w:t xml:space="preserve">Now, the undesired deviations presented </w:t>
      </w:r>
      <w:r w:rsidR="00983B3D">
        <w:t xml:space="preserve">in the HAZOP </w:t>
      </w:r>
      <w:r>
        <w:t>were investigated under the presence of the control</w:t>
      </w:r>
      <w:r w:rsidR="00983B3D">
        <w:t xml:space="preserve"> struct</w:t>
      </w:r>
      <w:r w:rsidR="00C26B18">
        <w:t xml:space="preserve">ure. </w:t>
      </w:r>
      <w:r>
        <w:t>The deviations applied in the IHMPC with zone and safety constraint are</w:t>
      </w:r>
      <w:r w:rsidR="00A93BAB">
        <w:t xml:space="preserve">: </w:t>
      </w:r>
      <w:r w:rsidR="00E56912">
        <w:t>increas</w:t>
      </w:r>
      <w:r w:rsidR="00E313DC">
        <w:t>ing</w:t>
      </w:r>
      <w:r w:rsidR="00E56912">
        <w:t xml:space="preserve"> the</w:t>
      </w:r>
      <w:r w:rsidR="008F2D1E">
        <w:t xml:space="preserve"> temperature of the reactor feed to 334 K; </w:t>
      </w:r>
      <w:r w:rsidR="00E313DC">
        <w:t>increasing</w:t>
      </w:r>
      <w:r w:rsidR="00E56912">
        <w:t xml:space="preserve"> the</w:t>
      </w:r>
      <w:r w:rsidR="008F2D1E">
        <w:t xml:space="preserve"> concentration of initiator in the feed to 0.689 mol</w:t>
      </w:r>
      <w:r w:rsidR="008F2D1E">
        <w:rPr>
          <w:rFonts w:cs="Arial"/>
        </w:rPr>
        <w:t>∙</w:t>
      </w:r>
      <w:r w:rsidR="008F2D1E">
        <w:t>L</w:t>
      </w:r>
      <w:r w:rsidR="008F2D1E" w:rsidRPr="008F2D1E">
        <w:rPr>
          <w:vertAlign w:val="superscript"/>
        </w:rPr>
        <w:t>-1</w:t>
      </w:r>
      <w:r w:rsidR="008F2D1E">
        <w:t xml:space="preserve">, and </w:t>
      </w:r>
      <w:r w:rsidR="00E56912">
        <w:t>increas</w:t>
      </w:r>
      <w:r w:rsidR="00E313DC">
        <w:t>ing</w:t>
      </w:r>
      <w:r w:rsidR="001B4AF3">
        <w:t xml:space="preserve"> </w:t>
      </w:r>
      <w:r w:rsidR="00E56912">
        <w:t>the</w:t>
      </w:r>
      <w:r w:rsidR="008F2D1E">
        <w:t xml:space="preserve"> i</w:t>
      </w:r>
      <w:r w:rsidR="008F2D1E" w:rsidRPr="008F2D1E">
        <w:t>nlet temperature of cooling jacket fluid</w:t>
      </w:r>
      <w:r w:rsidR="008F2D1E">
        <w:t xml:space="preserve"> </w:t>
      </w:r>
      <w:r w:rsidR="00192EAD">
        <w:t>to 301</w:t>
      </w:r>
      <w:r w:rsidR="008F2D1E">
        <w:t xml:space="preserve"> K.</w:t>
      </w:r>
      <w:r w:rsidR="009027CD">
        <w:t xml:space="preserve"> </w:t>
      </w:r>
      <w:r w:rsidR="00AC7ADB">
        <w:t xml:space="preserve">Figure 4 shows the </w:t>
      </w:r>
      <w:r w:rsidR="008D754B">
        <w:t>profile</w:t>
      </w:r>
      <w:r w:rsidR="000179DD">
        <w:t xml:space="preserve"> of the controlled and manipulated variables</w:t>
      </w:r>
      <w:r w:rsidR="008B4FC6">
        <w:t xml:space="preserve"> for the failure in the temperature of the reactor feed.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D95D77" w14:paraId="6CFC1C06" w14:textId="77777777" w:rsidTr="00173524">
        <w:tc>
          <w:tcPr>
            <w:tcW w:w="4388" w:type="dxa"/>
          </w:tcPr>
          <w:p w14:paraId="18684EE9" w14:textId="6D106A12" w:rsidR="00D95D77" w:rsidRDefault="00402133" w:rsidP="00453E24">
            <w:pPr>
              <w:pStyle w:val="CETBodytext"/>
            </w:pPr>
            <w:r w:rsidRPr="00402133">
              <w:rPr>
                <w:noProof/>
              </w:rPr>
              <w:drawing>
                <wp:inline distT="0" distB="0" distL="0" distR="0" wp14:anchorId="73F8FBEE" wp14:editId="16F5F6CF">
                  <wp:extent cx="2664000" cy="19953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4000" cy="1995380"/>
                          </a:xfrm>
                          <a:prstGeom prst="rect">
                            <a:avLst/>
                          </a:prstGeom>
                          <a:noFill/>
                          <a:ln>
                            <a:noFill/>
                          </a:ln>
                        </pic:spPr>
                      </pic:pic>
                    </a:graphicData>
                  </a:graphic>
                </wp:inline>
              </w:drawing>
            </w:r>
          </w:p>
        </w:tc>
        <w:tc>
          <w:tcPr>
            <w:tcW w:w="4389" w:type="dxa"/>
          </w:tcPr>
          <w:p w14:paraId="74A80606" w14:textId="741C119B" w:rsidR="00D95D77" w:rsidRDefault="00402133" w:rsidP="00453E24">
            <w:pPr>
              <w:pStyle w:val="CETBodytext"/>
            </w:pPr>
            <w:r w:rsidRPr="00402133">
              <w:rPr>
                <w:noProof/>
              </w:rPr>
              <w:drawing>
                <wp:inline distT="0" distB="0" distL="0" distR="0" wp14:anchorId="7D988CE2" wp14:editId="659C2B07">
                  <wp:extent cx="2664000" cy="199593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4000" cy="1995936"/>
                          </a:xfrm>
                          <a:prstGeom prst="rect">
                            <a:avLst/>
                          </a:prstGeom>
                          <a:noFill/>
                          <a:ln>
                            <a:noFill/>
                          </a:ln>
                        </pic:spPr>
                      </pic:pic>
                    </a:graphicData>
                  </a:graphic>
                </wp:inline>
              </w:drawing>
            </w:r>
          </w:p>
        </w:tc>
      </w:tr>
      <w:tr w:rsidR="00D95D77" w14:paraId="00FA9BC4" w14:textId="77777777" w:rsidTr="00173524">
        <w:tc>
          <w:tcPr>
            <w:tcW w:w="4388" w:type="dxa"/>
          </w:tcPr>
          <w:p w14:paraId="0A7D6FF6" w14:textId="3F274716" w:rsidR="00D95D77" w:rsidRDefault="00D95D77" w:rsidP="008D754B">
            <w:pPr>
              <w:pStyle w:val="CETBodytext"/>
              <w:jc w:val="center"/>
            </w:pPr>
            <w:r>
              <w:t>(a)</w:t>
            </w:r>
          </w:p>
        </w:tc>
        <w:tc>
          <w:tcPr>
            <w:tcW w:w="4389" w:type="dxa"/>
          </w:tcPr>
          <w:p w14:paraId="093CEA71" w14:textId="4A6A4BCB" w:rsidR="00D95D77" w:rsidRDefault="00D95D77" w:rsidP="008D754B">
            <w:pPr>
              <w:pStyle w:val="CETBodytext"/>
              <w:jc w:val="center"/>
            </w:pPr>
            <w:r>
              <w:t>(b)</w:t>
            </w:r>
          </w:p>
        </w:tc>
      </w:tr>
    </w:tbl>
    <w:p w14:paraId="6E5910D0" w14:textId="4D4A57E7" w:rsidR="00D95D77" w:rsidRPr="004E5B14" w:rsidRDefault="008D754B" w:rsidP="00453E24">
      <w:pPr>
        <w:pStyle w:val="CETBodytext"/>
        <w:rPr>
          <w:i/>
        </w:rPr>
      </w:pPr>
      <w:r w:rsidRPr="00BD077D">
        <w:rPr>
          <w:rStyle w:val="CETCaptionCarattere"/>
        </w:rPr>
        <w:t xml:space="preserve">Figure </w:t>
      </w:r>
      <w:r>
        <w:rPr>
          <w:rStyle w:val="CETCaptionCarattere"/>
        </w:rPr>
        <w:t>4</w:t>
      </w:r>
      <w:r w:rsidRPr="00BD077D">
        <w:rPr>
          <w:rStyle w:val="CETCaptionCarattere"/>
        </w:rPr>
        <w:t xml:space="preserve">: </w:t>
      </w:r>
      <w:r>
        <w:rPr>
          <w:rStyle w:val="CETCaptionCarattere"/>
        </w:rPr>
        <w:t xml:space="preserve">Profile of the (a) controlled variables; and (b) manipulated variable for the deviation in the </w:t>
      </w:r>
      <w:r w:rsidRPr="004E5B14">
        <w:rPr>
          <w:i/>
        </w:rPr>
        <w:t>temperature of the reactor feed at 334 K</w:t>
      </w:r>
    </w:p>
    <w:p w14:paraId="381B0F3C" w14:textId="53B22CA0" w:rsidR="00173524" w:rsidRDefault="00482C6B" w:rsidP="00453E24">
      <w:pPr>
        <w:pStyle w:val="CETBodytext"/>
      </w:pPr>
      <w:r>
        <w:rPr>
          <w:b/>
        </w:rPr>
        <w:t xml:space="preserve">Scenario 1: </w:t>
      </w:r>
      <w:r>
        <w:t xml:space="preserve">In this scenario, the reactor was operating at the steady-state up to </w:t>
      </w:r>
      <w:r w:rsidR="000168D8">
        <w:t xml:space="preserve">110 hours, when occurs a failure, and </w:t>
      </w:r>
      <w:r>
        <w:t>the inlet reactor temperature rise from 330 K to 334</w:t>
      </w:r>
      <w:r w:rsidR="0071382E">
        <w:t xml:space="preserve"> K</w:t>
      </w:r>
      <w:r>
        <w:t xml:space="preserve">. </w:t>
      </w:r>
      <w:r w:rsidR="000168D8">
        <w:t>In this situation, there is a decreas</w:t>
      </w:r>
      <w:r w:rsidR="001A746C">
        <w:t>ing</w:t>
      </w:r>
      <w:r w:rsidR="000168D8">
        <w:t xml:space="preserve"> in the initiator </w:t>
      </w:r>
      <w:r w:rsidR="001A746C">
        <w:t>flow rate, and</w:t>
      </w:r>
      <w:r w:rsidR="000168D8">
        <w:t xml:space="preserve"> the cooling jacket flow</w:t>
      </w:r>
      <w:r w:rsidR="001A746C">
        <w:t xml:space="preserve"> </w:t>
      </w:r>
      <w:r w:rsidR="000168D8">
        <w:t>rate increase</w:t>
      </w:r>
      <w:r w:rsidR="001A746C">
        <w:t>s, to avoid the reactor temperature rising.</w:t>
      </w:r>
      <w:r w:rsidR="0017406D">
        <w:t xml:space="preserve"> Without the IHMPC</w:t>
      </w:r>
      <w:r w:rsidR="00640349">
        <w:t xml:space="preserve">, the temperature reactor </w:t>
      </w:r>
      <w:r w:rsidR="0017406D" w:rsidRPr="0017406D">
        <w:t>reach</w:t>
      </w:r>
      <w:r w:rsidR="0017406D">
        <w:t>ed about 331.5 K (being out</w:t>
      </w:r>
      <w:r w:rsidR="0017406D" w:rsidRPr="0017406D">
        <w:t xml:space="preserve"> of control zone</w:t>
      </w:r>
      <w:r w:rsidR="0017406D">
        <w:t>) against 321 K. The polymer viscosity remained in the upper bound under the deviation.</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7D02A7" w14:paraId="321A7ED4" w14:textId="77777777" w:rsidTr="00391B58">
        <w:tc>
          <w:tcPr>
            <w:tcW w:w="4388" w:type="dxa"/>
          </w:tcPr>
          <w:p w14:paraId="7757D780" w14:textId="18A74699" w:rsidR="007D02A7" w:rsidRDefault="00402133" w:rsidP="00453E24">
            <w:pPr>
              <w:pStyle w:val="CETBodytext"/>
            </w:pPr>
            <w:r w:rsidRPr="00402133">
              <w:rPr>
                <w:noProof/>
              </w:rPr>
              <w:drawing>
                <wp:inline distT="0" distB="0" distL="0" distR="0" wp14:anchorId="2444B41F" wp14:editId="590974A8">
                  <wp:extent cx="2664000" cy="199538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4000" cy="1995380"/>
                          </a:xfrm>
                          <a:prstGeom prst="rect">
                            <a:avLst/>
                          </a:prstGeom>
                          <a:noFill/>
                          <a:ln>
                            <a:noFill/>
                          </a:ln>
                        </pic:spPr>
                      </pic:pic>
                    </a:graphicData>
                  </a:graphic>
                </wp:inline>
              </w:drawing>
            </w:r>
          </w:p>
        </w:tc>
        <w:tc>
          <w:tcPr>
            <w:tcW w:w="4389" w:type="dxa"/>
          </w:tcPr>
          <w:p w14:paraId="7FF3413B" w14:textId="6457B54E" w:rsidR="007D02A7" w:rsidRDefault="00402133" w:rsidP="00453E24">
            <w:pPr>
              <w:pStyle w:val="CETBodytext"/>
            </w:pPr>
            <w:r w:rsidRPr="00402133">
              <w:rPr>
                <w:noProof/>
              </w:rPr>
              <w:drawing>
                <wp:inline distT="0" distB="0" distL="0" distR="0" wp14:anchorId="48618EC7" wp14:editId="2C4B2B45">
                  <wp:extent cx="2664000" cy="199538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4000" cy="1995380"/>
                          </a:xfrm>
                          <a:prstGeom prst="rect">
                            <a:avLst/>
                          </a:prstGeom>
                          <a:noFill/>
                          <a:ln>
                            <a:noFill/>
                          </a:ln>
                        </pic:spPr>
                      </pic:pic>
                    </a:graphicData>
                  </a:graphic>
                </wp:inline>
              </w:drawing>
            </w:r>
          </w:p>
        </w:tc>
      </w:tr>
      <w:tr w:rsidR="007D02A7" w14:paraId="70FAE03F" w14:textId="77777777" w:rsidTr="00391B58">
        <w:tc>
          <w:tcPr>
            <w:tcW w:w="4388" w:type="dxa"/>
          </w:tcPr>
          <w:p w14:paraId="3D805160" w14:textId="3505974C" w:rsidR="007D02A7" w:rsidRDefault="00A655C9" w:rsidP="00A655C9">
            <w:pPr>
              <w:pStyle w:val="CETBodytext"/>
              <w:jc w:val="center"/>
            </w:pPr>
            <w:r>
              <w:t>(a)</w:t>
            </w:r>
          </w:p>
        </w:tc>
        <w:tc>
          <w:tcPr>
            <w:tcW w:w="4389" w:type="dxa"/>
          </w:tcPr>
          <w:p w14:paraId="7EBE98DA" w14:textId="7334C21A" w:rsidR="007D02A7" w:rsidRDefault="00A655C9" w:rsidP="00A655C9">
            <w:pPr>
              <w:pStyle w:val="CETBodytext"/>
              <w:jc w:val="center"/>
            </w:pPr>
            <w:r>
              <w:t>(b)</w:t>
            </w:r>
          </w:p>
        </w:tc>
      </w:tr>
    </w:tbl>
    <w:p w14:paraId="223AEC9A" w14:textId="151E4C31" w:rsidR="00A655C9" w:rsidRDefault="00A655C9" w:rsidP="00A655C9">
      <w:pPr>
        <w:pStyle w:val="CETBodytext"/>
      </w:pPr>
      <w:r w:rsidRPr="00BD077D">
        <w:rPr>
          <w:rStyle w:val="CETCaptionCarattere"/>
        </w:rPr>
        <w:t xml:space="preserve">Figure </w:t>
      </w:r>
      <w:r>
        <w:rPr>
          <w:rStyle w:val="CETCaptionCarattere"/>
        </w:rPr>
        <w:t>5</w:t>
      </w:r>
      <w:r w:rsidRPr="00BD077D">
        <w:rPr>
          <w:rStyle w:val="CETCaptionCarattere"/>
        </w:rPr>
        <w:t xml:space="preserve">: </w:t>
      </w:r>
      <w:r>
        <w:rPr>
          <w:rStyle w:val="CETCaptionCarattere"/>
        </w:rPr>
        <w:t xml:space="preserve">Profile of the (a) controlled variables; and (b) manipulated variable for the deviation in the </w:t>
      </w:r>
      <w:r w:rsidRPr="004E5B14">
        <w:rPr>
          <w:i/>
        </w:rPr>
        <w:t>concentration of initiator in the feed at 0.658 mol</w:t>
      </w:r>
      <w:r w:rsidRPr="004E5B14">
        <w:rPr>
          <w:rFonts w:cs="Arial"/>
          <w:i/>
        </w:rPr>
        <w:t>∙</w:t>
      </w:r>
      <w:r w:rsidRPr="004E5B14">
        <w:rPr>
          <w:i/>
        </w:rPr>
        <w:t>L</w:t>
      </w:r>
      <w:r w:rsidRPr="004E5B14">
        <w:rPr>
          <w:i/>
          <w:vertAlign w:val="superscript"/>
        </w:rPr>
        <w:t>-1</w:t>
      </w:r>
    </w:p>
    <w:p w14:paraId="465DB091" w14:textId="5A23C1EE" w:rsidR="00A655C9" w:rsidRPr="00A655C9" w:rsidRDefault="00A655C9" w:rsidP="00A655C9">
      <w:pPr>
        <w:pStyle w:val="CETBodytext"/>
      </w:pPr>
      <w:r>
        <w:rPr>
          <w:b/>
        </w:rPr>
        <w:t xml:space="preserve">Scenario 2: </w:t>
      </w:r>
      <w:r>
        <w:t xml:space="preserve">Figure 5 describes the controlled and manipulated variables for the second deviation, such that the inlet initiator concentration </w:t>
      </w:r>
      <w:r w:rsidR="00922729">
        <w:t>rises</w:t>
      </w:r>
      <w:r>
        <w:t xml:space="preserve"> from 0.589 to 0.658 mol</w:t>
      </w:r>
      <w:r>
        <w:rPr>
          <w:rFonts w:cs="Arial"/>
        </w:rPr>
        <w:t>∙</w:t>
      </w:r>
      <w:r>
        <w:t>L</w:t>
      </w:r>
      <w:r w:rsidRPr="00A655C9">
        <w:rPr>
          <w:vertAlign w:val="superscript"/>
        </w:rPr>
        <w:t>-1</w:t>
      </w:r>
      <w:r>
        <w:t>, causing an increase in the flow rate of the manipulated variables.</w:t>
      </w:r>
      <w:r w:rsidR="00922729">
        <w:t xml:space="preserve"> This </w:t>
      </w:r>
      <w:r w:rsidR="00603651">
        <w:t>failure</w:t>
      </w:r>
      <w:r w:rsidR="00922729">
        <w:t xml:space="preserve"> at 110 hours raised the reactor temperature from 321.4 to 322.5 K, </w:t>
      </w:r>
      <w:r w:rsidR="00603651">
        <w:t xml:space="preserve">representing a safety scenario </w:t>
      </w:r>
      <w:r w:rsidR="00D40C01">
        <w:t>for</w:t>
      </w:r>
      <w:r w:rsidR="00603651">
        <w:t xml:space="preserve"> the safeguard</w:t>
      </w:r>
      <w:r w:rsidR="00D40C01">
        <w:t xml:space="preserve"> developed</w:t>
      </w:r>
      <w:r w:rsidR="00391B58">
        <w:t xml:space="preserve"> from HAZOP</w:t>
      </w:r>
      <w:r w:rsidR="00603651">
        <w:t>.</w:t>
      </w:r>
      <w:r w:rsidR="00922729">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884E5D" w14:paraId="5C50526D" w14:textId="77777777" w:rsidTr="004E5B14">
        <w:tc>
          <w:tcPr>
            <w:tcW w:w="4393" w:type="dxa"/>
          </w:tcPr>
          <w:p w14:paraId="397DD1E1" w14:textId="6D8754F0" w:rsidR="00884E5D" w:rsidRDefault="00402133" w:rsidP="00453E24">
            <w:pPr>
              <w:pStyle w:val="CETBodytext"/>
              <w:rPr>
                <w:lang w:val="en-GB"/>
              </w:rPr>
            </w:pPr>
            <w:r w:rsidRPr="00402133">
              <w:rPr>
                <w:noProof/>
              </w:rPr>
              <w:drawing>
                <wp:inline distT="0" distB="0" distL="0" distR="0" wp14:anchorId="19907638" wp14:editId="50D24B52">
                  <wp:extent cx="2664000" cy="199538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4000" cy="1995380"/>
                          </a:xfrm>
                          <a:prstGeom prst="rect">
                            <a:avLst/>
                          </a:prstGeom>
                          <a:noFill/>
                          <a:ln>
                            <a:noFill/>
                          </a:ln>
                        </pic:spPr>
                      </pic:pic>
                    </a:graphicData>
                  </a:graphic>
                </wp:inline>
              </w:drawing>
            </w:r>
          </w:p>
        </w:tc>
        <w:tc>
          <w:tcPr>
            <w:tcW w:w="4394" w:type="dxa"/>
          </w:tcPr>
          <w:p w14:paraId="2AE98998" w14:textId="73EFC83A" w:rsidR="00884E5D" w:rsidRDefault="00402133" w:rsidP="00453E24">
            <w:pPr>
              <w:pStyle w:val="CETBodytext"/>
              <w:rPr>
                <w:lang w:val="en-GB"/>
              </w:rPr>
            </w:pPr>
            <w:r w:rsidRPr="00402133">
              <w:rPr>
                <w:noProof/>
              </w:rPr>
              <w:drawing>
                <wp:inline distT="0" distB="0" distL="0" distR="0" wp14:anchorId="7D072978" wp14:editId="709ABF34">
                  <wp:extent cx="2664000" cy="199538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4000" cy="1995380"/>
                          </a:xfrm>
                          <a:prstGeom prst="rect">
                            <a:avLst/>
                          </a:prstGeom>
                          <a:noFill/>
                          <a:ln>
                            <a:noFill/>
                          </a:ln>
                        </pic:spPr>
                      </pic:pic>
                    </a:graphicData>
                  </a:graphic>
                </wp:inline>
              </w:drawing>
            </w:r>
          </w:p>
        </w:tc>
      </w:tr>
      <w:tr w:rsidR="005E0CD2" w14:paraId="3C9BFCEC" w14:textId="77777777" w:rsidTr="004E5B14">
        <w:tc>
          <w:tcPr>
            <w:tcW w:w="4393" w:type="dxa"/>
          </w:tcPr>
          <w:p w14:paraId="241C9AE0" w14:textId="4FA2C45C" w:rsidR="005E0CD2" w:rsidRPr="005E0CD2" w:rsidRDefault="005E0CD2" w:rsidP="005E0CD2">
            <w:pPr>
              <w:pStyle w:val="CETBodytext"/>
              <w:jc w:val="center"/>
              <w:rPr>
                <w:noProof/>
              </w:rPr>
            </w:pPr>
            <w:r>
              <w:rPr>
                <w:noProof/>
              </w:rPr>
              <w:t>(a)</w:t>
            </w:r>
          </w:p>
        </w:tc>
        <w:tc>
          <w:tcPr>
            <w:tcW w:w="4394" w:type="dxa"/>
          </w:tcPr>
          <w:p w14:paraId="786E5ABD" w14:textId="38C927FE" w:rsidR="005E0CD2" w:rsidRPr="005E0CD2" w:rsidRDefault="005E0CD2" w:rsidP="005E0CD2">
            <w:pPr>
              <w:pStyle w:val="CETBodytext"/>
              <w:jc w:val="center"/>
              <w:rPr>
                <w:noProof/>
              </w:rPr>
            </w:pPr>
            <w:r>
              <w:rPr>
                <w:noProof/>
              </w:rPr>
              <w:t>(b)</w:t>
            </w:r>
          </w:p>
        </w:tc>
      </w:tr>
    </w:tbl>
    <w:p w14:paraId="2970EC11" w14:textId="7C878C86" w:rsidR="004E5B14" w:rsidRPr="00555BE9" w:rsidRDefault="004E5B14" w:rsidP="00453E24">
      <w:pPr>
        <w:pStyle w:val="CETBodytext"/>
        <w:rPr>
          <w:i/>
        </w:rPr>
      </w:pPr>
      <w:r w:rsidRPr="00BD077D">
        <w:rPr>
          <w:rStyle w:val="CETCaptionCarattere"/>
        </w:rPr>
        <w:t xml:space="preserve">Figure </w:t>
      </w:r>
      <w:r>
        <w:rPr>
          <w:rStyle w:val="CETCaptionCarattere"/>
        </w:rPr>
        <w:t>6</w:t>
      </w:r>
      <w:r w:rsidRPr="00BD077D">
        <w:rPr>
          <w:rStyle w:val="CETCaptionCarattere"/>
        </w:rPr>
        <w:t xml:space="preserve">: </w:t>
      </w:r>
      <w:r>
        <w:rPr>
          <w:rStyle w:val="CETCaptionCarattere"/>
        </w:rPr>
        <w:t xml:space="preserve">Profile of the (a) controlled variables; and (b) manipulated variable for the deviation in </w:t>
      </w:r>
      <w:r w:rsidRPr="004E5B14">
        <w:rPr>
          <w:i/>
        </w:rPr>
        <w:t>the inlet temperature of cooling jacket fluid</w:t>
      </w:r>
      <w:r w:rsidR="00555BE9">
        <w:rPr>
          <w:b/>
          <w:i/>
        </w:rPr>
        <w:t xml:space="preserve"> </w:t>
      </w:r>
      <w:r w:rsidR="00555BE9">
        <w:rPr>
          <w:i/>
        </w:rPr>
        <w:t>at 30</w:t>
      </w:r>
      <w:r w:rsidR="00F301F2">
        <w:rPr>
          <w:i/>
        </w:rPr>
        <w:t>1</w:t>
      </w:r>
      <w:r w:rsidR="00555BE9">
        <w:rPr>
          <w:i/>
        </w:rPr>
        <w:t xml:space="preserve"> K</w:t>
      </w:r>
      <w:bookmarkStart w:id="0" w:name="_GoBack"/>
      <w:bookmarkEnd w:id="0"/>
    </w:p>
    <w:p w14:paraId="396505E3" w14:textId="31B471BD" w:rsidR="008E0412" w:rsidRPr="00555BE9" w:rsidRDefault="004E5B14" w:rsidP="00453E24">
      <w:pPr>
        <w:pStyle w:val="CETBodytext"/>
        <w:rPr>
          <w:lang w:val="en-GB"/>
        </w:rPr>
      </w:pPr>
      <w:r>
        <w:rPr>
          <w:b/>
        </w:rPr>
        <w:t xml:space="preserve">Scenario 3: </w:t>
      </w:r>
      <w:r w:rsidR="00555BE9">
        <w:t>In this scenario, a failure causes a deviation in the inlet temperature of cooling jacket fluid at 110 hours. Avoid</w:t>
      </w:r>
      <w:r w:rsidR="00F33334">
        <w:t>ing</w:t>
      </w:r>
      <w:r w:rsidR="00555BE9">
        <w:t xml:space="preserve"> failure propagation, the controller </w:t>
      </w:r>
      <w:r w:rsidR="00F33334">
        <w:t xml:space="preserve">decreases both manipulated variables flow </w:t>
      </w:r>
      <w:r w:rsidR="00BF17F0">
        <w:t xml:space="preserve">up to its lower bound </w:t>
      </w:r>
      <w:r w:rsidR="00F33334">
        <w:t>to keep the reactor temperature, and polymer viscosity inside safety constraint</w:t>
      </w:r>
      <w:r w:rsidR="00BF17F0">
        <w:t xml:space="preserve"> range</w:t>
      </w:r>
      <w:r w:rsidR="00F33334">
        <w:t>.</w:t>
      </w:r>
      <w:r w:rsidR="00F301F2">
        <w:t xml:space="preserve"> With no safeguard, this deviation could cause a temperature increasing about 331 K</w:t>
      </w:r>
      <w:r w:rsidR="00BF17F0">
        <w:t xml:space="preserve"> against</w:t>
      </w:r>
      <w:r w:rsidR="007F693A">
        <w:t xml:space="preserve"> </w:t>
      </w:r>
      <w:r w:rsidR="007F693A">
        <w:rPr>
          <w:lang w:val="en-GB"/>
        </w:rPr>
        <w:t>323.5</w:t>
      </w:r>
      <w:r w:rsidR="006F2815">
        <w:rPr>
          <w:lang w:val="en-GB"/>
        </w:rPr>
        <w:t xml:space="preserve"> K</w:t>
      </w:r>
      <w:r w:rsidR="007F693A">
        <w:rPr>
          <w:lang w:val="en-GB"/>
        </w:rPr>
        <w:t>.</w:t>
      </w:r>
      <w:r w:rsidR="00BF17F0">
        <w:t xml:space="preserve"> </w:t>
      </w:r>
    </w:p>
    <w:p w14:paraId="68D26B83" w14:textId="7A7B7B20" w:rsidR="00600535" w:rsidRPr="00B57B36" w:rsidRDefault="00600535" w:rsidP="00600535">
      <w:pPr>
        <w:pStyle w:val="CETHeading1"/>
        <w:rPr>
          <w:lang w:val="en-GB"/>
        </w:rPr>
      </w:pPr>
      <w:r w:rsidRPr="00B57B36">
        <w:rPr>
          <w:lang w:val="en-GB"/>
        </w:rPr>
        <w:t>Conclusions</w:t>
      </w:r>
      <w:r w:rsidR="00A30117">
        <w:rPr>
          <w:lang w:val="en-GB"/>
        </w:rPr>
        <w:t xml:space="preserve"> </w:t>
      </w:r>
    </w:p>
    <w:p w14:paraId="079B5A02" w14:textId="3B89E099" w:rsidR="00CE07A4" w:rsidRDefault="00C42FE1" w:rsidP="009B35A4">
      <w:pPr>
        <w:pStyle w:val="CETBodytext"/>
      </w:pPr>
      <w:r>
        <w:rPr>
          <w:lang w:val="en-GB"/>
        </w:rPr>
        <w:t>The results of this study demonstrate that</w:t>
      </w:r>
      <w:r w:rsidR="00E16BDC">
        <w:rPr>
          <w:lang w:val="en-GB"/>
        </w:rPr>
        <w:t xml:space="preserve"> the combination of model predictive control and HAZOP</w:t>
      </w:r>
      <w:r w:rsidR="00601667">
        <w:rPr>
          <w:lang w:val="en-GB"/>
        </w:rPr>
        <w:t>,</w:t>
      </w:r>
      <w:r w:rsidR="00E16BDC">
        <w:rPr>
          <w:lang w:val="en-GB"/>
        </w:rPr>
        <w:t xml:space="preserve"> with a safety constraint can improve the safety system for industrial process</w:t>
      </w:r>
      <w:r w:rsidR="0099617B">
        <w:rPr>
          <w:lang w:val="en-GB"/>
        </w:rPr>
        <w:t>es</w:t>
      </w:r>
      <w:r w:rsidR="00E16BDC">
        <w:rPr>
          <w:lang w:val="en-GB"/>
        </w:rPr>
        <w:t>, ensuring the safeguard elaborated from dynamic simulation-based HAZOP</w:t>
      </w:r>
      <w:r w:rsidR="00CF5AEC">
        <w:rPr>
          <w:lang w:val="en-GB"/>
        </w:rPr>
        <w:t xml:space="preserve">. </w:t>
      </w:r>
      <w:r w:rsidR="009B35A4">
        <w:rPr>
          <w:lang w:val="en-GB"/>
        </w:rPr>
        <w:t>T</w:t>
      </w:r>
      <w:r w:rsidR="00CF5AEC">
        <w:rPr>
          <w:lang w:val="en-GB"/>
        </w:rPr>
        <w:t xml:space="preserve">he safety constraint </w:t>
      </w:r>
      <w:r w:rsidR="00CF5AEC" w:rsidRPr="00CF5AEC">
        <w:rPr>
          <w:lang w:val="en-GB"/>
        </w:rPr>
        <w:t>guarantee</w:t>
      </w:r>
      <w:r w:rsidR="0099617B">
        <w:rPr>
          <w:lang w:val="en-GB"/>
        </w:rPr>
        <w:t>s</w:t>
      </w:r>
      <w:r w:rsidR="00CF5AEC">
        <w:rPr>
          <w:lang w:val="en-GB"/>
        </w:rPr>
        <w:t xml:space="preserve"> that critical process states, such as temperature, do not rise up to their limits, </w:t>
      </w:r>
      <w:r w:rsidR="0099617B">
        <w:rPr>
          <w:lang w:val="en-GB"/>
        </w:rPr>
        <w:t>preventing</w:t>
      </w:r>
      <w:r w:rsidR="00CF5AEC">
        <w:rPr>
          <w:lang w:val="en-GB"/>
        </w:rPr>
        <w:t xml:space="preserve"> thermal runaway of the styrene polymerization reactor.</w:t>
      </w:r>
      <w:r w:rsidR="009B35A4">
        <w:rPr>
          <w:lang w:val="en-GB"/>
        </w:rPr>
        <w:t xml:space="preserve"> Moreover, the zone control for IHMPC can also </w:t>
      </w:r>
      <w:r w:rsidR="003C5A42">
        <w:rPr>
          <w:lang w:val="en-GB"/>
        </w:rPr>
        <w:t>be recognized</w:t>
      </w:r>
      <w:r w:rsidR="009B35A4">
        <w:rPr>
          <w:lang w:val="en-GB"/>
        </w:rPr>
        <w:t xml:space="preserve"> as safe restriction in the control structure</w:t>
      </w:r>
      <w:r w:rsidR="003C5A42">
        <w:rPr>
          <w:lang w:val="en-GB"/>
        </w:rPr>
        <w:t>, since is a bound for the outputs</w:t>
      </w:r>
      <w:r w:rsidR="009B35A4">
        <w:rPr>
          <w:lang w:val="en-GB"/>
        </w:rPr>
        <w:t xml:space="preserve">. </w:t>
      </w:r>
      <w:r w:rsidR="00E47B46">
        <w:rPr>
          <w:lang w:val="en-GB"/>
        </w:rPr>
        <w:t>Consequently, t</w:t>
      </w:r>
      <w:r w:rsidR="00601667">
        <w:rPr>
          <w:lang w:val="en-GB"/>
        </w:rPr>
        <w:t xml:space="preserve">his methodology provides a comprehensive safety approach based on control-inspired view. </w:t>
      </w:r>
    </w:p>
    <w:p w14:paraId="459D05E6" w14:textId="75570A5B" w:rsidR="00600535" w:rsidRPr="00B57B36" w:rsidRDefault="00600535" w:rsidP="00600535">
      <w:pPr>
        <w:pStyle w:val="CETAcknowledgementstitle"/>
      </w:pPr>
      <w:r w:rsidRPr="00B57B36">
        <w:t>Acknowledgments</w:t>
      </w:r>
    </w:p>
    <w:p w14:paraId="09DDA2E8" w14:textId="1D0FA7DB" w:rsidR="00CE07A4" w:rsidRPr="00FA4BF4" w:rsidRDefault="00CE07A4" w:rsidP="00CE07A4">
      <w:pPr>
        <w:pStyle w:val="CETReference"/>
        <w:rPr>
          <w:b w:val="0"/>
          <w:lang w:val="en-US"/>
        </w:rPr>
      </w:pPr>
      <w:r w:rsidRPr="00FA4BF4">
        <w:rPr>
          <w:b w:val="0"/>
          <w:lang w:val="en-US"/>
        </w:rPr>
        <w:t>The authors thank the financial support from CAPES (Coordenação de Aperfeiçoament</w:t>
      </w:r>
      <w:r w:rsidR="00A2671A" w:rsidRPr="00FA4BF4">
        <w:rPr>
          <w:b w:val="0"/>
          <w:lang w:val="en-US"/>
        </w:rPr>
        <w:t>o de Pessoal de Nível Superior) – Grant number 88887.337596/2019-00.</w:t>
      </w:r>
    </w:p>
    <w:p w14:paraId="4F1327F8" w14:textId="35409695" w:rsidR="00600535" w:rsidRPr="00FA4BF4" w:rsidRDefault="56BF9970" w:rsidP="00CE07A4">
      <w:pPr>
        <w:pStyle w:val="CETReference"/>
        <w:rPr>
          <w:lang w:val="en-US"/>
        </w:rPr>
      </w:pPr>
      <w:r w:rsidRPr="00FA4BF4">
        <w:rPr>
          <w:lang w:val="en-US"/>
        </w:rPr>
        <w:t>References</w:t>
      </w:r>
    </w:p>
    <w:sdt>
      <w:sdtPr>
        <w:tag w:val="MENDELEY_BIBLIOGRAPHY"/>
        <w:id w:val="594212286"/>
      </w:sdtPr>
      <w:sdtEndPr/>
      <w:sdtContent>
        <w:p w14:paraId="4373E6FB" w14:textId="34FC585D" w:rsidR="00C52C3C" w:rsidRDefault="56A29A6E" w:rsidP="3D09E91C">
          <w:pPr>
            <w:ind w:left="480" w:hanging="480"/>
          </w:pPr>
          <w:r w:rsidRPr="3D09E91C">
            <w:t>Albalawi, F., Durand, H., Christofides, P</w:t>
          </w:r>
          <w:r w:rsidR="0006698A">
            <w:t>. D., 2017,</w:t>
          </w:r>
          <w:r w:rsidRPr="3D09E91C">
            <w:t xml:space="preserve"> Process operational safety using model predictive control based on a process Safeness Index</w:t>
          </w:r>
          <w:r w:rsidR="0006698A">
            <w:t>,</w:t>
          </w:r>
          <w:r w:rsidRPr="3D09E91C">
            <w:t xml:space="preserve"> </w:t>
          </w:r>
          <w:r w:rsidRPr="0006698A">
            <w:rPr>
              <w:iCs/>
            </w:rPr>
            <w:t>Computers and Chemical Engineering</w:t>
          </w:r>
          <w:r w:rsidRPr="0006698A">
            <w:t xml:space="preserve">, </w:t>
          </w:r>
          <w:r w:rsidRPr="0006698A">
            <w:rPr>
              <w:iCs/>
            </w:rPr>
            <w:t>104</w:t>
          </w:r>
          <w:r w:rsidRPr="0006698A">
            <w:t>, 76–88.</w:t>
          </w:r>
        </w:p>
        <w:p w14:paraId="3F84449F" w14:textId="621ACD58" w:rsidR="00C52C3C" w:rsidRDefault="0006698A" w:rsidP="3D09E91C">
          <w:pPr>
            <w:ind w:left="480" w:hanging="480"/>
          </w:pPr>
          <w:r>
            <w:rPr>
              <w:lang w:val="en-US"/>
            </w:rPr>
            <w:t xml:space="preserve">Alvarez, L. A., </w:t>
          </w:r>
          <w:r w:rsidRPr="0006698A">
            <w:rPr>
              <w:lang w:val="en-US"/>
            </w:rPr>
            <w:t xml:space="preserve">Odloak, D., </w:t>
          </w:r>
          <w:r w:rsidR="56A29A6E" w:rsidRPr="0006698A">
            <w:rPr>
              <w:lang w:val="en-US"/>
            </w:rPr>
            <w:t>2012</w:t>
          </w:r>
          <w:r w:rsidRPr="0006698A">
            <w:rPr>
              <w:lang w:val="en-US"/>
            </w:rPr>
            <w:t>,</w:t>
          </w:r>
          <w:r w:rsidR="56A29A6E" w:rsidRPr="0006698A">
            <w:rPr>
              <w:lang w:val="en-US"/>
            </w:rPr>
            <w:t xml:space="preserve"> </w:t>
          </w:r>
          <w:r w:rsidR="56A29A6E" w:rsidRPr="3D09E91C">
            <w:t>Optimization and control of a continuous polymerization reactor</w:t>
          </w:r>
          <w:r w:rsidR="00CE07A4">
            <w:t xml:space="preserve">, </w:t>
          </w:r>
          <w:r w:rsidR="56A29A6E" w:rsidRPr="0006698A">
            <w:rPr>
              <w:iCs/>
            </w:rPr>
            <w:t>Brazilian Journal of Chemical Engineering</w:t>
          </w:r>
          <w:r w:rsidR="56A29A6E" w:rsidRPr="0006698A">
            <w:t xml:space="preserve">, </w:t>
          </w:r>
          <w:r w:rsidR="56A29A6E" w:rsidRPr="0006698A">
            <w:rPr>
              <w:iCs/>
            </w:rPr>
            <w:t>29</w:t>
          </w:r>
          <w:r w:rsidR="56A29A6E" w:rsidRPr="0006698A">
            <w:t>(4), 807–820</w:t>
          </w:r>
          <w:r w:rsidR="56A29A6E" w:rsidRPr="3D09E91C">
            <w:t xml:space="preserve">. </w:t>
          </w:r>
        </w:p>
        <w:p w14:paraId="4CD53BDB" w14:textId="2D2F5B47" w:rsidR="00C52C3C" w:rsidRDefault="56A29A6E" w:rsidP="3D09E91C">
          <w:pPr>
            <w:ind w:left="480" w:hanging="480"/>
          </w:pPr>
          <w:r w:rsidRPr="3D09E91C">
            <w:t>Danko, M., Janošovský, J., Labovský, J., Jelemenský, Ľ.</w:t>
          </w:r>
          <w:r w:rsidR="0006698A">
            <w:t xml:space="preserve">, </w:t>
          </w:r>
          <w:r w:rsidRPr="3D09E91C">
            <w:t>2019</w:t>
          </w:r>
          <w:r w:rsidR="0006698A">
            <w:t>,</w:t>
          </w:r>
          <w:r w:rsidRPr="3D09E91C">
            <w:t xml:space="preserve"> Integration of process control protection layer int</w:t>
          </w:r>
          <w:r w:rsidR="00CE07A4">
            <w:t>o a simulation-based HAZOP tool,</w:t>
          </w:r>
          <w:r w:rsidRPr="3D09E91C">
            <w:t xml:space="preserve"> </w:t>
          </w:r>
          <w:r w:rsidRPr="0006698A">
            <w:rPr>
              <w:iCs/>
            </w:rPr>
            <w:t>Journal of Loss Prevention in the Process Industries</w:t>
          </w:r>
          <w:r w:rsidRPr="0006698A">
            <w:t>, 291–303</w:t>
          </w:r>
          <w:r w:rsidRPr="3D09E91C">
            <w:t xml:space="preserve">. </w:t>
          </w:r>
        </w:p>
        <w:p w14:paraId="372086ED" w14:textId="690CA449" w:rsidR="00C52C3C" w:rsidRDefault="56A29A6E" w:rsidP="3D09E91C">
          <w:pPr>
            <w:ind w:left="480" w:hanging="480"/>
          </w:pPr>
          <w:r w:rsidRPr="00986FD7">
            <w:rPr>
              <w:lang w:val="es-419"/>
            </w:rPr>
            <w:t xml:space="preserve">González, A. H., &amp; Odloak, D. (2009). </w:t>
          </w:r>
          <w:r w:rsidRPr="3D09E91C">
            <w:t xml:space="preserve">A stable MPC with zone control. </w:t>
          </w:r>
          <w:r w:rsidRPr="00CE07A4">
            <w:rPr>
              <w:iCs/>
            </w:rPr>
            <w:t>Journal of Process Control</w:t>
          </w:r>
          <w:r w:rsidRPr="3D09E91C">
            <w:t xml:space="preserve">, </w:t>
          </w:r>
          <w:r w:rsidRPr="3D09E91C">
            <w:rPr>
              <w:i/>
              <w:iCs/>
            </w:rPr>
            <w:t>19</w:t>
          </w:r>
          <w:r w:rsidR="0006698A">
            <w:t>(1), 110–122.</w:t>
          </w:r>
        </w:p>
        <w:p w14:paraId="3F94DCC5" w14:textId="0DB5B752" w:rsidR="00C52C3C" w:rsidRDefault="56A29A6E" w:rsidP="3D09E91C">
          <w:pPr>
            <w:ind w:left="480" w:hanging="480"/>
          </w:pPr>
          <w:r w:rsidRPr="3D09E91C">
            <w:t>Janošovský, J., Labovský, J., Jelemenský, L.</w:t>
          </w:r>
          <w:r w:rsidR="0006698A">
            <w:t>,</w:t>
          </w:r>
          <w:r w:rsidR="0006698A" w:rsidRPr="3D09E91C">
            <w:t xml:space="preserve"> </w:t>
          </w:r>
          <w:r w:rsidRPr="3D09E91C">
            <w:t>2016</w:t>
          </w:r>
          <w:r w:rsidR="0006698A">
            <w:t>,</w:t>
          </w:r>
          <w:r w:rsidRPr="3D09E91C">
            <w:t xml:space="preserve"> Automated Model-based HAZOP s</w:t>
          </w:r>
          <w:r w:rsidR="00CE07A4">
            <w:t>tudy in process hazard analysis,</w:t>
          </w:r>
          <w:r w:rsidRPr="3D09E91C">
            <w:t xml:space="preserve"> </w:t>
          </w:r>
          <w:r w:rsidRPr="0006698A">
            <w:rPr>
              <w:iCs/>
            </w:rPr>
            <w:t>Chemical Engineering Transactions</w:t>
          </w:r>
          <w:r w:rsidRPr="0006698A">
            <w:t xml:space="preserve">, </w:t>
          </w:r>
          <w:r w:rsidRPr="0006698A">
            <w:rPr>
              <w:iCs/>
            </w:rPr>
            <w:t>48</w:t>
          </w:r>
          <w:r w:rsidRPr="0006698A">
            <w:t>,</w:t>
          </w:r>
          <w:r w:rsidRPr="3D09E91C">
            <w:t xml:space="preserve"> 505–510. </w:t>
          </w:r>
        </w:p>
        <w:p w14:paraId="4646DFAC" w14:textId="163A8C8B" w:rsidR="00F6584C" w:rsidRPr="00F6584C" w:rsidRDefault="56A29A6E" w:rsidP="00F6584C">
          <w:pPr>
            <w:ind w:left="480" w:hanging="480"/>
            <w:rPr>
              <w:color w:val="0000FF" w:themeColor="hyperlink"/>
              <w:u w:val="single"/>
              <w:lang w:val="en-US"/>
            </w:rPr>
          </w:pPr>
          <w:r w:rsidRPr="3D09E91C">
            <w:t>Leveson, N. G., Stephanopoulos, G.</w:t>
          </w:r>
          <w:r w:rsidR="0006698A">
            <w:t xml:space="preserve">, </w:t>
          </w:r>
          <w:r w:rsidRPr="3D09E91C">
            <w:t>2014</w:t>
          </w:r>
          <w:r w:rsidR="0006698A">
            <w:t>,</w:t>
          </w:r>
          <w:r w:rsidRPr="3D09E91C">
            <w:t xml:space="preserve"> A system-theoretic, control-inspired view </w:t>
          </w:r>
          <w:r w:rsidR="00CE07A4">
            <w:t xml:space="preserve">and approach to process safety, </w:t>
          </w:r>
          <w:r w:rsidRPr="00CE07A4">
            <w:rPr>
              <w:iCs/>
              <w:lang w:val="en-US"/>
            </w:rPr>
            <w:t>AIChE Journal</w:t>
          </w:r>
          <w:r w:rsidRPr="00CE07A4">
            <w:rPr>
              <w:lang w:val="en-US"/>
            </w:rPr>
            <w:t xml:space="preserve">, </w:t>
          </w:r>
          <w:r w:rsidRPr="00CE07A4">
            <w:rPr>
              <w:iCs/>
              <w:lang w:val="en-US"/>
            </w:rPr>
            <w:t>60</w:t>
          </w:r>
          <w:r w:rsidRPr="00CE07A4">
            <w:rPr>
              <w:lang w:val="en-US"/>
            </w:rPr>
            <w:t>(1), 2–14.</w:t>
          </w:r>
          <w:r w:rsidR="0006698A" w:rsidRPr="00CE07A4">
            <w:rPr>
              <w:rStyle w:val="Hyperlink"/>
              <w:lang w:val="en-US"/>
            </w:rPr>
            <w:t xml:space="preserve"> </w:t>
          </w:r>
        </w:p>
        <w:p w14:paraId="649A528A" w14:textId="7651E139" w:rsidR="00C52C3C" w:rsidRDefault="56A29A6E" w:rsidP="3D09E91C">
          <w:pPr>
            <w:ind w:left="480" w:hanging="480"/>
          </w:pPr>
          <w:r w:rsidRPr="0006698A">
            <w:rPr>
              <w:lang w:val="en-US"/>
            </w:rPr>
            <w:t>Mokhtarname, R., Safavi, A. A., Urbas, L., Salimi, F., Zerafat, M. M., Harasi, N</w:t>
          </w:r>
          <w:r w:rsidR="0006698A" w:rsidRPr="0006698A">
            <w:rPr>
              <w:lang w:val="en-US"/>
            </w:rPr>
            <w:t xml:space="preserve">., </w:t>
          </w:r>
          <w:r w:rsidRPr="0006698A">
            <w:rPr>
              <w:lang w:val="en-US"/>
            </w:rPr>
            <w:t>2020</w:t>
          </w:r>
          <w:r w:rsidR="0006698A" w:rsidRPr="0006698A">
            <w:rPr>
              <w:lang w:val="en-US"/>
            </w:rPr>
            <w:t xml:space="preserve">, </w:t>
          </w:r>
          <w:r w:rsidRPr="3D09E91C">
            <w:t>Toward HaZOP 4.0 approach for managing the complexities of the hazard and operability of an industr</w:t>
          </w:r>
          <w:r w:rsidR="00CE07A4">
            <w:t>ial polymerization reactor,</w:t>
          </w:r>
          <w:r w:rsidRPr="3D09E91C">
            <w:t xml:space="preserve"> </w:t>
          </w:r>
          <w:r w:rsidRPr="0006698A">
            <w:rPr>
              <w:iCs/>
            </w:rPr>
            <w:t>IFAC-PapersOnLine</w:t>
          </w:r>
          <w:r w:rsidRPr="0006698A">
            <w:t xml:space="preserve">, </w:t>
          </w:r>
          <w:r w:rsidRPr="0006698A">
            <w:rPr>
              <w:iCs/>
            </w:rPr>
            <w:t>53</w:t>
          </w:r>
          <w:r w:rsidRPr="0006698A">
            <w:t>(2)</w:t>
          </w:r>
          <w:r w:rsidRPr="3D09E91C">
            <w:t xml:space="preserve">, 13593–13600. </w:t>
          </w:r>
        </w:p>
        <w:p w14:paraId="6D57E5AF" w14:textId="5D95E8C8" w:rsidR="00C52C3C" w:rsidRDefault="56A29A6E" w:rsidP="3D09E91C">
          <w:pPr>
            <w:ind w:left="480" w:hanging="480"/>
          </w:pPr>
          <w:r w:rsidRPr="3D09E91C">
            <w:t>Mushtaq, F., &amp; Chung, P. W. H.</w:t>
          </w:r>
          <w:r w:rsidR="00CE07A4">
            <w:t>,</w:t>
          </w:r>
          <w:r w:rsidR="00CE07A4" w:rsidRPr="3D09E91C">
            <w:t xml:space="preserve"> </w:t>
          </w:r>
          <w:r w:rsidRPr="3D09E91C">
            <w:t>2000</w:t>
          </w:r>
          <w:r w:rsidR="00CE07A4">
            <w:t>,</w:t>
          </w:r>
          <w:r w:rsidRPr="3D09E91C">
            <w:t xml:space="preserve"> A systematic Hazop procedure for batch processes, and its</w:t>
          </w:r>
          <w:r w:rsidR="00CE07A4">
            <w:t xml:space="preserve"> application to pipeless plants,</w:t>
          </w:r>
          <w:r w:rsidRPr="3D09E91C">
            <w:t xml:space="preserve"> </w:t>
          </w:r>
          <w:r w:rsidRPr="00CE07A4">
            <w:rPr>
              <w:iCs/>
            </w:rPr>
            <w:t>Journal of Loss Prevention in the Process Industries</w:t>
          </w:r>
          <w:r w:rsidRPr="00CE07A4">
            <w:t xml:space="preserve">, </w:t>
          </w:r>
          <w:r w:rsidRPr="00CE07A4">
            <w:rPr>
              <w:iCs/>
            </w:rPr>
            <w:t>13</w:t>
          </w:r>
          <w:r w:rsidRPr="3D09E91C">
            <w:t>(1), 41–48.</w:t>
          </w:r>
        </w:p>
        <w:p w14:paraId="19C4FC68" w14:textId="36B715E9" w:rsidR="004628D2" w:rsidRDefault="56A29A6E" w:rsidP="00CE07A4">
          <w:pPr>
            <w:ind w:left="480" w:hanging="480"/>
          </w:pPr>
          <w:r w:rsidRPr="00CE07A4">
            <w:rPr>
              <w:lang w:val="en-US"/>
            </w:rPr>
            <w:t xml:space="preserve">Raoni, R., Secchi, A. R., </w:t>
          </w:r>
          <w:r w:rsidR="00CE07A4" w:rsidRPr="00CE07A4">
            <w:rPr>
              <w:lang w:val="en-US"/>
            </w:rPr>
            <w:t xml:space="preserve">Demichela, M., </w:t>
          </w:r>
          <w:r w:rsidRPr="00CE07A4">
            <w:rPr>
              <w:lang w:val="en-US"/>
            </w:rPr>
            <w:t>2018</w:t>
          </w:r>
          <w:r w:rsidR="00CE07A4" w:rsidRPr="00CE07A4">
            <w:rPr>
              <w:lang w:val="en-US"/>
            </w:rPr>
            <w:t xml:space="preserve">, </w:t>
          </w:r>
          <w:r w:rsidRPr="3D09E91C">
            <w:t>Employing process simulation for hazardous process deviation identification and analysis</w:t>
          </w:r>
          <w:r w:rsidR="00CE07A4">
            <w:t>,</w:t>
          </w:r>
          <w:r w:rsidRPr="3D09E91C">
            <w:t xml:space="preserve"> </w:t>
          </w:r>
          <w:r w:rsidRPr="00CE07A4">
            <w:rPr>
              <w:iCs/>
            </w:rPr>
            <w:t>Safety Science</w:t>
          </w:r>
          <w:r w:rsidRPr="00CE07A4">
            <w:t xml:space="preserve">, </w:t>
          </w:r>
          <w:r w:rsidRPr="00CE07A4">
            <w:rPr>
              <w:iCs/>
            </w:rPr>
            <w:t>101</w:t>
          </w:r>
          <w:r w:rsidRPr="3D09E91C">
            <w:t>, 209–219.</w:t>
          </w:r>
        </w:p>
      </w:sdtContent>
    </w:sdt>
    <w:sectPr w:rsidR="004628D2" w:rsidSect="00EF06D9">
      <w:headerReference w:type="default" r:id="rId25"/>
      <w:footerReference w:type="default" r:id="rId26"/>
      <w:headerReference w:type="first" r:id="rId27"/>
      <w:footerReference w:type="first" r:id="rId28"/>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63D9C" w16cex:dateUtc="2023-02-14T20:04:00Z"/>
  <w16cex:commentExtensible w16cex:durableId="27963B2A" w16cex:dateUtc="2023-02-14T19:54:00Z"/>
  <w16cex:commentExtensible w16cex:durableId="27963B79" w16cex:dateUtc="2023-02-14T19:55:00Z"/>
  <w16cex:commentExtensible w16cex:durableId="27963BB5" w16cex:dateUtc="2023-02-14T19:56:00Z"/>
  <w16cex:commentExtensible w16cex:durableId="27963BE3" w16cex:dateUtc="2023-02-14T19:57:00Z"/>
  <w16cex:commentExtensible w16cex:durableId="27963C48" w16cex:dateUtc="2023-02-14T19:58:00Z"/>
  <w16cex:commentExtensible w16cex:durableId="27963C7D" w16cex:dateUtc="2023-02-14T19:59:00Z"/>
  <w16cex:commentExtensible w16cex:durableId="27963DE6" w16cex:dateUtc="2023-02-14T20:05:00Z"/>
  <w16cex:commentExtensible w16cex:durableId="27963DB9" w16cex:dateUtc="2023-02-14T20:04:00Z"/>
  <w16cex:commentExtensible w16cex:durableId="27963CF9" w16cex:dateUtc="2023-02-14T20:01:00Z"/>
  <w16cex:commentExtensible w16cex:durableId="27963D88" w16cex:dateUtc="2023-02-14T20:04:00Z"/>
  <w16cex:commentExtensible w16cex:durableId="27963D37" w16cex:dateUtc="2023-02-14T20:02:00Z"/>
  <w16cex:commentExtensible w16cex:durableId="27963D4D" w16cex:dateUtc="2023-02-14T2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0C2178" w16cid:durableId="27963D9C"/>
  <w16cid:commentId w16cid:paraId="23246BEB" w16cid:durableId="27963B2A"/>
  <w16cid:commentId w16cid:paraId="00DA0E27" w16cid:durableId="27963B79"/>
  <w16cid:commentId w16cid:paraId="05E3385C" w16cid:durableId="27963BB5"/>
  <w16cid:commentId w16cid:paraId="4E7B7FBE" w16cid:durableId="27963BE3"/>
  <w16cid:commentId w16cid:paraId="30F82F62" w16cid:durableId="27963C48"/>
  <w16cid:commentId w16cid:paraId="18A238D1" w16cid:durableId="27963C7D"/>
  <w16cid:commentId w16cid:paraId="7F2D956D" w16cid:durableId="27963DE6"/>
  <w16cid:commentId w16cid:paraId="54443C3A" w16cid:durableId="27963DB9"/>
  <w16cid:commentId w16cid:paraId="477D93BA" w16cid:durableId="27963CF9"/>
  <w16cid:commentId w16cid:paraId="7566E9BD" w16cid:durableId="27963D88"/>
  <w16cid:commentId w16cid:paraId="48A4ADA5" w16cid:durableId="27963D37"/>
  <w16cid:commentId w16cid:paraId="60ED727A" w16cid:durableId="27963D4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2F040" w14:textId="77777777" w:rsidR="0091272B" w:rsidRDefault="0091272B" w:rsidP="004F5E36">
      <w:r>
        <w:separator/>
      </w:r>
    </w:p>
  </w:endnote>
  <w:endnote w:type="continuationSeparator" w:id="0">
    <w:p w14:paraId="6B7A012C" w14:textId="77777777" w:rsidR="0091272B" w:rsidRDefault="0091272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25"/>
      <w:gridCol w:w="2925"/>
      <w:gridCol w:w="2925"/>
    </w:tblGrid>
    <w:tr w:rsidR="00BC1529" w14:paraId="699B80EC" w14:textId="77777777" w:rsidTr="4F490D78">
      <w:trPr>
        <w:trHeight w:val="300"/>
      </w:trPr>
      <w:tc>
        <w:tcPr>
          <w:tcW w:w="2925" w:type="dxa"/>
        </w:tcPr>
        <w:p w14:paraId="73DCC8D3" w14:textId="24C60C7D" w:rsidR="00BC1529" w:rsidRDefault="00BC1529" w:rsidP="4F490D78">
          <w:pPr>
            <w:pStyle w:val="Cabealho"/>
            <w:ind w:left="-115"/>
            <w:jc w:val="left"/>
          </w:pPr>
        </w:p>
      </w:tc>
      <w:tc>
        <w:tcPr>
          <w:tcW w:w="2925" w:type="dxa"/>
        </w:tcPr>
        <w:p w14:paraId="5730CB20" w14:textId="0AC9587D" w:rsidR="00BC1529" w:rsidRDefault="00BC1529" w:rsidP="4F490D78">
          <w:pPr>
            <w:pStyle w:val="Cabealho"/>
            <w:jc w:val="center"/>
          </w:pPr>
        </w:p>
      </w:tc>
      <w:tc>
        <w:tcPr>
          <w:tcW w:w="2925" w:type="dxa"/>
        </w:tcPr>
        <w:p w14:paraId="5C8E0CD2" w14:textId="65AA590F" w:rsidR="00BC1529" w:rsidRDefault="00BC1529" w:rsidP="4F490D78">
          <w:pPr>
            <w:pStyle w:val="Cabealho"/>
            <w:ind w:right="-115"/>
            <w:jc w:val="right"/>
          </w:pPr>
        </w:p>
      </w:tc>
    </w:tr>
  </w:tbl>
  <w:p w14:paraId="249738AF" w14:textId="5421CFCE" w:rsidR="00BC1529" w:rsidRDefault="00BC1529" w:rsidP="4F490D7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25"/>
      <w:gridCol w:w="2925"/>
      <w:gridCol w:w="2925"/>
    </w:tblGrid>
    <w:tr w:rsidR="00BC1529" w14:paraId="099CF553" w14:textId="77777777" w:rsidTr="4F490D78">
      <w:trPr>
        <w:trHeight w:val="300"/>
      </w:trPr>
      <w:tc>
        <w:tcPr>
          <w:tcW w:w="2925" w:type="dxa"/>
        </w:tcPr>
        <w:p w14:paraId="5183BFDC" w14:textId="321CB5D4" w:rsidR="00BC1529" w:rsidRDefault="00BC1529" w:rsidP="4F490D78">
          <w:pPr>
            <w:pStyle w:val="Cabealho"/>
            <w:ind w:left="-115"/>
            <w:jc w:val="left"/>
          </w:pPr>
        </w:p>
      </w:tc>
      <w:tc>
        <w:tcPr>
          <w:tcW w:w="2925" w:type="dxa"/>
        </w:tcPr>
        <w:p w14:paraId="1512D5B9" w14:textId="22D84099" w:rsidR="00BC1529" w:rsidRDefault="00BC1529" w:rsidP="4F490D78">
          <w:pPr>
            <w:pStyle w:val="Cabealho"/>
            <w:jc w:val="center"/>
          </w:pPr>
        </w:p>
      </w:tc>
      <w:tc>
        <w:tcPr>
          <w:tcW w:w="2925" w:type="dxa"/>
        </w:tcPr>
        <w:p w14:paraId="1FBBFD06" w14:textId="7803BAB0" w:rsidR="00BC1529" w:rsidRDefault="00BC1529" w:rsidP="4F490D78">
          <w:pPr>
            <w:pStyle w:val="Cabealho"/>
            <w:ind w:right="-115"/>
            <w:jc w:val="right"/>
          </w:pPr>
        </w:p>
      </w:tc>
    </w:tr>
  </w:tbl>
  <w:p w14:paraId="08253B7E" w14:textId="4C509116" w:rsidR="00BC1529" w:rsidRDefault="00BC1529" w:rsidP="4F490D7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4052B" w14:textId="77777777" w:rsidR="0091272B" w:rsidRDefault="0091272B" w:rsidP="004F5E36">
      <w:r>
        <w:separator/>
      </w:r>
    </w:p>
  </w:footnote>
  <w:footnote w:type="continuationSeparator" w:id="0">
    <w:p w14:paraId="463E09E1" w14:textId="77777777" w:rsidR="0091272B" w:rsidRDefault="0091272B"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25"/>
      <w:gridCol w:w="2925"/>
      <w:gridCol w:w="2925"/>
    </w:tblGrid>
    <w:tr w:rsidR="00BC1529" w14:paraId="51528A0A" w14:textId="77777777" w:rsidTr="4F490D78">
      <w:trPr>
        <w:trHeight w:val="300"/>
      </w:trPr>
      <w:tc>
        <w:tcPr>
          <w:tcW w:w="2925" w:type="dxa"/>
        </w:tcPr>
        <w:p w14:paraId="0C404BAD" w14:textId="51013A18" w:rsidR="00BC1529" w:rsidRDefault="00BC1529" w:rsidP="4F490D78">
          <w:pPr>
            <w:pStyle w:val="Cabealho"/>
            <w:ind w:left="-115"/>
            <w:jc w:val="left"/>
          </w:pPr>
        </w:p>
      </w:tc>
      <w:tc>
        <w:tcPr>
          <w:tcW w:w="2925" w:type="dxa"/>
        </w:tcPr>
        <w:p w14:paraId="6C722A93" w14:textId="21C7A073" w:rsidR="00BC1529" w:rsidRDefault="00BC1529" w:rsidP="4F490D78">
          <w:pPr>
            <w:pStyle w:val="Cabealho"/>
            <w:jc w:val="center"/>
          </w:pPr>
        </w:p>
      </w:tc>
      <w:tc>
        <w:tcPr>
          <w:tcW w:w="2925" w:type="dxa"/>
        </w:tcPr>
        <w:p w14:paraId="78AF6D0B" w14:textId="177F9267" w:rsidR="00BC1529" w:rsidRDefault="00BC1529" w:rsidP="4F490D78">
          <w:pPr>
            <w:pStyle w:val="Cabealho"/>
            <w:ind w:right="-115"/>
            <w:jc w:val="right"/>
          </w:pPr>
        </w:p>
      </w:tc>
    </w:tr>
  </w:tbl>
  <w:p w14:paraId="0A0CC7B3" w14:textId="6C2F1A45" w:rsidR="00BC1529" w:rsidRDefault="00BC1529" w:rsidP="4F490D7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25"/>
      <w:gridCol w:w="2925"/>
      <w:gridCol w:w="2925"/>
    </w:tblGrid>
    <w:tr w:rsidR="00BC1529" w14:paraId="538EA034" w14:textId="77777777" w:rsidTr="4F490D78">
      <w:trPr>
        <w:trHeight w:val="300"/>
      </w:trPr>
      <w:tc>
        <w:tcPr>
          <w:tcW w:w="2925" w:type="dxa"/>
        </w:tcPr>
        <w:p w14:paraId="10F8E5BE" w14:textId="0E1D9C9B" w:rsidR="00BC1529" w:rsidRDefault="00BC1529" w:rsidP="4F490D78">
          <w:pPr>
            <w:pStyle w:val="Cabealho"/>
            <w:ind w:left="-115"/>
            <w:jc w:val="left"/>
          </w:pPr>
        </w:p>
      </w:tc>
      <w:tc>
        <w:tcPr>
          <w:tcW w:w="2925" w:type="dxa"/>
        </w:tcPr>
        <w:p w14:paraId="75449E64" w14:textId="4F47ADE1" w:rsidR="00BC1529" w:rsidRDefault="00BC1529" w:rsidP="4F490D78">
          <w:pPr>
            <w:pStyle w:val="Cabealho"/>
            <w:jc w:val="center"/>
          </w:pPr>
        </w:p>
      </w:tc>
      <w:tc>
        <w:tcPr>
          <w:tcW w:w="2925" w:type="dxa"/>
        </w:tcPr>
        <w:p w14:paraId="58EFA294" w14:textId="1B46283C" w:rsidR="00BC1529" w:rsidRDefault="00BC1529" w:rsidP="4F490D78">
          <w:pPr>
            <w:pStyle w:val="Cabealho"/>
            <w:ind w:right="-115"/>
            <w:jc w:val="right"/>
          </w:pPr>
        </w:p>
      </w:tc>
    </w:tr>
  </w:tbl>
  <w:p w14:paraId="6595A689" w14:textId="16065194" w:rsidR="00BC1529" w:rsidRDefault="00BC1529" w:rsidP="4F490D7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0FC65530"/>
    <w:multiLevelType w:val="hybridMultilevel"/>
    <w:tmpl w:val="D2E41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ED7F1C"/>
    <w:multiLevelType w:val="hybridMultilevel"/>
    <w:tmpl w:val="B2528114"/>
    <w:lvl w:ilvl="0" w:tplc="11D0AD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38217E"/>
    <w:multiLevelType w:val="multilevel"/>
    <w:tmpl w:val="88744FB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lang w:val="en-US"/>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5602F14"/>
    <w:multiLevelType w:val="hybridMultilevel"/>
    <w:tmpl w:val="C0B2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0"/>
  </w:num>
  <w:num w:numId="15">
    <w:abstractNumId w:val="22"/>
  </w:num>
  <w:num w:numId="16">
    <w:abstractNumId w:val="21"/>
  </w:num>
  <w:num w:numId="17">
    <w:abstractNumId w:val="13"/>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23"/>
  </w:num>
  <w:num w:numId="24">
    <w:abstractNumId w:val="1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07C"/>
    <w:rsid w:val="000117CB"/>
    <w:rsid w:val="00015EAE"/>
    <w:rsid w:val="00016272"/>
    <w:rsid w:val="000168D8"/>
    <w:rsid w:val="00016F0B"/>
    <w:rsid w:val="000179DD"/>
    <w:rsid w:val="000221AD"/>
    <w:rsid w:val="00030B29"/>
    <w:rsid w:val="0003148D"/>
    <w:rsid w:val="00031EEC"/>
    <w:rsid w:val="000358F3"/>
    <w:rsid w:val="0004270B"/>
    <w:rsid w:val="00043372"/>
    <w:rsid w:val="00043DF1"/>
    <w:rsid w:val="000458AA"/>
    <w:rsid w:val="00051566"/>
    <w:rsid w:val="000562A9"/>
    <w:rsid w:val="00062A9A"/>
    <w:rsid w:val="00065058"/>
    <w:rsid w:val="0006698A"/>
    <w:rsid w:val="00075099"/>
    <w:rsid w:val="00076627"/>
    <w:rsid w:val="000777DD"/>
    <w:rsid w:val="00083AE9"/>
    <w:rsid w:val="00086C39"/>
    <w:rsid w:val="000A03B2"/>
    <w:rsid w:val="000B27BB"/>
    <w:rsid w:val="000B30F4"/>
    <w:rsid w:val="000C3D6A"/>
    <w:rsid w:val="000D0268"/>
    <w:rsid w:val="000D1A79"/>
    <w:rsid w:val="000D34BE"/>
    <w:rsid w:val="000D7FEE"/>
    <w:rsid w:val="000E102F"/>
    <w:rsid w:val="000E36F1"/>
    <w:rsid w:val="000E3A73"/>
    <w:rsid w:val="000E414A"/>
    <w:rsid w:val="000F042C"/>
    <w:rsid w:val="000F093C"/>
    <w:rsid w:val="000F3396"/>
    <w:rsid w:val="000F787B"/>
    <w:rsid w:val="0010196E"/>
    <w:rsid w:val="0010376A"/>
    <w:rsid w:val="00105FAC"/>
    <w:rsid w:val="0012091F"/>
    <w:rsid w:val="00126BC2"/>
    <w:rsid w:val="001308B6"/>
    <w:rsid w:val="0013121F"/>
    <w:rsid w:val="00131FE6"/>
    <w:rsid w:val="0013263F"/>
    <w:rsid w:val="001331DF"/>
    <w:rsid w:val="001337AD"/>
    <w:rsid w:val="00134DE4"/>
    <w:rsid w:val="0014034D"/>
    <w:rsid w:val="00144D16"/>
    <w:rsid w:val="00150E59"/>
    <w:rsid w:val="0015125D"/>
    <w:rsid w:val="00152DE3"/>
    <w:rsid w:val="0016240E"/>
    <w:rsid w:val="00164CF9"/>
    <w:rsid w:val="001667A6"/>
    <w:rsid w:val="0016687D"/>
    <w:rsid w:val="00166F5E"/>
    <w:rsid w:val="0017337C"/>
    <w:rsid w:val="00173524"/>
    <w:rsid w:val="001736BF"/>
    <w:rsid w:val="0017406D"/>
    <w:rsid w:val="00184AD6"/>
    <w:rsid w:val="00192EAD"/>
    <w:rsid w:val="00197D70"/>
    <w:rsid w:val="001A1F92"/>
    <w:rsid w:val="001A4AF7"/>
    <w:rsid w:val="001A746C"/>
    <w:rsid w:val="001B0349"/>
    <w:rsid w:val="001B165A"/>
    <w:rsid w:val="001B1E93"/>
    <w:rsid w:val="001B4AF3"/>
    <w:rsid w:val="001B65C1"/>
    <w:rsid w:val="001C684B"/>
    <w:rsid w:val="001D0CFB"/>
    <w:rsid w:val="001D21AF"/>
    <w:rsid w:val="001D53FC"/>
    <w:rsid w:val="001E0691"/>
    <w:rsid w:val="001E5213"/>
    <w:rsid w:val="001E5889"/>
    <w:rsid w:val="001E778E"/>
    <w:rsid w:val="001F42A5"/>
    <w:rsid w:val="001F7B9D"/>
    <w:rsid w:val="0020111A"/>
    <w:rsid w:val="00201C93"/>
    <w:rsid w:val="002127B3"/>
    <w:rsid w:val="00220F13"/>
    <w:rsid w:val="002224B4"/>
    <w:rsid w:val="00227467"/>
    <w:rsid w:val="00236580"/>
    <w:rsid w:val="002410CF"/>
    <w:rsid w:val="002447EF"/>
    <w:rsid w:val="0025004A"/>
    <w:rsid w:val="00251550"/>
    <w:rsid w:val="0026309A"/>
    <w:rsid w:val="00263B05"/>
    <w:rsid w:val="00266136"/>
    <w:rsid w:val="00267B6F"/>
    <w:rsid w:val="00271C2F"/>
    <w:rsid w:val="0027221A"/>
    <w:rsid w:val="00275B61"/>
    <w:rsid w:val="00280FAD"/>
    <w:rsid w:val="00280FAF"/>
    <w:rsid w:val="002818DB"/>
    <w:rsid w:val="002819A6"/>
    <w:rsid w:val="00282656"/>
    <w:rsid w:val="002858FB"/>
    <w:rsid w:val="00286927"/>
    <w:rsid w:val="00291926"/>
    <w:rsid w:val="00296B83"/>
    <w:rsid w:val="002A19BB"/>
    <w:rsid w:val="002A34E4"/>
    <w:rsid w:val="002B4015"/>
    <w:rsid w:val="002B78CE"/>
    <w:rsid w:val="002C2FB6"/>
    <w:rsid w:val="002C48DA"/>
    <w:rsid w:val="002E5FA7"/>
    <w:rsid w:val="002F3309"/>
    <w:rsid w:val="002F7445"/>
    <w:rsid w:val="003008CE"/>
    <w:rsid w:val="003009B7"/>
    <w:rsid w:val="00300E56"/>
    <w:rsid w:val="0030152C"/>
    <w:rsid w:val="0030395F"/>
    <w:rsid w:val="0030469C"/>
    <w:rsid w:val="00321CA6"/>
    <w:rsid w:val="00323763"/>
    <w:rsid w:val="00323C5F"/>
    <w:rsid w:val="00334C09"/>
    <w:rsid w:val="0033776A"/>
    <w:rsid w:val="003410F4"/>
    <w:rsid w:val="00360CD4"/>
    <w:rsid w:val="0036104A"/>
    <w:rsid w:val="003660C2"/>
    <w:rsid w:val="0036672B"/>
    <w:rsid w:val="003723D4"/>
    <w:rsid w:val="00381905"/>
    <w:rsid w:val="003825BB"/>
    <w:rsid w:val="00384CC8"/>
    <w:rsid w:val="003871FD"/>
    <w:rsid w:val="00391B58"/>
    <w:rsid w:val="00392E5B"/>
    <w:rsid w:val="003A1E30"/>
    <w:rsid w:val="003A2829"/>
    <w:rsid w:val="003A4CB7"/>
    <w:rsid w:val="003A7D1C"/>
    <w:rsid w:val="003B2A2D"/>
    <w:rsid w:val="003B2CF3"/>
    <w:rsid w:val="003B304B"/>
    <w:rsid w:val="003B3146"/>
    <w:rsid w:val="003B72C2"/>
    <w:rsid w:val="003C5A42"/>
    <w:rsid w:val="003D18E7"/>
    <w:rsid w:val="003D7111"/>
    <w:rsid w:val="003E1704"/>
    <w:rsid w:val="003E7EE9"/>
    <w:rsid w:val="003F015E"/>
    <w:rsid w:val="003F2675"/>
    <w:rsid w:val="003F6377"/>
    <w:rsid w:val="00400414"/>
    <w:rsid w:val="00402133"/>
    <w:rsid w:val="0041446B"/>
    <w:rsid w:val="00416C87"/>
    <w:rsid w:val="00432A86"/>
    <w:rsid w:val="00434401"/>
    <w:rsid w:val="004373C7"/>
    <w:rsid w:val="0044071E"/>
    <w:rsid w:val="00440D0A"/>
    <w:rsid w:val="0044329C"/>
    <w:rsid w:val="00443705"/>
    <w:rsid w:val="004437D9"/>
    <w:rsid w:val="00443C4C"/>
    <w:rsid w:val="0044705D"/>
    <w:rsid w:val="00453E24"/>
    <w:rsid w:val="00457456"/>
    <w:rsid w:val="004577FE"/>
    <w:rsid w:val="00457B9C"/>
    <w:rsid w:val="0046164A"/>
    <w:rsid w:val="004617B3"/>
    <w:rsid w:val="004628D2"/>
    <w:rsid w:val="00462DCD"/>
    <w:rsid w:val="004648AD"/>
    <w:rsid w:val="004654D5"/>
    <w:rsid w:val="004703A9"/>
    <w:rsid w:val="004760DE"/>
    <w:rsid w:val="004763D7"/>
    <w:rsid w:val="00482C6B"/>
    <w:rsid w:val="00483601"/>
    <w:rsid w:val="004877F9"/>
    <w:rsid w:val="004909B1"/>
    <w:rsid w:val="0049119A"/>
    <w:rsid w:val="004915F9"/>
    <w:rsid w:val="004A004E"/>
    <w:rsid w:val="004A24CF"/>
    <w:rsid w:val="004A376F"/>
    <w:rsid w:val="004B34FB"/>
    <w:rsid w:val="004C3D1D"/>
    <w:rsid w:val="004C3D84"/>
    <w:rsid w:val="004C7913"/>
    <w:rsid w:val="004C7EBF"/>
    <w:rsid w:val="004D185B"/>
    <w:rsid w:val="004E4413"/>
    <w:rsid w:val="004E4DD6"/>
    <w:rsid w:val="004E5B14"/>
    <w:rsid w:val="004F5080"/>
    <w:rsid w:val="004F5B8E"/>
    <w:rsid w:val="004F5E36"/>
    <w:rsid w:val="00507B47"/>
    <w:rsid w:val="00507BEF"/>
    <w:rsid w:val="00507CC9"/>
    <w:rsid w:val="005119A5"/>
    <w:rsid w:val="00513D6F"/>
    <w:rsid w:val="005210C2"/>
    <w:rsid w:val="00524C39"/>
    <w:rsid w:val="005278B7"/>
    <w:rsid w:val="00532016"/>
    <w:rsid w:val="005346C8"/>
    <w:rsid w:val="00541604"/>
    <w:rsid w:val="00543E7D"/>
    <w:rsid w:val="00547A68"/>
    <w:rsid w:val="005531C9"/>
    <w:rsid w:val="00553E4E"/>
    <w:rsid w:val="00555BE9"/>
    <w:rsid w:val="00561A24"/>
    <w:rsid w:val="00564755"/>
    <w:rsid w:val="00570C43"/>
    <w:rsid w:val="00573EB2"/>
    <w:rsid w:val="00577C55"/>
    <w:rsid w:val="00593E39"/>
    <w:rsid w:val="0059531C"/>
    <w:rsid w:val="005A2872"/>
    <w:rsid w:val="005A7CE7"/>
    <w:rsid w:val="005B2110"/>
    <w:rsid w:val="005B244D"/>
    <w:rsid w:val="005B267E"/>
    <w:rsid w:val="005B61E6"/>
    <w:rsid w:val="005C77E1"/>
    <w:rsid w:val="005D668A"/>
    <w:rsid w:val="005D6A2F"/>
    <w:rsid w:val="005E0CD2"/>
    <w:rsid w:val="005E1A82"/>
    <w:rsid w:val="005E794C"/>
    <w:rsid w:val="005E7B59"/>
    <w:rsid w:val="005F0A28"/>
    <w:rsid w:val="005F0E5E"/>
    <w:rsid w:val="005F2E01"/>
    <w:rsid w:val="005F526F"/>
    <w:rsid w:val="00600535"/>
    <w:rsid w:val="00601667"/>
    <w:rsid w:val="00602302"/>
    <w:rsid w:val="00603651"/>
    <w:rsid w:val="00603CA8"/>
    <w:rsid w:val="00610CD6"/>
    <w:rsid w:val="00615173"/>
    <w:rsid w:val="00620DEE"/>
    <w:rsid w:val="00621723"/>
    <w:rsid w:val="00621F92"/>
    <w:rsid w:val="006221B4"/>
    <w:rsid w:val="0062280A"/>
    <w:rsid w:val="00625639"/>
    <w:rsid w:val="00631B33"/>
    <w:rsid w:val="00634E46"/>
    <w:rsid w:val="006365C3"/>
    <w:rsid w:val="00637FE6"/>
    <w:rsid w:val="00640349"/>
    <w:rsid w:val="006414DE"/>
    <w:rsid w:val="0064184D"/>
    <w:rsid w:val="006422CC"/>
    <w:rsid w:val="00646E92"/>
    <w:rsid w:val="00650FF6"/>
    <w:rsid w:val="00653965"/>
    <w:rsid w:val="00660E3E"/>
    <w:rsid w:val="00661D83"/>
    <w:rsid w:val="00662E74"/>
    <w:rsid w:val="0066727F"/>
    <w:rsid w:val="00675F7B"/>
    <w:rsid w:val="006768DE"/>
    <w:rsid w:val="00680C23"/>
    <w:rsid w:val="00693766"/>
    <w:rsid w:val="00694C5F"/>
    <w:rsid w:val="006962FE"/>
    <w:rsid w:val="006A244E"/>
    <w:rsid w:val="006A3281"/>
    <w:rsid w:val="006A4780"/>
    <w:rsid w:val="006B4888"/>
    <w:rsid w:val="006C2E45"/>
    <w:rsid w:val="006C359C"/>
    <w:rsid w:val="006C5579"/>
    <w:rsid w:val="006C5641"/>
    <w:rsid w:val="006D6790"/>
    <w:rsid w:val="006D6E8B"/>
    <w:rsid w:val="006E737D"/>
    <w:rsid w:val="006F2815"/>
    <w:rsid w:val="006F46CF"/>
    <w:rsid w:val="006F54E8"/>
    <w:rsid w:val="007034D4"/>
    <w:rsid w:val="00703C39"/>
    <w:rsid w:val="00712C8F"/>
    <w:rsid w:val="0071382E"/>
    <w:rsid w:val="00713973"/>
    <w:rsid w:val="00720A24"/>
    <w:rsid w:val="00732386"/>
    <w:rsid w:val="0073514D"/>
    <w:rsid w:val="007379CA"/>
    <w:rsid w:val="00742658"/>
    <w:rsid w:val="007447F3"/>
    <w:rsid w:val="0074523A"/>
    <w:rsid w:val="00745266"/>
    <w:rsid w:val="00750CCE"/>
    <w:rsid w:val="0075499F"/>
    <w:rsid w:val="007578B4"/>
    <w:rsid w:val="007604A6"/>
    <w:rsid w:val="007661C8"/>
    <w:rsid w:val="007671C5"/>
    <w:rsid w:val="0077098D"/>
    <w:rsid w:val="00771359"/>
    <w:rsid w:val="0077209E"/>
    <w:rsid w:val="00782E60"/>
    <w:rsid w:val="007931FA"/>
    <w:rsid w:val="007A0997"/>
    <w:rsid w:val="007A4861"/>
    <w:rsid w:val="007A7BBA"/>
    <w:rsid w:val="007B0C50"/>
    <w:rsid w:val="007B1DF8"/>
    <w:rsid w:val="007B48F9"/>
    <w:rsid w:val="007B7606"/>
    <w:rsid w:val="007B7F7B"/>
    <w:rsid w:val="007C1301"/>
    <w:rsid w:val="007C1A43"/>
    <w:rsid w:val="007D02A7"/>
    <w:rsid w:val="007D0951"/>
    <w:rsid w:val="007E44D9"/>
    <w:rsid w:val="007E72C3"/>
    <w:rsid w:val="007F332D"/>
    <w:rsid w:val="007F55F1"/>
    <w:rsid w:val="007F693A"/>
    <w:rsid w:val="0080013E"/>
    <w:rsid w:val="00807812"/>
    <w:rsid w:val="0081173B"/>
    <w:rsid w:val="00813288"/>
    <w:rsid w:val="008168FC"/>
    <w:rsid w:val="00821E8C"/>
    <w:rsid w:val="00830996"/>
    <w:rsid w:val="008345F1"/>
    <w:rsid w:val="00836DF2"/>
    <w:rsid w:val="00840868"/>
    <w:rsid w:val="00844156"/>
    <w:rsid w:val="008448AE"/>
    <w:rsid w:val="00861A5F"/>
    <w:rsid w:val="00865625"/>
    <w:rsid w:val="00865B07"/>
    <w:rsid w:val="008667EA"/>
    <w:rsid w:val="00875EE7"/>
    <w:rsid w:val="0087637F"/>
    <w:rsid w:val="00880623"/>
    <w:rsid w:val="00884E5D"/>
    <w:rsid w:val="00892AD5"/>
    <w:rsid w:val="00892D0B"/>
    <w:rsid w:val="008A1512"/>
    <w:rsid w:val="008A79FC"/>
    <w:rsid w:val="008B4FC6"/>
    <w:rsid w:val="008D0F33"/>
    <w:rsid w:val="008D32B9"/>
    <w:rsid w:val="008D433B"/>
    <w:rsid w:val="008D4A16"/>
    <w:rsid w:val="008D617B"/>
    <w:rsid w:val="008D754B"/>
    <w:rsid w:val="008E0412"/>
    <w:rsid w:val="008E52E1"/>
    <w:rsid w:val="008E566E"/>
    <w:rsid w:val="008F2D1E"/>
    <w:rsid w:val="008F3285"/>
    <w:rsid w:val="008F5C1C"/>
    <w:rsid w:val="0090161A"/>
    <w:rsid w:val="00901EB6"/>
    <w:rsid w:val="0090249B"/>
    <w:rsid w:val="009027CD"/>
    <w:rsid w:val="00904C62"/>
    <w:rsid w:val="00907EA3"/>
    <w:rsid w:val="0091272B"/>
    <w:rsid w:val="00922729"/>
    <w:rsid w:val="00922BA8"/>
    <w:rsid w:val="00922DFC"/>
    <w:rsid w:val="00924DAC"/>
    <w:rsid w:val="0092530C"/>
    <w:rsid w:val="0092619D"/>
    <w:rsid w:val="00927058"/>
    <w:rsid w:val="00942750"/>
    <w:rsid w:val="0094435B"/>
    <w:rsid w:val="009450CE"/>
    <w:rsid w:val="009459BB"/>
    <w:rsid w:val="00947179"/>
    <w:rsid w:val="0095164B"/>
    <w:rsid w:val="00954090"/>
    <w:rsid w:val="00955657"/>
    <w:rsid w:val="009573E7"/>
    <w:rsid w:val="00957639"/>
    <w:rsid w:val="00961FFD"/>
    <w:rsid w:val="00963E05"/>
    <w:rsid w:val="00964A45"/>
    <w:rsid w:val="00967843"/>
    <w:rsid w:val="00967D54"/>
    <w:rsid w:val="00971028"/>
    <w:rsid w:val="00976B52"/>
    <w:rsid w:val="00983B3D"/>
    <w:rsid w:val="00986FD7"/>
    <w:rsid w:val="00993B84"/>
    <w:rsid w:val="0099617B"/>
    <w:rsid w:val="00996483"/>
    <w:rsid w:val="009967FE"/>
    <w:rsid w:val="00996F5A"/>
    <w:rsid w:val="009A02EF"/>
    <w:rsid w:val="009A2E91"/>
    <w:rsid w:val="009A4811"/>
    <w:rsid w:val="009A5025"/>
    <w:rsid w:val="009A7660"/>
    <w:rsid w:val="009B041A"/>
    <w:rsid w:val="009B125C"/>
    <w:rsid w:val="009B35A4"/>
    <w:rsid w:val="009C37C3"/>
    <w:rsid w:val="009C39A6"/>
    <w:rsid w:val="009C5D61"/>
    <w:rsid w:val="009C73BC"/>
    <w:rsid w:val="009C7C86"/>
    <w:rsid w:val="009D2FF7"/>
    <w:rsid w:val="009D4300"/>
    <w:rsid w:val="009E5808"/>
    <w:rsid w:val="009E7884"/>
    <w:rsid w:val="009E788A"/>
    <w:rsid w:val="009F0E08"/>
    <w:rsid w:val="009F7BF4"/>
    <w:rsid w:val="00A147E4"/>
    <w:rsid w:val="00A170AC"/>
    <w:rsid w:val="00A1763D"/>
    <w:rsid w:val="00A17CEC"/>
    <w:rsid w:val="00A17D25"/>
    <w:rsid w:val="00A24053"/>
    <w:rsid w:val="00A25729"/>
    <w:rsid w:val="00A2671A"/>
    <w:rsid w:val="00A27EF0"/>
    <w:rsid w:val="00A30117"/>
    <w:rsid w:val="00A34130"/>
    <w:rsid w:val="00A42361"/>
    <w:rsid w:val="00A50B20"/>
    <w:rsid w:val="00A51390"/>
    <w:rsid w:val="00A5609B"/>
    <w:rsid w:val="00A60D13"/>
    <w:rsid w:val="00A6280C"/>
    <w:rsid w:val="00A655C9"/>
    <w:rsid w:val="00A65B08"/>
    <w:rsid w:val="00A65F6B"/>
    <w:rsid w:val="00A7223D"/>
    <w:rsid w:val="00A72745"/>
    <w:rsid w:val="00A76EFC"/>
    <w:rsid w:val="00A8076C"/>
    <w:rsid w:val="00A86547"/>
    <w:rsid w:val="00A86EB1"/>
    <w:rsid w:val="00A8746E"/>
    <w:rsid w:val="00A87D50"/>
    <w:rsid w:val="00A91010"/>
    <w:rsid w:val="00A9112C"/>
    <w:rsid w:val="00A93BAB"/>
    <w:rsid w:val="00A97F29"/>
    <w:rsid w:val="00AA610B"/>
    <w:rsid w:val="00AA702E"/>
    <w:rsid w:val="00AA7D26"/>
    <w:rsid w:val="00AB0964"/>
    <w:rsid w:val="00AB5011"/>
    <w:rsid w:val="00AC2399"/>
    <w:rsid w:val="00AC7368"/>
    <w:rsid w:val="00AC7ADB"/>
    <w:rsid w:val="00AD16B9"/>
    <w:rsid w:val="00AE377D"/>
    <w:rsid w:val="00AF0EBA"/>
    <w:rsid w:val="00AF6F5D"/>
    <w:rsid w:val="00AF7C7D"/>
    <w:rsid w:val="00B00ECB"/>
    <w:rsid w:val="00B02C8A"/>
    <w:rsid w:val="00B17FBD"/>
    <w:rsid w:val="00B2630C"/>
    <w:rsid w:val="00B2688E"/>
    <w:rsid w:val="00B26D8D"/>
    <w:rsid w:val="00B315A6"/>
    <w:rsid w:val="00B31813"/>
    <w:rsid w:val="00B33365"/>
    <w:rsid w:val="00B341DC"/>
    <w:rsid w:val="00B37F3F"/>
    <w:rsid w:val="00B5503D"/>
    <w:rsid w:val="00B57B36"/>
    <w:rsid w:val="00B57E6F"/>
    <w:rsid w:val="00B713EC"/>
    <w:rsid w:val="00B85A01"/>
    <w:rsid w:val="00B8686D"/>
    <w:rsid w:val="00B90955"/>
    <w:rsid w:val="00B93F69"/>
    <w:rsid w:val="00B94831"/>
    <w:rsid w:val="00BA0718"/>
    <w:rsid w:val="00BA618F"/>
    <w:rsid w:val="00BB1DDC"/>
    <w:rsid w:val="00BB3A2A"/>
    <w:rsid w:val="00BC1147"/>
    <w:rsid w:val="00BC1529"/>
    <w:rsid w:val="00BC30C9"/>
    <w:rsid w:val="00BC7FCF"/>
    <w:rsid w:val="00BD077D"/>
    <w:rsid w:val="00BE2B99"/>
    <w:rsid w:val="00BE3E58"/>
    <w:rsid w:val="00BF17F0"/>
    <w:rsid w:val="00BF36EB"/>
    <w:rsid w:val="00C01616"/>
    <w:rsid w:val="00C0162B"/>
    <w:rsid w:val="00C068ED"/>
    <w:rsid w:val="00C2168C"/>
    <w:rsid w:val="00C22E0C"/>
    <w:rsid w:val="00C249F8"/>
    <w:rsid w:val="00C2666E"/>
    <w:rsid w:val="00C26B18"/>
    <w:rsid w:val="00C331BB"/>
    <w:rsid w:val="00C345B1"/>
    <w:rsid w:val="00C40127"/>
    <w:rsid w:val="00C40142"/>
    <w:rsid w:val="00C42FE1"/>
    <w:rsid w:val="00C45929"/>
    <w:rsid w:val="00C45B84"/>
    <w:rsid w:val="00C50BAE"/>
    <w:rsid w:val="00C52C3C"/>
    <w:rsid w:val="00C57182"/>
    <w:rsid w:val="00C57863"/>
    <w:rsid w:val="00C640AF"/>
    <w:rsid w:val="00C655FD"/>
    <w:rsid w:val="00C73E25"/>
    <w:rsid w:val="00C75407"/>
    <w:rsid w:val="00C80416"/>
    <w:rsid w:val="00C8244C"/>
    <w:rsid w:val="00C84EEF"/>
    <w:rsid w:val="00C870A8"/>
    <w:rsid w:val="00C94434"/>
    <w:rsid w:val="00CA0D75"/>
    <w:rsid w:val="00CA1C95"/>
    <w:rsid w:val="00CA5A9C"/>
    <w:rsid w:val="00CA75F7"/>
    <w:rsid w:val="00CB11AB"/>
    <w:rsid w:val="00CB1CA7"/>
    <w:rsid w:val="00CC4812"/>
    <w:rsid w:val="00CC4C20"/>
    <w:rsid w:val="00CC4FAE"/>
    <w:rsid w:val="00CD3517"/>
    <w:rsid w:val="00CD5FE2"/>
    <w:rsid w:val="00CE07A4"/>
    <w:rsid w:val="00CE0B29"/>
    <w:rsid w:val="00CE680C"/>
    <w:rsid w:val="00CE7B64"/>
    <w:rsid w:val="00CE7C68"/>
    <w:rsid w:val="00CF0268"/>
    <w:rsid w:val="00CF5677"/>
    <w:rsid w:val="00CF5AEC"/>
    <w:rsid w:val="00D023BA"/>
    <w:rsid w:val="00D02B4C"/>
    <w:rsid w:val="00D040C4"/>
    <w:rsid w:val="00D05755"/>
    <w:rsid w:val="00D058DA"/>
    <w:rsid w:val="00D11C29"/>
    <w:rsid w:val="00D12477"/>
    <w:rsid w:val="00D20AD1"/>
    <w:rsid w:val="00D21EF2"/>
    <w:rsid w:val="00D23214"/>
    <w:rsid w:val="00D3081E"/>
    <w:rsid w:val="00D30F13"/>
    <w:rsid w:val="00D40C01"/>
    <w:rsid w:val="00D46B7E"/>
    <w:rsid w:val="00D57C84"/>
    <w:rsid w:val="00D6057D"/>
    <w:rsid w:val="00D71640"/>
    <w:rsid w:val="00D73C77"/>
    <w:rsid w:val="00D757C1"/>
    <w:rsid w:val="00D77438"/>
    <w:rsid w:val="00D836C5"/>
    <w:rsid w:val="00D837C6"/>
    <w:rsid w:val="00D84576"/>
    <w:rsid w:val="00D90778"/>
    <w:rsid w:val="00D95D77"/>
    <w:rsid w:val="00D963DD"/>
    <w:rsid w:val="00DA1399"/>
    <w:rsid w:val="00DA24C6"/>
    <w:rsid w:val="00DA4D7B"/>
    <w:rsid w:val="00DA4F26"/>
    <w:rsid w:val="00DA703F"/>
    <w:rsid w:val="00DB4FDD"/>
    <w:rsid w:val="00DB5402"/>
    <w:rsid w:val="00DB7FB8"/>
    <w:rsid w:val="00DC221F"/>
    <w:rsid w:val="00DC2E9C"/>
    <w:rsid w:val="00DC32BE"/>
    <w:rsid w:val="00DC46B2"/>
    <w:rsid w:val="00DC62DE"/>
    <w:rsid w:val="00DD00B1"/>
    <w:rsid w:val="00DD271C"/>
    <w:rsid w:val="00DE264A"/>
    <w:rsid w:val="00DE6EFB"/>
    <w:rsid w:val="00DF3C84"/>
    <w:rsid w:val="00DF5072"/>
    <w:rsid w:val="00E02D18"/>
    <w:rsid w:val="00E041E7"/>
    <w:rsid w:val="00E05FB3"/>
    <w:rsid w:val="00E15BC8"/>
    <w:rsid w:val="00E16BDC"/>
    <w:rsid w:val="00E23CA1"/>
    <w:rsid w:val="00E313DC"/>
    <w:rsid w:val="00E33224"/>
    <w:rsid w:val="00E37BA9"/>
    <w:rsid w:val="00E409A8"/>
    <w:rsid w:val="00E47B46"/>
    <w:rsid w:val="00E50C12"/>
    <w:rsid w:val="00E56912"/>
    <w:rsid w:val="00E57D83"/>
    <w:rsid w:val="00E65B91"/>
    <w:rsid w:val="00E669C4"/>
    <w:rsid w:val="00E711B2"/>
    <w:rsid w:val="00E7209D"/>
    <w:rsid w:val="00E72EAD"/>
    <w:rsid w:val="00E77223"/>
    <w:rsid w:val="00E8528B"/>
    <w:rsid w:val="00E85B94"/>
    <w:rsid w:val="00E93894"/>
    <w:rsid w:val="00E978D0"/>
    <w:rsid w:val="00EA0E09"/>
    <w:rsid w:val="00EA4613"/>
    <w:rsid w:val="00EA71A7"/>
    <w:rsid w:val="00EA79B2"/>
    <w:rsid w:val="00EA7F91"/>
    <w:rsid w:val="00EB1523"/>
    <w:rsid w:val="00EB562E"/>
    <w:rsid w:val="00EC0E49"/>
    <w:rsid w:val="00EC101F"/>
    <w:rsid w:val="00EC1D9F"/>
    <w:rsid w:val="00EC1EF6"/>
    <w:rsid w:val="00EC49AF"/>
    <w:rsid w:val="00EE0131"/>
    <w:rsid w:val="00EE17B0"/>
    <w:rsid w:val="00EE6828"/>
    <w:rsid w:val="00EF06D9"/>
    <w:rsid w:val="00EF19C0"/>
    <w:rsid w:val="00F023F1"/>
    <w:rsid w:val="00F12895"/>
    <w:rsid w:val="00F1570E"/>
    <w:rsid w:val="00F221E0"/>
    <w:rsid w:val="00F27C3D"/>
    <w:rsid w:val="00F301F2"/>
    <w:rsid w:val="00F3049E"/>
    <w:rsid w:val="00F30C64"/>
    <w:rsid w:val="00F32BA2"/>
    <w:rsid w:val="00F32CDB"/>
    <w:rsid w:val="00F33334"/>
    <w:rsid w:val="00F41DF7"/>
    <w:rsid w:val="00F52B19"/>
    <w:rsid w:val="00F565FE"/>
    <w:rsid w:val="00F6125B"/>
    <w:rsid w:val="00F62A15"/>
    <w:rsid w:val="00F63A70"/>
    <w:rsid w:val="00F63D8C"/>
    <w:rsid w:val="00F6467E"/>
    <w:rsid w:val="00F6584C"/>
    <w:rsid w:val="00F7534E"/>
    <w:rsid w:val="00F85BDA"/>
    <w:rsid w:val="00F8788D"/>
    <w:rsid w:val="00F93EDF"/>
    <w:rsid w:val="00F9679E"/>
    <w:rsid w:val="00FA1802"/>
    <w:rsid w:val="00FA21D0"/>
    <w:rsid w:val="00FA2A0B"/>
    <w:rsid w:val="00FA4BF4"/>
    <w:rsid w:val="00FA5F5F"/>
    <w:rsid w:val="00FB730C"/>
    <w:rsid w:val="00FB7BA7"/>
    <w:rsid w:val="00FC21B6"/>
    <w:rsid w:val="00FC2695"/>
    <w:rsid w:val="00FC3E03"/>
    <w:rsid w:val="00FC3FC1"/>
    <w:rsid w:val="00FE5FDC"/>
    <w:rsid w:val="00FF22DD"/>
    <w:rsid w:val="016E5242"/>
    <w:rsid w:val="0246FADF"/>
    <w:rsid w:val="03AF21D7"/>
    <w:rsid w:val="048756A8"/>
    <w:rsid w:val="04DB12EE"/>
    <w:rsid w:val="04F27FC3"/>
    <w:rsid w:val="054AF238"/>
    <w:rsid w:val="0594C0D5"/>
    <w:rsid w:val="07BF9C4F"/>
    <w:rsid w:val="0812B3B0"/>
    <w:rsid w:val="09CE8356"/>
    <w:rsid w:val="0A14A586"/>
    <w:rsid w:val="0AD21700"/>
    <w:rsid w:val="0AE819C6"/>
    <w:rsid w:val="0B0D8C05"/>
    <w:rsid w:val="0BD7EF86"/>
    <w:rsid w:val="0CB7D583"/>
    <w:rsid w:val="0CE9D223"/>
    <w:rsid w:val="0CF3992E"/>
    <w:rsid w:val="0E1213D9"/>
    <w:rsid w:val="0EF66805"/>
    <w:rsid w:val="0F79CA1E"/>
    <w:rsid w:val="11159A7F"/>
    <w:rsid w:val="12297540"/>
    <w:rsid w:val="123162C6"/>
    <w:rsid w:val="123285FD"/>
    <w:rsid w:val="1302F1F3"/>
    <w:rsid w:val="14F242CA"/>
    <w:rsid w:val="152AC92C"/>
    <w:rsid w:val="157A04B5"/>
    <w:rsid w:val="1A1E8FAC"/>
    <w:rsid w:val="1B0F21BB"/>
    <w:rsid w:val="1B693643"/>
    <w:rsid w:val="1B7CE07A"/>
    <w:rsid w:val="1F0E27F9"/>
    <w:rsid w:val="203BD6E5"/>
    <w:rsid w:val="20689CE2"/>
    <w:rsid w:val="214DA465"/>
    <w:rsid w:val="217E633F"/>
    <w:rsid w:val="220FE7D9"/>
    <w:rsid w:val="22AE01A6"/>
    <w:rsid w:val="22B6C5AC"/>
    <w:rsid w:val="231A33A0"/>
    <w:rsid w:val="2449D207"/>
    <w:rsid w:val="24B60401"/>
    <w:rsid w:val="24E0F8B8"/>
    <w:rsid w:val="256BF14D"/>
    <w:rsid w:val="263C5C6B"/>
    <w:rsid w:val="2651D462"/>
    <w:rsid w:val="27D26984"/>
    <w:rsid w:val="27EDA4C3"/>
    <w:rsid w:val="27F59249"/>
    <w:rsid w:val="28B1B74B"/>
    <w:rsid w:val="2A7C10BD"/>
    <w:rsid w:val="2B1B6AA1"/>
    <w:rsid w:val="2D12D209"/>
    <w:rsid w:val="2D490B86"/>
    <w:rsid w:val="2DCA0A13"/>
    <w:rsid w:val="2E38FFE8"/>
    <w:rsid w:val="2E64D3CD"/>
    <w:rsid w:val="30355048"/>
    <w:rsid w:val="30477E61"/>
    <w:rsid w:val="32056170"/>
    <w:rsid w:val="34643607"/>
    <w:rsid w:val="34BAECF4"/>
    <w:rsid w:val="34D41551"/>
    <w:rsid w:val="34DF7A89"/>
    <w:rsid w:val="3566690C"/>
    <w:rsid w:val="3604185F"/>
    <w:rsid w:val="3627921C"/>
    <w:rsid w:val="365FDE73"/>
    <w:rsid w:val="36DAD4DC"/>
    <w:rsid w:val="372EC225"/>
    <w:rsid w:val="376D8779"/>
    <w:rsid w:val="37EA2E2D"/>
    <w:rsid w:val="38617F4B"/>
    <w:rsid w:val="38836A28"/>
    <w:rsid w:val="38E8F90E"/>
    <w:rsid w:val="3980C6A8"/>
    <w:rsid w:val="3996969F"/>
    <w:rsid w:val="399826F1"/>
    <w:rsid w:val="39DF8363"/>
    <w:rsid w:val="39F15511"/>
    <w:rsid w:val="3B1EE4BA"/>
    <w:rsid w:val="3BC27E44"/>
    <w:rsid w:val="3BCCFF70"/>
    <w:rsid w:val="3C2FA904"/>
    <w:rsid w:val="3D09E91C"/>
    <w:rsid w:val="3D8B955A"/>
    <w:rsid w:val="3E795146"/>
    <w:rsid w:val="3F084A0C"/>
    <w:rsid w:val="3F445E1D"/>
    <w:rsid w:val="3F78995E"/>
    <w:rsid w:val="411469BF"/>
    <w:rsid w:val="4116B165"/>
    <w:rsid w:val="4196D91B"/>
    <w:rsid w:val="42A541A1"/>
    <w:rsid w:val="436885AE"/>
    <w:rsid w:val="44BB98C7"/>
    <w:rsid w:val="485F49D5"/>
    <w:rsid w:val="49C608A0"/>
    <w:rsid w:val="4A8C24DD"/>
    <w:rsid w:val="4AD17F0A"/>
    <w:rsid w:val="4B299E24"/>
    <w:rsid w:val="4CC6120C"/>
    <w:rsid w:val="4CE41029"/>
    <w:rsid w:val="4D8CACC2"/>
    <w:rsid w:val="4F490D78"/>
    <w:rsid w:val="4F9C5C37"/>
    <w:rsid w:val="4FC8DCBE"/>
    <w:rsid w:val="50C3BE59"/>
    <w:rsid w:val="5238933C"/>
    <w:rsid w:val="52A78EF7"/>
    <w:rsid w:val="53A8F0DE"/>
    <w:rsid w:val="54616C0C"/>
    <w:rsid w:val="55A81721"/>
    <w:rsid w:val="56A29A6E"/>
    <w:rsid w:val="56BF9970"/>
    <w:rsid w:val="58EE1FCA"/>
    <w:rsid w:val="59279A81"/>
    <w:rsid w:val="5AB4F819"/>
    <w:rsid w:val="5B0FF4DB"/>
    <w:rsid w:val="5BB6DF26"/>
    <w:rsid w:val="5BDDD01E"/>
    <w:rsid w:val="5D3A3451"/>
    <w:rsid w:val="5E32A43A"/>
    <w:rsid w:val="5F55A218"/>
    <w:rsid w:val="6070DA90"/>
    <w:rsid w:val="60BD1D64"/>
    <w:rsid w:val="61DFEF55"/>
    <w:rsid w:val="62207F3C"/>
    <w:rsid w:val="62BC4A12"/>
    <w:rsid w:val="6303045E"/>
    <w:rsid w:val="6339E711"/>
    <w:rsid w:val="641C9D81"/>
    <w:rsid w:val="64C41827"/>
    <w:rsid w:val="64DA3A9F"/>
    <w:rsid w:val="65691FB0"/>
    <w:rsid w:val="65892981"/>
    <w:rsid w:val="672B85FA"/>
    <w:rsid w:val="6920F5EE"/>
    <w:rsid w:val="692C9796"/>
    <w:rsid w:val="6BD72B8B"/>
    <w:rsid w:val="6C3B6DEE"/>
    <w:rsid w:val="6C40B56B"/>
    <w:rsid w:val="6CB0EFCF"/>
    <w:rsid w:val="6DB5EE1D"/>
    <w:rsid w:val="6E8D6128"/>
    <w:rsid w:val="6EE9AE35"/>
    <w:rsid w:val="709FCE18"/>
    <w:rsid w:val="70A758CA"/>
    <w:rsid w:val="70E4AA68"/>
    <w:rsid w:val="71123188"/>
    <w:rsid w:val="722034DC"/>
    <w:rsid w:val="728322B3"/>
    <w:rsid w:val="74A40274"/>
    <w:rsid w:val="7557D59E"/>
    <w:rsid w:val="75CFE2AF"/>
    <w:rsid w:val="783396D2"/>
    <w:rsid w:val="7B1121F2"/>
    <w:rsid w:val="7C4712F7"/>
    <w:rsid w:val="7C820D02"/>
    <w:rsid w:val="7CA14118"/>
    <w:rsid w:val="7FC5C54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AE0CC22"/>
  <w14:defaultImageDpi w14:val="330"/>
  <w15:docId w15:val="{19E8D759-F906-48B5-9F5C-A128FCB9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416C87"/>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styleId="Nmerodelinha">
    <w:name w:val="line number"/>
    <w:basedOn w:val="Fontepargpadro"/>
    <w:uiPriority w:val="99"/>
    <w:semiHidden/>
    <w:unhideWhenUsed/>
    <w:rsid w:val="0010376A"/>
  </w:style>
  <w:style w:type="character" w:styleId="TextodoEspaoReservado">
    <w:name w:val="Placeholder Text"/>
    <w:basedOn w:val="Fontepargpadro"/>
    <w:uiPriority w:val="99"/>
    <w:semiHidden/>
    <w:rsid w:val="002A19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8010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emf"/><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header" Target="header2.xml"/><Relationship Id="rId30" Type="http://schemas.openxmlformats.org/officeDocument/2006/relationships/theme" Target="theme/theme1.xml"/><Relationship Id="rId35" Type="http://schemas.microsoft.com/office/2016/09/relationships/commentsIds" Target="commentsId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afec7e-b4be-4c5a-9364-db199c61cab6">
  <we:reference id="f78a3046-9e99-4300-aa2b-5814002b01a2" version="1.46.0.0" store="excatalog" storeType="excatalog"/>
  <we:alternateReferences/>
  <we:properties>
    <we:property name="MENDELEY_CITATIONS" value="[{&quot;citationID&quot;:&quot;MENDELEY_CITATION_57e4676e-d769-447d-b434-38ca0ed1c34f&quot;,&quot;properties&quot;:{&quot;noteIndex&quot;:0},&quot;isEdited&quot;:false,&quot;manualOverride&quot;:{&quot;isManuallyOverridden&quot;:false,&quot;citeprocText&quot;:&quot;(Janošovský et al., 2016)&quot;,&quot;manualOverrideText&quot;:&quot;&quot;},&quot;citationTag&quot;:&quot;MENDELEY_CITATION_v3_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&quot;,&quot;citationItems&quot;:[{&quot;id&quot;:&quot;8bb3dcd0-bbc3-3413-b562-efccbfddce45&quot;,&quot;itemData&quot;:{&quot;type&quot;:&quot;article-journal&quot;,&quot;id&quot;:&quot;8bb3dcd0-bbc3-3413-b562-efccbfddce45&quot;,&quot;title&quot;:&quot;Automated Model-based HAZOP study in process hazard analysis&quot;,&quot;author&quot;:[{&quot;family&quot;:&quot;Janošovský&quot;,&quot;given&quot;:&quot;Ján&quot;,&quot;parse-names&quot;:false,&quot;dropping-particle&quot;:&quot;&quot;,&quot;non-dropping-particle&quot;:&quot;&quot;},{&quot;family&quot;:&quot;Labovský&quot;,&quot;given&quot;:&quot;Juraj&quot;,&quot;parse-names&quot;:false,&quot;dropping-particle&quot;:&quot;&quot;,&quot;non-dropping-particle&quot;:&quot;&quot;},{&quot;family&quot;:&quot;Jelemenský&quot;,&quot;given&quot;:&quot;Ludovít&quot;,&quot;parse-names&quot;:false,&quot;dropping-particle&quot;:&quot;&quot;,&quot;non-dropping-particle&quot;:&quot;&quot;}],&quot;container-title&quot;:&quot;Chemical Engineering Transactions&quot;,&quot;container-title-short&quot;:&quot;Chem Eng Trans&quot;,&quot;DOI&quot;:&quot;10.3303/CET1648085&quot;,&quot;ISBN&quot;:&quot;9788895608396&quot;,&quot;ISSN&quot;:&quot;22839216&quot;,&quot;issued&quot;:{&quot;date-parts&quot;:[[2016]]},&quot;page&quot;:&quot;505-510&quot;,&quot;abstract&quot;:&quot;In the age of chemical processes operated at extreme pressures and temperatures it is necessary to perform a detailed process safety analysis. Hazard and operability study (HAZOP) is one of the most used and highly efficient techniques for the identification of potential hazards and operability problems. Model-based HAZOP study is based on the implementation of a detailed mathematical model of chemical productions. Possibilities and limitations of model-based HAZOP study using Aspen HYSYS are discussed in this work. Results of numerical simulations are collected and directly transformed into standard HAZOP tables. Advantages and disadvantages of the presented software tool are shown in the process hazard analysis of a chemical production with strong nonlinear behavior, an ammonia synthesis reactor system.&quot;,&quot;publisher&quot;:&quot;Italian Association of Chemical Engineering - AIDIC&quot;,&quot;volume&quot;:&quot;48&quot;},&quot;isTemporary&quot;:false}]},{&quot;citationID&quot;:&quot;MENDELEY_CITATION_6d8a1cb4-b9e7-4c97-8943-543970a7b80f&quot;,&quot;properties&quot;:{&quot;noteIndex&quot;:0},&quot;isEdited&quot;:false,&quot;manualOverride&quot;:{&quot;isManuallyOverridden&quot;:false,&quot;citeprocText&quot;:&quot;(Mushtaq &amp;#38; Chung, 2000)&quot;,&quot;manualOverrideText&quot;:&quot;&quot;},&quot;citationTag&quot;:&quot;MENDELEY_CITATION_v3_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&quot;,&quot;citationItems&quot;:[{&quot;id&quot;:&quot;a4cb30a7-23a7-35e0-8b2b-c1466361aa61&quot;,&quot;itemData&quot;:{&quot;type&quot;:&quot;article-journal&quot;,&quot;id&quot;:&quot;a4cb30a7-23a7-35e0-8b2b-c1466361aa61&quot;,&quot;title&quot;:&quot;A systematic Hazop procedure for batch processes, and its application to pipeless plants&quot;,&quot;author&quot;:[{&quot;family&quot;:&quot;Mushtaq&quot;,&quot;given&quot;:&quot;F.&quot;,&quot;parse-names&quot;:false,&quot;dropping-particle&quot;:&quot;&quot;,&quot;non-dropping-particle&quot;:&quot;&quot;},{&quot;family&quot;:&quot;Chung&quot;,&quot;given&quot;:&quot;P. W.H.&quot;,&quot;parse-names&quot;:false,&quot;dropping-particle&quot;:&quot;&quot;,&quot;non-dropping-particle&quot;:&quot;&quot;}],&quot;container-title&quot;:&quot;Journal of Loss Prevention in the Process Industries&quot;,&quot;container-title-short&quot;:&quot;J Loss Prev Process Ind&quot;,&quot;DOI&quot;:&quot;10.1016/S0950-4230(99)00054-6&quot;,&quot;ISSN&quot;:&quot;09504230&quot;,&quot;issued&quot;:{&quot;date-parts&quot;:[[2000]]},&quot;page&quot;:&quot;41-48&quot;,&quot;abstract&quot;:&quot;Increasing technological complexity together with social and legal pressures have made it necessary to develop more effective approaches to safety. This need is particularly strong in the design and operation of chemical plants. One approach, Hazard and Operability Study (Hazop), is a method of systematically identifying every conceivable process deviation, its abnormal causes and adverse hazardous consequences in a chemical plant. The technique was developed by ICI in the 1960s, and has been standardised for use in continuous manufacturing plants. Improvised attempts have been made to modify the continuous Hazop approach for use with batch processes, such as using different guide words and deviations, without the method of application being formalised. There are different issues that need to be surmounted for the methodology to be applied to batch processing plants. The standard approach, of examining a system line by line, is ideal for continuous processes but does not lend itself to the thorough examination of batch processes. A typical batch plant can be examined by dividing the process into three operational phases: charge, reaction, and discharge. A modified Hazop methodology should then be applied to the description of each phase. Although a need for this type of approach has been recognised, there is no published information to be found on an agreed format on how this should be done. This paper presents a formalised approach to applying the Hazop methodology to batch processes. A way forward in multi-product manufacturing is the emerging technology of 'pipeless plants'. The basic idea is to move the process vessel between fixed stations for mixing, separation and other activities. This offers great flexibility for change, and allows a company to respond quickly to market demands and technological advances. Little research has been done on the safety of pipeless plants, which are essentially batch plants with mobile vessels. Therefore the batch Hazop methodology presented in this paper has been further developed in order to improve the safe design of pipeless plants. © 1999 Elsevier Science Ltd.&quot;,&quot;issue&quot;:&quot;1&quot;,&quot;volume&quot;:&quot;13&quot;},&quot;isTemporary&quot;:false}]},{&quot;citationID&quot;:&quot;MENDELEY_CITATION_a836cbc8-d762-4685-8ab0-94a9219acdcc&quot;,&quot;properties&quot;:{&quot;noteIndex&quot;:0},&quot;isEdited&quot;:false,&quot;manualOverride&quot;:{&quot;isManuallyOverridden&quot;:false,&quot;citeprocText&quot;:&quot;(Leveson &amp;#38; Stephanopoulos, 2014)&quot;,&quot;manualOverrideText&quot;:&quot;&quot;},&quot;citationTag&quot;:&quot;MENDELEY_CITATION_v3_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&quot;,&quot;citationItems&quot;:[{&quot;id&quot;:&quot;e90a8a8a-5a84-36ef-b919-74cb65a021a1&quot;,&quot;itemData&quot;:{&quot;type&quot;:&quot;article-journal&quot;,&quot;id&quot;:&quot;e90a8a8a-5a84-36ef-b919-74cb65a021a1&quot;,&quot;title&quot;:&quot;A system-theoretic, control-inspired view and approach to process safety&quot;,&quot;author&quot;:[{&quot;family&quot;:&quot;Leveson&quot;,&quot;given&quot;:&quot;Nancy G.&quot;,&quot;parse-names&quot;:false,&quot;dropping-particle&quot;:&quot;&quot;,&quot;non-dropping-particle&quot;:&quot;&quot;},{&quot;family&quot;:&quot;Stephanopoulos&quot;,&quot;given&quot;:&quot;George&quot;,&quot;parse-names&quot;:false,&quot;dropping-particle&quot;:&quot;&quot;,&quot;non-dropping-particle&quot;:&quot;&quot;}],&quot;container-title&quot;:&quot;AIChE Journal&quot;,&quot;DOI&quot;:&quot;10.1002/aic.14278&quot;,&quot;issued&quot;:{&quot;date-parts&quot;:[[2014,1]]},&quot;page&quot;:&quot;2-14&quot;,&quot;abstract&quot;:&quot;The authors present a system theoretic view and approach to address safety in the process industry. The authors question the applicability of the accident causation models for the development of engineering tools dealing with process safety and the system problem involving process safety and define process safety as a system problem. The authors introduce the introduces the control-inspired engineering approach and the implications of the system-theoretic approach to process safety.&quot;,&quot;publisher&quot;:&quot;Wiley&quot;,&quot;issue&quot;:&quot;1&quot;,&quot;volume&quot;:&quot;60&quot;,&quot;container-title-short&quot;:&quot;&quot;},&quot;isTemporary&quot;:false}]},{&quot;citationID&quot;:&quot;MENDELEY_CITATION_d24f0bcb-b95c-44f8-8f9c-f07dee486904&quot;,&quot;properties&quot;:{&quot;noteIndex&quot;:0},&quot;isEdited&quot;:false,&quot;manualOverride&quot;:{&quot;isManuallyOverridden&quot;:false,&quot;citeprocText&quot;:&quot;(Mokhtarname et al., 2020)&quot;,&quot;manualOverrideText&quot;:&quot;&quot;},&quot;citationTag&quot;:&quot;MENDELEY_CITATION_v3_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&quot;,&quot;citationItems&quot;:[{&quot;id&quot;:&quot;f2caa923-223c-367c-9aae-7f383bc052ca&quot;,&quot;itemData&quot;:{&quot;type&quot;:&quot;paper-conference&quot;,&quot;id&quot;:&quot;f2caa923-223c-367c-9aae-7f383bc052ca&quot;,&quot;title&quot;:&quot;Toward HaZOP 4.0 approach for managing the complexities of the hazard and operability of an industrial polymerization reactor&quot;,&quot;author&quot;:[{&quot;family&quot;:&quot;Mokhtarname&quot;,&quot;given&quot;:&quot;R.&quot;,&quot;parse-names&quot;:false,&quot;dropping-particle&quot;:&quot;&quot;,&quot;non-dropping-particle&quot;:&quot;&quot;},{&quot;family&quot;:&quot;Safavi&quot;,&quot;given&quot;:&quot;A. A.&quot;,&quot;parse-names&quot;:false,&quot;dropping-particle&quot;:&quot;&quot;,&quot;non-dropping-particle&quot;:&quot;&quot;},{&quot;family&quot;:&quot;Urbas&quot;,&quot;given&quot;:&quot;L.&quot;,&quot;parse-names&quot;:false,&quot;dropping-particle&quot;:&quot;&quot;,&quot;non-dropping-particle&quot;:&quot;&quot;},{&quot;family&quot;:&quot;Salimi&quot;,&quot;given&quot;:&quot;F.&quot;,&quot;parse-names&quot;:false,&quot;dropping-particle&quot;:&quot;&quot;,&quot;non-dropping-particle&quot;:&quot;&quot;},{&quot;family&quot;:&quot;Zerafat&quot;,&quot;given&quot;:&quot;M. M.&quot;,&quot;parse-names&quot;:false,&quot;dropping-particle&quot;:&quot;&quot;,&quot;non-dropping-particle&quot;:&quot;&quot;},{&quot;family&quot;:&quot;Harasi&quot;,&quot;given&quot;:&quot;N.&quot;,&quot;parse-names&quot;:false,&quot;dropping-particle&quot;:&quot;&quot;,&quot;non-dropping-particle&quot;:&quot;&quot;}],&quot;container-title&quot;:&quot;IFAC-PapersOnLine&quot;,&quot;DOI&quot;:&quot;10.1016/j.ifacol.2020.12.852&quot;,&quot;ISSN&quot;:&quot;24058963&quot;,&quot;issued&quot;:{&quot;date-parts&quot;:[[2020]]},&quot;page&quot;:&quot;13593-13600&quot;,&quot;abstract&quot;:&quot;Conventional HAZOP is a collaborative and multidisciplinary activity to identify the hazards associated to operability of the chemical processes. Then the consequences and required safeguards of each potential deviation or failure are assessed qualitatively one by one. It is performed with the assumption of “one failure at the time” for the process parameters. Furthermore, process complexities such as multiple failures, domino effects, time and amplitude dependent deviations etc. are avoided to keep the HAZOP brainstorming sessions systematic and effective. Therefore, the quality and outcomes of HAZOP study are relatively subjective and depend on the experience and competency of the HAZOP team. This simplified approach cannot fully cover the hazard identification and risk assessment of the complex processes such as polymerization. Furthermore, the incident investigations show that almost all major accidents have occurred due to multiple failures or domino effects. This paper aims at developing a practical methodology in the context of “Industry 4.0” and particularly illustrate how dynamic simulation liberates the HAZOP team from the simplification assumptions such as one failure at the time or neglecting the domino effects during the lifecycle of the complex processes. An industrial styrene bulk free radical polymerization process has been chosen as the case study to depict the applicability of the proposed method. In continuation of this research, the dynamic simulation integrated with Artificial Intelligence (AI) algorithms and Multivariable Process Monitoring (MPM) together with virtual collaboration tools will be invoked towards a more practical and effective HAZOP 4.0 platform. Such a platform can be the foundation of the further Process Safety Management (PSM) elements such as “Operating manuals”, “Training and Competency management”, “Condition monitoring and predictive maintenance”, “Management of Change”, “Pre-Start-up Safety Review”, etc.&quot;,&quot;publisher&quot;:&quot;Elsevier B.V.&quot;,&quot;issue&quot;:&quot;2&quot;,&quot;volume&quot;:&quot;53&quot;,&quot;container-title-short&quot;:&quot;&quot;},&quot;isTemporary&quot;:false}]},{&quot;citationID&quot;:&quot;MENDELEY_CITATION_ab8b52eb-e1f8-4695-a681-5e216e13a264&quot;,&quot;properties&quot;:{&quot;noteIndex&quot;:0},&quot;isEdited&quot;:false,&quot;manualOverride&quot;:{&quot;isManuallyOverridden&quot;:false,&quot;citeprocText&quot;:&quot;(Raoni et al., 2018)&quot;,&quot;manualOverrideText&quot;:&quot;&quot;},&quot;citationTag&quot;:&quot;MENDELEY_CITATION_v3_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&quot;,&quot;citationItems&quot;:[{&quot;id&quot;:&quot;fa76002e-922b-307c-b009-132ba73b26d6&quot;,&quot;itemData&quot;:{&quot;type&quot;:&quot;article-journal&quot;,&quot;id&quot;:&quot;fa76002e-922b-307c-b009-132ba73b26d6&quot;,&quot;title&quot;:&quot;Employing process simulation for hazardous process deviation identification and analysis&quot;,&quot;author&quot;:[{&quot;family&quot;:&quot;Raoni&quot;,&quot;given&quot;:&quot;Rafael&quot;,&quot;parse-names&quot;:false,&quot;dropping-particle&quot;:&quot;&quot;,&quot;non-dropping-particle&quot;:&quot;&quot;},{&quot;family&quot;:&quot;Secchi&quot;,&quot;given&quot;:&quot;Argimiro R.&quot;,&quot;parse-names&quot;:false,&quot;dropping-particle&quot;:&quot;&quot;,&quot;non-dropping-particle&quot;:&quot;&quot;},{&quot;family&quot;:&quot;Demichela&quot;,&quot;given&quot;:&quot;Micaela&quot;,&quot;parse-names&quot;:false,&quot;dropping-particle&quot;:&quot;&quot;,&quot;non-dropping-particle&quot;:&quot;&quot;}],&quot;container-title&quot;:&quot;Safety Science&quot;,&quot;container-title-short&quot;:&quot;Saf Sci&quot;,&quot;DOI&quot;:&quot;10.1016/j.ssci.2017.09.014&quot;,&quot;ISSN&quot;:&quot;18791042&quot;,&quot;URL&quot;:&quot;http://dx.doi.org/10.1016/j.ssci.2017.09.014&quot;,&quot;issued&quot;:{&quot;date-parts&quot;:[[2018]]},&quot;page&quot;:&quot;209-219&quot;,&quot;abstract&quot;:&quot;To improve industrial safety, several hazard analyses of processes are available. The HAZOP is one of the most frequently employed and analyzes hazardous process deviations based on heuristic knowledge. Despite the wide application of the technique, new developments are especially important to enhance industrial safety. In this sense a systematic procedure is proposed for hazardous process deviation identification and analysis that employs process simulation and heuristic evaluation. Process simulation enables the analysis of process behaviors caused by device malfunctions and the performance of deviation analysis that considers the process non-linearities and dynamics. A comparison between the HAZOP and the proposed procedure is presented using a pump startup system case study, wherein the better system interpretation and results regarding abnormal process conditions are highlighted. A second case study applies the procedures to an offshore oil production process, showing the advantages of employing process simulation for studying deviation during a dynamic process's abnormal behavior.&quot;,&quot;publisher&quot;:&quot;Elsevier&quot;,&quot;issue&quot;:&quot;July 2017&quot;,&quot;volume&quot;:&quot;101&quot;},&quot;isTemporary&quot;:false}]},{&quot;citationID&quot;:&quot;MENDELEY_CITATION_57583dcd-1700-4473-911b-08ae4b84c95f&quot;,&quot;properties&quot;:{&quot;noteIndex&quot;:0},&quot;isEdited&quot;:false,&quot;manualOverride&quot;:{&quot;isManuallyOverridden&quot;:false,&quot;citeprocText&quot;:&quot;(Danko et al., 2019)&quot;,&quot;manualOverrideText&quot;:&quot;&quot;},&quot;citationTag&quot;:&quot;MENDELEY_CITATION_v3_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&quot;,&quot;citationItems&quot;:[{&quot;id&quot;:&quot;b484ca96-eea3-313d-aa59-6339aa7a4c1f&quot;,&quot;itemData&quot;:{&quot;type&quot;:&quot;article-journal&quot;,&quot;id&quot;:&quot;b484ca96-eea3-313d-aa59-6339aa7a4c1f&quot;,&quot;title&quot;:&quot;Integration of process control protection layer into a simulation-based HAZOP tool&quot;,&quot;author&quot;:[{&quot;family&quot;:&quot;Danko&quot;,&quot;given&quot;:&quot;Matej&quot;,&quot;parse-names&quot;:false,&quot;dropping-particle&quot;:&quot;&quot;,&quot;non-dropping-particle&quot;:&quot;&quot;},{&quot;family&quot;:&quot;Janošovský&quot;,&quot;given&quot;:&quot;Ján&quot;,&quot;parse-names&quot;:false,&quot;dropping-particle&quot;:&quot;&quot;,&quot;non-dropping-particle&quot;:&quot;&quot;},{&quot;family&quot;:&quot;Labovský&quot;,&quot;given&quot;:&quot;Juraj&quot;,&quot;parse-names&quot;:false,&quot;dropping-particle&quot;:&quot;&quot;,&quot;non-dropping-particle&quot;:&quot;&quot;},{&quot;family&quot;:&quot;Jelemenský&quot;,&quot;given&quot;:&quot;Ľudovít&quot;,&quot;parse-names&quot;:false,&quot;dropping-particle&quot;:&quot;&quot;,&quot;non-dropping-particle&quot;:&quot;&quot;}],&quot;container-title&quot;:&quot;Journal of Loss Prevention in the Process Industries&quot;,&quot;container-title-short&quot;:&quot;J Loss Prev Process Ind&quot;,&quot;DOI&quot;:&quot;10.1016/j.jlp.2018.12.006&quot;,&quot;ISSN&quot;:&quot;09504230&quot;,&quot;issued&quot;:{&quot;date-parts&quot;:[[2019,1,1]]},&quot;page&quot;:&quot;291-303&quot;,&quot;abstract&quot;:&quot;This paper discusses the framework methodology behind the proposed simulation-based HAZOP tool. Simulation-based approach is one of the many ways to support conventional HAZOP by its automation. Compared to knowledge-based and other approaches, a HAZOP software tool based on deviations simulation is able to examine the investigated process more into detail and so find root causes of hazardous consequences. Another advantage is the ability to identify also potential hazards which did not occur in the past and might be overlooked. The presented framework methodology uses a layer of protection analysis (LOPA) concept of independent protection layers (IPLs) testing. Control system integrated into the raw process design represents the first of various protection layers of the LOPA concept. As a case study, a CSTR chemical production with nonlinear behavior under Proportional-Integral-Derivative (PID) actions as the predominant type of classical feedback control strategy is used. The presented tool identifies hazardous regimes under conditions when control loop introduces hazardous consequences or even acts synergically with existing hazardous events. Risk derived from different consequences is ranked by the risk assessment matrix (RAM) as a part of the conventional quantitative HAZOP study.&quot;,&quot;publisher&quot;:&quot;Elsevier Ltd&quot;},&quot;isTemporary&quot;:false}]},{&quot;citationID&quot;:&quot;MENDELEY_CITATION_8e31880b-433f-44c3-97c3-cb1152620f46&quot;,&quot;properties&quot;:{&quot;noteIndex&quot;:0},&quot;isEdited&quot;:false,&quot;manualOverride&quot;:{&quot;isManuallyOverridden&quot;:false,&quot;citeprocText&quot;:&quot;(Albalawi et al., 2017)&quot;,&quot;manualOverrideText&quot;:&quot;&quot;},&quot;citationTag&quot;:&quot;MENDELEY_CITATION_v3_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&quot;,&quot;citationItems&quot;:[{&quot;id&quot;:&quot;24318d48-e857-3d1b-a6ff-457173180813&quot;,&quot;itemData&quot;:{&quot;type&quot;:&quot;article-journal&quot;,&quot;id&quot;:&quot;24318d48-e857-3d1b-a6ff-457173180813&quot;,&quot;title&quot;:&quot;Process operational safety using model predictive control based on a process Safeness Index&quot;,&quot;author&quot;:[{&quot;family&quot;:&quot;Albalawi&quot;,&quot;given&quot;:&quot;Fahad&quot;,&quot;parse-names&quot;:false,&quot;dropping-particle&quot;:&quot;&quot;,&quot;non-dropping-particle&quot;:&quot;&quot;},{&quot;family&quot;:&quot;Durand&quot;,&quot;given&quot;:&quot;Helen&quot;,&quot;parse-names&quot;:false,&quot;dropping-particle&quot;:&quot;&quot;,&quot;non-dropping-particle&quot;:&quot;&quot;},{&quot;family&quot;:&quot;Christofides&quot;,&quot;given&quot;:&quot;Panagiotis D.&quot;,&quot;parse-names&quot;:false,&quot;dropping-particle&quot;:&quot;&quot;,&quot;non-dropping-particle&quot;:&quot;&quot;}],&quot;container-title&quot;:&quot;Computers and Chemical Engineering&quot;,&quot;container-title-short&quot;:&quot;Comput Chem Eng&quot;,&quot;DOI&quot;:&quot;10.1016/j.compchemeng.2017.04.010&quot;,&quot;ISSN&quot;:&quot;00981354&quot;,&quot;issued&quot;:{&quot;date-parts&quot;:[[2017]]},&quot;page&quot;:&quot;76-88&quot;,&quot;abstract&quot;:&quot;It has been repeatedly suggested that the common cause-and-effect approach to evaluating process safety has deficiencies that could be addressed by a systems engineering perspective. A systems approach should consider safety as a system-wide property and thus would be required to integrate all aspects of the process involved with monitoring or manipulating the process dynamics, including the control, alarm, and emergency shut-down systems while operating them independently for redundancy. In this work, we propose initial steps in the first systems safety approach that coordinates the control and safety systems through a common metric (a Safeness Index) and develop a controller formulation that incorporates this index. Specifically, this work presents an economic model predictive control (EMPC) scheme that utilizes a Safeness Index function as a hard constraint to define a safe region of operation termed the safety zone. Under the proposed EMPC design, the closed-loop state of a nonlinear process is guaranteed to enter the safety zone in finite time in the presence of uncertainty while maximizing a stage cost that reflects the economics of the process. Closed-loop stability is established for a nonlinear process under the proposed implementation strategy.&quot;,&quot;publisher&quot;:&quot;Elsevier Ltd&quot;,&quot;volume&quot;:&quot;104&quot;},&quot;isTemporary&quot;:false}]},{&quot;citationID&quot;:&quot;MENDELEY_CITATION_7bb71a42-e595-4f9b-aa86-3baa9866b656&quot;,&quot;properties&quot;:{&quot;noteIndex&quot;:0},&quot;isEdited&quot;:false,&quot;manualOverride&quot;:{&quot;isManuallyOverridden&quot;:false,&quot;citeprocText&quot;:&quot;(González &amp;#38; Odloak, 2009)&quot;,&quot;manualOverrideText&quot;:&quot;&quot;},&quot;citationTag&quot;:&quot;MENDELEY_CITATION_v3_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&quot;,&quot;citationItems&quot;:[{&quot;id&quot;:&quot;0e2684f4-4d1a-3e59-92d1-ecaf313820ee&quot;,&quot;itemData&quot;:{&quot;type&quot;:&quot;article-journal&quot;,&quot;id&quot;:&quot;0e2684f4-4d1a-3e59-92d1-ecaf313820ee&quot;,&quot;title&quot;:&quot;A stable MPC with zone control&quot;,&quot;author&quot;:[{&quot;family&quot;:&quot;González&quot;,&quot;given&quot;:&quot;Alejandro H.&quot;,&quot;parse-names&quot;:false,&quot;dropping-particle&quot;:&quot;&quot;,&quot;non-dropping-particle&quot;:&quot;&quot;},{&quot;family&quot;:&quot;Odloak&quot;,&quot;given&quot;:&quot;Darci&quot;,&quot;parse-names&quot;:false,&quot;dropping-particle&quot;:&quot;&quot;,&quot;non-dropping-particle&quot;:&quot;&quot;}],&quot;container-title&quot;:&quot;Journal of Process Control&quot;,&quot;container-title-short&quot;:&quot;J Process Control&quot;,&quot;DOI&quot;:&quot;10.1016/j.jprocont.2008.01.003&quot;,&quot;ISSN&quot;:&quot;09591524&quot;,&quot;issued&quot;:{&quot;date-parts&quot;:[[2009,1]]},&quot;page&quot;:&quot;110-122&quot;,&quot;abstract&quot;:&quot;Several MPC applications implement a control strategy in which some of the system outputs are controlled within specified ranges or zones, rather than at fixed set points [J.M. Maciejowski, Predictive Control with Constraints, Prentice Hall, New Jersey, 2002]. This means that these outputs will be treated as controlled variables only when the predicted future values lie outside the boundary of their corresponding zones. The zone control is usually implemented by selecting an appropriate weighting matrix for the output error in the control cost function. When an output prediction is inside its zone, the corresponding weight is zeroed, so that the controller ignores this output. When the output prediction lies outside the zone, the error weight is made equal to a specified value and the distance between the output prediction and the boundary of the zone is minimized. The main problem of this approach, as long as stability of the closed loop is concerned, is that each time an output is switched from the status of non-controlled to the status of controlled, or vice versa, a different linear controller is activated. Thus, throughout the continuous operation of the process, the control system keeps switching from one controller to another. Even if a stabilizing control law is developed for each of the control configurations, switching among stable controllers not necessarily produces a stable closed loop system. Here, a stable MPC is developed for the zone control of open-loop stable systems. Focusing on the practical application of the proposed controller, it is assumed that in the control structure of the process system there is an upper optimization layer that defines optimal targets to the system inputs. The performance of the proposed strategy is illustrated by simulation of a subsystem of an industrial FCC system. © 2008 Elsevier Ltd. All rights reserved.&quot;,&quot;issue&quot;:&quot;1&quot;,&quot;volume&quot;:&quot;19&quot;},&quot;isTemporary&quot;:false}]},{&quot;citationID&quot;:&quot;MENDELEY_CITATION_9b474201-4847-401a-bf9b-ffff6ba65d40&quot;,&quot;properties&quot;:{&quot;noteIndex&quot;:0},&quot;isEdited&quot;:false,&quot;manualOverride&quot;:{&quot;isManuallyOverridden&quot;:false,&quot;citeprocText&quot;:&quot;(Alvarez &amp;#38; Odloak, 2012)&quot;,&quot;manualOverrideText&quot;:&quot;&quot;},&quot;citationTag&quot;:&quot;MENDELEY_CITATION_v3_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&quot;,&quot;citationItems&quot;:[{&quot;id&quot;:&quot;110fd789-ada7-32c6-803c-4befca764a73&quot;,&quot;itemData&quot;:{&quot;type&quot;:&quot;article-journal&quot;,&quot;id&quot;:&quot;110fd789-ada7-32c6-803c-4befca764a73&quot;,&quot;title&quot;:&quot;Optimization and control of a continuous polymerization reactor&quot;,&quot;author&quot;:[{&quot;family&quot;:&quot;Alvarez&quot;,&quot;given&quot;:&quot;L. A.&quot;,&quot;parse-names&quot;:false,&quot;dropping-particle&quot;:&quot;&quot;,&quot;non-dropping-particle&quot;:&quot;&quot;},{&quot;family&quot;:&quot;Odloak&quot;,&quot;given&quot;:&quot;D.&quot;,&quot;parse-names&quot;:false,&quot;dropping-particle&quot;:&quot;&quot;,&quot;non-dropping-particle&quot;:&quot;&quot;}],&quot;container-title&quot;:&quot;Brazilian Journal of Chemical Engineering&quot;,&quot;DOI&quot;:&quot;10.1590/S0104-66322012000400012&quot;,&quot;ISSN&quot;:&quot;01046632&quot;,&quot;issued&quot;:{&quot;date-parts&quot;:[[2012]]},&quot;page&quot;:&quot;807-820&quot;,&quot;abstract&quot;:&quot;This work studies the optimization and control of a styrene polymerization reactor. The proposed strategy deals with the case where, because of market conditions and equipment deterioration, the optimal operating point of the continuous reactor is modified significantly along the operation time and the control system has to search for this optimum point, besides keeping the reactor system stable at any possible point. The approach considered here consists of three layers: the Real Time Optimization (RTO), the Model Predictive Control (MPC) and a Target Calculation (TC) that coordinates the communication between the two other layers and guarantees the stability of the whole structure. The proposed algorithm is simulated with the phenomenological model of a styrene polymerization reactor, which has been widely used as a benchmark for process control. The complete optimization structure for the styrene process including disturbances rejection is developed. The simulation results show the robustness of the proposed strategy and the capability to deal with disturbances while the economic objective is optimized.&quot;,&quot;issue&quot;:&quot;4&quot;,&quot;volume&quot;:&quot;29&quot;,&quot;container-title-short&quot;:&quot;&quot;},&quot;isTemporary&quot;:false}]},{&quot;citationID&quot;:&quot;MENDELEY_CITATION_6e3e9251-68ee-4728-b2f7-af4d175d556c&quot;,&quot;properties&quot;:{&quot;noteIndex&quot;:0},&quot;isEdited&quot;:false,&quot;manualOverride&quot;:{&quot;isManuallyOverridden&quot;:false,&quot;citeprocText&quot;:&quot;(Alvarez &amp;#38; Odloak, 2012)&quot;,&quot;manualOverrideText&quot;:&quot;&quot;},&quot;citationTag&quot;:&quot;MENDELEY_CITATION_v3_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&quot;,&quot;citationItems&quot;:[{&quot;id&quot;:&quot;110fd789-ada7-32c6-803c-4befca764a73&quot;,&quot;itemData&quot;:{&quot;type&quot;:&quot;article-journal&quot;,&quot;id&quot;:&quot;110fd789-ada7-32c6-803c-4befca764a73&quot;,&quot;title&quot;:&quot;Optimization and control of a continuous polymerization reactor&quot;,&quot;author&quot;:[{&quot;family&quot;:&quot;Alvarez&quot;,&quot;given&quot;:&quot;L. A.&quot;,&quot;parse-names&quot;:false,&quot;dropping-particle&quot;:&quot;&quot;,&quot;non-dropping-particle&quot;:&quot;&quot;},{&quot;family&quot;:&quot;Odloak&quot;,&quot;given&quot;:&quot;D.&quot;,&quot;parse-names&quot;:false,&quot;dropping-particle&quot;:&quot;&quot;,&quot;non-dropping-particle&quot;:&quot;&quot;}],&quot;container-title&quot;:&quot;Brazilian Journal of Chemical Engineering&quot;,&quot;DOI&quot;:&quot;10.1590/S0104-66322012000400012&quot;,&quot;ISSN&quot;:&quot;01046632&quot;,&quot;issued&quot;:{&quot;date-parts&quot;:[[2012]]},&quot;page&quot;:&quot;807-820&quot;,&quot;abstract&quot;:&quot;This work studies the optimization and control of a styrene polymerization reactor. The proposed strategy deals with the case where, because of market conditions and equipment deterioration, the optimal operating point of the continuous reactor is modified significantly along the operation time and the control system has to search for this optimum point, besides keeping the reactor system stable at any possible point. The approach considered here consists of three layers: the Real Time Optimization (RTO), the Model Predictive Control (MPC) and a Target Calculation (TC) that coordinates the communication between the two other layers and guarantees the stability of the whole structure. The proposed algorithm is simulated with the phenomenological model of a styrene polymerization reactor, which has been widely used as a benchmark for process control. The complete optimization structure for the styrene process including disturbances rejection is developed. The simulation results show the robustness of the proposed strategy and the capability to deal with disturbances while the economic objective is optimized.&quot;,&quot;issue&quot;:&quot;4&quot;,&quot;volume&quot;:&quot;29&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3E51FE89AAF7B41A642D570223A4104" ma:contentTypeVersion="10" ma:contentTypeDescription="Crie um novo documento." ma:contentTypeScope="" ma:versionID="a941e2d7ad8fb69fdec4e838a34c0455">
  <xsd:schema xmlns:xsd="http://www.w3.org/2001/XMLSchema" xmlns:xs="http://www.w3.org/2001/XMLSchema" xmlns:p="http://schemas.microsoft.com/office/2006/metadata/properties" xmlns:ns3="5b7b9085-7bb4-4193-b972-3c0f99b80f2f" targetNamespace="http://schemas.microsoft.com/office/2006/metadata/properties" ma:root="true" ma:fieldsID="b57b827acd5b049e24cf5398125480e9" ns3:_="">
    <xsd:import namespace="5b7b9085-7bb4-4193-b972-3c0f99b80f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b9085-7bb4-4193-b972-3c0f99b80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6ACF9-F6B9-48D4-982D-02B8D6E17A9E}">
  <ds:schemaRefs>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5b7b9085-7bb4-4193-b972-3c0f99b80f2f"/>
    <ds:schemaRef ds:uri="http://www.w3.org/XML/1998/namespace"/>
    <ds:schemaRef ds:uri="http://purl.org/dc/elements/1.1/"/>
  </ds:schemaRefs>
</ds:datastoreItem>
</file>

<file path=customXml/itemProps2.xml><?xml version="1.0" encoding="utf-8"?>
<ds:datastoreItem xmlns:ds="http://schemas.openxmlformats.org/officeDocument/2006/customXml" ds:itemID="{5891F68A-661D-4305-8DEA-0F4755DDA8D2}">
  <ds:schemaRefs>
    <ds:schemaRef ds:uri="http://schemas.microsoft.com/sharepoint/v3/contenttype/forms"/>
  </ds:schemaRefs>
</ds:datastoreItem>
</file>

<file path=customXml/itemProps3.xml><?xml version="1.0" encoding="utf-8"?>
<ds:datastoreItem xmlns:ds="http://schemas.openxmlformats.org/officeDocument/2006/customXml" ds:itemID="{193FC778-BCC0-44EC-825F-07385A41E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b9085-7bb4-4193-b972-3c0f99b80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2FCDCE-E761-4803-9F85-4507762FB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2916</Words>
  <Characters>16625</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Dipartimento CMIC - Politecnico di Milano</Company>
  <LinksUpToDate>false</LinksUpToDate>
  <CharactersWithSpaces>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Fernando</cp:lastModifiedBy>
  <cp:revision>17</cp:revision>
  <cp:lastPrinted>2023-02-14T12:58:00Z</cp:lastPrinted>
  <dcterms:created xsi:type="dcterms:W3CDTF">2023-02-15T00:17:00Z</dcterms:created>
  <dcterms:modified xsi:type="dcterms:W3CDTF">2023-02-15T00:25:00Z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0x01010003E51FE89AAF7B41A642D570223A4104</vt:lpwstr>
  </property>
  <property fmtid="{D5CDD505-2E9C-101B-9397-08002B2CF9AE}" pid="5" name="GrammarlyDocumentId">
    <vt:lpwstr>ed4b6e6f87652dd90fdd17fa03d064b8de7612ef018bf1ad7c5b777a8ca06cf1</vt:lpwstr>
  </property>
</Properties>
</file>